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3029" w14:textId="77777777" w:rsidR="00B3467F" w:rsidRDefault="00B3467F" w:rsidP="00E2061E">
      <w:pPr>
        <w:ind w:left="170" w:right="170"/>
      </w:pPr>
    </w:p>
    <w:p w14:paraId="746B6DD5" w14:textId="687FAB80" w:rsidR="00C66522" w:rsidRDefault="001B756E" w:rsidP="00E2061E">
      <w:pPr>
        <w:ind w:left="170" w:right="170"/>
      </w:pPr>
      <w:r w:rsidRPr="001B756E">
        <w:t>Requirements for conformity assessment bodies that conduct certification audits of providers holding contracts with Health New Zealand , Ministry of Social Development - Disability Support Services – and/or the Accident Compensation Corporation to provide home and community support services.</w:t>
      </w:r>
    </w:p>
    <w:p w14:paraId="58617585" w14:textId="5260973A" w:rsidR="005738BA" w:rsidRPr="001B756E" w:rsidRDefault="001B756E" w:rsidP="005738BA">
      <w:pPr>
        <w:pStyle w:val="Title"/>
        <w:rPr>
          <w:sz w:val="40"/>
          <w:szCs w:val="40"/>
        </w:rPr>
      </w:pPr>
      <w:r w:rsidRPr="001B756E">
        <w:rPr>
          <w:sz w:val="40"/>
          <w:szCs w:val="40"/>
        </w:rPr>
        <w:t>Home and Community Support Services Conformity Assessment Bodies: Auditing Requirements</w:t>
      </w:r>
    </w:p>
    <w:p w14:paraId="2DE653F2" w14:textId="77777777" w:rsidR="00142954" w:rsidRPr="00A86466" w:rsidRDefault="00E62F41" w:rsidP="00142954">
      <w:pPr>
        <w:rPr>
          <w:sz w:val="24"/>
          <w:szCs w:val="22"/>
        </w:rPr>
        <w:sectPr w:rsidR="00142954" w:rsidRPr="00A86466" w:rsidSect="00C66522">
          <w:headerReference w:type="default" r:id="rId13"/>
          <w:pgSz w:w="11907" w:h="16834" w:code="9"/>
          <w:pgMar w:top="1134" w:right="1276" w:bottom="851" w:left="6237" w:header="0" w:footer="0" w:gutter="0"/>
          <w:cols w:space="720"/>
        </w:sectPr>
      </w:pPr>
      <w:proofErr w:type="spellStart"/>
      <w:r w:rsidRPr="00A86466">
        <w:rPr>
          <w:sz w:val="24"/>
          <w:szCs w:val="22"/>
        </w:rPr>
        <w:t>Ngā</w:t>
      </w:r>
      <w:proofErr w:type="spellEnd"/>
      <w:r w:rsidRPr="00A86466">
        <w:rPr>
          <w:sz w:val="24"/>
          <w:szCs w:val="22"/>
        </w:rPr>
        <w:t xml:space="preserve"> </w:t>
      </w:r>
      <w:proofErr w:type="spellStart"/>
      <w:r w:rsidRPr="00A86466">
        <w:rPr>
          <w:sz w:val="24"/>
          <w:szCs w:val="22"/>
        </w:rPr>
        <w:t>Paerewa</w:t>
      </w:r>
      <w:proofErr w:type="spellEnd"/>
      <w:r w:rsidRPr="00A86466">
        <w:rPr>
          <w:sz w:val="24"/>
          <w:szCs w:val="22"/>
        </w:rPr>
        <w:t xml:space="preserve"> Health and Disability Services Standard:</w:t>
      </w:r>
      <w:r w:rsidR="001B07FC" w:rsidRPr="00A86466">
        <w:rPr>
          <w:sz w:val="24"/>
          <w:szCs w:val="22"/>
        </w:rPr>
        <w:t xml:space="preserve"> NZS 8134:2021</w:t>
      </w:r>
    </w:p>
    <w:p w14:paraId="782F4294" w14:textId="77777777" w:rsidR="003B1D15" w:rsidRPr="00A87DD4" w:rsidRDefault="003B1D15" w:rsidP="00A87DD4">
      <w:pPr>
        <w:pStyle w:val="Imprint"/>
        <w:spacing w:after="0"/>
        <w:jc w:val="left"/>
        <w:rPr>
          <w:b/>
          <w:bCs/>
        </w:rPr>
      </w:pPr>
      <w:r w:rsidRPr="00A87DD4">
        <w:rPr>
          <w:b/>
          <w:bCs/>
        </w:rPr>
        <w:lastRenderedPageBreak/>
        <w:t>Acknowledgments</w:t>
      </w:r>
    </w:p>
    <w:p w14:paraId="481A1589" w14:textId="1BDC3E9A" w:rsidR="00855D08" w:rsidRDefault="001B756E" w:rsidP="00A87DD4">
      <w:pPr>
        <w:pStyle w:val="Imprint"/>
        <w:spacing w:after="0"/>
        <w:jc w:val="left"/>
      </w:pPr>
      <w:r w:rsidRPr="001B756E">
        <w:t>This is the second edition of the Home and Community Support Services Conformity Assessment Bodies: Auditing Requirements. It is adapted from the previous handbook for the home and community support sector, NZS 8158:2012, which was first published in October 2012 and revised in May 2017 and July 2023.</w:t>
      </w:r>
      <w:r w:rsidR="00874DAC">
        <w:t xml:space="preserve"> </w:t>
      </w:r>
    </w:p>
    <w:p w14:paraId="2BB906A8" w14:textId="53E03A56" w:rsidR="007251B6" w:rsidRPr="007251B6" w:rsidRDefault="001B756E" w:rsidP="007251B6">
      <w:pPr>
        <w:pStyle w:val="Imprint"/>
        <w:jc w:val="left"/>
      </w:pPr>
      <w:r w:rsidRPr="001B756E">
        <w:t xml:space="preserve">The Ministry of Health – Manatū Hauora partnered with Health New Zealand – </w:t>
      </w:r>
      <w:proofErr w:type="spellStart"/>
      <w:r w:rsidRPr="001B756E">
        <w:t>Te</w:t>
      </w:r>
      <w:proofErr w:type="spellEnd"/>
      <w:r w:rsidRPr="001B756E">
        <w:t xml:space="preserve"> Whatu Ora,  Ministry of Social Development - Disability Support Services – and the Accident Compensation Corporation to write and review this handbook</w:t>
      </w:r>
      <w:r w:rsidR="000F1F12">
        <w:t>.</w:t>
      </w:r>
    </w:p>
    <w:p w14:paraId="7441255B" w14:textId="7F2EA5A1" w:rsidR="00A80363" w:rsidRPr="00CE1993" w:rsidRDefault="00A80363">
      <w:pPr>
        <w:pStyle w:val="Imprint"/>
      </w:pPr>
      <w:r>
        <w:t xml:space="preserve">Citation: </w:t>
      </w:r>
      <w:r w:rsidR="00CE1993">
        <w:t>Ministry of Health. 20</w:t>
      </w:r>
      <w:r w:rsidR="00992843">
        <w:t>2</w:t>
      </w:r>
      <w:r w:rsidR="001B756E">
        <w:t>5</w:t>
      </w:r>
      <w:r w:rsidR="00CE1993">
        <w:t xml:space="preserve">. </w:t>
      </w:r>
      <w:r w:rsidR="001B756E" w:rsidRPr="001B756E">
        <w:rPr>
          <w:i/>
        </w:rPr>
        <w:t xml:space="preserve">Home and Community Support Services Conformity </w:t>
      </w:r>
      <w:r w:rsidR="001B756E">
        <w:rPr>
          <w:i/>
        </w:rPr>
        <w:br/>
      </w:r>
      <w:r w:rsidR="001B756E" w:rsidRPr="001B756E">
        <w:rPr>
          <w:i/>
        </w:rPr>
        <w:t xml:space="preserve">Assessment Bodies: Auditing Requirements: </w:t>
      </w:r>
      <w:proofErr w:type="spellStart"/>
      <w:r w:rsidR="001B756E" w:rsidRPr="001B756E">
        <w:rPr>
          <w:i/>
        </w:rPr>
        <w:t>Ngā</w:t>
      </w:r>
      <w:proofErr w:type="spellEnd"/>
      <w:r w:rsidR="001B756E" w:rsidRPr="001B756E">
        <w:rPr>
          <w:i/>
        </w:rPr>
        <w:t xml:space="preserve"> </w:t>
      </w:r>
      <w:proofErr w:type="spellStart"/>
      <w:r w:rsidR="001B756E" w:rsidRPr="001B756E">
        <w:rPr>
          <w:i/>
        </w:rPr>
        <w:t>paerewa</w:t>
      </w:r>
      <w:proofErr w:type="spellEnd"/>
      <w:r w:rsidR="001B756E" w:rsidRPr="001B756E">
        <w:rPr>
          <w:i/>
        </w:rPr>
        <w:t xml:space="preserve"> Health and disability services </w:t>
      </w:r>
      <w:r w:rsidR="001B756E">
        <w:rPr>
          <w:i/>
        </w:rPr>
        <w:br/>
      </w:r>
      <w:r w:rsidR="001B756E" w:rsidRPr="001B756E">
        <w:rPr>
          <w:i/>
        </w:rPr>
        <w:t>standard NZS 8134:2021.</w:t>
      </w:r>
      <w:r w:rsidR="00CE1993">
        <w:t xml:space="preserve"> Wellington: Ministry of Health.</w:t>
      </w:r>
    </w:p>
    <w:p w14:paraId="02431B75" w14:textId="774A1CF6" w:rsidR="00C86248" w:rsidRDefault="00A87DD4">
      <w:pPr>
        <w:pStyle w:val="Imprint"/>
      </w:pPr>
      <w:r>
        <w:t xml:space="preserve">Published in </w:t>
      </w:r>
      <w:r w:rsidR="004B21A5">
        <w:t>October</w:t>
      </w:r>
      <w:r w:rsidR="001B756E" w:rsidRPr="001B756E">
        <w:t xml:space="preserve"> 2025 </w:t>
      </w:r>
      <w:r w:rsidR="00C86248">
        <w:t>by the</w:t>
      </w:r>
      <w:r w:rsidR="00C86248">
        <w:br/>
        <w:t>Ministry of Health</w:t>
      </w:r>
      <w:r w:rsidR="00C86248">
        <w:br/>
        <w:t>PO Box 5013, Wellington</w:t>
      </w:r>
      <w:r w:rsidR="00A80363">
        <w:t xml:space="preserve"> 614</w:t>
      </w:r>
      <w:r w:rsidR="007251B6">
        <w:t>0</w:t>
      </w:r>
      <w:r w:rsidR="00C86248">
        <w:t>, New Zealand</w:t>
      </w:r>
    </w:p>
    <w:p w14:paraId="638113AB" w14:textId="15028FEA" w:rsidR="00C86248" w:rsidRDefault="00C86248">
      <w:pPr>
        <w:pStyle w:val="Imprint"/>
      </w:pPr>
      <w:r w:rsidRPr="00F4393F">
        <w:t xml:space="preserve">ISBN </w:t>
      </w:r>
      <w:r w:rsidR="00B55AD8" w:rsidRPr="00B55AD8">
        <w:t xml:space="preserve">978-1-991324-56-6 </w:t>
      </w:r>
      <w:r w:rsidR="00CE1993" w:rsidRPr="00F4393F">
        <w:t>(online)</w:t>
      </w:r>
      <w:r w:rsidRPr="00F4393F">
        <w:br/>
      </w:r>
      <w:r w:rsidR="00D25FFE" w:rsidRPr="00F4393F">
        <w:t xml:space="preserve">HP </w:t>
      </w:r>
      <w:r w:rsidR="00F129A4">
        <w:t>9142</w:t>
      </w:r>
    </w:p>
    <w:p w14:paraId="4B6E8D45" w14:textId="05F64F54" w:rsidR="00EC1516" w:rsidRPr="00EC1516" w:rsidRDefault="00C86248" w:rsidP="001B756E">
      <w:pPr>
        <w:pStyle w:val="Imprint"/>
        <w:spacing w:after="0"/>
      </w:pPr>
      <w:r>
        <w:t xml:space="preserve">This document is available </w:t>
      </w:r>
      <w:r w:rsidR="007251B6">
        <w:t>at</w:t>
      </w:r>
      <w:r w:rsidR="00CE1993">
        <w:br/>
      </w:r>
      <w:hyperlink r:id="rId14" w:history="1">
        <w:r w:rsidR="00405553" w:rsidRPr="00C073BA">
          <w:rPr>
            <w:rStyle w:val="Hyperlink"/>
          </w:rPr>
          <w:t>h</w:t>
        </w:r>
        <w:r w:rsidR="00350EE0">
          <w:rPr>
            <w:rStyle w:val="Hyperlink"/>
          </w:rPr>
          <w:t>ealth</w:t>
        </w:r>
        <w:r w:rsidR="00405553" w:rsidRPr="00C073BA">
          <w:rPr>
            <w:rStyle w:val="Hyperlink"/>
          </w:rPr>
          <w:t>.govt.nz</w:t>
        </w:r>
      </w:hyperlink>
    </w:p>
    <w:p w14:paraId="6B2E5A51" w14:textId="77777777" w:rsidR="00C86248" w:rsidRDefault="00C86248">
      <w:pPr>
        <w:jc w:val="center"/>
        <w:sectPr w:rsidR="00C86248" w:rsidSect="00D22FA5">
          <w:footerReference w:type="even" r:id="rId15"/>
          <w:footerReference w:type="default" r:id="rId16"/>
          <w:pgSz w:w="11907" w:h="16834" w:code="9"/>
          <w:pgMar w:top="9072" w:right="1134" w:bottom="1134" w:left="1985" w:header="0" w:footer="0" w:gutter="0"/>
          <w:cols w:space="720"/>
        </w:sectPr>
      </w:pPr>
    </w:p>
    <w:p w14:paraId="557313EC" w14:textId="77777777" w:rsidR="001B756E" w:rsidRPr="00EC1516" w:rsidRDefault="001B756E" w:rsidP="001B756E">
      <w:pPr>
        <w:pStyle w:val="Imprint"/>
        <w:spacing w:after="0"/>
      </w:pPr>
      <w:bookmarkStart w:id="0" w:name="_Toc405792991"/>
      <w:bookmarkStart w:id="1" w:name="_Toc405793224"/>
      <w:r>
        <w:lastRenderedPageBreak/>
        <w:t>This document is available at</w:t>
      </w:r>
      <w:r>
        <w:br/>
      </w:r>
      <w:hyperlink r:id="rId17" w:history="1">
        <w:r w:rsidRPr="007B4DCC">
          <w:rPr>
            <w:rStyle w:val="Hyperlink"/>
          </w:rPr>
          <w:t xml:space="preserve">Auditing Requirements: </w:t>
        </w:r>
        <w:proofErr w:type="spellStart"/>
        <w:r w:rsidRPr="007B4DCC">
          <w:rPr>
            <w:rStyle w:val="Hyperlink"/>
          </w:rPr>
          <w:t>Ngā</w:t>
        </w:r>
        <w:proofErr w:type="spellEnd"/>
        <w:r w:rsidRPr="007B4DCC">
          <w:rPr>
            <w:rStyle w:val="Hyperlink"/>
          </w:rPr>
          <w:t xml:space="preserve"> </w:t>
        </w:r>
        <w:proofErr w:type="spellStart"/>
        <w:r>
          <w:rPr>
            <w:rStyle w:val="Hyperlink"/>
          </w:rPr>
          <w:t>p</w:t>
        </w:r>
        <w:r w:rsidRPr="007B4DCC">
          <w:rPr>
            <w:rStyle w:val="Hyperlink"/>
          </w:rPr>
          <w:t>aerewa</w:t>
        </w:r>
        <w:proofErr w:type="spellEnd"/>
        <w:r w:rsidRPr="007B4DCC">
          <w:rPr>
            <w:rStyle w:val="Hyperlink"/>
          </w:rPr>
          <w:t xml:space="preserve"> Health and </w:t>
        </w:r>
        <w:r>
          <w:rPr>
            <w:rStyle w:val="Hyperlink"/>
          </w:rPr>
          <w:t>d</w:t>
        </w:r>
        <w:r w:rsidRPr="007B4DCC">
          <w:rPr>
            <w:rStyle w:val="Hyperlink"/>
          </w:rPr>
          <w:t xml:space="preserve">isability </w:t>
        </w:r>
        <w:r>
          <w:rPr>
            <w:rStyle w:val="Hyperlink"/>
          </w:rPr>
          <w:t>s</w:t>
        </w:r>
        <w:r w:rsidRPr="007B4DCC">
          <w:rPr>
            <w:rStyle w:val="Hyperlink"/>
          </w:rPr>
          <w:t xml:space="preserve">ervices </w:t>
        </w:r>
        <w:r>
          <w:rPr>
            <w:rStyle w:val="Hyperlink"/>
          </w:rPr>
          <w:t>s</w:t>
        </w:r>
        <w:r w:rsidRPr="007B4DCC">
          <w:rPr>
            <w:rStyle w:val="Hyperlink"/>
          </w:rPr>
          <w:t xml:space="preserve">tandard NZS 8134:2021 Ministry of Health </w:t>
        </w:r>
      </w:hyperlink>
    </w:p>
    <w:p w14:paraId="6C4BD5DA" w14:textId="055AB844" w:rsidR="00350EE0" w:rsidRDefault="001B756E" w:rsidP="00350EE0">
      <w:pPr>
        <w:pStyle w:val="Heading1"/>
        <w:spacing w:before="0"/>
      </w:pPr>
      <w:r>
        <w:br w:type="page"/>
      </w:r>
      <w:bookmarkStart w:id="2" w:name="_Toc209590442"/>
      <w:r w:rsidR="00350EE0">
        <w:lastRenderedPageBreak/>
        <w:t>Preface</w:t>
      </w:r>
      <w:bookmarkEnd w:id="2"/>
    </w:p>
    <w:p w14:paraId="66D6F596" w14:textId="77777777" w:rsidR="001B756E" w:rsidRDefault="001B756E" w:rsidP="001B756E">
      <w:r>
        <w:t xml:space="preserve">Home and community support services (HCSS) providers that hold a contract with Health New Zealand – </w:t>
      </w:r>
      <w:proofErr w:type="spellStart"/>
      <w:r>
        <w:t>Te</w:t>
      </w:r>
      <w:proofErr w:type="spellEnd"/>
      <w:r>
        <w:t xml:space="preserve"> Whatu Ora, Ministry of Social Development -Disability Support Services –  and/or the Accident Compensation Corporation must be certified against </w:t>
      </w:r>
      <w:proofErr w:type="spellStart"/>
      <w:r>
        <w:t>Ngā</w:t>
      </w:r>
      <w:proofErr w:type="spellEnd"/>
      <w:r>
        <w:t> </w:t>
      </w:r>
      <w:proofErr w:type="spellStart"/>
      <w:r>
        <w:t>paerewa</w:t>
      </w:r>
      <w:proofErr w:type="spellEnd"/>
      <w:r>
        <w:t xml:space="preserve"> Health and disability services </w:t>
      </w:r>
      <w:r w:rsidRPr="00A51DD6">
        <w:t xml:space="preserve">NZS 8134:2021 </w:t>
      </w:r>
      <w:r>
        <w:t>(</w:t>
      </w:r>
      <w:proofErr w:type="spellStart"/>
      <w:r>
        <w:t>Ngā</w:t>
      </w:r>
      <w:proofErr w:type="spellEnd"/>
      <w:r>
        <w:t xml:space="preserve"> </w:t>
      </w:r>
      <w:proofErr w:type="spellStart"/>
      <w:r>
        <w:t>Paerewa</w:t>
      </w:r>
      <w:proofErr w:type="spellEnd"/>
      <w:r>
        <w:t>). This document</w:t>
      </w:r>
      <w:bookmarkStart w:id="3" w:name="_Hlk190093842"/>
      <w:r>
        <w:t xml:space="preserve"> guides the certification </w:t>
      </w:r>
      <w:r>
        <w:rPr>
          <w:iCs/>
        </w:rPr>
        <w:t>a</w:t>
      </w:r>
      <w:r w:rsidRPr="00B709C1">
        <w:rPr>
          <w:iCs/>
        </w:rPr>
        <w:t>uditing</w:t>
      </w:r>
      <w:r>
        <w:rPr>
          <w:i/>
        </w:rPr>
        <w:t xml:space="preserve"> </w:t>
      </w:r>
      <w:r>
        <w:t>scheme</w:t>
      </w:r>
      <w:bookmarkEnd w:id="3"/>
      <w:r>
        <w:t>.</w:t>
      </w:r>
      <w:r w:rsidRPr="00350EE0">
        <w:rPr>
          <w:rStyle w:val="FootnoteReference"/>
        </w:rPr>
        <w:footnoteReference w:id="1"/>
      </w:r>
    </w:p>
    <w:p w14:paraId="5F985C99" w14:textId="77777777" w:rsidR="001B756E" w:rsidRDefault="001B756E" w:rsidP="001B756E"/>
    <w:p w14:paraId="73254301" w14:textId="77777777" w:rsidR="001B756E" w:rsidRPr="004E2111" w:rsidRDefault="001B756E" w:rsidP="001B756E">
      <w:r>
        <w:t>In 2015, an HCSS o</w:t>
      </w:r>
      <w:r w:rsidRPr="00BF3283">
        <w:t xml:space="preserve">versight </w:t>
      </w:r>
      <w:r>
        <w:t>c</w:t>
      </w:r>
      <w:r w:rsidRPr="00BF3283">
        <w:t>ommittee</w:t>
      </w:r>
      <w:r>
        <w:t xml:space="preserve"> was formed to support the ongoing development of this certification scheme. It is made up of funder representatives and representatives from </w:t>
      </w:r>
      <w:proofErr w:type="spellStart"/>
      <w:r>
        <w:t>HealthCERT</w:t>
      </w:r>
      <w:proofErr w:type="spellEnd"/>
      <w:r>
        <w:t xml:space="preserve"> within the Ministry of Health – Manatū Hauora.</w:t>
      </w:r>
      <w:r w:rsidRPr="00350EE0">
        <w:rPr>
          <w:rStyle w:val="FootnoteReference"/>
        </w:rPr>
        <w:footnoteReference w:id="2"/>
      </w:r>
      <w:r>
        <w:t xml:space="preserve"> One of the key changes the </w:t>
      </w:r>
      <w:r w:rsidRPr="005A5BF4">
        <w:t>Oversight Committee</w:t>
      </w:r>
      <w:r w:rsidDel="00C105AD">
        <w:t xml:space="preserve"> </w:t>
      </w:r>
      <w:r>
        <w:t xml:space="preserve">made in 2016 was </w:t>
      </w:r>
      <w:bookmarkStart w:id="4" w:name="_Hlk190089472"/>
      <w:r>
        <w:t>to make it easier to process HCSS audit reports through an electronic database – the</w:t>
      </w:r>
      <w:r w:rsidRPr="00425112">
        <w:t xml:space="preserve"> </w:t>
      </w:r>
      <w:r w:rsidRPr="00BF3283">
        <w:t>Provider Regulation and Monitoring System (PRMS</w:t>
      </w:r>
      <w:r w:rsidRPr="0069613F">
        <w:t>)</w:t>
      </w:r>
      <w:r>
        <w:rPr>
          <w:i/>
        </w:rPr>
        <w:t xml:space="preserve">. </w:t>
      </w:r>
      <w:bookmarkEnd w:id="4"/>
      <w:r>
        <w:t>Using the PRMS will make it possible to identify national trends in audit outcomes across HCSS providers with a view to developing quality improvement initiatives with the sector.</w:t>
      </w:r>
    </w:p>
    <w:p w14:paraId="77886D01" w14:textId="77777777" w:rsidR="001B756E" w:rsidRDefault="001B756E" w:rsidP="001B756E"/>
    <w:p w14:paraId="47CAB214" w14:textId="77777777" w:rsidR="001B756E" w:rsidRDefault="001B756E" w:rsidP="001B756E">
      <w:r>
        <w:t xml:space="preserve">This is a revision of the 2012 document </w:t>
      </w:r>
      <w:r>
        <w:rPr>
          <w:i/>
        </w:rPr>
        <w:t>Auditing Requirements: Home and Community Support Sector Standard NZS 8158</w:t>
      </w:r>
      <w:r>
        <w:t xml:space="preserve">. It </w:t>
      </w:r>
      <w:r w:rsidRPr="00B95A71">
        <w:t xml:space="preserve">is designed to assist </w:t>
      </w:r>
      <w:r>
        <w:t>c</w:t>
      </w:r>
      <w:r w:rsidRPr="00B95A71">
        <w:t xml:space="preserve">onformity </w:t>
      </w:r>
      <w:r>
        <w:t>a</w:t>
      </w:r>
      <w:r w:rsidRPr="00B95A71">
        <w:t xml:space="preserve">ssessment </w:t>
      </w:r>
      <w:r>
        <w:t>b</w:t>
      </w:r>
      <w:r w:rsidRPr="00B95A71">
        <w:t xml:space="preserve">odies conduct </w:t>
      </w:r>
      <w:r>
        <w:t>c</w:t>
      </w:r>
      <w:r w:rsidRPr="00B95A71">
        <w:t xml:space="preserve">ertification audits of HCSS service providers. The audit requirements for certification are set out in </w:t>
      </w:r>
      <w:proofErr w:type="spellStart"/>
      <w:r w:rsidRPr="00B95A71">
        <w:t>Ngā</w:t>
      </w:r>
      <w:proofErr w:type="spellEnd"/>
      <w:r w:rsidRPr="00B95A71">
        <w:t> </w:t>
      </w:r>
      <w:proofErr w:type="spellStart"/>
      <w:r>
        <w:t>P</w:t>
      </w:r>
      <w:r w:rsidRPr="00B95A71">
        <w:t>aerewa</w:t>
      </w:r>
      <w:proofErr w:type="spellEnd"/>
      <w:r w:rsidRPr="00B95A71">
        <w:t xml:space="preserve">. The specific focus of this document is to facilitate consistent delivery of certified </w:t>
      </w:r>
      <w:r>
        <w:t xml:space="preserve">HCSS </w:t>
      </w:r>
      <w:r w:rsidRPr="00B95A71">
        <w:t>across Aotearoa.</w:t>
      </w:r>
    </w:p>
    <w:p w14:paraId="461E86B3" w14:textId="77777777" w:rsidR="001B756E" w:rsidRPr="00B95A71" w:rsidRDefault="001B756E" w:rsidP="001B756E"/>
    <w:p w14:paraId="1C226E46" w14:textId="77777777" w:rsidR="001B756E" w:rsidRPr="007125CA" w:rsidRDefault="001B756E" w:rsidP="001B756E">
      <w:r>
        <w:t>The Oversight Committee will determine and agree any changes to the auditing requirements in consultation with stakeholders, and will be responsible for amending this document.</w:t>
      </w:r>
    </w:p>
    <w:p w14:paraId="6FED46D3" w14:textId="77777777" w:rsidR="001B756E" w:rsidRDefault="001B756E" w:rsidP="001B756E"/>
    <w:p w14:paraId="7CC2ECDB" w14:textId="77777777" w:rsidR="001B756E" w:rsidRDefault="001B756E" w:rsidP="001B756E">
      <w:r>
        <w:t>In 2021, the Ministry of Health reviewed the potential to regulate HCSSs under the Health and Disability Services (Safety) Act 2001. Following consultation with stakeholders and extensive review, it was decided not to regulate HCSSs but instead to strengthen the mechanisms for quality assurance within the existing certification scheme. The Ministry of Health intends to review the possibility of regulation in the future.</w:t>
      </w:r>
    </w:p>
    <w:p w14:paraId="174E4C37" w14:textId="77777777" w:rsidR="003206EB" w:rsidRDefault="003206EB" w:rsidP="00BA0140">
      <w:pPr>
        <w:pStyle w:val="IntroHead"/>
        <w:sectPr w:rsidR="003206EB" w:rsidSect="007A5116">
          <w:headerReference w:type="default" r:id="rId18"/>
          <w:footerReference w:type="even" r:id="rId19"/>
          <w:pgSz w:w="11907" w:h="16840" w:code="9"/>
          <w:pgMar w:top="1418" w:right="1418" w:bottom="1418" w:left="1418" w:header="709" w:footer="709" w:gutter="567"/>
          <w:pgNumType w:fmt="lowerRoman"/>
          <w:cols w:space="720"/>
          <w:vAlign w:val="center"/>
        </w:sectPr>
      </w:pPr>
    </w:p>
    <w:p w14:paraId="31CEA56F" w14:textId="138E2879" w:rsidR="00C86248" w:rsidRDefault="00C86248" w:rsidP="00BA0140">
      <w:pPr>
        <w:pStyle w:val="IntroHead"/>
      </w:pPr>
      <w:r>
        <w:lastRenderedPageBreak/>
        <w:t>Contents</w:t>
      </w:r>
      <w:bookmarkEnd w:id="0"/>
      <w:bookmarkEnd w:id="1"/>
    </w:p>
    <w:p w14:paraId="5B6CB2CC" w14:textId="1159E1A9" w:rsidR="007A5116" w:rsidRDefault="00F4393F">
      <w:pPr>
        <w:pStyle w:val="TOC1"/>
        <w:rPr>
          <w:rFonts w:asciiTheme="minorHAnsi" w:eastAsiaTheme="minorEastAsia" w:hAnsiTheme="minorHAnsi" w:cstheme="minorBidi"/>
          <w:b w:val="0"/>
          <w:noProof/>
          <w:kern w:val="2"/>
          <w:sz w:val="24"/>
          <w:szCs w:val="24"/>
          <w:lang w:val="en-AU" w:eastAsia="en-AU"/>
          <w14:ligatures w14:val="standardContextual"/>
        </w:rPr>
      </w:pPr>
      <w:r>
        <w:rPr>
          <w:b w:val="0"/>
          <w:sz w:val="24"/>
        </w:rPr>
        <w:fldChar w:fldCharType="begin"/>
      </w:r>
      <w:r>
        <w:rPr>
          <w:b w:val="0"/>
          <w:sz w:val="24"/>
        </w:rPr>
        <w:instrText xml:space="preserve"> TOC \o "1-2" \h \z </w:instrText>
      </w:r>
      <w:r>
        <w:rPr>
          <w:b w:val="0"/>
          <w:sz w:val="24"/>
        </w:rPr>
        <w:fldChar w:fldCharType="separate"/>
      </w:r>
      <w:hyperlink w:anchor="_Toc209590442" w:history="1">
        <w:r w:rsidR="007A5116" w:rsidRPr="005254D2">
          <w:rPr>
            <w:rStyle w:val="Hyperlink"/>
            <w:noProof/>
          </w:rPr>
          <w:t>Preface</w:t>
        </w:r>
        <w:r w:rsidR="007A5116">
          <w:rPr>
            <w:noProof/>
            <w:webHidden/>
          </w:rPr>
          <w:tab/>
        </w:r>
        <w:r w:rsidR="007A5116">
          <w:rPr>
            <w:noProof/>
            <w:webHidden/>
          </w:rPr>
          <w:fldChar w:fldCharType="begin"/>
        </w:r>
        <w:r w:rsidR="007A5116">
          <w:rPr>
            <w:noProof/>
            <w:webHidden/>
          </w:rPr>
          <w:instrText xml:space="preserve"> PAGEREF _Toc209590442 \h </w:instrText>
        </w:r>
        <w:r w:rsidR="007A5116">
          <w:rPr>
            <w:noProof/>
            <w:webHidden/>
          </w:rPr>
        </w:r>
        <w:r w:rsidR="007A5116">
          <w:rPr>
            <w:noProof/>
            <w:webHidden/>
          </w:rPr>
          <w:fldChar w:fldCharType="separate"/>
        </w:r>
        <w:r w:rsidR="00747CE8">
          <w:rPr>
            <w:noProof/>
            <w:webHidden/>
          </w:rPr>
          <w:t>iv</w:t>
        </w:r>
        <w:r w:rsidR="007A5116">
          <w:rPr>
            <w:noProof/>
            <w:webHidden/>
          </w:rPr>
          <w:fldChar w:fldCharType="end"/>
        </w:r>
      </w:hyperlink>
    </w:p>
    <w:p w14:paraId="74141EB6" w14:textId="3ACA12EC" w:rsidR="007A5116" w:rsidRDefault="007A5116">
      <w:pPr>
        <w:pStyle w:val="TOC1"/>
        <w:tabs>
          <w:tab w:val="left" w:pos="567"/>
        </w:tabs>
        <w:rPr>
          <w:rFonts w:asciiTheme="minorHAnsi" w:eastAsiaTheme="minorEastAsia" w:hAnsiTheme="minorHAnsi" w:cstheme="minorBidi"/>
          <w:b w:val="0"/>
          <w:noProof/>
          <w:kern w:val="2"/>
          <w:sz w:val="24"/>
          <w:szCs w:val="24"/>
          <w:lang w:val="en-AU" w:eastAsia="en-AU"/>
          <w14:ligatures w14:val="standardContextual"/>
        </w:rPr>
      </w:pPr>
      <w:hyperlink w:anchor="_Toc209590443" w:history="1">
        <w:r w:rsidRPr="005254D2">
          <w:rPr>
            <w:rStyle w:val="Hyperlink"/>
            <w:noProof/>
          </w:rPr>
          <w:t>1</w:t>
        </w:r>
        <w:r>
          <w:rPr>
            <w:rFonts w:asciiTheme="minorHAnsi" w:eastAsiaTheme="minorEastAsia" w:hAnsiTheme="minorHAnsi" w:cstheme="minorBidi"/>
            <w:b w:val="0"/>
            <w:noProof/>
            <w:kern w:val="2"/>
            <w:sz w:val="24"/>
            <w:szCs w:val="24"/>
            <w:lang w:val="en-AU" w:eastAsia="en-AU"/>
            <w14:ligatures w14:val="standardContextual"/>
          </w:rPr>
          <w:tab/>
        </w:r>
        <w:r w:rsidRPr="005254D2">
          <w:rPr>
            <w:rStyle w:val="Hyperlink"/>
            <w:noProof/>
          </w:rPr>
          <w:t>Introduction</w:t>
        </w:r>
        <w:r>
          <w:rPr>
            <w:noProof/>
            <w:webHidden/>
          </w:rPr>
          <w:tab/>
        </w:r>
        <w:r>
          <w:rPr>
            <w:noProof/>
            <w:webHidden/>
          </w:rPr>
          <w:fldChar w:fldCharType="begin"/>
        </w:r>
        <w:r>
          <w:rPr>
            <w:noProof/>
            <w:webHidden/>
          </w:rPr>
          <w:instrText xml:space="preserve"> PAGEREF _Toc209590443 \h </w:instrText>
        </w:r>
        <w:r>
          <w:rPr>
            <w:noProof/>
            <w:webHidden/>
          </w:rPr>
        </w:r>
        <w:r>
          <w:rPr>
            <w:noProof/>
            <w:webHidden/>
          </w:rPr>
          <w:fldChar w:fldCharType="separate"/>
        </w:r>
        <w:r w:rsidR="00747CE8">
          <w:rPr>
            <w:noProof/>
            <w:webHidden/>
          </w:rPr>
          <w:t>1</w:t>
        </w:r>
        <w:r>
          <w:rPr>
            <w:noProof/>
            <w:webHidden/>
          </w:rPr>
          <w:fldChar w:fldCharType="end"/>
        </w:r>
      </w:hyperlink>
    </w:p>
    <w:p w14:paraId="42EB2DD1" w14:textId="66815B94"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44" w:history="1">
        <w:r w:rsidRPr="005254D2">
          <w:rPr>
            <w:rStyle w:val="Hyperlink"/>
            <w:rFonts w:eastAsia="Arial"/>
            <w:noProof/>
          </w:rPr>
          <w:t>1.1</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Oversight Committee</w:t>
        </w:r>
        <w:r>
          <w:rPr>
            <w:noProof/>
            <w:webHidden/>
          </w:rPr>
          <w:tab/>
        </w:r>
        <w:r>
          <w:rPr>
            <w:noProof/>
            <w:webHidden/>
          </w:rPr>
          <w:fldChar w:fldCharType="begin"/>
        </w:r>
        <w:r>
          <w:rPr>
            <w:noProof/>
            <w:webHidden/>
          </w:rPr>
          <w:instrText xml:space="preserve"> PAGEREF _Toc209590444 \h </w:instrText>
        </w:r>
        <w:r>
          <w:rPr>
            <w:noProof/>
            <w:webHidden/>
          </w:rPr>
        </w:r>
        <w:r>
          <w:rPr>
            <w:noProof/>
            <w:webHidden/>
          </w:rPr>
          <w:fldChar w:fldCharType="separate"/>
        </w:r>
        <w:r w:rsidR="00747CE8">
          <w:rPr>
            <w:noProof/>
            <w:webHidden/>
          </w:rPr>
          <w:t>1</w:t>
        </w:r>
        <w:r>
          <w:rPr>
            <w:noProof/>
            <w:webHidden/>
          </w:rPr>
          <w:fldChar w:fldCharType="end"/>
        </w:r>
      </w:hyperlink>
    </w:p>
    <w:p w14:paraId="534994F3" w14:textId="0B7600AC"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45" w:history="1">
        <w:r w:rsidRPr="005254D2">
          <w:rPr>
            <w:rStyle w:val="Hyperlink"/>
            <w:rFonts w:eastAsia="Arial"/>
            <w:noProof/>
          </w:rPr>
          <w:t>1.2</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Independent Assessment Committee</w:t>
        </w:r>
        <w:r>
          <w:rPr>
            <w:noProof/>
            <w:webHidden/>
          </w:rPr>
          <w:tab/>
        </w:r>
        <w:r>
          <w:rPr>
            <w:noProof/>
            <w:webHidden/>
          </w:rPr>
          <w:fldChar w:fldCharType="begin"/>
        </w:r>
        <w:r>
          <w:rPr>
            <w:noProof/>
            <w:webHidden/>
          </w:rPr>
          <w:instrText xml:space="preserve"> PAGEREF _Toc209590445 \h </w:instrText>
        </w:r>
        <w:r>
          <w:rPr>
            <w:noProof/>
            <w:webHidden/>
          </w:rPr>
        </w:r>
        <w:r>
          <w:rPr>
            <w:noProof/>
            <w:webHidden/>
          </w:rPr>
          <w:fldChar w:fldCharType="separate"/>
        </w:r>
        <w:r w:rsidR="00747CE8">
          <w:rPr>
            <w:noProof/>
            <w:webHidden/>
          </w:rPr>
          <w:t>1</w:t>
        </w:r>
        <w:r>
          <w:rPr>
            <w:noProof/>
            <w:webHidden/>
          </w:rPr>
          <w:fldChar w:fldCharType="end"/>
        </w:r>
      </w:hyperlink>
    </w:p>
    <w:p w14:paraId="48E408F1" w14:textId="4D3D533A"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46" w:history="1">
        <w:r w:rsidRPr="005254D2">
          <w:rPr>
            <w:rStyle w:val="Hyperlink"/>
            <w:rFonts w:eastAsia="Arial"/>
            <w:noProof/>
          </w:rPr>
          <w:t>1.3</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HealthCERT</w:t>
        </w:r>
        <w:r>
          <w:rPr>
            <w:noProof/>
            <w:webHidden/>
          </w:rPr>
          <w:tab/>
        </w:r>
        <w:r>
          <w:rPr>
            <w:noProof/>
            <w:webHidden/>
          </w:rPr>
          <w:fldChar w:fldCharType="begin"/>
        </w:r>
        <w:r>
          <w:rPr>
            <w:noProof/>
            <w:webHidden/>
          </w:rPr>
          <w:instrText xml:space="preserve"> PAGEREF _Toc209590446 \h </w:instrText>
        </w:r>
        <w:r>
          <w:rPr>
            <w:noProof/>
            <w:webHidden/>
          </w:rPr>
        </w:r>
        <w:r>
          <w:rPr>
            <w:noProof/>
            <w:webHidden/>
          </w:rPr>
          <w:fldChar w:fldCharType="separate"/>
        </w:r>
        <w:r w:rsidR="00747CE8">
          <w:rPr>
            <w:noProof/>
            <w:webHidden/>
          </w:rPr>
          <w:t>2</w:t>
        </w:r>
        <w:r>
          <w:rPr>
            <w:noProof/>
            <w:webHidden/>
          </w:rPr>
          <w:fldChar w:fldCharType="end"/>
        </w:r>
      </w:hyperlink>
    </w:p>
    <w:p w14:paraId="6F37D725" w14:textId="7D0E87C3" w:rsidR="007A5116" w:rsidRDefault="007A5116">
      <w:pPr>
        <w:pStyle w:val="TOC1"/>
        <w:tabs>
          <w:tab w:val="left" w:pos="567"/>
        </w:tabs>
        <w:rPr>
          <w:rFonts w:asciiTheme="minorHAnsi" w:eastAsiaTheme="minorEastAsia" w:hAnsiTheme="minorHAnsi" w:cstheme="minorBidi"/>
          <w:b w:val="0"/>
          <w:noProof/>
          <w:kern w:val="2"/>
          <w:sz w:val="24"/>
          <w:szCs w:val="24"/>
          <w:lang w:val="en-AU" w:eastAsia="en-AU"/>
          <w14:ligatures w14:val="standardContextual"/>
        </w:rPr>
      </w:pPr>
      <w:hyperlink w:anchor="_Toc209590447" w:history="1">
        <w:r w:rsidRPr="005254D2">
          <w:rPr>
            <w:rStyle w:val="Hyperlink"/>
            <w:noProof/>
          </w:rPr>
          <w:t>2.</w:t>
        </w:r>
        <w:r>
          <w:rPr>
            <w:rFonts w:asciiTheme="minorHAnsi" w:eastAsiaTheme="minorEastAsia" w:hAnsiTheme="minorHAnsi" w:cstheme="minorBidi"/>
            <w:b w:val="0"/>
            <w:noProof/>
            <w:kern w:val="2"/>
            <w:sz w:val="24"/>
            <w:szCs w:val="24"/>
            <w:lang w:val="en-AU" w:eastAsia="en-AU"/>
            <w14:ligatures w14:val="standardContextual"/>
          </w:rPr>
          <w:tab/>
        </w:r>
        <w:r w:rsidRPr="005254D2">
          <w:rPr>
            <w:rStyle w:val="Hyperlink"/>
            <w:noProof/>
          </w:rPr>
          <w:t>Conformity assessment bodies</w:t>
        </w:r>
        <w:r>
          <w:rPr>
            <w:noProof/>
            <w:webHidden/>
          </w:rPr>
          <w:tab/>
        </w:r>
        <w:r>
          <w:rPr>
            <w:noProof/>
            <w:webHidden/>
          </w:rPr>
          <w:fldChar w:fldCharType="begin"/>
        </w:r>
        <w:r>
          <w:rPr>
            <w:noProof/>
            <w:webHidden/>
          </w:rPr>
          <w:instrText xml:space="preserve"> PAGEREF _Toc209590447 \h </w:instrText>
        </w:r>
        <w:r>
          <w:rPr>
            <w:noProof/>
            <w:webHidden/>
          </w:rPr>
        </w:r>
        <w:r>
          <w:rPr>
            <w:noProof/>
            <w:webHidden/>
          </w:rPr>
          <w:fldChar w:fldCharType="separate"/>
        </w:r>
        <w:r w:rsidR="00747CE8">
          <w:rPr>
            <w:noProof/>
            <w:webHidden/>
          </w:rPr>
          <w:t>3</w:t>
        </w:r>
        <w:r>
          <w:rPr>
            <w:noProof/>
            <w:webHidden/>
          </w:rPr>
          <w:fldChar w:fldCharType="end"/>
        </w:r>
      </w:hyperlink>
    </w:p>
    <w:p w14:paraId="4C459F3A" w14:textId="5F337FA8"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48" w:history="1">
        <w:r w:rsidRPr="005254D2">
          <w:rPr>
            <w:rStyle w:val="Hyperlink"/>
            <w:rFonts w:eastAsia="Arial"/>
            <w:noProof/>
          </w:rPr>
          <w:t>2.1</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Approved conformity assessment bodies</w:t>
        </w:r>
        <w:r>
          <w:rPr>
            <w:noProof/>
            <w:webHidden/>
          </w:rPr>
          <w:tab/>
        </w:r>
        <w:r>
          <w:rPr>
            <w:noProof/>
            <w:webHidden/>
          </w:rPr>
          <w:fldChar w:fldCharType="begin"/>
        </w:r>
        <w:r>
          <w:rPr>
            <w:noProof/>
            <w:webHidden/>
          </w:rPr>
          <w:instrText xml:space="preserve"> PAGEREF _Toc209590448 \h </w:instrText>
        </w:r>
        <w:r>
          <w:rPr>
            <w:noProof/>
            <w:webHidden/>
          </w:rPr>
        </w:r>
        <w:r>
          <w:rPr>
            <w:noProof/>
            <w:webHidden/>
          </w:rPr>
          <w:fldChar w:fldCharType="separate"/>
        </w:r>
        <w:r w:rsidR="00747CE8">
          <w:rPr>
            <w:noProof/>
            <w:webHidden/>
          </w:rPr>
          <w:t>3</w:t>
        </w:r>
        <w:r>
          <w:rPr>
            <w:noProof/>
            <w:webHidden/>
          </w:rPr>
          <w:fldChar w:fldCharType="end"/>
        </w:r>
      </w:hyperlink>
    </w:p>
    <w:p w14:paraId="25FA466B" w14:textId="262D527B"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49" w:history="1">
        <w:r w:rsidRPr="005254D2">
          <w:rPr>
            <w:rStyle w:val="Hyperlink"/>
            <w:rFonts w:eastAsia="Arial"/>
            <w:noProof/>
          </w:rPr>
          <w:t>2.2</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Responsibilities of a conformity assessment body</w:t>
        </w:r>
        <w:r>
          <w:rPr>
            <w:noProof/>
            <w:webHidden/>
          </w:rPr>
          <w:tab/>
        </w:r>
        <w:r>
          <w:rPr>
            <w:noProof/>
            <w:webHidden/>
          </w:rPr>
          <w:fldChar w:fldCharType="begin"/>
        </w:r>
        <w:r>
          <w:rPr>
            <w:noProof/>
            <w:webHidden/>
          </w:rPr>
          <w:instrText xml:space="preserve"> PAGEREF _Toc209590449 \h </w:instrText>
        </w:r>
        <w:r>
          <w:rPr>
            <w:noProof/>
            <w:webHidden/>
          </w:rPr>
        </w:r>
        <w:r>
          <w:rPr>
            <w:noProof/>
            <w:webHidden/>
          </w:rPr>
          <w:fldChar w:fldCharType="separate"/>
        </w:r>
        <w:r w:rsidR="00747CE8">
          <w:rPr>
            <w:noProof/>
            <w:webHidden/>
          </w:rPr>
          <w:t>4</w:t>
        </w:r>
        <w:r>
          <w:rPr>
            <w:noProof/>
            <w:webHidden/>
          </w:rPr>
          <w:fldChar w:fldCharType="end"/>
        </w:r>
      </w:hyperlink>
    </w:p>
    <w:p w14:paraId="0D6C4241" w14:textId="36089EF7"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50" w:history="1">
        <w:r w:rsidRPr="005254D2">
          <w:rPr>
            <w:rStyle w:val="Hyperlink"/>
            <w:rFonts w:eastAsia="Arial"/>
            <w:noProof/>
          </w:rPr>
          <w:t>2.3</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Audit teams</w:t>
        </w:r>
        <w:r>
          <w:rPr>
            <w:noProof/>
            <w:webHidden/>
          </w:rPr>
          <w:tab/>
        </w:r>
        <w:r>
          <w:rPr>
            <w:noProof/>
            <w:webHidden/>
          </w:rPr>
          <w:fldChar w:fldCharType="begin"/>
        </w:r>
        <w:r>
          <w:rPr>
            <w:noProof/>
            <w:webHidden/>
          </w:rPr>
          <w:instrText xml:space="preserve"> PAGEREF _Toc209590450 \h </w:instrText>
        </w:r>
        <w:r>
          <w:rPr>
            <w:noProof/>
            <w:webHidden/>
          </w:rPr>
        </w:r>
        <w:r>
          <w:rPr>
            <w:noProof/>
            <w:webHidden/>
          </w:rPr>
          <w:fldChar w:fldCharType="separate"/>
        </w:r>
        <w:r w:rsidR="00747CE8">
          <w:rPr>
            <w:noProof/>
            <w:webHidden/>
          </w:rPr>
          <w:t>5</w:t>
        </w:r>
        <w:r>
          <w:rPr>
            <w:noProof/>
            <w:webHidden/>
          </w:rPr>
          <w:fldChar w:fldCharType="end"/>
        </w:r>
      </w:hyperlink>
    </w:p>
    <w:p w14:paraId="0D3660C1" w14:textId="0F32E14F"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51" w:history="1">
        <w:r w:rsidRPr="005254D2">
          <w:rPr>
            <w:rStyle w:val="Hyperlink"/>
            <w:rFonts w:eastAsia="Arial"/>
            <w:noProof/>
          </w:rPr>
          <w:t>2.4</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Auditor days on site</w:t>
        </w:r>
        <w:r>
          <w:rPr>
            <w:noProof/>
            <w:webHidden/>
          </w:rPr>
          <w:tab/>
        </w:r>
        <w:r>
          <w:rPr>
            <w:noProof/>
            <w:webHidden/>
          </w:rPr>
          <w:fldChar w:fldCharType="begin"/>
        </w:r>
        <w:r>
          <w:rPr>
            <w:noProof/>
            <w:webHidden/>
          </w:rPr>
          <w:instrText xml:space="preserve"> PAGEREF _Toc209590451 \h </w:instrText>
        </w:r>
        <w:r>
          <w:rPr>
            <w:noProof/>
            <w:webHidden/>
          </w:rPr>
        </w:r>
        <w:r>
          <w:rPr>
            <w:noProof/>
            <w:webHidden/>
          </w:rPr>
          <w:fldChar w:fldCharType="separate"/>
        </w:r>
        <w:r w:rsidR="00747CE8">
          <w:rPr>
            <w:noProof/>
            <w:webHidden/>
          </w:rPr>
          <w:t>6</w:t>
        </w:r>
        <w:r>
          <w:rPr>
            <w:noProof/>
            <w:webHidden/>
          </w:rPr>
          <w:fldChar w:fldCharType="end"/>
        </w:r>
      </w:hyperlink>
    </w:p>
    <w:p w14:paraId="7A2A74DF" w14:textId="7591FAA1"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52" w:history="1">
        <w:r w:rsidRPr="005254D2">
          <w:rPr>
            <w:rStyle w:val="Hyperlink"/>
            <w:rFonts w:eastAsia="Arial"/>
            <w:noProof/>
          </w:rPr>
          <w:t>2.5</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Sampling methods</w:t>
        </w:r>
        <w:r>
          <w:rPr>
            <w:noProof/>
            <w:webHidden/>
          </w:rPr>
          <w:tab/>
        </w:r>
        <w:r>
          <w:rPr>
            <w:noProof/>
            <w:webHidden/>
          </w:rPr>
          <w:fldChar w:fldCharType="begin"/>
        </w:r>
        <w:r>
          <w:rPr>
            <w:noProof/>
            <w:webHidden/>
          </w:rPr>
          <w:instrText xml:space="preserve"> PAGEREF _Toc209590452 \h </w:instrText>
        </w:r>
        <w:r>
          <w:rPr>
            <w:noProof/>
            <w:webHidden/>
          </w:rPr>
        </w:r>
        <w:r>
          <w:rPr>
            <w:noProof/>
            <w:webHidden/>
          </w:rPr>
          <w:fldChar w:fldCharType="separate"/>
        </w:r>
        <w:r w:rsidR="00747CE8">
          <w:rPr>
            <w:noProof/>
            <w:webHidden/>
          </w:rPr>
          <w:t>7</w:t>
        </w:r>
        <w:r>
          <w:rPr>
            <w:noProof/>
            <w:webHidden/>
          </w:rPr>
          <w:fldChar w:fldCharType="end"/>
        </w:r>
      </w:hyperlink>
    </w:p>
    <w:p w14:paraId="49D28805" w14:textId="13A7B817"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53" w:history="1">
        <w:r w:rsidRPr="005254D2">
          <w:rPr>
            <w:rStyle w:val="Hyperlink"/>
            <w:rFonts w:eastAsia="Arial"/>
            <w:noProof/>
          </w:rPr>
          <w:t>2.6</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Reporting requirements</w:t>
        </w:r>
        <w:r>
          <w:rPr>
            <w:noProof/>
            <w:webHidden/>
          </w:rPr>
          <w:tab/>
        </w:r>
        <w:r>
          <w:rPr>
            <w:noProof/>
            <w:webHidden/>
          </w:rPr>
          <w:fldChar w:fldCharType="begin"/>
        </w:r>
        <w:r>
          <w:rPr>
            <w:noProof/>
            <w:webHidden/>
          </w:rPr>
          <w:instrText xml:space="preserve"> PAGEREF _Toc209590453 \h </w:instrText>
        </w:r>
        <w:r>
          <w:rPr>
            <w:noProof/>
            <w:webHidden/>
          </w:rPr>
        </w:r>
        <w:r>
          <w:rPr>
            <w:noProof/>
            <w:webHidden/>
          </w:rPr>
          <w:fldChar w:fldCharType="separate"/>
        </w:r>
        <w:r w:rsidR="00747CE8">
          <w:rPr>
            <w:noProof/>
            <w:webHidden/>
          </w:rPr>
          <w:t>8</w:t>
        </w:r>
        <w:r>
          <w:rPr>
            <w:noProof/>
            <w:webHidden/>
          </w:rPr>
          <w:fldChar w:fldCharType="end"/>
        </w:r>
      </w:hyperlink>
    </w:p>
    <w:p w14:paraId="2CB90F25" w14:textId="61208E41"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54" w:history="1">
        <w:r w:rsidRPr="005254D2">
          <w:rPr>
            <w:rStyle w:val="Hyperlink"/>
            <w:rFonts w:eastAsia="Arial"/>
            <w:noProof/>
          </w:rPr>
          <w:t>2.7</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Audit costs</w:t>
        </w:r>
        <w:r>
          <w:rPr>
            <w:noProof/>
            <w:webHidden/>
          </w:rPr>
          <w:tab/>
        </w:r>
        <w:r>
          <w:rPr>
            <w:noProof/>
            <w:webHidden/>
          </w:rPr>
          <w:fldChar w:fldCharType="begin"/>
        </w:r>
        <w:r>
          <w:rPr>
            <w:noProof/>
            <w:webHidden/>
          </w:rPr>
          <w:instrText xml:space="preserve"> PAGEREF _Toc209590454 \h </w:instrText>
        </w:r>
        <w:r>
          <w:rPr>
            <w:noProof/>
            <w:webHidden/>
          </w:rPr>
        </w:r>
        <w:r>
          <w:rPr>
            <w:noProof/>
            <w:webHidden/>
          </w:rPr>
          <w:fldChar w:fldCharType="separate"/>
        </w:r>
        <w:r w:rsidR="00747CE8">
          <w:rPr>
            <w:noProof/>
            <w:webHidden/>
          </w:rPr>
          <w:t>9</w:t>
        </w:r>
        <w:r>
          <w:rPr>
            <w:noProof/>
            <w:webHidden/>
          </w:rPr>
          <w:fldChar w:fldCharType="end"/>
        </w:r>
      </w:hyperlink>
    </w:p>
    <w:p w14:paraId="5286C46C" w14:textId="0B6A3E13"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55" w:history="1">
        <w:r w:rsidRPr="005254D2">
          <w:rPr>
            <w:rStyle w:val="Hyperlink"/>
            <w:rFonts w:eastAsia="Arial"/>
            <w:noProof/>
          </w:rPr>
          <w:t>2.8</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Provider regulation and monitoring system</w:t>
        </w:r>
        <w:r>
          <w:rPr>
            <w:noProof/>
            <w:webHidden/>
          </w:rPr>
          <w:tab/>
        </w:r>
        <w:r>
          <w:rPr>
            <w:noProof/>
            <w:webHidden/>
          </w:rPr>
          <w:fldChar w:fldCharType="begin"/>
        </w:r>
        <w:r>
          <w:rPr>
            <w:noProof/>
            <w:webHidden/>
          </w:rPr>
          <w:instrText xml:space="preserve"> PAGEREF _Toc209590455 \h </w:instrText>
        </w:r>
        <w:r>
          <w:rPr>
            <w:noProof/>
            <w:webHidden/>
          </w:rPr>
        </w:r>
        <w:r>
          <w:rPr>
            <w:noProof/>
            <w:webHidden/>
          </w:rPr>
          <w:fldChar w:fldCharType="separate"/>
        </w:r>
        <w:r w:rsidR="00747CE8">
          <w:rPr>
            <w:noProof/>
            <w:webHidden/>
          </w:rPr>
          <w:t>10</w:t>
        </w:r>
        <w:r>
          <w:rPr>
            <w:noProof/>
            <w:webHidden/>
          </w:rPr>
          <w:fldChar w:fldCharType="end"/>
        </w:r>
      </w:hyperlink>
    </w:p>
    <w:p w14:paraId="172A561A" w14:textId="653E75FB" w:rsidR="007A5116" w:rsidRDefault="007A5116">
      <w:pPr>
        <w:pStyle w:val="TOC1"/>
        <w:tabs>
          <w:tab w:val="left" w:pos="567"/>
        </w:tabs>
        <w:rPr>
          <w:rFonts w:asciiTheme="minorHAnsi" w:eastAsiaTheme="minorEastAsia" w:hAnsiTheme="minorHAnsi" w:cstheme="minorBidi"/>
          <w:b w:val="0"/>
          <w:noProof/>
          <w:kern w:val="2"/>
          <w:sz w:val="24"/>
          <w:szCs w:val="24"/>
          <w:lang w:val="en-AU" w:eastAsia="en-AU"/>
          <w14:ligatures w14:val="standardContextual"/>
        </w:rPr>
      </w:pPr>
      <w:hyperlink w:anchor="_Toc209590456" w:history="1">
        <w:r w:rsidRPr="005254D2">
          <w:rPr>
            <w:rStyle w:val="Hyperlink"/>
            <w:noProof/>
          </w:rPr>
          <w:t>3.</w:t>
        </w:r>
        <w:r>
          <w:rPr>
            <w:rFonts w:asciiTheme="minorHAnsi" w:eastAsiaTheme="minorEastAsia" w:hAnsiTheme="minorHAnsi" w:cstheme="minorBidi"/>
            <w:b w:val="0"/>
            <w:noProof/>
            <w:kern w:val="2"/>
            <w:sz w:val="24"/>
            <w:szCs w:val="24"/>
            <w:lang w:val="en-AU" w:eastAsia="en-AU"/>
            <w14:ligatures w14:val="standardContextual"/>
          </w:rPr>
          <w:tab/>
        </w:r>
        <w:r w:rsidRPr="005254D2">
          <w:rPr>
            <w:rStyle w:val="Hyperlink"/>
            <w:noProof/>
          </w:rPr>
          <w:t>Audit</w:t>
        </w:r>
        <w:r>
          <w:rPr>
            <w:noProof/>
            <w:webHidden/>
          </w:rPr>
          <w:tab/>
        </w:r>
        <w:r>
          <w:rPr>
            <w:noProof/>
            <w:webHidden/>
          </w:rPr>
          <w:fldChar w:fldCharType="begin"/>
        </w:r>
        <w:r>
          <w:rPr>
            <w:noProof/>
            <w:webHidden/>
          </w:rPr>
          <w:instrText xml:space="preserve"> PAGEREF _Toc209590456 \h </w:instrText>
        </w:r>
        <w:r>
          <w:rPr>
            <w:noProof/>
            <w:webHidden/>
          </w:rPr>
        </w:r>
        <w:r>
          <w:rPr>
            <w:noProof/>
            <w:webHidden/>
          </w:rPr>
          <w:fldChar w:fldCharType="separate"/>
        </w:r>
        <w:r w:rsidR="00747CE8">
          <w:rPr>
            <w:noProof/>
            <w:webHidden/>
          </w:rPr>
          <w:t>11</w:t>
        </w:r>
        <w:r>
          <w:rPr>
            <w:noProof/>
            <w:webHidden/>
          </w:rPr>
          <w:fldChar w:fldCharType="end"/>
        </w:r>
      </w:hyperlink>
    </w:p>
    <w:p w14:paraId="4E35E861" w14:textId="606F04BA"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57" w:history="1">
        <w:r w:rsidRPr="005254D2">
          <w:rPr>
            <w:rStyle w:val="Hyperlink"/>
            <w:rFonts w:eastAsia="Arial"/>
            <w:noProof/>
          </w:rPr>
          <w:t>3.1</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Attainment level</w:t>
        </w:r>
        <w:r>
          <w:rPr>
            <w:noProof/>
            <w:webHidden/>
          </w:rPr>
          <w:tab/>
        </w:r>
        <w:r>
          <w:rPr>
            <w:noProof/>
            <w:webHidden/>
          </w:rPr>
          <w:fldChar w:fldCharType="begin"/>
        </w:r>
        <w:r>
          <w:rPr>
            <w:noProof/>
            <w:webHidden/>
          </w:rPr>
          <w:instrText xml:space="preserve"> PAGEREF _Toc209590457 \h </w:instrText>
        </w:r>
        <w:r>
          <w:rPr>
            <w:noProof/>
            <w:webHidden/>
          </w:rPr>
        </w:r>
        <w:r>
          <w:rPr>
            <w:noProof/>
            <w:webHidden/>
          </w:rPr>
          <w:fldChar w:fldCharType="separate"/>
        </w:r>
        <w:r w:rsidR="00747CE8">
          <w:rPr>
            <w:noProof/>
            <w:webHidden/>
          </w:rPr>
          <w:t>14</w:t>
        </w:r>
        <w:r>
          <w:rPr>
            <w:noProof/>
            <w:webHidden/>
          </w:rPr>
          <w:fldChar w:fldCharType="end"/>
        </w:r>
      </w:hyperlink>
    </w:p>
    <w:p w14:paraId="0520AF47" w14:textId="31CBB528"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58" w:history="1">
        <w:r w:rsidRPr="005254D2">
          <w:rPr>
            <w:rStyle w:val="Hyperlink"/>
            <w:rFonts w:eastAsia="Arial"/>
            <w:noProof/>
          </w:rPr>
          <w:t>3.2</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Evaluation methods</w:t>
        </w:r>
        <w:r>
          <w:rPr>
            <w:noProof/>
            <w:webHidden/>
          </w:rPr>
          <w:tab/>
        </w:r>
        <w:r>
          <w:rPr>
            <w:noProof/>
            <w:webHidden/>
          </w:rPr>
          <w:fldChar w:fldCharType="begin"/>
        </w:r>
        <w:r>
          <w:rPr>
            <w:noProof/>
            <w:webHidden/>
          </w:rPr>
          <w:instrText xml:space="preserve"> PAGEREF _Toc209590458 \h </w:instrText>
        </w:r>
        <w:r>
          <w:rPr>
            <w:noProof/>
            <w:webHidden/>
          </w:rPr>
        </w:r>
        <w:r>
          <w:rPr>
            <w:noProof/>
            <w:webHidden/>
          </w:rPr>
          <w:fldChar w:fldCharType="separate"/>
        </w:r>
        <w:r w:rsidR="00747CE8">
          <w:rPr>
            <w:noProof/>
            <w:webHidden/>
          </w:rPr>
          <w:t>14</w:t>
        </w:r>
        <w:r>
          <w:rPr>
            <w:noProof/>
            <w:webHidden/>
          </w:rPr>
          <w:fldChar w:fldCharType="end"/>
        </w:r>
      </w:hyperlink>
    </w:p>
    <w:p w14:paraId="51F0E8B2" w14:textId="44147483"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59" w:history="1">
        <w:r w:rsidRPr="005254D2">
          <w:rPr>
            <w:rStyle w:val="Hyperlink"/>
            <w:rFonts w:eastAsia="Arial"/>
            <w:noProof/>
          </w:rPr>
          <w:t>3.3</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Risk management</w:t>
        </w:r>
        <w:r>
          <w:rPr>
            <w:noProof/>
            <w:webHidden/>
          </w:rPr>
          <w:tab/>
        </w:r>
        <w:r>
          <w:rPr>
            <w:noProof/>
            <w:webHidden/>
          </w:rPr>
          <w:fldChar w:fldCharType="begin"/>
        </w:r>
        <w:r>
          <w:rPr>
            <w:noProof/>
            <w:webHidden/>
          </w:rPr>
          <w:instrText xml:space="preserve"> PAGEREF _Toc209590459 \h </w:instrText>
        </w:r>
        <w:r>
          <w:rPr>
            <w:noProof/>
            <w:webHidden/>
          </w:rPr>
        </w:r>
        <w:r>
          <w:rPr>
            <w:noProof/>
            <w:webHidden/>
          </w:rPr>
          <w:fldChar w:fldCharType="separate"/>
        </w:r>
        <w:r w:rsidR="00747CE8">
          <w:rPr>
            <w:noProof/>
            <w:webHidden/>
          </w:rPr>
          <w:t>14</w:t>
        </w:r>
        <w:r>
          <w:rPr>
            <w:noProof/>
            <w:webHidden/>
          </w:rPr>
          <w:fldChar w:fldCharType="end"/>
        </w:r>
      </w:hyperlink>
    </w:p>
    <w:p w14:paraId="221BCD75" w14:textId="64127748" w:rsidR="007A5116" w:rsidRDefault="007A5116">
      <w:pPr>
        <w:pStyle w:val="TOC1"/>
        <w:tabs>
          <w:tab w:val="left" w:pos="567"/>
        </w:tabs>
        <w:rPr>
          <w:rFonts w:asciiTheme="minorHAnsi" w:eastAsiaTheme="minorEastAsia" w:hAnsiTheme="minorHAnsi" w:cstheme="minorBidi"/>
          <w:b w:val="0"/>
          <w:noProof/>
          <w:kern w:val="2"/>
          <w:sz w:val="24"/>
          <w:szCs w:val="24"/>
          <w:lang w:val="en-AU" w:eastAsia="en-AU"/>
          <w14:ligatures w14:val="standardContextual"/>
        </w:rPr>
      </w:pPr>
      <w:hyperlink w:anchor="_Toc209590460" w:history="1">
        <w:r w:rsidRPr="005254D2">
          <w:rPr>
            <w:rStyle w:val="Hyperlink"/>
            <w:noProof/>
          </w:rPr>
          <w:t>4.</w:t>
        </w:r>
        <w:r>
          <w:rPr>
            <w:rFonts w:asciiTheme="minorHAnsi" w:eastAsiaTheme="minorEastAsia" w:hAnsiTheme="minorHAnsi" w:cstheme="minorBidi"/>
            <w:b w:val="0"/>
            <w:noProof/>
            <w:kern w:val="2"/>
            <w:sz w:val="24"/>
            <w:szCs w:val="24"/>
            <w:lang w:val="en-AU" w:eastAsia="en-AU"/>
            <w14:ligatures w14:val="standardContextual"/>
          </w:rPr>
          <w:tab/>
        </w:r>
        <w:r w:rsidRPr="005254D2">
          <w:rPr>
            <w:rStyle w:val="Hyperlink"/>
            <w:noProof/>
          </w:rPr>
          <w:t>Certification</w:t>
        </w:r>
        <w:r>
          <w:rPr>
            <w:noProof/>
            <w:webHidden/>
          </w:rPr>
          <w:tab/>
        </w:r>
        <w:r>
          <w:rPr>
            <w:noProof/>
            <w:webHidden/>
          </w:rPr>
          <w:fldChar w:fldCharType="begin"/>
        </w:r>
        <w:r>
          <w:rPr>
            <w:noProof/>
            <w:webHidden/>
          </w:rPr>
          <w:instrText xml:space="preserve"> PAGEREF _Toc209590460 \h </w:instrText>
        </w:r>
        <w:r>
          <w:rPr>
            <w:noProof/>
            <w:webHidden/>
          </w:rPr>
        </w:r>
        <w:r>
          <w:rPr>
            <w:noProof/>
            <w:webHidden/>
          </w:rPr>
          <w:fldChar w:fldCharType="separate"/>
        </w:r>
        <w:r w:rsidR="00747CE8">
          <w:rPr>
            <w:noProof/>
            <w:webHidden/>
          </w:rPr>
          <w:t>17</w:t>
        </w:r>
        <w:r>
          <w:rPr>
            <w:noProof/>
            <w:webHidden/>
          </w:rPr>
          <w:fldChar w:fldCharType="end"/>
        </w:r>
      </w:hyperlink>
    </w:p>
    <w:p w14:paraId="1FA5BE59" w14:textId="77B3B07D"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61" w:history="1">
        <w:r w:rsidRPr="005254D2">
          <w:rPr>
            <w:rStyle w:val="Hyperlink"/>
            <w:rFonts w:eastAsia="Arial"/>
            <w:noProof/>
          </w:rPr>
          <w:t>4.1</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Certification period</w:t>
        </w:r>
        <w:r>
          <w:rPr>
            <w:noProof/>
            <w:webHidden/>
          </w:rPr>
          <w:tab/>
        </w:r>
        <w:r>
          <w:rPr>
            <w:noProof/>
            <w:webHidden/>
          </w:rPr>
          <w:fldChar w:fldCharType="begin"/>
        </w:r>
        <w:r>
          <w:rPr>
            <w:noProof/>
            <w:webHidden/>
          </w:rPr>
          <w:instrText xml:space="preserve"> PAGEREF _Toc209590461 \h </w:instrText>
        </w:r>
        <w:r>
          <w:rPr>
            <w:noProof/>
            <w:webHidden/>
          </w:rPr>
        </w:r>
        <w:r>
          <w:rPr>
            <w:noProof/>
            <w:webHidden/>
          </w:rPr>
          <w:fldChar w:fldCharType="separate"/>
        </w:r>
        <w:r w:rsidR="00747CE8">
          <w:rPr>
            <w:noProof/>
            <w:webHidden/>
          </w:rPr>
          <w:t>17</w:t>
        </w:r>
        <w:r>
          <w:rPr>
            <w:noProof/>
            <w:webHidden/>
          </w:rPr>
          <w:fldChar w:fldCharType="end"/>
        </w:r>
      </w:hyperlink>
    </w:p>
    <w:p w14:paraId="348422B1" w14:textId="1E618F95"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62" w:history="1">
        <w:r w:rsidRPr="005254D2">
          <w:rPr>
            <w:rStyle w:val="Hyperlink"/>
            <w:rFonts w:eastAsia="Arial"/>
            <w:noProof/>
          </w:rPr>
          <w:t>4.2</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Certification conditions</w:t>
        </w:r>
        <w:r>
          <w:rPr>
            <w:noProof/>
            <w:webHidden/>
          </w:rPr>
          <w:tab/>
        </w:r>
        <w:r>
          <w:rPr>
            <w:noProof/>
            <w:webHidden/>
          </w:rPr>
          <w:fldChar w:fldCharType="begin"/>
        </w:r>
        <w:r>
          <w:rPr>
            <w:noProof/>
            <w:webHidden/>
          </w:rPr>
          <w:instrText xml:space="preserve"> PAGEREF _Toc209590462 \h </w:instrText>
        </w:r>
        <w:r>
          <w:rPr>
            <w:noProof/>
            <w:webHidden/>
          </w:rPr>
        </w:r>
        <w:r>
          <w:rPr>
            <w:noProof/>
            <w:webHidden/>
          </w:rPr>
          <w:fldChar w:fldCharType="separate"/>
        </w:r>
        <w:r w:rsidR="00747CE8">
          <w:rPr>
            <w:noProof/>
            <w:webHidden/>
          </w:rPr>
          <w:t>17</w:t>
        </w:r>
        <w:r>
          <w:rPr>
            <w:noProof/>
            <w:webHidden/>
          </w:rPr>
          <w:fldChar w:fldCharType="end"/>
        </w:r>
      </w:hyperlink>
    </w:p>
    <w:p w14:paraId="4C33A948" w14:textId="3BB50240"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63" w:history="1">
        <w:r w:rsidRPr="005254D2">
          <w:rPr>
            <w:rStyle w:val="Hyperlink"/>
            <w:rFonts w:eastAsia="Arial"/>
            <w:noProof/>
          </w:rPr>
          <w:t>4.3</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Certification document</w:t>
        </w:r>
        <w:r>
          <w:rPr>
            <w:noProof/>
            <w:webHidden/>
          </w:rPr>
          <w:tab/>
        </w:r>
        <w:r>
          <w:rPr>
            <w:noProof/>
            <w:webHidden/>
          </w:rPr>
          <w:fldChar w:fldCharType="begin"/>
        </w:r>
        <w:r>
          <w:rPr>
            <w:noProof/>
            <w:webHidden/>
          </w:rPr>
          <w:instrText xml:space="preserve"> PAGEREF _Toc209590463 \h </w:instrText>
        </w:r>
        <w:r>
          <w:rPr>
            <w:noProof/>
            <w:webHidden/>
          </w:rPr>
        </w:r>
        <w:r>
          <w:rPr>
            <w:noProof/>
            <w:webHidden/>
          </w:rPr>
          <w:fldChar w:fldCharType="separate"/>
        </w:r>
        <w:r w:rsidR="00747CE8">
          <w:rPr>
            <w:noProof/>
            <w:webHidden/>
          </w:rPr>
          <w:t>17</w:t>
        </w:r>
        <w:r>
          <w:rPr>
            <w:noProof/>
            <w:webHidden/>
          </w:rPr>
          <w:fldChar w:fldCharType="end"/>
        </w:r>
      </w:hyperlink>
    </w:p>
    <w:p w14:paraId="74F205D8" w14:textId="45E6E1F0"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64" w:history="1">
        <w:r w:rsidRPr="005254D2">
          <w:rPr>
            <w:rStyle w:val="Hyperlink"/>
            <w:rFonts w:eastAsia="Arial"/>
            <w:noProof/>
          </w:rPr>
          <w:t>4.4</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Monitoring</w:t>
        </w:r>
        <w:r>
          <w:rPr>
            <w:noProof/>
            <w:webHidden/>
          </w:rPr>
          <w:tab/>
        </w:r>
        <w:r>
          <w:rPr>
            <w:noProof/>
            <w:webHidden/>
          </w:rPr>
          <w:fldChar w:fldCharType="begin"/>
        </w:r>
        <w:r>
          <w:rPr>
            <w:noProof/>
            <w:webHidden/>
          </w:rPr>
          <w:instrText xml:space="preserve"> PAGEREF _Toc209590464 \h </w:instrText>
        </w:r>
        <w:r>
          <w:rPr>
            <w:noProof/>
            <w:webHidden/>
          </w:rPr>
        </w:r>
        <w:r>
          <w:rPr>
            <w:noProof/>
            <w:webHidden/>
          </w:rPr>
          <w:fldChar w:fldCharType="separate"/>
        </w:r>
        <w:r w:rsidR="00747CE8">
          <w:rPr>
            <w:noProof/>
            <w:webHidden/>
          </w:rPr>
          <w:t>18</w:t>
        </w:r>
        <w:r>
          <w:rPr>
            <w:noProof/>
            <w:webHidden/>
          </w:rPr>
          <w:fldChar w:fldCharType="end"/>
        </w:r>
      </w:hyperlink>
    </w:p>
    <w:p w14:paraId="03D735BF" w14:textId="6E422A96"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65" w:history="1">
        <w:r w:rsidRPr="005254D2">
          <w:rPr>
            <w:rStyle w:val="Hyperlink"/>
            <w:rFonts w:eastAsia="Arial"/>
            <w:noProof/>
          </w:rPr>
          <w:t>4.5</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Additional sites</w:t>
        </w:r>
        <w:r>
          <w:rPr>
            <w:noProof/>
            <w:webHidden/>
          </w:rPr>
          <w:tab/>
        </w:r>
        <w:r>
          <w:rPr>
            <w:noProof/>
            <w:webHidden/>
          </w:rPr>
          <w:fldChar w:fldCharType="begin"/>
        </w:r>
        <w:r>
          <w:rPr>
            <w:noProof/>
            <w:webHidden/>
          </w:rPr>
          <w:instrText xml:space="preserve"> PAGEREF _Toc209590465 \h </w:instrText>
        </w:r>
        <w:r>
          <w:rPr>
            <w:noProof/>
            <w:webHidden/>
          </w:rPr>
        </w:r>
        <w:r>
          <w:rPr>
            <w:noProof/>
            <w:webHidden/>
          </w:rPr>
          <w:fldChar w:fldCharType="separate"/>
        </w:r>
        <w:r w:rsidR="00747CE8">
          <w:rPr>
            <w:noProof/>
            <w:webHidden/>
          </w:rPr>
          <w:t>18</w:t>
        </w:r>
        <w:r>
          <w:rPr>
            <w:noProof/>
            <w:webHidden/>
          </w:rPr>
          <w:fldChar w:fldCharType="end"/>
        </w:r>
      </w:hyperlink>
    </w:p>
    <w:p w14:paraId="723580AE" w14:textId="79A646A8"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66" w:history="1">
        <w:r w:rsidRPr="005254D2">
          <w:rPr>
            <w:rStyle w:val="Hyperlink"/>
            <w:rFonts w:eastAsia="Arial"/>
            <w:noProof/>
          </w:rPr>
          <w:t>4.6</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Sale of a certified organisation</w:t>
        </w:r>
        <w:r>
          <w:rPr>
            <w:noProof/>
            <w:webHidden/>
          </w:rPr>
          <w:tab/>
        </w:r>
        <w:r>
          <w:rPr>
            <w:noProof/>
            <w:webHidden/>
          </w:rPr>
          <w:fldChar w:fldCharType="begin"/>
        </w:r>
        <w:r>
          <w:rPr>
            <w:noProof/>
            <w:webHidden/>
          </w:rPr>
          <w:instrText xml:space="preserve"> PAGEREF _Toc209590466 \h </w:instrText>
        </w:r>
        <w:r>
          <w:rPr>
            <w:noProof/>
            <w:webHidden/>
          </w:rPr>
        </w:r>
        <w:r>
          <w:rPr>
            <w:noProof/>
            <w:webHidden/>
          </w:rPr>
          <w:fldChar w:fldCharType="separate"/>
        </w:r>
        <w:r w:rsidR="00747CE8">
          <w:rPr>
            <w:noProof/>
            <w:webHidden/>
          </w:rPr>
          <w:t>19</w:t>
        </w:r>
        <w:r>
          <w:rPr>
            <w:noProof/>
            <w:webHidden/>
          </w:rPr>
          <w:fldChar w:fldCharType="end"/>
        </w:r>
      </w:hyperlink>
    </w:p>
    <w:p w14:paraId="09967811" w14:textId="1F143E9E" w:rsidR="007A5116" w:rsidRDefault="007A5116">
      <w:pPr>
        <w:pStyle w:val="TOC2"/>
        <w:tabs>
          <w:tab w:val="left" w:pos="1134"/>
        </w:tabs>
        <w:rPr>
          <w:rFonts w:asciiTheme="minorHAnsi" w:eastAsiaTheme="minorEastAsia" w:hAnsiTheme="minorHAnsi" w:cstheme="minorBidi"/>
          <w:noProof/>
          <w:kern w:val="2"/>
          <w:sz w:val="24"/>
          <w:szCs w:val="24"/>
          <w:lang w:val="en-AU" w:eastAsia="en-AU"/>
          <w14:ligatures w14:val="standardContextual"/>
        </w:rPr>
      </w:pPr>
      <w:hyperlink w:anchor="_Toc209590467" w:history="1">
        <w:r w:rsidRPr="005254D2">
          <w:rPr>
            <w:rStyle w:val="Hyperlink"/>
            <w:rFonts w:eastAsia="Arial"/>
            <w:noProof/>
          </w:rPr>
          <w:t>4.7</w:t>
        </w:r>
        <w:r>
          <w:rPr>
            <w:rFonts w:asciiTheme="minorHAnsi" w:eastAsiaTheme="minorEastAsia" w:hAnsiTheme="minorHAnsi" w:cstheme="minorBidi"/>
            <w:noProof/>
            <w:kern w:val="2"/>
            <w:sz w:val="24"/>
            <w:szCs w:val="24"/>
            <w:lang w:val="en-AU" w:eastAsia="en-AU"/>
            <w14:ligatures w14:val="standardContextual"/>
          </w:rPr>
          <w:tab/>
        </w:r>
        <w:r w:rsidRPr="005254D2">
          <w:rPr>
            <w:rStyle w:val="Hyperlink"/>
            <w:rFonts w:eastAsia="Arial"/>
            <w:noProof/>
          </w:rPr>
          <w:t>Audits of lead suppliers and subcontractors</w:t>
        </w:r>
        <w:r>
          <w:rPr>
            <w:noProof/>
            <w:webHidden/>
          </w:rPr>
          <w:tab/>
        </w:r>
        <w:r>
          <w:rPr>
            <w:noProof/>
            <w:webHidden/>
          </w:rPr>
          <w:fldChar w:fldCharType="begin"/>
        </w:r>
        <w:r>
          <w:rPr>
            <w:noProof/>
            <w:webHidden/>
          </w:rPr>
          <w:instrText xml:space="preserve"> PAGEREF _Toc209590467 \h </w:instrText>
        </w:r>
        <w:r>
          <w:rPr>
            <w:noProof/>
            <w:webHidden/>
          </w:rPr>
        </w:r>
        <w:r>
          <w:rPr>
            <w:noProof/>
            <w:webHidden/>
          </w:rPr>
          <w:fldChar w:fldCharType="separate"/>
        </w:r>
        <w:r w:rsidR="00747CE8">
          <w:rPr>
            <w:noProof/>
            <w:webHidden/>
          </w:rPr>
          <w:t>19</w:t>
        </w:r>
        <w:r>
          <w:rPr>
            <w:noProof/>
            <w:webHidden/>
          </w:rPr>
          <w:fldChar w:fldCharType="end"/>
        </w:r>
      </w:hyperlink>
    </w:p>
    <w:p w14:paraId="6C88EA88" w14:textId="7CFBBB3E" w:rsidR="007A5116" w:rsidRDefault="007A5116">
      <w:pPr>
        <w:pStyle w:val="TOC1"/>
        <w:rPr>
          <w:rFonts w:asciiTheme="minorHAnsi" w:eastAsiaTheme="minorEastAsia" w:hAnsiTheme="minorHAnsi" w:cstheme="minorBidi"/>
          <w:b w:val="0"/>
          <w:noProof/>
          <w:kern w:val="2"/>
          <w:sz w:val="24"/>
          <w:szCs w:val="24"/>
          <w:lang w:val="en-AU" w:eastAsia="en-AU"/>
          <w14:ligatures w14:val="standardContextual"/>
        </w:rPr>
      </w:pPr>
      <w:hyperlink w:anchor="_Toc209590468" w:history="1">
        <w:r w:rsidRPr="005254D2">
          <w:rPr>
            <w:rStyle w:val="Hyperlink"/>
            <w:noProof/>
          </w:rPr>
          <w:t>References</w:t>
        </w:r>
        <w:r>
          <w:rPr>
            <w:noProof/>
            <w:webHidden/>
          </w:rPr>
          <w:tab/>
        </w:r>
        <w:r>
          <w:rPr>
            <w:noProof/>
            <w:webHidden/>
          </w:rPr>
          <w:fldChar w:fldCharType="begin"/>
        </w:r>
        <w:r>
          <w:rPr>
            <w:noProof/>
            <w:webHidden/>
          </w:rPr>
          <w:instrText xml:space="preserve"> PAGEREF _Toc209590468 \h </w:instrText>
        </w:r>
        <w:r>
          <w:rPr>
            <w:noProof/>
            <w:webHidden/>
          </w:rPr>
        </w:r>
        <w:r>
          <w:rPr>
            <w:noProof/>
            <w:webHidden/>
          </w:rPr>
          <w:fldChar w:fldCharType="separate"/>
        </w:r>
        <w:r w:rsidR="00747CE8">
          <w:rPr>
            <w:noProof/>
            <w:webHidden/>
          </w:rPr>
          <w:t>20</w:t>
        </w:r>
        <w:r>
          <w:rPr>
            <w:noProof/>
            <w:webHidden/>
          </w:rPr>
          <w:fldChar w:fldCharType="end"/>
        </w:r>
      </w:hyperlink>
    </w:p>
    <w:p w14:paraId="5B9A52C0" w14:textId="42AD1267" w:rsidR="007A5116" w:rsidRDefault="007A5116">
      <w:pPr>
        <w:pStyle w:val="TOC1"/>
        <w:rPr>
          <w:rFonts w:asciiTheme="minorHAnsi" w:eastAsiaTheme="minorEastAsia" w:hAnsiTheme="minorHAnsi" w:cstheme="minorBidi"/>
          <w:b w:val="0"/>
          <w:noProof/>
          <w:kern w:val="2"/>
          <w:sz w:val="24"/>
          <w:szCs w:val="24"/>
          <w:lang w:val="en-AU" w:eastAsia="en-AU"/>
          <w14:ligatures w14:val="standardContextual"/>
        </w:rPr>
      </w:pPr>
      <w:hyperlink w:anchor="_Toc209590469" w:history="1">
        <w:r w:rsidRPr="005254D2">
          <w:rPr>
            <w:rStyle w:val="Hyperlink"/>
            <w:noProof/>
          </w:rPr>
          <w:t>Appendix 1: Process of certification for the home and community support sector</w:t>
        </w:r>
        <w:r>
          <w:rPr>
            <w:noProof/>
            <w:webHidden/>
          </w:rPr>
          <w:tab/>
        </w:r>
        <w:r>
          <w:rPr>
            <w:noProof/>
            <w:webHidden/>
          </w:rPr>
          <w:fldChar w:fldCharType="begin"/>
        </w:r>
        <w:r>
          <w:rPr>
            <w:noProof/>
            <w:webHidden/>
          </w:rPr>
          <w:instrText xml:space="preserve"> PAGEREF _Toc209590469 \h </w:instrText>
        </w:r>
        <w:r>
          <w:rPr>
            <w:noProof/>
            <w:webHidden/>
          </w:rPr>
        </w:r>
        <w:r>
          <w:rPr>
            <w:noProof/>
            <w:webHidden/>
          </w:rPr>
          <w:fldChar w:fldCharType="separate"/>
        </w:r>
        <w:r w:rsidR="00747CE8">
          <w:rPr>
            <w:noProof/>
            <w:webHidden/>
          </w:rPr>
          <w:t>21</w:t>
        </w:r>
        <w:r>
          <w:rPr>
            <w:noProof/>
            <w:webHidden/>
          </w:rPr>
          <w:fldChar w:fldCharType="end"/>
        </w:r>
      </w:hyperlink>
    </w:p>
    <w:p w14:paraId="4A656697" w14:textId="333B555A" w:rsidR="007A5116" w:rsidRDefault="007A5116">
      <w:pPr>
        <w:pStyle w:val="TOC1"/>
        <w:rPr>
          <w:rFonts w:asciiTheme="minorHAnsi" w:eastAsiaTheme="minorEastAsia" w:hAnsiTheme="minorHAnsi" w:cstheme="minorBidi"/>
          <w:b w:val="0"/>
          <w:noProof/>
          <w:kern w:val="2"/>
          <w:sz w:val="24"/>
          <w:szCs w:val="24"/>
          <w:lang w:val="en-AU" w:eastAsia="en-AU"/>
          <w14:ligatures w14:val="standardContextual"/>
        </w:rPr>
      </w:pPr>
      <w:hyperlink w:anchor="_Toc209590470" w:history="1">
        <w:r w:rsidRPr="005254D2">
          <w:rPr>
            <w:rStyle w:val="Hyperlink"/>
            <w:noProof/>
          </w:rPr>
          <w:t>Appendix 2: Square root table</w:t>
        </w:r>
        <w:r>
          <w:rPr>
            <w:noProof/>
            <w:webHidden/>
          </w:rPr>
          <w:tab/>
        </w:r>
        <w:r>
          <w:rPr>
            <w:noProof/>
            <w:webHidden/>
          </w:rPr>
          <w:fldChar w:fldCharType="begin"/>
        </w:r>
        <w:r>
          <w:rPr>
            <w:noProof/>
            <w:webHidden/>
          </w:rPr>
          <w:instrText xml:space="preserve"> PAGEREF _Toc209590470 \h </w:instrText>
        </w:r>
        <w:r>
          <w:rPr>
            <w:noProof/>
            <w:webHidden/>
          </w:rPr>
        </w:r>
        <w:r>
          <w:rPr>
            <w:noProof/>
            <w:webHidden/>
          </w:rPr>
          <w:fldChar w:fldCharType="separate"/>
        </w:r>
        <w:r w:rsidR="00747CE8">
          <w:rPr>
            <w:noProof/>
            <w:webHidden/>
          </w:rPr>
          <w:t>22</w:t>
        </w:r>
        <w:r>
          <w:rPr>
            <w:noProof/>
            <w:webHidden/>
          </w:rPr>
          <w:fldChar w:fldCharType="end"/>
        </w:r>
      </w:hyperlink>
    </w:p>
    <w:p w14:paraId="20177C60" w14:textId="2F1D9CB4" w:rsidR="00C86248" w:rsidRDefault="00F4393F" w:rsidP="003206EB">
      <w:pPr>
        <w:pStyle w:val="TOC1"/>
      </w:pPr>
      <w:r>
        <w:rPr>
          <w:b w:val="0"/>
          <w:sz w:val="24"/>
        </w:rPr>
        <w:fldChar w:fldCharType="end"/>
      </w:r>
    </w:p>
    <w:p w14:paraId="2D108602" w14:textId="77777777" w:rsidR="007A5116" w:rsidRDefault="007A5116" w:rsidP="00BA0140">
      <w:pPr>
        <w:sectPr w:rsidR="007A5116" w:rsidSect="001B756E">
          <w:footerReference w:type="default" r:id="rId20"/>
          <w:pgSz w:w="11907" w:h="16840" w:code="9"/>
          <w:pgMar w:top="1418" w:right="1418" w:bottom="1418" w:left="1418" w:header="709" w:footer="709" w:gutter="567"/>
          <w:pgNumType w:fmt="lowerRoman"/>
          <w:cols w:space="720"/>
          <w:vAlign w:val="center"/>
        </w:sectPr>
      </w:pPr>
    </w:p>
    <w:p w14:paraId="400B426C" w14:textId="77777777" w:rsidR="00C86248" w:rsidRDefault="00C86248" w:rsidP="00BA0140">
      <w:pPr>
        <w:sectPr w:rsidR="00C86248" w:rsidSect="001B756E">
          <w:pgSz w:w="11907" w:h="16840" w:code="9"/>
          <w:pgMar w:top="1418" w:right="1418" w:bottom="1418" w:left="1418" w:header="709" w:footer="709" w:gutter="567"/>
          <w:pgNumType w:fmt="lowerRoman"/>
          <w:cols w:space="720"/>
          <w:vAlign w:val="center"/>
        </w:sectPr>
      </w:pPr>
    </w:p>
    <w:p w14:paraId="0AFFF105" w14:textId="77777777" w:rsidR="00350EE0" w:rsidRDefault="00350EE0" w:rsidP="00BA0140">
      <w:pPr>
        <w:pStyle w:val="Heading1"/>
        <w:spacing w:before="0"/>
      </w:pPr>
      <w:bookmarkStart w:id="5" w:name="_Toc209590443"/>
      <w:bookmarkStart w:id="6" w:name="_Toc405792993"/>
      <w:bookmarkStart w:id="7" w:name="_Toc405793226"/>
      <w:r>
        <w:lastRenderedPageBreak/>
        <w:t>1</w:t>
      </w:r>
      <w:r>
        <w:tab/>
        <w:t>Introduction</w:t>
      </w:r>
      <w:bookmarkEnd w:id="5"/>
    </w:p>
    <w:bookmarkEnd w:id="6"/>
    <w:bookmarkEnd w:id="7"/>
    <w:p w14:paraId="77857D34" w14:textId="77777777" w:rsidR="001B756E" w:rsidRPr="0006274C" w:rsidRDefault="001B756E" w:rsidP="001B756E">
      <w:pPr>
        <w:ind w:right="-284"/>
        <w:rPr>
          <w:spacing w:val="-2"/>
        </w:rPr>
      </w:pPr>
      <w:r w:rsidRPr="0006274C">
        <w:rPr>
          <w:spacing w:val="-2"/>
        </w:rPr>
        <w:t>This document sets out what conformity assessment bodies (CABs) that audit and certify providers of home and community support services (HCSS</w:t>
      </w:r>
      <w:r>
        <w:rPr>
          <w:spacing w:val="-2"/>
        </w:rPr>
        <w:t>s</w:t>
      </w:r>
      <w:r w:rsidRPr="0006274C">
        <w:rPr>
          <w:spacing w:val="-2"/>
        </w:rPr>
        <w:t xml:space="preserve">) must do to audit and certify these providers against </w:t>
      </w:r>
      <w:proofErr w:type="spellStart"/>
      <w:r>
        <w:t>Ngā</w:t>
      </w:r>
      <w:proofErr w:type="spellEnd"/>
      <w:r>
        <w:t> </w:t>
      </w:r>
      <w:proofErr w:type="spellStart"/>
      <w:r>
        <w:t>paerewa</w:t>
      </w:r>
      <w:proofErr w:type="spellEnd"/>
      <w:r>
        <w:t xml:space="preserve"> Health and disability services standard </w:t>
      </w:r>
      <w:r w:rsidRPr="00A51DD6">
        <w:t xml:space="preserve">NZS 8134:2021 </w:t>
      </w:r>
      <w:r>
        <w:t>(</w:t>
      </w:r>
      <w:proofErr w:type="spellStart"/>
      <w:r>
        <w:t>Ngā</w:t>
      </w:r>
      <w:proofErr w:type="spellEnd"/>
      <w:r>
        <w:t xml:space="preserve"> </w:t>
      </w:r>
      <w:proofErr w:type="spellStart"/>
      <w:r>
        <w:t>Paerewa</w:t>
      </w:r>
      <w:proofErr w:type="spellEnd"/>
      <w:r>
        <w:t xml:space="preserve">). </w:t>
      </w:r>
      <w:r>
        <w:rPr>
          <w:spacing w:val="-2"/>
        </w:rPr>
        <w:t xml:space="preserve">It also outlines the roles of other stakeholders operating within the certification scheme, including the Oversight Committee, the Independent Assessment Committee (IAC: section 1.2 outlines the role of this body) and </w:t>
      </w:r>
      <w:proofErr w:type="spellStart"/>
      <w:r>
        <w:rPr>
          <w:spacing w:val="-2"/>
        </w:rPr>
        <w:t>HealthCERT</w:t>
      </w:r>
      <w:proofErr w:type="spellEnd"/>
      <w:r>
        <w:rPr>
          <w:spacing w:val="-2"/>
        </w:rPr>
        <w:t>.</w:t>
      </w:r>
    </w:p>
    <w:p w14:paraId="57212BA0" w14:textId="77777777" w:rsidR="001B756E" w:rsidRPr="00076EB5" w:rsidRDefault="001B756E" w:rsidP="001B756E"/>
    <w:p w14:paraId="2E937D28" w14:textId="77777777" w:rsidR="001B756E" w:rsidRDefault="001B756E" w:rsidP="001B756E">
      <w:pPr>
        <w:pStyle w:val="Heading2"/>
        <w:rPr>
          <w:rFonts w:eastAsia="Arial"/>
        </w:rPr>
      </w:pPr>
      <w:bookmarkStart w:id="8" w:name="_Toc479482047"/>
      <w:bookmarkStart w:id="9" w:name="_Toc480293076"/>
      <w:bookmarkStart w:id="10" w:name="_Toc209590444"/>
      <w:r w:rsidRPr="00545BF8">
        <w:rPr>
          <w:rFonts w:eastAsia="Arial"/>
        </w:rPr>
        <w:t>1.1</w:t>
      </w:r>
      <w:r>
        <w:rPr>
          <w:rFonts w:eastAsia="Arial"/>
        </w:rPr>
        <w:tab/>
      </w:r>
      <w:r w:rsidRPr="00545BF8">
        <w:rPr>
          <w:rFonts w:eastAsia="Arial"/>
        </w:rPr>
        <w:t>Oversight Committee</w:t>
      </w:r>
      <w:bookmarkEnd w:id="8"/>
      <w:bookmarkEnd w:id="9"/>
      <w:bookmarkEnd w:id="10"/>
    </w:p>
    <w:p w14:paraId="6B352DD0" w14:textId="77777777" w:rsidR="001B756E" w:rsidRDefault="001B756E" w:rsidP="001B756E">
      <w:r w:rsidRPr="00076EB5">
        <w:t>The O</w:t>
      </w:r>
      <w:r>
        <w:t xml:space="preserve">versight </w:t>
      </w:r>
      <w:r w:rsidRPr="00076EB5">
        <w:t>C</w:t>
      </w:r>
      <w:r>
        <w:t>ommittee was</w:t>
      </w:r>
      <w:r w:rsidRPr="00076EB5">
        <w:t xml:space="preserve"> established in 2015</w:t>
      </w:r>
      <w:r>
        <w:t>. It</w:t>
      </w:r>
      <w:r w:rsidRPr="00076EB5">
        <w:t xml:space="preserve"> is </w:t>
      </w:r>
      <w:r>
        <w:t xml:space="preserve">primarily </w:t>
      </w:r>
      <w:r w:rsidRPr="00076EB5">
        <w:t>made up of</w:t>
      </w:r>
      <w:r>
        <w:t xml:space="preserve"> representatives from the </w:t>
      </w:r>
      <w:r w:rsidRPr="00777B81">
        <w:t>Ministry of Health</w:t>
      </w:r>
      <w:r>
        <w:t xml:space="preserve"> and </w:t>
      </w:r>
      <w:r w:rsidRPr="00777B81">
        <w:t>HCSS funders</w:t>
      </w:r>
      <w:r>
        <w:t xml:space="preserve"> (</w:t>
      </w:r>
      <w:proofErr w:type="spellStart"/>
      <w:r>
        <w:t>ie</w:t>
      </w:r>
      <w:proofErr w:type="spellEnd"/>
      <w:r>
        <w:t>, Health New Zealand, Disability Support Services and</w:t>
      </w:r>
      <w:r w:rsidRPr="00777B81">
        <w:t xml:space="preserve"> </w:t>
      </w:r>
      <w:r>
        <w:t>the Accident Compensation Corporation)</w:t>
      </w:r>
      <w:r w:rsidRPr="00076EB5">
        <w:t>.</w:t>
      </w:r>
      <w:r>
        <w:t xml:space="preserve"> </w:t>
      </w:r>
      <w:r w:rsidRPr="00076EB5">
        <w:t xml:space="preserve"> </w:t>
      </w:r>
    </w:p>
    <w:p w14:paraId="722B6CEF" w14:textId="77777777" w:rsidR="001B756E" w:rsidRDefault="001B756E" w:rsidP="001B756E"/>
    <w:p w14:paraId="06FF0E14" w14:textId="77777777" w:rsidR="001B756E" w:rsidRDefault="001B756E" w:rsidP="001B756E">
      <w:r w:rsidRPr="00076EB5">
        <w:t>The committee provide</w:t>
      </w:r>
      <w:r>
        <w:t>s</w:t>
      </w:r>
      <w:r w:rsidRPr="00076EB5">
        <w:t xml:space="preserve"> oversight and direction to the HCSS certification scheme, </w:t>
      </w:r>
      <w:r>
        <w:t>to improve sector outcomes. It identifies national trends based on audit reports and processes audit reports processed through an electronic database,</w:t>
      </w:r>
      <w:r w:rsidRPr="008C29C0">
        <w:t xml:space="preserve"> </w:t>
      </w:r>
      <w:r>
        <w:t>the PRMS. Over time, PRMS data will build a national picture of the main areas of non-conformity across HCSSs. This information will give us the opportunity to work with the sector on key areas for improvement.</w:t>
      </w:r>
    </w:p>
    <w:p w14:paraId="01CBD57C" w14:textId="77777777" w:rsidR="001B756E" w:rsidRDefault="001B756E" w:rsidP="001B756E"/>
    <w:p w14:paraId="03C99CB7" w14:textId="77777777" w:rsidR="001B756E" w:rsidRDefault="001B756E" w:rsidP="001B756E">
      <w:r>
        <w:t xml:space="preserve">From an operational perspective, the </w:t>
      </w:r>
      <w:r w:rsidRPr="005A5BF4">
        <w:t>Oversight Committee</w:t>
      </w:r>
      <w:r>
        <w:t>:</w:t>
      </w:r>
    </w:p>
    <w:p w14:paraId="688DC177" w14:textId="77777777" w:rsidR="001B756E" w:rsidRDefault="001B756E" w:rsidP="001B756E">
      <w:pPr>
        <w:pStyle w:val="Bullet"/>
      </w:pPr>
      <w:r>
        <w:t>meets with CABs on an annual basis</w:t>
      </w:r>
    </w:p>
    <w:p w14:paraId="2143F0C7" w14:textId="77777777" w:rsidR="001B756E" w:rsidRDefault="001B756E" w:rsidP="001B756E">
      <w:pPr>
        <w:pStyle w:val="Bullet"/>
      </w:pPr>
      <w:r>
        <w:t>meets with the IAC on an annual basis</w:t>
      </w:r>
    </w:p>
    <w:p w14:paraId="4678C4D4" w14:textId="77777777" w:rsidR="001B756E" w:rsidRPr="003206EB" w:rsidRDefault="001B756E" w:rsidP="001B756E">
      <w:pPr>
        <w:pStyle w:val="Bullet"/>
      </w:pPr>
      <w:r w:rsidRPr="003206EB">
        <w:t>provide</w:t>
      </w:r>
      <w:r>
        <w:t>s</w:t>
      </w:r>
      <w:r w:rsidRPr="003206EB">
        <w:t xml:space="preserve"> advice to the</w:t>
      </w:r>
      <w:r>
        <w:t xml:space="preserve"> </w:t>
      </w:r>
      <w:r w:rsidRPr="003206EB">
        <w:t>IAC where required</w:t>
      </w:r>
    </w:p>
    <w:p w14:paraId="2223DE3F" w14:textId="77777777" w:rsidR="001B756E" w:rsidRPr="003206EB" w:rsidRDefault="001B756E" w:rsidP="001B756E">
      <w:pPr>
        <w:pStyle w:val="Bullet"/>
      </w:pPr>
      <w:r w:rsidRPr="003206EB">
        <w:t>seek</w:t>
      </w:r>
      <w:r>
        <w:t>s</w:t>
      </w:r>
      <w:r w:rsidRPr="003206EB">
        <w:t xml:space="preserve"> expertise from </w:t>
      </w:r>
      <w:r>
        <w:t xml:space="preserve">CABs </w:t>
      </w:r>
      <w:r w:rsidRPr="003206EB">
        <w:t>or providers as issues arise.</w:t>
      </w:r>
    </w:p>
    <w:p w14:paraId="5511D992" w14:textId="77777777" w:rsidR="001B756E" w:rsidRPr="003206EB" w:rsidRDefault="001B756E" w:rsidP="001B756E">
      <w:pPr>
        <w:pStyle w:val="Bullet"/>
      </w:pPr>
      <w:r w:rsidRPr="003206EB">
        <w:t>hold</w:t>
      </w:r>
      <w:r>
        <w:t>s</w:t>
      </w:r>
      <w:r w:rsidRPr="003206EB">
        <w:t xml:space="preserve"> contact lists for HCSS funders and make</w:t>
      </w:r>
      <w:r>
        <w:t>s</w:t>
      </w:r>
      <w:r w:rsidRPr="003206EB">
        <w:t xml:space="preserve"> </w:t>
      </w:r>
      <w:r>
        <w:t xml:space="preserve">them </w:t>
      </w:r>
      <w:r w:rsidRPr="003206EB">
        <w:t>available to CABs</w:t>
      </w:r>
    </w:p>
    <w:p w14:paraId="28D4A935" w14:textId="77777777" w:rsidR="001B756E" w:rsidRPr="003206EB" w:rsidRDefault="001B756E" w:rsidP="001B756E">
      <w:pPr>
        <w:pStyle w:val="Bullet"/>
      </w:pPr>
      <w:r w:rsidRPr="003206EB">
        <w:t>receive</w:t>
      </w:r>
      <w:r>
        <w:t>s</w:t>
      </w:r>
      <w:r w:rsidRPr="003206EB">
        <w:t xml:space="preserve"> HCSS auditing schedules from CABs and share</w:t>
      </w:r>
      <w:r>
        <w:t>s</w:t>
      </w:r>
      <w:r w:rsidRPr="003206EB">
        <w:t xml:space="preserve"> them with HCSS funders. It is up to funders to </w:t>
      </w:r>
      <w:r>
        <w:t xml:space="preserve">confirm whether </w:t>
      </w:r>
      <w:r w:rsidRPr="003206EB">
        <w:t xml:space="preserve">CABs wish to request </w:t>
      </w:r>
      <w:r>
        <w:t xml:space="preserve">that </w:t>
      </w:r>
      <w:r w:rsidRPr="003206EB">
        <w:t>specific sites or providers be included in their auditing sampling.</w:t>
      </w:r>
    </w:p>
    <w:p w14:paraId="016C10B4" w14:textId="77777777" w:rsidR="001B756E" w:rsidRDefault="001B756E" w:rsidP="001B756E"/>
    <w:p w14:paraId="29C97094" w14:textId="77777777" w:rsidR="001B756E" w:rsidRDefault="001B756E" w:rsidP="001B756E">
      <w:r>
        <w:t>T</w:t>
      </w:r>
      <w:r w:rsidRPr="00076EB5">
        <w:t xml:space="preserve">he </w:t>
      </w:r>
      <w:r w:rsidRPr="005A5BF4">
        <w:t>Oversight Committee</w:t>
      </w:r>
      <w:r w:rsidRPr="00076EB5" w:rsidDel="00C105AD">
        <w:t xml:space="preserve"> </w:t>
      </w:r>
      <w:r w:rsidRPr="00076EB5">
        <w:t xml:space="preserve">is not responsible for </w:t>
      </w:r>
      <w:r>
        <w:t xml:space="preserve">CABs’ </w:t>
      </w:r>
      <w:r w:rsidRPr="00076EB5">
        <w:t>operational activities</w:t>
      </w:r>
      <w:r>
        <w:t>.</w:t>
      </w:r>
    </w:p>
    <w:p w14:paraId="2FF0B788" w14:textId="77777777" w:rsidR="001B756E" w:rsidRDefault="001B756E" w:rsidP="001B756E"/>
    <w:p w14:paraId="40BDB29D" w14:textId="77777777" w:rsidR="001B756E" w:rsidRDefault="001B756E" w:rsidP="001B756E">
      <w:r>
        <w:t>See Appendix 1 for a flowchart of the process involved in certifying HCSS providers.</w:t>
      </w:r>
    </w:p>
    <w:p w14:paraId="4879F6D5" w14:textId="77777777" w:rsidR="001B756E" w:rsidRDefault="001B756E" w:rsidP="001B756E"/>
    <w:p w14:paraId="09FF179C" w14:textId="77777777" w:rsidR="001B756E" w:rsidRDefault="001B756E" w:rsidP="001B756E">
      <w:pPr>
        <w:pStyle w:val="Heading2"/>
        <w:rPr>
          <w:rFonts w:eastAsia="Arial"/>
        </w:rPr>
      </w:pPr>
      <w:bookmarkStart w:id="11" w:name="_Toc479482048"/>
      <w:bookmarkStart w:id="12" w:name="_Toc480293077"/>
      <w:bookmarkStart w:id="13" w:name="_Toc209590445"/>
      <w:r>
        <w:rPr>
          <w:rFonts w:eastAsia="Arial"/>
        </w:rPr>
        <w:t>1.2</w:t>
      </w:r>
      <w:r>
        <w:rPr>
          <w:rFonts w:eastAsia="Arial"/>
        </w:rPr>
        <w:tab/>
      </w:r>
      <w:r w:rsidRPr="00DA4EAD">
        <w:rPr>
          <w:rFonts w:eastAsia="Arial"/>
        </w:rPr>
        <w:t>Independent Assessment Committee</w:t>
      </w:r>
      <w:bookmarkEnd w:id="11"/>
      <w:bookmarkEnd w:id="12"/>
      <w:bookmarkEnd w:id="13"/>
    </w:p>
    <w:p w14:paraId="1A396110" w14:textId="77777777" w:rsidR="001B756E" w:rsidRDefault="001B756E" w:rsidP="001B756E">
      <w:bookmarkStart w:id="14" w:name="OLE_LINK1"/>
      <w:r w:rsidRPr="00076EB5">
        <w:t xml:space="preserve">The role of the </w:t>
      </w:r>
      <w:r>
        <w:t xml:space="preserve">IAC </w:t>
      </w:r>
      <w:r w:rsidRPr="00076EB5">
        <w:t>is</w:t>
      </w:r>
      <w:r>
        <w:t xml:space="preserve"> to conduct an</w:t>
      </w:r>
      <w:r w:rsidRPr="005A0FD6">
        <w:rPr>
          <w:b/>
        </w:rPr>
        <w:t xml:space="preserve"> </w:t>
      </w:r>
      <w:r w:rsidRPr="0006763A">
        <w:rPr>
          <w:bCs/>
        </w:rPr>
        <w:t>independent review</w:t>
      </w:r>
      <w:r w:rsidRPr="00480DA7">
        <w:t xml:space="preserve"> of </w:t>
      </w:r>
      <w:r>
        <w:t xml:space="preserve">each </w:t>
      </w:r>
      <w:r w:rsidRPr="00480DA7">
        <w:t xml:space="preserve">audit report and </w:t>
      </w:r>
      <w:r>
        <w:t xml:space="preserve">decide whether to endorse the decision to award </w:t>
      </w:r>
      <w:r w:rsidRPr="00480DA7">
        <w:t>certification</w:t>
      </w:r>
      <w:r>
        <w:t>,</w:t>
      </w:r>
      <w:r w:rsidRPr="00076EB5">
        <w:t xml:space="preserve"> noting </w:t>
      </w:r>
      <w:r>
        <w:t xml:space="preserve">that CABs are responsible for </w:t>
      </w:r>
      <w:r w:rsidRPr="00076EB5">
        <w:t>final certification decision</w:t>
      </w:r>
      <w:r>
        <w:t>s</w:t>
      </w:r>
      <w:r w:rsidRPr="00076EB5">
        <w:t xml:space="preserve"> </w:t>
      </w:r>
      <w:r>
        <w:t>(</w:t>
      </w:r>
      <w:r w:rsidRPr="00A2570E">
        <w:t xml:space="preserve">in </w:t>
      </w:r>
      <w:r>
        <w:t xml:space="preserve">line </w:t>
      </w:r>
      <w:r w:rsidRPr="00A2570E">
        <w:t>with ISO</w:t>
      </w:r>
      <w:r>
        <w:t>/IEC</w:t>
      </w:r>
      <w:r w:rsidRPr="00A2570E">
        <w:t xml:space="preserve"> 17021</w:t>
      </w:r>
      <w:r>
        <w:t>-1</w:t>
      </w:r>
      <w:r w:rsidRPr="003206EB">
        <w:t>: Conformity assessment</w:t>
      </w:r>
      <w:r>
        <w:t xml:space="preserve"> </w:t>
      </w:r>
      <w:r w:rsidRPr="003206EB">
        <w:t>– requirements for bodies providing audit and certification of management systems</w:t>
      </w:r>
      <w:r>
        <w:t xml:space="preserve"> (</w:t>
      </w:r>
      <w:r w:rsidRPr="003A0246">
        <w:t>ISO/IEC 17021-1</w:t>
      </w:r>
      <w:r>
        <w:t>)).</w:t>
      </w:r>
    </w:p>
    <w:p w14:paraId="264D6ECB" w14:textId="77777777" w:rsidR="001B756E" w:rsidRDefault="001B756E" w:rsidP="001B756E"/>
    <w:p w14:paraId="03A01C45" w14:textId="77777777" w:rsidR="001B756E" w:rsidRDefault="001B756E" w:rsidP="001B756E">
      <w:r>
        <w:lastRenderedPageBreak/>
        <w:t xml:space="preserve">The IAC is made up of funder representatives. Each funder nominates at least one representative to participate as a member (one for each Health New Zealand region). To be a member of the IAC, the nominated representative must understand </w:t>
      </w:r>
      <w:proofErr w:type="spellStart"/>
      <w:r>
        <w:t>Ngā</w:t>
      </w:r>
      <w:proofErr w:type="spellEnd"/>
      <w:r>
        <w:t> </w:t>
      </w:r>
      <w:proofErr w:type="spellStart"/>
      <w:r>
        <w:t>Paerewa</w:t>
      </w:r>
      <w:proofErr w:type="spellEnd"/>
      <w:r w:rsidDel="003C099C">
        <w:t xml:space="preserve"> </w:t>
      </w:r>
      <w:r>
        <w:t xml:space="preserve">and the certification process relevant to this scheme. The IAC follows terms of reference that the </w:t>
      </w:r>
      <w:r w:rsidRPr="005A5BF4">
        <w:t>Oversight Committee</w:t>
      </w:r>
      <w:r>
        <w:t xml:space="preserve"> reviews each year.</w:t>
      </w:r>
    </w:p>
    <w:p w14:paraId="30693139" w14:textId="77777777" w:rsidR="001B756E" w:rsidRDefault="001B756E" w:rsidP="001B756E"/>
    <w:p w14:paraId="4E922D59" w14:textId="77777777" w:rsidR="001B756E" w:rsidRDefault="001B756E" w:rsidP="001B756E">
      <w:r w:rsidRPr="005772E2">
        <w:t>If</w:t>
      </w:r>
      <w:r w:rsidRPr="00A2570E">
        <w:rPr>
          <w:color w:val="C00000"/>
        </w:rPr>
        <w:t xml:space="preserve"> </w:t>
      </w:r>
      <w:r>
        <w:t>the IAC has an issue about the quality of audit documentation or process, it can raise this with the relevant representative from the Ministry of Health (</w:t>
      </w:r>
      <w:proofErr w:type="spellStart"/>
      <w:r>
        <w:t>HealthCERT</w:t>
      </w:r>
      <w:proofErr w:type="spellEnd"/>
      <w:r>
        <w:t xml:space="preserve">), and the issue can be escalated to the Oversight Committee. </w:t>
      </w:r>
      <w:proofErr w:type="spellStart"/>
      <w:r>
        <w:t>HealthCERT</w:t>
      </w:r>
      <w:proofErr w:type="spellEnd"/>
      <w:r>
        <w:t xml:space="preserve"> will facilitate the process as part of its administrative function of the </w:t>
      </w:r>
      <w:r w:rsidRPr="005A5BF4">
        <w:t>Oversight Committee</w:t>
      </w:r>
      <w:r>
        <w:t>.</w:t>
      </w:r>
      <w:bookmarkEnd w:id="14"/>
    </w:p>
    <w:p w14:paraId="58E2A0C6" w14:textId="77777777" w:rsidR="001B756E" w:rsidRDefault="001B756E" w:rsidP="001B756E"/>
    <w:p w14:paraId="093EA5EC" w14:textId="77777777" w:rsidR="001B756E" w:rsidRPr="00DA4EAD" w:rsidRDefault="001B756E" w:rsidP="001B756E">
      <w:pPr>
        <w:pStyle w:val="Heading2"/>
        <w:rPr>
          <w:rFonts w:eastAsia="Arial"/>
        </w:rPr>
      </w:pPr>
      <w:bookmarkStart w:id="15" w:name="_Toc479482049"/>
      <w:bookmarkStart w:id="16" w:name="_Toc480293078"/>
      <w:bookmarkStart w:id="17" w:name="_Toc209590446"/>
      <w:r w:rsidRPr="00DA4EAD">
        <w:rPr>
          <w:rFonts w:eastAsia="Arial"/>
        </w:rPr>
        <w:t>1.3</w:t>
      </w:r>
      <w:r>
        <w:rPr>
          <w:rFonts w:eastAsia="Arial"/>
        </w:rPr>
        <w:tab/>
      </w:r>
      <w:proofErr w:type="spellStart"/>
      <w:r w:rsidRPr="00DA4EAD">
        <w:rPr>
          <w:rFonts w:eastAsia="Arial"/>
        </w:rPr>
        <w:t>HealthCERT</w:t>
      </w:r>
      <w:bookmarkEnd w:id="15"/>
      <w:bookmarkEnd w:id="16"/>
      <w:bookmarkEnd w:id="17"/>
      <w:proofErr w:type="spellEnd"/>
    </w:p>
    <w:p w14:paraId="437007FB" w14:textId="77777777" w:rsidR="001B756E" w:rsidRPr="0006274C" w:rsidRDefault="001B756E" w:rsidP="001B756E">
      <w:pPr>
        <w:rPr>
          <w:spacing w:val="-2"/>
        </w:rPr>
      </w:pPr>
      <w:r w:rsidRPr="0006274C">
        <w:rPr>
          <w:spacing w:val="-2"/>
        </w:rPr>
        <w:t xml:space="preserve">The Oversight Committee has agreed that </w:t>
      </w:r>
      <w:proofErr w:type="spellStart"/>
      <w:r w:rsidRPr="0006274C">
        <w:rPr>
          <w:spacing w:val="-2"/>
        </w:rPr>
        <w:t>HealthCERT</w:t>
      </w:r>
      <w:proofErr w:type="spellEnd"/>
      <w:r w:rsidRPr="0006274C">
        <w:rPr>
          <w:spacing w:val="-2"/>
        </w:rPr>
        <w:t xml:space="preserve"> will coordinate and administer the HCSS </w:t>
      </w:r>
      <w:r>
        <w:rPr>
          <w:spacing w:val="-2"/>
        </w:rPr>
        <w:t xml:space="preserve">audit framework </w:t>
      </w:r>
      <w:r w:rsidRPr="0006274C">
        <w:rPr>
          <w:spacing w:val="-2"/>
        </w:rPr>
        <w:t xml:space="preserve">on behalf of funders. </w:t>
      </w:r>
      <w:proofErr w:type="spellStart"/>
      <w:r w:rsidRPr="0006274C">
        <w:rPr>
          <w:spacing w:val="-2"/>
        </w:rPr>
        <w:t>HealthCERT’s</w:t>
      </w:r>
      <w:proofErr w:type="spellEnd"/>
      <w:r w:rsidRPr="0006274C">
        <w:rPr>
          <w:spacing w:val="-2"/>
        </w:rPr>
        <w:t xml:space="preserve"> role is to:</w:t>
      </w:r>
    </w:p>
    <w:p w14:paraId="3BEEF955" w14:textId="77777777" w:rsidR="001B756E" w:rsidRPr="003206EB" w:rsidRDefault="001B756E" w:rsidP="001B756E">
      <w:pPr>
        <w:pStyle w:val="Bullet"/>
      </w:pPr>
      <w:r w:rsidRPr="003206EB">
        <w:t>maintain a central repository and collation point for audit reports, audit summaries and progress reports for corrective actions</w:t>
      </w:r>
    </w:p>
    <w:p w14:paraId="59E000DA" w14:textId="77777777" w:rsidR="001B756E" w:rsidRPr="003206EB" w:rsidRDefault="001B756E" w:rsidP="001B756E">
      <w:pPr>
        <w:pStyle w:val="Bullet"/>
      </w:pPr>
      <w:r w:rsidRPr="003206EB">
        <w:t>manage audit report</w:t>
      </w:r>
      <w:r>
        <w:t xml:space="preserve"> workflow</w:t>
      </w:r>
      <w:r w:rsidRPr="003206EB">
        <w:t xml:space="preserve"> using </w:t>
      </w:r>
      <w:r>
        <w:t xml:space="preserve">the </w:t>
      </w:r>
      <w:r w:rsidRPr="003206EB">
        <w:t>PRMS</w:t>
      </w:r>
    </w:p>
    <w:p w14:paraId="018D9646" w14:textId="77777777" w:rsidR="001B756E" w:rsidRPr="003206EB" w:rsidRDefault="001B756E" w:rsidP="001B756E">
      <w:pPr>
        <w:pStyle w:val="Bullet"/>
      </w:pPr>
      <w:r w:rsidRPr="003206EB">
        <w:t>manage and maintain the web page for publishing audit summaries</w:t>
      </w:r>
      <w:r>
        <w:t xml:space="preserve"> once this process has been developed and approved</w:t>
      </w:r>
      <w:r w:rsidRPr="003206EB">
        <w:t>. Audit summaries will only be published if they meet the Ministry</w:t>
      </w:r>
      <w:r>
        <w:t xml:space="preserve"> of Health</w:t>
      </w:r>
      <w:r w:rsidRPr="003206EB">
        <w:t>’s publication standards</w:t>
      </w:r>
    </w:p>
    <w:p w14:paraId="2FCA9E33" w14:textId="77777777" w:rsidR="001B756E" w:rsidRPr="003206EB" w:rsidRDefault="001B756E" w:rsidP="001B756E">
      <w:pPr>
        <w:pStyle w:val="Bullet"/>
      </w:pPr>
      <w:r w:rsidRPr="003206EB">
        <w:t>channel communications between each CAB and the IAC as they review certification audit reports</w:t>
      </w:r>
    </w:p>
    <w:p w14:paraId="0B23C8CC" w14:textId="77777777" w:rsidR="001B756E" w:rsidRPr="003206EB" w:rsidRDefault="001B756E" w:rsidP="001B756E">
      <w:pPr>
        <w:pStyle w:val="Bullet"/>
      </w:pPr>
      <w:r w:rsidRPr="003206EB">
        <w:t xml:space="preserve">undertake other administrative functions as agreed by the Oversight Committee, including the receipt and dissemination of auditing schedules from CABs to funders and the maintenance of </w:t>
      </w:r>
      <w:r>
        <w:t xml:space="preserve">the </w:t>
      </w:r>
      <w:r w:rsidRPr="003206EB">
        <w:t>HCSS funder list to be made available to CABs.</w:t>
      </w:r>
    </w:p>
    <w:p w14:paraId="04870C8C" w14:textId="77777777" w:rsidR="003206EB" w:rsidRDefault="003206EB" w:rsidP="00BA0140">
      <w:pPr>
        <w:sectPr w:rsidR="003206EB" w:rsidSect="006F7B20">
          <w:headerReference w:type="default" r:id="rId21"/>
          <w:pgSz w:w="11907" w:h="16834" w:code="9"/>
          <w:pgMar w:top="1440" w:right="1440" w:bottom="1440" w:left="1440" w:header="709" w:footer="709" w:gutter="567"/>
          <w:pgNumType w:start="1"/>
          <w:cols w:space="720"/>
          <w:docGrid w:linePitch="299"/>
        </w:sectPr>
      </w:pPr>
    </w:p>
    <w:p w14:paraId="4BF8FB93" w14:textId="77777777" w:rsidR="00350EE0" w:rsidRPr="00545BF8" w:rsidRDefault="00350EE0" w:rsidP="003206EB">
      <w:pPr>
        <w:pStyle w:val="Heading1"/>
        <w:spacing w:before="0"/>
      </w:pPr>
      <w:bookmarkStart w:id="18" w:name="_Toc479482050"/>
      <w:bookmarkStart w:id="19" w:name="_Toc480293079"/>
      <w:bookmarkStart w:id="20" w:name="_Toc209590447"/>
      <w:r>
        <w:lastRenderedPageBreak/>
        <w:t>2</w:t>
      </w:r>
      <w:r w:rsidRPr="00545BF8">
        <w:t>.</w:t>
      </w:r>
      <w:r w:rsidRPr="00545BF8">
        <w:tab/>
        <w:t xml:space="preserve">Conformity </w:t>
      </w:r>
      <w:r>
        <w:t>a</w:t>
      </w:r>
      <w:r w:rsidRPr="00545BF8">
        <w:t xml:space="preserve">ssessment </w:t>
      </w:r>
      <w:r>
        <w:t>b</w:t>
      </w:r>
      <w:r w:rsidRPr="00545BF8">
        <w:t>odies</w:t>
      </w:r>
      <w:bookmarkEnd w:id="18"/>
      <w:bookmarkEnd w:id="19"/>
      <w:bookmarkEnd w:id="20"/>
    </w:p>
    <w:p w14:paraId="5F0F9131" w14:textId="77777777" w:rsidR="004F328C" w:rsidRDefault="004F328C" w:rsidP="004F328C">
      <w:r w:rsidRPr="00A90AE6">
        <w:t>The requirements</w:t>
      </w:r>
      <w:r>
        <w:t xml:space="preserve"> set out</w:t>
      </w:r>
      <w:r w:rsidRPr="00A90AE6">
        <w:t xml:space="preserve"> </w:t>
      </w:r>
      <w:r>
        <w:t xml:space="preserve">in this document </w:t>
      </w:r>
      <w:r w:rsidRPr="00A90AE6">
        <w:t xml:space="preserve">apply to audits of HCSS providers that hold contracts with </w:t>
      </w:r>
      <w:r>
        <w:t xml:space="preserve">Health New Zealand, Disability Support Services and/or the </w:t>
      </w:r>
      <w:r w:rsidRPr="00A90AE6">
        <w:t>A</w:t>
      </w:r>
      <w:r>
        <w:t>ccident Compensation Corporation.</w:t>
      </w:r>
      <w:r w:rsidRPr="00A90AE6">
        <w:t xml:space="preserve"> </w:t>
      </w:r>
      <w:r>
        <w:t>T</w:t>
      </w:r>
      <w:r w:rsidRPr="00A90AE6">
        <w:t>he</w:t>
      </w:r>
      <w:r>
        <w:t>se</w:t>
      </w:r>
      <w:r w:rsidRPr="00A90AE6">
        <w:t xml:space="preserve"> contract</w:t>
      </w:r>
      <w:r>
        <w:t>s</w:t>
      </w:r>
      <w:r w:rsidRPr="00A90AE6">
        <w:t xml:space="preserve"> require </w:t>
      </w:r>
      <w:r>
        <w:t>HCSS</w:t>
      </w:r>
      <w:r w:rsidRPr="00A90AE6">
        <w:t xml:space="preserve"> provider</w:t>
      </w:r>
      <w:r>
        <w:t>s to</w:t>
      </w:r>
      <w:r w:rsidRPr="00A90AE6">
        <w:t xml:space="preserve"> </w:t>
      </w:r>
      <w:r>
        <w:t xml:space="preserve">demonstrate through certification that they are </w:t>
      </w:r>
      <w:r w:rsidRPr="00A90AE6">
        <w:t>compl</w:t>
      </w:r>
      <w:r>
        <w:t>ying</w:t>
      </w:r>
      <w:r w:rsidRPr="00A90AE6">
        <w:t xml:space="preserve"> with </w:t>
      </w:r>
      <w:proofErr w:type="spellStart"/>
      <w:r>
        <w:t>Ngā</w:t>
      </w:r>
      <w:proofErr w:type="spellEnd"/>
      <w:r>
        <w:t> </w:t>
      </w:r>
      <w:proofErr w:type="spellStart"/>
      <w:r>
        <w:t>Paerewa</w:t>
      </w:r>
      <w:proofErr w:type="spellEnd"/>
      <w:r>
        <w:t>.</w:t>
      </w:r>
      <w:r w:rsidDel="003C099C">
        <w:t xml:space="preserve"> </w:t>
      </w:r>
    </w:p>
    <w:p w14:paraId="7341FF88" w14:textId="77777777" w:rsidR="004F328C" w:rsidRDefault="004F328C" w:rsidP="004F328C"/>
    <w:p w14:paraId="45F4F27A" w14:textId="77777777" w:rsidR="004F328C" w:rsidRPr="00A90AE6" w:rsidRDefault="004F328C" w:rsidP="004F328C">
      <w:r>
        <w:t xml:space="preserve">In </w:t>
      </w:r>
      <w:r w:rsidRPr="00A90AE6">
        <w:t>addition to the contractual requirement</w:t>
      </w:r>
      <w:r>
        <w:t xml:space="preserve"> for HCSS providers</w:t>
      </w:r>
      <w:r w:rsidRPr="00A90AE6">
        <w:t xml:space="preserve"> to hold certification, a funder may undertake or commission other audit and monitoring activities within the terms and conditions of its contract with a provider.</w:t>
      </w:r>
    </w:p>
    <w:p w14:paraId="610705B7" w14:textId="77777777" w:rsidR="004F328C" w:rsidRPr="00A90AE6" w:rsidRDefault="004F328C" w:rsidP="004F328C"/>
    <w:p w14:paraId="65731DB0" w14:textId="77777777" w:rsidR="004F328C" w:rsidRPr="00A90AE6" w:rsidRDefault="004F328C" w:rsidP="004F328C">
      <w:r w:rsidRPr="00A90AE6">
        <w:t>If a CAB meets the requirements in this document, funders can be assured that it follows a robust and consistent process when undertaking audits and providing audit reports that lead to the certification of HCSS providers.</w:t>
      </w:r>
    </w:p>
    <w:p w14:paraId="0C46CB79" w14:textId="77777777" w:rsidR="004F328C" w:rsidRPr="00A90AE6" w:rsidRDefault="004F328C" w:rsidP="004F328C"/>
    <w:p w14:paraId="12F88EF7" w14:textId="77777777" w:rsidR="004F328C" w:rsidRPr="00A90AE6" w:rsidRDefault="004F328C" w:rsidP="004F328C">
      <w:r>
        <w:t>Once an approved CAB audits and certifies a</w:t>
      </w:r>
      <w:r w:rsidRPr="00A90AE6">
        <w:t xml:space="preserve"> HCSS provider</w:t>
      </w:r>
      <w:r>
        <w:t>, that provider</w:t>
      </w:r>
      <w:r w:rsidRPr="00A90AE6">
        <w:t xml:space="preserve"> meet</w:t>
      </w:r>
      <w:r>
        <w:t>s the</w:t>
      </w:r>
      <w:r w:rsidRPr="00A90AE6">
        <w:t xml:space="preserve"> certification requirements in </w:t>
      </w:r>
      <w:r>
        <w:t xml:space="preserve">its </w:t>
      </w:r>
      <w:r w:rsidRPr="00A90AE6">
        <w:t>funder contract. Providers may become certified against standards by non-approved CABs, but those providers will not meet certificat</w:t>
      </w:r>
      <w:r>
        <w:t>ion</w:t>
      </w:r>
      <w:r w:rsidRPr="00A90AE6">
        <w:t xml:space="preserve"> requirements in funder contracts.</w:t>
      </w:r>
    </w:p>
    <w:p w14:paraId="6491616F" w14:textId="77777777" w:rsidR="004F328C" w:rsidRDefault="004F328C" w:rsidP="004F328C">
      <w:bookmarkStart w:id="21" w:name="_Toc332726034"/>
    </w:p>
    <w:bookmarkEnd w:id="21"/>
    <w:p w14:paraId="3853D902" w14:textId="77777777" w:rsidR="004F328C" w:rsidRPr="009D3253" w:rsidRDefault="004F328C" w:rsidP="004F328C">
      <w:r w:rsidRPr="009D3253">
        <w:t xml:space="preserve">The requirements </w:t>
      </w:r>
      <w:r>
        <w:t xml:space="preserve">in this document </w:t>
      </w:r>
      <w:r w:rsidRPr="009D3253">
        <w:t>supplement:</w:t>
      </w:r>
    </w:p>
    <w:p w14:paraId="03B8FAF8" w14:textId="77777777" w:rsidR="004F328C" w:rsidRPr="003206EB" w:rsidRDefault="004F328C" w:rsidP="004F328C">
      <w:pPr>
        <w:pStyle w:val="Bullet"/>
      </w:pPr>
      <w:r w:rsidRPr="003206EB">
        <w:t xml:space="preserve">ISO/IEC 17021-1 </w:t>
      </w:r>
    </w:p>
    <w:p w14:paraId="6A80BC61" w14:textId="77777777" w:rsidR="004F328C" w:rsidRPr="003206EB" w:rsidRDefault="004F328C" w:rsidP="004F328C">
      <w:pPr>
        <w:pStyle w:val="Bullet"/>
      </w:pPr>
      <w:r w:rsidRPr="003206EB">
        <w:t>ISO 19011</w:t>
      </w:r>
      <w:r>
        <w:t>:</w:t>
      </w:r>
      <w:r w:rsidRPr="003206EB">
        <w:t xml:space="preserve"> </w:t>
      </w:r>
      <w:r>
        <w:t>G</w:t>
      </w:r>
      <w:r w:rsidRPr="003206EB">
        <w:t>uidelines for auditing management systems</w:t>
      </w:r>
      <w:r>
        <w:t>.</w:t>
      </w:r>
    </w:p>
    <w:p w14:paraId="67C7CF98" w14:textId="77777777" w:rsidR="004F328C" w:rsidRDefault="004F328C" w:rsidP="004F328C">
      <w:pPr>
        <w:spacing w:before="240"/>
      </w:pPr>
      <w:r w:rsidRPr="009D3253">
        <w:t xml:space="preserve">Except where otherwise stated, all elements of </w:t>
      </w:r>
      <w:r w:rsidRPr="00AB5F9C">
        <w:rPr>
          <w:rFonts w:eastAsia="Arial"/>
        </w:rPr>
        <w:t>ISO/IEC 17021</w:t>
      </w:r>
      <w:r>
        <w:rPr>
          <w:rFonts w:eastAsia="Arial"/>
        </w:rPr>
        <w:t xml:space="preserve">-1 </w:t>
      </w:r>
      <w:r w:rsidRPr="009D3253">
        <w:t>apply.</w:t>
      </w:r>
    </w:p>
    <w:p w14:paraId="7773EBCF" w14:textId="77777777" w:rsidR="004F328C" w:rsidRDefault="004F328C" w:rsidP="004F328C"/>
    <w:p w14:paraId="352A4C20" w14:textId="77777777" w:rsidR="004F328C" w:rsidRPr="00767736" w:rsidRDefault="004F328C" w:rsidP="004F328C">
      <w:r w:rsidRPr="00767736">
        <w:t xml:space="preserve">Additional </w:t>
      </w:r>
      <w:r>
        <w:t>documents</w:t>
      </w:r>
      <w:r w:rsidRPr="00767736">
        <w:t xml:space="preserve"> that apply to these requirements are:</w:t>
      </w:r>
    </w:p>
    <w:p w14:paraId="32B73F11" w14:textId="77777777" w:rsidR="004F328C" w:rsidRPr="00C13CBB" w:rsidRDefault="004F328C" w:rsidP="004F328C">
      <w:pPr>
        <w:pStyle w:val="Number"/>
        <w:ind w:left="426" w:hanging="426"/>
      </w:pPr>
      <w:proofErr w:type="spellStart"/>
      <w:r w:rsidRPr="00C13CBB">
        <w:t>Ngā</w:t>
      </w:r>
      <w:proofErr w:type="spellEnd"/>
      <w:r w:rsidRPr="00C13CBB">
        <w:t> </w:t>
      </w:r>
      <w:proofErr w:type="spellStart"/>
      <w:r w:rsidRPr="00C13CBB">
        <w:t>Paerewa</w:t>
      </w:r>
      <w:proofErr w:type="spellEnd"/>
    </w:p>
    <w:p w14:paraId="3AFB480B" w14:textId="77777777" w:rsidR="004F328C" w:rsidRPr="00C13CBB" w:rsidRDefault="004F328C" w:rsidP="004F328C">
      <w:pPr>
        <w:pStyle w:val="Number"/>
        <w:ind w:left="426" w:hanging="426"/>
      </w:pPr>
      <w:r w:rsidRPr="00C13CBB">
        <w:t>ISO/IEC 17000</w:t>
      </w:r>
      <w:r>
        <w:t xml:space="preserve">: </w:t>
      </w:r>
      <w:r w:rsidRPr="00C13CBB">
        <w:t xml:space="preserve">Conformity </w:t>
      </w:r>
      <w:r>
        <w:t>a</w:t>
      </w:r>
      <w:r w:rsidRPr="00C13CBB">
        <w:t xml:space="preserve">ssessment </w:t>
      </w:r>
      <w:r>
        <w:t xml:space="preserve">– </w:t>
      </w:r>
      <w:r w:rsidRPr="00C13CBB">
        <w:t>Vocabulary and general principles</w:t>
      </w:r>
      <w:r>
        <w:t>.</w:t>
      </w:r>
    </w:p>
    <w:p w14:paraId="550791CE" w14:textId="77777777" w:rsidR="004F328C" w:rsidRPr="009210DF" w:rsidRDefault="004F328C" w:rsidP="004F328C"/>
    <w:p w14:paraId="1E717470" w14:textId="77777777" w:rsidR="004F328C" w:rsidRPr="009B7A1F" w:rsidRDefault="004F328C" w:rsidP="004F328C">
      <w:pPr>
        <w:pStyle w:val="Heading2"/>
        <w:rPr>
          <w:rFonts w:eastAsia="Arial"/>
        </w:rPr>
      </w:pPr>
      <w:bookmarkStart w:id="22" w:name="_Toc479482051"/>
      <w:bookmarkStart w:id="23" w:name="_Toc480293080"/>
      <w:bookmarkStart w:id="24" w:name="_Toc209590448"/>
      <w:r w:rsidRPr="009B7A1F">
        <w:rPr>
          <w:rFonts w:eastAsia="Arial"/>
        </w:rPr>
        <w:t>2.</w:t>
      </w:r>
      <w:r>
        <w:rPr>
          <w:rFonts w:eastAsia="Arial"/>
        </w:rPr>
        <w:t>1</w:t>
      </w:r>
      <w:r>
        <w:rPr>
          <w:rFonts w:eastAsia="Arial"/>
        </w:rPr>
        <w:tab/>
        <w:t>A</w:t>
      </w:r>
      <w:r w:rsidRPr="009B7A1F">
        <w:rPr>
          <w:rFonts w:eastAsia="Arial"/>
        </w:rPr>
        <w:t xml:space="preserve">pproved </w:t>
      </w:r>
      <w:bookmarkEnd w:id="22"/>
      <w:bookmarkEnd w:id="23"/>
      <w:r>
        <w:rPr>
          <w:rFonts w:eastAsia="Arial"/>
        </w:rPr>
        <w:t>conformity assessment bodies</w:t>
      </w:r>
      <w:bookmarkEnd w:id="24"/>
    </w:p>
    <w:p w14:paraId="018CB60C" w14:textId="77777777" w:rsidR="004F328C" w:rsidRPr="007075DF" w:rsidRDefault="004F328C" w:rsidP="004F328C">
      <w:r w:rsidRPr="007075DF">
        <w:t xml:space="preserve">A CAB may audit against </w:t>
      </w:r>
      <w:proofErr w:type="spellStart"/>
      <w:r>
        <w:t>Ngā</w:t>
      </w:r>
      <w:proofErr w:type="spellEnd"/>
      <w:r>
        <w:t> </w:t>
      </w:r>
      <w:proofErr w:type="spellStart"/>
      <w:r>
        <w:t>Paerewa</w:t>
      </w:r>
      <w:proofErr w:type="spellEnd"/>
      <w:r w:rsidRPr="007075DF">
        <w:t xml:space="preserve"> if </w:t>
      </w:r>
      <w:r>
        <w:t>it</w:t>
      </w:r>
      <w:r w:rsidRPr="007075DF">
        <w:t>:</w:t>
      </w:r>
    </w:p>
    <w:p w14:paraId="0E30972B" w14:textId="77777777" w:rsidR="004F328C" w:rsidRPr="007075DF" w:rsidRDefault="004F328C" w:rsidP="004F328C">
      <w:pPr>
        <w:pStyle w:val="Number"/>
        <w:numPr>
          <w:ilvl w:val="0"/>
          <w:numId w:val="7"/>
        </w:numPr>
        <w:ind w:left="426" w:hanging="426"/>
      </w:pPr>
      <w:r w:rsidRPr="007075DF">
        <w:t>meets the requirements in this document</w:t>
      </w:r>
    </w:p>
    <w:p w14:paraId="792417EC" w14:textId="77777777" w:rsidR="004F328C" w:rsidRPr="00BA0140" w:rsidRDefault="004F328C" w:rsidP="004F328C">
      <w:pPr>
        <w:pStyle w:val="Number"/>
        <w:numPr>
          <w:ilvl w:val="0"/>
          <w:numId w:val="7"/>
        </w:numPr>
        <w:ind w:left="426" w:hanging="426"/>
      </w:pPr>
      <w:r>
        <w:t>c</w:t>
      </w:r>
      <w:r w:rsidRPr="00BA0140">
        <w:t>omplies with the following International Accreditation Forum (IAF) documents:</w:t>
      </w:r>
    </w:p>
    <w:p w14:paraId="78B6B320" w14:textId="77777777" w:rsidR="004F328C" w:rsidRPr="00C20695" w:rsidRDefault="004F328C" w:rsidP="004F328C">
      <w:pPr>
        <w:pStyle w:val="Bullet"/>
        <w:tabs>
          <w:tab w:val="clear" w:pos="284"/>
          <w:tab w:val="num" w:pos="709"/>
        </w:tabs>
        <w:ind w:left="709" w:hanging="283"/>
      </w:pPr>
      <w:r w:rsidRPr="00C20695">
        <w:t>ISO 19011: Guidelines for auditing management systems</w:t>
      </w:r>
    </w:p>
    <w:p w14:paraId="1402DAEC" w14:textId="77777777" w:rsidR="004F328C" w:rsidRPr="00C20695" w:rsidRDefault="004F328C" w:rsidP="004F328C">
      <w:pPr>
        <w:pStyle w:val="Bullet"/>
        <w:tabs>
          <w:tab w:val="clear" w:pos="284"/>
          <w:tab w:val="num" w:pos="709"/>
        </w:tabs>
        <w:ind w:left="709" w:hanging="283"/>
      </w:pPr>
      <w:r w:rsidRPr="00C20695">
        <w:t>IAF MD1: IAF Mandatory Document for the Audit and Certification of a Management System Operated by a Multi-Site Organization</w:t>
      </w:r>
    </w:p>
    <w:p w14:paraId="4C9552CB" w14:textId="77777777" w:rsidR="004F328C" w:rsidRPr="00BA0140" w:rsidRDefault="004F328C" w:rsidP="004F328C">
      <w:pPr>
        <w:pStyle w:val="Bullet"/>
        <w:tabs>
          <w:tab w:val="clear" w:pos="284"/>
          <w:tab w:val="num" w:pos="709"/>
        </w:tabs>
        <w:ind w:left="709" w:hanging="283"/>
      </w:pPr>
      <w:r w:rsidRPr="00BA0140">
        <w:t>IAF MD2: International Accreditation Forum Mandatory Document for the Transfer of Accredited Certification of Management Systems</w:t>
      </w:r>
    </w:p>
    <w:p w14:paraId="17962564" w14:textId="77777777" w:rsidR="004F328C" w:rsidRPr="00BA0140" w:rsidRDefault="004F328C" w:rsidP="004F328C">
      <w:pPr>
        <w:pStyle w:val="Bullet"/>
        <w:tabs>
          <w:tab w:val="clear" w:pos="284"/>
          <w:tab w:val="num" w:pos="709"/>
        </w:tabs>
        <w:ind w:left="709" w:hanging="283"/>
      </w:pPr>
      <w:r w:rsidRPr="00BA0140">
        <w:t>IAF MD5: International Accreditation Forum Mandatory Document for Duration of Quality Management Systems and Environmental Management Systems Audits</w:t>
      </w:r>
    </w:p>
    <w:p w14:paraId="76253987" w14:textId="77777777" w:rsidR="004F328C" w:rsidRDefault="004F328C" w:rsidP="004F328C">
      <w:pPr>
        <w:pStyle w:val="Number"/>
        <w:numPr>
          <w:ilvl w:val="0"/>
          <w:numId w:val="7"/>
        </w:numPr>
        <w:ind w:left="426" w:hanging="426"/>
      </w:pPr>
      <w:r w:rsidRPr="007075DF">
        <w:lastRenderedPageBreak/>
        <w:t>is a designated auditing agency as authorised under the Health and Disability Services (Safety) Act 2001</w:t>
      </w:r>
    </w:p>
    <w:p w14:paraId="0D1CE5D5" w14:textId="77777777" w:rsidR="004F328C" w:rsidRPr="007075DF" w:rsidRDefault="004F328C" w:rsidP="004F328C">
      <w:pPr>
        <w:pStyle w:val="Number"/>
        <w:numPr>
          <w:ilvl w:val="0"/>
          <w:numId w:val="7"/>
        </w:numPr>
        <w:ind w:left="426" w:hanging="426"/>
      </w:pPr>
      <w:r w:rsidRPr="00AB2499">
        <w:t>holds third</w:t>
      </w:r>
      <w:r>
        <w:t>-</w:t>
      </w:r>
      <w:r w:rsidRPr="00AB2499">
        <w:t xml:space="preserve">party accreditation with either the Joint Accreditation System of Australia and New Zealand or the </w:t>
      </w:r>
      <w:r w:rsidRPr="00A77C70">
        <w:t>International</w:t>
      </w:r>
      <w:r w:rsidRPr="00AB2499">
        <w:t xml:space="preserve"> Society for Quality </w:t>
      </w:r>
      <w:r w:rsidRPr="005B1502">
        <w:t>in Health Care (</w:t>
      </w:r>
      <w:proofErr w:type="spellStart"/>
      <w:r w:rsidRPr="005B1502">
        <w:t>ISQua</w:t>
      </w:r>
      <w:proofErr w:type="spellEnd"/>
      <w:r w:rsidRPr="005B1502">
        <w:t xml:space="preserve">) </w:t>
      </w:r>
      <w:r>
        <w:t>for</w:t>
      </w:r>
      <w:r w:rsidRPr="005B1502">
        <w:t xml:space="preserve"> </w:t>
      </w:r>
      <w:proofErr w:type="spellStart"/>
      <w:r>
        <w:t>Ngā</w:t>
      </w:r>
      <w:proofErr w:type="spellEnd"/>
      <w:r>
        <w:t> </w:t>
      </w:r>
      <w:proofErr w:type="spellStart"/>
      <w:r>
        <w:t>Paerewa</w:t>
      </w:r>
      <w:proofErr w:type="spellEnd"/>
      <w:r w:rsidRPr="005B1502">
        <w:t>, and meet</w:t>
      </w:r>
      <w:r>
        <w:t>s</w:t>
      </w:r>
      <w:r w:rsidRPr="005B1502">
        <w:t xml:space="preserve"> all costs associated with this accreditation.</w:t>
      </w:r>
      <w:r>
        <w:t xml:space="preserve"> </w:t>
      </w:r>
      <w:r w:rsidRPr="007075DF">
        <w:t xml:space="preserve">If a CAB is </w:t>
      </w:r>
      <w:proofErr w:type="spellStart"/>
      <w:r w:rsidRPr="007075DF">
        <w:t>ISQua</w:t>
      </w:r>
      <w:proofErr w:type="spellEnd"/>
      <w:r w:rsidRPr="007075DF">
        <w:t xml:space="preserve"> accredited, </w:t>
      </w:r>
      <w:r>
        <w:t>it must</w:t>
      </w:r>
      <w:r w:rsidRPr="007075DF">
        <w:t xml:space="preserve"> also demonstrate that, as a minimum:</w:t>
      </w:r>
    </w:p>
    <w:p w14:paraId="28A9E489" w14:textId="77777777" w:rsidR="004F328C" w:rsidRPr="00A44E3B" w:rsidRDefault="004F328C" w:rsidP="004F328C">
      <w:pPr>
        <w:pStyle w:val="Bullet"/>
        <w:tabs>
          <w:tab w:val="clear" w:pos="284"/>
          <w:tab w:val="num" w:pos="709"/>
        </w:tabs>
        <w:ind w:left="709" w:hanging="283"/>
      </w:pPr>
      <w:r>
        <w:t>it</w:t>
      </w:r>
      <w:r w:rsidRPr="00A44E3B">
        <w:t xml:space="preserve"> reports progress annually to </w:t>
      </w:r>
      <w:proofErr w:type="spellStart"/>
      <w:r w:rsidRPr="00A44E3B">
        <w:t>ISQua</w:t>
      </w:r>
      <w:proofErr w:type="spellEnd"/>
    </w:p>
    <w:p w14:paraId="18B1328A" w14:textId="77777777" w:rsidR="004F328C" w:rsidRPr="007075DF" w:rsidRDefault="004F328C" w:rsidP="004F328C">
      <w:pPr>
        <w:pStyle w:val="Bullet"/>
        <w:tabs>
          <w:tab w:val="clear" w:pos="284"/>
          <w:tab w:val="num" w:pos="709"/>
        </w:tabs>
        <w:ind w:left="709" w:hanging="283"/>
      </w:pPr>
      <w:proofErr w:type="spellStart"/>
      <w:r w:rsidRPr="007075DF">
        <w:t>ISQua</w:t>
      </w:r>
      <w:proofErr w:type="spellEnd"/>
      <w:r w:rsidRPr="007075DF">
        <w:t xml:space="preserve"> conducts a two-yearly surveillance audit of </w:t>
      </w:r>
      <w:r>
        <w:t>it</w:t>
      </w:r>
      <w:r w:rsidRPr="007075DF">
        <w:t>.</w:t>
      </w:r>
    </w:p>
    <w:p w14:paraId="60EC98A5" w14:textId="77777777" w:rsidR="004F328C" w:rsidRPr="007075DF" w:rsidRDefault="004F328C" w:rsidP="004F328C"/>
    <w:p w14:paraId="6FA8DAD7" w14:textId="77777777" w:rsidR="004F328C" w:rsidRDefault="004F328C" w:rsidP="004F328C">
      <w:r w:rsidRPr="007075DF">
        <w:t xml:space="preserve">A CAB that meets the criteria listed above is an </w:t>
      </w:r>
      <w:r>
        <w:t>‘</w:t>
      </w:r>
      <w:r w:rsidRPr="007075DF">
        <w:t>approved CAB</w:t>
      </w:r>
      <w:r>
        <w:t>’.</w:t>
      </w:r>
    </w:p>
    <w:p w14:paraId="3BE04F56" w14:textId="77777777" w:rsidR="004F328C" w:rsidRPr="007075DF" w:rsidRDefault="004F328C" w:rsidP="004F328C"/>
    <w:p w14:paraId="27505901" w14:textId="77777777" w:rsidR="004F328C" w:rsidRDefault="004F328C" w:rsidP="004F328C">
      <w:r w:rsidRPr="007075DF">
        <w:t>If a funder asks for a copy of a CAB</w:t>
      </w:r>
      <w:r>
        <w:t>’</w:t>
      </w:r>
      <w:r w:rsidRPr="007075DF">
        <w:t xml:space="preserve">s third-party accreditation certificate, the CAB </w:t>
      </w:r>
      <w:r>
        <w:t>must</w:t>
      </w:r>
      <w:r w:rsidRPr="007075DF">
        <w:t xml:space="preserve"> provide it.</w:t>
      </w:r>
      <w:r>
        <w:t xml:space="preserve"> </w:t>
      </w:r>
      <w:r w:rsidRPr="007075DF">
        <w:t xml:space="preserve">CABs </w:t>
      </w:r>
      <w:r>
        <w:t>must</w:t>
      </w:r>
      <w:r w:rsidRPr="007075DF">
        <w:t xml:space="preserve"> work to the auditing principles and code of ethics outlined in</w:t>
      </w:r>
      <w:r>
        <w:t xml:space="preserve"> the</w:t>
      </w:r>
      <w:r w:rsidRPr="007075DF">
        <w:t xml:space="preserve"> </w:t>
      </w:r>
      <w:r w:rsidRPr="005772E2">
        <w:rPr>
          <w:i/>
        </w:rPr>
        <w:t>Designated Auditing Agency Handbook</w:t>
      </w:r>
      <w:r w:rsidRPr="007075DF">
        <w:t xml:space="preserve"> (Ministry of Health</w:t>
      </w:r>
      <w:r>
        <w:t xml:space="preserve"> 2023)</w:t>
      </w:r>
      <w:r w:rsidRPr="007075DF">
        <w:t>.</w:t>
      </w:r>
    </w:p>
    <w:p w14:paraId="50734F22" w14:textId="77777777" w:rsidR="004F328C" w:rsidRDefault="004F328C" w:rsidP="004F328C"/>
    <w:p w14:paraId="72AFA809" w14:textId="77777777" w:rsidR="004F328C" w:rsidRPr="009B7A1F" w:rsidRDefault="004F328C" w:rsidP="004F328C">
      <w:pPr>
        <w:pStyle w:val="Heading2"/>
        <w:rPr>
          <w:rFonts w:eastAsia="Arial"/>
        </w:rPr>
      </w:pPr>
      <w:bookmarkStart w:id="25" w:name="_Toc479482052"/>
      <w:bookmarkStart w:id="26" w:name="_Toc480293081"/>
      <w:bookmarkStart w:id="27" w:name="_Toc209590449"/>
      <w:r w:rsidRPr="009B7A1F">
        <w:rPr>
          <w:rFonts w:eastAsia="Arial"/>
        </w:rPr>
        <w:t>2.</w:t>
      </w:r>
      <w:r>
        <w:rPr>
          <w:rFonts w:eastAsia="Arial"/>
        </w:rPr>
        <w:t>2</w:t>
      </w:r>
      <w:r>
        <w:rPr>
          <w:rFonts w:eastAsia="Arial"/>
        </w:rPr>
        <w:tab/>
      </w:r>
      <w:r w:rsidRPr="009B7A1F">
        <w:rPr>
          <w:rFonts w:eastAsia="Arial"/>
        </w:rPr>
        <w:t xml:space="preserve">Responsibilities of a </w:t>
      </w:r>
      <w:bookmarkEnd w:id="25"/>
      <w:bookmarkEnd w:id="26"/>
      <w:r>
        <w:rPr>
          <w:rFonts w:eastAsia="Arial"/>
        </w:rPr>
        <w:t>conformity assessment body</w:t>
      </w:r>
      <w:bookmarkEnd w:id="27"/>
    </w:p>
    <w:p w14:paraId="57CE558F" w14:textId="77777777" w:rsidR="004F328C" w:rsidRDefault="004F328C" w:rsidP="004F328C">
      <w:pPr>
        <w:keepNext/>
      </w:pPr>
      <w:r>
        <w:t>As a</w:t>
      </w:r>
      <w:r w:rsidRPr="00767736">
        <w:t xml:space="preserve"> CAB</w:t>
      </w:r>
      <w:r>
        <w:t>, you are</w:t>
      </w:r>
      <w:r w:rsidRPr="00767736">
        <w:t xml:space="preserve"> responsible for:</w:t>
      </w:r>
    </w:p>
    <w:p w14:paraId="21B52532" w14:textId="77777777" w:rsidR="004F328C" w:rsidRPr="00767736" w:rsidRDefault="004F328C" w:rsidP="004F328C">
      <w:pPr>
        <w:pStyle w:val="Number"/>
        <w:numPr>
          <w:ilvl w:val="0"/>
          <w:numId w:val="29"/>
        </w:numPr>
        <w:ind w:left="426" w:hanging="426"/>
      </w:pPr>
      <w:r w:rsidRPr="00767736">
        <w:t xml:space="preserve">meeting </w:t>
      </w:r>
      <w:r>
        <w:t xml:space="preserve">the </w:t>
      </w:r>
      <w:r w:rsidRPr="00767736">
        <w:t xml:space="preserve">requirements outlined in </w:t>
      </w:r>
      <w:r w:rsidRPr="00DC6347">
        <w:t>ISO/IEC 17021-1</w:t>
      </w:r>
    </w:p>
    <w:p w14:paraId="3D60A543" w14:textId="77777777" w:rsidR="004F328C" w:rsidRPr="00767736" w:rsidRDefault="004F328C" w:rsidP="004F328C">
      <w:pPr>
        <w:pStyle w:val="Number"/>
        <w:numPr>
          <w:ilvl w:val="0"/>
          <w:numId w:val="7"/>
        </w:numPr>
        <w:ind w:left="426" w:hanging="426"/>
      </w:pPr>
      <w:r w:rsidRPr="00767736">
        <w:t>coordinating audit activities with the provider such as:</w:t>
      </w:r>
    </w:p>
    <w:p w14:paraId="3FB0DAB9" w14:textId="77777777" w:rsidR="004F328C" w:rsidRDefault="004F328C" w:rsidP="004F328C">
      <w:pPr>
        <w:pStyle w:val="Bullet"/>
        <w:tabs>
          <w:tab w:val="clear" w:pos="284"/>
          <w:tab w:val="num" w:pos="709"/>
        </w:tabs>
        <w:ind w:left="709" w:hanging="283"/>
      </w:pPr>
      <w:r w:rsidRPr="005E7DDA">
        <w:t>ensuring the provider</w:t>
      </w:r>
      <w:r>
        <w:t>’s certification can continue where the provider achieves compliance</w:t>
      </w:r>
    </w:p>
    <w:p w14:paraId="7EC3CDCF" w14:textId="77777777" w:rsidR="004F328C" w:rsidRPr="005E7DDA" w:rsidRDefault="004F328C" w:rsidP="004F328C">
      <w:pPr>
        <w:pStyle w:val="Bullet"/>
        <w:tabs>
          <w:tab w:val="clear" w:pos="284"/>
          <w:tab w:val="num" w:pos="709"/>
        </w:tabs>
        <w:ind w:left="709" w:hanging="283"/>
      </w:pPr>
      <w:r w:rsidRPr="005E7DDA">
        <w:t>planning the audit</w:t>
      </w:r>
    </w:p>
    <w:p w14:paraId="38BB7FE7" w14:textId="77777777" w:rsidR="004F328C" w:rsidRPr="005E7DDA" w:rsidRDefault="004F328C" w:rsidP="004F328C">
      <w:pPr>
        <w:pStyle w:val="Bullet"/>
        <w:tabs>
          <w:tab w:val="clear" w:pos="284"/>
          <w:tab w:val="num" w:pos="709"/>
        </w:tabs>
        <w:ind w:left="709" w:hanging="283"/>
      </w:pPr>
      <w:r>
        <w:t xml:space="preserve">conducting the </w:t>
      </w:r>
      <w:r w:rsidRPr="005E7DDA">
        <w:t>audit</w:t>
      </w:r>
    </w:p>
    <w:p w14:paraId="0C268495" w14:textId="77777777" w:rsidR="004F328C" w:rsidRPr="005E7DDA" w:rsidRDefault="004F328C" w:rsidP="004F328C">
      <w:pPr>
        <w:pStyle w:val="Bullet"/>
        <w:tabs>
          <w:tab w:val="clear" w:pos="284"/>
          <w:tab w:val="num" w:pos="709"/>
        </w:tabs>
        <w:ind w:left="709" w:hanging="283"/>
      </w:pPr>
      <w:r w:rsidRPr="005E7DDA">
        <w:t>writing the audit report</w:t>
      </w:r>
    </w:p>
    <w:p w14:paraId="3CB8FC6E" w14:textId="77777777" w:rsidR="004F328C" w:rsidRPr="00123C98" w:rsidRDefault="004F328C" w:rsidP="004F328C">
      <w:pPr>
        <w:pStyle w:val="Bullet"/>
        <w:tabs>
          <w:tab w:val="clear" w:pos="284"/>
          <w:tab w:val="num" w:pos="709"/>
        </w:tabs>
        <w:ind w:left="709" w:hanging="283"/>
      </w:pPr>
      <w:r>
        <w:t>establishing that the</w:t>
      </w:r>
      <w:r w:rsidRPr="005E7DDA">
        <w:t xml:space="preserve"> provider</w:t>
      </w:r>
      <w:r>
        <w:t>’s</w:t>
      </w:r>
      <w:r w:rsidRPr="005E7DDA">
        <w:t xml:space="preserve"> certification status is consistent with this document, ISO 19011</w:t>
      </w:r>
      <w:r>
        <w:t xml:space="preserve"> </w:t>
      </w:r>
      <w:r w:rsidRPr="005E7DDA">
        <w:t xml:space="preserve">and </w:t>
      </w:r>
      <w:r w:rsidRPr="005C2005">
        <w:t>ISO/IEC 17021-1</w:t>
      </w:r>
    </w:p>
    <w:p w14:paraId="1FB8D98F" w14:textId="77777777" w:rsidR="004F328C" w:rsidRDefault="004F328C" w:rsidP="004F328C">
      <w:pPr>
        <w:pStyle w:val="Number"/>
        <w:numPr>
          <w:ilvl w:val="0"/>
          <w:numId w:val="7"/>
        </w:numPr>
        <w:ind w:left="426" w:hanging="426"/>
      </w:pPr>
      <w:r w:rsidRPr="00767736">
        <w:t xml:space="preserve">contacting the funders before an on-site audit (as part of </w:t>
      </w:r>
      <w:r>
        <w:t xml:space="preserve">sampling plan and </w:t>
      </w:r>
      <w:r w:rsidRPr="00767736">
        <w:t>audit planning)</w:t>
      </w:r>
      <w:r>
        <w:t xml:space="preserve"> to seek feedback about issues and concerns </w:t>
      </w:r>
    </w:p>
    <w:p w14:paraId="117F1560" w14:textId="77777777" w:rsidR="004F328C" w:rsidRDefault="004F328C" w:rsidP="004F328C">
      <w:pPr>
        <w:pStyle w:val="Number"/>
        <w:numPr>
          <w:ilvl w:val="0"/>
          <w:numId w:val="7"/>
        </w:numPr>
        <w:ind w:left="426" w:hanging="426"/>
      </w:pPr>
      <w:r>
        <w:t>Giving the provider a copy of any funder feedback seven days before the audit</w:t>
      </w:r>
    </w:p>
    <w:p w14:paraId="5363AFDB" w14:textId="77777777" w:rsidR="004F328C" w:rsidRDefault="004F328C" w:rsidP="004F328C">
      <w:pPr>
        <w:pStyle w:val="Number"/>
        <w:numPr>
          <w:ilvl w:val="0"/>
          <w:numId w:val="7"/>
        </w:numPr>
        <w:ind w:left="426" w:hanging="426"/>
      </w:pPr>
      <w:r>
        <w:t>submitting</w:t>
      </w:r>
      <w:r w:rsidRPr="00577463">
        <w:t xml:space="preserve"> the audit report to </w:t>
      </w:r>
      <w:proofErr w:type="spellStart"/>
      <w:r w:rsidRPr="00577463">
        <w:t>HealthCERT</w:t>
      </w:r>
      <w:proofErr w:type="spellEnd"/>
      <w:r>
        <w:t>,</w:t>
      </w:r>
      <w:r w:rsidRPr="00577463">
        <w:t xml:space="preserve"> </w:t>
      </w:r>
      <w:r>
        <w:t>which will engage no fewer than two</w:t>
      </w:r>
      <w:r w:rsidRPr="00577463">
        <w:t xml:space="preserve"> IAC</w:t>
      </w:r>
      <w:r>
        <w:t xml:space="preserve"> members</w:t>
      </w:r>
      <w:r w:rsidRPr="00577463">
        <w:t xml:space="preserve"> </w:t>
      </w:r>
      <w:r>
        <w:t>to review the audit report</w:t>
      </w:r>
    </w:p>
    <w:p w14:paraId="325E564D" w14:textId="77777777" w:rsidR="004F328C" w:rsidRPr="00110E79" w:rsidRDefault="004F328C" w:rsidP="004F328C">
      <w:pPr>
        <w:pStyle w:val="Number"/>
        <w:numPr>
          <w:ilvl w:val="0"/>
          <w:numId w:val="7"/>
        </w:numPr>
        <w:ind w:left="426" w:hanging="426"/>
      </w:pPr>
      <w:r w:rsidRPr="00577463">
        <w:t xml:space="preserve">providing a draft of the audit report </w:t>
      </w:r>
      <w:r>
        <w:t>that covers</w:t>
      </w:r>
      <w:r w:rsidRPr="00577463">
        <w:t xml:space="preserve"> any </w:t>
      </w:r>
      <w:r>
        <w:t>specific</w:t>
      </w:r>
      <w:r w:rsidRPr="001B34B4">
        <w:t xml:space="preserve"> </w:t>
      </w:r>
      <w:r w:rsidRPr="00577463">
        <w:t>additional</w:t>
      </w:r>
      <w:r>
        <w:t xml:space="preserve"> </w:t>
      </w:r>
      <w:r w:rsidRPr="00577463">
        <w:t xml:space="preserve">contractual requirements </w:t>
      </w:r>
      <w:r>
        <w:t>that</w:t>
      </w:r>
      <w:r w:rsidRPr="00577463">
        <w:t xml:space="preserve"> the funder has paid </w:t>
      </w:r>
      <w:r>
        <w:t>you</w:t>
      </w:r>
      <w:r w:rsidRPr="00110E79">
        <w:t xml:space="preserve"> to audit</w:t>
      </w:r>
    </w:p>
    <w:p w14:paraId="68219778" w14:textId="77777777" w:rsidR="004F328C" w:rsidRDefault="004F328C" w:rsidP="004F328C">
      <w:pPr>
        <w:pStyle w:val="Number"/>
        <w:numPr>
          <w:ilvl w:val="0"/>
          <w:numId w:val="7"/>
        </w:numPr>
        <w:ind w:left="426" w:hanging="426"/>
      </w:pPr>
      <w:r w:rsidRPr="00767736">
        <w:t xml:space="preserve">submitting an electronic audit report using a specified template </w:t>
      </w:r>
      <w:r>
        <w:t>in</w:t>
      </w:r>
      <w:r w:rsidRPr="00767736">
        <w:t>to</w:t>
      </w:r>
      <w:r>
        <w:t xml:space="preserve"> the PRMS</w:t>
      </w:r>
    </w:p>
    <w:p w14:paraId="6BBCCC14" w14:textId="77777777" w:rsidR="004F328C" w:rsidRDefault="004F328C" w:rsidP="004F328C">
      <w:pPr>
        <w:pStyle w:val="Number"/>
        <w:numPr>
          <w:ilvl w:val="0"/>
          <w:numId w:val="7"/>
        </w:numPr>
        <w:ind w:left="426" w:hanging="426"/>
      </w:pPr>
      <w:r w:rsidRPr="00767736">
        <w:t>notifying funders</w:t>
      </w:r>
      <w:r>
        <w:t xml:space="preserve"> in writing</w:t>
      </w:r>
      <w:r w:rsidRPr="00767736">
        <w:t xml:space="preserve"> as soon as practicable (ideally at the time of audit, but within 24 hours of completion of the audit) where</w:t>
      </w:r>
      <w:r>
        <w:t xml:space="preserve"> the audit identifies</w:t>
      </w:r>
      <w:r w:rsidRPr="00767736">
        <w:t xml:space="preserve"> critical or high risks</w:t>
      </w:r>
      <w:r>
        <w:t xml:space="preserve">; and/or notifying funders where a cumulative number of corrective actions delay the </w:t>
      </w:r>
      <w:r>
        <w:lastRenderedPageBreak/>
        <w:t>awarding of certification. For national providers, all funders must be informed of critical or high risks irrespective of whether the audited site was in their region</w:t>
      </w:r>
    </w:p>
    <w:p w14:paraId="44EE1446" w14:textId="77777777" w:rsidR="004F328C" w:rsidRPr="00B01C8F" w:rsidRDefault="004F328C" w:rsidP="004F328C">
      <w:pPr>
        <w:pStyle w:val="Number"/>
        <w:numPr>
          <w:ilvl w:val="0"/>
          <w:numId w:val="7"/>
        </w:numPr>
        <w:ind w:left="426" w:hanging="426"/>
      </w:pPr>
      <w:r w:rsidRPr="00B01C8F">
        <w:t xml:space="preserve">monitoring the provider throughout the certification period in </w:t>
      </w:r>
      <w:r>
        <w:t>line</w:t>
      </w:r>
      <w:r w:rsidRPr="00B01C8F">
        <w:t xml:space="preserve"> with surveillance requirements and any progress reporting that </w:t>
      </w:r>
      <w:r>
        <w:t>is required as a result of the audit</w:t>
      </w:r>
    </w:p>
    <w:p w14:paraId="7C8CA8C1" w14:textId="77777777" w:rsidR="004F328C" w:rsidRDefault="004F328C" w:rsidP="004F328C">
      <w:pPr>
        <w:pStyle w:val="Number"/>
        <w:numPr>
          <w:ilvl w:val="0"/>
          <w:numId w:val="7"/>
        </w:numPr>
        <w:ind w:left="426" w:hanging="426"/>
      </w:pPr>
      <w:r w:rsidRPr="005E7DDA">
        <w:t xml:space="preserve">notifying funders if </w:t>
      </w:r>
      <w:r>
        <w:t xml:space="preserve">the provider’s </w:t>
      </w:r>
      <w:r w:rsidRPr="005E7DDA">
        <w:t xml:space="preserve">progress against corrective actions </w:t>
      </w:r>
      <w:r>
        <w:t xml:space="preserve">is </w:t>
      </w:r>
      <w:r w:rsidRPr="005E7DDA">
        <w:t>inadequate</w:t>
      </w:r>
      <w:r>
        <w:t xml:space="preserve"> and submitting a record of progress monitoring into the PRMS</w:t>
      </w:r>
    </w:p>
    <w:p w14:paraId="3B32E076" w14:textId="77777777" w:rsidR="004F328C" w:rsidRDefault="004F328C" w:rsidP="004F328C">
      <w:pPr>
        <w:pStyle w:val="Number"/>
        <w:numPr>
          <w:ilvl w:val="0"/>
          <w:numId w:val="7"/>
        </w:numPr>
        <w:ind w:left="426" w:hanging="426"/>
      </w:pPr>
      <w:r>
        <w:t>p</w:t>
      </w:r>
      <w:r w:rsidRPr="003F6642">
        <w:t>rovid</w:t>
      </w:r>
      <w:r>
        <w:t>ing</w:t>
      </w:r>
      <w:r w:rsidRPr="003F6642">
        <w:t xml:space="preserve"> the </w:t>
      </w:r>
      <w:r>
        <w:t>Oversight Committee</w:t>
      </w:r>
      <w:r w:rsidRPr="003F6642">
        <w:t xml:space="preserve"> with an annual audit schedule, commencing</w:t>
      </w:r>
      <w:r w:rsidRPr="00DC6347">
        <w:t xml:space="preserve"> </w:t>
      </w:r>
      <w:r w:rsidRPr="003F6642">
        <w:t>29 January each year</w:t>
      </w:r>
      <w:r>
        <w:t>,</w:t>
      </w:r>
      <w:r w:rsidRPr="003F6642">
        <w:t xml:space="preserve"> and an update of this schedule on a quarterly basis.</w:t>
      </w:r>
    </w:p>
    <w:p w14:paraId="520D9783" w14:textId="77777777" w:rsidR="004F328C" w:rsidRPr="003F6642" w:rsidRDefault="004F328C" w:rsidP="004F328C"/>
    <w:p w14:paraId="29D9DB85" w14:textId="77777777" w:rsidR="004F328C" w:rsidRPr="009B7A1F" w:rsidRDefault="004F328C" w:rsidP="004F328C">
      <w:pPr>
        <w:pStyle w:val="Heading2"/>
        <w:rPr>
          <w:rFonts w:eastAsia="Arial"/>
        </w:rPr>
      </w:pPr>
      <w:bookmarkStart w:id="28" w:name="_Toc479482053"/>
      <w:bookmarkStart w:id="29" w:name="_Toc480293082"/>
      <w:bookmarkStart w:id="30" w:name="_Toc209590450"/>
      <w:r>
        <w:rPr>
          <w:rFonts w:eastAsia="Arial"/>
        </w:rPr>
        <w:t>2.3</w:t>
      </w:r>
      <w:r>
        <w:rPr>
          <w:rFonts w:eastAsia="Arial"/>
        </w:rPr>
        <w:tab/>
      </w:r>
      <w:r w:rsidRPr="009B7A1F">
        <w:rPr>
          <w:rFonts w:eastAsia="Arial"/>
        </w:rPr>
        <w:t xml:space="preserve">Audit </w:t>
      </w:r>
      <w:r>
        <w:rPr>
          <w:rFonts w:eastAsia="Arial"/>
        </w:rPr>
        <w:t>t</w:t>
      </w:r>
      <w:r w:rsidRPr="009B7A1F">
        <w:rPr>
          <w:rFonts w:eastAsia="Arial"/>
        </w:rPr>
        <w:t>eams</w:t>
      </w:r>
      <w:bookmarkEnd w:id="28"/>
      <w:bookmarkEnd w:id="29"/>
      <w:bookmarkEnd w:id="30"/>
    </w:p>
    <w:p w14:paraId="25C75030" w14:textId="77777777" w:rsidR="004F328C" w:rsidRPr="009370C0" w:rsidRDefault="004F328C" w:rsidP="004F328C">
      <w:r w:rsidRPr="009370C0">
        <w:t xml:space="preserve">The audit team </w:t>
      </w:r>
      <w:r>
        <w:t>must</w:t>
      </w:r>
      <w:r w:rsidRPr="009370C0">
        <w:t xml:space="preserve"> follow the principles of auditing</w:t>
      </w:r>
      <w:r>
        <w:t xml:space="preserve"> set out in</w:t>
      </w:r>
      <w:r w:rsidRPr="009370C0">
        <w:t>:</w:t>
      </w:r>
    </w:p>
    <w:p w14:paraId="6A5C173A" w14:textId="77777777" w:rsidR="004F328C" w:rsidRPr="00AB2499" w:rsidRDefault="004F328C" w:rsidP="004F328C">
      <w:pPr>
        <w:pStyle w:val="Number"/>
        <w:numPr>
          <w:ilvl w:val="0"/>
          <w:numId w:val="30"/>
        </w:numPr>
        <w:ind w:left="426" w:hanging="426"/>
      </w:pPr>
      <w:r w:rsidRPr="00DC6347">
        <w:t>ISO/IEC 17021-1</w:t>
      </w:r>
    </w:p>
    <w:p w14:paraId="69F40B72" w14:textId="77777777" w:rsidR="004F328C" w:rsidRDefault="004F328C" w:rsidP="004F328C">
      <w:pPr>
        <w:pStyle w:val="Number"/>
        <w:numPr>
          <w:ilvl w:val="0"/>
          <w:numId w:val="7"/>
        </w:numPr>
        <w:ind w:left="426" w:hanging="426"/>
      </w:pPr>
      <w:r w:rsidRPr="009370C0">
        <w:t xml:space="preserve">the </w:t>
      </w:r>
      <w:r w:rsidRPr="00A1307B">
        <w:rPr>
          <w:i/>
          <w:iCs/>
        </w:rPr>
        <w:t>Designated Auditing Agency Handbook</w:t>
      </w:r>
      <w:r>
        <w:t xml:space="preserve"> (Ministry of Health 2023).</w:t>
      </w:r>
    </w:p>
    <w:p w14:paraId="52680C86" w14:textId="77777777" w:rsidR="004F328C" w:rsidRDefault="004F328C" w:rsidP="004F328C"/>
    <w:p w14:paraId="7CB55109" w14:textId="77777777" w:rsidR="004F328C" w:rsidRPr="009370C0" w:rsidRDefault="004F328C" w:rsidP="004F328C">
      <w:r w:rsidRPr="009370C0">
        <w:t xml:space="preserve">The </w:t>
      </w:r>
      <w:r>
        <w:t xml:space="preserve">members of the </w:t>
      </w:r>
      <w:r w:rsidRPr="009370C0">
        <w:t xml:space="preserve">audit team </w:t>
      </w:r>
      <w:r>
        <w:t>must be</w:t>
      </w:r>
      <w:r w:rsidRPr="009370C0">
        <w:t xml:space="preserve"> competen</w:t>
      </w:r>
      <w:r>
        <w:t>t in areas</w:t>
      </w:r>
      <w:r w:rsidRPr="009370C0">
        <w:t xml:space="preserve"> appropriate to the service</w:t>
      </w:r>
      <w:r>
        <w:t xml:space="preserve"> they are auditing</w:t>
      </w:r>
      <w:r w:rsidRPr="009370C0">
        <w:t>.</w:t>
      </w:r>
      <w:r>
        <w:t xml:space="preserve"> </w:t>
      </w:r>
      <w:r w:rsidRPr="009370C0">
        <w:t xml:space="preserve">The </w:t>
      </w:r>
      <w:r>
        <w:t>team must have enough</w:t>
      </w:r>
      <w:r w:rsidRPr="009370C0">
        <w:t xml:space="preserve"> auditors to complete the audit against all relevant criteria in the standards.</w:t>
      </w:r>
    </w:p>
    <w:p w14:paraId="52F2B6BC" w14:textId="77777777" w:rsidR="004F328C" w:rsidRPr="009370C0" w:rsidRDefault="004F328C" w:rsidP="004F328C"/>
    <w:p w14:paraId="44593CDD" w14:textId="77777777" w:rsidR="004F328C" w:rsidRPr="009370C0" w:rsidRDefault="004F328C" w:rsidP="004F328C">
      <w:r w:rsidRPr="009370C0">
        <w:t xml:space="preserve">The audit team </w:t>
      </w:r>
      <w:r>
        <w:t>must</w:t>
      </w:r>
      <w:r w:rsidRPr="009370C0">
        <w:t xml:space="preserve"> include a:</w:t>
      </w:r>
    </w:p>
    <w:p w14:paraId="2E80B9B6" w14:textId="77777777" w:rsidR="004F328C" w:rsidRPr="009370C0" w:rsidRDefault="004F328C" w:rsidP="004F328C">
      <w:pPr>
        <w:pStyle w:val="Number"/>
        <w:numPr>
          <w:ilvl w:val="0"/>
          <w:numId w:val="32"/>
        </w:numPr>
        <w:ind w:left="426" w:hanging="426"/>
      </w:pPr>
      <w:r w:rsidRPr="009370C0">
        <w:t>team leader (or lead auditor) who</w:t>
      </w:r>
      <w:r>
        <w:t xml:space="preserve"> </w:t>
      </w:r>
      <w:r w:rsidRPr="00AB2499">
        <w:t xml:space="preserve">is familiar with </w:t>
      </w:r>
      <w:r>
        <w:t xml:space="preserve">person-centred, restorative </w:t>
      </w:r>
      <w:r w:rsidRPr="00AB2499">
        <w:t>H</w:t>
      </w:r>
      <w:r>
        <w:t>CSS</w:t>
      </w:r>
      <w:r w:rsidRPr="00AB2499">
        <w:t xml:space="preserve"> models of care</w:t>
      </w:r>
    </w:p>
    <w:p w14:paraId="1B614347" w14:textId="77777777" w:rsidR="004F328C" w:rsidRPr="009370C0" w:rsidRDefault="004F328C" w:rsidP="004F328C">
      <w:pPr>
        <w:pStyle w:val="Number"/>
        <w:numPr>
          <w:ilvl w:val="0"/>
          <w:numId w:val="7"/>
        </w:numPr>
        <w:ind w:left="426" w:hanging="426"/>
      </w:pPr>
      <w:r w:rsidRPr="009370C0">
        <w:t>clinical/technical expert in the delivery of HCSS who has:</w:t>
      </w:r>
    </w:p>
    <w:p w14:paraId="7D5EAB31" w14:textId="77777777" w:rsidR="004F328C" w:rsidRDefault="004F328C" w:rsidP="004F328C">
      <w:pPr>
        <w:pStyle w:val="Bullet"/>
        <w:tabs>
          <w:tab w:val="clear" w:pos="284"/>
          <w:tab w:val="num" w:pos="709"/>
        </w:tabs>
        <w:ind w:left="709" w:hanging="283"/>
      </w:pPr>
      <w:r>
        <w:t xml:space="preserve">a </w:t>
      </w:r>
      <w:r w:rsidRPr="00226BDE">
        <w:t>qualification in nursing or allied health services and current annual practising certificate</w:t>
      </w:r>
      <w:r>
        <w:t>,</w:t>
      </w:r>
      <w:r w:rsidRPr="00226BDE">
        <w:t xml:space="preserve"> </w:t>
      </w:r>
      <w:r w:rsidRPr="002E004F">
        <w:t>or</w:t>
      </w:r>
      <w:r>
        <w:t xml:space="preserve"> a </w:t>
      </w:r>
      <w:r w:rsidRPr="00226BDE">
        <w:t>rehabilitation qualification and</w:t>
      </w:r>
      <w:r>
        <w:t>/or</w:t>
      </w:r>
      <w:r w:rsidRPr="00226BDE">
        <w:t xml:space="preserve"> home care auditing experience</w:t>
      </w:r>
    </w:p>
    <w:p w14:paraId="33DA840B" w14:textId="77777777" w:rsidR="004F328C" w:rsidRDefault="004F328C" w:rsidP="004F328C">
      <w:pPr>
        <w:pStyle w:val="Bullet"/>
        <w:tabs>
          <w:tab w:val="clear" w:pos="284"/>
          <w:tab w:val="num" w:pos="709"/>
        </w:tabs>
        <w:ind w:left="709" w:hanging="283"/>
      </w:pPr>
      <w:r>
        <w:t>experience in medication management (within an HCSS setting)</w:t>
      </w:r>
    </w:p>
    <w:p w14:paraId="61085C9B" w14:textId="77777777" w:rsidR="004F328C" w:rsidRPr="009370C0" w:rsidRDefault="004F328C" w:rsidP="004F328C">
      <w:pPr>
        <w:pStyle w:val="Number"/>
        <w:numPr>
          <w:ilvl w:val="0"/>
          <w:numId w:val="7"/>
        </w:numPr>
        <w:ind w:left="426" w:hanging="426"/>
      </w:pPr>
      <w:r w:rsidRPr="009370C0">
        <w:t xml:space="preserve">consumer auditor </w:t>
      </w:r>
      <w:r>
        <w:t>when this is a</w:t>
      </w:r>
      <w:r w:rsidRPr="009370C0">
        <w:t xml:space="preserve"> contractual requirement</w:t>
      </w:r>
      <w:r>
        <w:t>.</w:t>
      </w:r>
      <w:r w:rsidRPr="009370C0">
        <w:t xml:space="preserve"> </w:t>
      </w:r>
    </w:p>
    <w:p w14:paraId="18D59282" w14:textId="77777777" w:rsidR="004F328C" w:rsidRPr="009370C0" w:rsidRDefault="004F328C" w:rsidP="00BC3C4A"/>
    <w:p w14:paraId="546243CA" w14:textId="77777777" w:rsidR="004F328C" w:rsidRPr="009370C0" w:rsidRDefault="004F328C" w:rsidP="00BC3C4A">
      <w:r w:rsidRPr="009370C0">
        <w:t>Auditors have developed sufficient knowledge and skills in quality management</w:t>
      </w:r>
      <w:r>
        <w:t xml:space="preserve"> if they have achieved as a minimum</w:t>
      </w:r>
      <w:r w:rsidRPr="009370C0">
        <w:t>:</w:t>
      </w:r>
    </w:p>
    <w:p w14:paraId="58CF8FEC" w14:textId="77777777" w:rsidR="004F328C" w:rsidRPr="00AB2499" w:rsidRDefault="004F328C" w:rsidP="004F328C">
      <w:pPr>
        <w:pStyle w:val="Number"/>
        <w:numPr>
          <w:ilvl w:val="0"/>
          <w:numId w:val="33"/>
        </w:numPr>
        <w:ind w:left="426" w:hanging="426"/>
      </w:pPr>
      <w:r>
        <w:t xml:space="preserve">a recognised auditing </w:t>
      </w:r>
      <w:r w:rsidRPr="00AB2499">
        <w:t xml:space="preserve">qualification </w:t>
      </w:r>
      <w:r>
        <w:t>(</w:t>
      </w:r>
      <w:proofErr w:type="spellStart"/>
      <w:r>
        <w:t>eg</w:t>
      </w:r>
      <w:proofErr w:type="spellEnd"/>
      <w:r>
        <w:t xml:space="preserve">, </w:t>
      </w:r>
      <w:r w:rsidRPr="00AB2499">
        <w:t>N</w:t>
      </w:r>
      <w:r>
        <w:t xml:space="preserve">ew </w:t>
      </w:r>
      <w:r w:rsidRPr="00AB2499">
        <w:t>Z</w:t>
      </w:r>
      <w:r>
        <w:t xml:space="preserve">ealand </w:t>
      </w:r>
      <w:r w:rsidRPr="00AB2499">
        <w:t>Q</w:t>
      </w:r>
      <w:r>
        <w:t xml:space="preserve">ualifications </w:t>
      </w:r>
      <w:r w:rsidRPr="00AB2499">
        <w:t>A</w:t>
      </w:r>
      <w:r>
        <w:t>uthority</w:t>
      </w:r>
      <w:r w:rsidRPr="00AB2499">
        <w:t> </w:t>
      </w:r>
      <w:r>
        <w:t xml:space="preserve">unit standard </w:t>
      </w:r>
      <w:r w:rsidRPr="00AB2499">
        <w:t>808</w:t>
      </w:r>
      <w:r>
        <w:t>6 and</w:t>
      </w:r>
    </w:p>
    <w:p w14:paraId="2DD12E06" w14:textId="77777777" w:rsidR="004F328C" w:rsidRPr="009370C0" w:rsidRDefault="004F328C" w:rsidP="004F328C">
      <w:pPr>
        <w:pStyle w:val="Number"/>
        <w:numPr>
          <w:ilvl w:val="0"/>
          <w:numId w:val="7"/>
        </w:numPr>
        <w:ind w:left="426" w:hanging="426"/>
      </w:pPr>
      <w:r w:rsidRPr="009370C0">
        <w:t>two years</w:t>
      </w:r>
      <w:r>
        <w:t>’</w:t>
      </w:r>
      <w:r w:rsidRPr="009370C0">
        <w:t xml:space="preserve"> work experience</w:t>
      </w:r>
      <w:r>
        <w:t xml:space="preserve"> in the health and disability sector, unless they are a consumer auditor.</w:t>
      </w:r>
      <w:r w:rsidDel="00CE1891">
        <w:t xml:space="preserve"> </w:t>
      </w:r>
    </w:p>
    <w:p w14:paraId="4CDF5520" w14:textId="77777777" w:rsidR="004F328C" w:rsidRPr="009370C0" w:rsidRDefault="004F328C" w:rsidP="00BC3C4A"/>
    <w:p w14:paraId="2ED18844" w14:textId="77777777" w:rsidR="004F328C" w:rsidRDefault="004F328C" w:rsidP="00BC3C4A">
      <w:r w:rsidRPr="009370C0">
        <w:t xml:space="preserve">Clinical/technical experts </w:t>
      </w:r>
      <w:r>
        <w:t>must</w:t>
      </w:r>
      <w:r w:rsidRPr="009370C0">
        <w:t xml:space="preserve"> have </w:t>
      </w:r>
      <w:r>
        <w:t>at least</w:t>
      </w:r>
      <w:r w:rsidRPr="009370C0">
        <w:t xml:space="preserve"> two years</w:t>
      </w:r>
      <w:r>
        <w:t>’</w:t>
      </w:r>
      <w:r w:rsidRPr="009370C0">
        <w:t xml:space="preserve"> work experience in HCSS or related fields</w:t>
      </w:r>
      <w:r>
        <w:t>,</w:t>
      </w:r>
      <w:r w:rsidRPr="009370C0">
        <w:t xml:space="preserve"> or have experience in auditing home care services.</w:t>
      </w:r>
    </w:p>
    <w:p w14:paraId="376551CD" w14:textId="77777777" w:rsidR="004F328C" w:rsidRPr="009370C0" w:rsidRDefault="004F328C" w:rsidP="00BC3C4A"/>
    <w:p w14:paraId="44FFE8AF" w14:textId="77777777" w:rsidR="004F328C" w:rsidRPr="009370C0" w:rsidRDefault="004F328C" w:rsidP="00BC3C4A">
      <w:r w:rsidRPr="009370C0">
        <w:t xml:space="preserve">The team leader and clinical/technical expert may be the same person and fulfil </w:t>
      </w:r>
      <w:r>
        <w:t xml:space="preserve">the </w:t>
      </w:r>
      <w:r w:rsidRPr="009370C0">
        <w:t xml:space="preserve">roles and responsibilities of </w:t>
      </w:r>
      <w:r>
        <w:t xml:space="preserve">both </w:t>
      </w:r>
      <w:r w:rsidRPr="009370C0">
        <w:t xml:space="preserve">if </w:t>
      </w:r>
      <w:r>
        <w:t xml:space="preserve">they </w:t>
      </w:r>
      <w:r w:rsidRPr="009370C0">
        <w:t>meet the criteria</w:t>
      </w:r>
      <w:r>
        <w:t xml:space="preserve"> for both roles</w:t>
      </w:r>
      <w:r w:rsidRPr="009370C0">
        <w:t>.</w:t>
      </w:r>
    </w:p>
    <w:p w14:paraId="77F127B4" w14:textId="77777777" w:rsidR="004F328C" w:rsidRPr="009370C0" w:rsidRDefault="004F328C" w:rsidP="00BC3C4A">
      <w:r w:rsidRPr="009370C0">
        <w:lastRenderedPageBreak/>
        <w:t xml:space="preserve">A consumer auditor may be a qualified auditor or a person who has been trained in auditing principles (but is not </w:t>
      </w:r>
      <w:r>
        <w:t xml:space="preserve">necessarily </w:t>
      </w:r>
      <w:r w:rsidRPr="009370C0">
        <w:t xml:space="preserve">qualified as an auditor) and is a person with a disability and lived experience of receiving residential services or HCSS or a family member of </w:t>
      </w:r>
      <w:r>
        <w:t xml:space="preserve">such a </w:t>
      </w:r>
      <w:r w:rsidRPr="009370C0">
        <w:t xml:space="preserve">person. Where </w:t>
      </w:r>
      <w:r>
        <w:t xml:space="preserve">a </w:t>
      </w:r>
      <w:r w:rsidRPr="009370C0">
        <w:t>consumer auditor is qualified as an auditor, they may take on audit functions in addition to the</w:t>
      </w:r>
      <w:r>
        <w:t>ir</w:t>
      </w:r>
      <w:r w:rsidRPr="009370C0">
        <w:t xml:space="preserve"> consumer role as outlined in </w:t>
      </w:r>
      <w:r>
        <w:t xml:space="preserve">the </w:t>
      </w:r>
      <w:r w:rsidRPr="00174800">
        <w:rPr>
          <w:i/>
        </w:rPr>
        <w:t>Designated Auditing Agency Handbook</w:t>
      </w:r>
      <w:r>
        <w:t>.</w:t>
      </w:r>
    </w:p>
    <w:p w14:paraId="798D1AED" w14:textId="77777777" w:rsidR="004F328C" w:rsidRPr="009370C0" w:rsidRDefault="004F328C" w:rsidP="00BC3C4A"/>
    <w:p w14:paraId="354EDDB9" w14:textId="77777777" w:rsidR="004F328C" w:rsidRPr="009370C0" w:rsidRDefault="004F328C" w:rsidP="00BC3C4A">
      <w:r w:rsidRPr="009370C0">
        <w:t xml:space="preserve">If a team of two or more is performing an audit, each team member does not have to meet all the competency criteria for the area of activity involved. However, the team as a whole </w:t>
      </w:r>
      <w:r>
        <w:t>must</w:t>
      </w:r>
      <w:r w:rsidRPr="009370C0">
        <w:t xml:space="preserve"> meet all the competency criteria.</w:t>
      </w:r>
    </w:p>
    <w:p w14:paraId="2D9CE424" w14:textId="77777777" w:rsidR="004F328C" w:rsidRPr="009370C0" w:rsidRDefault="004F328C" w:rsidP="00BC3C4A"/>
    <w:p w14:paraId="76E8FC10" w14:textId="77777777" w:rsidR="004F328C" w:rsidRPr="009370C0" w:rsidRDefault="004F328C" w:rsidP="00BC3C4A">
      <w:r w:rsidRPr="009370C0">
        <w:t>The requirements for audit team competency apply to all types of audits</w:t>
      </w:r>
      <w:r>
        <w:rPr>
          <w:rStyle w:val="FootnoteReference"/>
        </w:rPr>
        <w:footnoteReference w:id="3"/>
      </w:r>
      <w:r w:rsidRPr="009370C0">
        <w:t>.</w:t>
      </w:r>
    </w:p>
    <w:p w14:paraId="631ADA7C" w14:textId="77777777" w:rsidR="004F328C" w:rsidRPr="009370C0" w:rsidRDefault="004F328C" w:rsidP="00BC3C4A"/>
    <w:p w14:paraId="183CBDD0" w14:textId="77777777" w:rsidR="004F328C" w:rsidRPr="009370C0" w:rsidRDefault="004F328C" w:rsidP="00BC3C4A">
      <w:r>
        <w:t xml:space="preserve">A </w:t>
      </w:r>
      <w:r w:rsidRPr="009370C0">
        <w:t xml:space="preserve">team leader </w:t>
      </w:r>
      <w:r>
        <w:t xml:space="preserve">can conduct a surveillance audit if they are </w:t>
      </w:r>
      <w:r w:rsidRPr="009370C0">
        <w:t xml:space="preserve">experienced in auditing home care services </w:t>
      </w:r>
      <w:r>
        <w:t>and</w:t>
      </w:r>
      <w:r w:rsidRPr="009370C0">
        <w:t>, as a minimum, ha</w:t>
      </w:r>
      <w:r>
        <w:t>ve</w:t>
      </w:r>
      <w:r w:rsidRPr="009370C0">
        <w:t xml:space="preserve"> access to the CAB</w:t>
      </w:r>
      <w:r>
        <w:t>’</w:t>
      </w:r>
      <w:r w:rsidRPr="009370C0">
        <w:t>s clinical/technical advis</w:t>
      </w:r>
      <w:r>
        <w:t>o</w:t>
      </w:r>
      <w:r w:rsidRPr="009370C0">
        <w:t>r</w:t>
      </w:r>
      <w:r>
        <w:t xml:space="preserve">. In this case, a </w:t>
      </w:r>
      <w:r w:rsidRPr="009370C0">
        <w:t>consumer auditor</w:t>
      </w:r>
      <w:r>
        <w:t xml:space="preserve"> need not be involved</w:t>
      </w:r>
      <w:r w:rsidRPr="009370C0">
        <w:t>.</w:t>
      </w:r>
    </w:p>
    <w:p w14:paraId="6D4A8437" w14:textId="77777777" w:rsidR="004F328C" w:rsidRPr="009370C0" w:rsidRDefault="004F328C" w:rsidP="00BC3C4A"/>
    <w:p w14:paraId="5EBF1FE6" w14:textId="77777777" w:rsidR="004F328C" w:rsidRDefault="004F328C" w:rsidP="00BC3C4A">
      <w:r>
        <w:t xml:space="preserve">As a </w:t>
      </w:r>
      <w:r w:rsidRPr="009370C0">
        <w:t>CAB</w:t>
      </w:r>
      <w:r>
        <w:t>, you must</w:t>
      </w:r>
      <w:r w:rsidRPr="009370C0">
        <w:t xml:space="preserve"> have procedures for </w:t>
      </w:r>
      <w:r>
        <w:t>establishing</w:t>
      </w:r>
      <w:r w:rsidRPr="009370C0">
        <w:t xml:space="preserve"> the ongoing competence of</w:t>
      </w:r>
      <w:r>
        <w:t xml:space="preserve"> your</w:t>
      </w:r>
      <w:r w:rsidRPr="009370C0">
        <w:t xml:space="preserve"> auditors, including auditors </w:t>
      </w:r>
      <w:r>
        <w:t>in</w:t>
      </w:r>
      <w:r w:rsidRPr="009370C0">
        <w:t xml:space="preserve"> the roles of team leader, clinical/technical expert and consumer auditors. </w:t>
      </w:r>
      <w:r>
        <w:t>There must</w:t>
      </w:r>
      <w:r w:rsidRPr="009370C0">
        <w:t xml:space="preserve"> also </w:t>
      </w:r>
      <w:r>
        <w:t xml:space="preserve">be </w:t>
      </w:r>
      <w:r w:rsidRPr="009370C0">
        <w:t xml:space="preserve">a process for reviewing the performance of each auditor at least </w:t>
      </w:r>
      <w:r>
        <w:t>once a year;</w:t>
      </w:r>
      <w:r w:rsidRPr="009370C0">
        <w:t xml:space="preserve"> for example, </w:t>
      </w:r>
      <w:r>
        <w:t xml:space="preserve">through </w:t>
      </w:r>
      <w:r w:rsidRPr="009370C0">
        <w:t>periodic</w:t>
      </w:r>
      <w:r>
        <w:t>ally</w:t>
      </w:r>
      <w:r w:rsidRPr="009370C0">
        <w:t xml:space="preserve"> observ</w:t>
      </w:r>
      <w:r>
        <w:t>ing</w:t>
      </w:r>
      <w:r w:rsidRPr="009370C0">
        <w:t xml:space="preserve"> each auditor</w:t>
      </w:r>
      <w:r>
        <w:t>’</w:t>
      </w:r>
      <w:r w:rsidRPr="009370C0">
        <w:t xml:space="preserve">s performance on site. </w:t>
      </w:r>
      <w:r>
        <w:t>Base the</w:t>
      </w:r>
      <w:r w:rsidRPr="009370C0">
        <w:t xml:space="preserve"> frequency of such observations on the need </w:t>
      </w:r>
      <w:r>
        <w:t>you identify</w:t>
      </w:r>
      <w:r w:rsidRPr="009370C0">
        <w:t xml:space="preserve"> from all monitoring information available.</w:t>
      </w:r>
    </w:p>
    <w:p w14:paraId="6537A660" w14:textId="77777777" w:rsidR="004F328C" w:rsidRDefault="004F328C" w:rsidP="004F328C"/>
    <w:p w14:paraId="22F69954" w14:textId="77777777" w:rsidR="004F328C" w:rsidRPr="009B7A1F" w:rsidRDefault="004F328C" w:rsidP="004F328C">
      <w:pPr>
        <w:pStyle w:val="Heading2"/>
        <w:rPr>
          <w:rFonts w:eastAsia="Arial"/>
        </w:rPr>
      </w:pPr>
      <w:bookmarkStart w:id="31" w:name="_Toc479482054"/>
      <w:bookmarkStart w:id="32" w:name="_Toc480293083"/>
      <w:bookmarkStart w:id="33" w:name="_Toc209590451"/>
      <w:r w:rsidRPr="009B7A1F">
        <w:rPr>
          <w:rFonts w:eastAsia="Arial"/>
        </w:rPr>
        <w:t>2.</w:t>
      </w:r>
      <w:r>
        <w:rPr>
          <w:rFonts w:eastAsia="Arial"/>
        </w:rPr>
        <w:t>4</w:t>
      </w:r>
      <w:r>
        <w:rPr>
          <w:rFonts w:eastAsia="Arial"/>
        </w:rPr>
        <w:tab/>
      </w:r>
      <w:r w:rsidRPr="009B7A1F">
        <w:rPr>
          <w:rFonts w:eastAsia="Arial"/>
        </w:rPr>
        <w:t xml:space="preserve">Auditor </w:t>
      </w:r>
      <w:r>
        <w:rPr>
          <w:rFonts w:eastAsia="Arial"/>
        </w:rPr>
        <w:t>d</w:t>
      </w:r>
      <w:r w:rsidRPr="009B7A1F">
        <w:rPr>
          <w:rFonts w:eastAsia="Arial"/>
        </w:rPr>
        <w:t xml:space="preserve">ays on </w:t>
      </w:r>
      <w:r>
        <w:rPr>
          <w:rFonts w:eastAsia="Arial"/>
        </w:rPr>
        <w:t>s</w:t>
      </w:r>
      <w:r w:rsidRPr="009B7A1F">
        <w:rPr>
          <w:rFonts w:eastAsia="Arial"/>
        </w:rPr>
        <w:t>ite</w:t>
      </w:r>
      <w:bookmarkEnd w:id="31"/>
      <w:bookmarkEnd w:id="32"/>
      <w:bookmarkEnd w:id="33"/>
    </w:p>
    <w:p w14:paraId="6964E6EE" w14:textId="77777777" w:rsidR="004F328C" w:rsidRPr="00EE1A2F" w:rsidRDefault="004F328C" w:rsidP="00BC3C4A">
      <w:r w:rsidRPr="00EE1A2F">
        <w:t xml:space="preserve">The </w:t>
      </w:r>
      <w:r>
        <w:t xml:space="preserve">time </w:t>
      </w:r>
      <w:r w:rsidRPr="00EE1A2F">
        <w:t xml:space="preserve">the certification audit </w:t>
      </w:r>
      <w:r>
        <w:t xml:space="preserve">should take </w:t>
      </w:r>
      <w:r w:rsidRPr="00EE1A2F">
        <w:t>depends on the size, nature and complexity of the organisation</w:t>
      </w:r>
      <w:r>
        <w:t xml:space="preserve"> you are</w:t>
      </w:r>
      <w:r w:rsidRPr="00EE1A2F">
        <w:t xml:space="preserve"> audit</w:t>
      </w:r>
      <w:r>
        <w:t>ing</w:t>
      </w:r>
      <w:r w:rsidRPr="00EE1A2F">
        <w:t xml:space="preserve">. </w:t>
      </w:r>
      <w:r>
        <w:t xml:space="preserve">Calculate </w:t>
      </w:r>
      <w:r w:rsidRPr="00EE1A2F">
        <w:t>the time required on site to satisfactorily complete the audit</w:t>
      </w:r>
      <w:r>
        <w:t xml:space="preserve"> with the following in mind</w:t>
      </w:r>
      <w:r w:rsidRPr="00EE1A2F">
        <w:t>:</w:t>
      </w:r>
    </w:p>
    <w:p w14:paraId="5EFC3A3C" w14:textId="77777777" w:rsidR="004F328C" w:rsidRPr="00EE1A2F" w:rsidRDefault="004F328C" w:rsidP="00BC3C4A">
      <w:pPr>
        <w:pStyle w:val="Number"/>
        <w:numPr>
          <w:ilvl w:val="0"/>
          <w:numId w:val="34"/>
        </w:numPr>
        <w:ind w:left="426" w:hanging="426"/>
      </w:pPr>
      <w:r w:rsidRPr="00EE1A2F">
        <w:t xml:space="preserve">50 percent of </w:t>
      </w:r>
      <w:r>
        <w:t xml:space="preserve">your </w:t>
      </w:r>
      <w:r w:rsidRPr="00EE1A2F">
        <w:t xml:space="preserve">time </w:t>
      </w:r>
      <w:r>
        <w:t xml:space="preserve">will likely be </w:t>
      </w:r>
      <w:r w:rsidRPr="00EE1A2F">
        <w:t xml:space="preserve">spent </w:t>
      </w:r>
      <w:r>
        <w:t xml:space="preserve">on </w:t>
      </w:r>
      <w:r w:rsidRPr="00EE1A2F">
        <w:t>preparing for the audit (stage 1) and completing the audit report (all audits)</w:t>
      </w:r>
      <w:r>
        <w:t>.</w:t>
      </w:r>
    </w:p>
    <w:p w14:paraId="0D5300B8" w14:textId="77777777" w:rsidR="004F328C" w:rsidRDefault="004F328C" w:rsidP="004F328C">
      <w:pPr>
        <w:pStyle w:val="Number"/>
        <w:numPr>
          <w:ilvl w:val="0"/>
          <w:numId w:val="7"/>
        </w:numPr>
        <w:ind w:left="426" w:hanging="426"/>
      </w:pPr>
      <w:r>
        <w:t>For a certification audit,</w:t>
      </w:r>
      <w:r w:rsidRPr="00A07253">
        <w:t xml:space="preserve"> </w:t>
      </w:r>
      <w:r w:rsidRPr="00EE1A2F">
        <w:t>two auditors</w:t>
      </w:r>
      <w:r>
        <w:t xml:space="preserve"> should be</w:t>
      </w:r>
      <w:r w:rsidRPr="00EE1A2F">
        <w:t xml:space="preserve"> on site for</w:t>
      </w:r>
      <w:r>
        <w:t>:</w:t>
      </w:r>
    </w:p>
    <w:p w14:paraId="444F3C0E" w14:textId="77777777" w:rsidR="004F328C" w:rsidRPr="00EE1A2F" w:rsidRDefault="004F328C" w:rsidP="004F328C">
      <w:pPr>
        <w:pStyle w:val="Bullet"/>
        <w:tabs>
          <w:tab w:val="clear" w:pos="284"/>
          <w:tab w:val="num" w:pos="709"/>
        </w:tabs>
        <w:ind w:left="709" w:hanging="283"/>
      </w:pPr>
      <w:r w:rsidRPr="00EE1A2F">
        <w:t>1.5 days (or equivalent)</w:t>
      </w:r>
      <w:r>
        <w:t>,</w:t>
      </w:r>
      <w:r w:rsidRPr="00EE1A2F">
        <w:t xml:space="preserve"> for a single</w:t>
      </w:r>
      <w:r>
        <w:t>-</w:t>
      </w:r>
      <w:r w:rsidRPr="00EE1A2F">
        <w:t>site provider</w:t>
      </w:r>
      <w:r>
        <w:t>.</w:t>
      </w:r>
    </w:p>
    <w:p w14:paraId="2EBFBB2E" w14:textId="77777777" w:rsidR="004F328C" w:rsidRPr="00EE1A2F" w:rsidRDefault="004F328C" w:rsidP="004F328C">
      <w:pPr>
        <w:pStyle w:val="Bullet"/>
        <w:tabs>
          <w:tab w:val="clear" w:pos="284"/>
          <w:tab w:val="num" w:pos="709"/>
        </w:tabs>
        <w:ind w:left="709" w:hanging="283"/>
      </w:pPr>
      <w:r w:rsidRPr="00EE1A2F">
        <w:t>0.5 days for each additional site audited</w:t>
      </w:r>
      <w:r>
        <w:t>,</w:t>
      </w:r>
      <w:r w:rsidRPr="00EE1A2F">
        <w:t xml:space="preserve"> for</w:t>
      </w:r>
      <w:r>
        <w:t xml:space="preserve"> </w:t>
      </w:r>
      <w:r w:rsidRPr="00EE1A2F">
        <w:t>multi-site provider</w:t>
      </w:r>
      <w:r>
        <w:t>.</w:t>
      </w:r>
    </w:p>
    <w:p w14:paraId="0C7CA23D" w14:textId="77777777" w:rsidR="004F328C" w:rsidRDefault="004F328C" w:rsidP="004F328C">
      <w:pPr>
        <w:pStyle w:val="Number"/>
        <w:numPr>
          <w:ilvl w:val="0"/>
          <w:numId w:val="7"/>
        </w:numPr>
        <w:ind w:left="426" w:hanging="426"/>
      </w:pPr>
      <w:r>
        <w:t xml:space="preserve">For a </w:t>
      </w:r>
      <w:r w:rsidRPr="00EE1A2F">
        <w:t>surveillance audit</w:t>
      </w:r>
      <w:r>
        <w:t>,</w:t>
      </w:r>
      <w:r w:rsidRPr="00A07253">
        <w:t xml:space="preserve"> </w:t>
      </w:r>
      <w:r w:rsidRPr="00EE1A2F">
        <w:t xml:space="preserve">one auditor </w:t>
      </w:r>
      <w:r>
        <w:t xml:space="preserve">should be </w:t>
      </w:r>
      <w:r w:rsidRPr="00EE1A2F">
        <w:t>on site for</w:t>
      </w:r>
      <w:r>
        <w:t>:</w:t>
      </w:r>
    </w:p>
    <w:p w14:paraId="2468BF6D" w14:textId="77777777" w:rsidR="004F328C" w:rsidRPr="00EE1A2F" w:rsidRDefault="004F328C" w:rsidP="004F328C">
      <w:pPr>
        <w:pStyle w:val="Bullet"/>
        <w:tabs>
          <w:tab w:val="clear" w:pos="284"/>
          <w:tab w:val="num" w:pos="709"/>
        </w:tabs>
        <w:ind w:left="709" w:hanging="283"/>
      </w:pPr>
      <w:r>
        <w:t xml:space="preserve">one </w:t>
      </w:r>
      <w:r w:rsidRPr="00EE1A2F">
        <w:t>day (or equivalent)</w:t>
      </w:r>
      <w:r>
        <w:t>,</w:t>
      </w:r>
      <w:r w:rsidRPr="00EE1A2F">
        <w:t xml:space="preserve"> for a single</w:t>
      </w:r>
      <w:r>
        <w:t>-</w:t>
      </w:r>
      <w:r w:rsidRPr="00EE1A2F">
        <w:t>site provider</w:t>
      </w:r>
    </w:p>
    <w:p w14:paraId="61847417" w14:textId="77777777" w:rsidR="004F328C" w:rsidRDefault="004F328C" w:rsidP="004F328C">
      <w:pPr>
        <w:pStyle w:val="Bullet"/>
        <w:tabs>
          <w:tab w:val="clear" w:pos="284"/>
          <w:tab w:val="num" w:pos="709"/>
        </w:tabs>
        <w:ind w:left="709" w:hanging="283"/>
      </w:pPr>
      <w:r w:rsidRPr="00BE492C">
        <w:t>0.5 days</w:t>
      </w:r>
      <w:r>
        <w:t>,</w:t>
      </w:r>
      <w:r w:rsidRPr="00BE492C">
        <w:t xml:space="preserve"> for each additional site audited for</w:t>
      </w:r>
      <w:r>
        <w:t xml:space="preserve"> a</w:t>
      </w:r>
      <w:r w:rsidRPr="00BE492C">
        <w:t xml:space="preserve"> multi-site provider.</w:t>
      </w:r>
    </w:p>
    <w:p w14:paraId="316678BD" w14:textId="77777777" w:rsidR="004F328C" w:rsidRDefault="004F328C" w:rsidP="004F328C"/>
    <w:p w14:paraId="4332B118" w14:textId="77777777" w:rsidR="004F328C" w:rsidRPr="009B7A1F" w:rsidRDefault="004F328C" w:rsidP="004F328C">
      <w:pPr>
        <w:pStyle w:val="Heading2"/>
        <w:rPr>
          <w:rFonts w:eastAsia="Arial"/>
        </w:rPr>
      </w:pPr>
      <w:bookmarkStart w:id="34" w:name="_Toc479482055"/>
      <w:bookmarkStart w:id="35" w:name="_Toc480293084"/>
      <w:bookmarkStart w:id="36" w:name="_Toc209590452"/>
      <w:r w:rsidRPr="009B7A1F">
        <w:rPr>
          <w:rFonts w:eastAsia="Arial"/>
        </w:rPr>
        <w:lastRenderedPageBreak/>
        <w:t>2.</w:t>
      </w:r>
      <w:r>
        <w:rPr>
          <w:rFonts w:eastAsia="Arial"/>
        </w:rPr>
        <w:t>5</w:t>
      </w:r>
      <w:r>
        <w:rPr>
          <w:rFonts w:eastAsia="Arial"/>
        </w:rPr>
        <w:tab/>
      </w:r>
      <w:r w:rsidRPr="009B7A1F">
        <w:rPr>
          <w:rFonts w:eastAsia="Arial"/>
        </w:rPr>
        <w:t xml:space="preserve">Sampling </w:t>
      </w:r>
      <w:r>
        <w:rPr>
          <w:rFonts w:eastAsia="Arial"/>
        </w:rPr>
        <w:t>m</w:t>
      </w:r>
      <w:r w:rsidRPr="009B7A1F">
        <w:rPr>
          <w:rFonts w:eastAsia="Arial"/>
        </w:rPr>
        <w:t>ethods</w:t>
      </w:r>
      <w:bookmarkEnd w:id="34"/>
      <w:bookmarkEnd w:id="35"/>
      <w:bookmarkEnd w:id="36"/>
    </w:p>
    <w:p w14:paraId="0AC0B5AC" w14:textId="77777777" w:rsidR="004F328C" w:rsidRDefault="004F328C" w:rsidP="00BC3C4A">
      <w:r w:rsidRPr="004B013F">
        <w:t>The following</w:t>
      </w:r>
      <w:r>
        <w:t xml:space="preserve"> sampling requirements apply to consumer record reviews and interviews, and sampling of multiple sites.</w:t>
      </w:r>
    </w:p>
    <w:p w14:paraId="1E0633B2" w14:textId="77777777" w:rsidR="004F328C" w:rsidRPr="004B013F" w:rsidRDefault="004F328C" w:rsidP="00BC3C4A"/>
    <w:p w14:paraId="6EF9ED95" w14:textId="77777777" w:rsidR="004F328C" w:rsidRPr="00B076E1" w:rsidRDefault="004F328C" w:rsidP="004F328C">
      <w:pPr>
        <w:pStyle w:val="Heading3"/>
      </w:pPr>
      <w:r w:rsidRPr="00B076E1">
        <w:t>Minimum sample size – consumer record reviews</w:t>
      </w:r>
    </w:p>
    <w:p w14:paraId="051C56A2" w14:textId="77777777" w:rsidR="004F328C" w:rsidRPr="00FA5C08" w:rsidRDefault="004F328C" w:rsidP="00BC3C4A">
      <w:r>
        <w:t>You should review c</w:t>
      </w:r>
      <w:r w:rsidRPr="00FA5C08">
        <w:t>onsumer records as part of the on-site audit. Ideally,</w:t>
      </w:r>
      <w:r>
        <w:t xml:space="preserve"> the records you review will be those of the </w:t>
      </w:r>
      <w:r w:rsidRPr="00FA5C08">
        <w:t>consumer</w:t>
      </w:r>
      <w:r>
        <w:t>s you</w:t>
      </w:r>
      <w:r w:rsidRPr="00FA5C08">
        <w:t xml:space="preserve"> interview.</w:t>
      </w:r>
    </w:p>
    <w:p w14:paraId="2B342EBD" w14:textId="77777777" w:rsidR="004F328C" w:rsidRPr="00FA5C08" w:rsidRDefault="004F328C" w:rsidP="00BC3C4A"/>
    <w:p w14:paraId="0BF1D0BF" w14:textId="77777777" w:rsidR="004F328C" w:rsidRPr="00FA5C08" w:rsidRDefault="004F328C" w:rsidP="00BC3C4A">
      <w:r>
        <w:t>D</w:t>
      </w:r>
      <w:r w:rsidRPr="00FA5C08">
        <w:t xml:space="preserve">ecide </w:t>
      </w:r>
      <w:r>
        <w:t xml:space="preserve">on </w:t>
      </w:r>
      <w:r w:rsidRPr="00FA5C08">
        <w:t>the minimum sample of consumer record reviews using th</w:t>
      </w:r>
      <w:r>
        <w:t>e</w:t>
      </w:r>
      <w:r w:rsidRPr="00FA5C08">
        <w:t xml:space="preserve"> square root rule</w:t>
      </w:r>
      <w:r>
        <w:t>, as follows.</w:t>
      </w:r>
      <w:r w:rsidRPr="00624742">
        <w:rPr>
          <w:rStyle w:val="FootnoteReference"/>
        </w:rPr>
        <w:footnoteReference w:id="4"/>
      </w:r>
    </w:p>
    <w:p w14:paraId="56E1D8D2" w14:textId="77777777" w:rsidR="004F328C" w:rsidRPr="00BC3C4A" w:rsidRDefault="004F328C" w:rsidP="00BC3C4A">
      <w:pPr>
        <w:pStyle w:val="Bullet"/>
      </w:pPr>
      <w:r w:rsidRPr="00BC3C4A">
        <w:t xml:space="preserve">Certification audit consumer record sample = 0.6 times the square root of the number of current consumers receiving HCSSs (rounded to a whole number). Exception: If a service has fewer than 10 consumers, review a minimum of three records. For multi-site providers with more than 2,500 consumers, review a minimum of five records </w:t>
      </w:r>
      <w:bookmarkStart w:id="37" w:name="_Hlk200374538"/>
      <w:r w:rsidRPr="00BC3C4A">
        <w:t xml:space="preserve">at each site, ensuring a total sample size of at least 30. </w:t>
      </w:r>
      <w:bookmarkEnd w:id="37"/>
    </w:p>
    <w:p w14:paraId="3147DB4A" w14:textId="77777777" w:rsidR="004F328C" w:rsidRPr="00BC3C4A" w:rsidRDefault="004F328C" w:rsidP="00BC3C4A">
      <w:pPr>
        <w:pStyle w:val="Bullet"/>
      </w:pPr>
      <w:r w:rsidRPr="00BC3C4A">
        <w:t xml:space="preserve">Surveillance audit consumer record sample = 0.3 times the square root of the number of current consumers receiving HCSSs (rounded to a whole number). Exception: If a service has fewer than 50 consumers, review a minimum of three records. For multi-site providers with more than 2,500 consumers, review a minimum of five records at each site, ensuring a total sample size of at least 30. </w:t>
      </w:r>
    </w:p>
    <w:p w14:paraId="2CB4680C" w14:textId="77777777" w:rsidR="004F328C" w:rsidRDefault="004F328C" w:rsidP="00BC3C4A"/>
    <w:p w14:paraId="200856C0" w14:textId="77777777" w:rsidR="004F328C" w:rsidRPr="00FA5C08" w:rsidRDefault="004F328C" w:rsidP="00BC3C4A">
      <w:r>
        <w:t>S</w:t>
      </w:r>
      <w:r w:rsidRPr="00FA5C08">
        <w:t>tratify sampling so it is representative of:</w:t>
      </w:r>
    </w:p>
    <w:p w14:paraId="7AF4B4AD" w14:textId="77777777" w:rsidR="004F328C" w:rsidRPr="00BC3C4A" w:rsidRDefault="004F328C" w:rsidP="00BC3C4A">
      <w:pPr>
        <w:pStyle w:val="Bullet"/>
      </w:pPr>
      <w:r w:rsidRPr="00BC3C4A">
        <w:t>current consumers receiving HCSSs (stratified to complex, non-complex, short term, long term and so on)</w:t>
      </w:r>
    </w:p>
    <w:p w14:paraId="18C44224" w14:textId="77777777" w:rsidR="004F328C" w:rsidRPr="00BC3C4A" w:rsidRDefault="004F328C" w:rsidP="00BC3C4A">
      <w:pPr>
        <w:pStyle w:val="Bullet"/>
      </w:pPr>
      <w:r w:rsidRPr="00BC3C4A">
        <w:t>service agreements between the provider and its funders.</w:t>
      </w:r>
    </w:p>
    <w:p w14:paraId="3C2A2B22" w14:textId="77777777" w:rsidR="004F328C" w:rsidRPr="00FA5C08" w:rsidRDefault="004F328C" w:rsidP="00BC3C4A"/>
    <w:p w14:paraId="38C578D7" w14:textId="77777777" w:rsidR="004F328C" w:rsidRPr="00FA5C08" w:rsidRDefault="004F328C" w:rsidP="00BC3C4A">
      <w:r>
        <w:t>I</w:t>
      </w:r>
      <w:r w:rsidRPr="00FA5C08">
        <w:t xml:space="preserve">ncrease the sample size if </w:t>
      </w:r>
      <w:r>
        <w:t>you</w:t>
      </w:r>
      <w:r w:rsidRPr="00FA5C08">
        <w:t xml:space="preserve"> identif</w:t>
      </w:r>
      <w:r>
        <w:t>y</w:t>
      </w:r>
      <w:r w:rsidRPr="00FA5C08">
        <w:t xml:space="preserve"> non-conformity with the standard.</w:t>
      </w:r>
    </w:p>
    <w:p w14:paraId="0AB9A082" w14:textId="77777777" w:rsidR="004F328C" w:rsidRDefault="004F328C" w:rsidP="00BC3C4A"/>
    <w:p w14:paraId="0E4F4AE2" w14:textId="77777777" w:rsidR="004F328C" w:rsidRPr="00B076E1" w:rsidRDefault="004F328C" w:rsidP="004F328C">
      <w:pPr>
        <w:pStyle w:val="Heading3"/>
      </w:pPr>
      <w:r w:rsidRPr="00B076E1">
        <w:t>Minimum sample size – consumer interviews</w:t>
      </w:r>
    </w:p>
    <w:p w14:paraId="12F887A9" w14:textId="77777777" w:rsidR="004F328C" w:rsidRPr="00FA5C08" w:rsidRDefault="004F328C" w:rsidP="004F328C">
      <w:r w:rsidRPr="00FA5C08">
        <w:t>The number of consumers</w:t>
      </w:r>
      <w:r>
        <w:t xml:space="preserve"> you should</w:t>
      </w:r>
      <w:r w:rsidRPr="00FA5C08">
        <w:t xml:space="preserve"> interview as part of the audit process depends on the size, nature, complexity, internal quality monitoring of consumer satisfaction and funding arrangements of the </w:t>
      </w:r>
      <w:r>
        <w:t>provider</w:t>
      </w:r>
      <w:r w:rsidRPr="00FA5C08">
        <w:t xml:space="preserve"> </w:t>
      </w:r>
      <w:r>
        <w:t xml:space="preserve">you are </w:t>
      </w:r>
      <w:r w:rsidRPr="00FA5C08">
        <w:t>audit</w:t>
      </w:r>
      <w:r>
        <w:t>ing</w:t>
      </w:r>
      <w:r w:rsidRPr="00FA5C08">
        <w:t xml:space="preserve">. </w:t>
      </w:r>
      <w:r>
        <w:t>D</w:t>
      </w:r>
      <w:r w:rsidRPr="00FA5C08">
        <w:t xml:space="preserve">ecide </w:t>
      </w:r>
      <w:r>
        <w:t xml:space="preserve">on </w:t>
      </w:r>
      <w:r w:rsidRPr="00FA5C08">
        <w:t xml:space="preserve">the minimum sample using the </w:t>
      </w:r>
      <w:r>
        <w:t xml:space="preserve">same 0.6 x </w:t>
      </w:r>
      <w:r w:rsidRPr="00FA5C08">
        <w:t>square root rule for certification and surveillance audits</w:t>
      </w:r>
      <w:r>
        <w:t xml:space="preserve"> as set out</w:t>
      </w:r>
      <w:r w:rsidRPr="00FA5C08">
        <w:t xml:space="preserve"> for consumer records above</w:t>
      </w:r>
      <w:r>
        <w:t>. Include w</w:t>
      </w:r>
      <w:r w:rsidRPr="001D7053">
        <w:t>hānau in the minimum sampling requirements for consumer interviews</w:t>
      </w:r>
      <w:r>
        <w:t>,</w:t>
      </w:r>
      <w:r w:rsidRPr="001D7053">
        <w:t xml:space="preserve"> </w:t>
      </w:r>
      <w:r w:rsidRPr="00A62ACC">
        <w:t>as outlined in the</w:t>
      </w:r>
      <w:r w:rsidRPr="009C0936">
        <w:t xml:space="preserve"> </w:t>
      </w:r>
      <w:r w:rsidRPr="00866FD3">
        <w:rPr>
          <w:i/>
          <w:iCs/>
        </w:rPr>
        <w:t>Designated Auditing Agency Handbook</w:t>
      </w:r>
      <w:r w:rsidRPr="009370C0">
        <w:t xml:space="preserve"> (Ministry of Health</w:t>
      </w:r>
      <w:r>
        <w:t xml:space="preserve"> 2023</w:t>
      </w:r>
      <w:r w:rsidRPr="009370C0">
        <w:t>).</w:t>
      </w:r>
    </w:p>
    <w:p w14:paraId="637923C7" w14:textId="77777777" w:rsidR="004F328C" w:rsidRPr="00FA5C08" w:rsidRDefault="004F328C" w:rsidP="004F328C"/>
    <w:p w14:paraId="395E6AC7" w14:textId="77777777" w:rsidR="004F328C" w:rsidRPr="00FA5C08" w:rsidRDefault="004F328C" w:rsidP="004F328C">
      <w:r>
        <w:t>Conduct</w:t>
      </w:r>
      <w:r w:rsidRPr="00FA5C08">
        <w:t xml:space="preserve"> face-to-face interviews with consumers as part of the sample for certification audits. </w:t>
      </w:r>
      <w:r>
        <w:t>In addition, you may conduct t</w:t>
      </w:r>
      <w:r w:rsidRPr="00FA5C08">
        <w:t>elephone interviews or surveys.</w:t>
      </w:r>
    </w:p>
    <w:p w14:paraId="763313D4" w14:textId="77777777" w:rsidR="004F328C" w:rsidRDefault="004F328C" w:rsidP="004F328C"/>
    <w:p w14:paraId="208CAD6B" w14:textId="77777777" w:rsidR="004F328C" w:rsidRPr="00FA5C08" w:rsidRDefault="004F328C" w:rsidP="004F328C">
      <w:r>
        <w:lastRenderedPageBreak/>
        <w:t>I</w:t>
      </w:r>
      <w:r w:rsidRPr="00FA5C08">
        <w:t xml:space="preserve">ncrease the sample size for face-to-face consumer interviews if </w:t>
      </w:r>
      <w:r>
        <w:t xml:space="preserve">you </w:t>
      </w:r>
      <w:r w:rsidRPr="00FA5C08">
        <w:t>identif</w:t>
      </w:r>
      <w:r>
        <w:t>y</w:t>
      </w:r>
      <w:r w:rsidRPr="00FA5C08">
        <w:t xml:space="preserve"> non-conformity.</w:t>
      </w:r>
    </w:p>
    <w:p w14:paraId="4FE5B005" w14:textId="77777777" w:rsidR="004F328C" w:rsidRDefault="004F328C" w:rsidP="00BC3C4A"/>
    <w:p w14:paraId="399E9AF7" w14:textId="77777777" w:rsidR="004F328C" w:rsidRPr="00EF6CDB" w:rsidRDefault="004F328C" w:rsidP="004F328C">
      <w:pPr>
        <w:pStyle w:val="Heading3"/>
      </w:pPr>
      <w:r w:rsidRPr="00EF6CDB">
        <w:t>Minimum sample size – multiple sites</w:t>
      </w:r>
    </w:p>
    <w:p w14:paraId="14ABC5D5" w14:textId="77777777" w:rsidR="004F328C" w:rsidRPr="00FA5C08" w:rsidRDefault="004F328C" w:rsidP="004F328C">
      <w:r>
        <w:t>D</w:t>
      </w:r>
      <w:r w:rsidRPr="00FA5C08">
        <w:t xml:space="preserve">ecide </w:t>
      </w:r>
      <w:r>
        <w:t xml:space="preserve">on </w:t>
      </w:r>
      <w:r w:rsidRPr="00FA5C08">
        <w:t>the minimum sample for multi-site reviews using th</w:t>
      </w:r>
      <w:r>
        <w:t>is</w:t>
      </w:r>
      <w:r w:rsidRPr="00FA5C08">
        <w:t xml:space="preserve"> square root rule:</w:t>
      </w:r>
    </w:p>
    <w:p w14:paraId="1CD13687" w14:textId="77777777" w:rsidR="004F328C" w:rsidRPr="00BC3C4A" w:rsidRDefault="004F328C" w:rsidP="00BC3C4A">
      <w:pPr>
        <w:pStyle w:val="Bullet"/>
      </w:pPr>
      <w:r w:rsidRPr="00BC3C4A">
        <w:t>certification audit site sample = square root of the number of sites</w:t>
      </w:r>
    </w:p>
    <w:p w14:paraId="21258AB9" w14:textId="77777777" w:rsidR="004F328C" w:rsidRPr="00BC3C4A" w:rsidRDefault="004F328C" w:rsidP="00BC3C4A">
      <w:pPr>
        <w:pStyle w:val="Bullet"/>
      </w:pPr>
      <w:r w:rsidRPr="00BC3C4A">
        <w:t>surveillance audit site sample = 0.6 times the square root of the number of sites.</w:t>
      </w:r>
    </w:p>
    <w:p w14:paraId="38479F18" w14:textId="77777777" w:rsidR="004F328C" w:rsidRPr="00FA5C08" w:rsidRDefault="004F328C" w:rsidP="00BC3C4A"/>
    <w:p w14:paraId="2EAF24ED" w14:textId="77777777" w:rsidR="004F328C" w:rsidRDefault="004F328C" w:rsidP="00BC3C4A">
      <w:r>
        <w:t xml:space="preserve">We </w:t>
      </w:r>
      <w:r w:rsidRPr="00FA5C08">
        <w:t>expect that</w:t>
      </w:r>
      <w:r>
        <w:t xml:space="preserve"> you will rotate</w:t>
      </w:r>
      <w:r w:rsidRPr="00FA5C08">
        <w:t xml:space="preserve"> </w:t>
      </w:r>
      <w:r>
        <w:t xml:space="preserve">the </w:t>
      </w:r>
      <w:r w:rsidRPr="00FA5C08">
        <w:t xml:space="preserve">sites </w:t>
      </w:r>
      <w:r>
        <w:t xml:space="preserve">you </w:t>
      </w:r>
      <w:r w:rsidRPr="00FA5C08">
        <w:t xml:space="preserve">audit within a three-year period (initial certification audit, surveillance audit and next certification audit) </w:t>
      </w:r>
      <w:r>
        <w:t>so that you</w:t>
      </w:r>
      <w:r w:rsidRPr="00FA5C08">
        <w:t xml:space="preserve"> </w:t>
      </w:r>
      <w:r>
        <w:t xml:space="preserve">audit </w:t>
      </w:r>
      <w:r w:rsidRPr="00FA5C08">
        <w:t xml:space="preserve">the maximum </w:t>
      </w:r>
      <w:r>
        <w:t xml:space="preserve">possible </w:t>
      </w:r>
      <w:r w:rsidRPr="00FA5C08">
        <w:t>number of individual sites</w:t>
      </w:r>
      <w:r>
        <w:t xml:space="preserve"> the multi-site provider operates</w:t>
      </w:r>
      <w:r w:rsidRPr="00FA5C08">
        <w:t>.</w:t>
      </w:r>
    </w:p>
    <w:p w14:paraId="10285D56" w14:textId="77777777" w:rsidR="004F328C" w:rsidRPr="00FA5C08" w:rsidRDefault="004F328C" w:rsidP="00BC3C4A"/>
    <w:p w14:paraId="7791596C" w14:textId="77777777" w:rsidR="004F328C" w:rsidRDefault="004F328C" w:rsidP="00BC3C4A">
      <w:r w:rsidRPr="00FA5C08">
        <w:t xml:space="preserve">Funders may ask </w:t>
      </w:r>
      <w:r>
        <w:t>you</w:t>
      </w:r>
      <w:r w:rsidRPr="00FA5C08">
        <w:t xml:space="preserve"> to include or exclude their region or a particular regional site in </w:t>
      </w:r>
      <w:r>
        <w:t>your</w:t>
      </w:r>
      <w:r w:rsidRPr="00FA5C08">
        <w:t xml:space="preserve"> sampl</w:t>
      </w:r>
      <w:r>
        <w:t>ing</w:t>
      </w:r>
      <w:r w:rsidRPr="00FA5C08">
        <w:t xml:space="preserve"> plan for any audit. </w:t>
      </w:r>
      <w:r>
        <w:t>These requests must be provided within five days of requesting funder feedback, to enable audit planning.</w:t>
      </w:r>
    </w:p>
    <w:p w14:paraId="1E207262" w14:textId="77777777" w:rsidR="004F328C" w:rsidRDefault="004F328C" w:rsidP="00BC3C4A"/>
    <w:p w14:paraId="5DD0CDAD" w14:textId="77777777" w:rsidR="004F328C" w:rsidRPr="009B7A1F" w:rsidRDefault="004F328C" w:rsidP="004F328C">
      <w:pPr>
        <w:pStyle w:val="Heading2"/>
        <w:rPr>
          <w:rFonts w:eastAsia="Arial"/>
        </w:rPr>
      </w:pPr>
      <w:bookmarkStart w:id="38" w:name="_Toc479482056"/>
      <w:bookmarkStart w:id="39" w:name="_Toc480293085"/>
      <w:bookmarkStart w:id="40" w:name="_Toc209590453"/>
      <w:r w:rsidRPr="009B7A1F">
        <w:rPr>
          <w:rFonts w:eastAsia="Arial"/>
        </w:rPr>
        <w:t>2.</w:t>
      </w:r>
      <w:r>
        <w:rPr>
          <w:rFonts w:eastAsia="Arial"/>
        </w:rPr>
        <w:t>6</w:t>
      </w:r>
      <w:r>
        <w:rPr>
          <w:rFonts w:eastAsia="Arial"/>
        </w:rPr>
        <w:tab/>
      </w:r>
      <w:r w:rsidRPr="009B7A1F">
        <w:rPr>
          <w:rFonts w:eastAsia="Arial"/>
        </w:rPr>
        <w:t xml:space="preserve">Reporting </w:t>
      </w:r>
      <w:r>
        <w:rPr>
          <w:rFonts w:eastAsia="Arial"/>
        </w:rPr>
        <w:t>r</w:t>
      </w:r>
      <w:r w:rsidRPr="009B7A1F">
        <w:rPr>
          <w:rFonts w:eastAsia="Arial"/>
        </w:rPr>
        <w:t>equirements</w:t>
      </w:r>
      <w:bookmarkEnd w:id="38"/>
      <w:bookmarkEnd w:id="39"/>
      <w:bookmarkEnd w:id="40"/>
    </w:p>
    <w:p w14:paraId="2E6F48E7" w14:textId="77777777" w:rsidR="004F328C" w:rsidRPr="00EF6CDB" w:rsidRDefault="004F328C" w:rsidP="004F328C">
      <w:pPr>
        <w:pStyle w:val="Heading3"/>
      </w:pPr>
      <w:r w:rsidRPr="00EF6CDB">
        <w:t>Evidence</w:t>
      </w:r>
    </w:p>
    <w:p w14:paraId="7E4CA4B3" w14:textId="77777777" w:rsidR="004F328C" w:rsidRPr="001C1D56" w:rsidRDefault="004F328C" w:rsidP="00BC3C4A">
      <w:r>
        <w:t>You</w:t>
      </w:r>
      <w:r w:rsidRPr="001C1D56">
        <w:t xml:space="preserve"> may use </w:t>
      </w:r>
      <w:r>
        <w:t xml:space="preserve">your </w:t>
      </w:r>
      <w:r w:rsidRPr="001C1D56">
        <w:t xml:space="preserve">own audit tools and workbooks to audit against </w:t>
      </w:r>
      <w:proofErr w:type="spellStart"/>
      <w:r>
        <w:t>Ngā</w:t>
      </w:r>
      <w:proofErr w:type="spellEnd"/>
      <w:r>
        <w:t> </w:t>
      </w:r>
      <w:proofErr w:type="spellStart"/>
      <w:r>
        <w:t>Paerewa</w:t>
      </w:r>
      <w:proofErr w:type="spellEnd"/>
      <w:r>
        <w:t>.</w:t>
      </w:r>
      <w:r w:rsidDel="00795A0F">
        <w:t xml:space="preserve"> </w:t>
      </w:r>
      <w:r w:rsidRPr="001C1D56">
        <w:t xml:space="preserve">As part of the </w:t>
      </w:r>
      <w:r>
        <w:t xml:space="preserve">process of </w:t>
      </w:r>
      <w:r w:rsidRPr="001C1D56">
        <w:t>collect</w:t>
      </w:r>
      <w:r>
        <w:t>ing</w:t>
      </w:r>
      <w:r w:rsidRPr="001C1D56">
        <w:t xml:space="preserve"> audit evidence, consider using standardised assessment and outcome tools consistent with the service delivery aspects of </w:t>
      </w:r>
      <w:proofErr w:type="spellStart"/>
      <w:r>
        <w:t>Ngā</w:t>
      </w:r>
      <w:proofErr w:type="spellEnd"/>
      <w:r>
        <w:t> </w:t>
      </w:r>
      <w:proofErr w:type="spellStart"/>
      <w:r>
        <w:t>Paerewa</w:t>
      </w:r>
      <w:proofErr w:type="spellEnd"/>
      <w:r w:rsidRPr="001C1D56">
        <w:t>, as required under a provider</w:t>
      </w:r>
      <w:r>
        <w:t>’</w:t>
      </w:r>
      <w:r w:rsidRPr="001C1D56">
        <w:t xml:space="preserve">s contract with </w:t>
      </w:r>
      <w:r>
        <w:t>its</w:t>
      </w:r>
      <w:r w:rsidRPr="001C1D56">
        <w:t xml:space="preserve"> funder.</w:t>
      </w:r>
    </w:p>
    <w:p w14:paraId="5D575E9D" w14:textId="77777777" w:rsidR="004F328C" w:rsidRPr="001C1D56" w:rsidRDefault="004F328C" w:rsidP="00BC3C4A"/>
    <w:p w14:paraId="7BD582F9" w14:textId="77777777" w:rsidR="004F328C" w:rsidRPr="00EF6CDB" w:rsidRDefault="004F328C" w:rsidP="004F328C">
      <w:pPr>
        <w:pStyle w:val="Heading3"/>
      </w:pPr>
      <w:r w:rsidRPr="00EF6CDB">
        <w:t>Audit reports</w:t>
      </w:r>
    </w:p>
    <w:p w14:paraId="490E97C6" w14:textId="77777777" w:rsidR="004F328C" w:rsidRPr="0041778F" w:rsidRDefault="004F328C" w:rsidP="004F328C">
      <w:r>
        <w:t>For all a</w:t>
      </w:r>
      <w:r w:rsidRPr="0041778F">
        <w:t>udit reports</w:t>
      </w:r>
      <w:r>
        <w:t>, the following guidelines apply.</w:t>
      </w:r>
    </w:p>
    <w:p w14:paraId="4FE15095" w14:textId="77777777" w:rsidR="004F328C" w:rsidRPr="0041778F" w:rsidRDefault="004F328C" w:rsidP="00BC3C4A">
      <w:pPr>
        <w:pStyle w:val="Number"/>
        <w:numPr>
          <w:ilvl w:val="0"/>
          <w:numId w:val="35"/>
        </w:numPr>
        <w:ind w:left="426" w:hanging="426"/>
      </w:pPr>
      <w:r>
        <w:t>Use</w:t>
      </w:r>
      <w:r w:rsidRPr="0041778F">
        <w:t xml:space="preserve"> the</w:t>
      </w:r>
      <w:r>
        <w:t xml:space="preserve"> </w:t>
      </w:r>
      <w:r w:rsidRPr="0041778F">
        <w:t>prescribed template</w:t>
      </w:r>
      <w:r>
        <w:t xml:space="preserve"> to complete the report.</w:t>
      </w:r>
    </w:p>
    <w:p w14:paraId="11DD532D" w14:textId="77777777" w:rsidR="004F328C" w:rsidRPr="00DC6347" w:rsidRDefault="004F328C" w:rsidP="004F328C">
      <w:pPr>
        <w:pStyle w:val="Number"/>
        <w:numPr>
          <w:ilvl w:val="0"/>
          <w:numId w:val="7"/>
        </w:numPr>
        <w:ind w:left="426" w:hanging="426"/>
      </w:pPr>
      <w:r>
        <w:t>T</w:t>
      </w:r>
      <w:r w:rsidRPr="00DC6347">
        <w:t xml:space="preserve">he writer must be the </w:t>
      </w:r>
      <w:r>
        <w:t xml:space="preserve">audit </w:t>
      </w:r>
      <w:r w:rsidRPr="00DC6347">
        <w:t>team leader for all audits, including verification visits</w:t>
      </w:r>
      <w:r>
        <w:t>.</w:t>
      </w:r>
    </w:p>
    <w:p w14:paraId="72CCA02A" w14:textId="77777777" w:rsidR="004F328C" w:rsidRPr="0041778F" w:rsidRDefault="004F328C" w:rsidP="004F328C">
      <w:pPr>
        <w:pStyle w:val="Number"/>
        <w:numPr>
          <w:ilvl w:val="0"/>
          <w:numId w:val="7"/>
        </w:numPr>
        <w:ind w:left="426" w:hanging="426"/>
      </w:pPr>
      <w:r>
        <w:t>I</w:t>
      </w:r>
      <w:r w:rsidRPr="0041778F">
        <w:t>nclude:</w:t>
      </w:r>
    </w:p>
    <w:p w14:paraId="2F295BA7" w14:textId="77777777" w:rsidR="004F328C" w:rsidRPr="0041778F" w:rsidRDefault="004F328C" w:rsidP="004F328C">
      <w:pPr>
        <w:pStyle w:val="Bullet"/>
        <w:tabs>
          <w:tab w:val="clear" w:pos="284"/>
          <w:tab w:val="num" w:pos="709"/>
        </w:tabs>
        <w:ind w:left="709" w:hanging="283"/>
      </w:pPr>
      <w:r w:rsidRPr="0041778F">
        <w:t>the reporting requirements outlined in</w:t>
      </w:r>
      <w:r w:rsidRPr="003A0246">
        <w:t xml:space="preserve"> ISO/IEC 17021-1</w:t>
      </w:r>
    </w:p>
    <w:p w14:paraId="60ADDAD3" w14:textId="77777777" w:rsidR="004F328C" w:rsidRPr="0041778F" w:rsidRDefault="004F328C" w:rsidP="004F328C">
      <w:pPr>
        <w:pStyle w:val="Bullet"/>
        <w:tabs>
          <w:tab w:val="clear" w:pos="284"/>
          <w:tab w:val="num" w:pos="709"/>
        </w:tabs>
        <w:ind w:left="709" w:hanging="283"/>
      </w:pPr>
      <w:r w:rsidRPr="0041778F">
        <w:t>the level of compliance against each criterion for each outcome in the standard as set out in the auditing requirements for each type of audit</w:t>
      </w:r>
    </w:p>
    <w:p w14:paraId="08B0C399" w14:textId="77777777" w:rsidR="004F328C" w:rsidRPr="0041778F" w:rsidRDefault="004F328C" w:rsidP="004F328C">
      <w:pPr>
        <w:pStyle w:val="Bullet"/>
        <w:tabs>
          <w:tab w:val="clear" w:pos="284"/>
          <w:tab w:val="num" w:pos="709"/>
        </w:tabs>
        <w:ind w:left="709" w:hanging="283"/>
      </w:pPr>
      <w:r w:rsidRPr="0041778F">
        <w:t xml:space="preserve">an executive summary for each standard, stating whether </w:t>
      </w:r>
      <w:r>
        <w:t>the provider achieved</w:t>
      </w:r>
      <w:r w:rsidRPr="0041778F">
        <w:t xml:space="preserve"> attained, partially attained or unattained</w:t>
      </w:r>
      <w:r>
        <w:t xml:space="preserve"> for each criterion</w:t>
      </w:r>
      <w:r w:rsidRPr="0041778F">
        <w:t>, and identifying criteria that were not met</w:t>
      </w:r>
    </w:p>
    <w:p w14:paraId="004C6A20" w14:textId="77777777" w:rsidR="004F328C" w:rsidRPr="0041778F" w:rsidRDefault="004F328C" w:rsidP="004F328C">
      <w:pPr>
        <w:pStyle w:val="Bullet"/>
        <w:tabs>
          <w:tab w:val="clear" w:pos="284"/>
          <w:tab w:val="num" w:pos="709"/>
        </w:tabs>
        <w:ind w:left="709" w:hanging="283"/>
      </w:pPr>
      <w:r w:rsidRPr="0041778F">
        <w:t>details of non-conformities</w:t>
      </w:r>
      <w:r>
        <w:t>,</w:t>
      </w:r>
      <w:r w:rsidRPr="0041778F">
        <w:t xml:space="preserve"> with supporting evidence</w:t>
      </w:r>
    </w:p>
    <w:p w14:paraId="0E90012E" w14:textId="77777777" w:rsidR="004F328C" w:rsidRPr="0041778F" w:rsidRDefault="004F328C" w:rsidP="004F328C">
      <w:pPr>
        <w:pStyle w:val="Bullet"/>
        <w:tabs>
          <w:tab w:val="clear" w:pos="284"/>
          <w:tab w:val="num" w:pos="709"/>
        </w:tabs>
        <w:ind w:left="709" w:hanging="283"/>
      </w:pPr>
      <w:r w:rsidRPr="0041778F">
        <w:t>where criteria have not been achieved, corrective actions that are specific, measurable</w:t>
      </w:r>
      <w:r>
        <w:t xml:space="preserve"> and</w:t>
      </w:r>
      <w:r w:rsidRPr="0041778F">
        <w:t xml:space="preserve"> relevant</w:t>
      </w:r>
      <w:r>
        <w:t xml:space="preserve">, with </w:t>
      </w:r>
      <w:r w:rsidRPr="0041778F">
        <w:t>a timeframe</w:t>
      </w:r>
    </w:p>
    <w:p w14:paraId="4589F3FD" w14:textId="77777777" w:rsidR="004F328C" w:rsidRPr="0041778F" w:rsidRDefault="004F328C" w:rsidP="004F328C">
      <w:pPr>
        <w:pStyle w:val="Bullet"/>
        <w:tabs>
          <w:tab w:val="clear" w:pos="284"/>
          <w:tab w:val="num" w:pos="709"/>
        </w:tabs>
        <w:ind w:left="709" w:hanging="283"/>
      </w:pPr>
      <w:r w:rsidRPr="0041778F">
        <w:lastRenderedPageBreak/>
        <w:t>the areas covered by the audit (</w:t>
      </w:r>
      <w:proofErr w:type="spellStart"/>
      <w:r>
        <w:t>eg</w:t>
      </w:r>
      <w:proofErr w:type="spellEnd"/>
      <w:r w:rsidRPr="0041778F">
        <w:t xml:space="preserve">, services provided and locations, satellite services, departments, </w:t>
      </w:r>
      <w:r w:rsidRPr="0041474B">
        <w:t>processes, number</w:t>
      </w:r>
      <w:r w:rsidRPr="0041778F">
        <w:t xml:space="preserve"> and types of interviews</w:t>
      </w:r>
      <w:r>
        <w:t xml:space="preserve"> conducted</w:t>
      </w:r>
      <w:r w:rsidRPr="0041778F">
        <w:t>) and observations made, both positive (</w:t>
      </w:r>
      <w:proofErr w:type="spellStart"/>
      <w:r>
        <w:t>eg</w:t>
      </w:r>
      <w:proofErr w:type="spellEnd"/>
      <w:r w:rsidRPr="0041778F">
        <w:t>, noteworthy features) and negative (</w:t>
      </w:r>
      <w:proofErr w:type="spellStart"/>
      <w:r>
        <w:t>eg</w:t>
      </w:r>
      <w:proofErr w:type="spellEnd"/>
      <w:r w:rsidRPr="0041778F">
        <w:t>, opportunities for improvement)</w:t>
      </w:r>
    </w:p>
    <w:p w14:paraId="5862148B" w14:textId="77777777" w:rsidR="004F328C" w:rsidRPr="0041778F" w:rsidRDefault="004F328C" w:rsidP="004F328C">
      <w:pPr>
        <w:pStyle w:val="Bullet"/>
        <w:tabs>
          <w:tab w:val="clear" w:pos="284"/>
          <w:tab w:val="num" w:pos="709"/>
        </w:tabs>
        <w:ind w:left="709" w:hanging="283"/>
      </w:pPr>
      <w:r w:rsidRPr="0041778F">
        <w:t xml:space="preserve">opportunities for improvement where criteria have been fully attained and the auditors have noted further actions that </w:t>
      </w:r>
      <w:r>
        <w:t xml:space="preserve">the provider </w:t>
      </w:r>
      <w:r w:rsidRPr="0041778F">
        <w:t xml:space="preserve">could take to </w:t>
      </w:r>
      <w:r>
        <w:t xml:space="preserve">maintain </w:t>
      </w:r>
      <w:r w:rsidRPr="0041778F">
        <w:t>continuous improvement</w:t>
      </w:r>
      <w:r>
        <w:t>.</w:t>
      </w:r>
    </w:p>
    <w:p w14:paraId="45BB1088" w14:textId="77777777" w:rsidR="004F328C" w:rsidRPr="0041778F" w:rsidRDefault="004F328C" w:rsidP="004F328C">
      <w:pPr>
        <w:pStyle w:val="Number"/>
        <w:numPr>
          <w:ilvl w:val="0"/>
          <w:numId w:val="7"/>
        </w:numPr>
        <w:ind w:left="426" w:hanging="426"/>
      </w:pPr>
      <w:r>
        <w:t xml:space="preserve">Make sure the report </w:t>
      </w:r>
      <w:r w:rsidRPr="0041778F">
        <w:t>reflect</w:t>
      </w:r>
      <w:r>
        <w:t>s</w:t>
      </w:r>
      <w:r w:rsidRPr="0041778F">
        <w:t xml:space="preserve"> the findings of the audit</w:t>
      </w:r>
      <w:r>
        <w:t>.</w:t>
      </w:r>
    </w:p>
    <w:p w14:paraId="34760ACC" w14:textId="77777777" w:rsidR="004F328C" w:rsidRPr="0041778F" w:rsidRDefault="004F328C" w:rsidP="004F328C">
      <w:pPr>
        <w:pStyle w:val="Number"/>
        <w:numPr>
          <w:ilvl w:val="0"/>
          <w:numId w:val="7"/>
        </w:numPr>
        <w:ind w:left="426" w:hanging="426"/>
      </w:pPr>
      <w:r>
        <w:t>Present the report in word-processed format.</w:t>
      </w:r>
    </w:p>
    <w:p w14:paraId="2F890256" w14:textId="77777777" w:rsidR="004F328C" w:rsidRPr="0041778F" w:rsidRDefault="004F328C" w:rsidP="004F328C">
      <w:pPr>
        <w:pStyle w:val="Number"/>
        <w:numPr>
          <w:ilvl w:val="0"/>
          <w:numId w:val="7"/>
        </w:numPr>
        <w:ind w:left="426" w:hanging="426"/>
      </w:pPr>
      <w:r>
        <w:t>Follow the</w:t>
      </w:r>
      <w:r w:rsidRPr="0041778F">
        <w:t xml:space="preserve"> </w:t>
      </w:r>
      <w:r w:rsidRPr="000F6D23">
        <w:rPr>
          <w:i/>
          <w:iCs/>
        </w:rPr>
        <w:t>Audit Report Writing Guide</w:t>
      </w:r>
      <w:r>
        <w:rPr>
          <w:i/>
          <w:iCs/>
        </w:rPr>
        <w:t xml:space="preserve"> </w:t>
      </w:r>
      <w:r>
        <w:t>(Ministry of Health 2014).</w:t>
      </w:r>
      <w:r w:rsidRPr="0041778F">
        <w:t xml:space="preserve"> </w:t>
      </w:r>
    </w:p>
    <w:p w14:paraId="362B68FF" w14:textId="77777777" w:rsidR="004F328C" w:rsidRPr="0041778F" w:rsidRDefault="004F328C" w:rsidP="00BC3C4A"/>
    <w:p w14:paraId="3A67CA9D" w14:textId="77777777" w:rsidR="004F328C" w:rsidRDefault="004F328C" w:rsidP="00BC3C4A">
      <w:r>
        <w:t>A</w:t>
      </w:r>
      <w:r w:rsidRPr="0041778F">
        <w:t>llow funder</w:t>
      </w:r>
      <w:r>
        <w:t>s</w:t>
      </w:r>
      <w:r w:rsidRPr="0041778F">
        <w:t xml:space="preserve"> to review and comment on the draft audit report where it relates to any specific additional contractual elements, </w:t>
      </w:r>
      <w:r>
        <w:t>before you</w:t>
      </w:r>
      <w:r w:rsidRPr="0041778F">
        <w:t xml:space="preserve"> finalis</w:t>
      </w:r>
      <w:r>
        <w:t>e</w:t>
      </w:r>
      <w:r w:rsidRPr="0041778F">
        <w:t xml:space="preserve"> the audit report. </w:t>
      </w:r>
      <w:r>
        <w:t>Allow funders seven working days to come back to you with comments.</w:t>
      </w:r>
    </w:p>
    <w:p w14:paraId="3AD4C9EB" w14:textId="77777777" w:rsidR="004F328C" w:rsidRPr="0041778F" w:rsidRDefault="004F328C" w:rsidP="00BC3C4A"/>
    <w:p w14:paraId="105310E5" w14:textId="77777777" w:rsidR="004F328C" w:rsidRDefault="004F328C" w:rsidP="00BC3C4A">
      <w:r>
        <w:t>S</w:t>
      </w:r>
      <w:r w:rsidRPr="0041778F">
        <w:t>ubmit final audit reports electronically</w:t>
      </w:r>
      <w:r>
        <w:t xml:space="preserve"> into the PRMS</w:t>
      </w:r>
      <w:r w:rsidRPr="0041778F">
        <w:t xml:space="preserve"> and copy them to funders. </w:t>
      </w:r>
      <w:r>
        <w:t>Submit a final report</w:t>
      </w:r>
      <w:r w:rsidRPr="0041778F">
        <w:t xml:space="preserve"> no later than eight weeks following the on-site audit, unless </w:t>
      </w:r>
      <w:r>
        <w:t xml:space="preserve">you identified </w:t>
      </w:r>
      <w:r w:rsidRPr="0041778F">
        <w:t xml:space="preserve">further actions </w:t>
      </w:r>
      <w:r>
        <w:t xml:space="preserve">the provider needs to take </w:t>
      </w:r>
      <w:r w:rsidRPr="0041778F">
        <w:t xml:space="preserve">before </w:t>
      </w:r>
      <w:r>
        <w:t xml:space="preserve">you can award </w:t>
      </w:r>
      <w:r w:rsidRPr="0041778F">
        <w:t>certification.</w:t>
      </w:r>
    </w:p>
    <w:p w14:paraId="27D23BA5" w14:textId="77777777" w:rsidR="00BC3C4A" w:rsidRPr="0041778F" w:rsidRDefault="00BC3C4A" w:rsidP="00BC3C4A"/>
    <w:p w14:paraId="5DBBD078" w14:textId="77777777" w:rsidR="004F328C" w:rsidRPr="005F137E" w:rsidRDefault="004F328C" w:rsidP="00BC3C4A">
      <w:pPr>
        <w:rPr>
          <w:spacing w:val="-2"/>
        </w:rPr>
      </w:pPr>
      <w:r>
        <w:t xml:space="preserve">The </w:t>
      </w:r>
      <w:r w:rsidRPr="005F137E">
        <w:rPr>
          <w:spacing w:val="-2"/>
        </w:rPr>
        <w:t xml:space="preserve">Ministry of Health intends to publish audit summaries on its website. </w:t>
      </w:r>
      <w:r>
        <w:rPr>
          <w:spacing w:val="-2"/>
        </w:rPr>
        <w:t>Audit</w:t>
      </w:r>
      <w:r w:rsidRPr="005F137E">
        <w:rPr>
          <w:spacing w:val="-2"/>
        </w:rPr>
        <w:t xml:space="preserve"> summaries must meet the Ministry of Health</w:t>
      </w:r>
      <w:r>
        <w:rPr>
          <w:spacing w:val="-2"/>
        </w:rPr>
        <w:t>’s</w:t>
      </w:r>
      <w:r w:rsidRPr="005F137E">
        <w:rPr>
          <w:spacing w:val="-2"/>
        </w:rPr>
        <w:t xml:space="preserve"> publication standards</w:t>
      </w:r>
      <w:r>
        <w:rPr>
          <w:spacing w:val="-2"/>
        </w:rPr>
        <w:t>,</w:t>
      </w:r>
      <w:r w:rsidRPr="005F137E">
        <w:rPr>
          <w:spacing w:val="-2"/>
        </w:rPr>
        <w:t xml:space="preserve"> and the provider must agree with the final audit summary before submit</w:t>
      </w:r>
      <w:r>
        <w:rPr>
          <w:spacing w:val="-2"/>
        </w:rPr>
        <w:t>ting</w:t>
      </w:r>
      <w:r w:rsidRPr="005F137E">
        <w:rPr>
          <w:spacing w:val="-2"/>
        </w:rPr>
        <w:t xml:space="preserve"> the report into </w:t>
      </w:r>
      <w:r>
        <w:rPr>
          <w:spacing w:val="-2"/>
        </w:rPr>
        <w:t xml:space="preserve">the </w:t>
      </w:r>
      <w:r w:rsidRPr="005F137E">
        <w:rPr>
          <w:spacing w:val="-2"/>
        </w:rPr>
        <w:t>PRMS. You must have a process for dealing with situations where you and a provider cannot agree on the audit summary.</w:t>
      </w:r>
    </w:p>
    <w:p w14:paraId="09397D0A" w14:textId="77777777" w:rsidR="004F328C" w:rsidRDefault="004F328C" w:rsidP="00BC3C4A"/>
    <w:p w14:paraId="7D7E9C41" w14:textId="77777777" w:rsidR="004F328C" w:rsidRPr="009B7A1F" w:rsidRDefault="004F328C" w:rsidP="004F328C">
      <w:pPr>
        <w:pStyle w:val="Heading2"/>
        <w:rPr>
          <w:rFonts w:eastAsia="Arial"/>
        </w:rPr>
      </w:pPr>
      <w:bookmarkStart w:id="41" w:name="_Toc479482057"/>
      <w:bookmarkStart w:id="42" w:name="_Toc480293086"/>
      <w:bookmarkStart w:id="43" w:name="_Toc209590454"/>
      <w:r w:rsidRPr="009B7A1F">
        <w:rPr>
          <w:rFonts w:eastAsia="Arial"/>
        </w:rPr>
        <w:t>2.</w:t>
      </w:r>
      <w:r>
        <w:rPr>
          <w:rFonts w:eastAsia="Arial"/>
        </w:rPr>
        <w:t>7</w:t>
      </w:r>
      <w:r>
        <w:rPr>
          <w:rFonts w:eastAsia="Arial"/>
        </w:rPr>
        <w:tab/>
      </w:r>
      <w:r w:rsidRPr="009B7A1F">
        <w:rPr>
          <w:rFonts w:eastAsia="Arial"/>
        </w:rPr>
        <w:t xml:space="preserve">Audit </w:t>
      </w:r>
      <w:r>
        <w:rPr>
          <w:rFonts w:eastAsia="Arial"/>
        </w:rPr>
        <w:t>c</w:t>
      </w:r>
      <w:r w:rsidRPr="009B7A1F">
        <w:rPr>
          <w:rFonts w:eastAsia="Arial"/>
        </w:rPr>
        <w:t>osts</w:t>
      </w:r>
      <w:bookmarkEnd w:id="41"/>
      <w:bookmarkEnd w:id="42"/>
      <w:bookmarkEnd w:id="43"/>
    </w:p>
    <w:p w14:paraId="7D3D6F95" w14:textId="77777777" w:rsidR="004F328C" w:rsidRPr="00404B72" w:rsidRDefault="004F328C" w:rsidP="00BC3C4A">
      <w:r w:rsidRPr="00404B72">
        <w:t>Funders are not liable for the cost of certification audit services.</w:t>
      </w:r>
    </w:p>
    <w:p w14:paraId="38EE9EA4" w14:textId="77777777" w:rsidR="004F328C" w:rsidRPr="00404B72" w:rsidRDefault="004F328C" w:rsidP="00BC3C4A"/>
    <w:p w14:paraId="3548C8A1" w14:textId="77777777" w:rsidR="004F328C" w:rsidRPr="00404B72" w:rsidRDefault="004F328C" w:rsidP="00BC3C4A">
      <w:r w:rsidRPr="00404B72">
        <w:t xml:space="preserve">If a funder </w:t>
      </w:r>
      <w:r>
        <w:t>asks you to include</w:t>
      </w:r>
      <w:r w:rsidRPr="00404B72">
        <w:t xml:space="preserve"> additional criteria</w:t>
      </w:r>
      <w:r>
        <w:t xml:space="preserve"> in an audit</w:t>
      </w:r>
      <w:r w:rsidRPr="00404B72">
        <w:t xml:space="preserve"> specific to a service agreement that it holds with a provider, the funder will negotiate </w:t>
      </w:r>
      <w:r>
        <w:t xml:space="preserve">appropriate </w:t>
      </w:r>
      <w:r w:rsidRPr="00404B72">
        <w:t xml:space="preserve">payment </w:t>
      </w:r>
      <w:r>
        <w:t>for this with you</w:t>
      </w:r>
      <w:r w:rsidRPr="00404B72">
        <w:t xml:space="preserve"> before the audit starts. </w:t>
      </w:r>
      <w:r>
        <w:t>This p</w:t>
      </w:r>
      <w:r w:rsidRPr="00404B72">
        <w:t>ayment is likely to be a set price based on a time requirement</w:t>
      </w:r>
      <w:r w:rsidRPr="00B7789E">
        <w:t xml:space="preserve"> </w:t>
      </w:r>
      <w:r w:rsidRPr="00404B72">
        <w:t xml:space="preserve">the funders and </w:t>
      </w:r>
      <w:r>
        <w:t>you have already worked out</w:t>
      </w:r>
      <w:r w:rsidRPr="00404B72">
        <w:t xml:space="preserve"> and agreed </w:t>
      </w:r>
      <w:r>
        <w:t>on</w:t>
      </w:r>
      <w:r w:rsidRPr="00404B72">
        <w:t>.</w:t>
      </w:r>
    </w:p>
    <w:p w14:paraId="4445942A" w14:textId="77777777" w:rsidR="004F328C" w:rsidRPr="00404B72" w:rsidRDefault="004F328C" w:rsidP="00BC3C4A"/>
    <w:p w14:paraId="3C51FAA1" w14:textId="77777777" w:rsidR="004F328C" w:rsidRDefault="004F328C" w:rsidP="00BC3C4A">
      <w:r w:rsidRPr="00404B72">
        <w:t xml:space="preserve">If a funder </w:t>
      </w:r>
      <w:r>
        <w:t xml:space="preserve">asks you to include </w:t>
      </w:r>
      <w:r w:rsidRPr="00404B72">
        <w:t xml:space="preserve">a </w:t>
      </w:r>
      <w:r>
        <w:t xml:space="preserve">particular </w:t>
      </w:r>
      <w:r w:rsidRPr="00404B72">
        <w:t xml:space="preserve">site within the sample for the audit, </w:t>
      </w:r>
      <w:r>
        <w:t xml:space="preserve">you must </w:t>
      </w:r>
      <w:r w:rsidRPr="00404B72">
        <w:t xml:space="preserve">include this without </w:t>
      </w:r>
      <w:r>
        <w:t xml:space="preserve">increasing the </w:t>
      </w:r>
      <w:r w:rsidRPr="00404B72">
        <w:t>cost</w:t>
      </w:r>
      <w:r>
        <w:t xml:space="preserve"> of the audit</w:t>
      </w:r>
      <w:r w:rsidRPr="00404B72">
        <w:t>, unless</w:t>
      </w:r>
      <w:r>
        <w:t xml:space="preserve"> you cannot</w:t>
      </w:r>
      <w:r w:rsidRPr="00404B72">
        <w:t xml:space="preserve"> accommodate th</w:t>
      </w:r>
      <w:r>
        <w:t>e additional site</w:t>
      </w:r>
      <w:r w:rsidRPr="00404B72">
        <w:t xml:space="preserve"> within the sampling equation (</w:t>
      </w:r>
      <w:r>
        <w:t>see</w:t>
      </w:r>
      <w:r w:rsidRPr="00404B72">
        <w:t xml:space="preserve"> </w:t>
      </w:r>
      <w:r>
        <w:t>‘</w:t>
      </w:r>
      <w:r w:rsidRPr="00404B72">
        <w:t>Minimum sample size – multiple sites</w:t>
      </w:r>
      <w:r>
        <w:t>’ in Section 2.5</w:t>
      </w:r>
      <w:r w:rsidRPr="00404B72">
        <w:t>).</w:t>
      </w:r>
    </w:p>
    <w:p w14:paraId="3008D77E" w14:textId="3E39A4F8" w:rsidR="007A5116" w:rsidRDefault="007A5116" w:rsidP="004F328C">
      <w:r>
        <w:br w:type="page"/>
      </w:r>
    </w:p>
    <w:p w14:paraId="5E3FD0EB" w14:textId="77777777" w:rsidR="004F328C" w:rsidRDefault="004F328C" w:rsidP="004F328C">
      <w:pPr>
        <w:pStyle w:val="Heading2"/>
        <w:rPr>
          <w:rFonts w:eastAsia="Arial"/>
        </w:rPr>
      </w:pPr>
      <w:bookmarkStart w:id="44" w:name="_Toc479482058"/>
      <w:bookmarkStart w:id="45" w:name="_Toc480293087"/>
      <w:bookmarkStart w:id="46" w:name="_Toc209590455"/>
      <w:r w:rsidRPr="009B7A1F">
        <w:rPr>
          <w:rFonts w:eastAsia="Arial"/>
        </w:rPr>
        <w:lastRenderedPageBreak/>
        <w:t>2.</w:t>
      </w:r>
      <w:r>
        <w:rPr>
          <w:rFonts w:eastAsia="Arial"/>
        </w:rPr>
        <w:t>8</w:t>
      </w:r>
      <w:r>
        <w:rPr>
          <w:rFonts w:eastAsia="Arial"/>
        </w:rPr>
        <w:tab/>
      </w:r>
      <w:r w:rsidRPr="009B7A1F">
        <w:rPr>
          <w:rFonts w:eastAsia="Arial"/>
        </w:rPr>
        <w:t xml:space="preserve">Provider </w:t>
      </w:r>
      <w:r>
        <w:rPr>
          <w:rFonts w:eastAsia="Arial"/>
        </w:rPr>
        <w:t>r</w:t>
      </w:r>
      <w:r w:rsidRPr="009B7A1F">
        <w:rPr>
          <w:rFonts w:eastAsia="Arial"/>
        </w:rPr>
        <w:t xml:space="preserve">egulation </w:t>
      </w:r>
      <w:r>
        <w:rPr>
          <w:rFonts w:eastAsia="Arial"/>
        </w:rPr>
        <w:t>and monitoring</w:t>
      </w:r>
      <w:r w:rsidRPr="009B7A1F">
        <w:rPr>
          <w:rFonts w:eastAsia="Arial"/>
        </w:rPr>
        <w:t xml:space="preserve"> </w:t>
      </w:r>
      <w:r>
        <w:rPr>
          <w:rFonts w:eastAsia="Arial"/>
        </w:rPr>
        <w:t>s</w:t>
      </w:r>
      <w:r w:rsidRPr="009B7A1F">
        <w:rPr>
          <w:rFonts w:eastAsia="Arial"/>
        </w:rPr>
        <w:t>ystem</w:t>
      </w:r>
      <w:bookmarkEnd w:id="44"/>
      <w:bookmarkEnd w:id="45"/>
      <w:bookmarkEnd w:id="46"/>
    </w:p>
    <w:p w14:paraId="513EA089" w14:textId="77777777" w:rsidR="004F328C" w:rsidRPr="00771C4F" w:rsidRDefault="004F328C" w:rsidP="004F328C">
      <w:r>
        <w:t>You must</w:t>
      </w:r>
      <w:r w:rsidRPr="00771C4F">
        <w:t>:</w:t>
      </w:r>
    </w:p>
    <w:p w14:paraId="6AA18773" w14:textId="77777777" w:rsidR="004F328C" w:rsidRPr="00DC6347" w:rsidRDefault="004F328C" w:rsidP="00BC3C4A">
      <w:pPr>
        <w:pStyle w:val="Number"/>
        <w:numPr>
          <w:ilvl w:val="0"/>
          <w:numId w:val="36"/>
        </w:numPr>
        <w:ind w:left="426" w:hanging="426"/>
      </w:pPr>
      <w:r w:rsidRPr="00DC6347">
        <w:t xml:space="preserve">access the PRMS via a connection to the New Zealand </w:t>
      </w:r>
      <w:r>
        <w:t>h</w:t>
      </w:r>
      <w:r w:rsidRPr="00DC6347">
        <w:t xml:space="preserve">ealth </w:t>
      </w:r>
      <w:r>
        <w:t>n</w:t>
      </w:r>
      <w:r w:rsidRPr="00DC6347">
        <w:t>etwork</w:t>
      </w:r>
      <w:r>
        <w:t xml:space="preserve">, </w:t>
      </w:r>
      <w:r w:rsidRPr="00DC6347">
        <w:t>Connected Health</w:t>
      </w:r>
    </w:p>
    <w:p w14:paraId="51D64541" w14:textId="77777777" w:rsidR="004F328C" w:rsidRPr="005C1E4B" w:rsidRDefault="004F328C" w:rsidP="004F328C">
      <w:pPr>
        <w:pStyle w:val="Number"/>
        <w:numPr>
          <w:ilvl w:val="0"/>
          <w:numId w:val="7"/>
        </w:numPr>
        <w:ind w:left="426" w:hanging="426"/>
      </w:pPr>
      <w:r>
        <w:t>s</w:t>
      </w:r>
      <w:r w:rsidRPr="005C1E4B">
        <w:t xml:space="preserve">ecurely manage user-specific </w:t>
      </w:r>
      <w:proofErr w:type="gramStart"/>
      <w:r w:rsidRPr="005C1E4B">
        <w:t>log-in</w:t>
      </w:r>
      <w:r>
        <w:t>s</w:t>
      </w:r>
      <w:proofErr w:type="gramEnd"/>
      <w:r w:rsidRPr="005C1E4B">
        <w:t xml:space="preserve"> and passwords </w:t>
      </w:r>
      <w:r>
        <w:t xml:space="preserve">for </w:t>
      </w:r>
      <w:r w:rsidRPr="005C1E4B">
        <w:t>the PRMS</w:t>
      </w:r>
    </w:p>
    <w:p w14:paraId="242BBFD5" w14:textId="77777777" w:rsidR="004F328C" w:rsidRPr="005C1E4B" w:rsidRDefault="004F328C" w:rsidP="004F328C">
      <w:pPr>
        <w:pStyle w:val="Number"/>
        <w:numPr>
          <w:ilvl w:val="0"/>
          <w:numId w:val="7"/>
        </w:numPr>
        <w:ind w:left="426" w:hanging="426"/>
      </w:pPr>
      <w:r>
        <w:t>u</w:t>
      </w:r>
      <w:r w:rsidRPr="005C1E4B">
        <w:t>se the PRMS to download provider-specific audit reporting templates to complete audits</w:t>
      </w:r>
    </w:p>
    <w:p w14:paraId="3D6B1377" w14:textId="77777777" w:rsidR="004F328C" w:rsidRPr="005C1E4B" w:rsidRDefault="004F328C" w:rsidP="004F328C">
      <w:pPr>
        <w:pStyle w:val="Number"/>
        <w:numPr>
          <w:ilvl w:val="0"/>
          <w:numId w:val="7"/>
        </w:numPr>
        <w:ind w:left="426" w:hanging="426"/>
      </w:pPr>
      <w:r>
        <w:t>u</w:t>
      </w:r>
      <w:r w:rsidRPr="005C1E4B">
        <w:t>se the PRMS to upload completed audit reports</w:t>
      </w:r>
    </w:p>
    <w:p w14:paraId="4FD681D7" w14:textId="77777777" w:rsidR="004F328C" w:rsidRPr="005C1E4B" w:rsidRDefault="004F328C" w:rsidP="004F328C">
      <w:pPr>
        <w:pStyle w:val="Number"/>
        <w:numPr>
          <w:ilvl w:val="0"/>
          <w:numId w:val="7"/>
        </w:numPr>
        <w:ind w:left="426" w:hanging="426"/>
      </w:pPr>
      <w:r>
        <w:t>c</w:t>
      </w:r>
      <w:r w:rsidRPr="005C1E4B">
        <w:t>omplete the prescribed form in the PRMS that maintains an up-to-date register of auditors who undertake audits on</w:t>
      </w:r>
      <w:r>
        <w:t xml:space="preserve"> your</w:t>
      </w:r>
      <w:r w:rsidRPr="005C1E4B">
        <w:t xml:space="preserve"> behalf. An auditor </w:t>
      </w:r>
      <w:r>
        <w:t xml:space="preserve">must </w:t>
      </w:r>
      <w:r w:rsidRPr="005C1E4B">
        <w:t xml:space="preserve">not undertake an audit on </w:t>
      </w:r>
      <w:r>
        <w:t xml:space="preserve">your </w:t>
      </w:r>
      <w:r w:rsidRPr="005C1E4B">
        <w:t xml:space="preserve">behalf if </w:t>
      </w:r>
      <w:r>
        <w:t xml:space="preserve">you </w:t>
      </w:r>
      <w:r w:rsidRPr="005C1E4B">
        <w:t xml:space="preserve">have not entered </w:t>
      </w:r>
      <w:r>
        <w:t xml:space="preserve">them </w:t>
      </w:r>
      <w:r w:rsidRPr="005C1E4B">
        <w:t>onto the auditor register</w:t>
      </w:r>
    </w:p>
    <w:p w14:paraId="733FE520" w14:textId="77777777" w:rsidR="004F328C" w:rsidRPr="005C1E4B" w:rsidRDefault="004F328C" w:rsidP="004F328C">
      <w:pPr>
        <w:pStyle w:val="Number"/>
        <w:numPr>
          <w:ilvl w:val="0"/>
          <w:numId w:val="7"/>
        </w:numPr>
        <w:ind w:left="426" w:hanging="426"/>
      </w:pPr>
      <w:r>
        <w:t>e</w:t>
      </w:r>
      <w:r w:rsidRPr="005C1E4B">
        <w:t xml:space="preserve">nsure the lead auditor/team leader and a peer reviewer have reviewed all audit reports before </w:t>
      </w:r>
      <w:r>
        <w:t>you</w:t>
      </w:r>
      <w:r w:rsidRPr="005C1E4B">
        <w:t xml:space="preserve"> submit</w:t>
      </w:r>
      <w:r>
        <w:t xml:space="preserve"> them</w:t>
      </w:r>
      <w:r w:rsidRPr="005C1E4B">
        <w:t xml:space="preserve"> to the PRMS. The peer review process </w:t>
      </w:r>
      <w:r>
        <w:t>must</w:t>
      </w:r>
      <w:r w:rsidRPr="005C1E4B">
        <w:t xml:space="preserve"> include:</w:t>
      </w:r>
    </w:p>
    <w:p w14:paraId="7545FC86" w14:textId="77777777" w:rsidR="004F328C" w:rsidRPr="005C1E4B" w:rsidRDefault="004F328C" w:rsidP="004F328C">
      <w:pPr>
        <w:pStyle w:val="Bullet"/>
        <w:tabs>
          <w:tab w:val="clear" w:pos="284"/>
          <w:tab w:val="num" w:pos="709"/>
        </w:tabs>
        <w:ind w:left="709" w:hanging="283"/>
      </w:pPr>
      <w:r>
        <w:t>p</w:t>
      </w:r>
      <w:r w:rsidRPr="005C1E4B">
        <w:t>roofreading the report</w:t>
      </w:r>
    </w:p>
    <w:p w14:paraId="18F5A348" w14:textId="77777777" w:rsidR="004F328C" w:rsidRDefault="004F328C" w:rsidP="004F328C">
      <w:pPr>
        <w:pStyle w:val="Bullet"/>
        <w:tabs>
          <w:tab w:val="clear" w:pos="284"/>
          <w:tab w:val="num" w:pos="709"/>
        </w:tabs>
        <w:ind w:left="709" w:hanging="283"/>
      </w:pPr>
      <w:r>
        <w:t>e</w:t>
      </w:r>
      <w:r w:rsidRPr="005C1E4B">
        <w:t>nsuring the report is factual and accurate</w:t>
      </w:r>
    </w:p>
    <w:p w14:paraId="2285CBB6" w14:textId="77777777" w:rsidR="004F328C" w:rsidRDefault="004F328C" w:rsidP="004F328C">
      <w:pPr>
        <w:pStyle w:val="Bullet"/>
        <w:tabs>
          <w:tab w:val="clear" w:pos="284"/>
          <w:tab w:val="num" w:pos="709"/>
        </w:tabs>
        <w:ind w:left="709" w:hanging="283"/>
      </w:pPr>
      <w:r>
        <w:t>e</w:t>
      </w:r>
      <w:r w:rsidRPr="005C1E4B">
        <w:t>nsuring the audit activities conducted were technically adequate and properly documented</w:t>
      </w:r>
    </w:p>
    <w:p w14:paraId="01E4D4B2" w14:textId="77777777" w:rsidR="004F328C" w:rsidRDefault="004F328C" w:rsidP="004F328C">
      <w:pPr>
        <w:pStyle w:val="Number"/>
        <w:numPr>
          <w:ilvl w:val="0"/>
          <w:numId w:val="7"/>
        </w:numPr>
        <w:ind w:left="426" w:hanging="426"/>
      </w:pPr>
      <w:r>
        <w:t>e</w:t>
      </w:r>
      <w:r w:rsidRPr="005C1E4B">
        <w:t>nsur</w:t>
      </w:r>
      <w:r>
        <w:t>e</w:t>
      </w:r>
      <w:r w:rsidRPr="005C1E4B">
        <w:t xml:space="preserve"> the report follows the guidelines set out in the </w:t>
      </w:r>
      <w:r w:rsidRPr="00D52DDE">
        <w:rPr>
          <w:i/>
          <w:iCs/>
        </w:rPr>
        <w:t>Audit Report Writing Guide</w:t>
      </w:r>
      <w:r>
        <w:t xml:space="preserve"> (Ministry of Health 2014).</w:t>
      </w:r>
    </w:p>
    <w:p w14:paraId="3BC99D00" w14:textId="77777777" w:rsidR="007E6178" w:rsidRDefault="007E6178" w:rsidP="00BA0140">
      <w:pPr>
        <w:sectPr w:rsidR="007E6178" w:rsidSect="007E6178">
          <w:pgSz w:w="11907" w:h="16834" w:code="9"/>
          <w:pgMar w:top="1440" w:right="1440" w:bottom="1440" w:left="1440" w:header="709" w:footer="709" w:gutter="567"/>
          <w:cols w:space="720"/>
          <w:docGrid w:linePitch="299"/>
        </w:sectPr>
      </w:pPr>
    </w:p>
    <w:p w14:paraId="4098DBA5" w14:textId="77777777" w:rsidR="00350EE0" w:rsidRPr="009000B3" w:rsidRDefault="00350EE0" w:rsidP="007E6178">
      <w:pPr>
        <w:pStyle w:val="Heading1"/>
        <w:spacing w:before="0"/>
      </w:pPr>
      <w:bookmarkStart w:id="47" w:name="_Toc479482059"/>
      <w:bookmarkStart w:id="48" w:name="_Toc480293088"/>
      <w:bookmarkStart w:id="49" w:name="_Toc209590456"/>
      <w:r>
        <w:lastRenderedPageBreak/>
        <w:t>3.</w:t>
      </w:r>
      <w:r>
        <w:tab/>
      </w:r>
      <w:r w:rsidRPr="009000B3">
        <w:t>Audit</w:t>
      </w:r>
      <w:bookmarkEnd w:id="47"/>
      <w:bookmarkEnd w:id="48"/>
      <w:bookmarkEnd w:id="49"/>
    </w:p>
    <w:p w14:paraId="2B1000DB" w14:textId="77777777" w:rsidR="00BC3C4A" w:rsidRPr="00B01C8F" w:rsidRDefault="00BC3C4A" w:rsidP="00BC3C4A">
      <w:r w:rsidRPr="00B01C8F">
        <w:t xml:space="preserve">The </w:t>
      </w:r>
      <w:r>
        <w:t>three</w:t>
      </w:r>
      <w:r w:rsidRPr="00B01C8F">
        <w:t xml:space="preserve"> types of audit</w:t>
      </w:r>
      <w:r>
        <w:t>s</w:t>
      </w:r>
      <w:r w:rsidRPr="00B01C8F">
        <w:t xml:space="preserve"> </w:t>
      </w:r>
      <w:r>
        <w:t>of HCSS providers are</w:t>
      </w:r>
      <w:r w:rsidRPr="00B01C8F">
        <w:t>:</w:t>
      </w:r>
    </w:p>
    <w:p w14:paraId="1FFD8B7B" w14:textId="77777777" w:rsidR="00BC3C4A" w:rsidRPr="00B01C8F" w:rsidRDefault="00BC3C4A" w:rsidP="00BC3C4A">
      <w:pPr>
        <w:pStyle w:val="Number"/>
        <w:numPr>
          <w:ilvl w:val="0"/>
          <w:numId w:val="37"/>
        </w:numPr>
        <w:ind w:left="426" w:hanging="426"/>
      </w:pPr>
      <w:r w:rsidRPr="00B01C8F">
        <w:t>certification audit</w:t>
      </w:r>
    </w:p>
    <w:p w14:paraId="5CDCB0D1" w14:textId="77777777" w:rsidR="00BC3C4A" w:rsidRPr="00B01C8F" w:rsidRDefault="00BC3C4A" w:rsidP="00BC3C4A">
      <w:pPr>
        <w:pStyle w:val="Number"/>
        <w:numPr>
          <w:ilvl w:val="0"/>
          <w:numId w:val="7"/>
        </w:numPr>
        <w:ind w:left="426" w:hanging="426"/>
      </w:pPr>
      <w:r w:rsidRPr="00B01C8F">
        <w:t>verification audit</w:t>
      </w:r>
    </w:p>
    <w:p w14:paraId="1978388A" w14:textId="77777777" w:rsidR="00BC3C4A" w:rsidRDefault="00BC3C4A" w:rsidP="00BC3C4A">
      <w:pPr>
        <w:pStyle w:val="Number"/>
        <w:numPr>
          <w:ilvl w:val="0"/>
          <w:numId w:val="7"/>
        </w:numPr>
        <w:ind w:left="426" w:hanging="426"/>
      </w:pPr>
      <w:r w:rsidRPr="00B01C8F">
        <w:t>surveillance audit.</w:t>
      </w:r>
    </w:p>
    <w:p w14:paraId="341DCE37" w14:textId="77777777" w:rsidR="00BC3C4A" w:rsidRPr="00B01C8F" w:rsidRDefault="00BC3C4A" w:rsidP="00BC3C4A">
      <w:pPr>
        <w:pStyle w:val="Number"/>
        <w:numPr>
          <w:ilvl w:val="0"/>
          <w:numId w:val="7"/>
        </w:numPr>
        <w:ind w:left="426" w:hanging="426"/>
      </w:pPr>
      <w:r>
        <w:t>Provisional audit</w:t>
      </w:r>
    </w:p>
    <w:p w14:paraId="767CE3C7" w14:textId="77777777" w:rsidR="00BC3C4A" w:rsidRDefault="00BC3C4A" w:rsidP="00BC3C4A"/>
    <w:p w14:paraId="303B344B" w14:textId="77777777" w:rsidR="00BC3C4A" w:rsidRDefault="00BC3C4A" w:rsidP="00BC3C4A">
      <w:r>
        <w:t xml:space="preserve">For each </w:t>
      </w:r>
      <w:r w:rsidRPr="00B01C8F">
        <w:t>audit</w:t>
      </w:r>
      <w:r>
        <w:t>, you must</w:t>
      </w:r>
      <w:r w:rsidRPr="00B01C8F">
        <w:t xml:space="preserve"> </w:t>
      </w:r>
      <w:r>
        <w:t xml:space="preserve">undertake the activities </w:t>
      </w:r>
      <w:r w:rsidRPr="00B01C8F">
        <w:t>listed in</w:t>
      </w:r>
      <w:r>
        <w:t xml:space="preserve"> </w:t>
      </w:r>
      <w:r w:rsidRPr="00B01C8F">
        <w:t>Table</w:t>
      </w:r>
      <w:r>
        <w:t xml:space="preserve"> 1</w:t>
      </w:r>
      <w:r w:rsidRPr="00B01C8F">
        <w:t>.</w:t>
      </w:r>
    </w:p>
    <w:p w14:paraId="091A496E" w14:textId="77777777" w:rsidR="00C4683A" w:rsidRPr="00B01C8F" w:rsidRDefault="00C4683A" w:rsidP="00BC3C4A"/>
    <w:p w14:paraId="507FA90C" w14:textId="77777777" w:rsidR="00350EE0" w:rsidRPr="00BC3C4A" w:rsidRDefault="00350EE0" w:rsidP="00BC3C4A">
      <w:pPr>
        <w:pStyle w:val="Table"/>
      </w:pPr>
      <w:bookmarkStart w:id="50" w:name="_Toc336937257"/>
      <w:r w:rsidRPr="00BC3C4A">
        <w:t>Table 1: Audit activity required by audit type</w:t>
      </w:r>
      <w:bookmarkEnd w:id="50"/>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134"/>
        <w:gridCol w:w="1843"/>
        <w:gridCol w:w="3402"/>
        <w:gridCol w:w="2126"/>
      </w:tblGrid>
      <w:tr w:rsidR="00350EE0" w:rsidRPr="00C4683A" w14:paraId="438086EA" w14:textId="77777777" w:rsidTr="007E6178">
        <w:trPr>
          <w:tblHeader/>
        </w:trPr>
        <w:tc>
          <w:tcPr>
            <w:tcW w:w="1134" w:type="dxa"/>
            <w:shd w:val="clear" w:color="auto" w:fill="D9D9D9"/>
          </w:tcPr>
          <w:p w14:paraId="4C851204" w14:textId="77777777" w:rsidR="00350EE0" w:rsidRPr="00C4683A" w:rsidRDefault="00350EE0" w:rsidP="00BA0140">
            <w:pPr>
              <w:pStyle w:val="TableText"/>
              <w:rPr>
                <w:b/>
              </w:rPr>
            </w:pPr>
            <w:r w:rsidRPr="00C4683A">
              <w:rPr>
                <w:b/>
              </w:rPr>
              <w:t>Type of audit</w:t>
            </w:r>
          </w:p>
        </w:tc>
        <w:tc>
          <w:tcPr>
            <w:tcW w:w="1843" w:type="dxa"/>
            <w:shd w:val="clear" w:color="auto" w:fill="D9D9D9"/>
          </w:tcPr>
          <w:p w14:paraId="2811096F" w14:textId="1EB9D9F4" w:rsidR="00350EE0" w:rsidRPr="00C4683A" w:rsidRDefault="00350EE0" w:rsidP="00BA0140">
            <w:pPr>
              <w:pStyle w:val="TableText"/>
              <w:rPr>
                <w:b/>
              </w:rPr>
            </w:pPr>
            <w:r w:rsidRPr="00C4683A">
              <w:rPr>
                <w:b/>
              </w:rPr>
              <w:t xml:space="preserve">Description of </w:t>
            </w:r>
            <w:r w:rsidR="00BC3C4A">
              <w:rPr>
                <w:b/>
              </w:rPr>
              <w:t>audit</w:t>
            </w:r>
          </w:p>
        </w:tc>
        <w:tc>
          <w:tcPr>
            <w:tcW w:w="3402" w:type="dxa"/>
            <w:shd w:val="clear" w:color="auto" w:fill="D9D9D9"/>
          </w:tcPr>
          <w:p w14:paraId="30A3A2F8" w14:textId="77777777" w:rsidR="00350EE0" w:rsidRPr="00C4683A" w:rsidRDefault="00350EE0" w:rsidP="00BA0140">
            <w:pPr>
              <w:pStyle w:val="TableText"/>
              <w:rPr>
                <w:b/>
              </w:rPr>
            </w:pPr>
            <w:r w:rsidRPr="00C4683A">
              <w:rPr>
                <w:b/>
              </w:rPr>
              <w:t>Audit activity required</w:t>
            </w:r>
          </w:p>
        </w:tc>
        <w:tc>
          <w:tcPr>
            <w:tcW w:w="2126" w:type="dxa"/>
            <w:shd w:val="clear" w:color="auto" w:fill="D9D9D9"/>
          </w:tcPr>
          <w:p w14:paraId="10AFCE0D" w14:textId="77777777" w:rsidR="00350EE0" w:rsidRPr="00C4683A" w:rsidRDefault="00350EE0" w:rsidP="00BA0140">
            <w:pPr>
              <w:pStyle w:val="TableText"/>
              <w:rPr>
                <w:b/>
              </w:rPr>
            </w:pPr>
            <w:r w:rsidRPr="00C4683A">
              <w:rPr>
                <w:b/>
              </w:rPr>
              <w:t>Result</w:t>
            </w:r>
          </w:p>
        </w:tc>
      </w:tr>
      <w:tr w:rsidR="00BC3C4A" w:rsidRPr="001A485E" w14:paraId="01A55935" w14:textId="77777777" w:rsidTr="007E6178">
        <w:tc>
          <w:tcPr>
            <w:tcW w:w="1134" w:type="dxa"/>
          </w:tcPr>
          <w:p w14:paraId="34C48FB5" w14:textId="50916327" w:rsidR="00BC3C4A" w:rsidRPr="00BC3C4A" w:rsidRDefault="00BC3C4A" w:rsidP="00BC3C4A">
            <w:pPr>
              <w:pStyle w:val="TableText"/>
            </w:pPr>
            <w:r w:rsidRPr="00BC3C4A">
              <w:t>Certification audit</w:t>
            </w:r>
          </w:p>
        </w:tc>
        <w:tc>
          <w:tcPr>
            <w:tcW w:w="1843" w:type="dxa"/>
          </w:tcPr>
          <w:p w14:paraId="73C9DE47" w14:textId="7495BEBC" w:rsidR="00BC3C4A" w:rsidRPr="00BC3C4A" w:rsidRDefault="00BC3C4A" w:rsidP="00BC3C4A">
            <w:pPr>
              <w:pStyle w:val="TableText"/>
            </w:pPr>
            <w:r w:rsidRPr="00BC3C4A">
              <w:t xml:space="preserve">An audit of an organisation providing HCSS seeking certification against </w:t>
            </w:r>
            <w:proofErr w:type="spellStart"/>
            <w:r w:rsidRPr="00BC3C4A">
              <w:t>Ngā</w:t>
            </w:r>
            <w:proofErr w:type="spellEnd"/>
            <w:r w:rsidRPr="00BC3C4A">
              <w:t> </w:t>
            </w:r>
            <w:proofErr w:type="spellStart"/>
            <w:r w:rsidRPr="00BC3C4A">
              <w:t>Paerewa</w:t>
            </w:r>
            <w:proofErr w:type="spellEnd"/>
          </w:p>
        </w:tc>
        <w:tc>
          <w:tcPr>
            <w:tcW w:w="3402" w:type="dxa"/>
          </w:tcPr>
          <w:p w14:paraId="2FC31DE5" w14:textId="77777777" w:rsidR="00BC3C4A" w:rsidRPr="00BC3C4A" w:rsidRDefault="00BC3C4A" w:rsidP="00BC3C4A">
            <w:pPr>
              <w:pStyle w:val="TableText"/>
            </w:pPr>
            <w:r w:rsidRPr="00BC3C4A">
              <w:t xml:space="preserve">Conduct a first-stage audit, considering any revised or new policies and procedures against </w:t>
            </w:r>
            <w:proofErr w:type="spellStart"/>
            <w:r w:rsidRPr="00BC3C4A">
              <w:t>Ngā</w:t>
            </w:r>
            <w:proofErr w:type="spellEnd"/>
            <w:r w:rsidRPr="00BC3C4A">
              <w:t> </w:t>
            </w:r>
            <w:proofErr w:type="spellStart"/>
            <w:r w:rsidRPr="00BC3C4A">
              <w:t>Paerewa</w:t>
            </w:r>
            <w:proofErr w:type="spellEnd"/>
            <w:r w:rsidRPr="00BC3C4A">
              <w:t>.</w:t>
            </w:r>
            <w:r w:rsidRPr="00BC3C4A" w:rsidDel="00795A0F">
              <w:t xml:space="preserve"> </w:t>
            </w:r>
          </w:p>
          <w:p w14:paraId="09EA872E" w14:textId="6B5EADBC" w:rsidR="00BC3C4A" w:rsidRPr="00BC3C4A" w:rsidRDefault="00BC3C4A" w:rsidP="00BC3C4A">
            <w:pPr>
              <w:pStyle w:val="TableText"/>
            </w:pPr>
            <w:r w:rsidRPr="00BC3C4A">
              <w:t xml:space="preserve">Conduct a second stage on-site audit against </w:t>
            </w:r>
            <w:proofErr w:type="spellStart"/>
            <w:r w:rsidRPr="00BC3C4A">
              <w:t>Ngā</w:t>
            </w:r>
            <w:proofErr w:type="spellEnd"/>
            <w:r w:rsidRPr="00BC3C4A">
              <w:t> </w:t>
            </w:r>
            <w:proofErr w:type="spellStart"/>
            <w:r w:rsidRPr="00BC3C4A">
              <w:t>Paerewa</w:t>
            </w:r>
            <w:proofErr w:type="spellEnd"/>
            <w:r w:rsidRPr="00BC3C4A">
              <w:t>.</w:t>
            </w:r>
            <w:r w:rsidRPr="00BC3C4A" w:rsidDel="00795A0F">
              <w:t xml:space="preserve"> </w:t>
            </w:r>
          </w:p>
        </w:tc>
        <w:tc>
          <w:tcPr>
            <w:tcW w:w="2126" w:type="dxa"/>
          </w:tcPr>
          <w:p w14:paraId="0550A3B7" w14:textId="2A3BF371" w:rsidR="00BC3C4A" w:rsidRPr="00BC3C4A" w:rsidRDefault="00BC3C4A" w:rsidP="00BC3C4A">
            <w:pPr>
              <w:pStyle w:val="TableText"/>
            </w:pPr>
            <w:r w:rsidRPr="00BC3C4A">
              <w:t>Conformity assessment body issues three-year certificate</w:t>
            </w:r>
          </w:p>
        </w:tc>
      </w:tr>
      <w:tr w:rsidR="00BC3C4A" w:rsidRPr="006F330C" w14:paraId="39922E6F" w14:textId="77777777" w:rsidTr="007E6178">
        <w:tc>
          <w:tcPr>
            <w:tcW w:w="1134" w:type="dxa"/>
          </w:tcPr>
          <w:p w14:paraId="3F5C02CC" w14:textId="58F7107D" w:rsidR="00BC3C4A" w:rsidRPr="00BC3C4A" w:rsidRDefault="00BC3C4A" w:rsidP="00BC3C4A">
            <w:pPr>
              <w:pStyle w:val="TableText"/>
            </w:pPr>
            <w:r w:rsidRPr="00BC3C4A">
              <w:t>Verification audit</w:t>
            </w:r>
          </w:p>
        </w:tc>
        <w:tc>
          <w:tcPr>
            <w:tcW w:w="1843" w:type="dxa"/>
          </w:tcPr>
          <w:p w14:paraId="19406E78" w14:textId="77777777" w:rsidR="00BC3C4A" w:rsidRPr="00BC3C4A" w:rsidRDefault="00BC3C4A" w:rsidP="00BC3C4A">
            <w:pPr>
              <w:pStyle w:val="TableText"/>
            </w:pPr>
            <w:r w:rsidRPr="00BC3C4A">
              <w:t>Adding an additional premise into an existing certificate</w:t>
            </w:r>
          </w:p>
          <w:p w14:paraId="57DAAA03" w14:textId="77777777" w:rsidR="00BC3C4A" w:rsidRPr="00BC3C4A" w:rsidRDefault="00BC3C4A" w:rsidP="00BC3C4A">
            <w:pPr>
              <w:pStyle w:val="TableText"/>
            </w:pPr>
            <w:r w:rsidRPr="00BC3C4A">
              <w:t>Adding an additional scope of practice</w:t>
            </w:r>
          </w:p>
          <w:p w14:paraId="7AB92CAC" w14:textId="77777777" w:rsidR="00BC3C4A" w:rsidRPr="00BC3C4A" w:rsidRDefault="00BC3C4A" w:rsidP="00BC3C4A">
            <w:pPr>
              <w:pStyle w:val="TableText"/>
            </w:pPr>
            <w:r w:rsidRPr="00BC3C4A">
              <w:t>Changing premises or making significant changes to premises</w:t>
            </w:r>
          </w:p>
          <w:p w14:paraId="02E0824A" w14:textId="77777777" w:rsidR="00BC3C4A" w:rsidRPr="00BC3C4A" w:rsidRDefault="00BC3C4A" w:rsidP="00BC3C4A">
            <w:pPr>
              <w:pStyle w:val="TableText"/>
            </w:pPr>
          </w:p>
        </w:tc>
        <w:tc>
          <w:tcPr>
            <w:tcW w:w="3402" w:type="dxa"/>
          </w:tcPr>
          <w:p w14:paraId="2CF3BECB" w14:textId="77777777" w:rsidR="00BC3C4A" w:rsidRPr="00BC3C4A" w:rsidRDefault="00BC3C4A" w:rsidP="00BC3C4A">
            <w:pPr>
              <w:pStyle w:val="TableText"/>
            </w:pPr>
            <w:r w:rsidRPr="00BC3C4A">
              <w:t>The provider shall notify the CAB prior to the establishment of the new site.</w:t>
            </w:r>
          </w:p>
          <w:p w14:paraId="1DEB3269" w14:textId="77777777" w:rsidR="00BC3C4A" w:rsidRPr="00BC3C4A" w:rsidRDefault="00BC3C4A" w:rsidP="00BC3C4A">
            <w:pPr>
              <w:pStyle w:val="TableText"/>
            </w:pPr>
            <w:r w:rsidRPr="00BC3C4A">
              <w:t xml:space="preserve">A risk-based approach should be taken.  </w:t>
            </w:r>
          </w:p>
          <w:p w14:paraId="62F9B69E" w14:textId="77777777" w:rsidR="00BC3C4A" w:rsidRPr="00BC3C4A" w:rsidRDefault="00BC3C4A" w:rsidP="00BC3C4A">
            <w:pPr>
              <w:pStyle w:val="TableText"/>
            </w:pPr>
            <w:r w:rsidRPr="00BC3C4A">
              <w:t>If a surveillance or certification audit is scheduled within the next six months, the following process applies:</w:t>
            </w:r>
          </w:p>
          <w:p w14:paraId="20DFA863" w14:textId="77777777" w:rsidR="00BC3C4A" w:rsidRPr="00BC3C4A" w:rsidRDefault="00BC3C4A" w:rsidP="00BC3C4A">
            <w:pPr>
              <w:pStyle w:val="TableBullet"/>
            </w:pPr>
            <w:r w:rsidRPr="00BC3C4A">
              <w:t>The provider warrants that governance, systems, processes, policies and procedures are substantially the same as the current service and provides the following information:</w:t>
            </w:r>
          </w:p>
          <w:p w14:paraId="3F4BA167" w14:textId="77777777" w:rsidR="00BC3C4A" w:rsidRPr="006F330C" w:rsidRDefault="00BC3C4A" w:rsidP="00BC3C4A">
            <w:pPr>
              <w:pStyle w:val="TableDash"/>
              <w:numPr>
                <w:ilvl w:val="0"/>
                <w:numId w:val="18"/>
              </w:numPr>
              <w:ind w:left="568" w:hanging="238"/>
            </w:pPr>
            <w:r>
              <w:t>m</w:t>
            </w:r>
            <w:r w:rsidRPr="006F330C">
              <w:t>anagement changes/adaptations for the move</w:t>
            </w:r>
          </w:p>
          <w:p w14:paraId="537BB22D" w14:textId="77777777" w:rsidR="00BC3C4A" w:rsidRPr="006F330C" w:rsidRDefault="00BC3C4A" w:rsidP="00BC3C4A">
            <w:pPr>
              <w:pStyle w:val="TableDash"/>
              <w:numPr>
                <w:ilvl w:val="0"/>
                <w:numId w:val="18"/>
              </w:numPr>
              <w:ind w:left="568" w:hanging="238"/>
            </w:pPr>
            <w:r>
              <w:t>m</w:t>
            </w:r>
            <w:r w:rsidRPr="006F330C">
              <w:t xml:space="preserve">anagement of the logistics of the move </w:t>
            </w:r>
          </w:p>
          <w:p w14:paraId="4B6F464F" w14:textId="77777777" w:rsidR="00BC3C4A" w:rsidRPr="006F330C" w:rsidRDefault="00BC3C4A" w:rsidP="00BC3C4A">
            <w:pPr>
              <w:pStyle w:val="TableDash"/>
              <w:numPr>
                <w:ilvl w:val="0"/>
                <w:numId w:val="18"/>
              </w:numPr>
              <w:ind w:left="568" w:hanging="238"/>
            </w:pPr>
            <w:r>
              <w:t>a</w:t>
            </w:r>
            <w:r w:rsidRPr="006F330C">
              <w:t>djustments to policies and procedures</w:t>
            </w:r>
          </w:p>
          <w:p w14:paraId="06E91600" w14:textId="77777777" w:rsidR="00BC3C4A" w:rsidRPr="006F330C" w:rsidRDefault="00BC3C4A" w:rsidP="00BC3C4A">
            <w:pPr>
              <w:pStyle w:val="TableDash"/>
              <w:numPr>
                <w:ilvl w:val="0"/>
                <w:numId w:val="18"/>
              </w:numPr>
              <w:ind w:left="568" w:hanging="238"/>
            </w:pPr>
            <w:r>
              <w:t>p</w:t>
            </w:r>
            <w:r w:rsidRPr="006F330C">
              <w:t>lanned process flow for the service delivery</w:t>
            </w:r>
            <w:r>
              <w:t>.</w:t>
            </w:r>
          </w:p>
          <w:p w14:paraId="36FDB48C" w14:textId="77777777" w:rsidR="00BC3C4A" w:rsidRPr="00BC3C4A" w:rsidRDefault="00BC3C4A" w:rsidP="00BC3C4A">
            <w:pPr>
              <w:pStyle w:val="TableText"/>
            </w:pPr>
            <w:r w:rsidRPr="00BC3C4A">
              <w:t>At the next surveillance or certification audit (conducted within the next six months), the new site/s will be included in the sample and the governance information previously provided will be verified.</w:t>
            </w:r>
          </w:p>
          <w:p w14:paraId="0033EE68" w14:textId="3E0441B1" w:rsidR="00BC3C4A" w:rsidRPr="006F330C" w:rsidRDefault="00BC3C4A" w:rsidP="00BC3C4A">
            <w:pPr>
              <w:pStyle w:val="TableText"/>
            </w:pPr>
            <w:r w:rsidRPr="006F330C">
              <w:lastRenderedPageBreak/>
              <w:t>If a surveillance or certification audit is not planned within the next six months, a verification audit should be conducted. The verification audit should include all</w:t>
            </w:r>
            <w:r>
              <w:t xml:space="preserve"> HCSS </w:t>
            </w:r>
            <w:proofErr w:type="spellStart"/>
            <w:r w:rsidRPr="00027566">
              <w:t>Ngā</w:t>
            </w:r>
            <w:proofErr w:type="spellEnd"/>
            <w:r>
              <w:t> </w:t>
            </w:r>
            <w:proofErr w:type="spellStart"/>
            <w:r>
              <w:t>Paerewa</w:t>
            </w:r>
            <w:proofErr w:type="spellEnd"/>
            <w:r w:rsidDel="00795A0F">
              <w:t xml:space="preserve"> </w:t>
            </w:r>
            <w:r>
              <w:t>s</w:t>
            </w:r>
            <w:r w:rsidRPr="006F330C">
              <w:t>ubsections/criteria</w:t>
            </w:r>
            <w:r>
              <w:t xml:space="preserve"> in scope</w:t>
            </w:r>
            <w:r w:rsidRPr="006F330C">
              <w:t>.</w:t>
            </w:r>
          </w:p>
        </w:tc>
        <w:tc>
          <w:tcPr>
            <w:tcW w:w="2126" w:type="dxa"/>
          </w:tcPr>
          <w:p w14:paraId="634DC52D" w14:textId="4458ED2E" w:rsidR="00BC3C4A" w:rsidRPr="00BC3C4A" w:rsidRDefault="00BC3C4A" w:rsidP="00BC3C4A">
            <w:pPr>
              <w:pStyle w:val="TableText"/>
            </w:pPr>
            <w:r w:rsidRPr="00BC3C4A">
              <w:lastRenderedPageBreak/>
              <w:t>New site added to existing certificate. Dates do not change</w:t>
            </w:r>
          </w:p>
        </w:tc>
      </w:tr>
      <w:tr w:rsidR="00BC3C4A" w:rsidRPr="001A485E" w14:paraId="2B9AE671" w14:textId="77777777" w:rsidTr="007E6178">
        <w:tc>
          <w:tcPr>
            <w:tcW w:w="1134" w:type="dxa"/>
          </w:tcPr>
          <w:p w14:paraId="380C2D72" w14:textId="228FDB4C" w:rsidR="00BC3C4A" w:rsidRPr="001A485E" w:rsidRDefault="00BC3C4A" w:rsidP="00BC3C4A">
            <w:pPr>
              <w:pStyle w:val="TableText"/>
            </w:pPr>
            <w:r w:rsidRPr="001A485E">
              <w:t>Surveillance audit</w:t>
            </w:r>
          </w:p>
        </w:tc>
        <w:tc>
          <w:tcPr>
            <w:tcW w:w="1843" w:type="dxa"/>
          </w:tcPr>
          <w:p w14:paraId="46382F14" w14:textId="03DCC76F" w:rsidR="00BC3C4A" w:rsidRPr="001A485E" w:rsidRDefault="00BC3C4A" w:rsidP="00BC3C4A">
            <w:pPr>
              <w:pStyle w:val="TableText"/>
            </w:pPr>
            <w:r>
              <w:t>An audit of an HCSS near the midpoint date of its certification period – the surveillance audit occurs in the window two months either side of this date</w:t>
            </w:r>
          </w:p>
        </w:tc>
        <w:tc>
          <w:tcPr>
            <w:tcW w:w="3402" w:type="dxa"/>
          </w:tcPr>
          <w:p w14:paraId="47DB921D" w14:textId="77777777" w:rsidR="00BC3C4A" w:rsidRDefault="00BC3C4A" w:rsidP="00BC3C4A">
            <w:pPr>
              <w:pStyle w:val="TableText"/>
            </w:pPr>
            <w:r>
              <w:t>Conduct</w:t>
            </w:r>
            <w:r w:rsidRPr="001A485E">
              <w:t xml:space="preserve"> an on-site audit of:</w:t>
            </w:r>
          </w:p>
          <w:p w14:paraId="4D81437E" w14:textId="77777777" w:rsidR="00BC3C4A" w:rsidRPr="00BC3C4A" w:rsidRDefault="00BC3C4A" w:rsidP="00BC3C4A">
            <w:pPr>
              <w:pStyle w:val="TableBullet"/>
            </w:pPr>
            <w:r w:rsidRPr="00BC3C4A">
              <w:t>non-conformities identified at the certification audit</w:t>
            </w:r>
          </w:p>
          <w:p w14:paraId="73071442" w14:textId="77777777" w:rsidR="00BC3C4A" w:rsidRPr="00BC3C4A" w:rsidRDefault="00BC3C4A" w:rsidP="00BC3C4A">
            <w:pPr>
              <w:pStyle w:val="TableBullet"/>
            </w:pPr>
            <w:r w:rsidRPr="00BC3C4A">
              <w:t>changes that have occurred since the certification audit</w:t>
            </w:r>
          </w:p>
          <w:p w14:paraId="71A11FDC" w14:textId="77777777" w:rsidR="00BC3C4A" w:rsidRPr="00BC3C4A" w:rsidRDefault="00BC3C4A" w:rsidP="00BC3C4A">
            <w:pPr>
              <w:pStyle w:val="TableBullet"/>
            </w:pPr>
            <w:r w:rsidRPr="00BC3C4A">
              <w:t xml:space="preserve">the following Nga </w:t>
            </w:r>
            <w:proofErr w:type="spellStart"/>
            <w:r w:rsidRPr="00BC3C4A">
              <w:t>Paerewa</w:t>
            </w:r>
            <w:proofErr w:type="spellEnd"/>
            <w:r w:rsidRPr="00BC3C4A">
              <w:t xml:space="preserve"> subsections/criteria</w:t>
            </w:r>
          </w:p>
          <w:p w14:paraId="4D502CBD" w14:textId="77777777" w:rsidR="00BC3C4A" w:rsidRDefault="00BC3C4A" w:rsidP="00BC3C4A">
            <w:pPr>
              <w:pStyle w:val="TableBullet"/>
              <w:numPr>
                <w:ilvl w:val="0"/>
                <w:numId w:val="0"/>
              </w:numPr>
            </w:pPr>
            <w:r w:rsidRPr="007E6178">
              <w:t xml:space="preserve">1.3 My Rights during service delivery </w:t>
            </w:r>
          </w:p>
          <w:p w14:paraId="17D12535" w14:textId="77777777" w:rsidR="00BC3C4A" w:rsidRPr="00BC3C4A" w:rsidRDefault="00BC3C4A" w:rsidP="00BC3C4A">
            <w:pPr>
              <w:pStyle w:val="TableBullet"/>
            </w:pPr>
            <w:r w:rsidRPr="00BC3C4A">
              <w:t>1.3.1</w:t>
            </w:r>
          </w:p>
          <w:p w14:paraId="4D8D0DDD" w14:textId="77777777" w:rsidR="00BC3C4A" w:rsidRPr="00BC3C4A" w:rsidRDefault="00BC3C4A" w:rsidP="00BC3C4A">
            <w:pPr>
              <w:pStyle w:val="TableBullet"/>
            </w:pPr>
            <w:r w:rsidRPr="00BC3C4A">
              <w:t>1.3.2</w:t>
            </w:r>
          </w:p>
          <w:p w14:paraId="3759A62F" w14:textId="77777777" w:rsidR="00BC3C4A" w:rsidRPr="00BC3C4A" w:rsidRDefault="00BC3C4A" w:rsidP="00BC3C4A">
            <w:pPr>
              <w:pStyle w:val="TableBullet"/>
            </w:pPr>
            <w:r w:rsidRPr="00BC3C4A">
              <w:t>1.3.3</w:t>
            </w:r>
          </w:p>
          <w:p w14:paraId="05493D2F" w14:textId="77777777" w:rsidR="00BC3C4A" w:rsidRPr="00BC3C4A" w:rsidRDefault="00BC3C4A" w:rsidP="00BC3C4A">
            <w:pPr>
              <w:pStyle w:val="TableBullet"/>
            </w:pPr>
            <w:r w:rsidRPr="00BC3C4A">
              <w:t>1.3.4</w:t>
            </w:r>
          </w:p>
          <w:p w14:paraId="65BCDAF6" w14:textId="77777777" w:rsidR="00BC3C4A" w:rsidRPr="00BC3C4A" w:rsidRDefault="00BC3C4A" w:rsidP="00BC3C4A">
            <w:pPr>
              <w:pStyle w:val="TableBullet"/>
            </w:pPr>
            <w:r w:rsidRPr="00BC3C4A">
              <w:t>1.3.5</w:t>
            </w:r>
          </w:p>
          <w:p w14:paraId="1928F3A0" w14:textId="77777777" w:rsidR="00BC3C4A" w:rsidRDefault="00BC3C4A" w:rsidP="00BC3C4A">
            <w:pPr>
              <w:pStyle w:val="TableBullet"/>
              <w:numPr>
                <w:ilvl w:val="0"/>
                <w:numId w:val="0"/>
              </w:numPr>
            </w:pPr>
            <w:r w:rsidRPr="007E6178">
              <w:t xml:space="preserve">1.5 I am protected from abuse </w:t>
            </w:r>
          </w:p>
          <w:p w14:paraId="5316F5F3" w14:textId="77777777" w:rsidR="00BC3C4A" w:rsidRDefault="00BC3C4A" w:rsidP="00BC3C4A">
            <w:pPr>
              <w:pStyle w:val="TableBullet"/>
            </w:pPr>
            <w:r w:rsidRPr="007E6178">
              <w:t>1.5.1</w:t>
            </w:r>
          </w:p>
          <w:p w14:paraId="32E6474A" w14:textId="77777777" w:rsidR="00BC3C4A" w:rsidRDefault="00BC3C4A" w:rsidP="00BC3C4A">
            <w:pPr>
              <w:pStyle w:val="TableBullet"/>
            </w:pPr>
            <w:r w:rsidRPr="007E6178">
              <w:t>1.5.2</w:t>
            </w:r>
          </w:p>
          <w:p w14:paraId="4749BDD2" w14:textId="77777777" w:rsidR="00BC3C4A" w:rsidRDefault="00BC3C4A" w:rsidP="00BC3C4A">
            <w:pPr>
              <w:pStyle w:val="TableBullet"/>
            </w:pPr>
            <w:r w:rsidRPr="007E6178">
              <w:t>1.5.3</w:t>
            </w:r>
          </w:p>
          <w:p w14:paraId="7303F641" w14:textId="77777777" w:rsidR="00BC3C4A" w:rsidRPr="007E6178" w:rsidRDefault="00BC3C4A" w:rsidP="00BC3C4A">
            <w:pPr>
              <w:pStyle w:val="TableBullet"/>
            </w:pPr>
            <w:r>
              <w:t>1</w:t>
            </w:r>
            <w:r w:rsidRPr="007E6178">
              <w:t>.5.4</w:t>
            </w:r>
          </w:p>
          <w:p w14:paraId="7A0B1B10" w14:textId="77777777" w:rsidR="00BC3C4A" w:rsidRDefault="00BC3C4A" w:rsidP="00BC3C4A">
            <w:pPr>
              <w:pStyle w:val="TableBullet"/>
              <w:numPr>
                <w:ilvl w:val="0"/>
                <w:numId w:val="0"/>
              </w:numPr>
            </w:pPr>
            <w:r w:rsidRPr="007E6178">
              <w:t xml:space="preserve">1.8 I have the right to complain </w:t>
            </w:r>
          </w:p>
          <w:p w14:paraId="171A33F8" w14:textId="77777777" w:rsidR="00BC3C4A" w:rsidRDefault="00BC3C4A" w:rsidP="00BC3C4A">
            <w:pPr>
              <w:pStyle w:val="TableBullet"/>
            </w:pPr>
            <w:r>
              <w:t>1.8.1</w:t>
            </w:r>
          </w:p>
          <w:p w14:paraId="63486E02" w14:textId="77777777" w:rsidR="00BC3C4A" w:rsidRDefault="00BC3C4A" w:rsidP="00BC3C4A">
            <w:pPr>
              <w:pStyle w:val="TableBullet"/>
            </w:pPr>
            <w:r>
              <w:t>1.8.2</w:t>
            </w:r>
          </w:p>
          <w:p w14:paraId="6CB1366A" w14:textId="77777777" w:rsidR="00BC3C4A" w:rsidRDefault="00BC3C4A" w:rsidP="00BC3C4A">
            <w:pPr>
              <w:pStyle w:val="TableBullet"/>
            </w:pPr>
            <w:r>
              <w:t>1.8.3</w:t>
            </w:r>
          </w:p>
          <w:p w14:paraId="65816BBA" w14:textId="77777777" w:rsidR="00BC3C4A" w:rsidRDefault="00BC3C4A" w:rsidP="00BC3C4A">
            <w:pPr>
              <w:pStyle w:val="TableBullet"/>
            </w:pPr>
            <w:r>
              <w:t>1.8.4</w:t>
            </w:r>
          </w:p>
          <w:p w14:paraId="310EBC14" w14:textId="77777777" w:rsidR="00BC3C4A" w:rsidRPr="007E6178" w:rsidRDefault="00BC3C4A" w:rsidP="00BC3C4A">
            <w:pPr>
              <w:pStyle w:val="TableBullet"/>
            </w:pPr>
            <w:r>
              <w:t>1.8.5</w:t>
            </w:r>
            <w:r w:rsidRPr="007E6178">
              <w:t xml:space="preserve"> </w:t>
            </w:r>
          </w:p>
          <w:p w14:paraId="1D520842" w14:textId="77777777" w:rsidR="00BC3C4A" w:rsidRDefault="00BC3C4A" w:rsidP="00BC3C4A">
            <w:pPr>
              <w:pStyle w:val="TableBullet"/>
              <w:numPr>
                <w:ilvl w:val="0"/>
                <w:numId w:val="0"/>
              </w:numPr>
            </w:pPr>
            <w:r w:rsidRPr="007E6178">
              <w:t xml:space="preserve">2.1 Governance </w:t>
            </w:r>
          </w:p>
          <w:p w14:paraId="6F13A045" w14:textId="77777777" w:rsidR="00BC3C4A" w:rsidRDefault="00BC3C4A" w:rsidP="00BC3C4A">
            <w:pPr>
              <w:pStyle w:val="TableBullet"/>
            </w:pPr>
            <w:r>
              <w:t>2.1.1</w:t>
            </w:r>
          </w:p>
          <w:p w14:paraId="5EF85E2B" w14:textId="77777777" w:rsidR="00BC3C4A" w:rsidRDefault="00BC3C4A" w:rsidP="00BC3C4A">
            <w:pPr>
              <w:pStyle w:val="TableBullet"/>
            </w:pPr>
            <w:r w:rsidRPr="007E6178">
              <w:t xml:space="preserve"> 2.1.2</w:t>
            </w:r>
          </w:p>
          <w:p w14:paraId="79416F0F" w14:textId="77777777" w:rsidR="00BC3C4A" w:rsidRDefault="00BC3C4A" w:rsidP="00BC3C4A">
            <w:pPr>
              <w:pStyle w:val="TableBullet"/>
            </w:pPr>
            <w:r w:rsidRPr="007E6178">
              <w:t xml:space="preserve"> 2.1.3</w:t>
            </w:r>
          </w:p>
          <w:p w14:paraId="5E4E91AD" w14:textId="77777777" w:rsidR="00BC3C4A" w:rsidRPr="007E6178" w:rsidRDefault="00BC3C4A" w:rsidP="00BC3C4A">
            <w:pPr>
              <w:pStyle w:val="TableBullet"/>
            </w:pPr>
            <w:r w:rsidRPr="007E6178">
              <w:t xml:space="preserve"> 2.1.4</w:t>
            </w:r>
          </w:p>
          <w:p w14:paraId="0737842D" w14:textId="77777777" w:rsidR="00BC3C4A" w:rsidRDefault="00BC3C4A" w:rsidP="00BC3C4A">
            <w:pPr>
              <w:pStyle w:val="TableBullet"/>
              <w:numPr>
                <w:ilvl w:val="0"/>
                <w:numId w:val="0"/>
              </w:numPr>
            </w:pPr>
            <w:r w:rsidRPr="007E6178">
              <w:t xml:space="preserve">2.2 Quality and </w:t>
            </w:r>
            <w:r>
              <w:t>r</w:t>
            </w:r>
            <w:r w:rsidRPr="007E6178">
              <w:t>isk</w:t>
            </w:r>
          </w:p>
          <w:p w14:paraId="77D65C28" w14:textId="77777777" w:rsidR="00BC3C4A" w:rsidRDefault="00BC3C4A" w:rsidP="00BC3C4A">
            <w:pPr>
              <w:pStyle w:val="TableBullet"/>
            </w:pPr>
            <w:r w:rsidRPr="007E6178">
              <w:t>2.2.2</w:t>
            </w:r>
          </w:p>
          <w:p w14:paraId="759A5201" w14:textId="77777777" w:rsidR="00BC3C4A" w:rsidRDefault="00BC3C4A" w:rsidP="00BC3C4A">
            <w:pPr>
              <w:pStyle w:val="TableBullet"/>
            </w:pPr>
            <w:r w:rsidRPr="007E6178">
              <w:t>2.2.4</w:t>
            </w:r>
          </w:p>
          <w:p w14:paraId="3C48EAB9" w14:textId="77777777" w:rsidR="00BC3C4A" w:rsidRPr="007E6178" w:rsidRDefault="00BC3C4A" w:rsidP="00BC3C4A">
            <w:pPr>
              <w:pStyle w:val="TableBullet"/>
            </w:pPr>
            <w:r w:rsidRPr="007E6178">
              <w:t>2.2.6</w:t>
            </w:r>
          </w:p>
          <w:p w14:paraId="54618682" w14:textId="77777777" w:rsidR="00BC3C4A" w:rsidRDefault="00BC3C4A" w:rsidP="00BC3C4A">
            <w:pPr>
              <w:pStyle w:val="TableBullet"/>
              <w:numPr>
                <w:ilvl w:val="0"/>
                <w:numId w:val="0"/>
              </w:numPr>
            </w:pPr>
            <w:r w:rsidRPr="007E6178">
              <w:t>2.3 Service management</w:t>
            </w:r>
          </w:p>
          <w:p w14:paraId="3C72181F" w14:textId="77777777" w:rsidR="00BC3C4A" w:rsidRDefault="00BC3C4A" w:rsidP="00BC3C4A">
            <w:pPr>
              <w:pStyle w:val="TableBullet"/>
            </w:pPr>
            <w:r w:rsidRPr="007E6178">
              <w:t>2.3.1</w:t>
            </w:r>
          </w:p>
          <w:p w14:paraId="00143083" w14:textId="77777777" w:rsidR="00BC3C4A" w:rsidRDefault="00BC3C4A" w:rsidP="00BC3C4A">
            <w:pPr>
              <w:pStyle w:val="TableBullet"/>
            </w:pPr>
            <w:r w:rsidRPr="007E6178">
              <w:t>2.3.2</w:t>
            </w:r>
          </w:p>
          <w:p w14:paraId="2195BD80" w14:textId="77777777" w:rsidR="00BC3C4A" w:rsidRDefault="00BC3C4A" w:rsidP="00BC3C4A">
            <w:pPr>
              <w:pStyle w:val="TableBullet"/>
            </w:pPr>
            <w:r w:rsidRPr="007E6178">
              <w:lastRenderedPageBreak/>
              <w:t>2.3.3</w:t>
            </w:r>
          </w:p>
          <w:p w14:paraId="08939BEA" w14:textId="77777777" w:rsidR="00BC3C4A" w:rsidRPr="007E6178" w:rsidRDefault="00BC3C4A" w:rsidP="00BC3C4A">
            <w:pPr>
              <w:pStyle w:val="TableBullet"/>
            </w:pPr>
            <w:r w:rsidRPr="007E6178">
              <w:t>2.3.4</w:t>
            </w:r>
          </w:p>
          <w:p w14:paraId="21D11AE7" w14:textId="77777777" w:rsidR="00BC3C4A" w:rsidRDefault="00BC3C4A" w:rsidP="00BC3C4A">
            <w:pPr>
              <w:pStyle w:val="TableBullet"/>
              <w:numPr>
                <w:ilvl w:val="0"/>
                <w:numId w:val="0"/>
              </w:numPr>
            </w:pPr>
            <w:r w:rsidRPr="007E6178">
              <w:t xml:space="preserve">2.4 Healthcare and support workers and their availability </w:t>
            </w:r>
          </w:p>
          <w:p w14:paraId="6E01E0EA" w14:textId="77777777" w:rsidR="00BC3C4A" w:rsidRDefault="00BC3C4A" w:rsidP="00BC3C4A">
            <w:pPr>
              <w:pStyle w:val="TableBullet"/>
            </w:pPr>
            <w:r w:rsidRPr="007E6178">
              <w:t>2.4.2</w:t>
            </w:r>
          </w:p>
          <w:p w14:paraId="591E5868" w14:textId="77777777" w:rsidR="00BC3C4A" w:rsidRDefault="00BC3C4A" w:rsidP="00BC3C4A">
            <w:pPr>
              <w:pStyle w:val="TableBullet"/>
            </w:pPr>
            <w:r w:rsidRPr="007E6178">
              <w:t>2.4.3</w:t>
            </w:r>
          </w:p>
          <w:p w14:paraId="7C328118" w14:textId="77777777" w:rsidR="00BC3C4A" w:rsidRPr="007E6178" w:rsidRDefault="00BC3C4A" w:rsidP="00BC3C4A">
            <w:pPr>
              <w:pStyle w:val="TableBullet"/>
            </w:pPr>
            <w:r w:rsidRPr="007E6178">
              <w:t>2.4.4</w:t>
            </w:r>
          </w:p>
          <w:p w14:paraId="388F6477" w14:textId="77777777" w:rsidR="00BC3C4A" w:rsidRDefault="00BC3C4A" w:rsidP="00BC3C4A">
            <w:pPr>
              <w:pStyle w:val="TableBullet"/>
              <w:numPr>
                <w:ilvl w:val="0"/>
                <w:numId w:val="0"/>
              </w:numPr>
            </w:pPr>
            <w:r w:rsidRPr="007E6178">
              <w:t xml:space="preserve">3.1 Entry and declining service </w:t>
            </w:r>
          </w:p>
          <w:p w14:paraId="700DEEB0" w14:textId="77777777" w:rsidR="00BC3C4A" w:rsidRDefault="00BC3C4A" w:rsidP="00BC3C4A">
            <w:pPr>
              <w:pStyle w:val="TableBullet"/>
            </w:pPr>
            <w:r w:rsidRPr="007E6178">
              <w:t>3.1.2</w:t>
            </w:r>
          </w:p>
          <w:p w14:paraId="618ABE63" w14:textId="77777777" w:rsidR="00BC3C4A" w:rsidRPr="007E6178" w:rsidRDefault="00BC3C4A" w:rsidP="00BC3C4A">
            <w:pPr>
              <w:pStyle w:val="TableBullet"/>
            </w:pPr>
            <w:r w:rsidRPr="007E6178">
              <w:t>3.1.3</w:t>
            </w:r>
          </w:p>
          <w:p w14:paraId="22B6BDE6" w14:textId="77777777" w:rsidR="00BC3C4A" w:rsidRDefault="00BC3C4A" w:rsidP="00BC3C4A">
            <w:pPr>
              <w:pStyle w:val="TableBullet"/>
              <w:numPr>
                <w:ilvl w:val="0"/>
                <w:numId w:val="0"/>
              </w:numPr>
            </w:pPr>
            <w:r w:rsidRPr="007E6178">
              <w:t>3.2 My pathway to wellbeing</w:t>
            </w:r>
          </w:p>
          <w:p w14:paraId="579FE38A" w14:textId="77777777" w:rsidR="00BC3C4A" w:rsidRDefault="00BC3C4A" w:rsidP="00BC3C4A">
            <w:pPr>
              <w:pStyle w:val="TableBullet"/>
            </w:pPr>
            <w:r w:rsidRPr="007E6178">
              <w:t>3.2.1</w:t>
            </w:r>
          </w:p>
          <w:p w14:paraId="2BE90DCF" w14:textId="77777777" w:rsidR="00BC3C4A" w:rsidRDefault="00BC3C4A" w:rsidP="00BC3C4A">
            <w:pPr>
              <w:pStyle w:val="TableBullet"/>
            </w:pPr>
            <w:r w:rsidRPr="007E6178">
              <w:t>3.2.2</w:t>
            </w:r>
          </w:p>
          <w:p w14:paraId="26C38E86" w14:textId="77777777" w:rsidR="00BC3C4A" w:rsidRDefault="00BC3C4A" w:rsidP="00BC3C4A">
            <w:pPr>
              <w:pStyle w:val="TableBullet"/>
            </w:pPr>
            <w:r w:rsidRPr="007E6178">
              <w:t>3.2.6</w:t>
            </w:r>
          </w:p>
          <w:p w14:paraId="373F79BB" w14:textId="77777777" w:rsidR="00BC3C4A" w:rsidRPr="007E6178" w:rsidRDefault="00BC3C4A" w:rsidP="00BC3C4A">
            <w:pPr>
              <w:pStyle w:val="TableBullet"/>
            </w:pPr>
            <w:r w:rsidRPr="007E6178">
              <w:t>3.2.7</w:t>
            </w:r>
          </w:p>
          <w:p w14:paraId="192DC69D" w14:textId="77777777" w:rsidR="00BC3C4A" w:rsidRDefault="00BC3C4A" w:rsidP="00BC3C4A">
            <w:pPr>
              <w:pStyle w:val="TableBullet"/>
              <w:numPr>
                <w:ilvl w:val="0"/>
                <w:numId w:val="0"/>
              </w:numPr>
            </w:pPr>
            <w:r w:rsidRPr="007E6178">
              <w:t>4.2 Security of people and workforce</w:t>
            </w:r>
          </w:p>
          <w:p w14:paraId="0C293A0C" w14:textId="77777777" w:rsidR="00BC3C4A" w:rsidRDefault="00BC3C4A" w:rsidP="00BC3C4A">
            <w:pPr>
              <w:pStyle w:val="TableBullet"/>
            </w:pPr>
            <w:r w:rsidRPr="007E6178">
              <w:t xml:space="preserve"> 4.2.3</w:t>
            </w:r>
          </w:p>
          <w:p w14:paraId="24A49D00" w14:textId="77777777" w:rsidR="00BC3C4A" w:rsidRPr="007E6178" w:rsidRDefault="00BC3C4A" w:rsidP="00BC3C4A">
            <w:pPr>
              <w:pStyle w:val="TableBullet"/>
            </w:pPr>
            <w:r w:rsidRPr="007E6178">
              <w:t xml:space="preserve"> 4.2.6</w:t>
            </w:r>
          </w:p>
          <w:p w14:paraId="5A27DD25" w14:textId="77777777" w:rsidR="00BC3C4A" w:rsidRDefault="00BC3C4A" w:rsidP="00BC3C4A">
            <w:pPr>
              <w:pStyle w:val="TableBullet"/>
              <w:numPr>
                <w:ilvl w:val="0"/>
                <w:numId w:val="0"/>
              </w:numPr>
            </w:pPr>
            <w:r w:rsidRPr="007E6178">
              <w:t>5.2 The infection prevention programme and implementation</w:t>
            </w:r>
          </w:p>
          <w:p w14:paraId="465BAD9B" w14:textId="77777777" w:rsidR="00BC3C4A" w:rsidRDefault="00BC3C4A" w:rsidP="00BC3C4A">
            <w:pPr>
              <w:pStyle w:val="TableBullet"/>
            </w:pPr>
            <w:r w:rsidRPr="007E6178">
              <w:t xml:space="preserve"> 5.2.3</w:t>
            </w:r>
          </w:p>
          <w:p w14:paraId="15EFCC97" w14:textId="461FF2FE" w:rsidR="00BC3C4A" w:rsidRPr="001A485E" w:rsidRDefault="00BC3C4A" w:rsidP="00BC3C4A">
            <w:pPr>
              <w:pStyle w:val="TableBullet"/>
            </w:pPr>
            <w:r w:rsidRPr="007E6178">
              <w:t xml:space="preserve"> 5.2.6</w:t>
            </w:r>
          </w:p>
        </w:tc>
        <w:tc>
          <w:tcPr>
            <w:tcW w:w="2126" w:type="dxa"/>
          </w:tcPr>
          <w:p w14:paraId="2B886BC3" w14:textId="52B9D263" w:rsidR="00BC3C4A" w:rsidRPr="001A485E" w:rsidRDefault="00BC3C4A" w:rsidP="00BC3C4A">
            <w:pPr>
              <w:pStyle w:val="TableText"/>
            </w:pPr>
            <w:r w:rsidRPr="001A485E">
              <w:lastRenderedPageBreak/>
              <w:t>certification</w:t>
            </w:r>
            <w:r>
              <w:t xml:space="preserve"> monitoring</w:t>
            </w:r>
          </w:p>
        </w:tc>
      </w:tr>
      <w:tr w:rsidR="00BC3C4A" w:rsidRPr="001A485E" w14:paraId="6EDBBB45" w14:textId="77777777" w:rsidTr="007E6178">
        <w:tc>
          <w:tcPr>
            <w:tcW w:w="1134" w:type="dxa"/>
          </w:tcPr>
          <w:p w14:paraId="70874547" w14:textId="3DC9112F" w:rsidR="00BC3C4A" w:rsidRPr="00A01006" w:rsidRDefault="00BC3C4A" w:rsidP="00A01006">
            <w:pPr>
              <w:pStyle w:val="TableText"/>
            </w:pPr>
            <w:r w:rsidRPr="00A01006">
              <w:t>Provisional audit</w:t>
            </w:r>
          </w:p>
        </w:tc>
        <w:tc>
          <w:tcPr>
            <w:tcW w:w="1843" w:type="dxa"/>
          </w:tcPr>
          <w:p w14:paraId="1079B8E5" w14:textId="65A4FD28" w:rsidR="00BC3C4A" w:rsidRPr="00A01006" w:rsidRDefault="00BC3C4A" w:rsidP="00A01006">
            <w:pPr>
              <w:pStyle w:val="TableText"/>
            </w:pPr>
            <w:r w:rsidRPr="00A01006">
              <w:t xml:space="preserve">An audit of a new ‘start-up’ provider (prior to services being provided to clients) or an existing private provider seeking a public funded contract  </w:t>
            </w:r>
          </w:p>
        </w:tc>
        <w:tc>
          <w:tcPr>
            <w:tcW w:w="3402" w:type="dxa"/>
          </w:tcPr>
          <w:p w14:paraId="0590D382" w14:textId="77777777" w:rsidR="00BC3C4A" w:rsidRPr="00A01006" w:rsidRDefault="00BC3C4A" w:rsidP="00A01006">
            <w:pPr>
              <w:pStyle w:val="TableText"/>
            </w:pPr>
            <w:r w:rsidRPr="00A01006">
              <w:t>Conduct a full certification audit against as much of the standard as possible. A substantial amount will be rated as ‘not audited’, particularly ‘My pathway to wellbeing’.</w:t>
            </w:r>
          </w:p>
          <w:p w14:paraId="0B954E47" w14:textId="200ECBE4" w:rsidR="00BC3C4A" w:rsidRPr="00A01006" w:rsidDel="00EE3CBA" w:rsidRDefault="00BC3C4A" w:rsidP="00A01006">
            <w:pPr>
              <w:pStyle w:val="TableText"/>
            </w:pPr>
            <w:r w:rsidRPr="00A01006">
              <w:t xml:space="preserve">Award certification for one year, and impose a condition of certification that a </w:t>
            </w:r>
            <w:r w:rsidRPr="00A01006">
              <w:rPr>
                <w:b/>
                <w:bCs/>
              </w:rPr>
              <w:t>full certification audit</w:t>
            </w:r>
            <w:r w:rsidRPr="00A01006">
              <w:t xml:space="preserve"> be conducted within 12 months of services being provided. If the full certification audit confirms that the standards are substantially complied with, certification can then be confirmed – the original certification dates and requirements for surveillance and corrective action reporting will remain in place.</w:t>
            </w:r>
          </w:p>
        </w:tc>
        <w:tc>
          <w:tcPr>
            <w:tcW w:w="2126" w:type="dxa"/>
          </w:tcPr>
          <w:p w14:paraId="72B09D00" w14:textId="77777777" w:rsidR="00BC3C4A" w:rsidRPr="00A01006" w:rsidRDefault="00BC3C4A" w:rsidP="00A01006">
            <w:pPr>
              <w:pStyle w:val="TableText"/>
            </w:pPr>
            <w:r w:rsidRPr="00A01006">
              <w:t>Full certification awarded, provisional upon a full certification audit within 12 months of commencing service delivery</w:t>
            </w:r>
          </w:p>
          <w:p w14:paraId="7C840B86" w14:textId="77777777" w:rsidR="00BC3C4A" w:rsidRPr="00A01006" w:rsidRDefault="00BC3C4A" w:rsidP="00A01006">
            <w:pPr>
              <w:pStyle w:val="TableText"/>
            </w:pPr>
          </w:p>
          <w:p w14:paraId="70BAFDB3" w14:textId="77777777" w:rsidR="00BC3C4A" w:rsidRPr="00A01006" w:rsidRDefault="00BC3C4A" w:rsidP="00A01006">
            <w:pPr>
              <w:pStyle w:val="TableText"/>
            </w:pPr>
          </w:p>
          <w:p w14:paraId="50A3BD21" w14:textId="77777777" w:rsidR="00BC3C4A" w:rsidRPr="00A01006" w:rsidRDefault="00BC3C4A" w:rsidP="00A01006">
            <w:pPr>
              <w:pStyle w:val="TableText"/>
            </w:pPr>
          </w:p>
          <w:p w14:paraId="349B73A1" w14:textId="77777777" w:rsidR="00BC3C4A" w:rsidRPr="00A01006" w:rsidRDefault="00BC3C4A" w:rsidP="00A01006">
            <w:pPr>
              <w:pStyle w:val="TableText"/>
            </w:pPr>
          </w:p>
          <w:p w14:paraId="4AAFBCC2" w14:textId="77777777" w:rsidR="00BC3C4A" w:rsidRPr="00A01006" w:rsidRDefault="00BC3C4A" w:rsidP="00A01006">
            <w:pPr>
              <w:pStyle w:val="TableText"/>
            </w:pPr>
          </w:p>
          <w:p w14:paraId="52E92D13" w14:textId="77777777" w:rsidR="00BC3C4A" w:rsidRPr="00A01006" w:rsidRDefault="00BC3C4A" w:rsidP="00A01006">
            <w:pPr>
              <w:pStyle w:val="TableText"/>
            </w:pPr>
          </w:p>
          <w:p w14:paraId="79E8B103" w14:textId="076AEA3C" w:rsidR="00BC3C4A" w:rsidRPr="00A01006" w:rsidRDefault="00BC3C4A" w:rsidP="00A01006">
            <w:pPr>
              <w:pStyle w:val="TableText"/>
            </w:pPr>
          </w:p>
        </w:tc>
      </w:tr>
    </w:tbl>
    <w:p w14:paraId="7EAC3794" w14:textId="77777777" w:rsidR="00350EE0" w:rsidRPr="003F487C" w:rsidRDefault="00350EE0" w:rsidP="00BA0140"/>
    <w:p w14:paraId="2FDD302A" w14:textId="77777777" w:rsidR="00350EE0" w:rsidRPr="009000B3" w:rsidRDefault="00350EE0" w:rsidP="00BA0140">
      <w:pPr>
        <w:pStyle w:val="Heading2"/>
        <w:rPr>
          <w:rFonts w:eastAsia="Arial"/>
        </w:rPr>
      </w:pPr>
      <w:bookmarkStart w:id="51" w:name="_Toc479482060"/>
      <w:bookmarkStart w:id="52" w:name="_Toc480293089"/>
      <w:bookmarkStart w:id="53" w:name="_Toc209590457"/>
      <w:r w:rsidRPr="009000B3">
        <w:rPr>
          <w:rFonts w:eastAsia="Arial"/>
        </w:rPr>
        <w:lastRenderedPageBreak/>
        <w:t>3.1</w:t>
      </w:r>
      <w:r w:rsidR="00C4683A">
        <w:rPr>
          <w:rFonts w:eastAsia="Arial"/>
        </w:rPr>
        <w:tab/>
      </w:r>
      <w:r w:rsidRPr="009000B3">
        <w:rPr>
          <w:rFonts w:eastAsia="Arial"/>
        </w:rPr>
        <w:t xml:space="preserve">Attainment </w:t>
      </w:r>
      <w:r>
        <w:rPr>
          <w:rFonts w:eastAsia="Arial"/>
        </w:rPr>
        <w:t>l</w:t>
      </w:r>
      <w:r w:rsidRPr="009000B3">
        <w:rPr>
          <w:rFonts w:eastAsia="Arial"/>
        </w:rPr>
        <w:t>evel</w:t>
      </w:r>
      <w:bookmarkEnd w:id="51"/>
      <w:bookmarkEnd w:id="52"/>
      <w:bookmarkEnd w:id="53"/>
    </w:p>
    <w:p w14:paraId="538D776D" w14:textId="102B184F" w:rsidR="00350EE0" w:rsidRPr="00207C5C" w:rsidRDefault="00A01006" w:rsidP="00BA0140">
      <w:pPr>
        <w:keepNext/>
      </w:pPr>
      <w:r w:rsidRPr="00A01006">
        <w:t>As part of the audit process, you must decide on the level of attainment the provider achieves for each relevant criterion. The levels of attainment are based on a continuous quality improvement model, so are incremental (see Table 2).</w:t>
      </w:r>
    </w:p>
    <w:p w14:paraId="752B64F7" w14:textId="77777777" w:rsidR="00350EE0" w:rsidRPr="00207C5C" w:rsidRDefault="00350EE0" w:rsidP="00A01006"/>
    <w:p w14:paraId="1CCD45CD" w14:textId="77777777" w:rsidR="00350EE0" w:rsidRPr="00207C5C" w:rsidRDefault="00350EE0" w:rsidP="00BA0140">
      <w:pPr>
        <w:pStyle w:val="Table"/>
      </w:pPr>
      <w:bookmarkStart w:id="54" w:name="_Toc336937258"/>
      <w:r w:rsidRPr="00207C5C">
        <w:t>Table 2: Meaning of the attainment levels</w:t>
      </w:r>
      <w:bookmarkEnd w:id="54"/>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6"/>
        <w:gridCol w:w="1417"/>
        <w:gridCol w:w="6662"/>
      </w:tblGrid>
      <w:tr w:rsidR="00350EE0" w:rsidRPr="00C4683A" w14:paraId="51024417" w14:textId="77777777" w:rsidTr="00977046">
        <w:trPr>
          <w:cantSplit/>
        </w:trPr>
        <w:tc>
          <w:tcPr>
            <w:tcW w:w="1843" w:type="dxa"/>
            <w:gridSpan w:val="2"/>
            <w:shd w:val="clear" w:color="auto" w:fill="D9D9D9"/>
          </w:tcPr>
          <w:p w14:paraId="09FB9CDF" w14:textId="77777777" w:rsidR="00350EE0" w:rsidRPr="00C4683A" w:rsidRDefault="00350EE0" w:rsidP="00BA0140">
            <w:pPr>
              <w:pStyle w:val="TableText"/>
              <w:keepNext/>
              <w:rPr>
                <w:b/>
              </w:rPr>
            </w:pPr>
            <w:r w:rsidRPr="00C4683A">
              <w:rPr>
                <w:b/>
              </w:rPr>
              <w:t>Attainment level</w:t>
            </w:r>
          </w:p>
        </w:tc>
        <w:tc>
          <w:tcPr>
            <w:tcW w:w="6662" w:type="dxa"/>
            <w:shd w:val="clear" w:color="auto" w:fill="D9D9D9"/>
          </w:tcPr>
          <w:p w14:paraId="14BDD0DC" w14:textId="77777777" w:rsidR="00350EE0" w:rsidRPr="00C4683A" w:rsidRDefault="00350EE0" w:rsidP="00BA0140">
            <w:pPr>
              <w:pStyle w:val="TableText"/>
              <w:keepNext/>
              <w:rPr>
                <w:b/>
              </w:rPr>
            </w:pPr>
            <w:r w:rsidRPr="00C4683A">
              <w:rPr>
                <w:b/>
              </w:rPr>
              <w:t>What it means</w:t>
            </w:r>
          </w:p>
        </w:tc>
      </w:tr>
      <w:tr w:rsidR="00A01006" w:rsidRPr="00320641" w14:paraId="3B8DE1DB" w14:textId="77777777" w:rsidTr="00977046">
        <w:trPr>
          <w:cantSplit/>
        </w:trPr>
        <w:tc>
          <w:tcPr>
            <w:tcW w:w="426" w:type="dxa"/>
            <w:tcBorders>
              <w:right w:val="nil"/>
            </w:tcBorders>
          </w:tcPr>
          <w:p w14:paraId="5EFAFAB9" w14:textId="77777777" w:rsidR="00A01006" w:rsidRPr="00207C5C" w:rsidRDefault="00A01006" w:rsidP="00A01006">
            <w:pPr>
              <w:pStyle w:val="TableText"/>
            </w:pPr>
            <w:r w:rsidRPr="00207C5C">
              <w:t>CI</w:t>
            </w:r>
          </w:p>
        </w:tc>
        <w:tc>
          <w:tcPr>
            <w:tcW w:w="1417" w:type="dxa"/>
            <w:tcBorders>
              <w:left w:val="nil"/>
            </w:tcBorders>
          </w:tcPr>
          <w:p w14:paraId="5D717946" w14:textId="77777777" w:rsidR="00A01006" w:rsidRPr="00207C5C" w:rsidRDefault="00A01006" w:rsidP="00A01006">
            <w:pPr>
              <w:pStyle w:val="TableText"/>
            </w:pPr>
            <w:r w:rsidRPr="00207C5C">
              <w:t>Continuous improvement</w:t>
            </w:r>
          </w:p>
        </w:tc>
        <w:tc>
          <w:tcPr>
            <w:tcW w:w="6662" w:type="dxa"/>
          </w:tcPr>
          <w:p w14:paraId="11CC5A1E" w14:textId="77777777" w:rsidR="00A01006" w:rsidRPr="00207C5C" w:rsidRDefault="00A01006" w:rsidP="00A01006">
            <w:pPr>
              <w:pStyle w:val="TableText"/>
            </w:pPr>
            <w:r w:rsidRPr="00207C5C">
              <w:t>The service has attained the criterion and demonstrates a review process, including:</w:t>
            </w:r>
          </w:p>
          <w:p w14:paraId="67A9F0CF" w14:textId="77777777" w:rsidR="00A01006" w:rsidRPr="007E6178" w:rsidRDefault="00A01006" w:rsidP="00A01006">
            <w:pPr>
              <w:pStyle w:val="TableBullet"/>
            </w:pPr>
            <w:r w:rsidRPr="007E6178">
              <w:t>analysing and reporting findings</w:t>
            </w:r>
          </w:p>
          <w:p w14:paraId="7D883313" w14:textId="77777777" w:rsidR="00A01006" w:rsidRPr="007E6178" w:rsidRDefault="00A01006" w:rsidP="00A01006">
            <w:pPr>
              <w:pStyle w:val="TableBullet"/>
            </w:pPr>
            <w:r>
              <w:t xml:space="preserve">demonstrating </w:t>
            </w:r>
            <w:r w:rsidRPr="007E6178">
              <w:t>evidence that it has acted based on those findings</w:t>
            </w:r>
          </w:p>
          <w:p w14:paraId="4EB2C71F" w14:textId="6D1C6619" w:rsidR="00A01006" w:rsidRPr="00207C5C" w:rsidRDefault="00A01006" w:rsidP="00A01006">
            <w:pPr>
              <w:pStyle w:val="TableBullet"/>
            </w:pPr>
            <w:r w:rsidRPr="007E6178">
              <w:t>improving service provision and consumers’ safety or satisfaction as a                result of the review process</w:t>
            </w:r>
            <w:r>
              <w:t xml:space="preserve"> </w:t>
            </w:r>
          </w:p>
        </w:tc>
      </w:tr>
      <w:tr w:rsidR="00A01006" w:rsidRPr="00320641" w14:paraId="40D173E5" w14:textId="77777777" w:rsidTr="00977046">
        <w:trPr>
          <w:cantSplit/>
        </w:trPr>
        <w:tc>
          <w:tcPr>
            <w:tcW w:w="426" w:type="dxa"/>
            <w:tcBorders>
              <w:right w:val="nil"/>
            </w:tcBorders>
          </w:tcPr>
          <w:p w14:paraId="4D1E501F" w14:textId="77777777" w:rsidR="00A01006" w:rsidRPr="00207C5C" w:rsidRDefault="00A01006" w:rsidP="00A01006">
            <w:pPr>
              <w:pStyle w:val="TableText"/>
            </w:pPr>
            <w:r w:rsidRPr="00207C5C">
              <w:t>FA</w:t>
            </w:r>
          </w:p>
        </w:tc>
        <w:tc>
          <w:tcPr>
            <w:tcW w:w="1417" w:type="dxa"/>
            <w:tcBorders>
              <w:left w:val="nil"/>
            </w:tcBorders>
          </w:tcPr>
          <w:p w14:paraId="1EF48CA1" w14:textId="77777777" w:rsidR="00A01006" w:rsidRPr="00207C5C" w:rsidRDefault="00A01006" w:rsidP="00A01006">
            <w:pPr>
              <w:pStyle w:val="TableText"/>
            </w:pPr>
            <w:r w:rsidRPr="00207C5C">
              <w:t>Fully attained</w:t>
            </w:r>
          </w:p>
        </w:tc>
        <w:tc>
          <w:tcPr>
            <w:tcW w:w="6662" w:type="dxa"/>
          </w:tcPr>
          <w:p w14:paraId="26C3CE63" w14:textId="2538E846" w:rsidR="00A01006" w:rsidRPr="00207C5C" w:rsidRDefault="00A01006" w:rsidP="00A01006">
            <w:pPr>
              <w:pStyle w:val="TableText"/>
            </w:pPr>
            <w:r w:rsidRPr="00207C5C">
              <w:t>The service demonstrates implementation (</w:t>
            </w:r>
            <w:proofErr w:type="spellStart"/>
            <w:r>
              <w:t>eg</w:t>
            </w:r>
            <w:proofErr w:type="spellEnd"/>
            <w:r w:rsidRPr="00207C5C">
              <w:t xml:space="preserve">, practice evidence, training, records or visual evidence) of the process, systems or structures </w:t>
            </w:r>
            <w:r>
              <w:t xml:space="preserve">it has in place </w:t>
            </w:r>
            <w:r w:rsidRPr="00207C5C">
              <w:t>to meet the required outcome</w:t>
            </w:r>
          </w:p>
        </w:tc>
      </w:tr>
      <w:tr w:rsidR="00A01006" w:rsidRPr="00320641" w14:paraId="00A71474" w14:textId="77777777" w:rsidTr="00977046">
        <w:trPr>
          <w:cantSplit/>
        </w:trPr>
        <w:tc>
          <w:tcPr>
            <w:tcW w:w="426" w:type="dxa"/>
            <w:tcBorders>
              <w:right w:val="nil"/>
            </w:tcBorders>
          </w:tcPr>
          <w:p w14:paraId="3E58006B" w14:textId="77777777" w:rsidR="00A01006" w:rsidRPr="00207C5C" w:rsidRDefault="00A01006" w:rsidP="00A01006">
            <w:pPr>
              <w:pStyle w:val="TableText"/>
            </w:pPr>
            <w:r w:rsidRPr="00207C5C">
              <w:t>PA</w:t>
            </w:r>
          </w:p>
        </w:tc>
        <w:tc>
          <w:tcPr>
            <w:tcW w:w="1417" w:type="dxa"/>
            <w:tcBorders>
              <w:left w:val="nil"/>
            </w:tcBorders>
          </w:tcPr>
          <w:p w14:paraId="5114D5BF" w14:textId="77777777" w:rsidR="00A01006" w:rsidRPr="00207C5C" w:rsidRDefault="00A01006" w:rsidP="00A01006">
            <w:pPr>
              <w:pStyle w:val="TableText"/>
            </w:pPr>
            <w:r w:rsidRPr="00207C5C">
              <w:t>Partially attained</w:t>
            </w:r>
          </w:p>
        </w:tc>
        <w:tc>
          <w:tcPr>
            <w:tcW w:w="6662" w:type="dxa"/>
          </w:tcPr>
          <w:p w14:paraId="3BE2893A" w14:textId="77777777" w:rsidR="00A01006" w:rsidRPr="00207C5C" w:rsidRDefault="00A01006" w:rsidP="00A01006">
            <w:pPr>
              <w:pStyle w:val="TableText"/>
            </w:pPr>
            <w:r w:rsidRPr="00207C5C">
              <w:t xml:space="preserve">There is evidence </w:t>
            </w:r>
            <w:r>
              <w:t xml:space="preserve">that the service has implemented an </w:t>
            </w:r>
            <w:r w:rsidRPr="00207C5C">
              <w:t>appropriate process (</w:t>
            </w:r>
            <w:proofErr w:type="spellStart"/>
            <w:r>
              <w:t>eg</w:t>
            </w:r>
            <w:proofErr w:type="spellEnd"/>
            <w:r w:rsidRPr="00207C5C">
              <w:t>, a policy, procedure or guideline), system or structure without</w:t>
            </w:r>
            <w:r>
              <w:t xml:space="preserve"> having</w:t>
            </w:r>
            <w:r w:rsidRPr="00207C5C">
              <w:t xml:space="preserve"> the required supporting documentation</w:t>
            </w:r>
          </w:p>
          <w:p w14:paraId="7CB73BFA" w14:textId="77777777" w:rsidR="00A01006" w:rsidRPr="00570DDF" w:rsidRDefault="00A01006" w:rsidP="00A01006">
            <w:pPr>
              <w:pStyle w:val="TableText"/>
              <w:spacing w:before="0"/>
              <w:rPr>
                <w:b/>
              </w:rPr>
            </w:pPr>
            <w:r w:rsidRPr="00570DDF">
              <w:rPr>
                <w:b/>
              </w:rPr>
              <w:t>Or</w:t>
            </w:r>
          </w:p>
          <w:p w14:paraId="6623A613" w14:textId="1C84D1B8" w:rsidR="00A01006" w:rsidRPr="00207C5C" w:rsidRDefault="00A01006" w:rsidP="00A01006">
            <w:pPr>
              <w:pStyle w:val="TableText"/>
              <w:spacing w:before="0"/>
            </w:pPr>
            <w:r w:rsidRPr="00207C5C">
              <w:t>A documented process (</w:t>
            </w:r>
            <w:proofErr w:type="spellStart"/>
            <w:r>
              <w:t>eg</w:t>
            </w:r>
            <w:proofErr w:type="spellEnd"/>
            <w:r w:rsidRPr="00207C5C">
              <w:t xml:space="preserve">, a policy, procedure or guideline), system or structure is evident, but the organisation or service cannot demonstrate </w:t>
            </w:r>
            <w:r>
              <w:t xml:space="preserve">that it has </w:t>
            </w:r>
            <w:r w:rsidRPr="00207C5C">
              <w:t>implement</w:t>
            </w:r>
            <w:r>
              <w:t>ed it</w:t>
            </w:r>
            <w:r w:rsidRPr="00207C5C">
              <w:t xml:space="preserve"> </w:t>
            </w:r>
          </w:p>
        </w:tc>
      </w:tr>
      <w:tr w:rsidR="00A01006" w:rsidRPr="00320641" w14:paraId="71AEDA02" w14:textId="77777777" w:rsidTr="00977046">
        <w:trPr>
          <w:cantSplit/>
        </w:trPr>
        <w:tc>
          <w:tcPr>
            <w:tcW w:w="426" w:type="dxa"/>
            <w:tcBorders>
              <w:right w:val="nil"/>
            </w:tcBorders>
          </w:tcPr>
          <w:p w14:paraId="24C848AF" w14:textId="77777777" w:rsidR="00A01006" w:rsidRPr="00207C5C" w:rsidRDefault="00A01006" w:rsidP="00A01006">
            <w:pPr>
              <w:pStyle w:val="TableText"/>
            </w:pPr>
            <w:r w:rsidRPr="00207C5C">
              <w:t>UA</w:t>
            </w:r>
          </w:p>
        </w:tc>
        <w:tc>
          <w:tcPr>
            <w:tcW w:w="1417" w:type="dxa"/>
            <w:tcBorders>
              <w:left w:val="nil"/>
            </w:tcBorders>
          </w:tcPr>
          <w:p w14:paraId="3299314D" w14:textId="77777777" w:rsidR="00A01006" w:rsidRPr="00207C5C" w:rsidRDefault="00A01006" w:rsidP="00A01006">
            <w:pPr>
              <w:pStyle w:val="TableText"/>
            </w:pPr>
            <w:r w:rsidRPr="00207C5C">
              <w:t>Unattained</w:t>
            </w:r>
          </w:p>
        </w:tc>
        <w:tc>
          <w:tcPr>
            <w:tcW w:w="6662" w:type="dxa"/>
          </w:tcPr>
          <w:p w14:paraId="3A052024" w14:textId="57EF7D37" w:rsidR="00A01006" w:rsidRPr="00207C5C" w:rsidRDefault="00A01006" w:rsidP="00A01006">
            <w:pPr>
              <w:pStyle w:val="TableText"/>
            </w:pPr>
            <w:r w:rsidRPr="00207C5C">
              <w:t xml:space="preserve">The organisation or service cannot demonstrate appropriate processes, systems or structures to meet the required outcome </w:t>
            </w:r>
          </w:p>
        </w:tc>
      </w:tr>
      <w:tr w:rsidR="00A01006" w:rsidRPr="00320641" w14:paraId="0F686A91" w14:textId="77777777" w:rsidTr="00977046">
        <w:trPr>
          <w:cantSplit/>
        </w:trPr>
        <w:tc>
          <w:tcPr>
            <w:tcW w:w="426" w:type="dxa"/>
            <w:tcBorders>
              <w:right w:val="nil"/>
            </w:tcBorders>
          </w:tcPr>
          <w:p w14:paraId="5BEE677A" w14:textId="77777777" w:rsidR="00A01006" w:rsidRPr="00207C5C" w:rsidRDefault="00A01006" w:rsidP="00A01006">
            <w:pPr>
              <w:pStyle w:val="TableText"/>
            </w:pPr>
            <w:r w:rsidRPr="00207C5C">
              <w:t>NA</w:t>
            </w:r>
          </w:p>
        </w:tc>
        <w:tc>
          <w:tcPr>
            <w:tcW w:w="1417" w:type="dxa"/>
            <w:tcBorders>
              <w:left w:val="nil"/>
            </w:tcBorders>
          </w:tcPr>
          <w:p w14:paraId="64048AC2" w14:textId="77777777" w:rsidR="00A01006" w:rsidRPr="00207C5C" w:rsidRDefault="00A01006" w:rsidP="00A01006">
            <w:pPr>
              <w:pStyle w:val="TableText"/>
            </w:pPr>
            <w:r w:rsidRPr="00207C5C">
              <w:t>Not applicable</w:t>
            </w:r>
          </w:p>
        </w:tc>
        <w:tc>
          <w:tcPr>
            <w:tcW w:w="6662" w:type="dxa"/>
          </w:tcPr>
          <w:p w14:paraId="1D4C33B5" w14:textId="30DC869A" w:rsidR="00A01006" w:rsidRPr="00207C5C" w:rsidRDefault="00A01006" w:rsidP="00A01006">
            <w:pPr>
              <w:pStyle w:val="TableText"/>
            </w:pPr>
            <w:r w:rsidRPr="00207C5C">
              <w:t xml:space="preserve">The criterion does not apply to the service </w:t>
            </w:r>
          </w:p>
        </w:tc>
      </w:tr>
    </w:tbl>
    <w:p w14:paraId="33CCFEEA" w14:textId="77777777" w:rsidR="00350EE0" w:rsidRDefault="00350EE0" w:rsidP="00A01006"/>
    <w:p w14:paraId="5A5C205D" w14:textId="3A3F9554" w:rsidR="00350EE0" w:rsidRDefault="00A01006" w:rsidP="00A01006">
      <w:r w:rsidRPr="00A01006">
        <w:t>In your audit report, record the lowest attainment level finding for each of the criteria and outcomes you are reporting on</w:t>
      </w:r>
      <w:r w:rsidR="00350EE0" w:rsidRPr="00207C5C">
        <w:t>.</w:t>
      </w:r>
    </w:p>
    <w:p w14:paraId="1B5262F5" w14:textId="77777777" w:rsidR="006138F8" w:rsidRDefault="006138F8" w:rsidP="00A01006"/>
    <w:p w14:paraId="42AB1C4F" w14:textId="77777777" w:rsidR="00350EE0" w:rsidRPr="009000B3" w:rsidRDefault="00350EE0" w:rsidP="00BA0140">
      <w:pPr>
        <w:pStyle w:val="Heading2"/>
        <w:rPr>
          <w:rFonts w:eastAsia="Arial"/>
        </w:rPr>
      </w:pPr>
      <w:bookmarkStart w:id="55" w:name="_Toc332726057"/>
      <w:bookmarkStart w:id="56" w:name="_Toc479482061"/>
      <w:bookmarkStart w:id="57" w:name="_Toc480293090"/>
      <w:bookmarkStart w:id="58" w:name="_Toc209590458"/>
      <w:r w:rsidRPr="009000B3">
        <w:rPr>
          <w:rFonts w:eastAsia="Arial"/>
        </w:rPr>
        <w:t>3.2</w:t>
      </w:r>
      <w:r w:rsidR="006138F8">
        <w:rPr>
          <w:rFonts w:eastAsia="Arial"/>
        </w:rPr>
        <w:tab/>
      </w:r>
      <w:r w:rsidRPr="009000B3">
        <w:rPr>
          <w:rFonts w:eastAsia="Arial"/>
        </w:rPr>
        <w:t>Evaluation methods</w:t>
      </w:r>
      <w:bookmarkEnd w:id="55"/>
      <w:bookmarkEnd w:id="56"/>
      <w:bookmarkEnd w:id="57"/>
      <w:bookmarkEnd w:id="58"/>
    </w:p>
    <w:p w14:paraId="3969CB3B" w14:textId="15FBF1A1" w:rsidR="00350EE0" w:rsidRDefault="00A01006" w:rsidP="00BA0140">
      <w:r>
        <w:t>Auditors record evaluation methods used in their field notes. They triangulate audit evidence where possible</w:t>
      </w:r>
      <w:r w:rsidR="00350EE0">
        <w:t xml:space="preserve">. </w:t>
      </w:r>
      <w:bookmarkStart w:id="59" w:name="_Toc332726058"/>
    </w:p>
    <w:p w14:paraId="20C45409" w14:textId="77777777" w:rsidR="00A01006" w:rsidRDefault="00A01006" w:rsidP="00BA0140"/>
    <w:p w14:paraId="2AA669AE" w14:textId="77777777" w:rsidR="00350EE0" w:rsidRPr="009000B3" w:rsidRDefault="00350EE0" w:rsidP="00BA0140">
      <w:pPr>
        <w:pStyle w:val="Heading2"/>
        <w:rPr>
          <w:rFonts w:eastAsia="Arial"/>
        </w:rPr>
      </w:pPr>
      <w:bookmarkStart w:id="60" w:name="_Toc479482062"/>
      <w:bookmarkStart w:id="61" w:name="_Toc480293091"/>
      <w:bookmarkStart w:id="62" w:name="_Toc209590459"/>
      <w:r w:rsidRPr="009000B3">
        <w:rPr>
          <w:rFonts w:eastAsia="Arial"/>
        </w:rPr>
        <w:t>3.3</w:t>
      </w:r>
      <w:r w:rsidR="006138F8">
        <w:rPr>
          <w:rFonts w:eastAsia="Arial"/>
        </w:rPr>
        <w:tab/>
      </w:r>
      <w:r w:rsidRPr="009000B3">
        <w:rPr>
          <w:rFonts w:eastAsia="Arial"/>
        </w:rPr>
        <w:t>Risk management</w:t>
      </w:r>
      <w:bookmarkEnd w:id="59"/>
      <w:bookmarkEnd w:id="60"/>
      <w:bookmarkEnd w:id="61"/>
      <w:bookmarkEnd w:id="62"/>
    </w:p>
    <w:p w14:paraId="0E98280B" w14:textId="77777777" w:rsidR="00A01006" w:rsidRPr="00207C5C" w:rsidRDefault="00A01006" w:rsidP="00A01006">
      <w:r>
        <w:t>I</w:t>
      </w:r>
      <w:r w:rsidRPr="00207C5C">
        <w:t>dentify the degree of risk to consumers</w:t>
      </w:r>
      <w:r>
        <w:t>’</w:t>
      </w:r>
      <w:r w:rsidRPr="00207C5C">
        <w:t xml:space="preserve"> safety associated with the level of attainment the </w:t>
      </w:r>
      <w:r>
        <w:t>provider</w:t>
      </w:r>
      <w:r w:rsidRPr="00207C5C">
        <w:t xml:space="preserve"> </w:t>
      </w:r>
      <w:r>
        <w:t xml:space="preserve">achieves </w:t>
      </w:r>
      <w:r w:rsidRPr="00207C5C">
        <w:t>for each criterion.</w:t>
      </w:r>
      <w:r>
        <w:t xml:space="preserve"> A</w:t>
      </w:r>
      <w:r w:rsidRPr="00207C5C">
        <w:t xml:space="preserve">udit the </w:t>
      </w:r>
      <w:r>
        <w:t>‘</w:t>
      </w:r>
      <w:r w:rsidRPr="00207C5C">
        <w:t>risk</w:t>
      </w:r>
      <w:r>
        <w:t>’</w:t>
      </w:r>
      <w:r w:rsidRPr="00207C5C">
        <w:t xml:space="preserve"> in relation to its possible impact on the consumer, based on the consequence and likelihood of harm occurring </w:t>
      </w:r>
      <w:r>
        <w:t>if the provider does not fully attain</w:t>
      </w:r>
      <w:r w:rsidRPr="00207C5C">
        <w:t xml:space="preserve"> the criterion.</w:t>
      </w:r>
      <w:r>
        <w:t xml:space="preserve"> U</w:t>
      </w:r>
      <w:r w:rsidRPr="00207C5C">
        <w:t xml:space="preserve">se the risk management matrix </w:t>
      </w:r>
      <w:r>
        <w:t xml:space="preserve">(Figure 1 below) </w:t>
      </w:r>
      <w:r w:rsidRPr="00207C5C">
        <w:t>when the audit result for any criterion is partially attained or unattained.</w:t>
      </w:r>
    </w:p>
    <w:p w14:paraId="7E44DBD9" w14:textId="77777777" w:rsidR="00A01006" w:rsidRPr="00207C5C" w:rsidRDefault="00A01006" w:rsidP="00A01006"/>
    <w:p w14:paraId="32B31A54" w14:textId="77777777" w:rsidR="00A01006" w:rsidRPr="00207C5C" w:rsidRDefault="00A01006" w:rsidP="00A01006">
      <w:r w:rsidRPr="00207C5C">
        <w:lastRenderedPageBreak/>
        <w:t>To use the risk management matrix</w:t>
      </w:r>
      <w:r>
        <w:t>, undertake the following process.</w:t>
      </w:r>
    </w:p>
    <w:p w14:paraId="6DF89E60" w14:textId="77777777" w:rsidR="00A01006" w:rsidRDefault="00A01006" w:rsidP="00A01006">
      <w:pPr>
        <w:pStyle w:val="Number"/>
        <w:numPr>
          <w:ilvl w:val="0"/>
          <w:numId w:val="19"/>
        </w:numPr>
        <w:ind w:left="426" w:hanging="426"/>
      </w:pPr>
      <w:r>
        <w:t>Consider what consequences for consumer safety might follow from the provider achieving ‘partially attained’ or ‘unattained’ for a criterion, within a range from extreme/actual harm to negligible risk of harm occurring.</w:t>
      </w:r>
    </w:p>
    <w:p w14:paraId="75E0C1E2" w14:textId="77777777" w:rsidR="00A01006" w:rsidRDefault="00A01006" w:rsidP="00A01006">
      <w:pPr>
        <w:pStyle w:val="Number"/>
        <w:numPr>
          <w:ilvl w:val="0"/>
          <w:numId w:val="19"/>
        </w:numPr>
        <w:ind w:left="426" w:hanging="426"/>
      </w:pPr>
      <w:r>
        <w:t>Consider how likely it is that this adverse event will occur due to the provider achieving ‘partially attained’ or ‘unattained’ for a criterion, within a range from being almost certain to occur to rare.</w:t>
      </w:r>
    </w:p>
    <w:p w14:paraId="4A7AE26D" w14:textId="77777777" w:rsidR="00A01006" w:rsidRDefault="00A01006" w:rsidP="00A01006">
      <w:pPr>
        <w:pStyle w:val="Number"/>
        <w:numPr>
          <w:ilvl w:val="0"/>
          <w:numId w:val="19"/>
        </w:numPr>
        <w:ind w:left="426" w:hanging="426"/>
      </w:pPr>
      <w:r>
        <w:t>Plot the findings on the risk assessment matrix to identify the level of risk, which may range from critical to negligible, and prioritise risks in relation to severity (</w:t>
      </w:r>
      <w:proofErr w:type="spellStart"/>
      <w:r>
        <w:t>eg</w:t>
      </w:r>
      <w:proofErr w:type="spellEnd"/>
      <w:r>
        <w:t>, critical to negligible).</w:t>
      </w:r>
    </w:p>
    <w:p w14:paraId="0ACBEA6E" w14:textId="3F947311" w:rsidR="00A01006" w:rsidRPr="00207C5C" w:rsidRDefault="00A01006" w:rsidP="00A01006">
      <w:pPr>
        <w:pStyle w:val="Number"/>
        <w:numPr>
          <w:ilvl w:val="0"/>
          <w:numId w:val="19"/>
        </w:numPr>
        <w:ind w:left="426" w:hanging="426"/>
      </w:pPr>
      <w:r>
        <w:t>Approve the appropriate action the provider must take to eliminate or minimise risk within the timeframe in the ‘action required’ section (Figure 1). Note that timeframes are set based on full resolution of the requirement, which may include a systems change or staff training programme. State anything requiring urgent attention in your report, and specify a longer timeframe the provider needs to make sustainable change, if appropriate.</w:t>
      </w:r>
    </w:p>
    <w:p w14:paraId="51D9723D" w14:textId="77777777" w:rsidR="00350EE0" w:rsidRDefault="00350EE0" w:rsidP="00BA0140"/>
    <w:p w14:paraId="08B00ED1" w14:textId="77777777" w:rsidR="00A01006" w:rsidRPr="00F63D43" w:rsidRDefault="00A01006" w:rsidP="00A01006">
      <w:pPr>
        <w:pStyle w:val="Figure"/>
        <w:rPr>
          <w:b w:val="0"/>
          <w:bCs/>
        </w:rPr>
      </w:pPr>
      <w:bookmarkStart w:id="63" w:name="_Ref501269377"/>
      <w:bookmarkStart w:id="64" w:name="_Toc67729142"/>
      <w:bookmarkStart w:id="65" w:name="_Toc332726059"/>
      <w:r w:rsidRPr="000A174C">
        <w:lastRenderedPageBreak/>
        <w:t>Risk management matrix</w:t>
      </w:r>
      <w:bookmarkEnd w:id="63"/>
      <w:bookmarkEnd w:id="64"/>
      <w:bookmarkEnd w:id="65"/>
      <w:r>
        <w:t xml:space="preserve"> </w:t>
      </w:r>
      <w:r>
        <w:rPr>
          <w:b w:val="0"/>
          <w:bCs/>
        </w:rPr>
        <w:t xml:space="preserve">The Risk Management Matrix (table 4) should be used when the audit result for any criterion is partially attained (PA) or unattained (UA). </w:t>
      </w:r>
    </w:p>
    <w:p w14:paraId="11633103" w14:textId="7C82ABB9" w:rsidR="006B01B8" w:rsidRPr="006B01B8" w:rsidRDefault="00A01006" w:rsidP="00BA0140">
      <w:r w:rsidRPr="005B0432">
        <w:rPr>
          <w:noProof/>
          <w:lang w:eastAsia="en-NZ"/>
        </w:rPr>
        <w:drawing>
          <wp:inline distT="0" distB="0" distL="0" distR="0" wp14:anchorId="052AAC49" wp14:editId="23801F1A">
            <wp:extent cx="5159375" cy="7362825"/>
            <wp:effectExtent l="0" t="0" r="0" b="0"/>
            <wp:docPr id="8" name="Picture 20" descr="Risk management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isk management matrix"/>
                    <pic:cNvPicPr>
                      <a:picLocks noChangeAspect="1" noChangeArrowheads="1"/>
                    </pic:cNvPicPr>
                  </pic:nvPicPr>
                  <pic:blipFill>
                    <a:blip r:embed="rId22" cstate="print">
                      <a:extLst>
                        <a:ext uri="{28A0092B-C50C-407E-A947-70E740481C1C}">
                          <a14:useLocalDpi xmlns:a14="http://schemas.microsoft.com/office/drawing/2010/main" val="0"/>
                        </a:ext>
                      </a:extLst>
                    </a:blip>
                    <a:srcRect l="6993" t="4002" r="6993" b="4350"/>
                    <a:stretch>
                      <a:fillRect/>
                    </a:stretch>
                  </pic:blipFill>
                  <pic:spPr bwMode="auto">
                    <a:xfrm>
                      <a:off x="0" y="0"/>
                      <a:ext cx="5159375" cy="7362825"/>
                    </a:xfrm>
                    <a:prstGeom prst="rect">
                      <a:avLst/>
                    </a:prstGeom>
                    <a:noFill/>
                    <a:ln>
                      <a:noFill/>
                    </a:ln>
                  </pic:spPr>
                </pic:pic>
              </a:graphicData>
            </a:graphic>
          </wp:inline>
        </w:drawing>
      </w:r>
    </w:p>
    <w:p w14:paraId="255BEB8D" w14:textId="77777777" w:rsidR="006138F8" w:rsidRDefault="006138F8" w:rsidP="00BA0140">
      <w:pPr>
        <w:ind w:left="-1276" w:firstLine="1276"/>
      </w:pPr>
      <w:bookmarkStart w:id="66" w:name="_Toc332726060"/>
      <w:bookmarkStart w:id="67" w:name="_Toc479482063"/>
      <w:bookmarkStart w:id="68" w:name="_Toc480293092"/>
    </w:p>
    <w:p w14:paraId="5268412F" w14:textId="77777777" w:rsidR="007E6983" w:rsidRDefault="00350EE0" w:rsidP="00BA0140">
      <w:pPr>
        <w:pStyle w:val="Heading1"/>
      </w:pPr>
      <w:bookmarkStart w:id="69" w:name="_Toc209590460"/>
      <w:r w:rsidRPr="00480DA7">
        <w:lastRenderedPageBreak/>
        <w:t>4</w:t>
      </w:r>
      <w:r>
        <w:t>.</w:t>
      </w:r>
      <w:r>
        <w:tab/>
      </w:r>
      <w:r w:rsidRPr="00480DA7">
        <w:t>Certification</w:t>
      </w:r>
      <w:bookmarkEnd w:id="66"/>
      <w:bookmarkEnd w:id="67"/>
      <w:bookmarkEnd w:id="68"/>
      <w:bookmarkEnd w:id="69"/>
    </w:p>
    <w:p w14:paraId="25C4334B" w14:textId="77777777" w:rsidR="00A01006" w:rsidRPr="00480DA7" w:rsidRDefault="00A01006" w:rsidP="00A01006">
      <w:pPr>
        <w:keepNext/>
      </w:pPr>
      <w:r>
        <w:t>Follow</w:t>
      </w:r>
      <w:r w:rsidRPr="00480DA7">
        <w:t xml:space="preserve"> a two-stage certification decision process</w:t>
      </w:r>
      <w:r>
        <w:t>, as follows</w:t>
      </w:r>
      <w:r w:rsidRPr="00480DA7">
        <w:t>.</w:t>
      </w:r>
    </w:p>
    <w:p w14:paraId="72F096D0" w14:textId="77777777" w:rsidR="00A01006" w:rsidRPr="00480DA7" w:rsidRDefault="00A01006" w:rsidP="00A01006">
      <w:pPr>
        <w:pStyle w:val="Number"/>
        <w:numPr>
          <w:ilvl w:val="0"/>
          <w:numId w:val="39"/>
        </w:numPr>
        <w:ind w:left="426" w:hanging="426"/>
      </w:pPr>
      <w:r>
        <w:t>A</w:t>
      </w:r>
      <w:r w:rsidRPr="00480DA7">
        <w:t xml:space="preserve"> team leader experienced in auditing </w:t>
      </w:r>
      <w:r>
        <w:t>HCSS conducts a</w:t>
      </w:r>
      <w:r w:rsidRPr="00A01006">
        <w:rPr>
          <w:b/>
        </w:rPr>
        <w:t xml:space="preserve"> systematic peer review</w:t>
      </w:r>
      <w:r w:rsidRPr="00480DA7">
        <w:t xml:space="preserve"> of the audit report. The peer review include</w:t>
      </w:r>
      <w:r>
        <w:t>s</w:t>
      </w:r>
      <w:r w:rsidRPr="00480DA7">
        <w:t xml:space="preserve"> associated audit evidence (that is, field notes, workbooks or tools) where a report is ambiguous. The peer reviewer </w:t>
      </w:r>
      <w:r>
        <w:t>must</w:t>
      </w:r>
      <w:r w:rsidRPr="00480DA7">
        <w:t xml:space="preserve"> be independent of the</w:t>
      </w:r>
      <w:r>
        <w:t xml:space="preserve"> original</w:t>
      </w:r>
      <w:r w:rsidRPr="00480DA7">
        <w:t xml:space="preserve"> audit. </w:t>
      </w:r>
      <w:r>
        <w:t>After the peer reviewer has</w:t>
      </w:r>
      <w:r w:rsidRPr="00480DA7">
        <w:t xml:space="preserve"> complet</w:t>
      </w:r>
      <w:r>
        <w:t>ed</w:t>
      </w:r>
      <w:r w:rsidRPr="00480DA7">
        <w:t xml:space="preserve"> the peer review, the </w:t>
      </w:r>
      <w:r>
        <w:t>CAB</w:t>
      </w:r>
      <w:r w:rsidRPr="00480DA7">
        <w:t xml:space="preserve"> recommend</w:t>
      </w:r>
      <w:r>
        <w:t>s</w:t>
      </w:r>
      <w:r w:rsidRPr="00480DA7">
        <w:t xml:space="preserve"> </w:t>
      </w:r>
      <w:r>
        <w:t xml:space="preserve">either </w:t>
      </w:r>
      <w:r w:rsidRPr="00480DA7">
        <w:t>certification or delaying certification pending completion of corrective action requirements.</w:t>
      </w:r>
    </w:p>
    <w:p w14:paraId="12D6B036" w14:textId="77777777" w:rsidR="00A01006" w:rsidRPr="00480DA7" w:rsidRDefault="00A01006" w:rsidP="00A01006">
      <w:pPr>
        <w:pStyle w:val="Number"/>
        <w:numPr>
          <w:ilvl w:val="0"/>
          <w:numId w:val="7"/>
        </w:numPr>
        <w:ind w:left="426" w:hanging="426"/>
      </w:pPr>
      <w:r>
        <w:t>An IAC made up of two funder representatives conducts an</w:t>
      </w:r>
      <w:r w:rsidRPr="007E6178">
        <w:rPr>
          <w:b/>
        </w:rPr>
        <w:t xml:space="preserve"> </w:t>
      </w:r>
      <w:r w:rsidRPr="008673EA">
        <w:rPr>
          <w:bCs/>
        </w:rPr>
        <w:t>independent review</w:t>
      </w:r>
      <w:r w:rsidRPr="00480DA7">
        <w:t xml:space="preserve"> of the audit report and </w:t>
      </w:r>
      <w:r>
        <w:t xml:space="preserve">decides whether to endorse the decision to award </w:t>
      </w:r>
      <w:r w:rsidRPr="00480DA7">
        <w:t>certification</w:t>
      </w:r>
      <w:r>
        <w:t>.</w:t>
      </w:r>
      <w:r w:rsidRPr="00480DA7">
        <w:t xml:space="preserve"> </w:t>
      </w:r>
      <w:r>
        <w:t>The IAC has seven working days to respond to and provide feedback on the audit report.</w:t>
      </w:r>
    </w:p>
    <w:p w14:paraId="5132CAD4" w14:textId="77777777" w:rsidR="00A01006" w:rsidRPr="00480DA7" w:rsidRDefault="00A01006" w:rsidP="00A01006"/>
    <w:p w14:paraId="249BFE3C" w14:textId="77777777" w:rsidR="00A01006" w:rsidRPr="00C2347A" w:rsidRDefault="00A01006" w:rsidP="00A01006">
      <w:pPr>
        <w:rPr>
          <w:lang w:val="mi-NZ"/>
        </w:rPr>
      </w:pPr>
      <w:r>
        <w:t xml:space="preserve">If the audit finds a critical risk or a recurring high-risk, the auditing agency should immediately contact the funder(s) and seek an agreement about certification. </w:t>
      </w:r>
    </w:p>
    <w:p w14:paraId="0F7507C3" w14:textId="77777777" w:rsidR="00A01006" w:rsidRDefault="00A01006" w:rsidP="00A01006"/>
    <w:p w14:paraId="17B76DA7" w14:textId="77777777" w:rsidR="00A01006" w:rsidRDefault="00A01006" w:rsidP="00A01006">
      <w:r>
        <w:t>You must decide on certification</w:t>
      </w:r>
      <w:r w:rsidRPr="00480DA7">
        <w:t xml:space="preserve"> and notif</w:t>
      </w:r>
      <w:r>
        <w:t>y</w:t>
      </w:r>
      <w:r w:rsidRPr="00480DA7">
        <w:t xml:space="preserve"> the provider </w:t>
      </w:r>
      <w:r>
        <w:t xml:space="preserve">of your decision </w:t>
      </w:r>
      <w:r w:rsidRPr="00480DA7">
        <w:t>within eight weeks of completi</w:t>
      </w:r>
      <w:r>
        <w:t>ng</w:t>
      </w:r>
      <w:r w:rsidRPr="00480DA7">
        <w:t xml:space="preserve"> the audit.</w:t>
      </w:r>
      <w:r>
        <w:t xml:space="preserve"> You must specify </w:t>
      </w:r>
      <w:r w:rsidRPr="00480DA7">
        <w:t xml:space="preserve">an appeal process consistent with </w:t>
      </w:r>
      <w:r w:rsidRPr="00AB5F9C">
        <w:rPr>
          <w:rFonts w:eastAsia="Arial"/>
        </w:rPr>
        <w:t>ISO/IEC 17021</w:t>
      </w:r>
      <w:r>
        <w:rPr>
          <w:rFonts w:eastAsia="Arial"/>
        </w:rPr>
        <w:t>-</w:t>
      </w:r>
      <w:r w:rsidRPr="00AB5F9C">
        <w:rPr>
          <w:rFonts w:eastAsia="Arial"/>
        </w:rPr>
        <w:t>1</w:t>
      </w:r>
      <w:r>
        <w:rPr>
          <w:rFonts w:eastAsia="Arial"/>
        </w:rPr>
        <w:t xml:space="preserve"> </w:t>
      </w:r>
    </w:p>
    <w:p w14:paraId="72F660C7" w14:textId="77777777" w:rsidR="00A01006" w:rsidRPr="00480DA7" w:rsidRDefault="00A01006" w:rsidP="00A01006"/>
    <w:p w14:paraId="70EBAC93" w14:textId="77777777" w:rsidR="00A01006" w:rsidRPr="005A0FD6" w:rsidRDefault="00A01006" w:rsidP="00A01006">
      <w:pPr>
        <w:pStyle w:val="Heading2"/>
        <w:rPr>
          <w:rFonts w:eastAsia="Arial"/>
        </w:rPr>
      </w:pPr>
      <w:bookmarkStart w:id="70" w:name="_Toc479482064"/>
      <w:bookmarkStart w:id="71" w:name="_Toc480293093"/>
      <w:bookmarkStart w:id="72" w:name="_Toc209590461"/>
      <w:r w:rsidRPr="005A0FD6">
        <w:rPr>
          <w:rFonts w:eastAsia="Arial"/>
        </w:rPr>
        <w:t>4.1</w:t>
      </w:r>
      <w:r>
        <w:rPr>
          <w:rFonts w:eastAsia="Arial"/>
        </w:rPr>
        <w:tab/>
      </w:r>
      <w:r w:rsidRPr="005A0FD6">
        <w:rPr>
          <w:rFonts w:eastAsia="Arial"/>
        </w:rPr>
        <w:t>Certification period</w:t>
      </w:r>
      <w:bookmarkEnd w:id="70"/>
      <w:bookmarkEnd w:id="71"/>
      <w:bookmarkEnd w:id="72"/>
    </w:p>
    <w:p w14:paraId="1C486E07" w14:textId="77777777" w:rsidR="00A01006" w:rsidRPr="005A0FD6" w:rsidRDefault="00A01006" w:rsidP="00A01006">
      <w:r w:rsidRPr="005A0FD6">
        <w:t>The certification period is three years from the date of the certification decision.</w:t>
      </w:r>
      <w:r>
        <w:t xml:space="preserve"> </w:t>
      </w:r>
      <w:r w:rsidRPr="005A0FD6">
        <w:t xml:space="preserve">A </w:t>
      </w:r>
      <w:r>
        <w:t>provider must undergo at least one</w:t>
      </w:r>
      <w:r w:rsidRPr="005A0FD6">
        <w:t xml:space="preserve"> on-site surveillance audit </w:t>
      </w:r>
      <w:r>
        <w:t xml:space="preserve">near the midpoint date of its certification period </w:t>
      </w:r>
      <w:r w:rsidRPr="005A0FD6">
        <w:t xml:space="preserve">to maintain </w:t>
      </w:r>
      <w:r>
        <w:t xml:space="preserve">its </w:t>
      </w:r>
      <w:r w:rsidRPr="005A0FD6">
        <w:t xml:space="preserve">certification. </w:t>
      </w:r>
      <w:r>
        <w:t>F</w:t>
      </w:r>
      <w:r w:rsidRPr="005A0FD6">
        <w:t xml:space="preserve">indings </w:t>
      </w:r>
      <w:r>
        <w:t>are</w:t>
      </w:r>
      <w:r w:rsidRPr="005A0FD6">
        <w:t xml:space="preserve"> actioned in </w:t>
      </w:r>
      <w:r>
        <w:t xml:space="preserve">line </w:t>
      </w:r>
      <w:r w:rsidRPr="005A0FD6">
        <w:t xml:space="preserve">with </w:t>
      </w:r>
      <w:r>
        <w:t>the</w:t>
      </w:r>
      <w:r w:rsidRPr="005A0FD6">
        <w:t xml:space="preserve"> risk management matrix (</w:t>
      </w:r>
      <w:r>
        <w:t>see Figure 1</w:t>
      </w:r>
      <w:r w:rsidRPr="005A0FD6">
        <w:t xml:space="preserve"> </w:t>
      </w:r>
      <w:r>
        <w:t>in Section 3.3</w:t>
      </w:r>
      <w:r w:rsidRPr="005A0FD6">
        <w:t xml:space="preserve">). </w:t>
      </w:r>
      <w:r>
        <w:t>This</w:t>
      </w:r>
      <w:r w:rsidRPr="005A0FD6">
        <w:t xml:space="preserve"> surveillance audit </w:t>
      </w:r>
      <w:r>
        <w:t xml:space="preserve">can be scheduled </w:t>
      </w:r>
      <w:r w:rsidRPr="005A0FD6">
        <w:t>two months either side of the midpoint.</w:t>
      </w:r>
    </w:p>
    <w:p w14:paraId="21B1C84E" w14:textId="77777777" w:rsidR="00A01006" w:rsidRPr="005A0FD6" w:rsidRDefault="00A01006" w:rsidP="00A01006"/>
    <w:p w14:paraId="3C5E0FEF" w14:textId="77777777" w:rsidR="00A01006" w:rsidRDefault="00A01006" w:rsidP="00A01006">
      <w:r>
        <w:t>If a provider has a ‘critical’ or residual high level of risk and certification proceeds, you may, in liaison with the funder, require additional surveillance activities. This may include on-site visits or yearly surveillance audits.</w:t>
      </w:r>
    </w:p>
    <w:p w14:paraId="7F96151E" w14:textId="77777777" w:rsidR="00A01006" w:rsidRDefault="00A01006" w:rsidP="00A01006"/>
    <w:p w14:paraId="3BB5232C" w14:textId="77777777" w:rsidR="00A01006" w:rsidRPr="005A0FD6" w:rsidRDefault="00A01006" w:rsidP="00A01006">
      <w:pPr>
        <w:pStyle w:val="Heading2"/>
        <w:rPr>
          <w:rFonts w:eastAsia="Arial"/>
        </w:rPr>
      </w:pPr>
      <w:bookmarkStart w:id="73" w:name="_Toc479482065"/>
      <w:bookmarkStart w:id="74" w:name="_Toc480293094"/>
      <w:bookmarkStart w:id="75" w:name="_Toc209590462"/>
      <w:r w:rsidRPr="005A0FD6">
        <w:rPr>
          <w:rFonts w:eastAsia="Arial"/>
        </w:rPr>
        <w:t>4.2</w:t>
      </w:r>
      <w:r>
        <w:rPr>
          <w:rFonts w:eastAsia="Arial"/>
        </w:rPr>
        <w:tab/>
      </w:r>
      <w:r w:rsidRPr="005A0FD6">
        <w:rPr>
          <w:rFonts w:eastAsia="Arial"/>
        </w:rPr>
        <w:t>Certification conditions</w:t>
      </w:r>
      <w:bookmarkEnd w:id="73"/>
      <w:bookmarkEnd w:id="74"/>
      <w:bookmarkEnd w:id="75"/>
    </w:p>
    <w:p w14:paraId="2F1331D1" w14:textId="77777777" w:rsidR="00A01006" w:rsidRDefault="00A01006" w:rsidP="00A01006">
      <w:r>
        <w:t>With e</w:t>
      </w:r>
      <w:r w:rsidRPr="005A0FD6">
        <w:t xml:space="preserve">ach certificate </w:t>
      </w:r>
      <w:r>
        <w:t xml:space="preserve">you </w:t>
      </w:r>
      <w:r w:rsidRPr="005A0FD6">
        <w:t>issue</w:t>
      </w:r>
      <w:r>
        <w:t>,</w:t>
      </w:r>
      <w:r w:rsidRPr="005A0FD6">
        <w:t xml:space="preserve"> include conditions of certification based on risks </w:t>
      </w:r>
      <w:r>
        <w:t>that</w:t>
      </w:r>
      <w:r w:rsidRPr="005A0FD6">
        <w:t xml:space="preserve"> the audit</w:t>
      </w:r>
      <w:r>
        <w:t xml:space="preserve"> has identified</w:t>
      </w:r>
      <w:r w:rsidRPr="005A0FD6">
        <w:t>. These conditions may include requirements for</w:t>
      </w:r>
      <w:r>
        <w:t xml:space="preserve"> the provider to make</w:t>
      </w:r>
      <w:r w:rsidRPr="005A0FD6">
        <w:t xml:space="preserve"> written progress reports of corrective actions or</w:t>
      </w:r>
      <w:r>
        <w:t xml:space="preserve"> for you to verify </w:t>
      </w:r>
      <w:r w:rsidRPr="005A0FD6">
        <w:t>corrective actions</w:t>
      </w:r>
      <w:r>
        <w:t xml:space="preserve"> on site</w:t>
      </w:r>
      <w:r w:rsidRPr="005A0FD6">
        <w:t xml:space="preserve"> and </w:t>
      </w:r>
      <w:r>
        <w:t xml:space="preserve">to conduct </w:t>
      </w:r>
      <w:r w:rsidRPr="005A0FD6">
        <w:t>an annual surveillance audit or other progress monitoring.</w:t>
      </w:r>
    </w:p>
    <w:p w14:paraId="0E6AE8CF" w14:textId="77777777" w:rsidR="00A01006" w:rsidRDefault="00A01006" w:rsidP="00A01006"/>
    <w:p w14:paraId="3672046C" w14:textId="77777777" w:rsidR="00A01006" w:rsidRPr="005A0FD6" w:rsidRDefault="00A01006" w:rsidP="00A01006">
      <w:pPr>
        <w:pStyle w:val="Heading2"/>
        <w:rPr>
          <w:rFonts w:eastAsia="Arial"/>
        </w:rPr>
      </w:pPr>
      <w:bookmarkStart w:id="76" w:name="_Toc332726061"/>
      <w:bookmarkStart w:id="77" w:name="_Toc479482066"/>
      <w:bookmarkStart w:id="78" w:name="_Toc480293095"/>
      <w:bookmarkStart w:id="79" w:name="_Toc209590463"/>
      <w:r w:rsidRPr="005A0FD6">
        <w:rPr>
          <w:rFonts w:eastAsia="Arial"/>
        </w:rPr>
        <w:t>4.3</w:t>
      </w:r>
      <w:r>
        <w:rPr>
          <w:rFonts w:eastAsia="Arial"/>
        </w:rPr>
        <w:tab/>
      </w:r>
      <w:r w:rsidRPr="005A0FD6">
        <w:rPr>
          <w:rFonts w:eastAsia="Arial"/>
        </w:rPr>
        <w:t>Certification document</w:t>
      </w:r>
      <w:bookmarkEnd w:id="76"/>
      <w:bookmarkEnd w:id="77"/>
      <w:bookmarkEnd w:id="78"/>
      <w:bookmarkEnd w:id="79"/>
    </w:p>
    <w:p w14:paraId="4F20780D" w14:textId="77777777" w:rsidR="00A01006" w:rsidRPr="005A0FD6" w:rsidRDefault="00A01006" w:rsidP="00A01006">
      <w:r>
        <w:t>N</w:t>
      </w:r>
      <w:r w:rsidRPr="005A0FD6">
        <w:t xml:space="preserve">otify the provider of </w:t>
      </w:r>
      <w:r>
        <w:t>your</w:t>
      </w:r>
      <w:r w:rsidRPr="005A0FD6">
        <w:t xml:space="preserve"> audit report and give </w:t>
      </w:r>
      <w:r>
        <w:t>it</w:t>
      </w:r>
      <w:r w:rsidRPr="005A0FD6">
        <w:t xml:space="preserve"> a copy of the report and a certification document that includes the</w:t>
      </w:r>
      <w:r>
        <w:t xml:space="preserve"> </w:t>
      </w:r>
      <w:r w:rsidRPr="005A0FD6">
        <w:t xml:space="preserve">information </w:t>
      </w:r>
      <w:r w:rsidRPr="00AB5F9C">
        <w:rPr>
          <w:rFonts w:eastAsia="Arial"/>
        </w:rPr>
        <w:t>ISO/IEC 17021</w:t>
      </w:r>
      <w:r>
        <w:rPr>
          <w:rFonts w:eastAsia="Arial"/>
        </w:rPr>
        <w:t>-</w:t>
      </w:r>
      <w:r w:rsidRPr="00AB5F9C">
        <w:rPr>
          <w:rFonts w:eastAsia="Arial"/>
        </w:rPr>
        <w:t>1</w:t>
      </w:r>
      <w:r>
        <w:rPr>
          <w:rFonts w:eastAsia="Arial"/>
        </w:rPr>
        <w:t xml:space="preserve"> requires.</w:t>
      </w:r>
    </w:p>
    <w:p w14:paraId="2BAA7C3E" w14:textId="77777777" w:rsidR="00A01006" w:rsidRPr="005A0FD6" w:rsidRDefault="00A01006" w:rsidP="00A01006"/>
    <w:p w14:paraId="466D111E" w14:textId="77777777" w:rsidR="00A01006" w:rsidRDefault="00A01006" w:rsidP="00A01006">
      <w:r>
        <w:lastRenderedPageBreak/>
        <w:t>Keep</w:t>
      </w:r>
      <w:r w:rsidRPr="005A0FD6">
        <w:t xml:space="preserve"> an up-to-date record of all the </w:t>
      </w:r>
      <w:r>
        <w:t>provider’s</w:t>
      </w:r>
      <w:r w:rsidRPr="005A0FD6">
        <w:t xml:space="preserve"> sites that have met the certification requirements.</w:t>
      </w:r>
      <w:r>
        <w:t xml:space="preserve"> You must </w:t>
      </w:r>
      <w:r w:rsidRPr="005A0FD6">
        <w:t xml:space="preserve">date certification documents from the date of </w:t>
      </w:r>
      <w:r>
        <w:t>your</w:t>
      </w:r>
      <w:r w:rsidRPr="005A0FD6">
        <w:t xml:space="preserve"> formal decision to award certification.</w:t>
      </w:r>
    </w:p>
    <w:p w14:paraId="61368762" w14:textId="77777777" w:rsidR="00A01006" w:rsidRPr="005A0FD6" w:rsidRDefault="00A01006" w:rsidP="00A01006"/>
    <w:p w14:paraId="03F4B27E" w14:textId="77777777" w:rsidR="00A01006" w:rsidRDefault="00A01006" w:rsidP="00A01006">
      <w:pPr>
        <w:pStyle w:val="Heading2"/>
        <w:rPr>
          <w:rFonts w:eastAsia="Arial"/>
        </w:rPr>
      </w:pPr>
      <w:bookmarkStart w:id="80" w:name="_Toc479482067"/>
      <w:bookmarkStart w:id="81" w:name="_Toc480293096"/>
      <w:bookmarkStart w:id="82" w:name="_Toc209590464"/>
      <w:r w:rsidRPr="00E20F01">
        <w:rPr>
          <w:rFonts w:eastAsia="Arial"/>
        </w:rPr>
        <w:t>4.4</w:t>
      </w:r>
      <w:r>
        <w:rPr>
          <w:rFonts w:eastAsia="Arial"/>
        </w:rPr>
        <w:tab/>
      </w:r>
      <w:r w:rsidRPr="00E20F01">
        <w:rPr>
          <w:rFonts w:eastAsia="Arial"/>
        </w:rPr>
        <w:t>Monitoring</w:t>
      </w:r>
      <w:bookmarkEnd w:id="80"/>
      <w:bookmarkEnd w:id="81"/>
      <w:bookmarkEnd w:id="82"/>
    </w:p>
    <w:p w14:paraId="5D7030DD" w14:textId="77777777" w:rsidR="00A01006" w:rsidRPr="005A0FD6" w:rsidRDefault="00A01006" w:rsidP="00A01006">
      <w:r>
        <w:t>M</w:t>
      </w:r>
      <w:r w:rsidRPr="005A0FD6">
        <w:t xml:space="preserve">onitor the HCSS provider during the period of certification to ensure </w:t>
      </w:r>
      <w:r>
        <w:t>it</w:t>
      </w:r>
      <w:r w:rsidRPr="005A0FD6">
        <w:t>:</w:t>
      </w:r>
    </w:p>
    <w:p w14:paraId="340F64C1" w14:textId="77777777" w:rsidR="00A01006" w:rsidRPr="005A0FD6" w:rsidRDefault="00A01006" w:rsidP="00A01006">
      <w:pPr>
        <w:pStyle w:val="Number"/>
        <w:numPr>
          <w:ilvl w:val="0"/>
          <w:numId w:val="40"/>
        </w:numPr>
        <w:ind w:left="426" w:hanging="426"/>
      </w:pPr>
      <w:r w:rsidRPr="005A0FD6">
        <w:t xml:space="preserve">has addressed any non-conformity that </w:t>
      </w:r>
      <w:r>
        <w:t>you</w:t>
      </w:r>
      <w:r w:rsidRPr="005A0FD6">
        <w:t xml:space="preserve"> identified at the time of the certification or surveillance audit</w:t>
      </w:r>
    </w:p>
    <w:p w14:paraId="4D990B1E" w14:textId="77777777" w:rsidR="00A01006" w:rsidRPr="005A0FD6" w:rsidRDefault="00A01006" w:rsidP="00A01006">
      <w:pPr>
        <w:pStyle w:val="Number"/>
        <w:numPr>
          <w:ilvl w:val="0"/>
          <w:numId w:val="7"/>
        </w:numPr>
        <w:ind w:left="426" w:hanging="426"/>
      </w:pPr>
      <w:r w:rsidRPr="005A0FD6">
        <w:t>is maintaining its systems and processes.</w:t>
      </w:r>
    </w:p>
    <w:p w14:paraId="034C50EC" w14:textId="77777777" w:rsidR="00A01006" w:rsidRPr="005A0FD6" w:rsidRDefault="00A01006" w:rsidP="00A01006"/>
    <w:p w14:paraId="21C92B1A" w14:textId="77777777" w:rsidR="00A01006" w:rsidRPr="005A0FD6" w:rsidRDefault="00A01006" w:rsidP="00A01006">
      <w:r>
        <w:t xml:space="preserve">Implement </w:t>
      </w:r>
      <w:r w:rsidRPr="005A0FD6">
        <w:t xml:space="preserve">procedures to ensure that the provider takes corrective action in </w:t>
      </w:r>
      <w:r>
        <w:t>line</w:t>
      </w:r>
      <w:r w:rsidRPr="005A0FD6">
        <w:t xml:space="preserve"> with the risk management matrix (</w:t>
      </w:r>
      <w:r>
        <w:t>see Figure 1</w:t>
      </w:r>
      <w:r w:rsidRPr="005A0FD6">
        <w:t xml:space="preserve"> </w:t>
      </w:r>
      <w:r>
        <w:t>in Section 3.3</w:t>
      </w:r>
      <w:r w:rsidRPr="005A0FD6">
        <w:t>)</w:t>
      </w:r>
      <w:r>
        <w:t xml:space="preserve">. These procedures may include requiring </w:t>
      </w:r>
      <w:r w:rsidRPr="005A0FD6">
        <w:t>a written progress report</w:t>
      </w:r>
      <w:r>
        <w:t xml:space="preserve"> from the provider</w:t>
      </w:r>
      <w:r w:rsidRPr="005A0FD6">
        <w:t xml:space="preserve"> or </w:t>
      </w:r>
      <w:r>
        <w:t xml:space="preserve">making </w:t>
      </w:r>
      <w:r w:rsidRPr="005A0FD6">
        <w:t>an on-site verification visit.</w:t>
      </w:r>
    </w:p>
    <w:p w14:paraId="3D875539" w14:textId="77777777" w:rsidR="00A01006" w:rsidRPr="005A0FD6" w:rsidRDefault="00A01006" w:rsidP="00A01006"/>
    <w:p w14:paraId="0BDD2ED9" w14:textId="77777777" w:rsidR="00A01006" w:rsidRPr="005A0FD6" w:rsidRDefault="00A01006" w:rsidP="00A01006">
      <w:r w:rsidRPr="005A0FD6">
        <w:t xml:space="preserve">If the provider does not </w:t>
      </w:r>
      <w:r>
        <w:t>correct</w:t>
      </w:r>
      <w:r w:rsidRPr="005A0FD6">
        <w:t xml:space="preserve"> a </w:t>
      </w:r>
      <w:r>
        <w:t xml:space="preserve">particular </w:t>
      </w:r>
      <w:r w:rsidRPr="005A0FD6">
        <w:t>non-conformity in the timeframe agreed at the audit</w:t>
      </w:r>
      <w:r>
        <w:t>,</w:t>
      </w:r>
      <w:r w:rsidRPr="005A0FD6">
        <w:t xml:space="preserve"> and </w:t>
      </w:r>
      <w:r>
        <w:t xml:space="preserve">to be </w:t>
      </w:r>
      <w:r w:rsidRPr="005A0FD6">
        <w:t xml:space="preserve">consistent with the risk management matrix, </w:t>
      </w:r>
      <w:r>
        <w:t>you</w:t>
      </w:r>
      <w:r w:rsidRPr="005A0FD6">
        <w:t>:</w:t>
      </w:r>
    </w:p>
    <w:p w14:paraId="3F5AE4B8" w14:textId="77777777" w:rsidR="00A01006" w:rsidRPr="005A0FD6" w:rsidRDefault="00A01006" w:rsidP="00A01006">
      <w:pPr>
        <w:pStyle w:val="Number"/>
        <w:numPr>
          <w:ilvl w:val="0"/>
          <w:numId w:val="41"/>
        </w:numPr>
        <w:ind w:left="426" w:hanging="426"/>
      </w:pPr>
      <w:r w:rsidRPr="005A0FD6">
        <w:t>may suspend certification</w:t>
      </w:r>
    </w:p>
    <w:p w14:paraId="1D052EED" w14:textId="77777777" w:rsidR="00A01006" w:rsidRPr="005A0FD6" w:rsidRDefault="00A01006" w:rsidP="00A01006">
      <w:pPr>
        <w:pStyle w:val="Number"/>
        <w:numPr>
          <w:ilvl w:val="0"/>
          <w:numId w:val="7"/>
        </w:numPr>
        <w:ind w:left="426" w:hanging="426"/>
      </w:pPr>
      <w:r>
        <w:t>must</w:t>
      </w:r>
      <w:r w:rsidRPr="005A0FD6">
        <w:t xml:space="preserve"> notify the funders </w:t>
      </w:r>
      <w:r>
        <w:t>before</w:t>
      </w:r>
      <w:r w:rsidRPr="005A0FD6">
        <w:t xml:space="preserve"> any such suspension</w:t>
      </w:r>
    </w:p>
    <w:p w14:paraId="6AE609E5" w14:textId="77777777" w:rsidR="00A01006" w:rsidRDefault="00A01006" w:rsidP="00A01006">
      <w:pPr>
        <w:pStyle w:val="Number"/>
        <w:numPr>
          <w:ilvl w:val="0"/>
          <w:numId w:val="7"/>
        </w:numPr>
        <w:ind w:left="426" w:hanging="426"/>
      </w:pPr>
      <w:r>
        <w:t>Must notify the Oversight Committee of any suspensions of certification.</w:t>
      </w:r>
      <w:r w:rsidRPr="00DC6347">
        <w:rPr>
          <w:vertAlign w:val="superscript"/>
        </w:rPr>
        <w:footnoteReference w:id="5"/>
      </w:r>
    </w:p>
    <w:p w14:paraId="16168131" w14:textId="77777777" w:rsidR="00A01006" w:rsidRPr="005A0FD6" w:rsidRDefault="00A01006" w:rsidP="00A01006"/>
    <w:p w14:paraId="7866F6F6" w14:textId="77777777" w:rsidR="00A01006" w:rsidRDefault="00A01006" w:rsidP="00A01006">
      <w:r w:rsidRPr="005A0FD6">
        <w:t>M</w:t>
      </w:r>
      <w:r>
        <w:t>ake your m</w:t>
      </w:r>
      <w:r w:rsidRPr="005A0FD6">
        <w:t xml:space="preserve">onitoring reports </w:t>
      </w:r>
      <w:r>
        <w:t>available to funders</w:t>
      </w:r>
      <w:r w:rsidRPr="005A0FD6">
        <w:t>. Funders may</w:t>
      </w:r>
      <w:r>
        <w:t xml:space="preserve"> work with you in</w:t>
      </w:r>
      <w:r w:rsidRPr="005A0FD6">
        <w:t xml:space="preserve"> monitor</w:t>
      </w:r>
      <w:r>
        <w:t>ing</w:t>
      </w:r>
      <w:r w:rsidRPr="005A0FD6">
        <w:t xml:space="preserve"> requirements that </w:t>
      </w:r>
      <w:r>
        <w:t xml:space="preserve">result </w:t>
      </w:r>
      <w:r w:rsidRPr="005A0FD6">
        <w:t>from audits.</w:t>
      </w:r>
    </w:p>
    <w:p w14:paraId="211D241F" w14:textId="77777777" w:rsidR="00A01006" w:rsidRDefault="00A01006" w:rsidP="00A01006"/>
    <w:p w14:paraId="75FF6A56" w14:textId="77777777" w:rsidR="00A01006" w:rsidRDefault="00A01006" w:rsidP="00A01006">
      <w:pPr>
        <w:pStyle w:val="Heading2"/>
        <w:rPr>
          <w:rFonts w:eastAsia="Arial"/>
        </w:rPr>
      </w:pPr>
      <w:bookmarkStart w:id="83" w:name="_Toc332726051"/>
      <w:bookmarkStart w:id="84" w:name="_Toc479482068"/>
      <w:bookmarkStart w:id="85" w:name="_Toc480293097"/>
      <w:bookmarkStart w:id="86" w:name="_Toc209590465"/>
      <w:r w:rsidRPr="004C55E7">
        <w:rPr>
          <w:rFonts w:eastAsia="Arial"/>
        </w:rPr>
        <w:t>4.5</w:t>
      </w:r>
      <w:r>
        <w:rPr>
          <w:rFonts w:eastAsia="Arial"/>
        </w:rPr>
        <w:tab/>
      </w:r>
      <w:r w:rsidRPr="004C55E7">
        <w:rPr>
          <w:rFonts w:eastAsia="Arial"/>
        </w:rPr>
        <w:t>Additional sites</w:t>
      </w:r>
      <w:bookmarkEnd w:id="83"/>
      <w:bookmarkEnd w:id="84"/>
      <w:bookmarkEnd w:id="85"/>
      <w:bookmarkEnd w:id="86"/>
    </w:p>
    <w:p w14:paraId="629F6478" w14:textId="77777777" w:rsidR="00A01006" w:rsidRPr="004C55E7" w:rsidRDefault="00A01006" w:rsidP="00A01006">
      <w:r w:rsidRPr="004C55E7">
        <w:t xml:space="preserve">When </w:t>
      </w:r>
      <w:r>
        <w:t>a</w:t>
      </w:r>
      <w:r w:rsidRPr="004C55E7">
        <w:t xml:space="preserve"> provider plans to add an</w:t>
      </w:r>
      <w:r>
        <w:t>other</w:t>
      </w:r>
      <w:r w:rsidRPr="004C55E7">
        <w:t xml:space="preserve"> satellite (</w:t>
      </w:r>
      <w:proofErr w:type="spellStart"/>
      <w:r>
        <w:t>eg</w:t>
      </w:r>
      <w:proofErr w:type="spellEnd"/>
      <w:r w:rsidRPr="004C55E7">
        <w:t xml:space="preserve">, a regional site) to an existing service that holds certification, </w:t>
      </w:r>
      <w:r>
        <w:t>they must</w:t>
      </w:r>
      <w:r w:rsidRPr="004C55E7">
        <w:t xml:space="preserve"> apply to </w:t>
      </w:r>
      <w:r>
        <w:t xml:space="preserve">you </w:t>
      </w:r>
      <w:r w:rsidRPr="004C55E7">
        <w:t xml:space="preserve">to </w:t>
      </w:r>
      <w:r>
        <w:t>complete</w:t>
      </w:r>
      <w:r w:rsidRPr="004C55E7">
        <w:t xml:space="preserve"> a verification audit within six months of establishing the </w:t>
      </w:r>
      <w:r>
        <w:t>additional site</w:t>
      </w:r>
      <w:r w:rsidRPr="004C55E7">
        <w:t xml:space="preserve">. </w:t>
      </w:r>
      <w:r>
        <w:t xml:space="preserve">You must </w:t>
      </w:r>
      <w:r w:rsidRPr="004C55E7">
        <w:t>issue certification to match the expiry of the current certificate that the provider holds.</w:t>
      </w:r>
    </w:p>
    <w:p w14:paraId="17DE39EB" w14:textId="77777777" w:rsidR="00A01006" w:rsidRPr="004C55E7" w:rsidRDefault="00A01006" w:rsidP="00A01006"/>
    <w:p w14:paraId="4360BC8B" w14:textId="77777777" w:rsidR="00A01006" w:rsidRDefault="00A01006" w:rsidP="00A01006">
      <w:r w:rsidRPr="004C55E7">
        <w:t xml:space="preserve">The provider </w:t>
      </w:r>
      <w:r>
        <w:t>must</w:t>
      </w:r>
      <w:r w:rsidRPr="004C55E7">
        <w:t xml:space="preserve"> notify </w:t>
      </w:r>
      <w:r>
        <w:t xml:space="preserve">you </w:t>
      </w:r>
      <w:r w:rsidRPr="004C55E7">
        <w:t>before adding the new site and confirm in writing that its governance, systems, processes, policies and procedures are substantially the same as those in the current service.</w:t>
      </w:r>
    </w:p>
    <w:p w14:paraId="712E07F8" w14:textId="2B8799AF" w:rsidR="007A5116" w:rsidRDefault="007A5116" w:rsidP="00A01006">
      <w:r>
        <w:br w:type="page"/>
      </w:r>
    </w:p>
    <w:p w14:paraId="0DF4AF61" w14:textId="35395FEE" w:rsidR="00A01006" w:rsidRDefault="00A01006" w:rsidP="00A01006">
      <w:pPr>
        <w:pStyle w:val="Heading2"/>
        <w:rPr>
          <w:rFonts w:eastAsia="Arial"/>
        </w:rPr>
      </w:pPr>
      <w:bookmarkStart w:id="87" w:name="_Toc332726052"/>
      <w:bookmarkStart w:id="88" w:name="_Toc479482069"/>
      <w:bookmarkStart w:id="89" w:name="_Toc480293098"/>
      <w:bookmarkStart w:id="90" w:name="_Toc209590466"/>
      <w:r w:rsidRPr="004C55E7">
        <w:rPr>
          <w:rFonts w:eastAsia="Arial"/>
        </w:rPr>
        <w:lastRenderedPageBreak/>
        <w:t>4.6</w:t>
      </w:r>
      <w:r>
        <w:rPr>
          <w:rFonts w:eastAsia="Arial"/>
        </w:rPr>
        <w:tab/>
      </w:r>
      <w:r w:rsidRPr="004C55E7">
        <w:rPr>
          <w:rFonts w:eastAsia="Arial"/>
        </w:rPr>
        <w:t>Sale of a certified organisation</w:t>
      </w:r>
      <w:bookmarkEnd w:id="87"/>
      <w:bookmarkEnd w:id="88"/>
      <w:bookmarkEnd w:id="89"/>
      <w:bookmarkEnd w:id="90"/>
    </w:p>
    <w:p w14:paraId="7EF8E07F" w14:textId="77777777" w:rsidR="00A01006" w:rsidRPr="006F330C" w:rsidRDefault="00A01006" w:rsidP="00A01006">
      <w:r w:rsidRPr="00EF54F9">
        <w:t>The cur</w:t>
      </w:r>
      <w:r w:rsidRPr="006F330C">
        <w:t xml:space="preserve">rent provider owns the certification. If a new organisation buys a certified organisation, it may keep that certification for a maximum of six months (unless the certification period expires before this date). The </w:t>
      </w:r>
      <w:r>
        <w:t xml:space="preserve">buyer </w:t>
      </w:r>
      <w:r w:rsidRPr="006F330C">
        <w:t>organisation shall have a CAB complete a certification audit within six months of taking possession.</w:t>
      </w:r>
    </w:p>
    <w:p w14:paraId="2CC9542F" w14:textId="77777777" w:rsidR="00A01006" w:rsidRPr="006F330C" w:rsidRDefault="00A01006" w:rsidP="00A01006"/>
    <w:p w14:paraId="42AF6637" w14:textId="77777777" w:rsidR="00A01006" w:rsidRDefault="00A01006" w:rsidP="00A01006">
      <w:r w:rsidRPr="006F330C">
        <w:t xml:space="preserve">You may withdraw or suspend certification where it has been transferred with the sale of an organisation if the systems and processes for operational management or quality and risk management differ substantially from those in the certified organisation. Before doing </w:t>
      </w:r>
      <w:r>
        <w:t>this</w:t>
      </w:r>
      <w:r w:rsidRPr="006F330C">
        <w:t>, however, you must liaise with the relevant funders of the new organisation.</w:t>
      </w:r>
    </w:p>
    <w:p w14:paraId="5DF12F55" w14:textId="77777777" w:rsidR="00A01006" w:rsidRPr="004C55E7" w:rsidRDefault="00A01006" w:rsidP="00A01006"/>
    <w:p w14:paraId="08B1CA8A" w14:textId="77777777" w:rsidR="00A01006" w:rsidRDefault="00A01006" w:rsidP="00A01006">
      <w:pPr>
        <w:pStyle w:val="Heading2"/>
        <w:rPr>
          <w:rFonts w:eastAsia="Arial"/>
        </w:rPr>
      </w:pPr>
      <w:bookmarkStart w:id="91" w:name="_Toc332726037"/>
      <w:bookmarkStart w:id="92" w:name="_Toc479482070"/>
      <w:bookmarkStart w:id="93" w:name="_Toc480293099"/>
      <w:bookmarkStart w:id="94" w:name="_Toc209590467"/>
      <w:r w:rsidRPr="004C55E7">
        <w:rPr>
          <w:rFonts w:eastAsia="Arial"/>
        </w:rPr>
        <w:t>4.7</w:t>
      </w:r>
      <w:r>
        <w:rPr>
          <w:rFonts w:eastAsia="Arial"/>
        </w:rPr>
        <w:tab/>
      </w:r>
      <w:r w:rsidRPr="004C55E7">
        <w:rPr>
          <w:rFonts w:eastAsia="Arial"/>
        </w:rPr>
        <w:t>Audits of lead suppliers and subcontractors</w:t>
      </w:r>
      <w:bookmarkEnd w:id="91"/>
      <w:bookmarkEnd w:id="92"/>
      <w:bookmarkEnd w:id="93"/>
      <w:bookmarkEnd w:id="94"/>
    </w:p>
    <w:p w14:paraId="27B3D0DF" w14:textId="77777777" w:rsidR="00A01006" w:rsidRPr="00767736" w:rsidRDefault="00A01006" w:rsidP="00A01006">
      <w:r>
        <w:t>In a</w:t>
      </w:r>
      <w:r w:rsidRPr="00767736">
        <w:t>n audit of a lead supplier of HCSS</w:t>
      </w:r>
      <w:r>
        <w:t>s,</w:t>
      </w:r>
      <w:r w:rsidRPr="00767736">
        <w:t xml:space="preserve"> </w:t>
      </w:r>
      <w:r>
        <w:t>consider</w:t>
      </w:r>
      <w:r w:rsidRPr="00767736">
        <w:t xml:space="preserve"> how that supplier manages quality and risk management systems, </w:t>
      </w:r>
      <w:r>
        <w:t xml:space="preserve">its </w:t>
      </w:r>
      <w:r w:rsidRPr="00767736">
        <w:t xml:space="preserve">organisational management and </w:t>
      </w:r>
      <w:r>
        <w:t xml:space="preserve">how </w:t>
      </w:r>
      <w:r w:rsidRPr="00767736">
        <w:t>consisten</w:t>
      </w:r>
      <w:r>
        <w:t>tly it delivers</w:t>
      </w:r>
      <w:r w:rsidRPr="00767736">
        <w:t xml:space="preserve"> services across its subcontractors.</w:t>
      </w:r>
      <w:r w:rsidRPr="006138F8">
        <w:rPr>
          <w:rStyle w:val="FootnoteReference"/>
        </w:rPr>
        <w:footnoteReference w:id="6"/>
      </w:r>
    </w:p>
    <w:p w14:paraId="3860D274" w14:textId="77777777" w:rsidR="00A01006" w:rsidRPr="00767736" w:rsidRDefault="00A01006" w:rsidP="00A01006"/>
    <w:p w14:paraId="75768501" w14:textId="77777777" w:rsidR="00A01006" w:rsidRPr="00767736" w:rsidRDefault="00A01006" w:rsidP="00A01006">
      <w:r>
        <w:t>In</w:t>
      </w:r>
      <w:r w:rsidRPr="00767736">
        <w:t xml:space="preserve"> audit</w:t>
      </w:r>
      <w:r>
        <w:t>ing</w:t>
      </w:r>
      <w:r w:rsidRPr="00767736">
        <w:t xml:space="preserve"> a lead supplier against </w:t>
      </w:r>
      <w:proofErr w:type="spellStart"/>
      <w:r w:rsidRPr="00027566">
        <w:t>Ngā</w:t>
      </w:r>
      <w:proofErr w:type="spellEnd"/>
      <w:r>
        <w:t> </w:t>
      </w:r>
      <w:proofErr w:type="spellStart"/>
      <w:r>
        <w:t>Paerewa</w:t>
      </w:r>
      <w:proofErr w:type="spellEnd"/>
      <w:r>
        <w:t>, establish</w:t>
      </w:r>
      <w:r w:rsidRPr="00767736">
        <w:t xml:space="preserve"> whether </w:t>
      </w:r>
      <w:r>
        <w:t xml:space="preserve">that </w:t>
      </w:r>
      <w:r w:rsidRPr="00767736">
        <w:t>supplier:</w:t>
      </w:r>
    </w:p>
    <w:p w14:paraId="5ED96189" w14:textId="77777777" w:rsidR="00A01006" w:rsidRPr="00767736" w:rsidRDefault="00A01006" w:rsidP="00A01006">
      <w:pPr>
        <w:pStyle w:val="Number"/>
        <w:numPr>
          <w:ilvl w:val="0"/>
          <w:numId w:val="42"/>
        </w:numPr>
        <w:ind w:left="426" w:hanging="426"/>
      </w:pPr>
      <w:r w:rsidRPr="00767736">
        <w:t>has a process for subcontractor organisations to implement policies and procedures that are consistent with the lead supplier</w:t>
      </w:r>
      <w:r>
        <w:t>’</w:t>
      </w:r>
      <w:r w:rsidRPr="00767736">
        <w:t>s policies and procedures</w:t>
      </w:r>
    </w:p>
    <w:p w14:paraId="547FAD72" w14:textId="77777777" w:rsidR="00A01006" w:rsidRPr="00767736" w:rsidRDefault="00A01006" w:rsidP="00A01006">
      <w:pPr>
        <w:pStyle w:val="Number"/>
        <w:numPr>
          <w:ilvl w:val="0"/>
          <w:numId w:val="7"/>
        </w:numPr>
        <w:ind w:left="426" w:hanging="426"/>
      </w:pPr>
      <w:r w:rsidRPr="00767736">
        <w:t xml:space="preserve">collects </w:t>
      </w:r>
      <w:r>
        <w:t>high-</w:t>
      </w:r>
      <w:r w:rsidRPr="00767736">
        <w:t>quality monitoring information from its contractors and subcontractors and has a mechanism for regularly communicating issues with its contractors and subcontractors.</w:t>
      </w:r>
    </w:p>
    <w:p w14:paraId="412DBEBD" w14:textId="77777777" w:rsidR="00A01006" w:rsidRPr="00767736" w:rsidRDefault="00A01006" w:rsidP="00A01006"/>
    <w:p w14:paraId="12FB27B6" w14:textId="77777777" w:rsidR="00A01006" w:rsidRDefault="00A01006" w:rsidP="00A01006">
      <w:r w:rsidRPr="00767736">
        <w:t xml:space="preserve">Subcontractor organisations </w:t>
      </w:r>
      <w:r>
        <w:t>must</w:t>
      </w:r>
      <w:r w:rsidRPr="00767736">
        <w:t xml:space="preserve"> be certified against </w:t>
      </w:r>
      <w:proofErr w:type="spellStart"/>
      <w:r w:rsidRPr="00027566">
        <w:t>Ngā</w:t>
      </w:r>
      <w:proofErr w:type="spellEnd"/>
      <w:r>
        <w:t> </w:t>
      </w:r>
      <w:proofErr w:type="spellStart"/>
      <w:r>
        <w:t>Paerewa</w:t>
      </w:r>
      <w:proofErr w:type="spellEnd"/>
      <w:r>
        <w:t xml:space="preserve"> and</w:t>
      </w:r>
      <w:r w:rsidRPr="00767736">
        <w:t xml:space="preserve"> demonstrate how they share information with a lead supplier. If a lead supplier is a supply chain management organisation providing services in the capacity of a lead supplier, it needs to be certified against </w:t>
      </w:r>
      <w:proofErr w:type="spellStart"/>
      <w:r w:rsidRPr="00027566">
        <w:t>Ngā</w:t>
      </w:r>
      <w:proofErr w:type="spellEnd"/>
      <w:r>
        <w:t> </w:t>
      </w:r>
      <w:proofErr w:type="spellStart"/>
      <w:r>
        <w:t>Paerewa</w:t>
      </w:r>
      <w:proofErr w:type="spellEnd"/>
      <w:r>
        <w:t>.</w:t>
      </w:r>
    </w:p>
    <w:p w14:paraId="02FB5A8A" w14:textId="77777777" w:rsidR="006138F8" w:rsidRPr="00767736" w:rsidRDefault="006138F8" w:rsidP="00A01006"/>
    <w:p w14:paraId="7FCD000C" w14:textId="77777777" w:rsidR="006138F8" w:rsidRPr="00767736" w:rsidRDefault="006138F8" w:rsidP="00BA0140"/>
    <w:p w14:paraId="269A3D20" w14:textId="0A37208E" w:rsidR="00350EE0" w:rsidRPr="003D3CAC" w:rsidRDefault="00350EE0" w:rsidP="00A01006">
      <w:pPr>
        <w:pStyle w:val="Heading1"/>
        <w:spacing w:before="0"/>
      </w:pPr>
      <w:bookmarkStart w:id="95" w:name="_Toc332726067"/>
      <w:bookmarkStart w:id="96" w:name="_Toc479482074"/>
      <w:r>
        <w:br w:type="page"/>
      </w:r>
      <w:bookmarkStart w:id="97" w:name="_Toc480293101"/>
      <w:bookmarkStart w:id="98" w:name="_Toc480878291"/>
      <w:bookmarkStart w:id="99" w:name="_Toc209590468"/>
      <w:r w:rsidRPr="003D3CAC">
        <w:lastRenderedPageBreak/>
        <w:t>References</w:t>
      </w:r>
      <w:bookmarkEnd w:id="95"/>
      <w:bookmarkEnd w:id="96"/>
      <w:bookmarkEnd w:id="97"/>
      <w:bookmarkEnd w:id="98"/>
      <w:bookmarkEnd w:id="99"/>
    </w:p>
    <w:p w14:paraId="2DCCA6D9" w14:textId="77777777" w:rsidR="00A01006" w:rsidRPr="00657E40" w:rsidRDefault="00A01006" w:rsidP="00A01006">
      <w:pPr>
        <w:pStyle w:val="References"/>
        <w:ind w:left="0" w:firstLine="0"/>
      </w:pPr>
      <w:r w:rsidRPr="00657E40">
        <w:t xml:space="preserve">IAF. 2007a. </w:t>
      </w:r>
      <w:r w:rsidRPr="00657E40">
        <w:rPr>
          <w:i/>
        </w:rPr>
        <w:t>IAF Mandatory Document for the Certification of Multiple Sites Based on Sampling</w:t>
      </w:r>
      <w:r w:rsidRPr="00657E40">
        <w:t>. Issue 1, Version 2. IAF MD1:2007. Quebec: International Accreditation Forum.</w:t>
      </w:r>
    </w:p>
    <w:p w14:paraId="1F298B55" w14:textId="77777777" w:rsidR="00A01006" w:rsidRDefault="00A01006" w:rsidP="00A01006">
      <w:pPr>
        <w:pStyle w:val="References"/>
        <w:ind w:left="0" w:firstLine="0"/>
      </w:pPr>
      <w:r w:rsidRPr="00657E40">
        <w:t xml:space="preserve">IAF. 2007b. </w:t>
      </w:r>
      <w:r w:rsidRPr="00657E40">
        <w:rPr>
          <w:i/>
        </w:rPr>
        <w:t>IAF Mandatory Document for the Transfer of Accredited Certification of Management Systems</w:t>
      </w:r>
      <w:r w:rsidRPr="00657E40">
        <w:t>. Issue 1. IAF MD2:2007. Quebec: International Accreditation Forum.</w:t>
      </w:r>
    </w:p>
    <w:p w14:paraId="17D2EDB6" w14:textId="77777777" w:rsidR="00A01006" w:rsidRDefault="00A01006" w:rsidP="00A01006">
      <w:pPr>
        <w:pStyle w:val="References"/>
        <w:ind w:left="0" w:firstLine="0"/>
      </w:pPr>
      <w:r w:rsidRPr="00FD0970">
        <w:t>IAF. 2015.</w:t>
      </w:r>
      <w:r w:rsidRPr="003E01E1">
        <w:rPr>
          <w:i/>
        </w:rPr>
        <w:t xml:space="preserve"> IAF Mandatory Document for Duration of QMS and EMS Audits</w:t>
      </w:r>
      <w:r w:rsidRPr="00FD0970">
        <w:t>. Issue 3. IAF MD5:2015. Quebec: International Accreditation Forum.</w:t>
      </w:r>
    </w:p>
    <w:p w14:paraId="11F60A94" w14:textId="77777777" w:rsidR="00A01006" w:rsidRPr="00657E40" w:rsidRDefault="00A01006" w:rsidP="00A01006">
      <w:pPr>
        <w:pStyle w:val="References"/>
        <w:ind w:left="0" w:firstLine="0"/>
      </w:pPr>
      <w:r w:rsidRPr="00657E40">
        <w:t xml:space="preserve">ISO. 2003. </w:t>
      </w:r>
      <w:r w:rsidRPr="00657E40">
        <w:rPr>
          <w:i/>
        </w:rPr>
        <w:t>Guidelines for Auditing</w:t>
      </w:r>
      <w:r>
        <w:rPr>
          <w:i/>
        </w:rPr>
        <w:t xml:space="preserve"> Management Systems</w:t>
      </w:r>
      <w:r w:rsidRPr="00657E40">
        <w:t>. ISO 19011:20</w:t>
      </w:r>
      <w:r>
        <w:t>11</w:t>
      </w:r>
      <w:r w:rsidRPr="00657E40">
        <w:t>. Geneva: International Organization for Standardization.</w:t>
      </w:r>
    </w:p>
    <w:p w14:paraId="270090BB" w14:textId="77777777" w:rsidR="00A01006" w:rsidRDefault="00A01006" w:rsidP="00A01006">
      <w:pPr>
        <w:pStyle w:val="References"/>
        <w:ind w:left="0" w:firstLine="0"/>
      </w:pPr>
      <w:r w:rsidRPr="00657E40">
        <w:t xml:space="preserve">ISO. 2004. </w:t>
      </w:r>
      <w:r w:rsidRPr="00657E40">
        <w:rPr>
          <w:i/>
        </w:rPr>
        <w:t>Conformity Assessment: Vocabulary and general principles</w:t>
      </w:r>
      <w:r w:rsidRPr="00657E40">
        <w:t>. ISO/IEC 17000:2004. Geneva: International Organization for Standardization.</w:t>
      </w:r>
    </w:p>
    <w:p w14:paraId="5BBD1BEA" w14:textId="77777777" w:rsidR="00A01006" w:rsidRPr="00657E40" w:rsidRDefault="00A01006" w:rsidP="00A01006">
      <w:pPr>
        <w:pStyle w:val="References"/>
        <w:ind w:left="0" w:firstLine="0"/>
      </w:pPr>
      <w:r w:rsidRPr="00657E40">
        <w:t xml:space="preserve">ISO. 2011. </w:t>
      </w:r>
      <w:r w:rsidRPr="00657E40">
        <w:rPr>
          <w:i/>
        </w:rPr>
        <w:t>Conformity Assessment: Requirements for bodies providing audit and certification of management systems</w:t>
      </w:r>
      <w:r w:rsidRPr="00657E40">
        <w:t>. ISO/IEC 17021</w:t>
      </w:r>
      <w:r>
        <w:t>-1</w:t>
      </w:r>
      <w:r w:rsidRPr="00657E40">
        <w:t>:</w:t>
      </w:r>
      <w:r>
        <w:t>2015</w:t>
      </w:r>
      <w:r w:rsidRPr="00657E40">
        <w:t>. Geneva: International Organization for Standardization.</w:t>
      </w:r>
    </w:p>
    <w:p w14:paraId="00E4D2E1" w14:textId="77777777" w:rsidR="00A01006" w:rsidRDefault="00A01006" w:rsidP="00A01006">
      <w:pPr>
        <w:pStyle w:val="References"/>
        <w:ind w:left="0" w:firstLine="0"/>
      </w:pPr>
      <w:r w:rsidRPr="003B48DF">
        <w:t xml:space="preserve">Ministry of Health. </w:t>
      </w:r>
      <w:r>
        <w:t xml:space="preserve">2014. </w:t>
      </w:r>
      <w:r w:rsidRPr="003B48DF">
        <w:rPr>
          <w:i/>
        </w:rPr>
        <w:t>Audit Report Writing Guide: A guide for writing audit reports to the Ministry of Health</w:t>
      </w:r>
      <w:r w:rsidRPr="00C41294">
        <w:rPr>
          <w:iCs/>
        </w:rPr>
        <w:t>.</w:t>
      </w:r>
      <w:r>
        <w:t xml:space="preserve"> </w:t>
      </w:r>
      <w:r w:rsidRPr="003B48DF">
        <w:t>Wellington: Ministry of Health.</w:t>
      </w:r>
    </w:p>
    <w:p w14:paraId="657AA04F" w14:textId="77777777" w:rsidR="00A01006" w:rsidRPr="00657E40" w:rsidRDefault="00A01006" w:rsidP="00A01006">
      <w:pPr>
        <w:pStyle w:val="References"/>
        <w:ind w:left="0" w:firstLine="0"/>
      </w:pPr>
      <w:r w:rsidRPr="00657E40">
        <w:t xml:space="preserve">Ministry of Health. </w:t>
      </w:r>
      <w:r>
        <w:t xml:space="preserve">2023. </w:t>
      </w:r>
      <w:r w:rsidRPr="00657E40">
        <w:rPr>
          <w:i/>
        </w:rPr>
        <w:t xml:space="preserve">Designated Auditing Agency Handbook: </w:t>
      </w:r>
      <w:r w:rsidRPr="000B2846">
        <w:rPr>
          <w:i/>
        </w:rPr>
        <w:t>Manatū Hauora (</w:t>
      </w:r>
      <w:r w:rsidRPr="00657E40">
        <w:rPr>
          <w:i/>
        </w:rPr>
        <w:t>Ministry of Health</w:t>
      </w:r>
      <w:r>
        <w:rPr>
          <w:i/>
        </w:rPr>
        <w:t>)</w:t>
      </w:r>
      <w:r w:rsidRPr="00657E40">
        <w:rPr>
          <w:i/>
        </w:rPr>
        <w:t xml:space="preserve"> </w:t>
      </w:r>
      <w:r>
        <w:rPr>
          <w:i/>
        </w:rPr>
        <w:t>A</w:t>
      </w:r>
      <w:r w:rsidRPr="00657E40">
        <w:rPr>
          <w:i/>
        </w:rPr>
        <w:t xml:space="preserve">uditor </w:t>
      </w:r>
      <w:r>
        <w:rPr>
          <w:i/>
        </w:rPr>
        <w:t>H</w:t>
      </w:r>
      <w:r w:rsidRPr="00657E40">
        <w:rPr>
          <w:i/>
        </w:rPr>
        <w:t>andbook</w:t>
      </w:r>
      <w:r>
        <w:t xml:space="preserve">. </w:t>
      </w:r>
      <w:r w:rsidRPr="00657E40">
        <w:t xml:space="preserve">Wellington: Ministry of Health. </w:t>
      </w:r>
    </w:p>
    <w:p w14:paraId="2C64D4BD" w14:textId="77777777" w:rsidR="00A01006" w:rsidRDefault="00A01006" w:rsidP="00A01006">
      <w:pPr>
        <w:pStyle w:val="References"/>
        <w:ind w:left="0" w:firstLine="0"/>
      </w:pPr>
      <w:r w:rsidRPr="00657E40">
        <w:t>S</w:t>
      </w:r>
      <w:r>
        <w:t xml:space="preserve">tandards </w:t>
      </w:r>
      <w:r w:rsidRPr="00657E40">
        <w:t>N</w:t>
      </w:r>
      <w:r>
        <w:t xml:space="preserve">ew </w:t>
      </w:r>
      <w:r w:rsidRPr="00657E40">
        <w:t>Z</w:t>
      </w:r>
      <w:r>
        <w:t>ealand</w:t>
      </w:r>
      <w:r w:rsidRPr="00657E40">
        <w:t xml:space="preserve">. 2012. </w:t>
      </w:r>
      <w:r w:rsidRPr="00657E40">
        <w:rPr>
          <w:i/>
        </w:rPr>
        <w:t>Home and Community Support Sector Standard.</w:t>
      </w:r>
      <w:r w:rsidRPr="00657E40">
        <w:t xml:space="preserve"> NZS 8158:2012. Wellington: Standards New Zealand.</w:t>
      </w:r>
    </w:p>
    <w:p w14:paraId="33421407" w14:textId="77777777" w:rsidR="00A01006" w:rsidRDefault="00A01006" w:rsidP="00A01006">
      <w:pPr>
        <w:pStyle w:val="References"/>
        <w:ind w:left="0" w:firstLine="0"/>
      </w:pPr>
      <w:r>
        <w:t xml:space="preserve">Standards New Zealand. 2021. </w:t>
      </w:r>
      <w:proofErr w:type="spellStart"/>
      <w:r w:rsidRPr="000B0278">
        <w:rPr>
          <w:i/>
          <w:iCs/>
        </w:rPr>
        <w:t>Ngā</w:t>
      </w:r>
      <w:proofErr w:type="spellEnd"/>
      <w:r w:rsidRPr="000B0278">
        <w:rPr>
          <w:i/>
          <w:iCs/>
        </w:rPr>
        <w:t xml:space="preserve"> </w:t>
      </w:r>
      <w:proofErr w:type="spellStart"/>
      <w:r w:rsidRPr="000B0278">
        <w:rPr>
          <w:i/>
          <w:iCs/>
        </w:rPr>
        <w:t>Paerewa</w:t>
      </w:r>
      <w:proofErr w:type="spellEnd"/>
      <w:r w:rsidRPr="000B0278">
        <w:rPr>
          <w:i/>
          <w:iCs/>
        </w:rPr>
        <w:t xml:space="preserve"> Health and Disability Services Standard. </w:t>
      </w:r>
      <w:r w:rsidRPr="00E62F41">
        <w:t>NZS 8134:2021</w:t>
      </w:r>
      <w:r>
        <w:t xml:space="preserve">. </w:t>
      </w:r>
      <w:r w:rsidRPr="00657E40">
        <w:t>Wellington: Standards New Zealand.</w:t>
      </w:r>
    </w:p>
    <w:p w14:paraId="1E3B830C" w14:textId="77777777" w:rsidR="00350EE0" w:rsidRPr="00657E40" w:rsidRDefault="00350EE0" w:rsidP="00BA0140"/>
    <w:p w14:paraId="6C1F290A" w14:textId="77777777" w:rsidR="00350EE0" w:rsidRDefault="00350EE0" w:rsidP="00BA0140">
      <w:pPr>
        <w:pStyle w:val="Heading1"/>
      </w:pPr>
      <w:bookmarkStart w:id="100" w:name="_Toc479482072"/>
      <w:bookmarkStart w:id="101" w:name="_Toc480293102"/>
      <w:bookmarkStart w:id="102" w:name="_Toc480878292"/>
      <w:bookmarkStart w:id="103" w:name="_Toc209590469"/>
      <w:r>
        <w:lastRenderedPageBreak/>
        <w:t>Appendix 1: Process of certification for the home and community support sector</w:t>
      </w:r>
      <w:bookmarkEnd w:id="100"/>
      <w:bookmarkEnd w:id="101"/>
      <w:bookmarkEnd w:id="102"/>
      <w:bookmarkEnd w:id="103"/>
    </w:p>
    <w:p w14:paraId="027661FE" w14:textId="248D5BF6" w:rsidR="00350EE0" w:rsidRPr="00465D99" w:rsidRDefault="00A01006" w:rsidP="00BA0140">
      <w:r>
        <w:rPr>
          <w:noProof/>
          <w:lang w:eastAsia="zh-CN"/>
        </w:rPr>
        <w:drawing>
          <wp:inline distT="0" distB="0" distL="0" distR="0" wp14:anchorId="5E0DB678" wp14:editId="291CFB09">
            <wp:extent cx="5372100" cy="3830320"/>
            <wp:effectExtent l="0" t="0" r="0" b="0"/>
            <wp:docPr id="2041266333" name="Picture 1" descr="A diagram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66333" name="Picture 1" descr="A diagram of a company"/>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372100" cy="3830320"/>
                    </a:xfrm>
                    <a:prstGeom prst="rect">
                      <a:avLst/>
                    </a:prstGeom>
                    <a:noFill/>
                    <a:ln>
                      <a:noFill/>
                    </a:ln>
                  </pic:spPr>
                </pic:pic>
              </a:graphicData>
            </a:graphic>
          </wp:inline>
        </w:drawing>
      </w:r>
    </w:p>
    <w:p w14:paraId="1299FC68" w14:textId="77777777" w:rsidR="0006274C" w:rsidRDefault="0006274C" w:rsidP="00BA0140"/>
    <w:p w14:paraId="43458DC4" w14:textId="77777777" w:rsidR="00A01006" w:rsidRDefault="00A01006" w:rsidP="00A01006">
      <w:pPr>
        <w:pStyle w:val="Note"/>
      </w:pPr>
      <w:bookmarkStart w:id="104" w:name="_Hlk120271594"/>
      <w:bookmarkStart w:id="105" w:name="_Toc332726066"/>
      <w:r>
        <w:t>Key:</w:t>
      </w:r>
    </w:p>
    <w:p w14:paraId="5E5C745D" w14:textId="77777777" w:rsidR="00A01006" w:rsidRDefault="00A01006" w:rsidP="00A01006">
      <w:pPr>
        <w:pStyle w:val="Note"/>
        <w:tabs>
          <w:tab w:val="left" w:pos="1134"/>
        </w:tabs>
      </w:pPr>
      <w:r>
        <w:t>ACC</w:t>
      </w:r>
      <w:r>
        <w:tab/>
        <w:t>Accident Compensation Corporation</w:t>
      </w:r>
    </w:p>
    <w:p w14:paraId="1BE8FDA9" w14:textId="77777777" w:rsidR="00A01006" w:rsidRPr="00106E0B" w:rsidRDefault="00A01006" w:rsidP="00A01006">
      <w:pPr>
        <w:pStyle w:val="Note"/>
        <w:tabs>
          <w:tab w:val="left" w:pos="1134"/>
        </w:tabs>
      </w:pPr>
      <w:r>
        <w:t>DSS</w:t>
      </w:r>
      <w:r>
        <w:tab/>
      </w:r>
      <w:r>
        <w:tab/>
        <w:t>Disability Support Services</w:t>
      </w:r>
    </w:p>
    <w:p w14:paraId="5458091F" w14:textId="77777777" w:rsidR="00A01006" w:rsidRDefault="00A01006" w:rsidP="00A01006">
      <w:pPr>
        <w:pStyle w:val="Note"/>
        <w:tabs>
          <w:tab w:val="left" w:pos="1134"/>
        </w:tabs>
      </w:pPr>
      <w:r>
        <w:t>TWO</w:t>
      </w:r>
      <w:r>
        <w:tab/>
      </w:r>
      <w:proofErr w:type="spellStart"/>
      <w:r>
        <w:t>Te</w:t>
      </w:r>
      <w:proofErr w:type="spellEnd"/>
      <w:r>
        <w:t xml:space="preserve"> Whatu Ora – Health New Zealand</w:t>
      </w:r>
    </w:p>
    <w:p w14:paraId="5062C41A" w14:textId="77777777" w:rsidR="00A01006" w:rsidRDefault="00A01006" w:rsidP="00A01006">
      <w:pPr>
        <w:pStyle w:val="Note"/>
        <w:tabs>
          <w:tab w:val="left" w:pos="1134"/>
        </w:tabs>
      </w:pPr>
      <w:r>
        <w:t>OC</w:t>
      </w:r>
      <w:r>
        <w:tab/>
        <w:t>Oversight Committee</w:t>
      </w:r>
    </w:p>
    <w:bookmarkEnd w:id="104"/>
    <w:p w14:paraId="20F0BD6A" w14:textId="77777777" w:rsidR="00BF2172" w:rsidRPr="00BF2172" w:rsidRDefault="00BF2172" w:rsidP="00BA0140"/>
    <w:p w14:paraId="4FC2C84D" w14:textId="77777777" w:rsidR="00A01006" w:rsidRDefault="00A01006" w:rsidP="00BA0140">
      <w:pPr>
        <w:pStyle w:val="Heading1"/>
      </w:pPr>
      <w:bookmarkStart w:id="106" w:name="_Toc479482073"/>
      <w:bookmarkStart w:id="107" w:name="_Toc480293103"/>
      <w:bookmarkStart w:id="108" w:name="_Toc480878293"/>
      <w:r>
        <w:br w:type="page"/>
      </w:r>
    </w:p>
    <w:p w14:paraId="4E9F4D25" w14:textId="54294ED9" w:rsidR="00350EE0" w:rsidRPr="003D3CAC" w:rsidRDefault="00350EE0" w:rsidP="00BA0140">
      <w:pPr>
        <w:pStyle w:val="Heading1"/>
      </w:pPr>
      <w:bookmarkStart w:id="109" w:name="_Toc209590470"/>
      <w:r w:rsidRPr="003D3CAC">
        <w:lastRenderedPageBreak/>
        <w:t>Appendix</w:t>
      </w:r>
      <w:r>
        <w:t xml:space="preserve"> 2</w:t>
      </w:r>
      <w:r w:rsidRPr="003D3CAC">
        <w:t>: Square root table</w:t>
      </w:r>
      <w:bookmarkEnd w:id="105"/>
      <w:bookmarkEnd w:id="106"/>
      <w:bookmarkEnd w:id="107"/>
      <w:bookmarkEnd w:id="108"/>
      <w:bookmarkEnd w:id="109"/>
    </w:p>
    <w:p w14:paraId="451AA7B9" w14:textId="77777777" w:rsidR="00A01006" w:rsidRDefault="00A01006" w:rsidP="00A01006">
      <w:pPr>
        <w:keepNext/>
      </w:pPr>
      <w:r>
        <w:t>U</w:t>
      </w:r>
      <w:r w:rsidRPr="00CE2175">
        <w:t xml:space="preserve">se this guide to check </w:t>
      </w:r>
      <w:r>
        <w:t>you have followed</w:t>
      </w:r>
      <w:r w:rsidRPr="00CE2175">
        <w:t xml:space="preserve"> the square root rule</w:t>
      </w:r>
      <w:r>
        <w:t xml:space="preserve"> correctly</w:t>
      </w:r>
      <w:r w:rsidRPr="00CE2175">
        <w:t>. Note</w:t>
      </w:r>
      <w:r>
        <w:t xml:space="preserve">: round up </w:t>
      </w:r>
      <w:r w:rsidRPr="00CE2175">
        <w:t>numbers with decimal points to the next whole number.</w:t>
      </w:r>
    </w:p>
    <w:p w14:paraId="67B5C246" w14:textId="77777777" w:rsidR="00A01006" w:rsidRDefault="00A01006" w:rsidP="00A01006">
      <w:pPr>
        <w:keepNext/>
      </w:pPr>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977"/>
        <w:gridCol w:w="2764"/>
        <w:gridCol w:w="2764"/>
      </w:tblGrid>
      <w:tr w:rsidR="00A01006" w:rsidRPr="00BF2172" w14:paraId="3083D333" w14:textId="77777777" w:rsidTr="006F71F0">
        <w:trPr>
          <w:cantSplit/>
        </w:trPr>
        <w:tc>
          <w:tcPr>
            <w:tcW w:w="2977" w:type="dxa"/>
            <w:vMerge w:val="restart"/>
            <w:shd w:val="clear" w:color="auto" w:fill="D9D9D9"/>
          </w:tcPr>
          <w:p w14:paraId="4A8D068F" w14:textId="77777777" w:rsidR="00A01006" w:rsidRPr="00BF2172" w:rsidRDefault="00A01006" w:rsidP="007A5116">
            <w:pPr>
              <w:pStyle w:val="TableText"/>
              <w:keepNext/>
              <w:spacing w:before="74" w:after="74"/>
              <w:jc w:val="center"/>
              <w:rPr>
                <w:b/>
              </w:rPr>
            </w:pPr>
            <w:r w:rsidRPr="00BF2172">
              <w:rPr>
                <w:b/>
              </w:rPr>
              <w:t>Number of home and community support service clients currently receiving support</w:t>
            </w:r>
          </w:p>
        </w:tc>
        <w:tc>
          <w:tcPr>
            <w:tcW w:w="5528" w:type="dxa"/>
            <w:gridSpan w:val="2"/>
            <w:shd w:val="clear" w:color="auto" w:fill="D9D9D9"/>
          </w:tcPr>
          <w:p w14:paraId="1F418B25" w14:textId="77777777" w:rsidR="00A01006" w:rsidRPr="00BF2172" w:rsidRDefault="00A01006" w:rsidP="007A5116">
            <w:pPr>
              <w:pStyle w:val="TableText"/>
              <w:keepNext/>
              <w:spacing w:before="74" w:after="74"/>
              <w:jc w:val="center"/>
              <w:rPr>
                <w:b/>
              </w:rPr>
            </w:pPr>
            <w:r w:rsidRPr="00BF2172">
              <w:rPr>
                <w:b/>
              </w:rPr>
              <w:t>Square root calculation of sample size</w:t>
            </w:r>
          </w:p>
        </w:tc>
      </w:tr>
      <w:tr w:rsidR="00A01006" w:rsidRPr="00CE2175" w14:paraId="6D1BB00F" w14:textId="77777777" w:rsidTr="006F71F0">
        <w:trPr>
          <w:cantSplit/>
        </w:trPr>
        <w:tc>
          <w:tcPr>
            <w:tcW w:w="2977" w:type="dxa"/>
            <w:vMerge/>
            <w:shd w:val="clear" w:color="auto" w:fill="D9D9D9"/>
          </w:tcPr>
          <w:p w14:paraId="4C4A0D50" w14:textId="77777777" w:rsidR="00A01006" w:rsidRPr="00CE2175" w:rsidRDefault="00A01006" w:rsidP="007A5116">
            <w:pPr>
              <w:pStyle w:val="TableText"/>
              <w:spacing w:before="74" w:after="74"/>
            </w:pPr>
          </w:p>
        </w:tc>
        <w:tc>
          <w:tcPr>
            <w:tcW w:w="2764" w:type="dxa"/>
            <w:shd w:val="clear" w:color="auto" w:fill="D9D9D9"/>
          </w:tcPr>
          <w:p w14:paraId="4FEDA255" w14:textId="77777777" w:rsidR="00A01006" w:rsidRDefault="00A01006" w:rsidP="007A5116">
            <w:pPr>
              <w:pStyle w:val="TableText"/>
              <w:spacing w:before="74" w:after="74"/>
              <w:jc w:val="center"/>
              <w:rPr>
                <w:b/>
              </w:rPr>
            </w:pPr>
            <w:r w:rsidRPr="00BF2172">
              <w:rPr>
                <w:b/>
              </w:rPr>
              <w:t>0.6 times the square root</w:t>
            </w:r>
          </w:p>
          <w:p w14:paraId="6A7982C6" w14:textId="77777777" w:rsidR="00A01006" w:rsidRPr="00BF2172" w:rsidRDefault="00A01006" w:rsidP="007A5116">
            <w:pPr>
              <w:pStyle w:val="TableText"/>
              <w:spacing w:before="74" w:after="74"/>
              <w:jc w:val="center"/>
              <w:rPr>
                <w:b/>
              </w:rPr>
            </w:pPr>
            <w:r>
              <w:rPr>
                <w:b/>
              </w:rPr>
              <w:t>Certification</w:t>
            </w:r>
          </w:p>
        </w:tc>
        <w:tc>
          <w:tcPr>
            <w:tcW w:w="2764" w:type="dxa"/>
            <w:shd w:val="clear" w:color="auto" w:fill="D9D9D9"/>
          </w:tcPr>
          <w:p w14:paraId="529AD559" w14:textId="77777777" w:rsidR="00A01006" w:rsidRDefault="00A01006" w:rsidP="007A5116">
            <w:pPr>
              <w:pStyle w:val="TableText"/>
              <w:spacing w:before="74" w:after="74"/>
              <w:jc w:val="center"/>
              <w:rPr>
                <w:b/>
              </w:rPr>
            </w:pPr>
            <w:r w:rsidRPr="00BF2172">
              <w:rPr>
                <w:b/>
              </w:rPr>
              <w:t>0.3 times the square root</w:t>
            </w:r>
          </w:p>
          <w:p w14:paraId="18F794FF" w14:textId="77777777" w:rsidR="00A01006" w:rsidRPr="00BF2172" w:rsidRDefault="00A01006" w:rsidP="007A5116">
            <w:pPr>
              <w:pStyle w:val="TableText"/>
              <w:spacing w:before="74" w:after="74"/>
              <w:jc w:val="center"/>
              <w:rPr>
                <w:b/>
              </w:rPr>
            </w:pPr>
            <w:r>
              <w:rPr>
                <w:b/>
              </w:rPr>
              <w:t>Surveillance</w:t>
            </w:r>
          </w:p>
        </w:tc>
      </w:tr>
      <w:tr w:rsidR="00A01006" w:rsidRPr="00CE2175" w14:paraId="0D70FEF9" w14:textId="77777777" w:rsidTr="006F71F0">
        <w:trPr>
          <w:cantSplit/>
        </w:trPr>
        <w:tc>
          <w:tcPr>
            <w:tcW w:w="2977" w:type="dxa"/>
          </w:tcPr>
          <w:p w14:paraId="5A3E1CD8" w14:textId="77777777" w:rsidR="00A01006" w:rsidRPr="00CE2175" w:rsidRDefault="00A01006" w:rsidP="007A5116">
            <w:pPr>
              <w:pStyle w:val="TableText"/>
              <w:tabs>
                <w:tab w:val="decimal" w:pos="1503"/>
              </w:tabs>
              <w:spacing w:before="74" w:after="74"/>
            </w:pPr>
            <w:r w:rsidRPr="00CE2175">
              <w:t>10</w:t>
            </w:r>
          </w:p>
        </w:tc>
        <w:tc>
          <w:tcPr>
            <w:tcW w:w="2764" w:type="dxa"/>
          </w:tcPr>
          <w:p w14:paraId="1BE56BCE" w14:textId="77777777" w:rsidR="00A01006" w:rsidRPr="00CE2175" w:rsidRDefault="00A01006" w:rsidP="007A5116">
            <w:pPr>
              <w:pStyle w:val="TableText"/>
              <w:spacing w:before="74" w:after="74"/>
              <w:jc w:val="center"/>
            </w:pPr>
            <w:r w:rsidRPr="00CE2175">
              <w:t>3</w:t>
            </w:r>
            <w:r>
              <w:br/>
            </w:r>
            <w:r w:rsidRPr="00CE2175">
              <w:t>(minimum requirement</w:t>
            </w:r>
            <w:r>
              <w:t>;</w:t>
            </w:r>
            <w:r>
              <w:br/>
            </w:r>
            <w:r w:rsidRPr="00CE2175">
              <w:t>square root rule does not apply)</w:t>
            </w:r>
          </w:p>
        </w:tc>
        <w:tc>
          <w:tcPr>
            <w:tcW w:w="2764" w:type="dxa"/>
          </w:tcPr>
          <w:p w14:paraId="4B656F70" w14:textId="77777777" w:rsidR="00A01006" w:rsidRPr="00CE2175" w:rsidRDefault="00A01006" w:rsidP="007A5116">
            <w:pPr>
              <w:pStyle w:val="TableText"/>
              <w:spacing w:before="74" w:after="74"/>
              <w:jc w:val="center"/>
            </w:pPr>
            <w:r w:rsidRPr="00CE2175">
              <w:t>3</w:t>
            </w:r>
            <w:r>
              <w:br/>
            </w:r>
            <w:r w:rsidRPr="00CE2175">
              <w:t>(minimum requirement</w:t>
            </w:r>
            <w:r>
              <w:t>;</w:t>
            </w:r>
            <w:r>
              <w:br/>
            </w:r>
            <w:r w:rsidRPr="00CE2175">
              <w:t>square root rule does not apply)</w:t>
            </w:r>
          </w:p>
        </w:tc>
      </w:tr>
      <w:tr w:rsidR="00A01006" w:rsidRPr="00CE2175" w14:paraId="6BE01367" w14:textId="77777777" w:rsidTr="006F71F0">
        <w:trPr>
          <w:cantSplit/>
        </w:trPr>
        <w:tc>
          <w:tcPr>
            <w:tcW w:w="2977" w:type="dxa"/>
          </w:tcPr>
          <w:p w14:paraId="42F23D6B" w14:textId="77777777" w:rsidR="00A01006" w:rsidRPr="00CE2175" w:rsidRDefault="00A01006" w:rsidP="007A5116">
            <w:pPr>
              <w:pStyle w:val="TableText"/>
              <w:tabs>
                <w:tab w:val="decimal" w:pos="1503"/>
              </w:tabs>
              <w:spacing w:before="74" w:after="74"/>
            </w:pPr>
            <w:r w:rsidRPr="00CE2175">
              <w:t>20</w:t>
            </w:r>
          </w:p>
        </w:tc>
        <w:tc>
          <w:tcPr>
            <w:tcW w:w="2764" w:type="dxa"/>
          </w:tcPr>
          <w:p w14:paraId="622B1D17" w14:textId="77777777" w:rsidR="00A01006" w:rsidRPr="00CE2175" w:rsidRDefault="00A01006" w:rsidP="007A5116">
            <w:pPr>
              <w:pStyle w:val="TableText"/>
              <w:spacing w:before="74" w:after="74"/>
              <w:jc w:val="center"/>
            </w:pPr>
            <w:r w:rsidRPr="00CE2175">
              <w:t>3</w:t>
            </w:r>
          </w:p>
        </w:tc>
        <w:tc>
          <w:tcPr>
            <w:tcW w:w="2764" w:type="dxa"/>
          </w:tcPr>
          <w:p w14:paraId="2B07F8C9" w14:textId="77777777" w:rsidR="00A01006" w:rsidRPr="00CE2175" w:rsidRDefault="00A01006" w:rsidP="007A5116">
            <w:pPr>
              <w:pStyle w:val="TableText"/>
              <w:spacing w:before="74" w:after="74"/>
              <w:jc w:val="center"/>
            </w:pPr>
            <w:r w:rsidRPr="00CE2175">
              <w:t>3</w:t>
            </w:r>
            <w:r>
              <w:br/>
            </w:r>
            <w:r w:rsidRPr="00CE2175">
              <w:t>(minimum requirement</w:t>
            </w:r>
            <w:r>
              <w:t>;</w:t>
            </w:r>
            <w:r>
              <w:br/>
            </w:r>
            <w:r w:rsidRPr="00CE2175">
              <w:t>square root rule does not apply)</w:t>
            </w:r>
          </w:p>
        </w:tc>
      </w:tr>
      <w:tr w:rsidR="00A01006" w:rsidRPr="00CE2175" w14:paraId="63E73100" w14:textId="77777777" w:rsidTr="006F71F0">
        <w:trPr>
          <w:cantSplit/>
        </w:trPr>
        <w:tc>
          <w:tcPr>
            <w:tcW w:w="2977" w:type="dxa"/>
          </w:tcPr>
          <w:p w14:paraId="0E555533" w14:textId="77777777" w:rsidR="00A01006" w:rsidRPr="00CE2175" w:rsidRDefault="00A01006" w:rsidP="007A5116">
            <w:pPr>
              <w:pStyle w:val="TableText"/>
              <w:tabs>
                <w:tab w:val="decimal" w:pos="1503"/>
              </w:tabs>
              <w:spacing w:before="74" w:after="74"/>
            </w:pPr>
            <w:r w:rsidRPr="00CE2175">
              <w:t>30</w:t>
            </w:r>
          </w:p>
        </w:tc>
        <w:tc>
          <w:tcPr>
            <w:tcW w:w="2764" w:type="dxa"/>
          </w:tcPr>
          <w:p w14:paraId="7AB245E3" w14:textId="77777777" w:rsidR="00A01006" w:rsidRPr="00CE2175" w:rsidRDefault="00A01006" w:rsidP="007A5116">
            <w:pPr>
              <w:pStyle w:val="TableText"/>
              <w:spacing w:before="74" w:after="74"/>
              <w:jc w:val="center"/>
            </w:pPr>
            <w:r w:rsidRPr="00CE2175">
              <w:t>4</w:t>
            </w:r>
          </w:p>
        </w:tc>
        <w:tc>
          <w:tcPr>
            <w:tcW w:w="2764" w:type="dxa"/>
          </w:tcPr>
          <w:p w14:paraId="243016CB" w14:textId="77777777" w:rsidR="00A01006" w:rsidRPr="00CE2175" w:rsidRDefault="00A01006" w:rsidP="007A5116">
            <w:pPr>
              <w:pStyle w:val="TableText"/>
              <w:spacing w:before="74" w:after="74"/>
              <w:jc w:val="center"/>
            </w:pPr>
            <w:r w:rsidRPr="00CE2175">
              <w:t>3</w:t>
            </w:r>
            <w:r>
              <w:br/>
            </w:r>
            <w:r w:rsidRPr="00CE2175">
              <w:t>(minimum requirement</w:t>
            </w:r>
            <w:r>
              <w:t>;</w:t>
            </w:r>
            <w:r>
              <w:br/>
            </w:r>
            <w:r w:rsidRPr="00CE2175">
              <w:t>square root rule does not apply)</w:t>
            </w:r>
          </w:p>
        </w:tc>
      </w:tr>
      <w:tr w:rsidR="00A01006" w:rsidRPr="00CE2175" w14:paraId="1E4332A6" w14:textId="77777777" w:rsidTr="006F71F0">
        <w:trPr>
          <w:cantSplit/>
        </w:trPr>
        <w:tc>
          <w:tcPr>
            <w:tcW w:w="2977" w:type="dxa"/>
          </w:tcPr>
          <w:p w14:paraId="374FC33D" w14:textId="77777777" w:rsidR="00A01006" w:rsidRPr="00CE2175" w:rsidRDefault="00A01006" w:rsidP="007A5116">
            <w:pPr>
              <w:pStyle w:val="TableText"/>
              <w:tabs>
                <w:tab w:val="decimal" w:pos="1503"/>
              </w:tabs>
              <w:spacing w:before="74" w:after="74"/>
            </w:pPr>
            <w:r w:rsidRPr="00CE2175">
              <w:t>40</w:t>
            </w:r>
          </w:p>
        </w:tc>
        <w:tc>
          <w:tcPr>
            <w:tcW w:w="2764" w:type="dxa"/>
          </w:tcPr>
          <w:p w14:paraId="0A01C6C4" w14:textId="77777777" w:rsidR="00A01006" w:rsidRPr="00CE2175" w:rsidRDefault="00A01006" w:rsidP="007A5116">
            <w:pPr>
              <w:pStyle w:val="TableText"/>
              <w:spacing w:before="74" w:after="74"/>
              <w:jc w:val="center"/>
            </w:pPr>
            <w:r w:rsidRPr="00CE2175">
              <w:t>4</w:t>
            </w:r>
          </w:p>
        </w:tc>
        <w:tc>
          <w:tcPr>
            <w:tcW w:w="2764" w:type="dxa"/>
          </w:tcPr>
          <w:p w14:paraId="01330B3F" w14:textId="77777777" w:rsidR="00A01006" w:rsidRPr="00CE2175" w:rsidRDefault="00A01006" w:rsidP="007A5116">
            <w:pPr>
              <w:pStyle w:val="TableText"/>
              <w:spacing w:before="74" w:after="74"/>
              <w:jc w:val="center"/>
            </w:pPr>
            <w:r w:rsidRPr="00CE2175">
              <w:t>3</w:t>
            </w:r>
            <w:r>
              <w:br/>
            </w:r>
            <w:r w:rsidRPr="00CE2175">
              <w:t>(minimum requirement</w:t>
            </w:r>
            <w:r>
              <w:t>;</w:t>
            </w:r>
            <w:r>
              <w:br/>
            </w:r>
            <w:r w:rsidRPr="00CE2175">
              <w:t>square root rule does not apply)</w:t>
            </w:r>
          </w:p>
        </w:tc>
      </w:tr>
      <w:tr w:rsidR="00A01006" w:rsidRPr="00CE2175" w14:paraId="11E2B615" w14:textId="77777777" w:rsidTr="006F71F0">
        <w:trPr>
          <w:cantSplit/>
        </w:trPr>
        <w:tc>
          <w:tcPr>
            <w:tcW w:w="2977" w:type="dxa"/>
          </w:tcPr>
          <w:p w14:paraId="12FADE14" w14:textId="77777777" w:rsidR="00A01006" w:rsidRPr="00CE2175" w:rsidRDefault="00A01006" w:rsidP="007A5116">
            <w:pPr>
              <w:pStyle w:val="TableText"/>
              <w:tabs>
                <w:tab w:val="decimal" w:pos="1503"/>
              </w:tabs>
              <w:spacing w:before="74" w:after="74"/>
            </w:pPr>
            <w:r w:rsidRPr="00CE2175">
              <w:t>50</w:t>
            </w:r>
          </w:p>
        </w:tc>
        <w:tc>
          <w:tcPr>
            <w:tcW w:w="2764" w:type="dxa"/>
          </w:tcPr>
          <w:p w14:paraId="3D266717" w14:textId="77777777" w:rsidR="00A01006" w:rsidRPr="00CE2175" w:rsidRDefault="00A01006" w:rsidP="007A5116">
            <w:pPr>
              <w:pStyle w:val="TableText"/>
              <w:spacing w:before="74" w:after="74"/>
              <w:jc w:val="center"/>
            </w:pPr>
            <w:r w:rsidRPr="00CE2175">
              <w:t>5</w:t>
            </w:r>
          </w:p>
        </w:tc>
        <w:tc>
          <w:tcPr>
            <w:tcW w:w="2764" w:type="dxa"/>
          </w:tcPr>
          <w:p w14:paraId="054DB9EF" w14:textId="77777777" w:rsidR="00A01006" w:rsidRPr="00CE2175" w:rsidRDefault="00A01006" w:rsidP="007A5116">
            <w:pPr>
              <w:pStyle w:val="TableText"/>
              <w:spacing w:before="74" w:after="74"/>
              <w:jc w:val="center"/>
            </w:pPr>
            <w:r w:rsidRPr="00CE2175">
              <w:t>3</w:t>
            </w:r>
          </w:p>
        </w:tc>
      </w:tr>
      <w:tr w:rsidR="00A01006" w:rsidRPr="00CE2175" w14:paraId="5E1764C5" w14:textId="77777777" w:rsidTr="006F71F0">
        <w:trPr>
          <w:cantSplit/>
        </w:trPr>
        <w:tc>
          <w:tcPr>
            <w:tcW w:w="2977" w:type="dxa"/>
          </w:tcPr>
          <w:p w14:paraId="416FF635" w14:textId="77777777" w:rsidR="00A01006" w:rsidRPr="00CE2175" w:rsidRDefault="00A01006" w:rsidP="007A5116">
            <w:pPr>
              <w:pStyle w:val="TableText"/>
              <w:tabs>
                <w:tab w:val="decimal" w:pos="1503"/>
              </w:tabs>
              <w:spacing w:before="74" w:after="74"/>
            </w:pPr>
            <w:r w:rsidRPr="00CE2175">
              <w:t>100</w:t>
            </w:r>
          </w:p>
        </w:tc>
        <w:tc>
          <w:tcPr>
            <w:tcW w:w="2764" w:type="dxa"/>
          </w:tcPr>
          <w:p w14:paraId="7F451A07" w14:textId="77777777" w:rsidR="00A01006" w:rsidRPr="00CE2175" w:rsidRDefault="00A01006" w:rsidP="007A5116">
            <w:pPr>
              <w:pStyle w:val="TableText"/>
              <w:spacing w:before="74" w:after="74"/>
              <w:jc w:val="center"/>
            </w:pPr>
            <w:r w:rsidRPr="00CE2175">
              <w:t>6</w:t>
            </w:r>
          </w:p>
        </w:tc>
        <w:tc>
          <w:tcPr>
            <w:tcW w:w="2764" w:type="dxa"/>
          </w:tcPr>
          <w:p w14:paraId="19048963" w14:textId="77777777" w:rsidR="00A01006" w:rsidRPr="00CE2175" w:rsidRDefault="00A01006" w:rsidP="007A5116">
            <w:pPr>
              <w:pStyle w:val="TableText"/>
              <w:spacing w:before="74" w:after="74"/>
              <w:jc w:val="center"/>
            </w:pPr>
            <w:r w:rsidRPr="00CE2175">
              <w:t>3</w:t>
            </w:r>
          </w:p>
        </w:tc>
      </w:tr>
      <w:tr w:rsidR="00A01006" w:rsidRPr="00CE2175" w14:paraId="27C583EA" w14:textId="77777777" w:rsidTr="006F71F0">
        <w:trPr>
          <w:cantSplit/>
        </w:trPr>
        <w:tc>
          <w:tcPr>
            <w:tcW w:w="2977" w:type="dxa"/>
          </w:tcPr>
          <w:p w14:paraId="4281B02F" w14:textId="77777777" w:rsidR="00A01006" w:rsidRPr="00CE2175" w:rsidRDefault="00A01006" w:rsidP="007A5116">
            <w:pPr>
              <w:pStyle w:val="TableText"/>
              <w:tabs>
                <w:tab w:val="decimal" w:pos="1503"/>
              </w:tabs>
              <w:spacing w:before="74" w:after="74"/>
            </w:pPr>
            <w:r w:rsidRPr="00CE2175">
              <w:t>150</w:t>
            </w:r>
          </w:p>
        </w:tc>
        <w:tc>
          <w:tcPr>
            <w:tcW w:w="2764" w:type="dxa"/>
          </w:tcPr>
          <w:p w14:paraId="0450D405" w14:textId="77777777" w:rsidR="00A01006" w:rsidRPr="00CE2175" w:rsidRDefault="00A01006" w:rsidP="007A5116">
            <w:pPr>
              <w:pStyle w:val="TableText"/>
              <w:spacing w:before="74" w:after="74"/>
              <w:jc w:val="center"/>
            </w:pPr>
            <w:r w:rsidRPr="00CE2175">
              <w:t>8</w:t>
            </w:r>
          </w:p>
        </w:tc>
        <w:tc>
          <w:tcPr>
            <w:tcW w:w="2764" w:type="dxa"/>
          </w:tcPr>
          <w:p w14:paraId="2BE2683C" w14:textId="77777777" w:rsidR="00A01006" w:rsidRPr="00CE2175" w:rsidRDefault="00A01006" w:rsidP="007A5116">
            <w:pPr>
              <w:pStyle w:val="TableText"/>
              <w:spacing w:before="74" w:after="74"/>
              <w:jc w:val="center"/>
            </w:pPr>
            <w:r w:rsidRPr="00CE2175">
              <w:t>4</w:t>
            </w:r>
          </w:p>
        </w:tc>
      </w:tr>
      <w:tr w:rsidR="00A01006" w:rsidRPr="00CE2175" w14:paraId="154EF13F" w14:textId="77777777" w:rsidTr="006F71F0">
        <w:trPr>
          <w:cantSplit/>
        </w:trPr>
        <w:tc>
          <w:tcPr>
            <w:tcW w:w="2977" w:type="dxa"/>
          </w:tcPr>
          <w:p w14:paraId="5F6271BC" w14:textId="77777777" w:rsidR="00A01006" w:rsidRPr="00CE2175" w:rsidRDefault="00A01006" w:rsidP="007A5116">
            <w:pPr>
              <w:pStyle w:val="TableText"/>
              <w:tabs>
                <w:tab w:val="decimal" w:pos="1503"/>
              </w:tabs>
              <w:spacing w:before="74" w:after="74"/>
            </w:pPr>
            <w:r w:rsidRPr="00CE2175">
              <w:t>200</w:t>
            </w:r>
          </w:p>
        </w:tc>
        <w:tc>
          <w:tcPr>
            <w:tcW w:w="2764" w:type="dxa"/>
          </w:tcPr>
          <w:p w14:paraId="5EB22F4F" w14:textId="77777777" w:rsidR="00A01006" w:rsidRPr="00CE2175" w:rsidRDefault="00A01006" w:rsidP="007A5116">
            <w:pPr>
              <w:pStyle w:val="TableText"/>
              <w:spacing w:before="74" w:after="74"/>
              <w:jc w:val="center"/>
            </w:pPr>
            <w:r w:rsidRPr="00CE2175">
              <w:t>9</w:t>
            </w:r>
          </w:p>
        </w:tc>
        <w:tc>
          <w:tcPr>
            <w:tcW w:w="2764" w:type="dxa"/>
          </w:tcPr>
          <w:p w14:paraId="74CDC6C2" w14:textId="77777777" w:rsidR="00A01006" w:rsidRPr="00CE2175" w:rsidRDefault="00A01006" w:rsidP="007A5116">
            <w:pPr>
              <w:pStyle w:val="TableText"/>
              <w:spacing w:before="74" w:after="74"/>
              <w:jc w:val="center"/>
            </w:pPr>
            <w:r w:rsidRPr="00CE2175">
              <w:t>5</w:t>
            </w:r>
          </w:p>
        </w:tc>
      </w:tr>
      <w:tr w:rsidR="00A01006" w:rsidRPr="00CE2175" w14:paraId="39B8E0F1" w14:textId="77777777" w:rsidTr="006F71F0">
        <w:trPr>
          <w:cantSplit/>
        </w:trPr>
        <w:tc>
          <w:tcPr>
            <w:tcW w:w="2977" w:type="dxa"/>
          </w:tcPr>
          <w:p w14:paraId="1089BF9A" w14:textId="77777777" w:rsidR="00A01006" w:rsidRPr="00CE2175" w:rsidRDefault="00A01006" w:rsidP="007A5116">
            <w:pPr>
              <w:pStyle w:val="TableText"/>
              <w:tabs>
                <w:tab w:val="decimal" w:pos="1503"/>
              </w:tabs>
              <w:spacing w:before="74" w:after="74"/>
            </w:pPr>
            <w:r w:rsidRPr="00CE2175">
              <w:t>250</w:t>
            </w:r>
          </w:p>
        </w:tc>
        <w:tc>
          <w:tcPr>
            <w:tcW w:w="2764" w:type="dxa"/>
          </w:tcPr>
          <w:p w14:paraId="0F8835E3" w14:textId="77777777" w:rsidR="00A01006" w:rsidRPr="00CE2175" w:rsidRDefault="00A01006" w:rsidP="007A5116">
            <w:pPr>
              <w:pStyle w:val="TableText"/>
              <w:spacing w:before="74" w:after="74"/>
              <w:jc w:val="center"/>
            </w:pPr>
            <w:r w:rsidRPr="00CE2175">
              <w:t>10</w:t>
            </w:r>
          </w:p>
        </w:tc>
        <w:tc>
          <w:tcPr>
            <w:tcW w:w="2764" w:type="dxa"/>
          </w:tcPr>
          <w:p w14:paraId="77880F1E" w14:textId="77777777" w:rsidR="00A01006" w:rsidRPr="00CE2175" w:rsidRDefault="00A01006" w:rsidP="007A5116">
            <w:pPr>
              <w:pStyle w:val="TableText"/>
              <w:spacing w:before="74" w:after="74"/>
              <w:jc w:val="center"/>
            </w:pPr>
            <w:r w:rsidRPr="00CE2175">
              <w:t>5</w:t>
            </w:r>
          </w:p>
        </w:tc>
      </w:tr>
      <w:tr w:rsidR="00A01006" w:rsidRPr="00CE2175" w14:paraId="02B264D5" w14:textId="77777777" w:rsidTr="006F71F0">
        <w:trPr>
          <w:cantSplit/>
        </w:trPr>
        <w:tc>
          <w:tcPr>
            <w:tcW w:w="2977" w:type="dxa"/>
          </w:tcPr>
          <w:p w14:paraId="049A5EE3" w14:textId="77777777" w:rsidR="00A01006" w:rsidRPr="00CE2175" w:rsidRDefault="00A01006" w:rsidP="007A5116">
            <w:pPr>
              <w:pStyle w:val="TableText"/>
              <w:tabs>
                <w:tab w:val="decimal" w:pos="1503"/>
              </w:tabs>
              <w:spacing w:before="74" w:after="74"/>
            </w:pPr>
            <w:r w:rsidRPr="00CE2175">
              <w:t>300</w:t>
            </w:r>
          </w:p>
        </w:tc>
        <w:tc>
          <w:tcPr>
            <w:tcW w:w="2764" w:type="dxa"/>
          </w:tcPr>
          <w:p w14:paraId="3136DC12" w14:textId="77777777" w:rsidR="00A01006" w:rsidRPr="00CE2175" w:rsidRDefault="00A01006" w:rsidP="007A5116">
            <w:pPr>
              <w:pStyle w:val="TableText"/>
              <w:spacing w:before="74" w:after="74"/>
              <w:jc w:val="center"/>
            </w:pPr>
            <w:r w:rsidRPr="00CE2175">
              <w:t>11</w:t>
            </w:r>
          </w:p>
        </w:tc>
        <w:tc>
          <w:tcPr>
            <w:tcW w:w="2764" w:type="dxa"/>
          </w:tcPr>
          <w:p w14:paraId="20A55B75" w14:textId="77777777" w:rsidR="00A01006" w:rsidRPr="00CE2175" w:rsidRDefault="00A01006" w:rsidP="007A5116">
            <w:pPr>
              <w:pStyle w:val="TableText"/>
              <w:spacing w:before="74" w:after="74"/>
              <w:jc w:val="center"/>
            </w:pPr>
            <w:r w:rsidRPr="00CE2175">
              <w:t>6</w:t>
            </w:r>
          </w:p>
        </w:tc>
      </w:tr>
      <w:tr w:rsidR="00A01006" w:rsidRPr="00CE2175" w14:paraId="67233937" w14:textId="77777777" w:rsidTr="006F71F0">
        <w:trPr>
          <w:cantSplit/>
        </w:trPr>
        <w:tc>
          <w:tcPr>
            <w:tcW w:w="2977" w:type="dxa"/>
          </w:tcPr>
          <w:p w14:paraId="10D3043E" w14:textId="77777777" w:rsidR="00A01006" w:rsidRPr="00CE2175" w:rsidRDefault="00A01006" w:rsidP="007A5116">
            <w:pPr>
              <w:pStyle w:val="TableText"/>
              <w:tabs>
                <w:tab w:val="decimal" w:pos="1503"/>
              </w:tabs>
              <w:spacing w:before="74" w:after="74"/>
            </w:pPr>
            <w:r w:rsidRPr="00CE2175">
              <w:t>350</w:t>
            </w:r>
          </w:p>
        </w:tc>
        <w:tc>
          <w:tcPr>
            <w:tcW w:w="2764" w:type="dxa"/>
          </w:tcPr>
          <w:p w14:paraId="0A566F3C" w14:textId="77777777" w:rsidR="00A01006" w:rsidRPr="00CE2175" w:rsidRDefault="00A01006" w:rsidP="007A5116">
            <w:pPr>
              <w:pStyle w:val="TableText"/>
              <w:spacing w:before="74" w:after="74"/>
              <w:jc w:val="center"/>
            </w:pPr>
            <w:r w:rsidRPr="00CE2175">
              <w:t>12</w:t>
            </w:r>
          </w:p>
        </w:tc>
        <w:tc>
          <w:tcPr>
            <w:tcW w:w="2764" w:type="dxa"/>
          </w:tcPr>
          <w:p w14:paraId="30F5F776" w14:textId="77777777" w:rsidR="00A01006" w:rsidRPr="00CE2175" w:rsidRDefault="00A01006" w:rsidP="007A5116">
            <w:pPr>
              <w:pStyle w:val="TableText"/>
              <w:spacing w:before="74" w:after="74"/>
              <w:jc w:val="center"/>
            </w:pPr>
            <w:r w:rsidRPr="00CE2175">
              <w:t>6</w:t>
            </w:r>
          </w:p>
        </w:tc>
      </w:tr>
      <w:tr w:rsidR="00A01006" w:rsidRPr="00CE2175" w14:paraId="2D86A0CF" w14:textId="77777777" w:rsidTr="006F71F0">
        <w:trPr>
          <w:cantSplit/>
        </w:trPr>
        <w:tc>
          <w:tcPr>
            <w:tcW w:w="2977" w:type="dxa"/>
          </w:tcPr>
          <w:p w14:paraId="4D56DA88" w14:textId="77777777" w:rsidR="00A01006" w:rsidRPr="00CE2175" w:rsidRDefault="00A01006" w:rsidP="007A5116">
            <w:pPr>
              <w:pStyle w:val="TableText"/>
              <w:tabs>
                <w:tab w:val="decimal" w:pos="1503"/>
              </w:tabs>
              <w:spacing w:before="74" w:after="74"/>
            </w:pPr>
            <w:r w:rsidRPr="00CE2175">
              <w:t>400</w:t>
            </w:r>
          </w:p>
        </w:tc>
        <w:tc>
          <w:tcPr>
            <w:tcW w:w="2764" w:type="dxa"/>
          </w:tcPr>
          <w:p w14:paraId="180A6E4C" w14:textId="77777777" w:rsidR="00A01006" w:rsidRPr="00CE2175" w:rsidRDefault="00A01006" w:rsidP="007A5116">
            <w:pPr>
              <w:pStyle w:val="TableText"/>
              <w:spacing w:before="74" w:after="74"/>
              <w:jc w:val="center"/>
            </w:pPr>
            <w:r w:rsidRPr="00CE2175">
              <w:t>12</w:t>
            </w:r>
          </w:p>
        </w:tc>
        <w:tc>
          <w:tcPr>
            <w:tcW w:w="2764" w:type="dxa"/>
          </w:tcPr>
          <w:p w14:paraId="633619BF" w14:textId="77777777" w:rsidR="00A01006" w:rsidRPr="00CE2175" w:rsidRDefault="00A01006" w:rsidP="007A5116">
            <w:pPr>
              <w:pStyle w:val="TableText"/>
              <w:spacing w:before="74" w:after="74"/>
              <w:jc w:val="center"/>
            </w:pPr>
            <w:r w:rsidRPr="00CE2175">
              <w:t>6</w:t>
            </w:r>
          </w:p>
        </w:tc>
      </w:tr>
      <w:tr w:rsidR="00A01006" w:rsidRPr="00CE2175" w14:paraId="2E786590" w14:textId="77777777" w:rsidTr="006F71F0">
        <w:trPr>
          <w:cantSplit/>
        </w:trPr>
        <w:tc>
          <w:tcPr>
            <w:tcW w:w="2977" w:type="dxa"/>
          </w:tcPr>
          <w:p w14:paraId="20D3F8AC" w14:textId="77777777" w:rsidR="00A01006" w:rsidRPr="00CE2175" w:rsidRDefault="00A01006" w:rsidP="007A5116">
            <w:pPr>
              <w:pStyle w:val="TableText"/>
              <w:tabs>
                <w:tab w:val="decimal" w:pos="1503"/>
              </w:tabs>
              <w:spacing w:before="74" w:after="74"/>
            </w:pPr>
            <w:r w:rsidRPr="00CE2175">
              <w:t>450</w:t>
            </w:r>
          </w:p>
        </w:tc>
        <w:tc>
          <w:tcPr>
            <w:tcW w:w="2764" w:type="dxa"/>
          </w:tcPr>
          <w:p w14:paraId="7EF79F4B" w14:textId="77777777" w:rsidR="00A01006" w:rsidRPr="00CE2175" w:rsidRDefault="00A01006" w:rsidP="007A5116">
            <w:pPr>
              <w:pStyle w:val="TableText"/>
              <w:spacing w:before="74" w:after="74"/>
              <w:jc w:val="center"/>
            </w:pPr>
            <w:r w:rsidRPr="00CE2175">
              <w:t>13</w:t>
            </w:r>
          </w:p>
        </w:tc>
        <w:tc>
          <w:tcPr>
            <w:tcW w:w="2764" w:type="dxa"/>
          </w:tcPr>
          <w:p w14:paraId="7CA70504" w14:textId="77777777" w:rsidR="00A01006" w:rsidRPr="00CE2175" w:rsidRDefault="00A01006" w:rsidP="007A5116">
            <w:pPr>
              <w:pStyle w:val="TableText"/>
              <w:spacing w:before="74" w:after="74"/>
              <w:jc w:val="center"/>
            </w:pPr>
            <w:r w:rsidRPr="00CE2175">
              <w:t>7</w:t>
            </w:r>
          </w:p>
        </w:tc>
      </w:tr>
      <w:tr w:rsidR="00A01006" w:rsidRPr="00CE2175" w14:paraId="2D2014F7" w14:textId="77777777" w:rsidTr="006F71F0">
        <w:trPr>
          <w:cantSplit/>
        </w:trPr>
        <w:tc>
          <w:tcPr>
            <w:tcW w:w="2977" w:type="dxa"/>
          </w:tcPr>
          <w:p w14:paraId="5BDD0992" w14:textId="77777777" w:rsidR="00A01006" w:rsidRPr="00CE2175" w:rsidRDefault="00A01006" w:rsidP="007A5116">
            <w:pPr>
              <w:pStyle w:val="TableText"/>
              <w:tabs>
                <w:tab w:val="decimal" w:pos="1503"/>
              </w:tabs>
              <w:spacing w:before="74" w:after="74"/>
            </w:pPr>
            <w:r w:rsidRPr="00CE2175">
              <w:t>500</w:t>
            </w:r>
          </w:p>
        </w:tc>
        <w:tc>
          <w:tcPr>
            <w:tcW w:w="2764" w:type="dxa"/>
          </w:tcPr>
          <w:p w14:paraId="49C51216" w14:textId="77777777" w:rsidR="00A01006" w:rsidRPr="00CE2175" w:rsidRDefault="00A01006" w:rsidP="007A5116">
            <w:pPr>
              <w:pStyle w:val="TableText"/>
              <w:spacing w:before="74" w:after="74"/>
              <w:jc w:val="center"/>
            </w:pPr>
            <w:r w:rsidRPr="00CE2175">
              <w:t>14</w:t>
            </w:r>
          </w:p>
        </w:tc>
        <w:tc>
          <w:tcPr>
            <w:tcW w:w="2764" w:type="dxa"/>
          </w:tcPr>
          <w:p w14:paraId="2853ACFC" w14:textId="77777777" w:rsidR="00A01006" w:rsidRPr="00CE2175" w:rsidRDefault="00A01006" w:rsidP="007A5116">
            <w:pPr>
              <w:pStyle w:val="TableText"/>
              <w:spacing w:before="74" w:after="74"/>
              <w:jc w:val="center"/>
            </w:pPr>
            <w:r w:rsidRPr="00CE2175">
              <w:t>7</w:t>
            </w:r>
          </w:p>
        </w:tc>
      </w:tr>
      <w:tr w:rsidR="00A01006" w:rsidRPr="00CE2175" w14:paraId="008E3AD5" w14:textId="77777777" w:rsidTr="006F71F0">
        <w:trPr>
          <w:cantSplit/>
        </w:trPr>
        <w:tc>
          <w:tcPr>
            <w:tcW w:w="2977" w:type="dxa"/>
          </w:tcPr>
          <w:p w14:paraId="42D12444" w14:textId="77777777" w:rsidR="00A01006" w:rsidRPr="00CE2175" w:rsidRDefault="00A01006" w:rsidP="007A5116">
            <w:pPr>
              <w:pStyle w:val="TableText"/>
              <w:tabs>
                <w:tab w:val="decimal" w:pos="1503"/>
              </w:tabs>
              <w:spacing w:before="74" w:after="74"/>
            </w:pPr>
            <w:r w:rsidRPr="00CE2175">
              <w:t>750</w:t>
            </w:r>
          </w:p>
        </w:tc>
        <w:tc>
          <w:tcPr>
            <w:tcW w:w="2764" w:type="dxa"/>
          </w:tcPr>
          <w:p w14:paraId="6C692B0E" w14:textId="77777777" w:rsidR="00A01006" w:rsidRPr="00CE2175" w:rsidRDefault="00A01006" w:rsidP="007A5116">
            <w:pPr>
              <w:pStyle w:val="TableText"/>
              <w:spacing w:before="74" w:after="74"/>
              <w:jc w:val="center"/>
            </w:pPr>
            <w:r w:rsidRPr="00CE2175">
              <w:t>17</w:t>
            </w:r>
          </w:p>
        </w:tc>
        <w:tc>
          <w:tcPr>
            <w:tcW w:w="2764" w:type="dxa"/>
          </w:tcPr>
          <w:p w14:paraId="19A59693" w14:textId="77777777" w:rsidR="00A01006" w:rsidRPr="00CE2175" w:rsidRDefault="00A01006" w:rsidP="007A5116">
            <w:pPr>
              <w:pStyle w:val="TableText"/>
              <w:spacing w:before="74" w:after="74"/>
              <w:jc w:val="center"/>
            </w:pPr>
            <w:r w:rsidRPr="00CE2175">
              <w:t>9</w:t>
            </w:r>
          </w:p>
        </w:tc>
      </w:tr>
      <w:tr w:rsidR="00A01006" w:rsidRPr="00CE2175" w14:paraId="2006B0F1" w14:textId="77777777" w:rsidTr="006F71F0">
        <w:trPr>
          <w:cantSplit/>
        </w:trPr>
        <w:tc>
          <w:tcPr>
            <w:tcW w:w="2977" w:type="dxa"/>
          </w:tcPr>
          <w:p w14:paraId="6B739E0C" w14:textId="77777777" w:rsidR="00A01006" w:rsidRPr="00CE2175" w:rsidRDefault="00A01006" w:rsidP="007A5116">
            <w:pPr>
              <w:pStyle w:val="TableText"/>
              <w:tabs>
                <w:tab w:val="decimal" w:pos="1503"/>
              </w:tabs>
              <w:spacing w:before="74" w:after="74"/>
            </w:pPr>
            <w:r w:rsidRPr="00CE2175">
              <w:t>1</w:t>
            </w:r>
            <w:r>
              <w:t>,</w:t>
            </w:r>
            <w:r w:rsidRPr="00CE2175">
              <w:t>000</w:t>
            </w:r>
          </w:p>
        </w:tc>
        <w:tc>
          <w:tcPr>
            <w:tcW w:w="2764" w:type="dxa"/>
          </w:tcPr>
          <w:p w14:paraId="4D8313B1" w14:textId="77777777" w:rsidR="00A01006" w:rsidRPr="00CE2175" w:rsidRDefault="00A01006" w:rsidP="007A5116">
            <w:pPr>
              <w:pStyle w:val="TableText"/>
              <w:spacing w:before="74" w:after="74"/>
              <w:jc w:val="center"/>
            </w:pPr>
            <w:r w:rsidRPr="00CE2175">
              <w:t>19</w:t>
            </w:r>
          </w:p>
        </w:tc>
        <w:tc>
          <w:tcPr>
            <w:tcW w:w="2764" w:type="dxa"/>
          </w:tcPr>
          <w:p w14:paraId="389750E2" w14:textId="77777777" w:rsidR="00A01006" w:rsidRPr="00CE2175" w:rsidRDefault="00A01006" w:rsidP="007A5116">
            <w:pPr>
              <w:pStyle w:val="TableText"/>
              <w:spacing w:before="74" w:after="74"/>
              <w:jc w:val="center"/>
            </w:pPr>
            <w:r w:rsidRPr="00CE2175">
              <w:t>10</w:t>
            </w:r>
          </w:p>
        </w:tc>
      </w:tr>
      <w:tr w:rsidR="00A01006" w:rsidRPr="00CE2175" w14:paraId="1C0D3B2C" w14:textId="77777777" w:rsidTr="006F71F0">
        <w:trPr>
          <w:cantSplit/>
        </w:trPr>
        <w:tc>
          <w:tcPr>
            <w:tcW w:w="2977" w:type="dxa"/>
          </w:tcPr>
          <w:p w14:paraId="3BBEC1ED" w14:textId="77777777" w:rsidR="00A01006" w:rsidRPr="00CE2175" w:rsidRDefault="00A01006" w:rsidP="007A5116">
            <w:pPr>
              <w:pStyle w:val="TableText"/>
              <w:tabs>
                <w:tab w:val="decimal" w:pos="1503"/>
              </w:tabs>
              <w:spacing w:before="74" w:after="74"/>
            </w:pPr>
            <w:r w:rsidRPr="00CE2175">
              <w:t>1</w:t>
            </w:r>
            <w:r>
              <w:t>,</w:t>
            </w:r>
            <w:r w:rsidRPr="00CE2175">
              <w:t>250</w:t>
            </w:r>
          </w:p>
        </w:tc>
        <w:tc>
          <w:tcPr>
            <w:tcW w:w="2764" w:type="dxa"/>
          </w:tcPr>
          <w:p w14:paraId="202279AA" w14:textId="77777777" w:rsidR="00A01006" w:rsidRPr="00CE2175" w:rsidRDefault="00A01006" w:rsidP="007A5116">
            <w:pPr>
              <w:pStyle w:val="TableText"/>
              <w:spacing w:before="74" w:after="74"/>
              <w:jc w:val="center"/>
            </w:pPr>
            <w:r w:rsidRPr="00CE2175">
              <w:t>2</w:t>
            </w:r>
            <w:r>
              <w:t>0</w:t>
            </w:r>
          </w:p>
        </w:tc>
        <w:tc>
          <w:tcPr>
            <w:tcW w:w="2764" w:type="dxa"/>
          </w:tcPr>
          <w:p w14:paraId="65A23D0E" w14:textId="77777777" w:rsidR="00A01006" w:rsidRPr="00CE2175" w:rsidRDefault="00A01006" w:rsidP="007A5116">
            <w:pPr>
              <w:pStyle w:val="TableText"/>
              <w:spacing w:before="74" w:after="74"/>
              <w:jc w:val="center"/>
            </w:pPr>
            <w:r w:rsidRPr="00CE2175">
              <w:t>11</w:t>
            </w:r>
          </w:p>
        </w:tc>
      </w:tr>
      <w:tr w:rsidR="00A01006" w:rsidRPr="00CE2175" w14:paraId="4563470F" w14:textId="77777777" w:rsidTr="006F71F0">
        <w:trPr>
          <w:cantSplit/>
        </w:trPr>
        <w:tc>
          <w:tcPr>
            <w:tcW w:w="2977" w:type="dxa"/>
          </w:tcPr>
          <w:p w14:paraId="42A3CED7" w14:textId="77777777" w:rsidR="00A01006" w:rsidRPr="00CE2175" w:rsidRDefault="00A01006" w:rsidP="007A5116">
            <w:pPr>
              <w:pStyle w:val="TableText"/>
              <w:tabs>
                <w:tab w:val="decimal" w:pos="1503"/>
              </w:tabs>
              <w:spacing w:before="74" w:after="74"/>
            </w:pPr>
            <w:r w:rsidRPr="00CE2175">
              <w:t>1</w:t>
            </w:r>
            <w:r>
              <w:t>,</w:t>
            </w:r>
            <w:r w:rsidRPr="00CE2175">
              <w:t>500</w:t>
            </w:r>
          </w:p>
        </w:tc>
        <w:tc>
          <w:tcPr>
            <w:tcW w:w="2764" w:type="dxa"/>
          </w:tcPr>
          <w:p w14:paraId="2142EF5D" w14:textId="77777777" w:rsidR="00A01006" w:rsidRPr="00CE2175" w:rsidRDefault="00A01006" w:rsidP="007A5116">
            <w:pPr>
              <w:pStyle w:val="TableText"/>
              <w:spacing w:before="74" w:after="74"/>
              <w:jc w:val="center"/>
            </w:pPr>
            <w:r w:rsidRPr="00CE2175">
              <w:t>2</w:t>
            </w:r>
            <w:r>
              <w:t>0</w:t>
            </w:r>
          </w:p>
        </w:tc>
        <w:tc>
          <w:tcPr>
            <w:tcW w:w="2764" w:type="dxa"/>
          </w:tcPr>
          <w:p w14:paraId="1FE593C9" w14:textId="77777777" w:rsidR="00A01006" w:rsidRPr="00CE2175" w:rsidRDefault="00A01006" w:rsidP="007A5116">
            <w:pPr>
              <w:pStyle w:val="TableText"/>
              <w:spacing w:before="74" w:after="74"/>
              <w:jc w:val="center"/>
            </w:pPr>
            <w:r w:rsidRPr="00CE2175">
              <w:t>12</w:t>
            </w:r>
          </w:p>
        </w:tc>
      </w:tr>
      <w:tr w:rsidR="00A01006" w:rsidRPr="00CE2175" w14:paraId="39909E2C" w14:textId="77777777" w:rsidTr="006F71F0">
        <w:trPr>
          <w:cantSplit/>
        </w:trPr>
        <w:tc>
          <w:tcPr>
            <w:tcW w:w="2977" w:type="dxa"/>
          </w:tcPr>
          <w:p w14:paraId="0CA9D767" w14:textId="77777777" w:rsidR="00A01006" w:rsidRPr="00CE2175" w:rsidRDefault="00A01006" w:rsidP="007A5116">
            <w:pPr>
              <w:pStyle w:val="TableText"/>
              <w:tabs>
                <w:tab w:val="decimal" w:pos="1503"/>
              </w:tabs>
              <w:spacing w:before="74" w:after="74"/>
            </w:pPr>
            <w:r w:rsidRPr="00CE2175">
              <w:t>1</w:t>
            </w:r>
            <w:r>
              <w:t>,</w:t>
            </w:r>
            <w:r w:rsidRPr="00CE2175">
              <w:t>750</w:t>
            </w:r>
          </w:p>
        </w:tc>
        <w:tc>
          <w:tcPr>
            <w:tcW w:w="2764" w:type="dxa"/>
          </w:tcPr>
          <w:p w14:paraId="6AB952CC" w14:textId="77777777" w:rsidR="00A01006" w:rsidRPr="00CE2175" w:rsidRDefault="00A01006" w:rsidP="007A5116">
            <w:pPr>
              <w:pStyle w:val="TableText"/>
              <w:spacing w:before="74" w:after="74"/>
              <w:jc w:val="center"/>
            </w:pPr>
            <w:r w:rsidRPr="00CE2175">
              <w:t>2</w:t>
            </w:r>
            <w:r>
              <w:t>0</w:t>
            </w:r>
          </w:p>
        </w:tc>
        <w:tc>
          <w:tcPr>
            <w:tcW w:w="2764" w:type="dxa"/>
          </w:tcPr>
          <w:p w14:paraId="62AA47C8" w14:textId="77777777" w:rsidR="00A01006" w:rsidRPr="00CE2175" w:rsidRDefault="00A01006" w:rsidP="007A5116">
            <w:pPr>
              <w:pStyle w:val="TableText"/>
              <w:spacing w:before="74" w:after="74"/>
              <w:jc w:val="center"/>
            </w:pPr>
            <w:r w:rsidRPr="00CE2175">
              <w:t>13</w:t>
            </w:r>
          </w:p>
        </w:tc>
      </w:tr>
      <w:tr w:rsidR="00A01006" w:rsidRPr="00CE2175" w14:paraId="61D04E71" w14:textId="77777777" w:rsidTr="006F71F0">
        <w:trPr>
          <w:cantSplit/>
        </w:trPr>
        <w:tc>
          <w:tcPr>
            <w:tcW w:w="2977" w:type="dxa"/>
          </w:tcPr>
          <w:p w14:paraId="7C10C1A4" w14:textId="77777777" w:rsidR="00A01006" w:rsidRPr="00CE2175" w:rsidRDefault="00A01006" w:rsidP="007A5116">
            <w:pPr>
              <w:pStyle w:val="TableText"/>
              <w:tabs>
                <w:tab w:val="decimal" w:pos="1503"/>
              </w:tabs>
              <w:spacing w:before="74" w:after="74"/>
            </w:pPr>
            <w:r w:rsidRPr="00CE2175">
              <w:t>2</w:t>
            </w:r>
            <w:r>
              <w:t>,</w:t>
            </w:r>
            <w:r w:rsidRPr="00CE2175">
              <w:t>000</w:t>
            </w:r>
          </w:p>
        </w:tc>
        <w:tc>
          <w:tcPr>
            <w:tcW w:w="2764" w:type="dxa"/>
          </w:tcPr>
          <w:p w14:paraId="29E1B19B" w14:textId="77777777" w:rsidR="00A01006" w:rsidRPr="00CE2175" w:rsidRDefault="00A01006" w:rsidP="007A5116">
            <w:pPr>
              <w:pStyle w:val="TableText"/>
              <w:spacing w:before="74" w:after="74"/>
              <w:jc w:val="center"/>
            </w:pPr>
            <w:r w:rsidRPr="00CE2175">
              <w:t>2</w:t>
            </w:r>
            <w:r>
              <w:t>0</w:t>
            </w:r>
          </w:p>
        </w:tc>
        <w:tc>
          <w:tcPr>
            <w:tcW w:w="2764" w:type="dxa"/>
          </w:tcPr>
          <w:p w14:paraId="5267590E" w14:textId="77777777" w:rsidR="00A01006" w:rsidRPr="00CE2175" w:rsidRDefault="00A01006" w:rsidP="007A5116">
            <w:pPr>
              <w:pStyle w:val="TableText"/>
              <w:spacing w:before="74" w:after="74"/>
              <w:jc w:val="center"/>
            </w:pPr>
            <w:r w:rsidRPr="00CE2175">
              <w:t>14</w:t>
            </w:r>
          </w:p>
        </w:tc>
      </w:tr>
      <w:tr w:rsidR="00A01006" w:rsidRPr="00CE2175" w14:paraId="3518934A" w14:textId="77777777" w:rsidTr="006F71F0">
        <w:trPr>
          <w:cantSplit/>
        </w:trPr>
        <w:tc>
          <w:tcPr>
            <w:tcW w:w="2977" w:type="dxa"/>
          </w:tcPr>
          <w:p w14:paraId="0F5E3585" w14:textId="77777777" w:rsidR="00A01006" w:rsidRPr="00CE2175" w:rsidRDefault="00A01006" w:rsidP="007A5116">
            <w:pPr>
              <w:pStyle w:val="TableText"/>
              <w:tabs>
                <w:tab w:val="decimal" w:pos="1503"/>
              </w:tabs>
              <w:spacing w:before="74" w:after="74"/>
            </w:pPr>
            <w:r>
              <w:t>2,500+ (multi-site)</w:t>
            </w:r>
          </w:p>
        </w:tc>
        <w:tc>
          <w:tcPr>
            <w:tcW w:w="2764" w:type="dxa"/>
          </w:tcPr>
          <w:p w14:paraId="2C37FB72" w14:textId="77777777" w:rsidR="00A01006" w:rsidRPr="00CE2175" w:rsidRDefault="00A01006" w:rsidP="007A5116">
            <w:pPr>
              <w:pStyle w:val="TableText"/>
              <w:spacing w:before="74" w:after="74"/>
              <w:jc w:val="center"/>
            </w:pPr>
            <w:r w:rsidRPr="0074645A">
              <w:t xml:space="preserve">minimum of five records at each site ensuring a total sample size of at least </w:t>
            </w:r>
            <w:r>
              <w:t>30</w:t>
            </w:r>
          </w:p>
        </w:tc>
        <w:tc>
          <w:tcPr>
            <w:tcW w:w="2764" w:type="dxa"/>
          </w:tcPr>
          <w:p w14:paraId="7AB60CDE" w14:textId="77777777" w:rsidR="00A01006" w:rsidRPr="00CE2175" w:rsidRDefault="00A01006" w:rsidP="007A5116">
            <w:pPr>
              <w:pStyle w:val="TableText"/>
              <w:spacing w:before="74" w:after="74"/>
              <w:jc w:val="center"/>
            </w:pPr>
            <w:r w:rsidRPr="0074645A">
              <w:t xml:space="preserve">minimum of five records at each site ensuring a total sample size of at least </w:t>
            </w:r>
            <w:r>
              <w:t>30</w:t>
            </w:r>
          </w:p>
        </w:tc>
      </w:tr>
    </w:tbl>
    <w:p w14:paraId="3CB4ED48" w14:textId="77777777" w:rsidR="006F7B20" w:rsidRPr="00E511D5" w:rsidRDefault="006F7B20" w:rsidP="007A5116"/>
    <w:sectPr w:rsidR="006F7B20" w:rsidRPr="00E511D5" w:rsidSect="007E6178">
      <w:pgSz w:w="11907" w:h="16834" w:code="9"/>
      <w:pgMar w:top="1440" w:right="1440" w:bottom="1440" w:left="1440" w:header="709" w:footer="709" w:gut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A3DD" w14:textId="77777777" w:rsidR="007E4AFE" w:rsidRDefault="007E4AFE">
      <w:pPr>
        <w:spacing w:line="240" w:lineRule="auto"/>
      </w:pPr>
      <w:r>
        <w:separator/>
      </w:r>
    </w:p>
  </w:endnote>
  <w:endnote w:type="continuationSeparator" w:id="0">
    <w:p w14:paraId="59DEF3B7" w14:textId="77777777" w:rsidR="007E4AFE" w:rsidRDefault="007E4A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ADE4" w14:textId="77777777" w:rsidR="00417D74" w:rsidRDefault="00417D74">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8D37" w14:textId="5CAABEEF" w:rsidR="00417D74" w:rsidRPr="007A5116" w:rsidRDefault="00417D74" w:rsidP="007A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317D" w14:textId="77777777" w:rsidR="00417D74" w:rsidRPr="00275D08" w:rsidRDefault="00417D74" w:rsidP="003206EB">
    <w:pPr>
      <w:pStyle w:val="VersoFooter"/>
      <w:ind w:right="-896"/>
      <w:rPr>
        <w:b/>
      </w:rPr>
    </w:pPr>
    <w:r w:rsidRPr="00FC46E7">
      <w:rPr>
        <w:rStyle w:val="PageNumber"/>
      </w:rPr>
      <w:fldChar w:fldCharType="begin"/>
    </w:r>
    <w:r w:rsidRPr="00FC46E7">
      <w:rPr>
        <w:rStyle w:val="PageNumber"/>
      </w:rPr>
      <w:instrText xml:space="preserve"> PAGE </w:instrText>
    </w:r>
    <w:r w:rsidRPr="00FC46E7">
      <w:rPr>
        <w:rStyle w:val="PageNumber"/>
      </w:rPr>
      <w:fldChar w:fldCharType="separate"/>
    </w:r>
    <w:r>
      <w:rPr>
        <w:rStyle w:val="PageNumber"/>
        <w:noProof/>
      </w:rPr>
      <w:t>16</w:t>
    </w:r>
    <w:r w:rsidRPr="00FC46E7">
      <w:rPr>
        <w:rStyle w:val="PageNumber"/>
      </w:rPr>
      <w:fldChar w:fldCharType="end"/>
    </w:r>
    <w:r>
      <w:tab/>
      <w:t>Auditing Requirements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3353" w14:textId="77777777" w:rsidR="007A5116" w:rsidRPr="003206EB" w:rsidRDefault="007A5116" w:rsidP="003206EB">
    <w:pPr>
      <w:pStyle w:val="VersoFooter"/>
      <w:ind w:right="-329"/>
      <w:rPr>
        <w:b/>
      </w:rPr>
    </w:pPr>
    <w:r w:rsidRPr="00FC46E7">
      <w:rPr>
        <w:rStyle w:val="PageNumber"/>
      </w:rPr>
      <w:fldChar w:fldCharType="begin"/>
    </w:r>
    <w:r w:rsidRPr="00FC46E7">
      <w:rPr>
        <w:rStyle w:val="PageNumber"/>
      </w:rPr>
      <w:instrText xml:space="preserve"> PAGE </w:instrText>
    </w:r>
    <w:r w:rsidRPr="00FC46E7">
      <w:rPr>
        <w:rStyle w:val="PageNumber"/>
      </w:rPr>
      <w:fldChar w:fldCharType="separate"/>
    </w:r>
    <w:r>
      <w:rPr>
        <w:rStyle w:val="PageNumber"/>
      </w:rPr>
      <w:t>2</w:t>
    </w:r>
    <w:r w:rsidRPr="00FC46E7">
      <w:rPr>
        <w:rStyle w:val="PageNumber"/>
      </w:rPr>
      <w:fldChar w:fldCharType="end"/>
    </w:r>
    <w:r>
      <w:tab/>
      <w:t>Auditing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386C" w14:textId="77777777" w:rsidR="007E4AFE" w:rsidRDefault="007E4AFE"/>
  </w:footnote>
  <w:footnote w:type="continuationSeparator" w:id="0">
    <w:p w14:paraId="1169DF3E" w14:textId="77777777" w:rsidR="007E4AFE" w:rsidRDefault="007E4AFE">
      <w:pPr>
        <w:spacing w:line="240" w:lineRule="auto"/>
      </w:pPr>
      <w:r>
        <w:continuationSeparator/>
      </w:r>
    </w:p>
  </w:footnote>
  <w:footnote w:id="1">
    <w:p w14:paraId="5D059673" w14:textId="77777777" w:rsidR="001B756E" w:rsidRDefault="001B756E" w:rsidP="001B756E">
      <w:pPr>
        <w:pStyle w:val="FootnoteText"/>
      </w:pPr>
      <w:r w:rsidRPr="00350EE0">
        <w:rPr>
          <w:rStyle w:val="FootnoteReference"/>
        </w:rPr>
        <w:footnoteRef/>
      </w:r>
      <w:r>
        <w:tab/>
        <w:t>A certification scheme defines the process and criteria for deciding whether a service meets specific criteria.</w:t>
      </w:r>
    </w:p>
  </w:footnote>
  <w:footnote w:id="2">
    <w:p w14:paraId="3A69B496" w14:textId="77777777" w:rsidR="001B756E" w:rsidRDefault="001B756E" w:rsidP="001B756E">
      <w:pPr>
        <w:pStyle w:val="FootnoteText"/>
      </w:pPr>
      <w:r w:rsidRPr="00350EE0">
        <w:rPr>
          <w:rStyle w:val="FootnoteReference"/>
        </w:rPr>
        <w:footnoteRef/>
      </w:r>
      <w:r>
        <w:tab/>
      </w:r>
      <w:proofErr w:type="spellStart"/>
      <w:r>
        <w:t>HealthCERT</w:t>
      </w:r>
      <w:proofErr w:type="spellEnd"/>
      <w:r>
        <w:t xml:space="preserve"> regulates overnight health services in line with the Health and Disability Services (Safety) Act 2001.</w:t>
      </w:r>
    </w:p>
  </w:footnote>
  <w:footnote w:id="3">
    <w:p w14:paraId="42C06065" w14:textId="0161F6DC" w:rsidR="004F328C" w:rsidRDefault="004F328C" w:rsidP="004F328C">
      <w:pPr>
        <w:pStyle w:val="FootnoteText"/>
      </w:pPr>
      <w:r>
        <w:rPr>
          <w:rStyle w:val="FootnoteReference"/>
        </w:rPr>
        <w:footnoteRef/>
      </w:r>
      <w:r>
        <w:t xml:space="preserve"> </w:t>
      </w:r>
      <w:r w:rsidR="00BC3C4A">
        <w:tab/>
      </w:r>
      <w:r w:rsidRPr="00BC3C4A">
        <w:t>Certification, Surveillance, Verification and Provisional audits</w:t>
      </w:r>
    </w:p>
  </w:footnote>
  <w:footnote w:id="4">
    <w:p w14:paraId="693ED137" w14:textId="77777777" w:rsidR="004F328C" w:rsidRPr="003A208D" w:rsidRDefault="004F328C" w:rsidP="004F328C">
      <w:pPr>
        <w:pStyle w:val="FootnoteText"/>
      </w:pPr>
      <w:r w:rsidRPr="00624742">
        <w:rPr>
          <w:rStyle w:val="FootnoteReference"/>
        </w:rPr>
        <w:footnoteRef/>
      </w:r>
      <w:r w:rsidRPr="003A208D">
        <w:tab/>
        <w:t xml:space="preserve">See </w:t>
      </w:r>
      <w:r>
        <w:t>A</w:t>
      </w:r>
      <w:r w:rsidRPr="003A208D">
        <w:t xml:space="preserve">ppendix </w:t>
      </w:r>
      <w:r>
        <w:t xml:space="preserve">2 </w:t>
      </w:r>
      <w:r w:rsidRPr="003A208D">
        <w:t>for an example of sampling based on the square root rule.</w:t>
      </w:r>
    </w:p>
  </w:footnote>
  <w:footnote w:id="5">
    <w:p w14:paraId="482F3CCB" w14:textId="1872891B" w:rsidR="00A01006" w:rsidRDefault="00A01006" w:rsidP="00A01006">
      <w:pPr>
        <w:pStyle w:val="FootnoteText"/>
      </w:pPr>
      <w:r>
        <w:rPr>
          <w:rStyle w:val="FootnoteReference"/>
        </w:rPr>
        <w:footnoteRef/>
      </w:r>
      <w:r>
        <w:t xml:space="preserve"> </w:t>
      </w:r>
      <w:r>
        <w:tab/>
        <w:t xml:space="preserve">Notification to the Oversight committee can be made to </w:t>
      </w:r>
      <w:proofErr w:type="spellStart"/>
      <w:r>
        <w:t>HealthCERT</w:t>
      </w:r>
      <w:proofErr w:type="spellEnd"/>
      <w:r>
        <w:t xml:space="preserve"> via the certification email inbox: certification@health.govt.nz</w:t>
      </w:r>
    </w:p>
  </w:footnote>
  <w:footnote w:id="6">
    <w:p w14:paraId="573C231E" w14:textId="77777777" w:rsidR="00A01006" w:rsidRDefault="00A01006" w:rsidP="00A01006">
      <w:pPr>
        <w:pStyle w:val="FootnoteText"/>
      </w:pPr>
      <w:r w:rsidRPr="006138F8">
        <w:rPr>
          <w:rStyle w:val="FootnoteReference"/>
        </w:rPr>
        <w:footnoteRef/>
      </w:r>
      <w:r>
        <w:tab/>
      </w:r>
      <w:r w:rsidRPr="00B76FFA">
        <w:t xml:space="preserve">A lead supplier holds a service agreement with a funder. The lead supplier may, </w:t>
      </w:r>
      <w:r>
        <w:t>if</w:t>
      </w:r>
      <w:r w:rsidRPr="00B76FFA">
        <w:t xml:space="preserve"> </w:t>
      </w:r>
      <w:r>
        <w:t>its</w:t>
      </w:r>
      <w:r w:rsidRPr="00B76FFA">
        <w:t xml:space="preserve"> service agreement</w:t>
      </w:r>
      <w:r>
        <w:t xml:space="preserve"> allows,</w:t>
      </w:r>
      <w:r w:rsidRPr="00B76FFA">
        <w:t xml:space="preserve"> subcontract services to an independent party where </w:t>
      </w:r>
      <w:r>
        <w:t>that independent party has</w:t>
      </w:r>
      <w:r w:rsidRPr="00B76FFA">
        <w:t xml:space="preserve"> a contractual arrangement with the lead supplier (and not with the funder directly).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F6FA" w14:textId="1CA770EE" w:rsidR="00417D74" w:rsidRPr="00E41C48" w:rsidRDefault="00A01006" w:rsidP="00750DB8">
    <w:pPr>
      <w:pStyle w:val="Header"/>
      <w:spacing w:line="240" w:lineRule="auto"/>
      <w:ind w:left="-2552"/>
    </w:pPr>
    <w:r>
      <w:rPr>
        <w:noProof/>
      </w:rPr>
      <w:drawing>
        <wp:anchor distT="0" distB="0" distL="114300" distR="114300" simplePos="0" relativeHeight="251657728" behindDoc="1" locked="0" layoutInCell="1" allowOverlap="0" wp14:anchorId="19AB08B2" wp14:editId="7A8400DD">
          <wp:simplePos x="0" y="0"/>
          <wp:positionH relativeFrom="column">
            <wp:posOffset>-3948430</wp:posOffset>
          </wp:positionH>
          <wp:positionV relativeFrom="paragraph">
            <wp:posOffset>107950</wp:posOffset>
          </wp:positionV>
          <wp:extent cx="7573010" cy="10365740"/>
          <wp:effectExtent l="0" t="0" r="0" b="0"/>
          <wp:wrapNone/>
          <wp:docPr id="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010" cy="10365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0D3A" w14:textId="7733138D" w:rsidR="005C2005" w:rsidRPr="00E41C48" w:rsidRDefault="005C2005" w:rsidP="00750DB8">
    <w:pPr>
      <w:pStyle w:val="Header"/>
      <w:spacing w:line="240" w:lineRule="auto"/>
      <w:ind w:left="-255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0E5C" w14:textId="7152081C" w:rsidR="00417D74" w:rsidRDefault="00417D74" w:rsidP="003A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2CD"/>
    <w:multiLevelType w:val="hybridMultilevel"/>
    <w:tmpl w:val="837CB16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 w15:restartNumberingAfterBreak="0">
    <w:nsid w:val="22D92685"/>
    <w:multiLevelType w:val="hybridMultilevel"/>
    <w:tmpl w:val="0F8E0C68"/>
    <w:lvl w:ilvl="0" w:tplc="1B1EAD14">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62C27B4"/>
    <w:multiLevelType w:val="hybridMultilevel"/>
    <w:tmpl w:val="DC7E641A"/>
    <w:lvl w:ilvl="0" w:tplc="1409001B">
      <w:start w:val="1"/>
      <w:numFmt w:val="lowerRoman"/>
      <w:lvlText w:val="%1."/>
      <w:lvlJc w:val="right"/>
      <w:rPr>
        <w:b w:val="0"/>
        <w:bCs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391F0944"/>
    <w:multiLevelType w:val="hybridMultilevel"/>
    <w:tmpl w:val="88BE7358"/>
    <w:lvl w:ilvl="0" w:tplc="98BA8A74">
      <w:start w:val="1"/>
      <w:numFmt w:val="decimal"/>
      <w:pStyle w:val="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AA2174"/>
    <w:multiLevelType w:val="hybridMultilevel"/>
    <w:tmpl w:val="43EC22D4"/>
    <w:lvl w:ilvl="0" w:tplc="B4E6780A">
      <w:start w:val="1"/>
      <w:numFmt w:val="bullet"/>
      <w:pStyle w:val="Dash"/>
      <w:lvlText w:val="–"/>
      <w:lvlJc w:val="left"/>
      <w:pPr>
        <w:tabs>
          <w:tab w:val="num" w:pos="567"/>
        </w:tabs>
        <w:ind w:left="567" w:hanging="283"/>
      </w:pPr>
      <w:rPr>
        <w:rFonts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566492"/>
    <w:multiLevelType w:val="hybridMultilevel"/>
    <w:tmpl w:val="F6522D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0A4E26"/>
    <w:multiLevelType w:val="hybridMultilevel"/>
    <w:tmpl w:val="7D6041DA"/>
    <w:lvl w:ilvl="0" w:tplc="0C090019">
      <w:start w:val="1"/>
      <w:numFmt w:val="lowerLetter"/>
      <w:lvlText w:val="%1."/>
      <w:lvlJc w:val="left"/>
      <w:rPr>
        <w:b w:val="0"/>
        <w:bCs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674B750E"/>
    <w:multiLevelType w:val="hybridMultilevel"/>
    <w:tmpl w:val="66EE1F82"/>
    <w:lvl w:ilvl="0" w:tplc="3D9AC854">
      <w:start w:val="1"/>
      <w:numFmt w:val="bullet"/>
      <w:pStyle w:val="TableBullet"/>
      <w:lvlText w:val=""/>
      <w:lvlJc w:val="left"/>
      <w:pPr>
        <w:tabs>
          <w:tab w:val="num" w:pos="284"/>
        </w:tabs>
        <w:ind w:left="284" w:hanging="284"/>
      </w:pPr>
      <w:rPr>
        <w:rFonts w:ascii="Symbol" w:hAnsi="Symbol" w:cs="Times New Roman" w:hint="default"/>
        <w:bCs w:val="0"/>
        <w:iCs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3A38C7"/>
    <w:multiLevelType w:val="hybridMultilevel"/>
    <w:tmpl w:val="EB7210D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C1218D3"/>
    <w:multiLevelType w:val="singleLevel"/>
    <w:tmpl w:val="C58C0308"/>
    <w:lvl w:ilvl="0">
      <w:start w:val="1"/>
      <w:numFmt w:val="bullet"/>
      <w:pStyle w:val="Bullet"/>
      <w:lvlText w:val=""/>
      <w:lvlJc w:val="left"/>
      <w:pPr>
        <w:tabs>
          <w:tab w:val="num" w:pos="284"/>
        </w:tabs>
        <w:ind w:left="284" w:hanging="284"/>
      </w:pPr>
      <w:rPr>
        <w:rFonts w:ascii="Symbol" w:hAnsi="Symbol" w:hint="default"/>
        <w:sz w:val="18"/>
      </w:rPr>
    </w:lvl>
  </w:abstractNum>
  <w:abstractNum w:abstractNumId="10" w15:restartNumberingAfterBreak="0">
    <w:nsid w:val="7E322670"/>
    <w:multiLevelType w:val="hybridMultilevel"/>
    <w:tmpl w:val="7D6041DA"/>
    <w:lvl w:ilvl="0" w:tplc="0C090019">
      <w:start w:val="1"/>
      <w:numFmt w:val="lowerLetter"/>
      <w:lvlText w:val="%1."/>
      <w:lvlJc w:val="left"/>
      <w:rPr>
        <w:b w:val="0"/>
        <w:bCs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1342273288">
    <w:abstractNumId w:val="9"/>
  </w:num>
  <w:num w:numId="2" w16cid:durableId="1033965815">
    <w:abstractNumId w:val="4"/>
  </w:num>
  <w:num w:numId="3" w16cid:durableId="1966813186">
    <w:abstractNumId w:val="7"/>
  </w:num>
  <w:num w:numId="4" w16cid:durableId="2049599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6251747">
    <w:abstractNumId w:val="8"/>
  </w:num>
  <w:num w:numId="6" w16cid:durableId="269095316">
    <w:abstractNumId w:val="3"/>
  </w:num>
  <w:num w:numId="7" w16cid:durableId="2122340086">
    <w:abstractNumId w:val="3"/>
    <w:lvlOverride w:ilvl="0">
      <w:startOverride w:val="1"/>
    </w:lvlOverride>
  </w:num>
  <w:num w:numId="8" w16cid:durableId="1564484705">
    <w:abstractNumId w:val="3"/>
    <w:lvlOverride w:ilvl="0">
      <w:startOverride w:val="1"/>
    </w:lvlOverride>
  </w:num>
  <w:num w:numId="9" w16cid:durableId="1359551762">
    <w:abstractNumId w:val="3"/>
    <w:lvlOverride w:ilvl="0">
      <w:startOverride w:val="1"/>
    </w:lvlOverride>
  </w:num>
  <w:num w:numId="10" w16cid:durableId="1770810669">
    <w:abstractNumId w:val="3"/>
    <w:lvlOverride w:ilvl="0">
      <w:startOverride w:val="1"/>
    </w:lvlOverride>
  </w:num>
  <w:num w:numId="11" w16cid:durableId="798915850">
    <w:abstractNumId w:val="3"/>
    <w:lvlOverride w:ilvl="0">
      <w:startOverride w:val="1"/>
    </w:lvlOverride>
  </w:num>
  <w:num w:numId="12" w16cid:durableId="1061366001">
    <w:abstractNumId w:val="3"/>
    <w:lvlOverride w:ilvl="0">
      <w:startOverride w:val="1"/>
    </w:lvlOverride>
  </w:num>
  <w:num w:numId="13" w16cid:durableId="1497456369">
    <w:abstractNumId w:val="3"/>
    <w:lvlOverride w:ilvl="0">
      <w:startOverride w:val="1"/>
    </w:lvlOverride>
  </w:num>
  <w:num w:numId="14" w16cid:durableId="2079009820">
    <w:abstractNumId w:val="3"/>
    <w:lvlOverride w:ilvl="0">
      <w:startOverride w:val="1"/>
    </w:lvlOverride>
  </w:num>
  <w:num w:numId="15" w16cid:durableId="1854222241">
    <w:abstractNumId w:val="3"/>
    <w:lvlOverride w:ilvl="0">
      <w:startOverride w:val="1"/>
    </w:lvlOverride>
  </w:num>
  <w:num w:numId="16" w16cid:durableId="2050102653">
    <w:abstractNumId w:val="3"/>
    <w:lvlOverride w:ilvl="0">
      <w:startOverride w:val="1"/>
    </w:lvlOverride>
  </w:num>
  <w:num w:numId="17" w16cid:durableId="492067268">
    <w:abstractNumId w:val="3"/>
    <w:lvlOverride w:ilvl="0">
      <w:startOverride w:val="1"/>
    </w:lvlOverride>
  </w:num>
  <w:num w:numId="18" w16cid:durableId="1915552354">
    <w:abstractNumId w:val="1"/>
  </w:num>
  <w:num w:numId="19" w16cid:durableId="484125155">
    <w:abstractNumId w:val="3"/>
    <w:lvlOverride w:ilvl="0">
      <w:startOverride w:val="1"/>
    </w:lvlOverride>
  </w:num>
  <w:num w:numId="20" w16cid:durableId="441649032">
    <w:abstractNumId w:val="3"/>
    <w:lvlOverride w:ilvl="0">
      <w:startOverride w:val="1"/>
    </w:lvlOverride>
  </w:num>
  <w:num w:numId="21" w16cid:durableId="312569576">
    <w:abstractNumId w:val="3"/>
    <w:lvlOverride w:ilvl="0">
      <w:startOverride w:val="1"/>
    </w:lvlOverride>
  </w:num>
  <w:num w:numId="22" w16cid:durableId="268783261">
    <w:abstractNumId w:val="3"/>
    <w:lvlOverride w:ilvl="0">
      <w:startOverride w:val="1"/>
    </w:lvlOverride>
  </w:num>
  <w:num w:numId="23" w16cid:durableId="849215911">
    <w:abstractNumId w:val="3"/>
    <w:lvlOverride w:ilvl="0">
      <w:startOverride w:val="1"/>
    </w:lvlOverride>
  </w:num>
  <w:num w:numId="24" w16cid:durableId="132987014">
    <w:abstractNumId w:val="3"/>
    <w:lvlOverride w:ilvl="0">
      <w:startOverride w:val="1"/>
    </w:lvlOverride>
  </w:num>
  <w:num w:numId="25" w16cid:durableId="882710613">
    <w:abstractNumId w:val="5"/>
  </w:num>
  <w:num w:numId="26" w16cid:durableId="616790079">
    <w:abstractNumId w:val="10"/>
  </w:num>
  <w:num w:numId="27" w16cid:durableId="1339044856">
    <w:abstractNumId w:val="6"/>
  </w:num>
  <w:num w:numId="28" w16cid:durableId="4065058">
    <w:abstractNumId w:val="2"/>
  </w:num>
  <w:num w:numId="29" w16cid:durableId="1685206367">
    <w:abstractNumId w:val="3"/>
    <w:lvlOverride w:ilvl="0">
      <w:startOverride w:val="1"/>
    </w:lvlOverride>
  </w:num>
  <w:num w:numId="30" w16cid:durableId="1798403347">
    <w:abstractNumId w:val="3"/>
    <w:lvlOverride w:ilvl="0">
      <w:startOverride w:val="1"/>
    </w:lvlOverride>
  </w:num>
  <w:num w:numId="31" w16cid:durableId="658121820">
    <w:abstractNumId w:val="3"/>
  </w:num>
  <w:num w:numId="32" w16cid:durableId="1809130525">
    <w:abstractNumId w:val="3"/>
    <w:lvlOverride w:ilvl="0">
      <w:startOverride w:val="1"/>
    </w:lvlOverride>
  </w:num>
  <w:num w:numId="33" w16cid:durableId="157842239">
    <w:abstractNumId w:val="3"/>
    <w:lvlOverride w:ilvl="0">
      <w:startOverride w:val="1"/>
    </w:lvlOverride>
  </w:num>
  <w:num w:numId="34" w16cid:durableId="1287077414">
    <w:abstractNumId w:val="3"/>
    <w:lvlOverride w:ilvl="0">
      <w:startOverride w:val="1"/>
    </w:lvlOverride>
  </w:num>
  <w:num w:numId="35" w16cid:durableId="1911035894">
    <w:abstractNumId w:val="3"/>
    <w:lvlOverride w:ilvl="0">
      <w:startOverride w:val="1"/>
    </w:lvlOverride>
  </w:num>
  <w:num w:numId="36" w16cid:durableId="120076753">
    <w:abstractNumId w:val="3"/>
    <w:lvlOverride w:ilvl="0">
      <w:startOverride w:val="1"/>
    </w:lvlOverride>
  </w:num>
  <w:num w:numId="37" w16cid:durableId="264925154">
    <w:abstractNumId w:val="3"/>
    <w:lvlOverride w:ilvl="0">
      <w:startOverride w:val="1"/>
    </w:lvlOverride>
  </w:num>
  <w:num w:numId="38" w16cid:durableId="1565753215">
    <w:abstractNumId w:val="3"/>
  </w:num>
  <w:num w:numId="39" w16cid:durableId="1231496671">
    <w:abstractNumId w:val="3"/>
    <w:lvlOverride w:ilvl="0">
      <w:startOverride w:val="1"/>
    </w:lvlOverride>
  </w:num>
  <w:num w:numId="40" w16cid:durableId="1622875932">
    <w:abstractNumId w:val="3"/>
    <w:lvlOverride w:ilvl="0">
      <w:startOverride w:val="1"/>
    </w:lvlOverride>
  </w:num>
  <w:num w:numId="41" w16cid:durableId="1489712145">
    <w:abstractNumId w:val="3"/>
    <w:lvlOverride w:ilvl="0">
      <w:startOverride w:val="1"/>
    </w:lvlOverride>
  </w:num>
  <w:num w:numId="42" w16cid:durableId="933517606">
    <w:abstractNumId w:val="3"/>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style="mso-position-horizontal:center;mso-width-relative:margin;mso-height-relative:margin" fillcolor="#d7effd" strokecolor="none [3041]">
      <v:fill color="#d7effd"/>
      <v:stroke color="none [3041]" weight="3pt"/>
      <v:shadow on="t" type="perspective" color="none [1604]" opacity=".5" offset="1pt" offset2="-1pt"/>
      <o:colormru v:ext="edit" colors="#d7eff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1048C"/>
    <w:rsid w:val="00027566"/>
    <w:rsid w:val="00033C14"/>
    <w:rsid w:val="00034F09"/>
    <w:rsid w:val="00047784"/>
    <w:rsid w:val="0006274C"/>
    <w:rsid w:val="00065151"/>
    <w:rsid w:val="000665BC"/>
    <w:rsid w:val="000700EF"/>
    <w:rsid w:val="000716E8"/>
    <w:rsid w:val="00072BD6"/>
    <w:rsid w:val="00075B78"/>
    <w:rsid w:val="0008167A"/>
    <w:rsid w:val="00083558"/>
    <w:rsid w:val="00087919"/>
    <w:rsid w:val="000913D4"/>
    <w:rsid w:val="000A056A"/>
    <w:rsid w:val="000A08FF"/>
    <w:rsid w:val="000A69B9"/>
    <w:rsid w:val="000C3DF3"/>
    <w:rsid w:val="000D59A1"/>
    <w:rsid w:val="000F1F12"/>
    <w:rsid w:val="000F2AE2"/>
    <w:rsid w:val="00100B0D"/>
    <w:rsid w:val="00101957"/>
    <w:rsid w:val="00102063"/>
    <w:rsid w:val="0010541C"/>
    <w:rsid w:val="00111D50"/>
    <w:rsid w:val="00113B8E"/>
    <w:rsid w:val="00114A7F"/>
    <w:rsid w:val="00127636"/>
    <w:rsid w:val="0013585C"/>
    <w:rsid w:val="00142954"/>
    <w:rsid w:val="001460E0"/>
    <w:rsid w:val="00147F71"/>
    <w:rsid w:val="00150A6E"/>
    <w:rsid w:val="00177C7F"/>
    <w:rsid w:val="001A096F"/>
    <w:rsid w:val="001B07FC"/>
    <w:rsid w:val="001B4CFB"/>
    <w:rsid w:val="001B756E"/>
    <w:rsid w:val="001C7B32"/>
    <w:rsid w:val="001D2105"/>
    <w:rsid w:val="001D7053"/>
    <w:rsid w:val="001E747F"/>
    <w:rsid w:val="00207112"/>
    <w:rsid w:val="002104D3"/>
    <w:rsid w:val="00212448"/>
    <w:rsid w:val="00213A33"/>
    <w:rsid w:val="00215521"/>
    <w:rsid w:val="0021784B"/>
    <w:rsid w:val="002202C2"/>
    <w:rsid w:val="00226B4F"/>
    <w:rsid w:val="00230537"/>
    <w:rsid w:val="00256BD9"/>
    <w:rsid w:val="002601EB"/>
    <w:rsid w:val="00275D08"/>
    <w:rsid w:val="0028585E"/>
    <w:rsid w:val="002865E8"/>
    <w:rsid w:val="00292C5A"/>
    <w:rsid w:val="00294D1C"/>
    <w:rsid w:val="002B1F24"/>
    <w:rsid w:val="002B4C91"/>
    <w:rsid w:val="002B7A21"/>
    <w:rsid w:val="002C2219"/>
    <w:rsid w:val="002D0DF2"/>
    <w:rsid w:val="002D299D"/>
    <w:rsid w:val="002D5CF0"/>
    <w:rsid w:val="002D72F3"/>
    <w:rsid w:val="002E365D"/>
    <w:rsid w:val="0030382F"/>
    <w:rsid w:val="0030467D"/>
    <w:rsid w:val="00311A45"/>
    <w:rsid w:val="00311CBD"/>
    <w:rsid w:val="003145D4"/>
    <w:rsid w:val="003160E7"/>
    <w:rsid w:val="003206EB"/>
    <w:rsid w:val="003213EB"/>
    <w:rsid w:val="00343365"/>
    <w:rsid w:val="0034692B"/>
    <w:rsid w:val="00350EE0"/>
    <w:rsid w:val="003645B4"/>
    <w:rsid w:val="003648EF"/>
    <w:rsid w:val="003663C7"/>
    <w:rsid w:val="00377F29"/>
    <w:rsid w:val="00382DFB"/>
    <w:rsid w:val="003A26A5"/>
    <w:rsid w:val="003A3761"/>
    <w:rsid w:val="003A5FEA"/>
    <w:rsid w:val="003B1D15"/>
    <w:rsid w:val="003B3166"/>
    <w:rsid w:val="003C099C"/>
    <w:rsid w:val="003C0A25"/>
    <w:rsid w:val="003C2559"/>
    <w:rsid w:val="003E48C0"/>
    <w:rsid w:val="003E7C46"/>
    <w:rsid w:val="003F03DB"/>
    <w:rsid w:val="003F52A7"/>
    <w:rsid w:val="0040240C"/>
    <w:rsid w:val="00404D2B"/>
    <w:rsid w:val="00405553"/>
    <w:rsid w:val="0040679A"/>
    <w:rsid w:val="00407660"/>
    <w:rsid w:val="00415870"/>
    <w:rsid w:val="004178D4"/>
    <w:rsid w:val="00417D74"/>
    <w:rsid w:val="004310F2"/>
    <w:rsid w:val="00440BE0"/>
    <w:rsid w:val="00447CB7"/>
    <w:rsid w:val="0046596D"/>
    <w:rsid w:val="004A210E"/>
    <w:rsid w:val="004A778C"/>
    <w:rsid w:val="004B21A5"/>
    <w:rsid w:val="004B300A"/>
    <w:rsid w:val="004C2E6A"/>
    <w:rsid w:val="004C34D8"/>
    <w:rsid w:val="004C496B"/>
    <w:rsid w:val="004D610A"/>
    <w:rsid w:val="004E2111"/>
    <w:rsid w:val="004E4ED9"/>
    <w:rsid w:val="004E7AC8"/>
    <w:rsid w:val="004F186E"/>
    <w:rsid w:val="004F328C"/>
    <w:rsid w:val="00500DC2"/>
    <w:rsid w:val="0050635B"/>
    <w:rsid w:val="00523D32"/>
    <w:rsid w:val="00532981"/>
    <w:rsid w:val="00533B90"/>
    <w:rsid w:val="0053525C"/>
    <w:rsid w:val="0054798E"/>
    <w:rsid w:val="00567B58"/>
    <w:rsid w:val="00572441"/>
    <w:rsid w:val="005738BA"/>
    <w:rsid w:val="005743AB"/>
    <w:rsid w:val="005755BC"/>
    <w:rsid w:val="00583D36"/>
    <w:rsid w:val="00585BFE"/>
    <w:rsid w:val="00592BEC"/>
    <w:rsid w:val="005936DC"/>
    <w:rsid w:val="005A1041"/>
    <w:rsid w:val="005A15DB"/>
    <w:rsid w:val="005A43BD"/>
    <w:rsid w:val="005A58F4"/>
    <w:rsid w:val="005A730E"/>
    <w:rsid w:val="005C2005"/>
    <w:rsid w:val="005D0519"/>
    <w:rsid w:val="005D0C81"/>
    <w:rsid w:val="005D6F16"/>
    <w:rsid w:val="005D715C"/>
    <w:rsid w:val="005E0785"/>
    <w:rsid w:val="005E28D2"/>
    <w:rsid w:val="005E5989"/>
    <w:rsid w:val="005F137E"/>
    <w:rsid w:val="0060596E"/>
    <w:rsid w:val="006138F8"/>
    <w:rsid w:val="0061618D"/>
    <w:rsid w:val="00624742"/>
    <w:rsid w:val="00626CF8"/>
    <w:rsid w:val="00642868"/>
    <w:rsid w:val="006512BC"/>
    <w:rsid w:val="006579E6"/>
    <w:rsid w:val="006617E6"/>
    <w:rsid w:val="00663EDC"/>
    <w:rsid w:val="00671BA3"/>
    <w:rsid w:val="00686D80"/>
    <w:rsid w:val="0068705C"/>
    <w:rsid w:val="00694895"/>
    <w:rsid w:val="00696055"/>
    <w:rsid w:val="0069613F"/>
    <w:rsid w:val="006979A3"/>
    <w:rsid w:val="006A0AFD"/>
    <w:rsid w:val="006A6F8B"/>
    <w:rsid w:val="006B01B8"/>
    <w:rsid w:val="006B4A4D"/>
    <w:rsid w:val="006C78EB"/>
    <w:rsid w:val="006D1660"/>
    <w:rsid w:val="006E2B8D"/>
    <w:rsid w:val="006F330C"/>
    <w:rsid w:val="006F4BE1"/>
    <w:rsid w:val="006F7B20"/>
    <w:rsid w:val="0070091D"/>
    <w:rsid w:val="007015DA"/>
    <w:rsid w:val="00702854"/>
    <w:rsid w:val="00703E42"/>
    <w:rsid w:val="007169F7"/>
    <w:rsid w:val="0071741C"/>
    <w:rsid w:val="007251B6"/>
    <w:rsid w:val="0074434D"/>
    <w:rsid w:val="00747CE8"/>
    <w:rsid w:val="00750DB8"/>
    <w:rsid w:val="00771B1E"/>
    <w:rsid w:val="00777AE8"/>
    <w:rsid w:val="00777B81"/>
    <w:rsid w:val="0078171E"/>
    <w:rsid w:val="0079041B"/>
    <w:rsid w:val="00795A0F"/>
    <w:rsid w:val="00795B34"/>
    <w:rsid w:val="007A134F"/>
    <w:rsid w:val="007A4AE3"/>
    <w:rsid w:val="007A5116"/>
    <w:rsid w:val="007B1770"/>
    <w:rsid w:val="007B1B28"/>
    <w:rsid w:val="007B2B34"/>
    <w:rsid w:val="007C1A03"/>
    <w:rsid w:val="007C5AA2"/>
    <w:rsid w:val="007D04C1"/>
    <w:rsid w:val="007D584A"/>
    <w:rsid w:val="007D5DE4"/>
    <w:rsid w:val="007E30B9"/>
    <w:rsid w:val="007E4AFE"/>
    <w:rsid w:val="007E6178"/>
    <w:rsid w:val="007E6983"/>
    <w:rsid w:val="007F3E92"/>
    <w:rsid w:val="00800A8A"/>
    <w:rsid w:val="008052E1"/>
    <w:rsid w:val="00805AF3"/>
    <w:rsid w:val="00810636"/>
    <w:rsid w:val="00810B6F"/>
    <w:rsid w:val="008166FC"/>
    <w:rsid w:val="00822F2C"/>
    <w:rsid w:val="00826C4E"/>
    <w:rsid w:val="008305E8"/>
    <w:rsid w:val="00833BAA"/>
    <w:rsid w:val="00836D31"/>
    <w:rsid w:val="00845707"/>
    <w:rsid w:val="00850386"/>
    <w:rsid w:val="008513D0"/>
    <w:rsid w:val="00855D08"/>
    <w:rsid w:val="00864542"/>
    <w:rsid w:val="008702CD"/>
    <w:rsid w:val="0087416E"/>
    <w:rsid w:val="00874DAC"/>
    <w:rsid w:val="00880470"/>
    <w:rsid w:val="00880D94"/>
    <w:rsid w:val="00883117"/>
    <w:rsid w:val="008B6F83"/>
    <w:rsid w:val="008D74D5"/>
    <w:rsid w:val="008F0EDB"/>
    <w:rsid w:val="008F29BE"/>
    <w:rsid w:val="008F51EB"/>
    <w:rsid w:val="008F761E"/>
    <w:rsid w:val="008F7DF2"/>
    <w:rsid w:val="00900197"/>
    <w:rsid w:val="00902F55"/>
    <w:rsid w:val="00911A4C"/>
    <w:rsid w:val="00921216"/>
    <w:rsid w:val="00932D69"/>
    <w:rsid w:val="0093771A"/>
    <w:rsid w:val="00944647"/>
    <w:rsid w:val="0094488B"/>
    <w:rsid w:val="00951BCD"/>
    <w:rsid w:val="00953FC7"/>
    <w:rsid w:val="009630D9"/>
    <w:rsid w:val="00977046"/>
    <w:rsid w:val="00982971"/>
    <w:rsid w:val="009845AD"/>
    <w:rsid w:val="009868F2"/>
    <w:rsid w:val="009869F5"/>
    <w:rsid w:val="00992843"/>
    <w:rsid w:val="0099735F"/>
    <w:rsid w:val="009B4CBC"/>
    <w:rsid w:val="009C151C"/>
    <w:rsid w:val="009C3D0D"/>
    <w:rsid w:val="009C773A"/>
    <w:rsid w:val="009D60B8"/>
    <w:rsid w:val="009D7D4B"/>
    <w:rsid w:val="009E105A"/>
    <w:rsid w:val="009E36ED"/>
    <w:rsid w:val="00A01006"/>
    <w:rsid w:val="00A043FB"/>
    <w:rsid w:val="00A04512"/>
    <w:rsid w:val="00A553CE"/>
    <w:rsid w:val="00A766A8"/>
    <w:rsid w:val="00A80363"/>
    <w:rsid w:val="00A84640"/>
    <w:rsid w:val="00A86466"/>
    <w:rsid w:val="00A87DD4"/>
    <w:rsid w:val="00A9169D"/>
    <w:rsid w:val="00AA186F"/>
    <w:rsid w:val="00AB30FF"/>
    <w:rsid w:val="00AB320C"/>
    <w:rsid w:val="00AC0CA9"/>
    <w:rsid w:val="00AC457D"/>
    <w:rsid w:val="00AE1F5F"/>
    <w:rsid w:val="00AF51B9"/>
    <w:rsid w:val="00AF6529"/>
    <w:rsid w:val="00B072E0"/>
    <w:rsid w:val="00B20DC8"/>
    <w:rsid w:val="00B2341C"/>
    <w:rsid w:val="00B3467F"/>
    <w:rsid w:val="00B3492B"/>
    <w:rsid w:val="00B35D95"/>
    <w:rsid w:val="00B4646F"/>
    <w:rsid w:val="00B536C6"/>
    <w:rsid w:val="00B55AD8"/>
    <w:rsid w:val="00B55C7D"/>
    <w:rsid w:val="00B56E2D"/>
    <w:rsid w:val="00B63038"/>
    <w:rsid w:val="00B701D1"/>
    <w:rsid w:val="00B73AF2"/>
    <w:rsid w:val="00B7551A"/>
    <w:rsid w:val="00B75FF0"/>
    <w:rsid w:val="00B76FFA"/>
    <w:rsid w:val="00BA0140"/>
    <w:rsid w:val="00BA4E86"/>
    <w:rsid w:val="00BA6A87"/>
    <w:rsid w:val="00BB4ECB"/>
    <w:rsid w:val="00BC3C4A"/>
    <w:rsid w:val="00BC6FB9"/>
    <w:rsid w:val="00BD4BA4"/>
    <w:rsid w:val="00BF2172"/>
    <w:rsid w:val="00BF3DE1"/>
    <w:rsid w:val="00BF5205"/>
    <w:rsid w:val="00C036FD"/>
    <w:rsid w:val="00C10373"/>
    <w:rsid w:val="00C13CBB"/>
    <w:rsid w:val="00C1680E"/>
    <w:rsid w:val="00C20695"/>
    <w:rsid w:val="00C2347A"/>
    <w:rsid w:val="00C32B20"/>
    <w:rsid w:val="00C37EF6"/>
    <w:rsid w:val="00C41267"/>
    <w:rsid w:val="00C4683A"/>
    <w:rsid w:val="00C53050"/>
    <w:rsid w:val="00C66522"/>
    <w:rsid w:val="00C70F4F"/>
    <w:rsid w:val="00C77282"/>
    <w:rsid w:val="00C86248"/>
    <w:rsid w:val="00C917D5"/>
    <w:rsid w:val="00C946B9"/>
    <w:rsid w:val="00CA4C33"/>
    <w:rsid w:val="00CB082C"/>
    <w:rsid w:val="00CB0C9B"/>
    <w:rsid w:val="00CD36AC"/>
    <w:rsid w:val="00CD6AAB"/>
    <w:rsid w:val="00CE1891"/>
    <w:rsid w:val="00CE1993"/>
    <w:rsid w:val="00CF0ED5"/>
    <w:rsid w:val="00CF1747"/>
    <w:rsid w:val="00CF2045"/>
    <w:rsid w:val="00CF65ED"/>
    <w:rsid w:val="00D16517"/>
    <w:rsid w:val="00D16A5B"/>
    <w:rsid w:val="00D20800"/>
    <w:rsid w:val="00D22FA5"/>
    <w:rsid w:val="00D25FFE"/>
    <w:rsid w:val="00D33482"/>
    <w:rsid w:val="00D33E0C"/>
    <w:rsid w:val="00D4476F"/>
    <w:rsid w:val="00D455BA"/>
    <w:rsid w:val="00D51AF3"/>
    <w:rsid w:val="00D62DE5"/>
    <w:rsid w:val="00D67621"/>
    <w:rsid w:val="00D7087C"/>
    <w:rsid w:val="00D7748F"/>
    <w:rsid w:val="00D82F26"/>
    <w:rsid w:val="00D83885"/>
    <w:rsid w:val="00D87C87"/>
    <w:rsid w:val="00DB39CF"/>
    <w:rsid w:val="00DC5707"/>
    <w:rsid w:val="00DC6347"/>
    <w:rsid w:val="00DD4081"/>
    <w:rsid w:val="00DD48A7"/>
    <w:rsid w:val="00DE6FD7"/>
    <w:rsid w:val="00DF6401"/>
    <w:rsid w:val="00E042DC"/>
    <w:rsid w:val="00E2061E"/>
    <w:rsid w:val="00E233CA"/>
    <w:rsid w:val="00E24F80"/>
    <w:rsid w:val="00E41C48"/>
    <w:rsid w:val="00E511D5"/>
    <w:rsid w:val="00E53F27"/>
    <w:rsid w:val="00E62893"/>
    <w:rsid w:val="00E62F41"/>
    <w:rsid w:val="00E65269"/>
    <w:rsid w:val="00E658C3"/>
    <w:rsid w:val="00E664D6"/>
    <w:rsid w:val="00E67CCC"/>
    <w:rsid w:val="00E761DD"/>
    <w:rsid w:val="00E828E1"/>
    <w:rsid w:val="00E83171"/>
    <w:rsid w:val="00E83279"/>
    <w:rsid w:val="00E87A34"/>
    <w:rsid w:val="00EA2113"/>
    <w:rsid w:val="00EB1856"/>
    <w:rsid w:val="00EC1516"/>
    <w:rsid w:val="00EC315B"/>
    <w:rsid w:val="00EC50CE"/>
    <w:rsid w:val="00EC5B34"/>
    <w:rsid w:val="00ED491E"/>
    <w:rsid w:val="00EE4ADE"/>
    <w:rsid w:val="00EF54F9"/>
    <w:rsid w:val="00F129A4"/>
    <w:rsid w:val="00F12E86"/>
    <w:rsid w:val="00F43094"/>
    <w:rsid w:val="00F4393F"/>
    <w:rsid w:val="00F44513"/>
    <w:rsid w:val="00F534B7"/>
    <w:rsid w:val="00F53A2C"/>
    <w:rsid w:val="00F605A4"/>
    <w:rsid w:val="00F74F06"/>
    <w:rsid w:val="00F92D26"/>
    <w:rsid w:val="00F946C9"/>
    <w:rsid w:val="00F94A0C"/>
    <w:rsid w:val="00FA6879"/>
    <w:rsid w:val="00FB06D5"/>
    <w:rsid w:val="00FB43CC"/>
    <w:rsid w:val="00FC46E7"/>
    <w:rsid w:val="00FC5D25"/>
    <w:rsid w:val="00FC7AC9"/>
    <w:rsid w:val="00FD0D7E"/>
    <w:rsid w:val="00FE6E13"/>
    <w:rsid w:val="00FF27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relative:margin;mso-height-relative:margin" fillcolor="#d7effd" strokecolor="none [3041]">
      <v:fill color="#d7effd"/>
      <v:stroke color="none [3041]" weight="3pt"/>
      <v:shadow on="t" type="perspective" color="none [1604]" opacity=".5" offset="1pt" offset2="-1pt"/>
      <o:colormru v:ext="edit" colors="#d7effd"/>
    </o:shapedefaults>
    <o:shapelayout v:ext="edit">
      <o:idmap v:ext="edit" data="2"/>
    </o:shapelayout>
  </w:shapeDefaults>
  <w:decimalSymbol w:val="."/>
  <w:listSeparator w:val=","/>
  <w14:docId w14:val="0CD3EA82"/>
  <w15:chartTrackingRefBased/>
  <w15:docId w15:val="{9AFE9CF9-965F-4EEC-ACA6-7F960794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983"/>
    <w:pPr>
      <w:spacing w:line="276" w:lineRule="auto"/>
    </w:pPr>
    <w:rPr>
      <w:rFonts w:ascii="Calibri" w:hAnsi="Calibri"/>
      <w:sz w:val="22"/>
      <w:lang w:val="en-NZ" w:eastAsia="en-GB"/>
    </w:rPr>
  </w:style>
  <w:style w:type="paragraph" w:styleId="Heading1">
    <w:name w:val="heading 1"/>
    <w:basedOn w:val="Normal"/>
    <w:next w:val="Normal"/>
    <w:uiPriority w:val="1"/>
    <w:qFormat/>
    <w:rsid w:val="00207112"/>
    <w:pPr>
      <w:keepNext/>
      <w:spacing w:before="480" w:after="240"/>
      <w:outlineLvl w:val="0"/>
    </w:pPr>
    <w:rPr>
      <w:rFonts w:ascii="Cambria" w:hAnsi="Cambria"/>
      <w:b/>
      <w:color w:val="244061"/>
      <w:sz w:val="28"/>
    </w:rPr>
  </w:style>
  <w:style w:type="paragraph" w:styleId="Heading2">
    <w:name w:val="heading 2"/>
    <w:basedOn w:val="Normal"/>
    <w:next w:val="Normal"/>
    <w:uiPriority w:val="1"/>
    <w:qFormat/>
    <w:rsid w:val="002D299D"/>
    <w:pPr>
      <w:keepNext/>
      <w:spacing w:before="240" w:after="120"/>
      <w:outlineLvl w:val="1"/>
    </w:pPr>
    <w:rPr>
      <w:rFonts w:ascii="Cambria" w:hAnsi="Cambria"/>
      <w:b/>
      <w:color w:val="244061"/>
      <w:sz w:val="24"/>
    </w:rPr>
  </w:style>
  <w:style w:type="paragraph" w:styleId="Heading3">
    <w:name w:val="heading 3"/>
    <w:basedOn w:val="Normal"/>
    <w:next w:val="Normal"/>
    <w:link w:val="Heading3Char"/>
    <w:uiPriority w:val="1"/>
    <w:qFormat/>
    <w:rsid w:val="007D5DE4"/>
    <w:pPr>
      <w:keepNext/>
      <w:spacing w:before="120" w:after="120"/>
      <w:outlineLvl w:val="2"/>
    </w:pPr>
    <w:rPr>
      <w:b/>
      <w:sz w:val="24"/>
    </w:rPr>
  </w:style>
  <w:style w:type="paragraph" w:styleId="Heading4">
    <w:name w:val="heading 4"/>
    <w:basedOn w:val="Normal"/>
    <w:next w:val="Normal"/>
    <w:qFormat/>
    <w:rsid w:val="007D5DE4"/>
    <w:pPr>
      <w:keepNext/>
      <w:spacing w:before="120" w:after="120"/>
      <w:outlineLvl w:val="3"/>
    </w:pPr>
    <w:rPr>
      <w:b/>
    </w:rPr>
  </w:style>
  <w:style w:type="paragraph" w:styleId="Heading5">
    <w:name w:val="heading 5"/>
    <w:basedOn w:val="Normal"/>
    <w:next w:val="Normal"/>
    <w:qFormat/>
    <w:rsid w:val="0013585C"/>
    <w:pPr>
      <w:keepNext/>
      <w:spacing w:before="120" w:after="120"/>
      <w:outlineLvl w:val="4"/>
    </w:pPr>
    <w:rPr>
      <w:u w:val="single"/>
    </w:rPr>
  </w:style>
  <w:style w:type="paragraph" w:styleId="Heading6">
    <w:name w:val="heading 6"/>
    <w:basedOn w:val="Normal"/>
    <w:next w:val="Normal"/>
    <w:qFormat/>
    <w:rsid w:val="0099735F"/>
    <w:pPr>
      <w:keepNext/>
      <w:keepLines/>
      <w:spacing w:before="200"/>
      <w:jc w:val="both"/>
      <w:outlineLvl w:val="5"/>
    </w:pPr>
    <w:rPr>
      <w:rFonts w:ascii="Cambria" w:hAnsi="Cambria"/>
      <w:i/>
      <w:color w:val="16505E"/>
    </w:rPr>
  </w:style>
  <w:style w:type="paragraph" w:styleId="Heading7">
    <w:name w:val="heading 7"/>
    <w:basedOn w:val="Normal"/>
    <w:next w:val="Normal"/>
    <w:qFormat/>
    <w:rsid w:val="0099735F"/>
    <w:pPr>
      <w:keepNext/>
      <w:keepLines/>
      <w:spacing w:before="200"/>
      <w:jc w:val="both"/>
      <w:outlineLvl w:val="6"/>
    </w:pPr>
    <w:rPr>
      <w:rFonts w:ascii="Cambria" w:hAnsi="Cambria"/>
      <w:i/>
      <w:color w:val="404040"/>
    </w:rPr>
  </w:style>
  <w:style w:type="paragraph" w:styleId="Heading8">
    <w:name w:val="heading 8"/>
    <w:basedOn w:val="Normal"/>
    <w:next w:val="Normal"/>
    <w:qFormat/>
    <w:rsid w:val="0099735F"/>
    <w:pPr>
      <w:keepNext/>
      <w:keepLines/>
      <w:spacing w:before="200"/>
      <w:jc w:val="both"/>
      <w:outlineLvl w:val="7"/>
    </w:pPr>
    <w:rPr>
      <w:rFonts w:ascii="Cambria" w:hAnsi="Cambria"/>
      <w:color w:val="2DA2BF"/>
      <w:sz w:val="20"/>
    </w:rPr>
  </w:style>
  <w:style w:type="paragraph" w:styleId="Heading9">
    <w:name w:val="heading 9"/>
    <w:basedOn w:val="Normal"/>
    <w:next w:val="Normal"/>
    <w:qFormat/>
    <w:rsid w:val="0099735F"/>
    <w:pPr>
      <w:keepNext/>
      <w:keepLines/>
      <w:spacing w:before="200"/>
      <w:jc w:val="both"/>
      <w:outlineLvl w:val="8"/>
    </w:pPr>
    <w:rPr>
      <w:rFonts w:ascii="Cambria" w:hAnsi="Cambria"/>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06274C"/>
    <w:pPr>
      <w:tabs>
        <w:tab w:val="right" w:pos="8505"/>
      </w:tabs>
      <w:spacing w:before="240"/>
      <w:ind w:right="567"/>
    </w:pPr>
    <w:rPr>
      <w:b/>
    </w:rPr>
  </w:style>
  <w:style w:type="paragraph" w:styleId="TOC2">
    <w:name w:val="toc 2"/>
    <w:basedOn w:val="Normal"/>
    <w:next w:val="Normal"/>
    <w:uiPriority w:val="39"/>
    <w:rsid w:val="0006274C"/>
    <w:pPr>
      <w:tabs>
        <w:tab w:val="right" w:pos="8505"/>
      </w:tabs>
      <w:spacing w:before="60"/>
      <w:ind w:left="567" w:right="567"/>
    </w:pPr>
  </w:style>
  <w:style w:type="paragraph" w:styleId="TOC3">
    <w:name w:val="toc 3"/>
    <w:basedOn w:val="Normal"/>
    <w:next w:val="Normal"/>
    <w:semiHidden/>
    <w:rsid w:val="00127636"/>
    <w:pPr>
      <w:tabs>
        <w:tab w:val="right" w:pos="7371"/>
        <w:tab w:val="right" w:pos="7938"/>
      </w:tabs>
      <w:spacing w:before="60"/>
      <w:ind w:left="1134" w:right="567" w:hanging="1134"/>
    </w:pPr>
    <w:rPr>
      <w:sz w:val="20"/>
    </w:rPr>
  </w:style>
  <w:style w:type="paragraph" w:customStyle="1" w:styleId="Bullet">
    <w:name w:val="Bullet"/>
    <w:basedOn w:val="Normal"/>
    <w:rsid w:val="0006274C"/>
    <w:pPr>
      <w:numPr>
        <w:numId w:val="1"/>
      </w:numPr>
      <w:spacing w:before="90"/>
    </w:pPr>
  </w:style>
  <w:style w:type="paragraph" w:styleId="FootnoteText">
    <w:name w:val="footnote text"/>
    <w:basedOn w:val="Normal"/>
    <w:link w:val="FootnoteTextChar"/>
    <w:semiHidden/>
    <w:rsid w:val="00207112"/>
    <w:pPr>
      <w:spacing w:before="60" w:line="252" w:lineRule="auto"/>
      <w:ind w:left="284" w:hanging="284"/>
    </w:pPr>
    <w:rPr>
      <w:sz w:val="20"/>
    </w:rPr>
  </w:style>
  <w:style w:type="paragraph" w:styleId="Header">
    <w:name w:val="header"/>
    <w:basedOn w:val="Normal"/>
    <w:link w:val="HeaderChar"/>
    <w:uiPriority w:val="99"/>
    <w:rsid w:val="00D25FFE"/>
  </w:style>
  <w:style w:type="paragraph" w:customStyle="1" w:styleId="Imprint">
    <w:name w:val="Imprint"/>
    <w:basedOn w:val="Normal"/>
    <w:next w:val="Normal"/>
    <w:rsid w:val="0071741C"/>
    <w:pPr>
      <w:spacing w:after="240"/>
      <w:jc w:val="center"/>
    </w:pPr>
  </w:style>
  <w:style w:type="character" w:styleId="PageNumber">
    <w:name w:val="page number"/>
    <w:rsid w:val="008D74D5"/>
    <w:rPr>
      <w:rFonts w:ascii="Georgia" w:hAnsi="Georgia"/>
      <w:b/>
      <w:sz w:val="22"/>
    </w:rPr>
  </w:style>
  <w:style w:type="paragraph" w:customStyle="1" w:styleId="VersoFooter">
    <w:name w:val="Verso Footer"/>
    <w:basedOn w:val="Normal"/>
    <w:rsid w:val="00E62893"/>
    <w:pPr>
      <w:pBdr>
        <w:top w:val="single" w:sz="4" w:space="4" w:color="auto"/>
      </w:pBdr>
      <w:ind w:left="567" w:right="-1559" w:hanging="567"/>
    </w:pPr>
    <w:rPr>
      <w:sz w:val="20"/>
    </w:rPr>
  </w:style>
  <w:style w:type="paragraph" w:customStyle="1" w:styleId="RectoFooter">
    <w:name w:val="Recto Footer"/>
    <w:basedOn w:val="Normal"/>
    <w:rsid w:val="003C2559"/>
    <w:pPr>
      <w:pBdr>
        <w:top w:val="single" w:sz="4" w:space="4" w:color="auto"/>
      </w:pBdr>
      <w:tabs>
        <w:tab w:val="right" w:pos="6804"/>
        <w:tab w:val="right" w:pos="7371"/>
      </w:tabs>
      <w:spacing w:line="240" w:lineRule="auto"/>
      <w:ind w:left="-1559"/>
    </w:pPr>
    <w:rPr>
      <w:sz w:val="20"/>
    </w:rPr>
  </w:style>
  <w:style w:type="paragraph" w:customStyle="1" w:styleId="Figure">
    <w:name w:val="Figure"/>
    <w:basedOn w:val="Normal"/>
    <w:next w:val="Normal"/>
    <w:rsid w:val="006138F8"/>
    <w:pPr>
      <w:keepNext/>
      <w:spacing w:before="120" w:after="120"/>
    </w:pPr>
    <w:rPr>
      <w:b/>
    </w:rPr>
  </w:style>
  <w:style w:type="character" w:styleId="FootnoteReference">
    <w:name w:val="footnote reference"/>
    <w:semiHidden/>
    <w:rPr>
      <w:vertAlign w:val="superscript"/>
    </w:rPr>
  </w:style>
  <w:style w:type="paragraph" w:customStyle="1" w:styleId="Table">
    <w:name w:val="Table"/>
    <w:basedOn w:val="Figure"/>
    <w:rsid w:val="004310F2"/>
  </w:style>
  <w:style w:type="paragraph" w:customStyle="1" w:styleId="Dash">
    <w:name w:val="Dash"/>
    <w:basedOn w:val="Bullet"/>
    <w:rsid w:val="003645B4"/>
    <w:pPr>
      <w:numPr>
        <w:numId w:val="2"/>
      </w:numPr>
      <w:spacing w:before="60"/>
    </w:pPr>
  </w:style>
  <w:style w:type="paragraph" w:customStyle="1" w:styleId="TableText">
    <w:name w:val="TableText"/>
    <w:basedOn w:val="Normal"/>
    <w:rsid w:val="004310F2"/>
    <w:pPr>
      <w:spacing w:before="80" w:after="80" w:line="240" w:lineRule="auto"/>
    </w:pPr>
    <w:rPr>
      <w:sz w:val="20"/>
    </w:rPr>
  </w:style>
  <w:style w:type="paragraph" w:customStyle="1" w:styleId="TableBullet">
    <w:name w:val="TableBullet"/>
    <w:basedOn w:val="TableText"/>
    <w:rsid w:val="003F03DB"/>
    <w:pPr>
      <w:numPr>
        <w:numId w:val="3"/>
      </w:numPr>
      <w:spacing w:before="0"/>
    </w:pPr>
  </w:style>
  <w:style w:type="paragraph" w:customStyle="1" w:styleId="Box">
    <w:name w:val="Box"/>
    <w:basedOn w:val="Normal"/>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Box"/>
    <w:rPr>
      <w:b/>
      <w:sz w:val="24"/>
    </w:rPr>
  </w:style>
  <w:style w:type="paragraph" w:customStyle="1" w:styleId="BoxBullet">
    <w:name w:val="BoxBullet"/>
    <w:basedOn w:val="Box"/>
    <w:pPr>
      <w:spacing w:before="60"/>
      <w:ind w:left="568" w:hanging="284"/>
    </w:pPr>
  </w:style>
  <w:style w:type="paragraph" w:customStyle="1" w:styleId="IntroHead">
    <w:name w:val="IntroHead"/>
    <w:basedOn w:val="Heading1"/>
    <w:next w:val="Normal"/>
    <w:rsid w:val="00415870"/>
    <w:pPr>
      <w:spacing w:before="0"/>
      <w:outlineLvl w:val="9"/>
    </w:pPr>
    <w:rPr>
      <w:sz w:val="36"/>
    </w:rPr>
  </w:style>
  <w:style w:type="paragraph" w:customStyle="1" w:styleId="Source">
    <w:name w:val="Source"/>
    <w:basedOn w:val="Note"/>
    <w:next w:val="Normal"/>
    <w:rsid w:val="00150A6E"/>
  </w:style>
  <w:style w:type="paragraph" w:customStyle="1" w:styleId="Note">
    <w:name w:val="Note"/>
    <w:basedOn w:val="Normal"/>
    <w:next w:val="Normal"/>
    <w:rsid w:val="000716E8"/>
    <w:pPr>
      <w:spacing w:before="80"/>
    </w:pPr>
    <w:rPr>
      <w:sz w:val="18"/>
    </w:rPr>
  </w:style>
  <w:style w:type="paragraph" w:customStyle="1" w:styleId="Subhead">
    <w:name w:val="Subhead"/>
    <w:basedOn w:val="Normal"/>
    <w:next w:val="Normal"/>
    <w:rsid w:val="00C37EF6"/>
    <w:pPr>
      <w:spacing w:before="180"/>
      <w:ind w:right="1701"/>
    </w:pPr>
    <w:rPr>
      <w:rFonts w:ascii="Cambria" w:hAnsi="Cambria"/>
      <w:sz w:val="32"/>
    </w:rPr>
  </w:style>
  <w:style w:type="character" w:styleId="Hyperlink">
    <w:name w:val="Hyperlink"/>
    <w:uiPriority w:val="99"/>
    <w:rPr>
      <w:color w:val="auto"/>
      <w:u w:val="none"/>
    </w:rPr>
  </w:style>
  <w:style w:type="paragraph" w:customStyle="1" w:styleId="References">
    <w:name w:val="References"/>
    <w:basedOn w:val="Normal"/>
    <w:rsid w:val="00750DB8"/>
    <w:pPr>
      <w:spacing w:after="180"/>
      <w:ind w:left="567" w:hanging="567"/>
    </w:pPr>
    <w:rPr>
      <w:sz w:val="21"/>
    </w:rPr>
  </w:style>
  <w:style w:type="paragraph" w:customStyle="1" w:styleId="TableDash">
    <w:name w:val="TableDash"/>
    <w:basedOn w:val="TableText"/>
    <w:rsid w:val="0010541C"/>
    <w:pPr>
      <w:tabs>
        <w:tab w:val="num" w:pos="567"/>
      </w:tabs>
      <w:spacing w:before="40" w:after="0"/>
      <w:ind w:left="567" w:hanging="283"/>
    </w:pPr>
    <w:rPr>
      <w:szCs w:val="22"/>
    </w:rPr>
  </w:style>
  <w:style w:type="paragraph" w:customStyle="1" w:styleId="Year">
    <w:name w:val="Year"/>
    <w:basedOn w:val="Subhead"/>
    <w:next w:val="Subhead"/>
    <w:rsid w:val="00C66522"/>
    <w:pPr>
      <w:ind w:right="567"/>
    </w:pPr>
  </w:style>
  <w:style w:type="table" w:styleId="TableGrid">
    <w:name w:val="Table Grid"/>
    <w:basedOn w:val="TableNormal"/>
    <w:rsid w:val="00CE1993"/>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C66522"/>
    <w:pPr>
      <w:spacing w:before="2500"/>
    </w:pPr>
    <w:rPr>
      <w:rFonts w:ascii="Cambria" w:hAnsi="Cambria"/>
      <w:sz w:val="56"/>
    </w:rPr>
  </w:style>
  <w:style w:type="paragraph" w:styleId="Footer">
    <w:name w:val="footer"/>
    <w:basedOn w:val="Normal"/>
    <w:link w:val="FooterChar"/>
    <w:uiPriority w:val="99"/>
    <w:rsid w:val="003C2559"/>
    <w:pPr>
      <w:tabs>
        <w:tab w:val="center" w:pos="4320"/>
        <w:tab w:val="right" w:pos="8640"/>
      </w:tabs>
    </w:pPr>
  </w:style>
  <w:style w:type="character" w:customStyle="1" w:styleId="FootnoteTextChar">
    <w:name w:val="Footnote Text Char"/>
    <w:link w:val="FootnoteText"/>
    <w:rsid w:val="0001048C"/>
    <w:rPr>
      <w:rFonts w:ascii="Calibri" w:hAnsi="Calibri"/>
      <w:lang w:val="en-NZ" w:eastAsia="en-GB" w:bidi="ar-SA"/>
    </w:rPr>
  </w:style>
  <w:style w:type="paragraph" w:styleId="NormalWeb">
    <w:name w:val="Normal (Web)"/>
    <w:basedOn w:val="Normal"/>
    <w:uiPriority w:val="99"/>
    <w:semiHidden/>
    <w:unhideWhenUsed/>
    <w:rsid w:val="00777AE8"/>
    <w:pPr>
      <w:spacing w:before="100" w:beforeAutospacing="1" w:after="100" w:afterAutospacing="1" w:line="240" w:lineRule="auto"/>
    </w:pPr>
    <w:rPr>
      <w:rFonts w:ascii="Times New Roman" w:hAnsi="Times New Roman"/>
      <w:sz w:val="24"/>
      <w:szCs w:val="24"/>
      <w:lang w:eastAsia="en-NZ"/>
    </w:rPr>
  </w:style>
  <w:style w:type="character" w:styleId="UnresolvedMention">
    <w:name w:val="Unresolved Mention"/>
    <w:uiPriority w:val="99"/>
    <w:semiHidden/>
    <w:unhideWhenUsed/>
    <w:rsid w:val="00992843"/>
    <w:rPr>
      <w:color w:val="605E5C"/>
      <w:shd w:val="clear" w:color="auto" w:fill="E1DFDD"/>
    </w:rPr>
  </w:style>
  <w:style w:type="paragraph" w:customStyle="1" w:styleId="Number">
    <w:name w:val="Number"/>
    <w:basedOn w:val="Normal"/>
    <w:rsid w:val="00C20695"/>
    <w:pPr>
      <w:numPr>
        <w:numId w:val="6"/>
      </w:numPr>
      <w:spacing w:before="120"/>
    </w:pPr>
  </w:style>
  <w:style w:type="paragraph" w:styleId="BalloonText">
    <w:name w:val="Balloon Text"/>
    <w:basedOn w:val="Normal"/>
    <w:link w:val="BalloonTextChar"/>
    <w:uiPriority w:val="99"/>
    <w:semiHidden/>
    <w:unhideWhenUsed/>
    <w:rsid w:val="00350EE0"/>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350EE0"/>
    <w:rPr>
      <w:rFonts w:ascii="Segoe UI" w:hAnsi="Segoe UI" w:cs="Segoe UI"/>
      <w:sz w:val="18"/>
      <w:szCs w:val="18"/>
      <w:lang w:eastAsia="en-GB"/>
    </w:rPr>
  </w:style>
  <w:style w:type="character" w:customStyle="1" w:styleId="HeaderChar">
    <w:name w:val="Header Char"/>
    <w:link w:val="Header"/>
    <w:uiPriority w:val="99"/>
    <w:rsid w:val="00350EE0"/>
    <w:rPr>
      <w:rFonts w:ascii="Calibri" w:hAnsi="Calibri"/>
      <w:sz w:val="22"/>
      <w:lang w:eastAsia="en-GB"/>
    </w:rPr>
  </w:style>
  <w:style w:type="character" w:customStyle="1" w:styleId="FooterChar">
    <w:name w:val="Footer Char"/>
    <w:link w:val="Footer"/>
    <w:uiPriority w:val="99"/>
    <w:rsid w:val="00350EE0"/>
    <w:rPr>
      <w:rFonts w:ascii="Calibri" w:hAnsi="Calibri"/>
      <w:sz w:val="22"/>
      <w:lang w:eastAsia="en-GB"/>
    </w:rPr>
  </w:style>
  <w:style w:type="paragraph" w:styleId="Revision">
    <w:name w:val="Revision"/>
    <w:hidden/>
    <w:uiPriority w:val="99"/>
    <w:semiHidden/>
    <w:rsid w:val="00350EE0"/>
    <w:rPr>
      <w:rFonts w:ascii="Calibri" w:hAnsi="Calibri"/>
      <w:sz w:val="22"/>
      <w:lang w:val="en-NZ" w:eastAsia="en-GB"/>
    </w:rPr>
  </w:style>
  <w:style w:type="character" w:styleId="CommentReference">
    <w:name w:val="annotation reference"/>
    <w:uiPriority w:val="99"/>
    <w:semiHidden/>
    <w:unhideWhenUsed/>
    <w:rsid w:val="00350EE0"/>
    <w:rPr>
      <w:sz w:val="16"/>
      <w:szCs w:val="16"/>
    </w:rPr>
  </w:style>
  <w:style w:type="paragraph" w:styleId="CommentText">
    <w:name w:val="annotation text"/>
    <w:basedOn w:val="Normal"/>
    <w:link w:val="CommentTextChar"/>
    <w:uiPriority w:val="99"/>
    <w:unhideWhenUsed/>
    <w:rsid w:val="00350EE0"/>
    <w:rPr>
      <w:rFonts w:ascii="Georgia" w:hAnsi="Georgia"/>
      <w:sz w:val="20"/>
    </w:rPr>
  </w:style>
  <w:style w:type="character" w:customStyle="1" w:styleId="CommentTextChar">
    <w:name w:val="Comment Text Char"/>
    <w:link w:val="CommentText"/>
    <w:uiPriority w:val="99"/>
    <w:rsid w:val="00350EE0"/>
    <w:rPr>
      <w:rFonts w:ascii="Georgia" w:hAnsi="Georgia"/>
      <w:lang w:eastAsia="en-GB"/>
    </w:rPr>
  </w:style>
  <w:style w:type="paragraph" w:styleId="CommentSubject">
    <w:name w:val="annotation subject"/>
    <w:basedOn w:val="CommentText"/>
    <w:next w:val="CommentText"/>
    <w:link w:val="CommentSubjectChar"/>
    <w:uiPriority w:val="99"/>
    <w:semiHidden/>
    <w:unhideWhenUsed/>
    <w:rsid w:val="00350EE0"/>
    <w:rPr>
      <w:b/>
      <w:bCs/>
    </w:rPr>
  </w:style>
  <w:style w:type="character" w:customStyle="1" w:styleId="CommentSubjectChar">
    <w:name w:val="Comment Subject Char"/>
    <w:link w:val="CommentSubject"/>
    <w:uiPriority w:val="99"/>
    <w:semiHidden/>
    <w:rsid w:val="00350EE0"/>
    <w:rPr>
      <w:rFonts w:ascii="Georgia" w:hAnsi="Georgia"/>
      <w:b/>
      <w:bCs/>
      <w:lang w:eastAsia="en-GB"/>
    </w:rPr>
  </w:style>
  <w:style w:type="paragraph" w:customStyle="1" w:styleId="Letter">
    <w:name w:val="Letter"/>
    <w:basedOn w:val="Normal"/>
    <w:qFormat/>
    <w:rsid w:val="008513D0"/>
    <w:pPr>
      <w:spacing w:before="120" w:line="240" w:lineRule="auto"/>
      <w:ind w:left="1134" w:hanging="567"/>
    </w:pPr>
    <w:rPr>
      <w:rFonts w:ascii="Segoe UI" w:hAnsi="Segoe UI"/>
      <w:sz w:val="21"/>
    </w:rPr>
  </w:style>
  <w:style w:type="character" w:customStyle="1" w:styleId="Heading3Char">
    <w:name w:val="Heading 3 Char"/>
    <w:link w:val="Heading3"/>
    <w:rsid w:val="00F44513"/>
    <w:rPr>
      <w:rFonts w:ascii="Calibri" w:hAnsi="Calibri"/>
      <w:b/>
      <w:sz w:val="24"/>
      <w:lang w:eastAsia="en-GB"/>
    </w:rPr>
  </w:style>
  <w:style w:type="paragraph" w:customStyle="1" w:styleId="Default">
    <w:name w:val="Default"/>
    <w:rsid w:val="00F44513"/>
    <w:pPr>
      <w:autoSpaceDE w:val="0"/>
      <w:autoSpaceDN w:val="0"/>
      <w:adjustRightInd w:val="0"/>
    </w:pPr>
    <w:rPr>
      <w:rFonts w:ascii="Segoe UI" w:hAnsi="Segoe UI" w:cs="Segoe UI"/>
      <w:color w:val="000000"/>
      <w:sz w:val="24"/>
      <w:szCs w:val="24"/>
      <w:lang w:val="en-NZ" w:eastAsia="en-NZ"/>
    </w:rPr>
  </w:style>
  <w:style w:type="paragraph" w:styleId="ListParagraph">
    <w:name w:val="List Paragraph"/>
    <w:basedOn w:val="Normal"/>
    <w:uiPriority w:val="34"/>
    <w:qFormat/>
    <w:rsid w:val="0093771A"/>
    <w:pPr>
      <w:spacing w:after="160" w:line="259" w:lineRule="auto"/>
      <w:ind w:left="720"/>
      <w:contextualSpacing/>
    </w:pPr>
    <w:rPr>
      <w:rFonts w:ascii="Arial" w:eastAsia="Calibri"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57676">
      <w:bodyDiv w:val="1"/>
      <w:marLeft w:val="0"/>
      <w:marRight w:val="0"/>
      <w:marTop w:val="0"/>
      <w:marBottom w:val="0"/>
      <w:divBdr>
        <w:top w:val="none" w:sz="0" w:space="0" w:color="auto"/>
        <w:left w:val="none" w:sz="0" w:space="0" w:color="auto"/>
        <w:bottom w:val="none" w:sz="0" w:space="0" w:color="auto"/>
        <w:right w:val="none" w:sz="0" w:space="0" w:color="auto"/>
      </w:divBdr>
    </w:div>
    <w:div w:id="1440179174">
      <w:bodyDiv w:val="1"/>
      <w:marLeft w:val="0"/>
      <w:marRight w:val="0"/>
      <w:marTop w:val="0"/>
      <w:marBottom w:val="0"/>
      <w:divBdr>
        <w:top w:val="none" w:sz="0" w:space="0" w:color="auto"/>
        <w:left w:val="none" w:sz="0" w:space="0" w:color="auto"/>
        <w:bottom w:val="none" w:sz="0" w:space="0" w:color="auto"/>
        <w:right w:val="none" w:sz="0" w:space="0" w:color="auto"/>
      </w:divBdr>
    </w:div>
    <w:div w:id="166947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ealth.govt.nz/publications/auditing-requirements-nga-paerewa-health-and-disability-services-standard-nzs-8134202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image009.png@01DB8D1E.E897F650"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oh.govt.nz" TargetMode="External"/><Relationship Id="rId22"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HasNHI xmlns="184c05c4-c568-455d-94a4-7e009b164348">false</HasNHI>
    <Subactivity xmlns="77fc9259-9bdd-4436-bdca-cbe80b037127">HCSS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CAB handbook review</CategoryName>
    <PRADateTrigger xmlns="4f9c820c-e7e2-444d-97ee-45f2b3485c1d" xsi:nil="true"/>
    <PRAText2 xmlns="4f9c820c-e7e2-444d-97ee-45f2b3485c1d" xsi:nil="true"/>
    <zLegacyID xmlns="184c05c4-c568-455d-94a4-7e009b164348" xsi:nil="true"/>
    <Status xmlns="77fc9259-9bdd-4436-bdca-cbe80b037127">NA</Status>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2" ma:contentTypeDescription="Create a new document." ma:contentTypeScope="" ma:versionID="ba8dc2fb2ca3333dd7e29022e4324fb9">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078084ab01fb3c36e3cee83785e0d1f9"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3E6634-0CAD-485D-9924-03E412B77EDE}">
  <ds:schemaRefs>
    <ds:schemaRef ds:uri="http://schemas.microsoft.com/sharepoint/v3/contenttype/forms"/>
  </ds:schemaRefs>
</ds:datastoreItem>
</file>

<file path=customXml/itemProps2.xml><?xml version="1.0" encoding="utf-8"?>
<ds:datastoreItem xmlns:ds="http://schemas.openxmlformats.org/officeDocument/2006/customXml" ds:itemID="{ACF54A77-0D4C-463C-81E8-44603887A1B5}">
  <ds:schemaRefs>
    <ds:schemaRef ds:uri="http://schemas.microsoft.com/office/2006/metadata/longProperties"/>
  </ds:schemaRefs>
</ds:datastoreItem>
</file>

<file path=customXml/itemProps3.xml><?xml version="1.0" encoding="utf-8"?>
<ds:datastoreItem xmlns:ds="http://schemas.openxmlformats.org/officeDocument/2006/customXml" ds:itemID="{DA620939-DD40-4D95-A5D8-AD8F8D7A80EA}">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757F29EE-A3D5-45C6-BAC5-7B8404FEA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7F04C4-76E4-4A4A-812B-C05D938748C4}">
  <ds:schemaRefs>
    <ds:schemaRef ds:uri="http://schemas.openxmlformats.org/officeDocument/2006/bibliography"/>
  </ds:schemaRefs>
</ds:datastoreItem>
</file>

<file path=customXml/itemProps6.xml><?xml version="1.0" encoding="utf-8"?>
<ds:datastoreItem xmlns:ds="http://schemas.openxmlformats.org/officeDocument/2006/customXml" ds:itemID="{2A639E65-FC18-472A-9C0C-83630C8616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TotalTime>
  <Pages>28</Pages>
  <Words>6274</Words>
  <Characters>35763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Auditing Requirements: Home and community support sector Standard</vt:lpstr>
    </vt:vector>
  </TitlesOfParts>
  <Company>Wordprocessing Services</Company>
  <LinksUpToDate>false</LinksUpToDate>
  <CharactersWithSpaces>41954</CharactersWithSpaces>
  <SharedDoc>false</SharedDoc>
  <HLinks>
    <vt:vector size="198" baseType="variant">
      <vt:variant>
        <vt:i4>1835071</vt:i4>
      </vt:variant>
      <vt:variant>
        <vt:i4>185</vt:i4>
      </vt:variant>
      <vt:variant>
        <vt:i4>0</vt:i4>
      </vt:variant>
      <vt:variant>
        <vt:i4>5</vt:i4>
      </vt:variant>
      <vt:variant>
        <vt:lpwstr/>
      </vt:variant>
      <vt:variant>
        <vt:lpwstr>_Toc139558253</vt:lpwstr>
      </vt:variant>
      <vt:variant>
        <vt:i4>1835071</vt:i4>
      </vt:variant>
      <vt:variant>
        <vt:i4>179</vt:i4>
      </vt:variant>
      <vt:variant>
        <vt:i4>0</vt:i4>
      </vt:variant>
      <vt:variant>
        <vt:i4>5</vt:i4>
      </vt:variant>
      <vt:variant>
        <vt:lpwstr/>
      </vt:variant>
      <vt:variant>
        <vt:lpwstr>_Toc139558252</vt:lpwstr>
      </vt:variant>
      <vt:variant>
        <vt:i4>1835071</vt:i4>
      </vt:variant>
      <vt:variant>
        <vt:i4>173</vt:i4>
      </vt:variant>
      <vt:variant>
        <vt:i4>0</vt:i4>
      </vt:variant>
      <vt:variant>
        <vt:i4>5</vt:i4>
      </vt:variant>
      <vt:variant>
        <vt:lpwstr/>
      </vt:variant>
      <vt:variant>
        <vt:lpwstr>_Toc139558251</vt:lpwstr>
      </vt:variant>
      <vt:variant>
        <vt:i4>1835071</vt:i4>
      </vt:variant>
      <vt:variant>
        <vt:i4>167</vt:i4>
      </vt:variant>
      <vt:variant>
        <vt:i4>0</vt:i4>
      </vt:variant>
      <vt:variant>
        <vt:i4>5</vt:i4>
      </vt:variant>
      <vt:variant>
        <vt:lpwstr/>
      </vt:variant>
      <vt:variant>
        <vt:lpwstr>_Toc139558250</vt:lpwstr>
      </vt:variant>
      <vt:variant>
        <vt:i4>1900607</vt:i4>
      </vt:variant>
      <vt:variant>
        <vt:i4>161</vt:i4>
      </vt:variant>
      <vt:variant>
        <vt:i4>0</vt:i4>
      </vt:variant>
      <vt:variant>
        <vt:i4>5</vt:i4>
      </vt:variant>
      <vt:variant>
        <vt:lpwstr/>
      </vt:variant>
      <vt:variant>
        <vt:lpwstr>_Toc139558249</vt:lpwstr>
      </vt:variant>
      <vt:variant>
        <vt:i4>1900607</vt:i4>
      </vt:variant>
      <vt:variant>
        <vt:i4>155</vt:i4>
      </vt:variant>
      <vt:variant>
        <vt:i4>0</vt:i4>
      </vt:variant>
      <vt:variant>
        <vt:i4>5</vt:i4>
      </vt:variant>
      <vt:variant>
        <vt:lpwstr/>
      </vt:variant>
      <vt:variant>
        <vt:lpwstr>_Toc139558248</vt:lpwstr>
      </vt:variant>
      <vt:variant>
        <vt:i4>1900607</vt:i4>
      </vt:variant>
      <vt:variant>
        <vt:i4>149</vt:i4>
      </vt:variant>
      <vt:variant>
        <vt:i4>0</vt:i4>
      </vt:variant>
      <vt:variant>
        <vt:i4>5</vt:i4>
      </vt:variant>
      <vt:variant>
        <vt:lpwstr/>
      </vt:variant>
      <vt:variant>
        <vt:lpwstr>_Toc139558247</vt:lpwstr>
      </vt:variant>
      <vt:variant>
        <vt:i4>1900607</vt:i4>
      </vt:variant>
      <vt:variant>
        <vt:i4>143</vt:i4>
      </vt:variant>
      <vt:variant>
        <vt:i4>0</vt:i4>
      </vt:variant>
      <vt:variant>
        <vt:i4>5</vt:i4>
      </vt:variant>
      <vt:variant>
        <vt:lpwstr/>
      </vt:variant>
      <vt:variant>
        <vt:lpwstr>_Toc139558246</vt:lpwstr>
      </vt:variant>
      <vt:variant>
        <vt:i4>1900607</vt:i4>
      </vt:variant>
      <vt:variant>
        <vt:i4>137</vt:i4>
      </vt:variant>
      <vt:variant>
        <vt:i4>0</vt:i4>
      </vt:variant>
      <vt:variant>
        <vt:i4>5</vt:i4>
      </vt:variant>
      <vt:variant>
        <vt:lpwstr/>
      </vt:variant>
      <vt:variant>
        <vt:lpwstr>_Toc139558245</vt:lpwstr>
      </vt:variant>
      <vt:variant>
        <vt:i4>1900607</vt:i4>
      </vt:variant>
      <vt:variant>
        <vt:i4>131</vt:i4>
      </vt:variant>
      <vt:variant>
        <vt:i4>0</vt:i4>
      </vt:variant>
      <vt:variant>
        <vt:i4>5</vt:i4>
      </vt:variant>
      <vt:variant>
        <vt:lpwstr/>
      </vt:variant>
      <vt:variant>
        <vt:lpwstr>_Toc139558244</vt:lpwstr>
      </vt:variant>
      <vt:variant>
        <vt:i4>1900607</vt:i4>
      </vt:variant>
      <vt:variant>
        <vt:i4>125</vt:i4>
      </vt:variant>
      <vt:variant>
        <vt:i4>0</vt:i4>
      </vt:variant>
      <vt:variant>
        <vt:i4>5</vt:i4>
      </vt:variant>
      <vt:variant>
        <vt:lpwstr/>
      </vt:variant>
      <vt:variant>
        <vt:lpwstr>_Toc139558243</vt:lpwstr>
      </vt:variant>
      <vt:variant>
        <vt:i4>1900607</vt:i4>
      </vt:variant>
      <vt:variant>
        <vt:i4>119</vt:i4>
      </vt:variant>
      <vt:variant>
        <vt:i4>0</vt:i4>
      </vt:variant>
      <vt:variant>
        <vt:i4>5</vt:i4>
      </vt:variant>
      <vt:variant>
        <vt:lpwstr/>
      </vt:variant>
      <vt:variant>
        <vt:lpwstr>_Toc139558242</vt:lpwstr>
      </vt:variant>
      <vt:variant>
        <vt:i4>1900607</vt:i4>
      </vt:variant>
      <vt:variant>
        <vt:i4>113</vt:i4>
      </vt:variant>
      <vt:variant>
        <vt:i4>0</vt:i4>
      </vt:variant>
      <vt:variant>
        <vt:i4>5</vt:i4>
      </vt:variant>
      <vt:variant>
        <vt:lpwstr/>
      </vt:variant>
      <vt:variant>
        <vt:lpwstr>_Toc139558241</vt:lpwstr>
      </vt:variant>
      <vt:variant>
        <vt:i4>1900607</vt:i4>
      </vt:variant>
      <vt:variant>
        <vt:i4>107</vt:i4>
      </vt:variant>
      <vt:variant>
        <vt:i4>0</vt:i4>
      </vt:variant>
      <vt:variant>
        <vt:i4>5</vt:i4>
      </vt:variant>
      <vt:variant>
        <vt:lpwstr/>
      </vt:variant>
      <vt:variant>
        <vt:lpwstr>_Toc139558240</vt:lpwstr>
      </vt:variant>
      <vt:variant>
        <vt:i4>1703999</vt:i4>
      </vt:variant>
      <vt:variant>
        <vt:i4>101</vt:i4>
      </vt:variant>
      <vt:variant>
        <vt:i4>0</vt:i4>
      </vt:variant>
      <vt:variant>
        <vt:i4>5</vt:i4>
      </vt:variant>
      <vt:variant>
        <vt:lpwstr/>
      </vt:variant>
      <vt:variant>
        <vt:lpwstr>_Toc139558239</vt:lpwstr>
      </vt:variant>
      <vt:variant>
        <vt:i4>1703999</vt:i4>
      </vt:variant>
      <vt:variant>
        <vt:i4>95</vt:i4>
      </vt:variant>
      <vt:variant>
        <vt:i4>0</vt:i4>
      </vt:variant>
      <vt:variant>
        <vt:i4>5</vt:i4>
      </vt:variant>
      <vt:variant>
        <vt:lpwstr/>
      </vt:variant>
      <vt:variant>
        <vt:lpwstr>_Toc139558238</vt:lpwstr>
      </vt:variant>
      <vt:variant>
        <vt:i4>1703999</vt:i4>
      </vt:variant>
      <vt:variant>
        <vt:i4>89</vt:i4>
      </vt:variant>
      <vt:variant>
        <vt:i4>0</vt:i4>
      </vt:variant>
      <vt:variant>
        <vt:i4>5</vt:i4>
      </vt:variant>
      <vt:variant>
        <vt:lpwstr/>
      </vt:variant>
      <vt:variant>
        <vt:lpwstr>_Toc139558237</vt:lpwstr>
      </vt:variant>
      <vt:variant>
        <vt:i4>1703999</vt:i4>
      </vt:variant>
      <vt:variant>
        <vt:i4>83</vt:i4>
      </vt:variant>
      <vt:variant>
        <vt:i4>0</vt:i4>
      </vt:variant>
      <vt:variant>
        <vt:i4>5</vt:i4>
      </vt:variant>
      <vt:variant>
        <vt:lpwstr/>
      </vt:variant>
      <vt:variant>
        <vt:lpwstr>_Toc139558236</vt:lpwstr>
      </vt:variant>
      <vt:variant>
        <vt:i4>1703999</vt:i4>
      </vt:variant>
      <vt:variant>
        <vt:i4>77</vt:i4>
      </vt:variant>
      <vt:variant>
        <vt:i4>0</vt:i4>
      </vt:variant>
      <vt:variant>
        <vt:i4>5</vt:i4>
      </vt:variant>
      <vt:variant>
        <vt:lpwstr/>
      </vt:variant>
      <vt:variant>
        <vt:lpwstr>_Toc139558235</vt:lpwstr>
      </vt:variant>
      <vt:variant>
        <vt:i4>1703999</vt:i4>
      </vt:variant>
      <vt:variant>
        <vt:i4>71</vt:i4>
      </vt:variant>
      <vt:variant>
        <vt:i4>0</vt:i4>
      </vt:variant>
      <vt:variant>
        <vt:i4>5</vt:i4>
      </vt:variant>
      <vt:variant>
        <vt:lpwstr/>
      </vt:variant>
      <vt:variant>
        <vt:lpwstr>_Toc139558234</vt:lpwstr>
      </vt:variant>
      <vt:variant>
        <vt:i4>1703999</vt:i4>
      </vt:variant>
      <vt:variant>
        <vt:i4>65</vt:i4>
      </vt:variant>
      <vt:variant>
        <vt:i4>0</vt:i4>
      </vt:variant>
      <vt:variant>
        <vt:i4>5</vt:i4>
      </vt:variant>
      <vt:variant>
        <vt:lpwstr/>
      </vt:variant>
      <vt:variant>
        <vt:lpwstr>_Toc139558233</vt:lpwstr>
      </vt:variant>
      <vt:variant>
        <vt:i4>1703999</vt:i4>
      </vt:variant>
      <vt:variant>
        <vt:i4>59</vt:i4>
      </vt:variant>
      <vt:variant>
        <vt:i4>0</vt:i4>
      </vt:variant>
      <vt:variant>
        <vt:i4>5</vt:i4>
      </vt:variant>
      <vt:variant>
        <vt:lpwstr/>
      </vt:variant>
      <vt:variant>
        <vt:lpwstr>_Toc139558232</vt:lpwstr>
      </vt:variant>
      <vt:variant>
        <vt:i4>1703999</vt:i4>
      </vt:variant>
      <vt:variant>
        <vt:i4>53</vt:i4>
      </vt:variant>
      <vt:variant>
        <vt:i4>0</vt:i4>
      </vt:variant>
      <vt:variant>
        <vt:i4>5</vt:i4>
      </vt:variant>
      <vt:variant>
        <vt:lpwstr/>
      </vt:variant>
      <vt:variant>
        <vt:lpwstr>_Toc139558231</vt:lpwstr>
      </vt:variant>
      <vt:variant>
        <vt:i4>1703999</vt:i4>
      </vt:variant>
      <vt:variant>
        <vt:i4>47</vt:i4>
      </vt:variant>
      <vt:variant>
        <vt:i4>0</vt:i4>
      </vt:variant>
      <vt:variant>
        <vt:i4>5</vt:i4>
      </vt:variant>
      <vt:variant>
        <vt:lpwstr/>
      </vt:variant>
      <vt:variant>
        <vt:lpwstr>_Toc139558230</vt:lpwstr>
      </vt:variant>
      <vt:variant>
        <vt:i4>1769535</vt:i4>
      </vt:variant>
      <vt:variant>
        <vt:i4>41</vt:i4>
      </vt:variant>
      <vt:variant>
        <vt:i4>0</vt:i4>
      </vt:variant>
      <vt:variant>
        <vt:i4>5</vt:i4>
      </vt:variant>
      <vt:variant>
        <vt:lpwstr/>
      </vt:variant>
      <vt:variant>
        <vt:lpwstr>_Toc139558229</vt:lpwstr>
      </vt:variant>
      <vt:variant>
        <vt:i4>1769535</vt:i4>
      </vt:variant>
      <vt:variant>
        <vt:i4>35</vt:i4>
      </vt:variant>
      <vt:variant>
        <vt:i4>0</vt:i4>
      </vt:variant>
      <vt:variant>
        <vt:i4>5</vt:i4>
      </vt:variant>
      <vt:variant>
        <vt:lpwstr/>
      </vt:variant>
      <vt:variant>
        <vt:lpwstr>_Toc139558228</vt:lpwstr>
      </vt:variant>
      <vt:variant>
        <vt:i4>1769535</vt:i4>
      </vt:variant>
      <vt:variant>
        <vt:i4>29</vt:i4>
      </vt:variant>
      <vt:variant>
        <vt:i4>0</vt:i4>
      </vt:variant>
      <vt:variant>
        <vt:i4>5</vt:i4>
      </vt:variant>
      <vt:variant>
        <vt:lpwstr/>
      </vt:variant>
      <vt:variant>
        <vt:lpwstr>_Toc139558227</vt:lpwstr>
      </vt:variant>
      <vt:variant>
        <vt:i4>1769535</vt:i4>
      </vt:variant>
      <vt:variant>
        <vt:i4>23</vt:i4>
      </vt:variant>
      <vt:variant>
        <vt:i4>0</vt:i4>
      </vt:variant>
      <vt:variant>
        <vt:i4>5</vt:i4>
      </vt:variant>
      <vt:variant>
        <vt:lpwstr/>
      </vt:variant>
      <vt:variant>
        <vt:lpwstr>_Toc139558226</vt:lpwstr>
      </vt:variant>
      <vt:variant>
        <vt:i4>1769535</vt:i4>
      </vt:variant>
      <vt:variant>
        <vt:i4>17</vt:i4>
      </vt:variant>
      <vt:variant>
        <vt:i4>0</vt:i4>
      </vt:variant>
      <vt:variant>
        <vt:i4>5</vt:i4>
      </vt:variant>
      <vt:variant>
        <vt:lpwstr/>
      </vt:variant>
      <vt:variant>
        <vt:lpwstr>_Toc139558225</vt:lpwstr>
      </vt:variant>
      <vt:variant>
        <vt:i4>1769535</vt:i4>
      </vt:variant>
      <vt:variant>
        <vt:i4>11</vt:i4>
      </vt:variant>
      <vt:variant>
        <vt:i4>0</vt:i4>
      </vt:variant>
      <vt:variant>
        <vt:i4>5</vt:i4>
      </vt:variant>
      <vt:variant>
        <vt:lpwstr/>
      </vt:variant>
      <vt:variant>
        <vt:lpwstr>_Toc139558224</vt:lpwstr>
      </vt:variant>
      <vt:variant>
        <vt:i4>1769535</vt:i4>
      </vt:variant>
      <vt:variant>
        <vt:i4>5</vt:i4>
      </vt:variant>
      <vt:variant>
        <vt:i4>0</vt:i4>
      </vt:variant>
      <vt:variant>
        <vt:i4>5</vt:i4>
      </vt:variant>
      <vt:variant>
        <vt:lpwstr/>
      </vt:variant>
      <vt:variant>
        <vt:lpwstr>_Toc139558223</vt:lpwstr>
      </vt:variant>
      <vt:variant>
        <vt:i4>7012452</vt:i4>
      </vt:variant>
      <vt:variant>
        <vt:i4>0</vt:i4>
      </vt:variant>
      <vt:variant>
        <vt:i4>0</vt:i4>
      </vt:variant>
      <vt:variant>
        <vt:i4>5</vt:i4>
      </vt:variant>
      <vt:variant>
        <vt:lpwstr>http://www.moh.govt.nz/</vt:lpwstr>
      </vt:variant>
      <vt:variant>
        <vt:lpwstr/>
      </vt:variant>
      <vt:variant>
        <vt:i4>6946830</vt:i4>
      </vt:variant>
      <vt:variant>
        <vt:i4>107523</vt:i4>
      </vt:variant>
      <vt:variant>
        <vt:i4>1026</vt:i4>
      </vt:variant>
      <vt:variant>
        <vt:i4>1</vt:i4>
      </vt:variant>
      <vt:variant>
        <vt:lpwstr>cid:image001.png@01D900C9.585014D0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Auditing Requirements: Home and community support sector Standard</dc:title>
  <dc:subject/>
  <dc:creator>Ministry of Health</dc:creator>
  <cp:keywords/>
  <dc:description/>
  <cp:lastModifiedBy>Ministry of Health</cp:lastModifiedBy>
  <cp:revision>3</cp:revision>
  <cp:lastPrinted>2025-09-30T22:32:00Z</cp:lastPrinted>
  <dcterms:created xsi:type="dcterms:W3CDTF">2025-09-30T22:31:00Z</dcterms:created>
  <dcterms:modified xsi:type="dcterms:W3CDTF">2025-09-30T22:32:00Z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MOHECM-1602756632-4708</vt:lpwstr>
  </property>
  <property fmtid="{D5CDD505-2E9C-101B-9397-08002B2CF9AE}" pid="3" name="_dlc_DocIdItemGuid">
    <vt:lpwstr>75464e73-12ae-47a9-981a-441fb9cfbf2e</vt:lpwstr>
  </property>
  <property fmtid="{D5CDD505-2E9C-101B-9397-08002B2CF9AE}" pid="4" name="_dlc_DocIdUrl">
    <vt:lpwstr>https://mohgovtnz.sharepoint.com/sites/moh-ecm-CertHCS/_layouts/15/DocIdRedir.aspx?ID=MOHECM-1602756632-4708, MOHECM-1602756632-4708</vt:lpwstr>
  </property>
</Properties>
</file>