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5161" w14:textId="24A1DD40" w:rsidR="00C86248" w:rsidRPr="00926083" w:rsidRDefault="008C1116" w:rsidP="00926083">
      <w:pPr>
        <w:pStyle w:val="Title"/>
      </w:pPr>
      <w:r w:rsidRPr="008C1116">
        <w:t>Guidelines for the Role and Function of District Inspectors</w:t>
      </w:r>
    </w:p>
    <w:p w14:paraId="5C1CCC9F" w14:textId="77777777" w:rsidR="00C05132" w:rsidRDefault="00C05132" w:rsidP="00A06BE4"/>
    <w:p w14:paraId="57E2CB79" w14:textId="77777777" w:rsidR="00142954" w:rsidRPr="00142954" w:rsidRDefault="00142954" w:rsidP="00142954">
      <w:pPr>
        <w:sectPr w:rsidR="00142954" w:rsidRPr="00142954" w:rsidSect="005A79E5">
          <w:headerReference w:type="default" r:id="rId12"/>
          <w:footerReference w:type="default" r:id="rId13"/>
          <w:pgSz w:w="11907" w:h="16834" w:code="9"/>
          <w:pgMar w:top="5670" w:right="1134" w:bottom="1134" w:left="1134" w:header="567" w:footer="851" w:gutter="0"/>
          <w:pgNumType w:start="1"/>
          <w:cols w:space="720"/>
        </w:sectPr>
      </w:pPr>
    </w:p>
    <w:p w14:paraId="32A4C763" w14:textId="08C13F3E" w:rsidR="009A42D5" w:rsidRPr="00A63DFF" w:rsidRDefault="008C1116" w:rsidP="00C05132">
      <w:pPr>
        <w:rPr>
          <w:rFonts w:asciiTheme="minorHAnsi" w:hAnsiTheme="minorHAnsi" w:cstheme="minorHAnsi"/>
          <w:b/>
          <w:spacing w:val="10"/>
          <w:sz w:val="36"/>
          <w:szCs w:val="36"/>
        </w:rPr>
      </w:pPr>
      <w:r w:rsidRPr="008C1116">
        <w:rPr>
          <w:rFonts w:asciiTheme="minorHAnsi" w:hAnsiTheme="minorHAnsi" w:cstheme="minorHAnsi"/>
          <w:b/>
          <w:spacing w:val="10"/>
          <w:sz w:val="36"/>
          <w:szCs w:val="36"/>
        </w:rPr>
        <w:lastRenderedPageBreak/>
        <w:t>Disclaimer</w:t>
      </w:r>
    </w:p>
    <w:p w14:paraId="2A78DFAD" w14:textId="1363FC9E" w:rsidR="008C1116" w:rsidRPr="008C1116" w:rsidRDefault="008C1116" w:rsidP="008C1116">
      <w:pPr>
        <w:spacing w:before="120"/>
        <w:rPr>
          <w:rFonts w:cs="Segoe UI"/>
          <w:sz w:val="20"/>
        </w:rPr>
      </w:pPr>
      <w:r w:rsidRPr="008C1116">
        <w:rPr>
          <w:rFonts w:cs="Segoe UI"/>
          <w:sz w:val="20"/>
        </w:rPr>
        <w:t xml:space="preserve">These guidelines were prepared based on the law as at 1 </w:t>
      </w:r>
      <w:r w:rsidR="00B5766A">
        <w:rPr>
          <w:rFonts w:cs="Segoe UI"/>
          <w:sz w:val="20"/>
        </w:rPr>
        <w:t>August</w:t>
      </w:r>
      <w:r w:rsidRPr="008C1116">
        <w:rPr>
          <w:rFonts w:cs="Segoe UI"/>
          <w:sz w:val="20"/>
        </w:rPr>
        <w:t xml:space="preserve"> 202</w:t>
      </w:r>
      <w:r w:rsidR="00B5766A">
        <w:rPr>
          <w:rFonts w:cs="Segoe UI"/>
          <w:sz w:val="20"/>
        </w:rPr>
        <w:t>5</w:t>
      </w:r>
      <w:r w:rsidRPr="008C1116">
        <w:rPr>
          <w:rFonts w:cs="Segoe UI"/>
          <w:sz w:val="20"/>
        </w:rPr>
        <w:t>. While every care has been taken in the preparation of the information in this document, users are reminded that the Ministry of Health cannot accept any legal liability for any errors, omissions, or damages resulting from reliance on the information contained in this document.</w:t>
      </w:r>
    </w:p>
    <w:p w14:paraId="7A29AA5D" w14:textId="77777777" w:rsidR="008C1116" w:rsidRPr="008C1116" w:rsidRDefault="008C1116" w:rsidP="008C1116">
      <w:pPr>
        <w:spacing w:before="120"/>
        <w:rPr>
          <w:rFonts w:cs="Segoe UI"/>
          <w:sz w:val="20"/>
        </w:rPr>
      </w:pPr>
      <w:r w:rsidRPr="008C1116">
        <w:rPr>
          <w:rFonts w:cs="Segoe UI"/>
          <w:sz w:val="20"/>
        </w:rPr>
        <w:t>These guidelines aim to provide guidance to district inspectors on the exercise of their powers, duties, and functions. They are not intended as a substitute for informed legal advice. Any concerns individuals may have should be discussed with appropriate legal advisors.</w:t>
      </w:r>
    </w:p>
    <w:p w14:paraId="6F7D50AD" w14:textId="2B79ACAB" w:rsidR="009A42D5" w:rsidRPr="00C05132" w:rsidRDefault="008C1116" w:rsidP="008C1116">
      <w:pPr>
        <w:spacing w:before="120"/>
        <w:rPr>
          <w:rFonts w:cs="Segoe UI"/>
          <w:sz w:val="20"/>
        </w:rPr>
      </w:pPr>
      <w:r w:rsidRPr="008C1116">
        <w:rPr>
          <w:rFonts w:cs="Segoe UI"/>
          <w:sz w:val="20"/>
        </w:rPr>
        <w:t>If district inspectors have concerns about the legality of their actions, they should seek guidance from the Ministry of Health via the Director of Mental Health and Addiction Services.</w:t>
      </w:r>
    </w:p>
    <w:p w14:paraId="358CE3BA" w14:textId="3635B5CD" w:rsidR="00A80363" w:rsidRPr="00C05132" w:rsidRDefault="00A80363" w:rsidP="00A63DFF">
      <w:pPr>
        <w:pStyle w:val="Imprint"/>
        <w:spacing w:before="1200"/>
        <w:rPr>
          <w:rFonts w:cs="Segoe UI"/>
        </w:rPr>
      </w:pPr>
      <w:r w:rsidRPr="00C05132">
        <w:rPr>
          <w:rFonts w:cs="Segoe UI"/>
        </w:rPr>
        <w:t xml:space="preserve">Citation: </w:t>
      </w:r>
      <w:r w:rsidR="00442C1C" w:rsidRPr="00C05132">
        <w:rPr>
          <w:rFonts w:cs="Segoe UI"/>
        </w:rPr>
        <w:t xml:space="preserve">Ministry of Health. </w:t>
      </w:r>
      <w:r w:rsidR="008C1116">
        <w:rPr>
          <w:rFonts w:cs="Segoe UI"/>
        </w:rPr>
        <w:t>2025</w:t>
      </w:r>
      <w:r w:rsidR="00442C1C" w:rsidRPr="00C05132">
        <w:rPr>
          <w:rFonts w:cs="Segoe UI"/>
        </w:rPr>
        <w:t xml:space="preserve">. </w:t>
      </w:r>
      <w:r w:rsidR="008C1116" w:rsidRPr="008C1116">
        <w:rPr>
          <w:rFonts w:cs="Segoe UI"/>
          <w:i/>
        </w:rPr>
        <w:t>Guidelines for the Role and Function of District Inspectors.</w:t>
      </w:r>
      <w:r w:rsidR="00442C1C" w:rsidRPr="00C05132">
        <w:rPr>
          <w:rFonts w:cs="Segoe UI"/>
        </w:rPr>
        <w:t xml:space="preserve"> Wellington: Ministry of Health.</w:t>
      </w:r>
    </w:p>
    <w:p w14:paraId="7909192E" w14:textId="224B1A05" w:rsidR="00C86248" w:rsidRDefault="00C86248">
      <w:pPr>
        <w:pStyle w:val="Imprint"/>
      </w:pPr>
      <w:r>
        <w:t xml:space="preserve">Published in </w:t>
      </w:r>
      <w:r w:rsidR="006D1FCA">
        <w:t xml:space="preserve">September 2025 </w:t>
      </w:r>
      <w:r>
        <w:t>by the</w:t>
      </w:r>
      <w:r w:rsidR="00442C1C">
        <w:t xml:space="preserve"> </w:t>
      </w:r>
      <w:r>
        <w:t>Ministry of Health</w:t>
      </w:r>
      <w:r>
        <w:br/>
        <w:t>PO Box 5013, Wellington</w:t>
      </w:r>
      <w:r w:rsidR="00A80363">
        <w:t xml:space="preserve"> 614</w:t>
      </w:r>
      <w:r w:rsidR="006041F0">
        <w:t>0</w:t>
      </w:r>
      <w:r>
        <w:t xml:space="preserve">, </w:t>
      </w:r>
      <w:r w:rsidR="00571223">
        <w:t>New Zealand</w:t>
      </w:r>
    </w:p>
    <w:p w14:paraId="6D17E5E8" w14:textId="3A2DE9B2" w:rsidR="00082CD6" w:rsidRPr="009C0F2D" w:rsidRDefault="00D863D0" w:rsidP="00082CD6">
      <w:pPr>
        <w:pStyle w:val="Imprint"/>
      </w:pPr>
      <w:r w:rsidRPr="00CC7071">
        <w:t>ISBN</w:t>
      </w:r>
      <w:r w:rsidR="00442C1C" w:rsidRPr="00CC7071">
        <w:t xml:space="preserve"> </w:t>
      </w:r>
      <w:r w:rsidR="00E47C33" w:rsidRPr="00E47C33">
        <w:t>978-1-991324-34-4</w:t>
      </w:r>
      <w:r w:rsidR="009A42D5" w:rsidRPr="00CC7071">
        <w:t xml:space="preserve"> (print)</w:t>
      </w:r>
      <w:r w:rsidR="009A42D5" w:rsidRPr="00CC7071">
        <w:br/>
        <w:t xml:space="preserve">ISBN </w:t>
      </w:r>
      <w:r w:rsidR="00413C85" w:rsidRPr="00413C85">
        <w:t>978-1-991324-35-1</w:t>
      </w:r>
      <w:r w:rsidR="00540ECB" w:rsidRPr="00540ECB">
        <w:t xml:space="preserve"> </w:t>
      </w:r>
      <w:r w:rsidRPr="00CC7071">
        <w:t>(</w:t>
      </w:r>
      <w:r w:rsidR="00442C1C" w:rsidRPr="00CC7071">
        <w:t>online</w:t>
      </w:r>
      <w:r w:rsidRPr="00CC7071">
        <w:t>)</w:t>
      </w:r>
      <w:r w:rsidR="00082CD6">
        <w:br/>
      </w:r>
      <w:r w:rsidR="00082CD6" w:rsidRPr="009C0F2D">
        <w:t xml:space="preserve">HP </w:t>
      </w:r>
      <w:r w:rsidR="008C1116">
        <w:t>8566</w:t>
      </w:r>
    </w:p>
    <w:p w14:paraId="48DBDA36" w14:textId="7263F306" w:rsidR="00C86248" w:rsidRDefault="00EA608C" w:rsidP="00A63DFF">
      <w:r w:rsidRPr="003D7765">
        <w:rPr>
          <w:noProof/>
        </w:rPr>
        <w:drawing>
          <wp:inline distT="0" distB="0" distL="0" distR="0" wp14:anchorId="7F6F146D" wp14:editId="1389585C">
            <wp:extent cx="1216800" cy="494305"/>
            <wp:effectExtent l="0" t="0" r="2540" b="1270"/>
            <wp:docPr id="1472750415" name="Picture 1472750415"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A blue and white sign with white text&#10;&#10;Description automatically generated"/>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354F16DF" w14:textId="77777777" w:rsidR="00A63DFF" w:rsidRDefault="00A63DFF" w:rsidP="00A63DFF">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5569ABBB">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ie, copy and redistribute the material in any medium or format; adapt ie,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13E3A6E4" w:rsidR="007E74F1" w:rsidRPr="001F45A7" w:rsidRDefault="007E74F1" w:rsidP="00A63DFF"/>
    <w:p w14:paraId="2113CC0B" w14:textId="77777777" w:rsidR="00C86248" w:rsidRDefault="00C86248">
      <w:pPr>
        <w:jc w:val="center"/>
        <w:sectPr w:rsidR="00C86248" w:rsidSect="00C05132">
          <w:footerReference w:type="even" r:id="rId16"/>
          <w:footerReference w:type="default" r:id="rId17"/>
          <w:pgSz w:w="11907" w:h="16834" w:code="9"/>
          <w:pgMar w:top="1701" w:right="2268" w:bottom="1134" w:left="2268" w:header="0" w:footer="0" w:gutter="0"/>
          <w:cols w:space="720"/>
          <w:vAlign w:val="bottom"/>
        </w:sectPr>
      </w:pPr>
    </w:p>
    <w:p w14:paraId="19DD75F4" w14:textId="77777777" w:rsidR="008C1116" w:rsidRDefault="008C1116" w:rsidP="008C1116">
      <w:pPr>
        <w:pStyle w:val="Heading1"/>
        <w:spacing w:before="0"/>
      </w:pPr>
      <w:bookmarkStart w:id="0" w:name="_Toc200199218"/>
      <w:bookmarkStart w:id="1" w:name="_Toc207353861"/>
      <w:bookmarkStart w:id="2" w:name="_Toc405792991"/>
      <w:bookmarkStart w:id="3" w:name="_Toc405793224"/>
      <w:r w:rsidRPr="00D475D0">
        <w:lastRenderedPageBreak/>
        <w:t>Abbreviations and definitions</w:t>
      </w:r>
      <w:bookmarkEnd w:id="0"/>
      <w:bookmarkEnd w:id="1"/>
    </w:p>
    <w:tbl>
      <w:tblPr>
        <w:tblW w:w="8295" w:type="dxa"/>
        <w:tblLayout w:type="fixed"/>
        <w:tblLook w:val="04A0" w:firstRow="1" w:lastRow="0" w:firstColumn="1" w:lastColumn="0" w:noHBand="0" w:noVBand="1"/>
      </w:tblPr>
      <w:tblGrid>
        <w:gridCol w:w="2518"/>
        <w:gridCol w:w="5777"/>
      </w:tblGrid>
      <w:tr w:rsidR="008C1116" w14:paraId="6164A675" w14:textId="77777777" w:rsidTr="00B43C67">
        <w:trPr>
          <w:cantSplit/>
          <w:trHeight w:val="300"/>
        </w:trPr>
        <w:tc>
          <w:tcPr>
            <w:tcW w:w="2518" w:type="dxa"/>
          </w:tcPr>
          <w:p w14:paraId="6002D753" w14:textId="77777777" w:rsidR="008C1116" w:rsidRPr="00DB38C3" w:rsidRDefault="008C1116" w:rsidP="008C1116">
            <w:pPr>
              <w:spacing w:before="90" w:after="90"/>
              <w:rPr>
                <w:szCs w:val="21"/>
              </w:rPr>
            </w:pPr>
            <w:bookmarkStart w:id="4" w:name="_Hlk199505778"/>
            <w:r>
              <w:rPr>
                <w:szCs w:val="21"/>
              </w:rPr>
              <w:t>A</w:t>
            </w:r>
            <w:r w:rsidRPr="00DB38C3">
              <w:rPr>
                <w:szCs w:val="21"/>
              </w:rPr>
              <w:t xml:space="preserve">pproved </w:t>
            </w:r>
            <w:r>
              <w:rPr>
                <w:szCs w:val="21"/>
              </w:rPr>
              <w:t>S</w:t>
            </w:r>
            <w:r w:rsidRPr="00DB38C3">
              <w:rPr>
                <w:szCs w:val="21"/>
              </w:rPr>
              <w:t>pecialist</w:t>
            </w:r>
          </w:p>
        </w:tc>
        <w:tc>
          <w:tcPr>
            <w:tcW w:w="5777" w:type="dxa"/>
          </w:tcPr>
          <w:p w14:paraId="680B6224" w14:textId="77777777" w:rsidR="008C1116" w:rsidRPr="001A4011" w:rsidRDefault="008C1116" w:rsidP="008C1116">
            <w:pPr>
              <w:spacing w:before="90" w:after="90"/>
            </w:pPr>
            <w:r>
              <w:t xml:space="preserve">As defined in section 4 of the Substance Addiction Act, and is: </w:t>
            </w:r>
          </w:p>
          <w:p w14:paraId="17C0FADD" w14:textId="77777777" w:rsidR="008C1116" w:rsidRPr="001A4011" w:rsidRDefault="008C1116" w:rsidP="008C1116">
            <w:pPr>
              <w:spacing w:before="90" w:after="90"/>
              <w:rPr>
                <w:rFonts w:eastAsia="Segoe UI" w:cs="Segoe UI"/>
                <w:szCs w:val="21"/>
              </w:rPr>
            </w:pPr>
            <w:r w:rsidRPr="001A4011">
              <w:rPr>
                <w:rFonts w:eastAsia="Segoe UI" w:cs="Segoe UI"/>
                <w:color w:val="000000" w:themeColor="text1"/>
                <w:szCs w:val="21"/>
              </w:rPr>
              <w:t>a health professional with significant experience in the treatment of severe substance addictions and who is suitably qualified to conduct specialist assessments and reviews under this Act.</w:t>
            </w:r>
          </w:p>
        </w:tc>
      </w:tr>
      <w:tr w:rsidR="008C1116" w:rsidRPr="00193FF2" w14:paraId="170FF201" w14:textId="77777777" w:rsidTr="00B43C67">
        <w:trPr>
          <w:cantSplit/>
        </w:trPr>
        <w:tc>
          <w:tcPr>
            <w:tcW w:w="2518" w:type="dxa"/>
          </w:tcPr>
          <w:p w14:paraId="6D52BCDA" w14:textId="77777777" w:rsidR="008C1116" w:rsidRPr="00223249" w:rsidRDefault="008C1116" w:rsidP="008C1116">
            <w:pPr>
              <w:spacing w:before="90" w:after="90"/>
              <w:rPr>
                <w:i/>
                <w:iCs/>
                <w:szCs w:val="21"/>
              </w:rPr>
            </w:pPr>
            <w:r w:rsidRPr="00223249">
              <w:rPr>
                <w:i/>
                <w:iCs/>
                <w:szCs w:val="21"/>
              </w:rPr>
              <w:t>care recipient</w:t>
            </w:r>
            <w:r>
              <w:rPr>
                <w:rStyle w:val="FootnoteReference"/>
                <w:i/>
                <w:iCs/>
                <w:szCs w:val="21"/>
              </w:rPr>
              <w:footnoteReference w:id="1"/>
            </w:r>
          </w:p>
          <w:p w14:paraId="1A23FC0C" w14:textId="77777777" w:rsidR="008C1116" w:rsidRPr="00DB38C3" w:rsidRDefault="008C1116" w:rsidP="008C1116">
            <w:pPr>
              <w:spacing w:before="90" w:after="90"/>
              <w:rPr>
                <w:szCs w:val="21"/>
              </w:rPr>
            </w:pPr>
          </w:p>
          <w:p w14:paraId="71890DC8" w14:textId="77777777" w:rsidR="008C1116" w:rsidRPr="00DB38C3" w:rsidRDefault="008C1116" w:rsidP="008C1116">
            <w:pPr>
              <w:spacing w:before="90" w:after="90"/>
              <w:rPr>
                <w:szCs w:val="21"/>
              </w:rPr>
            </w:pPr>
          </w:p>
        </w:tc>
        <w:tc>
          <w:tcPr>
            <w:tcW w:w="5777" w:type="dxa"/>
          </w:tcPr>
          <w:p w14:paraId="31E29F0E" w14:textId="479EFCF4" w:rsidR="008C1116" w:rsidRPr="00DB38C3" w:rsidRDefault="008C1116" w:rsidP="008C1116">
            <w:pPr>
              <w:spacing w:before="90" w:after="90"/>
              <w:rPr>
                <w:szCs w:val="21"/>
              </w:rPr>
            </w:pPr>
            <w:r>
              <w:rPr>
                <w:szCs w:val="21"/>
              </w:rPr>
              <w:t>A</w:t>
            </w:r>
            <w:r w:rsidRPr="00DB38C3">
              <w:rPr>
                <w:szCs w:val="21"/>
              </w:rPr>
              <w:t xml:space="preserve">s defined in section </w:t>
            </w:r>
            <w:r>
              <w:rPr>
                <w:szCs w:val="21"/>
              </w:rPr>
              <w:t>6</w:t>
            </w:r>
            <w:r w:rsidRPr="00DB38C3">
              <w:rPr>
                <w:szCs w:val="21"/>
              </w:rPr>
              <w:t xml:space="preserve">(1) of the </w:t>
            </w:r>
            <w:r w:rsidR="004D434F" w:rsidRPr="00D3249D">
              <w:rPr>
                <w:rFonts w:eastAsia="Segoe UI"/>
              </w:rPr>
              <w:t>Intellectual Disability Act</w:t>
            </w:r>
            <w:r w:rsidRPr="00DB38C3">
              <w:rPr>
                <w:szCs w:val="21"/>
              </w:rPr>
              <w:t>, a person who is:</w:t>
            </w:r>
          </w:p>
          <w:p w14:paraId="5DFC970E" w14:textId="77777777" w:rsidR="008C1116" w:rsidRPr="00DB38C3" w:rsidRDefault="008C1116" w:rsidP="008C1116">
            <w:pPr>
              <w:pStyle w:val="Letter"/>
              <w:spacing w:before="90" w:after="90"/>
              <w:ind w:left="352" w:hanging="352"/>
            </w:pPr>
            <w:r w:rsidRPr="00DB38C3">
              <w:t xml:space="preserve">a special </w:t>
            </w:r>
            <w:r w:rsidRPr="0048574C">
              <w:rPr>
                <w:i/>
                <w:iCs/>
              </w:rPr>
              <w:t>care recipient</w:t>
            </w:r>
            <w:r w:rsidRPr="00DB38C3">
              <w:t>; or</w:t>
            </w:r>
          </w:p>
          <w:p w14:paraId="3E3BCC0D" w14:textId="77777777" w:rsidR="008C1116" w:rsidRPr="003A68F8" w:rsidRDefault="008C1116" w:rsidP="008C1116">
            <w:pPr>
              <w:pStyle w:val="Letter"/>
              <w:spacing w:before="90" w:after="90"/>
              <w:ind w:left="352" w:hanging="352"/>
            </w:pPr>
            <w:r w:rsidRPr="00DB38C3">
              <w:t xml:space="preserve">a </w:t>
            </w:r>
            <w:r w:rsidRPr="0048574C">
              <w:rPr>
                <w:i/>
                <w:iCs/>
              </w:rPr>
              <w:t>care recipient</w:t>
            </w:r>
            <w:r w:rsidRPr="00DB38C3">
              <w:t xml:space="preserve"> no longer subject to the criminal justice system.</w:t>
            </w:r>
          </w:p>
        </w:tc>
      </w:tr>
      <w:tr w:rsidR="008C1116" w:rsidRPr="00193FF2" w14:paraId="456CBFF6" w14:textId="77777777" w:rsidTr="00B43C67">
        <w:trPr>
          <w:cantSplit/>
        </w:trPr>
        <w:tc>
          <w:tcPr>
            <w:tcW w:w="2518" w:type="dxa"/>
          </w:tcPr>
          <w:p w14:paraId="59C3DDB0" w14:textId="77777777" w:rsidR="008C1116" w:rsidRPr="00DB38C3" w:rsidRDefault="008C1116" w:rsidP="008C1116">
            <w:pPr>
              <w:spacing w:before="90" w:after="90"/>
              <w:rPr>
                <w:szCs w:val="21"/>
              </w:rPr>
            </w:pPr>
            <w:r w:rsidRPr="00DB38C3">
              <w:rPr>
                <w:szCs w:val="21"/>
              </w:rPr>
              <w:t>Code of Rights or Code</w:t>
            </w:r>
          </w:p>
        </w:tc>
        <w:tc>
          <w:tcPr>
            <w:tcW w:w="5777" w:type="dxa"/>
          </w:tcPr>
          <w:p w14:paraId="4A1C9429" w14:textId="77777777" w:rsidR="008C1116" w:rsidRPr="00DB38C3" w:rsidRDefault="008C1116" w:rsidP="008C1116">
            <w:pPr>
              <w:spacing w:before="90" w:after="90"/>
              <w:rPr>
                <w:szCs w:val="21"/>
              </w:rPr>
            </w:pPr>
            <w:bookmarkStart w:id="5" w:name="_Hlk109640917"/>
            <w:r w:rsidRPr="00DB38C3">
              <w:rPr>
                <w:szCs w:val="21"/>
              </w:rPr>
              <w:t>Code of Health and Disability Services Consumers’ Right</w:t>
            </w:r>
            <w:bookmarkEnd w:id="5"/>
            <w:r w:rsidRPr="00DB38C3">
              <w:rPr>
                <w:szCs w:val="21"/>
              </w:rPr>
              <w:t>s</w:t>
            </w:r>
            <w:r>
              <w:rPr>
                <w:szCs w:val="21"/>
              </w:rPr>
              <w:t>.</w:t>
            </w:r>
          </w:p>
        </w:tc>
      </w:tr>
      <w:tr w:rsidR="008C1116" w:rsidRPr="00193FF2" w14:paraId="005C51C6" w14:textId="77777777" w:rsidTr="00B43C67">
        <w:trPr>
          <w:cantSplit/>
        </w:trPr>
        <w:tc>
          <w:tcPr>
            <w:tcW w:w="2518" w:type="dxa"/>
          </w:tcPr>
          <w:p w14:paraId="780D1CC0" w14:textId="77777777" w:rsidR="008C1116" w:rsidRPr="00DB38C3" w:rsidRDefault="008C1116" w:rsidP="008C1116">
            <w:pPr>
              <w:spacing w:before="90" w:after="90"/>
              <w:rPr>
                <w:szCs w:val="21"/>
              </w:rPr>
            </w:pPr>
            <w:r w:rsidRPr="00DB38C3">
              <w:rPr>
                <w:szCs w:val="21"/>
              </w:rPr>
              <w:t>DAMH</w:t>
            </w:r>
            <w:r>
              <w:rPr>
                <w:szCs w:val="21"/>
              </w:rPr>
              <w:t>S</w:t>
            </w:r>
          </w:p>
        </w:tc>
        <w:tc>
          <w:tcPr>
            <w:tcW w:w="5777" w:type="dxa"/>
          </w:tcPr>
          <w:p w14:paraId="2A14F088" w14:textId="77777777" w:rsidR="008C1116" w:rsidRPr="00DB38C3" w:rsidRDefault="008C1116" w:rsidP="008C1116">
            <w:pPr>
              <w:spacing w:before="90" w:after="90"/>
              <w:rPr>
                <w:szCs w:val="21"/>
              </w:rPr>
            </w:pPr>
            <w:r w:rsidRPr="00DB38C3">
              <w:rPr>
                <w:szCs w:val="21"/>
              </w:rPr>
              <w:t>Director of Area Mental Health Services as defined in section 2(1) of the Mental Health Act</w:t>
            </w:r>
            <w:r>
              <w:rPr>
                <w:szCs w:val="21"/>
              </w:rPr>
              <w:t>.</w:t>
            </w:r>
          </w:p>
        </w:tc>
      </w:tr>
      <w:tr w:rsidR="00E621A3" w:rsidRPr="00193FF2" w14:paraId="449D45B7" w14:textId="77777777" w:rsidTr="00B43C67">
        <w:trPr>
          <w:cantSplit/>
        </w:trPr>
        <w:tc>
          <w:tcPr>
            <w:tcW w:w="2518" w:type="dxa"/>
          </w:tcPr>
          <w:p w14:paraId="32A8A80D" w14:textId="05B9642A" w:rsidR="00E621A3" w:rsidRPr="00DB38C3" w:rsidRDefault="009B6FFE" w:rsidP="008C1116">
            <w:pPr>
              <w:spacing w:before="90" w:after="90"/>
              <w:rPr>
                <w:szCs w:val="21"/>
              </w:rPr>
            </w:pPr>
            <w:r>
              <w:rPr>
                <w:szCs w:val="21"/>
              </w:rPr>
              <w:t>t</w:t>
            </w:r>
            <w:r w:rsidR="00E621A3">
              <w:rPr>
                <w:szCs w:val="21"/>
              </w:rPr>
              <w:t>he Director</w:t>
            </w:r>
          </w:p>
        </w:tc>
        <w:tc>
          <w:tcPr>
            <w:tcW w:w="5777" w:type="dxa"/>
          </w:tcPr>
          <w:p w14:paraId="0B43D70A" w14:textId="5779C199" w:rsidR="00E621A3" w:rsidRPr="00DB38C3" w:rsidRDefault="00E621A3" w:rsidP="008C1116">
            <w:pPr>
              <w:spacing w:before="90" w:after="90"/>
              <w:rPr>
                <w:szCs w:val="21"/>
              </w:rPr>
            </w:pPr>
            <w:r>
              <w:rPr>
                <w:szCs w:val="21"/>
              </w:rPr>
              <w:t>The Director of Mental Health and Addiction Services</w:t>
            </w:r>
            <w:r w:rsidR="002D7D76">
              <w:rPr>
                <w:szCs w:val="21"/>
              </w:rPr>
              <w:t>, who currently holds the statutory roles of Director of Mental Health and Director of Addiction Services</w:t>
            </w:r>
            <w:r>
              <w:rPr>
                <w:szCs w:val="21"/>
              </w:rPr>
              <w:t>.</w:t>
            </w:r>
          </w:p>
        </w:tc>
      </w:tr>
      <w:tr w:rsidR="008C1116" w:rsidRPr="00193FF2" w14:paraId="0357155B" w14:textId="77777777" w:rsidTr="00B43C67">
        <w:trPr>
          <w:cantSplit/>
        </w:trPr>
        <w:tc>
          <w:tcPr>
            <w:tcW w:w="2518" w:type="dxa"/>
          </w:tcPr>
          <w:p w14:paraId="70B9CD87" w14:textId="6E2E5298" w:rsidR="008C1116" w:rsidRPr="00DB38C3" w:rsidRDefault="008C1116" w:rsidP="008C1116">
            <w:pPr>
              <w:spacing w:before="90" w:after="90"/>
            </w:pPr>
            <w:r>
              <w:t xml:space="preserve">Director of Area Addiction Services </w:t>
            </w:r>
            <w:r w:rsidR="00E548A1">
              <w:br/>
            </w:r>
            <w:r>
              <w:t>(Area Director)</w:t>
            </w:r>
          </w:p>
        </w:tc>
        <w:tc>
          <w:tcPr>
            <w:tcW w:w="5777" w:type="dxa"/>
          </w:tcPr>
          <w:p w14:paraId="230EA184" w14:textId="77777777" w:rsidR="008C1116" w:rsidRPr="00DB38C3" w:rsidRDefault="008C1116" w:rsidP="008C1116">
            <w:pPr>
              <w:spacing w:before="90" w:after="90"/>
              <w:rPr>
                <w:szCs w:val="21"/>
              </w:rPr>
            </w:pPr>
            <w:r>
              <w:rPr>
                <w:szCs w:val="21"/>
              </w:rPr>
              <w:t>A</w:t>
            </w:r>
            <w:r w:rsidRPr="00DB38C3">
              <w:rPr>
                <w:szCs w:val="21"/>
              </w:rPr>
              <w:t>s defined in section 4 of the Substance Addiction Act</w:t>
            </w:r>
            <w:r>
              <w:rPr>
                <w:szCs w:val="21"/>
              </w:rPr>
              <w:t>.</w:t>
            </w:r>
          </w:p>
        </w:tc>
      </w:tr>
      <w:tr w:rsidR="008C1116" w:rsidRPr="00193FF2" w14:paraId="3CB0F404" w14:textId="77777777" w:rsidTr="00B43C67">
        <w:trPr>
          <w:cantSplit/>
        </w:trPr>
        <w:tc>
          <w:tcPr>
            <w:tcW w:w="2518" w:type="dxa"/>
          </w:tcPr>
          <w:p w14:paraId="3EDAF3B7" w14:textId="77777777" w:rsidR="008C1116" w:rsidRPr="00DB38C3" w:rsidRDefault="008C1116" w:rsidP="008C1116">
            <w:pPr>
              <w:spacing w:before="90" w:after="90"/>
              <w:rPr>
                <w:szCs w:val="21"/>
              </w:rPr>
            </w:pPr>
            <w:r w:rsidRPr="00DB38C3">
              <w:rPr>
                <w:szCs w:val="21"/>
              </w:rPr>
              <w:t>district inspector</w:t>
            </w:r>
          </w:p>
        </w:tc>
        <w:tc>
          <w:tcPr>
            <w:tcW w:w="5777" w:type="dxa"/>
          </w:tcPr>
          <w:p w14:paraId="70C47B09" w14:textId="395AE6F8" w:rsidR="008C1116" w:rsidRPr="00DB38C3" w:rsidRDefault="008C1116" w:rsidP="008C1116">
            <w:pPr>
              <w:spacing w:before="90" w:after="90"/>
            </w:pPr>
            <w:r>
              <w:t xml:space="preserve">A lawyer appointed pursuant to section 94 of the Mental Health Act, or section 90 of the Substance Addiction Act or section 144 of the </w:t>
            </w:r>
            <w:r w:rsidR="004D434F" w:rsidRPr="004D434F">
              <w:t>Intellectual Disability Act</w:t>
            </w:r>
            <w:r>
              <w:t>to be a district inspector and includes a person appointed to be a deputy district inspector pursuant to that section.</w:t>
            </w:r>
          </w:p>
        </w:tc>
      </w:tr>
      <w:tr w:rsidR="008C1116" w:rsidRPr="00193FF2" w14:paraId="54273A8A" w14:textId="77777777" w:rsidTr="00B43C67">
        <w:trPr>
          <w:cantSplit/>
        </w:trPr>
        <w:tc>
          <w:tcPr>
            <w:tcW w:w="2518" w:type="dxa"/>
          </w:tcPr>
          <w:p w14:paraId="6B8E1F15" w14:textId="77777777" w:rsidR="008C1116" w:rsidRPr="00DB38C3" w:rsidDel="00F15D88" w:rsidRDefault="008C1116" w:rsidP="008C1116">
            <w:pPr>
              <w:spacing w:before="90" w:after="90"/>
              <w:rPr>
                <w:szCs w:val="21"/>
              </w:rPr>
            </w:pPr>
            <w:r>
              <w:rPr>
                <w:szCs w:val="21"/>
              </w:rPr>
              <w:t>human rights based approach</w:t>
            </w:r>
          </w:p>
        </w:tc>
        <w:tc>
          <w:tcPr>
            <w:tcW w:w="5777" w:type="dxa"/>
          </w:tcPr>
          <w:p w14:paraId="464B5C78" w14:textId="77777777" w:rsidR="008C1116" w:rsidRPr="00DB38C3" w:rsidRDefault="008C1116" w:rsidP="008C1116">
            <w:pPr>
              <w:spacing w:before="90" w:after="90"/>
              <w:rPr>
                <w:szCs w:val="21"/>
              </w:rPr>
            </w:pPr>
            <w:r>
              <w:rPr>
                <w:szCs w:val="21"/>
              </w:rPr>
              <w:t>A</w:t>
            </w:r>
            <w:r w:rsidRPr="00060E8C">
              <w:rPr>
                <w:szCs w:val="21"/>
              </w:rPr>
              <w:t xml:space="preserve"> rights-based approach to mental health</w:t>
            </w:r>
            <w:r>
              <w:rPr>
                <w:szCs w:val="21"/>
              </w:rPr>
              <w:t>, addiction and disabilities</w:t>
            </w:r>
            <w:r w:rsidRPr="00060E8C">
              <w:rPr>
                <w:szCs w:val="21"/>
              </w:rPr>
              <w:t xml:space="preserve"> promotes and protects human rights in policy and in services, including a person’s right to autonomy, dignity, self-determination and tino rangatiratanga. A rights-based approach to mental health means that a person remains central to all decisions that affect them, including decisions about their treatment and care.</w:t>
            </w:r>
          </w:p>
        </w:tc>
      </w:tr>
      <w:tr w:rsidR="008C1116" w:rsidRPr="00193FF2" w14:paraId="19206831" w14:textId="77777777" w:rsidTr="00B43C67">
        <w:trPr>
          <w:cantSplit/>
        </w:trPr>
        <w:tc>
          <w:tcPr>
            <w:tcW w:w="2518" w:type="dxa"/>
          </w:tcPr>
          <w:p w14:paraId="7FFD9CE4" w14:textId="6F5B9920" w:rsidR="008C1116" w:rsidRPr="00DB38C3" w:rsidRDefault="00E27AEB" w:rsidP="008C1116">
            <w:pPr>
              <w:spacing w:before="90" w:after="90"/>
              <w:rPr>
                <w:szCs w:val="21"/>
              </w:rPr>
            </w:pPr>
            <w:r>
              <w:rPr>
                <w:szCs w:val="21"/>
              </w:rPr>
              <w:lastRenderedPageBreak/>
              <w:t>Intellectual Disability Act</w:t>
            </w:r>
          </w:p>
        </w:tc>
        <w:tc>
          <w:tcPr>
            <w:tcW w:w="5777" w:type="dxa"/>
          </w:tcPr>
          <w:p w14:paraId="3F78D216" w14:textId="77777777" w:rsidR="008C1116" w:rsidRPr="00DB38C3" w:rsidRDefault="008C1116" w:rsidP="008C1116">
            <w:pPr>
              <w:spacing w:before="90" w:after="90"/>
              <w:rPr>
                <w:szCs w:val="21"/>
              </w:rPr>
            </w:pPr>
            <w:r w:rsidRPr="00DB38C3">
              <w:rPr>
                <w:szCs w:val="21"/>
              </w:rPr>
              <w:t>Intellectual Disability (Compulsory Care and Rehabilitation) Act 2003</w:t>
            </w:r>
            <w:r>
              <w:rPr>
                <w:szCs w:val="21"/>
              </w:rPr>
              <w:t>.</w:t>
            </w:r>
          </w:p>
        </w:tc>
      </w:tr>
      <w:tr w:rsidR="008C1116" w:rsidRPr="00193FF2" w14:paraId="0354DE15" w14:textId="77777777" w:rsidTr="00B43C67">
        <w:trPr>
          <w:cantSplit/>
        </w:trPr>
        <w:tc>
          <w:tcPr>
            <w:tcW w:w="2518" w:type="dxa"/>
          </w:tcPr>
          <w:p w14:paraId="0B49DD3F" w14:textId="77777777" w:rsidR="008C1116" w:rsidRPr="00DB38C3" w:rsidRDefault="008C1116" w:rsidP="008C1116">
            <w:pPr>
              <w:spacing w:before="90" w:after="90"/>
              <w:rPr>
                <w:szCs w:val="21"/>
              </w:rPr>
            </w:pPr>
            <w:r>
              <w:rPr>
                <w:szCs w:val="21"/>
              </w:rPr>
              <w:t>l</w:t>
            </w:r>
            <w:r w:rsidRPr="00A13A1F">
              <w:rPr>
                <w:szCs w:val="21"/>
              </w:rPr>
              <w:t>ived experience advisor</w:t>
            </w:r>
          </w:p>
        </w:tc>
        <w:tc>
          <w:tcPr>
            <w:tcW w:w="5777" w:type="dxa"/>
          </w:tcPr>
          <w:p w14:paraId="2BB96B44" w14:textId="77777777" w:rsidR="008C1116" w:rsidRPr="00DB38C3" w:rsidRDefault="008C1116" w:rsidP="008C1116">
            <w:pPr>
              <w:spacing w:before="90" w:after="90"/>
            </w:pPr>
            <w:r>
              <w:t>A</w:t>
            </w:r>
            <w:r w:rsidRPr="7D78783F">
              <w:t xml:space="preserve"> person with a personal lived experience of mental health or addiction challenges who is employed to provide support, advocacy and advice within a service. Other job titles that bring a lived experience perspective are ‘lived experience worker’ and ‘peer support worker’. Te Pou states that people in these roles are ‘trained and employed in specific and identified lived experience roles to support others and inform and lead policy, process and service development using our experience, shared values, competencies, and approaches [… and] may be employed anywhere in mental health, addiction, health, and social sectors, where people who are experiencing mental health and addiction needs seek support’</w:t>
            </w:r>
            <w:r w:rsidRPr="0002325A">
              <w:t>(Te Pou o te Whakaaro Nui 2020)</w:t>
            </w:r>
            <w:r>
              <w:t>.</w:t>
            </w:r>
          </w:p>
        </w:tc>
      </w:tr>
      <w:tr w:rsidR="008C1116" w:rsidRPr="00193FF2" w14:paraId="463F8B4B" w14:textId="77777777" w:rsidTr="00B43C67">
        <w:trPr>
          <w:cantSplit/>
        </w:trPr>
        <w:tc>
          <w:tcPr>
            <w:tcW w:w="2518" w:type="dxa"/>
          </w:tcPr>
          <w:p w14:paraId="69D87EF4" w14:textId="77777777" w:rsidR="008C1116" w:rsidRPr="00DB38C3" w:rsidRDefault="008C1116" w:rsidP="008C1116">
            <w:pPr>
              <w:spacing w:before="90" w:after="90"/>
              <w:rPr>
                <w:szCs w:val="21"/>
              </w:rPr>
            </w:pPr>
            <w:r>
              <w:rPr>
                <w:szCs w:val="21"/>
              </w:rPr>
              <w:t>lived experience</w:t>
            </w:r>
          </w:p>
        </w:tc>
        <w:tc>
          <w:tcPr>
            <w:tcW w:w="5777" w:type="dxa"/>
          </w:tcPr>
          <w:p w14:paraId="318B40BE" w14:textId="77777777" w:rsidR="008C1116" w:rsidRPr="00DB38C3" w:rsidRDefault="008C1116" w:rsidP="008C1116">
            <w:pPr>
              <w:spacing w:before="90" w:after="90"/>
              <w:rPr>
                <w:szCs w:val="21"/>
              </w:rPr>
            </w:pPr>
            <w:r>
              <w:rPr>
                <w:szCs w:val="21"/>
              </w:rPr>
              <w:t>U</w:t>
            </w:r>
            <w:r w:rsidRPr="009E2EB0">
              <w:rPr>
                <w:szCs w:val="21"/>
              </w:rPr>
              <w:t>nder section 0.3 of Ngā Paerewa</w:t>
            </w:r>
            <w:r>
              <w:rPr>
                <w:szCs w:val="21"/>
              </w:rPr>
              <w:t xml:space="preserve"> Health and Disability Services Standard (NZS 8134:2021)</w:t>
            </w:r>
            <w:r w:rsidRPr="009E2EB0">
              <w:rPr>
                <w:szCs w:val="21"/>
              </w:rPr>
              <w:t>, ‘Expertise, skills, and knowledge gained through direct, first-hand receipt of care of support services’</w:t>
            </w:r>
            <w:r>
              <w:rPr>
                <w:szCs w:val="21"/>
              </w:rPr>
              <w:t xml:space="preserve"> (Standards New Zealand 2021)</w:t>
            </w:r>
            <w:r w:rsidRPr="009E2EB0">
              <w:rPr>
                <w:szCs w:val="21"/>
              </w:rPr>
              <w:t>.</w:t>
            </w:r>
          </w:p>
        </w:tc>
      </w:tr>
      <w:tr w:rsidR="008C1116" w:rsidRPr="00193FF2" w14:paraId="7B331D6F" w14:textId="77777777" w:rsidTr="00B43C67">
        <w:trPr>
          <w:cantSplit/>
        </w:trPr>
        <w:tc>
          <w:tcPr>
            <w:tcW w:w="2518" w:type="dxa"/>
          </w:tcPr>
          <w:p w14:paraId="0ECFA706" w14:textId="77777777" w:rsidR="008C1116" w:rsidRPr="00DB38C3" w:rsidRDefault="008C1116" w:rsidP="008C1116">
            <w:pPr>
              <w:spacing w:before="90" w:after="90"/>
              <w:rPr>
                <w:szCs w:val="21"/>
              </w:rPr>
            </w:pPr>
            <w:r w:rsidRPr="00DB38C3">
              <w:rPr>
                <w:szCs w:val="21"/>
              </w:rPr>
              <w:t>medical practitioner</w:t>
            </w:r>
          </w:p>
        </w:tc>
        <w:tc>
          <w:tcPr>
            <w:tcW w:w="5777" w:type="dxa"/>
          </w:tcPr>
          <w:p w14:paraId="4F473E70" w14:textId="77777777" w:rsidR="008C1116" w:rsidRPr="00DB38C3" w:rsidRDefault="008C1116" w:rsidP="008C1116">
            <w:pPr>
              <w:spacing w:before="90" w:after="90"/>
              <w:rPr>
                <w:szCs w:val="21"/>
              </w:rPr>
            </w:pPr>
            <w:r>
              <w:rPr>
                <w:szCs w:val="21"/>
              </w:rPr>
              <w:t>A</w:t>
            </w:r>
            <w:r w:rsidRPr="00DB38C3">
              <w:rPr>
                <w:szCs w:val="21"/>
              </w:rPr>
              <w:t>s defined in section 2(1) of the Mental Health Act, a health practitioner who is, or is deemed to be, registered with the Medical Council of New Zealand continued by</w:t>
            </w:r>
            <w:r>
              <w:rPr>
                <w:szCs w:val="21"/>
              </w:rPr>
              <w:t xml:space="preserve"> </w:t>
            </w:r>
            <w:bookmarkStart w:id="6" w:name="DLM204329"/>
            <w:r w:rsidRPr="00DB38C3">
              <w:rPr>
                <w:color w:val="2B579A"/>
                <w:szCs w:val="21"/>
                <w:shd w:val="clear" w:color="auto" w:fill="E6E6E6"/>
              </w:rPr>
              <w:fldChar w:fldCharType="begin"/>
            </w:r>
            <w:r w:rsidRPr="00DB38C3">
              <w:rPr>
                <w:szCs w:val="21"/>
              </w:rPr>
              <w:instrText xml:space="preserve"> HYPERLINK "https://www.legislation.govt.nz/act/public/1992/0046/latest/link.aspx?id=DLM204329" \l "DLM204329" </w:instrText>
            </w:r>
            <w:r w:rsidRPr="00DB38C3">
              <w:rPr>
                <w:color w:val="2B579A"/>
                <w:szCs w:val="21"/>
                <w:shd w:val="clear" w:color="auto" w:fill="E6E6E6"/>
              </w:rPr>
            </w:r>
            <w:r w:rsidRPr="00DB38C3">
              <w:rPr>
                <w:color w:val="2B579A"/>
                <w:szCs w:val="21"/>
                <w:shd w:val="clear" w:color="auto" w:fill="E6E6E6"/>
              </w:rPr>
              <w:fldChar w:fldCharType="separate"/>
            </w:r>
            <w:r w:rsidRPr="00DB38C3">
              <w:rPr>
                <w:szCs w:val="21"/>
              </w:rPr>
              <w:t>section</w:t>
            </w:r>
            <w:r>
              <w:rPr>
                <w:szCs w:val="21"/>
              </w:rPr>
              <w:t> </w:t>
            </w:r>
            <w:r w:rsidRPr="00DB38C3">
              <w:rPr>
                <w:szCs w:val="21"/>
              </w:rPr>
              <w:t>114(1)(a)</w:t>
            </w:r>
            <w:r w:rsidRPr="00DB38C3">
              <w:rPr>
                <w:color w:val="2B579A"/>
                <w:szCs w:val="21"/>
                <w:shd w:val="clear" w:color="auto" w:fill="E6E6E6"/>
              </w:rPr>
              <w:fldChar w:fldCharType="end"/>
            </w:r>
            <w:bookmarkEnd w:id="6"/>
            <w:r>
              <w:rPr>
                <w:szCs w:val="21"/>
              </w:rPr>
              <w:t xml:space="preserve"> </w:t>
            </w:r>
            <w:r w:rsidRPr="00DB38C3">
              <w:rPr>
                <w:szCs w:val="21"/>
              </w:rPr>
              <w:t>of the Health Practitioners Competence Assurance Act 2003 as a practitioner of the profession of medicine</w:t>
            </w:r>
            <w:r>
              <w:rPr>
                <w:szCs w:val="21"/>
              </w:rPr>
              <w:t>.</w:t>
            </w:r>
          </w:p>
        </w:tc>
      </w:tr>
      <w:tr w:rsidR="008C1116" w:rsidRPr="00193FF2" w14:paraId="0902E00C" w14:textId="77777777" w:rsidTr="00B43C67">
        <w:trPr>
          <w:cantSplit/>
        </w:trPr>
        <w:tc>
          <w:tcPr>
            <w:tcW w:w="2518" w:type="dxa"/>
          </w:tcPr>
          <w:p w14:paraId="72FD27DA" w14:textId="17E4C933" w:rsidR="008C1116" w:rsidRPr="00DB38C3" w:rsidRDefault="008C1116" w:rsidP="008C1116">
            <w:pPr>
              <w:spacing w:before="90" w:after="90"/>
              <w:rPr>
                <w:szCs w:val="21"/>
              </w:rPr>
            </w:pPr>
            <w:r w:rsidRPr="00DB38C3">
              <w:rPr>
                <w:szCs w:val="21"/>
              </w:rPr>
              <w:t>Mental Health Act</w:t>
            </w:r>
            <w:r w:rsidR="008214EF">
              <w:rPr>
                <w:szCs w:val="21"/>
              </w:rPr>
              <w:t xml:space="preserve"> </w:t>
            </w:r>
          </w:p>
        </w:tc>
        <w:tc>
          <w:tcPr>
            <w:tcW w:w="5777" w:type="dxa"/>
          </w:tcPr>
          <w:p w14:paraId="74EED233" w14:textId="77777777" w:rsidR="008C1116" w:rsidRPr="00DB38C3" w:rsidRDefault="008C1116" w:rsidP="008C1116">
            <w:pPr>
              <w:spacing w:before="90" w:after="90"/>
              <w:rPr>
                <w:szCs w:val="21"/>
              </w:rPr>
            </w:pPr>
            <w:r w:rsidRPr="00DB38C3">
              <w:rPr>
                <w:szCs w:val="21"/>
              </w:rPr>
              <w:t>Mental Health (Compulsory Assessment and Treatment) Act 1992</w:t>
            </w:r>
            <w:r>
              <w:rPr>
                <w:szCs w:val="21"/>
              </w:rPr>
              <w:t>.</w:t>
            </w:r>
          </w:p>
        </w:tc>
      </w:tr>
      <w:tr w:rsidR="008C1116" w:rsidRPr="00193FF2" w14:paraId="3DB7FF67" w14:textId="77777777" w:rsidTr="00B43C67">
        <w:trPr>
          <w:cantSplit/>
        </w:trPr>
        <w:tc>
          <w:tcPr>
            <w:tcW w:w="2518" w:type="dxa"/>
          </w:tcPr>
          <w:p w14:paraId="4E59E707" w14:textId="77777777" w:rsidR="008C1116" w:rsidRPr="00DB38C3" w:rsidRDefault="008C1116" w:rsidP="008C1116">
            <w:pPr>
              <w:spacing w:before="90" w:after="90"/>
              <w:rPr>
                <w:szCs w:val="21"/>
              </w:rPr>
            </w:pPr>
            <w:r>
              <w:t>Mental Health Act guidelines</w:t>
            </w:r>
          </w:p>
        </w:tc>
        <w:tc>
          <w:tcPr>
            <w:tcW w:w="5777" w:type="dxa"/>
          </w:tcPr>
          <w:p w14:paraId="6A00D9FF" w14:textId="77777777" w:rsidR="008C1116" w:rsidRPr="00DB38C3" w:rsidRDefault="008C1116" w:rsidP="008C1116">
            <w:pPr>
              <w:spacing w:before="90" w:after="90"/>
              <w:rPr>
                <w:szCs w:val="21"/>
              </w:rPr>
            </w:pPr>
            <w:r>
              <w:rPr>
                <w:i/>
              </w:rPr>
              <w:t>Guidelines to the Mental Health (Compulsory Assessment and Treatment) Act 1992</w:t>
            </w:r>
            <w:r>
              <w:t xml:space="preserve"> (Ministry of Health 2022b).</w:t>
            </w:r>
          </w:p>
        </w:tc>
      </w:tr>
      <w:tr w:rsidR="008C1116" w:rsidRPr="00193FF2" w14:paraId="67A9469A" w14:textId="77777777" w:rsidTr="00B43C67">
        <w:trPr>
          <w:cantSplit/>
        </w:trPr>
        <w:tc>
          <w:tcPr>
            <w:tcW w:w="2518" w:type="dxa"/>
          </w:tcPr>
          <w:p w14:paraId="56CDDE3F" w14:textId="77777777" w:rsidR="008C1116" w:rsidRPr="00DB38C3" w:rsidRDefault="008C1116" w:rsidP="008C1116">
            <w:pPr>
              <w:spacing w:before="90" w:after="90"/>
              <w:rPr>
                <w:szCs w:val="21"/>
              </w:rPr>
            </w:pPr>
            <w:r w:rsidRPr="00DB38C3">
              <w:rPr>
                <w:szCs w:val="21"/>
              </w:rPr>
              <w:t>mental health practitioner</w:t>
            </w:r>
          </w:p>
        </w:tc>
        <w:tc>
          <w:tcPr>
            <w:tcW w:w="5777" w:type="dxa"/>
          </w:tcPr>
          <w:p w14:paraId="32D3E9D5" w14:textId="77777777" w:rsidR="008C1116" w:rsidRPr="00DB38C3" w:rsidRDefault="008C1116" w:rsidP="008C1116">
            <w:pPr>
              <w:spacing w:before="90" w:after="90"/>
              <w:rPr>
                <w:szCs w:val="21"/>
              </w:rPr>
            </w:pPr>
            <w:r>
              <w:rPr>
                <w:szCs w:val="21"/>
              </w:rPr>
              <w:t>A</w:t>
            </w:r>
            <w:r w:rsidRPr="00DB38C3">
              <w:rPr>
                <w:szCs w:val="21"/>
              </w:rPr>
              <w:t>s defined in section 2</w:t>
            </w:r>
            <w:r>
              <w:rPr>
                <w:szCs w:val="21"/>
              </w:rPr>
              <w:t>(1)</w:t>
            </w:r>
            <w:r w:rsidRPr="00DB38C3">
              <w:rPr>
                <w:szCs w:val="21"/>
              </w:rPr>
              <w:t xml:space="preserve"> of the Mental Health Act:</w:t>
            </w:r>
          </w:p>
          <w:p w14:paraId="06BE6D25" w14:textId="77777777" w:rsidR="008C1116" w:rsidRPr="00DB38C3" w:rsidRDefault="008C1116" w:rsidP="008C1116">
            <w:pPr>
              <w:pStyle w:val="Bullet"/>
              <w:spacing w:after="90"/>
              <w:rPr>
                <w:szCs w:val="21"/>
              </w:rPr>
            </w:pPr>
            <w:r w:rsidRPr="00DB38C3">
              <w:rPr>
                <w:szCs w:val="21"/>
              </w:rPr>
              <w:t>a medical practitioner, or</w:t>
            </w:r>
          </w:p>
          <w:p w14:paraId="526DD2F9" w14:textId="77777777" w:rsidR="008C1116" w:rsidRPr="00DB38C3" w:rsidRDefault="008C1116" w:rsidP="008C1116">
            <w:pPr>
              <w:pStyle w:val="Bullet"/>
              <w:spacing w:after="90"/>
              <w:rPr>
                <w:szCs w:val="21"/>
              </w:rPr>
            </w:pPr>
            <w:r w:rsidRPr="00DB38C3">
              <w:rPr>
                <w:szCs w:val="21"/>
              </w:rPr>
              <w:t>a nurse practitioner, or</w:t>
            </w:r>
          </w:p>
          <w:p w14:paraId="5A436C94" w14:textId="77777777" w:rsidR="008C1116" w:rsidRPr="00DB38C3" w:rsidRDefault="008C1116" w:rsidP="008C1116">
            <w:pPr>
              <w:pStyle w:val="Bullet"/>
              <w:spacing w:after="90"/>
              <w:rPr>
                <w:szCs w:val="21"/>
              </w:rPr>
            </w:pPr>
            <w:r w:rsidRPr="00DB38C3">
              <w:rPr>
                <w:szCs w:val="21"/>
              </w:rPr>
              <w:t>a registered nurse practising in mental health (which is also defined in section 2 of the Mental Health Act)</w:t>
            </w:r>
            <w:r>
              <w:rPr>
                <w:szCs w:val="21"/>
              </w:rPr>
              <w:t>.</w:t>
            </w:r>
          </w:p>
        </w:tc>
      </w:tr>
      <w:tr w:rsidR="008C1116" w:rsidRPr="00193FF2" w14:paraId="19FA2DBE" w14:textId="77777777" w:rsidTr="00B43C67">
        <w:trPr>
          <w:cantSplit/>
        </w:trPr>
        <w:tc>
          <w:tcPr>
            <w:tcW w:w="2518" w:type="dxa"/>
          </w:tcPr>
          <w:p w14:paraId="64065DCE" w14:textId="77777777" w:rsidR="008C1116" w:rsidRPr="00DB38C3" w:rsidRDefault="008C1116" w:rsidP="008C1116">
            <w:pPr>
              <w:spacing w:before="90" w:after="90"/>
              <w:rPr>
                <w:szCs w:val="21"/>
              </w:rPr>
            </w:pPr>
            <w:r w:rsidRPr="00DB38C3">
              <w:rPr>
                <w:szCs w:val="21"/>
              </w:rPr>
              <w:t>MHRT</w:t>
            </w:r>
          </w:p>
        </w:tc>
        <w:tc>
          <w:tcPr>
            <w:tcW w:w="5777" w:type="dxa"/>
          </w:tcPr>
          <w:p w14:paraId="63499C33" w14:textId="77777777" w:rsidR="008C1116" w:rsidRPr="00DB38C3" w:rsidRDefault="008C1116" w:rsidP="008C1116">
            <w:pPr>
              <w:spacing w:before="90" w:after="90"/>
              <w:rPr>
                <w:szCs w:val="21"/>
              </w:rPr>
            </w:pPr>
            <w:r w:rsidRPr="00DD51E6">
              <w:rPr>
                <w:szCs w:val="21"/>
              </w:rPr>
              <w:t>The Mental Health Review Tribunal is an independent body appointed by the Minister of Health under the Mental Health Act</w:t>
            </w:r>
            <w:r>
              <w:rPr>
                <w:szCs w:val="21"/>
              </w:rPr>
              <w:t xml:space="preserve">. </w:t>
            </w:r>
          </w:p>
        </w:tc>
      </w:tr>
      <w:tr w:rsidR="00E621A3" w:rsidRPr="00193FF2" w14:paraId="4452E702" w14:textId="77777777" w:rsidTr="00B43C67">
        <w:trPr>
          <w:cantSplit/>
        </w:trPr>
        <w:tc>
          <w:tcPr>
            <w:tcW w:w="2518" w:type="dxa"/>
          </w:tcPr>
          <w:p w14:paraId="51A7045A" w14:textId="3A0A6048" w:rsidR="00E621A3" w:rsidRPr="00DB38C3" w:rsidRDefault="009B6FFE" w:rsidP="008C1116">
            <w:pPr>
              <w:spacing w:before="90" w:after="90"/>
              <w:rPr>
                <w:szCs w:val="21"/>
              </w:rPr>
            </w:pPr>
            <w:r>
              <w:rPr>
                <w:szCs w:val="21"/>
              </w:rPr>
              <w:t>the</w:t>
            </w:r>
            <w:r w:rsidR="00E621A3">
              <w:rPr>
                <w:szCs w:val="21"/>
              </w:rPr>
              <w:t xml:space="preserve"> Ministry</w:t>
            </w:r>
          </w:p>
        </w:tc>
        <w:tc>
          <w:tcPr>
            <w:tcW w:w="5777" w:type="dxa"/>
          </w:tcPr>
          <w:p w14:paraId="0F5ED660" w14:textId="2F21BC7D" w:rsidR="00E621A3" w:rsidRPr="00DD51E6" w:rsidRDefault="00E621A3" w:rsidP="008C1116">
            <w:pPr>
              <w:spacing w:before="90" w:after="90"/>
              <w:rPr>
                <w:szCs w:val="21"/>
              </w:rPr>
            </w:pPr>
            <w:r>
              <w:rPr>
                <w:szCs w:val="21"/>
              </w:rPr>
              <w:t xml:space="preserve">The Ministry of Health – </w:t>
            </w:r>
            <w:r w:rsidR="009B6FFE">
              <w:t>Manatū</w:t>
            </w:r>
            <w:r w:rsidR="009B6FFE">
              <w:rPr>
                <w:szCs w:val="21"/>
              </w:rPr>
              <w:t xml:space="preserve"> </w:t>
            </w:r>
            <w:r>
              <w:rPr>
                <w:szCs w:val="21"/>
              </w:rPr>
              <w:t>Hauora</w:t>
            </w:r>
          </w:p>
        </w:tc>
      </w:tr>
      <w:tr w:rsidR="008C1116" w:rsidRPr="00193FF2" w14:paraId="1D4CEE88" w14:textId="77777777" w:rsidTr="00B43C67">
        <w:trPr>
          <w:cantSplit/>
        </w:trPr>
        <w:tc>
          <w:tcPr>
            <w:tcW w:w="2518" w:type="dxa"/>
          </w:tcPr>
          <w:p w14:paraId="2DB98401" w14:textId="77777777" w:rsidR="008C1116" w:rsidRPr="00F91762" w:rsidRDefault="008C1116" w:rsidP="008C1116">
            <w:pPr>
              <w:spacing w:before="90" w:after="90"/>
              <w:rPr>
                <w:szCs w:val="21"/>
                <w:vertAlign w:val="superscript"/>
              </w:rPr>
            </w:pPr>
            <w:r w:rsidRPr="00DB38C3">
              <w:rPr>
                <w:i/>
                <w:szCs w:val="21"/>
              </w:rPr>
              <w:lastRenderedPageBreak/>
              <w:t>patient</w:t>
            </w:r>
            <w:r w:rsidRPr="00E428B1">
              <w:rPr>
                <w:iCs/>
                <w:szCs w:val="21"/>
                <w:vertAlign w:val="superscript"/>
              </w:rPr>
              <w:t>1</w:t>
            </w:r>
          </w:p>
        </w:tc>
        <w:tc>
          <w:tcPr>
            <w:tcW w:w="5777" w:type="dxa"/>
          </w:tcPr>
          <w:p w14:paraId="4109D3C2" w14:textId="77777777" w:rsidR="008C1116" w:rsidRPr="00DB38C3" w:rsidRDefault="008C1116" w:rsidP="008C1116">
            <w:pPr>
              <w:spacing w:before="90" w:after="90"/>
              <w:rPr>
                <w:szCs w:val="21"/>
              </w:rPr>
            </w:pPr>
            <w:r>
              <w:rPr>
                <w:szCs w:val="21"/>
              </w:rPr>
              <w:t>A</w:t>
            </w:r>
            <w:r w:rsidRPr="00DB38C3">
              <w:rPr>
                <w:szCs w:val="21"/>
              </w:rPr>
              <w:t>s defined in section 4 of the Substance Addiction Act, a person who is subject to compulsory status</w:t>
            </w:r>
            <w:r>
              <w:rPr>
                <w:szCs w:val="21"/>
              </w:rPr>
              <w:t>,</w:t>
            </w:r>
            <w:r w:rsidRPr="00DB38C3">
              <w:rPr>
                <w:szCs w:val="21"/>
              </w:rPr>
              <w:t xml:space="preserve"> or</w:t>
            </w:r>
          </w:p>
          <w:p w14:paraId="310D9890" w14:textId="77777777" w:rsidR="008C1116" w:rsidRPr="00DB38C3" w:rsidRDefault="008C1116" w:rsidP="008C1116">
            <w:pPr>
              <w:spacing w:before="90" w:after="90"/>
              <w:rPr>
                <w:szCs w:val="21"/>
              </w:rPr>
            </w:pPr>
            <w:r w:rsidRPr="00DB38C3">
              <w:rPr>
                <w:szCs w:val="21"/>
              </w:rPr>
              <w:t>as defined in section 2(1) of the Mental Health Act, a person who is:</w:t>
            </w:r>
          </w:p>
          <w:p w14:paraId="71A2930B" w14:textId="77777777" w:rsidR="008C1116" w:rsidRPr="00DB38C3" w:rsidRDefault="008C1116" w:rsidP="00B23CBC">
            <w:pPr>
              <w:pStyle w:val="ListParagraph"/>
              <w:numPr>
                <w:ilvl w:val="0"/>
                <w:numId w:val="6"/>
              </w:numPr>
              <w:spacing w:before="90" w:after="90"/>
              <w:ind w:left="341" w:hanging="341"/>
              <w:contextualSpacing w:val="0"/>
              <w:rPr>
                <w:szCs w:val="21"/>
              </w:rPr>
            </w:pPr>
            <w:r w:rsidRPr="00DB38C3">
              <w:rPr>
                <w:szCs w:val="21"/>
              </w:rPr>
              <w:t xml:space="preserve">required to undergo assessment under section 11 or section 13; or </w:t>
            </w:r>
          </w:p>
          <w:p w14:paraId="04EFF8D2" w14:textId="77777777" w:rsidR="008C1116" w:rsidRPr="00DB38C3" w:rsidRDefault="008C1116" w:rsidP="00B23CBC">
            <w:pPr>
              <w:pStyle w:val="ListParagraph"/>
              <w:numPr>
                <w:ilvl w:val="0"/>
                <w:numId w:val="6"/>
              </w:numPr>
              <w:spacing w:before="90" w:after="90"/>
              <w:ind w:left="341" w:hanging="341"/>
              <w:contextualSpacing w:val="0"/>
              <w:rPr>
                <w:szCs w:val="21"/>
              </w:rPr>
            </w:pPr>
            <w:r w:rsidRPr="00DB38C3">
              <w:rPr>
                <w:szCs w:val="21"/>
              </w:rPr>
              <w:t xml:space="preserve">subject to a compulsory treatment order made under Part 2; or </w:t>
            </w:r>
          </w:p>
          <w:p w14:paraId="05295274" w14:textId="77777777" w:rsidR="008C1116" w:rsidRPr="00DB38C3" w:rsidRDefault="008C1116" w:rsidP="00B23CBC">
            <w:pPr>
              <w:pStyle w:val="ListParagraph"/>
              <w:numPr>
                <w:ilvl w:val="0"/>
                <w:numId w:val="6"/>
              </w:numPr>
              <w:spacing w:before="90" w:after="90"/>
              <w:ind w:left="341" w:hanging="341"/>
              <w:contextualSpacing w:val="0"/>
              <w:rPr>
                <w:szCs w:val="21"/>
              </w:rPr>
            </w:pPr>
            <w:r w:rsidRPr="00DB38C3">
              <w:rPr>
                <w:szCs w:val="21"/>
              </w:rPr>
              <w:t xml:space="preserve">a </w:t>
            </w:r>
            <w:r w:rsidRPr="00DB38C3">
              <w:rPr>
                <w:iCs/>
                <w:szCs w:val="21"/>
              </w:rPr>
              <w:t>special</w:t>
            </w:r>
            <w:r w:rsidRPr="00DB38C3">
              <w:rPr>
                <w:i/>
                <w:szCs w:val="21"/>
              </w:rPr>
              <w:t xml:space="preserve"> </w:t>
            </w:r>
            <w:r w:rsidRPr="00DB38C3">
              <w:rPr>
                <w:iCs/>
                <w:szCs w:val="21"/>
              </w:rPr>
              <w:t>patient</w:t>
            </w:r>
            <w:r>
              <w:rPr>
                <w:iCs/>
                <w:szCs w:val="21"/>
              </w:rPr>
              <w:t>.</w:t>
            </w:r>
          </w:p>
        </w:tc>
      </w:tr>
      <w:tr w:rsidR="008C1116" w:rsidRPr="00193FF2" w14:paraId="54A104A9" w14:textId="77777777" w:rsidTr="00B43C67">
        <w:trPr>
          <w:cantSplit/>
        </w:trPr>
        <w:tc>
          <w:tcPr>
            <w:tcW w:w="2518" w:type="dxa"/>
          </w:tcPr>
          <w:p w14:paraId="2B678856" w14:textId="77777777" w:rsidR="008C1116" w:rsidRPr="00F91762" w:rsidRDefault="008C1116" w:rsidP="008C1116">
            <w:pPr>
              <w:spacing w:before="90" w:after="90"/>
              <w:rPr>
                <w:i/>
                <w:szCs w:val="21"/>
                <w:vertAlign w:val="superscript"/>
              </w:rPr>
            </w:pPr>
            <w:r w:rsidRPr="006E62CE">
              <w:rPr>
                <w:i/>
                <w:iCs/>
                <w:szCs w:val="21"/>
              </w:rPr>
              <w:t>proposed care recipient</w:t>
            </w:r>
            <w:r w:rsidRPr="00E428B1">
              <w:rPr>
                <w:szCs w:val="21"/>
                <w:vertAlign w:val="superscript"/>
              </w:rPr>
              <w:t>1</w:t>
            </w:r>
          </w:p>
        </w:tc>
        <w:tc>
          <w:tcPr>
            <w:tcW w:w="5777" w:type="dxa"/>
          </w:tcPr>
          <w:p w14:paraId="3DE6162C" w14:textId="46304A2E" w:rsidR="008C1116" w:rsidRDefault="008C1116" w:rsidP="008C1116">
            <w:pPr>
              <w:spacing w:before="90" w:after="90"/>
              <w:rPr>
                <w:szCs w:val="21"/>
              </w:rPr>
            </w:pPr>
            <w:r>
              <w:rPr>
                <w:szCs w:val="21"/>
              </w:rPr>
              <w:t>A</w:t>
            </w:r>
            <w:r w:rsidRPr="006E62CE">
              <w:rPr>
                <w:szCs w:val="21"/>
              </w:rPr>
              <w:t>s defined in section 6(4) of the</w:t>
            </w:r>
            <w:r>
              <w:rPr>
                <w:szCs w:val="21"/>
              </w:rPr>
              <w:t xml:space="preserve"> </w:t>
            </w:r>
            <w:r w:rsidR="00E27AEB">
              <w:rPr>
                <w:szCs w:val="21"/>
              </w:rPr>
              <w:t>Intellectual Disability Act</w:t>
            </w:r>
            <w:r w:rsidRPr="006E62CE">
              <w:rPr>
                <w:szCs w:val="21"/>
              </w:rPr>
              <w:t>, a person</w:t>
            </w:r>
            <w:r>
              <w:rPr>
                <w:szCs w:val="21"/>
              </w:rPr>
              <w:t xml:space="preserve">: </w:t>
            </w:r>
          </w:p>
          <w:p w14:paraId="3EED6209" w14:textId="459AA07A" w:rsidR="008C1116" w:rsidRDefault="008C1116" w:rsidP="00B23CBC">
            <w:pPr>
              <w:pStyle w:val="ListParagraph"/>
              <w:numPr>
                <w:ilvl w:val="0"/>
                <w:numId w:val="9"/>
              </w:numPr>
              <w:spacing w:before="90" w:after="90"/>
              <w:ind w:left="352" w:hanging="352"/>
              <w:contextualSpacing w:val="0"/>
              <w:rPr>
                <w:szCs w:val="21"/>
              </w:rPr>
            </w:pPr>
            <w:r>
              <w:rPr>
                <w:szCs w:val="21"/>
              </w:rPr>
              <w:t xml:space="preserve">who is being assessed under Part 3 and Part 4 of the </w:t>
            </w:r>
            <w:r w:rsidR="00E27AEB">
              <w:rPr>
                <w:szCs w:val="21"/>
              </w:rPr>
              <w:t>Intellectual Disability Act</w:t>
            </w:r>
            <w:r>
              <w:rPr>
                <w:szCs w:val="21"/>
              </w:rPr>
              <w:t xml:space="preserve">; or </w:t>
            </w:r>
          </w:p>
          <w:p w14:paraId="33D6DB1F" w14:textId="77777777" w:rsidR="008C1116" w:rsidRPr="00DB38C3" w:rsidRDefault="008C1116" w:rsidP="00B23CBC">
            <w:pPr>
              <w:pStyle w:val="ListParagraph"/>
              <w:numPr>
                <w:ilvl w:val="0"/>
                <w:numId w:val="9"/>
              </w:numPr>
              <w:spacing w:before="90" w:after="90"/>
              <w:ind w:left="352" w:hanging="352"/>
              <w:contextualSpacing w:val="0"/>
              <w:rPr>
                <w:szCs w:val="21"/>
              </w:rPr>
            </w:pPr>
            <w:r>
              <w:rPr>
                <w:szCs w:val="21"/>
              </w:rPr>
              <w:t xml:space="preserve">in respect of </w:t>
            </w:r>
            <w:r w:rsidRPr="00387339">
              <w:rPr>
                <w:szCs w:val="21"/>
              </w:rPr>
              <w:t>whom an application for a compulsory care order is pending before the Family Court.</w:t>
            </w:r>
          </w:p>
        </w:tc>
      </w:tr>
      <w:tr w:rsidR="008C1116" w:rsidRPr="00193FF2" w14:paraId="4A61EB22" w14:textId="77777777" w:rsidTr="00B43C67">
        <w:trPr>
          <w:cantSplit/>
        </w:trPr>
        <w:tc>
          <w:tcPr>
            <w:tcW w:w="2518" w:type="dxa"/>
          </w:tcPr>
          <w:p w14:paraId="403C9D6A" w14:textId="77777777" w:rsidR="008C1116" w:rsidRPr="00F91762" w:rsidRDefault="008C1116" w:rsidP="008C1116">
            <w:pPr>
              <w:spacing w:before="90" w:after="90"/>
              <w:rPr>
                <w:i/>
                <w:szCs w:val="21"/>
                <w:vertAlign w:val="superscript"/>
              </w:rPr>
            </w:pPr>
            <w:r w:rsidRPr="00153D91">
              <w:rPr>
                <w:i/>
                <w:szCs w:val="21"/>
              </w:rPr>
              <w:t>proposed patient</w:t>
            </w:r>
            <w:r w:rsidRPr="00E428B1">
              <w:rPr>
                <w:iCs/>
                <w:szCs w:val="21"/>
                <w:vertAlign w:val="superscript"/>
              </w:rPr>
              <w:t>1</w:t>
            </w:r>
          </w:p>
        </w:tc>
        <w:tc>
          <w:tcPr>
            <w:tcW w:w="5777" w:type="dxa"/>
          </w:tcPr>
          <w:p w14:paraId="706FB310" w14:textId="77777777" w:rsidR="008C1116" w:rsidRPr="00DB38C3" w:rsidRDefault="008C1116" w:rsidP="008C1116">
            <w:pPr>
              <w:spacing w:before="90" w:after="90"/>
              <w:rPr>
                <w:szCs w:val="21"/>
              </w:rPr>
            </w:pPr>
            <w:r>
              <w:rPr>
                <w:szCs w:val="21"/>
              </w:rPr>
              <w:t>A</w:t>
            </w:r>
            <w:r w:rsidRPr="00DB38C3">
              <w:rPr>
                <w:szCs w:val="21"/>
              </w:rPr>
              <w:t>s defined in section 2A of the Mental Health Act, a person:</w:t>
            </w:r>
          </w:p>
          <w:p w14:paraId="08355890" w14:textId="77777777" w:rsidR="008C1116" w:rsidRPr="00DB38C3" w:rsidRDefault="008C1116" w:rsidP="00B23CBC">
            <w:pPr>
              <w:pStyle w:val="ListParagraph"/>
              <w:numPr>
                <w:ilvl w:val="0"/>
                <w:numId w:val="7"/>
              </w:numPr>
              <w:spacing w:before="90" w:after="90"/>
              <w:ind w:left="483" w:hanging="483"/>
              <w:contextualSpacing w:val="0"/>
              <w:rPr>
                <w:szCs w:val="21"/>
              </w:rPr>
            </w:pPr>
            <w:r w:rsidRPr="00DB38C3">
              <w:rPr>
                <w:szCs w:val="21"/>
              </w:rPr>
              <w:t xml:space="preserve">starts being a </w:t>
            </w:r>
            <w:r w:rsidRPr="00DB38C3">
              <w:rPr>
                <w:i/>
                <w:szCs w:val="21"/>
              </w:rPr>
              <w:t>proposed patient</w:t>
            </w:r>
            <w:r w:rsidRPr="00DB38C3">
              <w:rPr>
                <w:szCs w:val="21"/>
              </w:rPr>
              <w:t xml:space="preserve"> when an application is made under section 8A; and </w:t>
            </w:r>
          </w:p>
          <w:p w14:paraId="01934796" w14:textId="77777777" w:rsidR="008C1116" w:rsidRPr="00DB38C3" w:rsidRDefault="008C1116" w:rsidP="00B23CBC">
            <w:pPr>
              <w:pStyle w:val="ListParagraph"/>
              <w:numPr>
                <w:ilvl w:val="0"/>
                <w:numId w:val="7"/>
              </w:numPr>
              <w:spacing w:before="90" w:after="90"/>
              <w:ind w:left="483" w:hanging="483"/>
              <w:contextualSpacing w:val="0"/>
              <w:rPr>
                <w:szCs w:val="21"/>
              </w:rPr>
            </w:pPr>
            <w:r w:rsidRPr="00DB38C3">
              <w:rPr>
                <w:szCs w:val="21"/>
              </w:rPr>
              <w:t xml:space="preserve">stops being a </w:t>
            </w:r>
            <w:r w:rsidRPr="00DB38C3">
              <w:rPr>
                <w:i/>
                <w:szCs w:val="21"/>
              </w:rPr>
              <w:t>proposed patient</w:t>
            </w:r>
            <w:r w:rsidRPr="00DB38C3">
              <w:rPr>
                <w:szCs w:val="21"/>
              </w:rPr>
              <w:t xml:space="preserve"> when a mental health practitioner records a finding— </w:t>
            </w:r>
          </w:p>
          <w:p w14:paraId="0A2DEC9C" w14:textId="77777777" w:rsidR="008C1116" w:rsidRPr="00DB38C3" w:rsidRDefault="008C1116" w:rsidP="00B23CBC">
            <w:pPr>
              <w:pStyle w:val="ListParagraph"/>
              <w:numPr>
                <w:ilvl w:val="0"/>
                <w:numId w:val="8"/>
              </w:numPr>
              <w:spacing w:before="90" w:after="90"/>
              <w:ind w:left="861"/>
              <w:contextualSpacing w:val="0"/>
              <w:rPr>
                <w:szCs w:val="21"/>
              </w:rPr>
            </w:pPr>
            <w:r w:rsidRPr="00DB38C3">
              <w:rPr>
                <w:szCs w:val="21"/>
              </w:rPr>
              <w:t xml:space="preserve">under section 10(1)(b)(i), in which case the person does not become a </w:t>
            </w:r>
            <w:r w:rsidRPr="00DB38C3">
              <w:rPr>
                <w:i/>
                <w:szCs w:val="21"/>
              </w:rPr>
              <w:t>patient</w:t>
            </w:r>
            <w:r w:rsidRPr="00DB38C3">
              <w:rPr>
                <w:szCs w:val="21"/>
              </w:rPr>
              <w:t xml:space="preserve">; or </w:t>
            </w:r>
          </w:p>
          <w:p w14:paraId="1EDAC91C" w14:textId="77777777" w:rsidR="008C1116" w:rsidRPr="00DB38C3" w:rsidRDefault="008C1116" w:rsidP="00B23CBC">
            <w:pPr>
              <w:pStyle w:val="ListParagraph"/>
              <w:numPr>
                <w:ilvl w:val="0"/>
                <w:numId w:val="8"/>
              </w:numPr>
              <w:spacing w:before="90" w:after="90"/>
              <w:ind w:left="861"/>
              <w:contextualSpacing w:val="0"/>
              <w:rPr>
                <w:szCs w:val="21"/>
              </w:rPr>
            </w:pPr>
            <w:r w:rsidRPr="00DB38C3">
              <w:rPr>
                <w:szCs w:val="21"/>
              </w:rPr>
              <w:t xml:space="preserve">under section 10(1)(b)(ii), in which case the person becomes a </w:t>
            </w:r>
            <w:r w:rsidRPr="00DB38C3">
              <w:rPr>
                <w:i/>
                <w:iCs/>
                <w:szCs w:val="21"/>
              </w:rPr>
              <w:t>patient</w:t>
            </w:r>
            <w:r w:rsidRPr="00DB38C3">
              <w:rPr>
                <w:szCs w:val="21"/>
              </w:rPr>
              <w:t>.</w:t>
            </w:r>
          </w:p>
        </w:tc>
      </w:tr>
      <w:tr w:rsidR="008C1116" w:rsidRPr="00193FF2" w14:paraId="4DABFA18" w14:textId="77777777" w:rsidTr="00B43C67">
        <w:trPr>
          <w:cantSplit/>
        </w:trPr>
        <w:tc>
          <w:tcPr>
            <w:tcW w:w="2518" w:type="dxa"/>
          </w:tcPr>
          <w:p w14:paraId="29866323" w14:textId="77777777" w:rsidR="008C1116" w:rsidRPr="00DB38C3" w:rsidRDefault="008C1116" w:rsidP="008C1116">
            <w:pPr>
              <w:spacing w:before="90" w:after="90"/>
              <w:rPr>
                <w:szCs w:val="21"/>
              </w:rPr>
            </w:pPr>
            <w:r>
              <w:rPr>
                <w:szCs w:val="21"/>
              </w:rPr>
              <w:t>recovery approach</w:t>
            </w:r>
          </w:p>
        </w:tc>
        <w:tc>
          <w:tcPr>
            <w:tcW w:w="5777" w:type="dxa"/>
          </w:tcPr>
          <w:p w14:paraId="2396078A" w14:textId="1BD4DB04" w:rsidR="008C1116" w:rsidRPr="00DB38C3" w:rsidRDefault="008C1116" w:rsidP="008C1116">
            <w:pPr>
              <w:spacing w:before="90" w:after="90"/>
            </w:pPr>
            <w:r>
              <w:t>An approach where mental health, addictions and intellectual disability professionals work towards ‘supporting an individual to improve their health and wellbeing, live a self-directed life and strive to reach their full potential’</w:t>
            </w:r>
            <w:r w:rsidRPr="0002325A">
              <w:t>(Ministry of Health 2020a)</w:t>
            </w:r>
            <w:r>
              <w:t>.</w:t>
            </w:r>
            <w:r w:rsidR="008214EF">
              <w:rPr>
                <w:rStyle w:val="FootnoteReference"/>
                <w:szCs w:val="21"/>
              </w:rPr>
              <w:t xml:space="preserve"> </w:t>
            </w:r>
          </w:p>
        </w:tc>
      </w:tr>
      <w:tr w:rsidR="008C1116" w:rsidRPr="00193FF2" w14:paraId="607AAC7A" w14:textId="77777777" w:rsidTr="00B43C67">
        <w:trPr>
          <w:cantSplit/>
        </w:trPr>
        <w:tc>
          <w:tcPr>
            <w:tcW w:w="2518" w:type="dxa"/>
          </w:tcPr>
          <w:p w14:paraId="59A65710" w14:textId="77777777" w:rsidR="008C1116" w:rsidRPr="00DB38C3" w:rsidRDefault="008C1116" w:rsidP="008C1116">
            <w:pPr>
              <w:spacing w:before="90" w:after="90"/>
              <w:rPr>
                <w:szCs w:val="21"/>
              </w:rPr>
            </w:pPr>
            <w:r w:rsidRPr="00DB38C3">
              <w:rPr>
                <w:szCs w:val="21"/>
              </w:rPr>
              <w:t>responsible clinician</w:t>
            </w:r>
          </w:p>
          <w:p w14:paraId="5D66F3AD" w14:textId="77777777" w:rsidR="008C1116" w:rsidRPr="00DB38C3" w:rsidRDefault="008C1116" w:rsidP="008C1116">
            <w:pPr>
              <w:spacing w:before="90" w:after="90"/>
              <w:rPr>
                <w:szCs w:val="21"/>
              </w:rPr>
            </w:pPr>
          </w:p>
        </w:tc>
        <w:tc>
          <w:tcPr>
            <w:tcW w:w="5777" w:type="dxa"/>
          </w:tcPr>
          <w:p w14:paraId="519F1F25" w14:textId="77777777" w:rsidR="008C1116" w:rsidRPr="005462D8" w:rsidRDefault="008C1116" w:rsidP="008C1116">
            <w:pPr>
              <w:spacing w:before="90" w:after="90"/>
              <w:rPr>
                <w:iCs/>
                <w:szCs w:val="21"/>
              </w:rPr>
            </w:pPr>
            <w:r>
              <w:rPr>
                <w:szCs w:val="21"/>
              </w:rPr>
              <w:t>A</w:t>
            </w:r>
            <w:r w:rsidRPr="00DB38C3">
              <w:rPr>
                <w:szCs w:val="21"/>
              </w:rPr>
              <w:t xml:space="preserve">s defined in section 2(1) of the Mental Health Act, in relation to a </w:t>
            </w:r>
            <w:r w:rsidRPr="00DB38C3">
              <w:rPr>
                <w:i/>
                <w:szCs w:val="21"/>
              </w:rPr>
              <w:t>patient</w:t>
            </w:r>
            <w:r w:rsidRPr="00DB38C3">
              <w:rPr>
                <w:szCs w:val="21"/>
              </w:rPr>
              <w:t xml:space="preserve">, the clinician in charge of the treatment of that </w:t>
            </w:r>
            <w:r w:rsidRPr="00DB38C3">
              <w:rPr>
                <w:i/>
                <w:szCs w:val="21"/>
              </w:rPr>
              <w:t>patient</w:t>
            </w:r>
            <w:r>
              <w:rPr>
                <w:i/>
                <w:szCs w:val="21"/>
              </w:rPr>
              <w:t>.</w:t>
            </w:r>
          </w:p>
        </w:tc>
      </w:tr>
      <w:tr w:rsidR="008C1116" w:rsidRPr="00193FF2" w14:paraId="1E5BC625" w14:textId="77777777" w:rsidTr="00B43C67">
        <w:trPr>
          <w:cantSplit/>
        </w:trPr>
        <w:tc>
          <w:tcPr>
            <w:tcW w:w="2518" w:type="dxa"/>
          </w:tcPr>
          <w:p w14:paraId="5D379C96" w14:textId="77777777" w:rsidR="008C1116" w:rsidRPr="00DB38C3" w:rsidRDefault="008C1116" w:rsidP="008C1116">
            <w:pPr>
              <w:spacing w:before="90" w:after="90"/>
              <w:rPr>
                <w:szCs w:val="21"/>
              </w:rPr>
            </w:pPr>
            <w:r w:rsidRPr="00DB38C3">
              <w:rPr>
                <w:szCs w:val="21"/>
              </w:rPr>
              <w:t>special care recipient</w:t>
            </w:r>
          </w:p>
          <w:p w14:paraId="397EFF48" w14:textId="77777777" w:rsidR="008C1116" w:rsidRPr="00DB38C3" w:rsidRDefault="008C1116" w:rsidP="008C1116">
            <w:pPr>
              <w:spacing w:before="90" w:after="90"/>
              <w:rPr>
                <w:szCs w:val="21"/>
              </w:rPr>
            </w:pPr>
          </w:p>
        </w:tc>
        <w:tc>
          <w:tcPr>
            <w:tcW w:w="5777" w:type="dxa"/>
          </w:tcPr>
          <w:p w14:paraId="5814505C" w14:textId="580B3306" w:rsidR="008C1116" w:rsidRPr="00DB38C3" w:rsidRDefault="008C1116" w:rsidP="008C1116">
            <w:pPr>
              <w:spacing w:before="90" w:after="90"/>
              <w:rPr>
                <w:szCs w:val="21"/>
              </w:rPr>
            </w:pPr>
            <w:r>
              <w:rPr>
                <w:szCs w:val="21"/>
              </w:rPr>
              <w:t>A</w:t>
            </w:r>
            <w:r w:rsidRPr="00DB38C3">
              <w:rPr>
                <w:szCs w:val="21"/>
              </w:rPr>
              <w:t xml:space="preserve"> person who is liable to be detained under an order, or remanded, or required to stay in a secure facility under an order</w:t>
            </w:r>
            <w:r>
              <w:rPr>
                <w:szCs w:val="21"/>
              </w:rPr>
              <w:t xml:space="preserve"> as described in section 6(2) of the </w:t>
            </w:r>
            <w:r w:rsidR="00E27AEB">
              <w:rPr>
                <w:szCs w:val="21"/>
              </w:rPr>
              <w:t>Intellectual Disability Act</w:t>
            </w:r>
            <w:r>
              <w:rPr>
                <w:szCs w:val="21"/>
              </w:rPr>
              <w:t>.</w:t>
            </w:r>
          </w:p>
        </w:tc>
      </w:tr>
      <w:tr w:rsidR="008C1116" w:rsidRPr="00193FF2" w14:paraId="355C0702" w14:textId="77777777" w:rsidTr="00B43C67">
        <w:trPr>
          <w:cantSplit/>
        </w:trPr>
        <w:tc>
          <w:tcPr>
            <w:tcW w:w="2518" w:type="dxa"/>
          </w:tcPr>
          <w:p w14:paraId="41CD426C" w14:textId="77777777" w:rsidR="008C1116" w:rsidRPr="00DB38C3" w:rsidRDefault="008C1116" w:rsidP="008C1116">
            <w:pPr>
              <w:spacing w:before="90" w:after="90"/>
              <w:rPr>
                <w:szCs w:val="21"/>
              </w:rPr>
            </w:pPr>
            <w:r w:rsidRPr="00DB38C3">
              <w:rPr>
                <w:szCs w:val="21"/>
              </w:rPr>
              <w:t>Substance Addiction Act</w:t>
            </w:r>
          </w:p>
        </w:tc>
        <w:tc>
          <w:tcPr>
            <w:tcW w:w="5777" w:type="dxa"/>
          </w:tcPr>
          <w:p w14:paraId="7A79FFEC" w14:textId="77777777" w:rsidR="008C1116" w:rsidRPr="00DB38C3" w:rsidRDefault="008C1116" w:rsidP="008C1116">
            <w:pPr>
              <w:spacing w:before="90" w:after="90"/>
              <w:rPr>
                <w:szCs w:val="21"/>
              </w:rPr>
            </w:pPr>
            <w:r w:rsidRPr="00DB38C3">
              <w:rPr>
                <w:szCs w:val="21"/>
              </w:rPr>
              <w:t>Substance Addiction (Compulsory Assessment and Treatment) Act 2017</w:t>
            </w:r>
            <w:r>
              <w:rPr>
                <w:szCs w:val="21"/>
              </w:rPr>
              <w:t>.</w:t>
            </w:r>
          </w:p>
        </w:tc>
      </w:tr>
      <w:tr w:rsidR="008C1116" w:rsidRPr="00193FF2" w14:paraId="52AA20B6" w14:textId="77777777" w:rsidTr="00B43C67">
        <w:trPr>
          <w:cantSplit/>
        </w:trPr>
        <w:tc>
          <w:tcPr>
            <w:tcW w:w="2518" w:type="dxa"/>
          </w:tcPr>
          <w:p w14:paraId="26859E63" w14:textId="77777777" w:rsidR="008C1116" w:rsidRPr="00DB38C3" w:rsidRDefault="008C1116" w:rsidP="008C1116">
            <w:pPr>
              <w:spacing w:before="90" w:after="90"/>
              <w:rPr>
                <w:szCs w:val="21"/>
              </w:rPr>
            </w:pPr>
            <w:r>
              <w:rPr>
                <w:szCs w:val="21"/>
              </w:rPr>
              <w:t>w</w:t>
            </w:r>
            <w:r w:rsidRPr="001236EB">
              <w:rPr>
                <w:szCs w:val="21"/>
              </w:rPr>
              <w:t>hānau</w:t>
            </w:r>
            <w:r>
              <w:rPr>
                <w:szCs w:val="21"/>
              </w:rPr>
              <w:t xml:space="preserve"> or family</w:t>
            </w:r>
          </w:p>
        </w:tc>
        <w:tc>
          <w:tcPr>
            <w:tcW w:w="5777" w:type="dxa"/>
          </w:tcPr>
          <w:p w14:paraId="6F19FA74" w14:textId="77777777" w:rsidR="008C1116" w:rsidRPr="00DB38C3" w:rsidRDefault="008C1116" w:rsidP="008C1116">
            <w:pPr>
              <w:spacing w:before="90" w:after="90"/>
              <w:rPr>
                <w:szCs w:val="21"/>
              </w:rPr>
            </w:pPr>
            <w:r>
              <w:rPr>
                <w:szCs w:val="21"/>
              </w:rPr>
              <w:t>A</w:t>
            </w:r>
            <w:r w:rsidRPr="001236EB">
              <w:rPr>
                <w:szCs w:val="21"/>
              </w:rPr>
              <w:t xml:space="preserve"> person’s closest support network, </w:t>
            </w:r>
            <w:r>
              <w:rPr>
                <w:szCs w:val="21"/>
              </w:rPr>
              <w:t xml:space="preserve">who are </w:t>
            </w:r>
            <w:r w:rsidRPr="001236EB">
              <w:rPr>
                <w:szCs w:val="21"/>
              </w:rPr>
              <w:t>not necessarily blood-</w:t>
            </w:r>
            <w:r>
              <w:rPr>
                <w:szCs w:val="21"/>
              </w:rPr>
              <w:t>relatives</w:t>
            </w:r>
            <w:r w:rsidRPr="001236EB">
              <w:rPr>
                <w:szCs w:val="21"/>
              </w:rPr>
              <w:t>.</w:t>
            </w:r>
          </w:p>
        </w:tc>
      </w:tr>
      <w:bookmarkEnd w:id="4"/>
    </w:tbl>
    <w:p w14:paraId="63B5C799" w14:textId="77777777" w:rsidR="008C1116" w:rsidRDefault="008C1116" w:rsidP="008C1116"/>
    <w:p w14:paraId="7547F4F5" w14:textId="77777777" w:rsidR="00197427" w:rsidRDefault="00197427" w:rsidP="0046362D">
      <w:pPr>
        <w:sectPr w:rsidR="00197427" w:rsidSect="008C1116">
          <w:headerReference w:type="default" r:id="rId18"/>
          <w:footerReference w:type="even" r:id="rId19"/>
          <w:footerReference w:type="default" r:id="rId20"/>
          <w:pgSz w:w="11907" w:h="16840" w:code="9"/>
          <w:pgMar w:top="1418" w:right="1701" w:bottom="1134" w:left="1843" w:header="284" w:footer="425" w:gutter="284"/>
          <w:pgNumType w:fmt="lowerRoman"/>
          <w:cols w:space="720"/>
        </w:sectPr>
      </w:pPr>
    </w:p>
    <w:p w14:paraId="648D4F84" w14:textId="77777777" w:rsidR="00C86248" w:rsidRDefault="00C86248" w:rsidP="00025A6F">
      <w:pPr>
        <w:pStyle w:val="IntroHead"/>
      </w:pPr>
      <w:r>
        <w:lastRenderedPageBreak/>
        <w:t>Contents</w:t>
      </w:r>
      <w:bookmarkEnd w:id="2"/>
      <w:bookmarkEnd w:id="3"/>
    </w:p>
    <w:p w14:paraId="5E1D912B" w14:textId="70D411EA" w:rsidR="00E548A1" w:rsidRDefault="00C344A2">
      <w:pPr>
        <w:pStyle w:val="TOC1"/>
        <w:rPr>
          <w:rFonts w:asciiTheme="minorHAnsi" w:eastAsiaTheme="minorEastAsia" w:hAnsiTheme="minorHAnsi" w:cstheme="minorBidi"/>
          <w:noProof/>
          <w:kern w:val="2"/>
          <w:szCs w:val="24"/>
          <w:lang w:val="en-AU" w:eastAsia="en-AU"/>
          <w14:ligatures w14:val="standardContextual"/>
        </w:rPr>
      </w:pPr>
      <w:r>
        <w:rPr>
          <w:b/>
        </w:rPr>
        <w:fldChar w:fldCharType="begin"/>
      </w:r>
      <w:r>
        <w:rPr>
          <w:b/>
        </w:rPr>
        <w:instrText xml:space="preserve"> TOC \o "1-2" \h \z \u </w:instrText>
      </w:r>
      <w:r>
        <w:rPr>
          <w:b/>
        </w:rPr>
        <w:fldChar w:fldCharType="separate"/>
      </w:r>
      <w:hyperlink w:anchor="_Toc207353861" w:history="1">
        <w:r w:rsidR="00E548A1" w:rsidRPr="0085746F">
          <w:rPr>
            <w:rStyle w:val="Hyperlink"/>
            <w:noProof/>
          </w:rPr>
          <w:t>Abbreviations and definitions</w:t>
        </w:r>
        <w:r w:rsidR="00E548A1">
          <w:rPr>
            <w:noProof/>
            <w:webHidden/>
          </w:rPr>
          <w:tab/>
        </w:r>
        <w:r w:rsidR="00E548A1">
          <w:rPr>
            <w:noProof/>
            <w:webHidden/>
          </w:rPr>
          <w:fldChar w:fldCharType="begin"/>
        </w:r>
        <w:r w:rsidR="00E548A1">
          <w:rPr>
            <w:noProof/>
            <w:webHidden/>
          </w:rPr>
          <w:instrText xml:space="preserve"> PAGEREF _Toc207353861 \h </w:instrText>
        </w:r>
        <w:r w:rsidR="00E548A1">
          <w:rPr>
            <w:noProof/>
            <w:webHidden/>
          </w:rPr>
        </w:r>
        <w:r w:rsidR="00E548A1">
          <w:rPr>
            <w:noProof/>
            <w:webHidden/>
          </w:rPr>
          <w:fldChar w:fldCharType="separate"/>
        </w:r>
        <w:r w:rsidR="00AA4317">
          <w:rPr>
            <w:noProof/>
            <w:webHidden/>
          </w:rPr>
          <w:t>iii</w:t>
        </w:r>
        <w:r w:rsidR="00E548A1">
          <w:rPr>
            <w:noProof/>
            <w:webHidden/>
          </w:rPr>
          <w:fldChar w:fldCharType="end"/>
        </w:r>
      </w:hyperlink>
    </w:p>
    <w:p w14:paraId="2F570460" w14:textId="513589CE" w:rsidR="00E548A1" w:rsidRDefault="00E548A1">
      <w:pPr>
        <w:pStyle w:val="TOC1"/>
        <w:rPr>
          <w:rFonts w:asciiTheme="minorHAnsi" w:eastAsiaTheme="minorEastAsia" w:hAnsiTheme="minorHAnsi" w:cstheme="minorBidi"/>
          <w:noProof/>
          <w:kern w:val="2"/>
          <w:szCs w:val="24"/>
          <w:lang w:val="en-AU" w:eastAsia="en-AU"/>
          <w14:ligatures w14:val="standardContextual"/>
        </w:rPr>
      </w:pPr>
      <w:hyperlink w:anchor="_Toc207353862" w:history="1">
        <w:r w:rsidRPr="0085746F">
          <w:rPr>
            <w:rStyle w:val="Hyperlink"/>
            <w:noProof/>
          </w:rPr>
          <w:t>Introduction</w:t>
        </w:r>
        <w:r>
          <w:rPr>
            <w:noProof/>
            <w:webHidden/>
          </w:rPr>
          <w:tab/>
        </w:r>
        <w:r>
          <w:rPr>
            <w:noProof/>
            <w:webHidden/>
          </w:rPr>
          <w:fldChar w:fldCharType="begin"/>
        </w:r>
        <w:r>
          <w:rPr>
            <w:noProof/>
            <w:webHidden/>
          </w:rPr>
          <w:instrText xml:space="preserve"> PAGEREF _Toc207353862 \h </w:instrText>
        </w:r>
        <w:r>
          <w:rPr>
            <w:noProof/>
            <w:webHidden/>
          </w:rPr>
        </w:r>
        <w:r>
          <w:rPr>
            <w:noProof/>
            <w:webHidden/>
          </w:rPr>
          <w:fldChar w:fldCharType="separate"/>
        </w:r>
        <w:r w:rsidR="00AA4317">
          <w:rPr>
            <w:noProof/>
            <w:webHidden/>
          </w:rPr>
          <w:t>1</w:t>
        </w:r>
        <w:r>
          <w:rPr>
            <w:noProof/>
            <w:webHidden/>
          </w:rPr>
          <w:fldChar w:fldCharType="end"/>
        </w:r>
      </w:hyperlink>
    </w:p>
    <w:p w14:paraId="384FA3FA" w14:textId="7A8E4499" w:rsidR="00E548A1" w:rsidRDefault="00E548A1">
      <w:pPr>
        <w:pStyle w:val="TOC1"/>
        <w:tabs>
          <w:tab w:val="left" w:pos="1276"/>
        </w:tabs>
        <w:rPr>
          <w:rFonts w:asciiTheme="minorHAnsi" w:eastAsiaTheme="minorEastAsia" w:hAnsiTheme="minorHAnsi" w:cstheme="minorBidi"/>
          <w:noProof/>
          <w:kern w:val="2"/>
          <w:szCs w:val="24"/>
          <w:lang w:val="en-AU" w:eastAsia="en-AU"/>
          <w14:ligatures w14:val="standardContextual"/>
        </w:rPr>
      </w:pPr>
      <w:hyperlink w:anchor="_Toc207353863" w:history="1">
        <w:r w:rsidRPr="0085746F">
          <w:rPr>
            <w:rStyle w:val="Hyperlink"/>
            <w:noProof/>
          </w:rPr>
          <w:t>1</w:t>
        </w:r>
        <w:r w:rsidR="00CA4E39">
          <w:rPr>
            <w:rFonts w:asciiTheme="minorHAnsi" w:eastAsiaTheme="minorEastAsia" w:hAnsiTheme="minorHAnsi" w:cstheme="minorBidi"/>
            <w:noProof/>
            <w:kern w:val="2"/>
            <w:szCs w:val="24"/>
            <w:lang w:val="en-AU" w:eastAsia="en-AU"/>
            <w14:ligatures w14:val="standardContextual"/>
          </w:rPr>
          <w:t xml:space="preserve"> </w:t>
        </w:r>
        <w:r w:rsidR="00CC1560">
          <w:rPr>
            <w:rFonts w:asciiTheme="minorHAnsi" w:eastAsiaTheme="minorEastAsia" w:hAnsiTheme="minorHAnsi" w:cstheme="minorBidi"/>
            <w:noProof/>
            <w:kern w:val="2"/>
            <w:szCs w:val="24"/>
            <w:lang w:val="en-AU" w:eastAsia="en-AU"/>
            <w14:ligatures w14:val="standardContextual"/>
          </w:rPr>
          <w:tab/>
        </w:r>
        <w:r w:rsidRPr="0085746F">
          <w:rPr>
            <w:rStyle w:val="Hyperlink"/>
            <w:noProof/>
          </w:rPr>
          <w:t>The district inspector role</w:t>
        </w:r>
        <w:r>
          <w:rPr>
            <w:noProof/>
            <w:webHidden/>
          </w:rPr>
          <w:tab/>
        </w:r>
        <w:r>
          <w:rPr>
            <w:noProof/>
            <w:webHidden/>
          </w:rPr>
          <w:fldChar w:fldCharType="begin"/>
        </w:r>
        <w:r>
          <w:rPr>
            <w:noProof/>
            <w:webHidden/>
          </w:rPr>
          <w:instrText xml:space="preserve"> PAGEREF _Toc207353863 \h </w:instrText>
        </w:r>
        <w:r>
          <w:rPr>
            <w:noProof/>
            <w:webHidden/>
          </w:rPr>
        </w:r>
        <w:r>
          <w:rPr>
            <w:noProof/>
            <w:webHidden/>
          </w:rPr>
          <w:fldChar w:fldCharType="separate"/>
        </w:r>
        <w:r w:rsidR="00AA4317">
          <w:rPr>
            <w:noProof/>
            <w:webHidden/>
          </w:rPr>
          <w:t>5</w:t>
        </w:r>
        <w:r>
          <w:rPr>
            <w:noProof/>
            <w:webHidden/>
          </w:rPr>
          <w:fldChar w:fldCharType="end"/>
        </w:r>
      </w:hyperlink>
    </w:p>
    <w:p w14:paraId="62528423" w14:textId="4A366ECD" w:rsidR="00E548A1" w:rsidRDefault="00E548A1">
      <w:pPr>
        <w:pStyle w:val="TOC2"/>
        <w:tabs>
          <w:tab w:val="left" w:pos="1276"/>
        </w:tabs>
        <w:rPr>
          <w:rFonts w:asciiTheme="minorHAnsi" w:eastAsiaTheme="minorEastAsia" w:hAnsiTheme="minorHAnsi" w:cstheme="minorBidi"/>
          <w:noProof/>
          <w:kern w:val="2"/>
          <w:sz w:val="24"/>
          <w:szCs w:val="24"/>
          <w:lang w:val="en-AU" w:eastAsia="en-AU"/>
          <w14:ligatures w14:val="standardContextual"/>
        </w:rPr>
      </w:pPr>
      <w:hyperlink w:anchor="_Toc207353864" w:history="1">
        <w:r w:rsidRPr="0085746F">
          <w:rPr>
            <w:rStyle w:val="Hyperlink"/>
            <w:noProof/>
          </w:rPr>
          <w:t>1.1</w:t>
        </w:r>
        <w:r>
          <w:rPr>
            <w:rFonts w:asciiTheme="minorHAnsi" w:eastAsiaTheme="minorEastAsia" w:hAnsiTheme="minorHAnsi" w:cstheme="minorBidi"/>
            <w:noProof/>
            <w:kern w:val="2"/>
            <w:sz w:val="24"/>
            <w:szCs w:val="24"/>
            <w:lang w:val="en-AU" w:eastAsia="en-AU"/>
            <w14:ligatures w14:val="standardContextual"/>
          </w:rPr>
          <w:tab/>
        </w:r>
        <w:r w:rsidRPr="0085746F">
          <w:rPr>
            <w:rStyle w:val="Hyperlink"/>
            <w:noProof/>
          </w:rPr>
          <w:t>Guiding principles</w:t>
        </w:r>
        <w:r>
          <w:rPr>
            <w:noProof/>
            <w:webHidden/>
          </w:rPr>
          <w:tab/>
        </w:r>
        <w:r>
          <w:rPr>
            <w:noProof/>
            <w:webHidden/>
          </w:rPr>
          <w:fldChar w:fldCharType="begin"/>
        </w:r>
        <w:r>
          <w:rPr>
            <w:noProof/>
            <w:webHidden/>
          </w:rPr>
          <w:instrText xml:space="preserve"> PAGEREF _Toc207353864 \h </w:instrText>
        </w:r>
        <w:r>
          <w:rPr>
            <w:noProof/>
            <w:webHidden/>
          </w:rPr>
        </w:r>
        <w:r>
          <w:rPr>
            <w:noProof/>
            <w:webHidden/>
          </w:rPr>
          <w:fldChar w:fldCharType="separate"/>
        </w:r>
        <w:r w:rsidR="00AA4317">
          <w:rPr>
            <w:noProof/>
            <w:webHidden/>
          </w:rPr>
          <w:t>5</w:t>
        </w:r>
        <w:r>
          <w:rPr>
            <w:noProof/>
            <w:webHidden/>
          </w:rPr>
          <w:fldChar w:fldCharType="end"/>
        </w:r>
      </w:hyperlink>
    </w:p>
    <w:p w14:paraId="12A41626" w14:textId="77B654CB" w:rsidR="00E548A1" w:rsidRDefault="00E548A1">
      <w:pPr>
        <w:pStyle w:val="TOC2"/>
        <w:tabs>
          <w:tab w:val="left" w:pos="1276"/>
        </w:tabs>
        <w:rPr>
          <w:rFonts w:asciiTheme="minorHAnsi" w:eastAsiaTheme="minorEastAsia" w:hAnsiTheme="minorHAnsi" w:cstheme="minorBidi"/>
          <w:noProof/>
          <w:kern w:val="2"/>
          <w:sz w:val="24"/>
          <w:szCs w:val="24"/>
          <w:lang w:val="en-AU" w:eastAsia="en-AU"/>
          <w14:ligatures w14:val="standardContextual"/>
        </w:rPr>
      </w:pPr>
      <w:hyperlink w:anchor="_Toc207353865" w:history="1">
        <w:r w:rsidRPr="0085746F">
          <w:rPr>
            <w:rStyle w:val="Hyperlink"/>
            <w:noProof/>
          </w:rPr>
          <w:t>1.2</w:t>
        </w:r>
        <w:r>
          <w:rPr>
            <w:rFonts w:asciiTheme="minorHAnsi" w:eastAsiaTheme="minorEastAsia" w:hAnsiTheme="minorHAnsi" w:cstheme="minorBidi"/>
            <w:noProof/>
            <w:kern w:val="2"/>
            <w:sz w:val="24"/>
            <w:szCs w:val="24"/>
            <w:lang w:val="en-AU" w:eastAsia="en-AU"/>
            <w14:ligatures w14:val="standardContextual"/>
          </w:rPr>
          <w:tab/>
        </w:r>
        <w:r w:rsidRPr="0085746F">
          <w:rPr>
            <w:rStyle w:val="Hyperlink"/>
            <w:noProof/>
          </w:rPr>
          <w:t>Skills</w:t>
        </w:r>
        <w:r>
          <w:rPr>
            <w:noProof/>
            <w:webHidden/>
          </w:rPr>
          <w:tab/>
        </w:r>
        <w:r>
          <w:rPr>
            <w:noProof/>
            <w:webHidden/>
          </w:rPr>
          <w:fldChar w:fldCharType="begin"/>
        </w:r>
        <w:r>
          <w:rPr>
            <w:noProof/>
            <w:webHidden/>
          </w:rPr>
          <w:instrText xml:space="preserve"> PAGEREF _Toc207353865 \h </w:instrText>
        </w:r>
        <w:r>
          <w:rPr>
            <w:noProof/>
            <w:webHidden/>
          </w:rPr>
        </w:r>
        <w:r>
          <w:rPr>
            <w:noProof/>
            <w:webHidden/>
          </w:rPr>
          <w:fldChar w:fldCharType="separate"/>
        </w:r>
        <w:r w:rsidR="00AA4317">
          <w:rPr>
            <w:noProof/>
            <w:webHidden/>
          </w:rPr>
          <w:t>6</w:t>
        </w:r>
        <w:r>
          <w:rPr>
            <w:noProof/>
            <w:webHidden/>
          </w:rPr>
          <w:fldChar w:fldCharType="end"/>
        </w:r>
      </w:hyperlink>
    </w:p>
    <w:p w14:paraId="3BF264B4" w14:textId="2E701835" w:rsidR="00E548A1" w:rsidRDefault="00E548A1">
      <w:pPr>
        <w:pStyle w:val="TOC2"/>
        <w:tabs>
          <w:tab w:val="left" w:pos="1276"/>
        </w:tabs>
        <w:rPr>
          <w:rFonts w:asciiTheme="minorHAnsi" w:eastAsiaTheme="minorEastAsia" w:hAnsiTheme="minorHAnsi" w:cstheme="minorBidi"/>
          <w:noProof/>
          <w:kern w:val="2"/>
          <w:sz w:val="24"/>
          <w:szCs w:val="24"/>
          <w:lang w:val="en-AU" w:eastAsia="en-AU"/>
          <w14:ligatures w14:val="standardContextual"/>
        </w:rPr>
      </w:pPr>
      <w:hyperlink w:anchor="_Toc207353866" w:history="1">
        <w:r w:rsidRPr="0085746F">
          <w:rPr>
            <w:rStyle w:val="Hyperlink"/>
            <w:noProof/>
          </w:rPr>
          <w:t>1.3</w:t>
        </w:r>
        <w:r>
          <w:rPr>
            <w:rFonts w:asciiTheme="minorHAnsi" w:eastAsiaTheme="minorEastAsia" w:hAnsiTheme="minorHAnsi" w:cstheme="minorBidi"/>
            <w:noProof/>
            <w:kern w:val="2"/>
            <w:sz w:val="24"/>
            <w:szCs w:val="24"/>
            <w:lang w:val="en-AU" w:eastAsia="en-AU"/>
            <w14:ligatures w14:val="standardContextual"/>
          </w:rPr>
          <w:tab/>
        </w:r>
        <w:r w:rsidRPr="0085746F">
          <w:rPr>
            <w:rStyle w:val="Hyperlink"/>
            <w:noProof/>
          </w:rPr>
          <w:t>Knowledge</w:t>
        </w:r>
        <w:r>
          <w:rPr>
            <w:noProof/>
            <w:webHidden/>
          </w:rPr>
          <w:tab/>
        </w:r>
        <w:r>
          <w:rPr>
            <w:noProof/>
            <w:webHidden/>
          </w:rPr>
          <w:fldChar w:fldCharType="begin"/>
        </w:r>
        <w:r>
          <w:rPr>
            <w:noProof/>
            <w:webHidden/>
          </w:rPr>
          <w:instrText xml:space="preserve"> PAGEREF _Toc207353866 \h </w:instrText>
        </w:r>
        <w:r>
          <w:rPr>
            <w:noProof/>
            <w:webHidden/>
          </w:rPr>
        </w:r>
        <w:r>
          <w:rPr>
            <w:noProof/>
            <w:webHidden/>
          </w:rPr>
          <w:fldChar w:fldCharType="separate"/>
        </w:r>
        <w:r w:rsidR="00AA4317">
          <w:rPr>
            <w:noProof/>
            <w:webHidden/>
          </w:rPr>
          <w:t>7</w:t>
        </w:r>
        <w:r>
          <w:rPr>
            <w:noProof/>
            <w:webHidden/>
          </w:rPr>
          <w:fldChar w:fldCharType="end"/>
        </w:r>
      </w:hyperlink>
    </w:p>
    <w:p w14:paraId="5D0E305F" w14:textId="2333D2AA" w:rsidR="00E548A1" w:rsidRDefault="00E548A1">
      <w:pPr>
        <w:pStyle w:val="TOC2"/>
        <w:tabs>
          <w:tab w:val="left" w:pos="1276"/>
        </w:tabs>
        <w:rPr>
          <w:rFonts w:asciiTheme="minorHAnsi" w:eastAsiaTheme="minorEastAsia" w:hAnsiTheme="minorHAnsi" w:cstheme="minorBidi"/>
          <w:noProof/>
          <w:kern w:val="2"/>
          <w:sz w:val="24"/>
          <w:szCs w:val="24"/>
          <w:lang w:val="en-AU" w:eastAsia="en-AU"/>
          <w14:ligatures w14:val="standardContextual"/>
        </w:rPr>
      </w:pPr>
      <w:hyperlink w:anchor="_Toc207353867" w:history="1">
        <w:r w:rsidRPr="0085746F">
          <w:rPr>
            <w:rStyle w:val="Hyperlink"/>
            <w:noProof/>
          </w:rPr>
          <w:t>1.4</w:t>
        </w:r>
        <w:r>
          <w:rPr>
            <w:rFonts w:asciiTheme="minorHAnsi" w:eastAsiaTheme="minorEastAsia" w:hAnsiTheme="minorHAnsi" w:cstheme="minorBidi"/>
            <w:noProof/>
            <w:kern w:val="2"/>
            <w:sz w:val="24"/>
            <w:szCs w:val="24"/>
            <w:lang w:val="en-AU" w:eastAsia="en-AU"/>
            <w14:ligatures w14:val="standardContextual"/>
          </w:rPr>
          <w:tab/>
        </w:r>
        <w:r w:rsidRPr="0085746F">
          <w:rPr>
            <w:rStyle w:val="Hyperlink"/>
            <w:noProof/>
          </w:rPr>
          <w:t>Main functions</w:t>
        </w:r>
        <w:r>
          <w:rPr>
            <w:noProof/>
            <w:webHidden/>
          </w:rPr>
          <w:tab/>
        </w:r>
        <w:r>
          <w:rPr>
            <w:noProof/>
            <w:webHidden/>
          </w:rPr>
          <w:fldChar w:fldCharType="begin"/>
        </w:r>
        <w:r>
          <w:rPr>
            <w:noProof/>
            <w:webHidden/>
          </w:rPr>
          <w:instrText xml:space="preserve"> PAGEREF _Toc207353867 \h </w:instrText>
        </w:r>
        <w:r>
          <w:rPr>
            <w:noProof/>
            <w:webHidden/>
          </w:rPr>
        </w:r>
        <w:r>
          <w:rPr>
            <w:noProof/>
            <w:webHidden/>
          </w:rPr>
          <w:fldChar w:fldCharType="separate"/>
        </w:r>
        <w:r w:rsidR="00AA4317">
          <w:rPr>
            <w:noProof/>
            <w:webHidden/>
          </w:rPr>
          <w:t>9</w:t>
        </w:r>
        <w:r>
          <w:rPr>
            <w:noProof/>
            <w:webHidden/>
          </w:rPr>
          <w:fldChar w:fldCharType="end"/>
        </w:r>
      </w:hyperlink>
    </w:p>
    <w:p w14:paraId="04628455" w14:textId="3BA02DD1" w:rsidR="00E548A1" w:rsidRDefault="00E548A1">
      <w:pPr>
        <w:pStyle w:val="TOC1"/>
        <w:tabs>
          <w:tab w:val="left" w:pos="1276"/>
        </w:tabs>
        <w:rPr>
          <w:rFonts w:asciiTheme="minorHAnsi" w:eastAsiaTheme="minorEastAsia" w:hAnsiTheme="minorHAnsi" w:cstheme="minorBidi"/>
          <w:noProof/>
          <w:kern w:val="2"/>
          <w:szCs w:val="24"/>
          <w:lang w:val="en-AU" w:eastAsia="en-AU"/>
          <w14:ligatures w14:val="standardContextual"/>
        </w:rPr>
      </w:pPr>
      <w:hyperlink w:anchor="_Toc207353868" w:history="1">
        <w:r w:rsidRPr="0085746F">
          <w:rPr>
            <w:rStyle w:val="Hyperlink"/>
            <w:noProof/>
          </w:rPr>
          <w:t>2</w:t>
        </w:r>
        <w:r w:rsidR="00CA4E39">
          <w:rPr>
            <w:rFonts w:asciiTheme="minorHAnsi" w:eastAsiaTheme="minorEastAsia" w:hAnsiTheme="minorHAnsi" w:cstheme="minorBidi"/>
            <w:noProof/>
            <w:kern w:val="2"/>
            <w:szCs w:val="24"/>
            <w:lang w:val="en-AU" w:eastAsia="en-AU"/>
            <w14:ligatures w14:val="standardContextual"/>
          </w:rPr>
          <w:t xml:space="preserve"> </w:t>
        </w:r>
        <w:r w:rsidR="00CC1560">
          <w:rPr>
            <w:rFonts w:asciiTheme="minorHAnsi" w:eastAsiaTheme="minorEastAsia" w:hAnsiTheme="minorHAnsi" w:cstheme="minorBidi"/>
            <w:noProof/>
            <w:kern w:val="2"/>
            <w:szCs w:val="24"/>
            <w:lang w:val="en-AU" w:eastAsia="en-AU"/>
            <w14:ligatures w14:val="standardContextual"/>
          </w:rPr>
          <w:tab/>
        </w:r>
        <w:r w:rsidRPr="0085746F">
          <w:rPr>
            <w:rStyle w:val="Hyperlink"/>
            <w:noProof/>
          </w:rPr>
          <w:t>District inspector duties</w:t>
        </w:r>
        <w:r>
          <w:rPr>
            <w:noProof/>
            <w:webHidden/>
          </w:rPr>
          <w:tab/>
        </w:r>
        <w:r>
          <w:rPr>
            <w:noProof/>
            <w:webHidden/>
          </w:rPr>
          <w:fldChar w:fldCharType="begin"/>
        </w:r>
        <w:r>
          <w:rPr>
            <w:noProof/>
            <w:webHidden/>
          </w:rPr>
          <w:instrText xml:space="preserve"> PAGEREF _Toc207353868 \h </w:instrText>
        </w:r>
        <w:r>
          <w:rPr>
            <w:noProof/>
            <w:webHidden/>
          </w:rPr>
        </w:r>
        <w:r>
          <w:rPr>
            <w:noProof/>
            <w:webHidden/>
          </w:rPr>
          <w:fldChar w:fldCharType="separate"/>
        </w:r>
        <w:r w:rsidR="00AA4317">
          <w:rPr>
            <w:noProof/>
            <w:webHidden/>
          </w:rPr>
          <w:t>14</w:t>
        </w:r>
        <w:r>
          <w:rPr>
            <w:noProof/>
            <w:webHidden/>
          </w:rPr>
          <w:fldChar w:fldCharType="end"/>
        </w:r>
      </w:hyperlink>
    </w:p>
    <w:p w14:paraId="527B5FDC" w14:textId="2B525EDF" w:rsidR="00E548A1" w:rsidRDefault="00E548A1">
      <w:pPr>
        <w:pStyle w:val="TOC2"/>
        <w:tabs>
          <w:tab w:val="left" w:pos="1276"/>
        </w:tabs>
        <w:rPr>
          <w:rFonts w:asciiTheme="minorHAnsi" w:eastAsiaTheme="minorEastAsia" w:hAnsiTheme="minorHAnsi" w:cstheme="minorBidi"/>
          <w:noProof/>
          <w:kern w:val="2"/>
          <w:sz w:val="24"/>
          <w:szCs w:val="24"/>
          <w:lang w:val="en-AU" w:eastAsia="en-AU"/>
          <w14:ligatures w14:val="standardContextual"/>
        </w:rPr>
      </w:pPr>
      <w:hyperlink w:anchor="_Toc207353869" w:history="1">
        <w:r w:rsidRPr="0085746F">
          <w:rPr>
            <w:rStyle w:val="Hyperlink"/>
            <w:noProof/>
          </w:rPr>
          <w:t>2.1</w:t>
        </w:r>
        <w:r>
          <w:rPr>
            <w:rFonts w:asciiTheme="minorHAnsi" w:eastAsiaTheme="minorEastAsia" w:hAnsiTheme="minorHAnsi" w:cstheme="minorBidi"/>
            <w:noProof/>
            <w:kern w:val="2"/>
            <w:sz w:val="24"/>
            <w:szCs w:val="24"/>
            <w:lang w:val="en-AU" w:eastAsia="en-AU"/>
            <w14:ligatures w14:val="standardContextual"/>
          </w:rPr>
          <w:tab/>
        </w:r>
        <w:r w:rsidRPr="0085746F">
          <w:rPr>
            <w:rStyle w:val="Hyperlink"/>
            <w:noProof/>
          </w:rPr>
          <w:t>Providing and checking information</w:t>
        </w:r>
        <w:r>
          <w:rPr>
            <w:noProof/>
            <w:webHidden/>
          </w:rPr>
          <w:tab/>
        </w:r>
        <w:r>
          <w:rPr>
            <w:noProof/>
            <w:webHidden/>
          </w:rPr>
          <w:fldChar w:fldCharType="begin"/>
        </w:r>
        <w:r>
          <w:rPr>
            <w:noProof/>
            <w:webHidden/>
          </w:rPr>
          <w:instrText xml:space="preserve"> PAGEREF _Toc207353869 \h </w:instrText>
        </w:r>
        <w:r>
          <w:rPr>
            <w:noProof/>
            <w:webHidden/>
          </w:rPr>
        </w:r>
        <w:r>
          <w:rPr>
            <w:noProof/>
            <w:webHidden/>
          </w:rPr>
          <w:fldChar w:fldCharType="separate"/>
        </w:r>
        <w:r w:rsidR="00AA4317">
          <w:rPr>
            <w:noProof/>
            <w:webHidden/>
          </w:rPr>
          <w:t>14</w:t>
        </w:r>
        <w:r>
          <w:rPr>
            <w:noProof/>
            <w:webHidden/>
          </w:rPr>
          <w:fldChar w:fldCharType="end"/>
        </w:r>
      </w:hyperlink>
    </w:p>
    <w:p w14:paraId="6219507D" w14:textId="4BBBFAAC" w:rsidR="00E548A1" w:rsidRDefault="00E548A1">
      <w:pPr>
        <w:pStyle w:val="TOC2"/>
        <w:tabs>
          <w:tab w:val="left" w:pos="1276"/>
        </w:tabs>
        <w:rPr>
          <w:rFonts w:asciiTheme="minorHAnsi" w:eastAsiaTheme="minorEastAsia" w:hAnsiTheme="minorHAnsi" w:cstheme="minorBidi"/>
          <w:noProof/>
          <w:kern w:val="2"/>
          <w:sz w:val="24"/>
          <w:szCs w:val="24"/>
          <w:lang w:val="en-AU" w:eastAsia="en-AU"/>
          <w14:ligatures w14:val="standardContextual"/>
        </w:rPr>
      </w:pPr>
      <w:hyperlink w:anchor="_Toc207353870" w:history="1">
        <w:r w:rsidRPr="0085746F">
          <w:rPr>
            <w:rStyle w:val="Hyperlink"/>
            <w:noProof/>
          </w:rPr>
          <w:t>2.2</w:t>
        </w:r>
        <w:r>
          <w:rPr>
            <w:rFonts w:asciiTheme="minorHAnsi" w:eastAsiaTheme="minorEastAsia" w:hAnsiTheme="minorHAnsi" w:cstheme="minorBidi"/>
            <w:noProof/>
            <w:kern w:val="2"/>
            <w:sz w:val="24"/>
            <w:szCs w:val="24"/>
            <w:lang w:val="en-AU" w:eastAsia="en-AU"/>
            <w14:ligatures w14:val="standardContextual"/>
          </w:rPr>
          <w:tab/>
        </w:r>
        <w:r w:rsidRPr="0085746F">
          <w:rPr>
            <w:rStyle w:val="Hyperlink"/>
            <w:noProof/>
          </w:rPr>
          <w:t>Review procedures and assistance</w:t>
        </w:r>
        <w:r>
          <w:rPr>
            <w:noProof/>
            <w:webHidden/>
          </w:rPr>
          <w:tab/>
        </w:r>
        <w:r>
          <w:rPr>
            <w:noProof/>
            <w:webHidden/>
          </w:rPr>
          <w:fldChar w:fldCharType="begin"/>
        </w:r>
        <w:r>
          <w:rPr>
            <w:noProof/>
            <w:webHidden/>
          </w:rPr>
          <w:instrText xml:space="preserve"> PAGEREF _Toc207353870 \h </w:instrText>
        </w:r>
        <w:r>
          <w:rPr>
            <w:noProof/>
            <w:webHidden/>
          </w:rPr>
        </w:r>
        <w:r>
          <w:rPr>
            <w:noProof/>
            <w:webHidden/>
          </w:rPr>
          <w:fldChar w:fldCharType="separate"/>
        </w:r>
        <w:r w:rsidR="00AA4317">
          <w:rPr>
            <w:noProof/>
            <w:webHidden/>
          </w:rPr>
          <w:t>20</w:t>
        </w:r>
        <w:r>
          <w:rPr>
            <w:noProof/>
            <w:webHidden/>
          </w:rPr>
          <w:fldChar w:fldCharType="end"/>
        </w:r>
      </w:hyperlink>
    </w:p>
    <w:p w14:paraId="0031B5E3" w14:textId="78864643" w:rsidR="00E548A1" w:rsidRDefault="00E548A1">
      <w:pPr>
        <w:pStyle w:val="TOC2"/>
        <w:tabs>
          <w:tab w:val="left" w:pos="1276"/>
        </w:tabs>
        <w:rPr>
          <w:rFonts w:asciiTheme="minorHAnsi" w:eastAsiaTheme="minorEastAsia" w:hAnsiTheme="minorHAnsi" w:cstheme="minorBidi"/>
          <w:noProof/>
          <w:kern w:val="2"/>
          <w:sz w:val="24"/>
          <w:szCs w:val="24"/>
          <w:lang w:val="en-AU" w:eastAsia="en-AU"/>
          <w14:ligatures w14:val="standardContextual"/>
        </w:rPr>
      </w:pPr>
      <w:hyperlink w:anchor="_Toc207353871" w:history="1">
        <w:r w:rsidRPr="0085746F">
          <w:rPr>
            <w:rStyle w:val="Hyperlink"/>
            <w:noProof/>
          </w:rPr>
          <w:t>2.3</w:t>
        </w:r>
        <w:r>
          <w:rPr>
            <w:rFonts w:asciiTheme="minorHAnsi" w:eastAsiaTheme="minorEastAsia" w:hAnsiTheme="minorHAnsi" w:cstheme="minorBidi"/>
            <w:noProof/>
            <w:kern w:val="2"/>
            <w:sz w:val="24"/>
            <w:szCs w:val="24"/>
            <w:lang w:val="en-AU" w:eastAsia="en-AU"/>
            <w14:ligatures w14:val="standardContextual"/>
          </w:rPr>
          <w:tab/>
        </w:r>
        <w:r w:rsidRPr="0085746F">
          <w:rPr>
            <w:rStyle w:val="Hyperlink"/>
            <w:noProof/>
          </w:rPr>
          <w:t>Visitation and inspection</w:t>
        </w:r>
        <w:r>
          <w:rPr>
            <w:noProof/>
            <w:webHidden/>
          </w:rPr>
          <w:tab/>
        </w:r>
        <w:r>
          <w:rPr>
            <w:noProof/>
            <w:webHidden/>
          </w:rPr>
          <w:fldChar w:fldCharType="begin"/>
        </w:r>
        <w:r>
          <w:rPr>
            <w:noProof/>
            <w:webHidden/>
          </w:rPr>
          <w:instrText xml:space="preserve"> PAGEREF _Toc207353871 \h </w:instrText>
        </w:r>
        <w:r>
          <w:rPr>
            <w:noProof/>
            <w:webHidden/>
          </w:rPr>
        </w:r>
        <w:r>
          <w:rPr>
            <w:noProof/>
            <w:webHidden/>
          </w:rPr>
          <w:fldChar w:fldCharType="separate"/>
        </w:r>
        <w:r w:rsidR="00AA4317">
          <w:rPr>
            <w:noProof/>
            <w:webHidden/>
          </w:rPr>
          <w:t>22</w:t>
        </w:r>
        <w:r>
          <w:rPr>
            <w:noProof/>
            <w:webHidden/>
          </w:rPr>
          <w:fldChar w:fldCharType="end"/>
        </w:r>
      </w:hyperlink>
    </w:p>
    <w:p w14:paraId="0E1B7D37" w14:textId="5776C7F0" w:rsidR="00E548A1" w:rsidRDefault="00E548A1">
      <w:pPr>
        <w:pStyle w:val="TOC2"/>
        <w:tabs>
          <w:tab w:val="left" w:pos="1276"/>
        </w:tabs>
        <w:rPr>
          <w:rFonts w:asciiTheme="minorHAnsi" w:eastAsiaTheme="minorEastAsia" w:hAnsiTheme="minorHAnsi" w:cstheme="minorBidi"/>
          <w:noProof/>
          <w:kern w:val="2"/>
          <w:sz w:val="24"/>
          <w:szCs w:val="24"/>
          <w:lang w:val="en-AU" w:eastAsia="en-AU"/>
          <w14:ligatures w14:val="standardContextual"/>
        </w:rPr>
      </w:pPr>
      <w:hyperlink w:anchor="_Toc207353872" w:history="1">
        <w:r w:rsidRPr="0085746F">
          <w:rPr>
            <w:rStyle w:val="Hyperlink"/>
            <w:noProof/>
          </w:rPr>
          <w:t>2.4</w:t>
        </w:r>
        <w:r>
          <w:rPr>
            <w:rFonts w:asciiTheme="minorHAnsi" w:eastAsiaTheme="minorEastAsia" w:hAnsiTheme="minorHAnsi" w:cstheme="minorBidi"/>
            <w:noProof/>
            <w:kern w:val="2"/>
            <w:sz w:val="24"/>
            <w:szCs w:val="24"/>
            <w:lang w:val="en-AU" w:eastAsia="en-AU"/>
            <w14:ligatures w14:val="standardContextual"/>
          </w:rPr>
          <w:tab/>
        </w:r>
        <w:r w:rsidRPr="0085746F">
          <w:rPr>
            <w:rStyle w:val="Hyperlink"/>
            <w:noProof/>
          </w:rPr>
          <w:t>Complaint handling and investigation</w:t>
        </w:r>
        <w:r>
          <w:rPr>
            <w:noProof/>
            <w:webHidden/>
          </w:rPr>
          <w:tab/>
        </w:r>
        <w:r>
          <w:rPr>
            <w:noProof/>
            <w:webHidden/>
          </w:rPr>
          <w:fldChar w:fldCharType="begin"/>
        </w:r>
        <w:r>
          <w:rPr>
            <w:noProof/>
            <w:webHidden/>
          </w:rPr>
          <w:instrText xml:space="preserve"> PAGEREF _Toc207353872 \h </w:instrText>
        </w:r>
        <w:r>
          <w:rPr>
            <w:noProof/>
            <w:webHidden/>
          </w:rPr>
        </w:r>
        <w:r>
          <w:rPr>
            <w:noProof/>
            <w:webHidden/>
          </w:rPr>
          <w:fldChar w:fldCharType="separate"/>
        </w:r>
        <w:r w:rsidR="00AA4317">
          <w:rPr>
            <w:noProof/>
            <w:webHidden/>
          </w:rPr>
          <w:t>27</w:t>
        </w:r>
        <w:r>
          <w:rPr>
            <w:noProof/>
            <w:webHidden/>
          </w:rPr>
          <w:fldChar w:fldCharType="end"/>
        </w:r>
      </w:hyperlink>
    </w:p>
    <w:p w14:paraId="4F9F5FDA" w14:textId="14EDFCD3" w:rsidR="00E548A1" w:rsidRDefault="00E548A1">
      <w:pPr>
        <w:pStyle w:val="TOC2"/>
        <w:tabs>
          <w:tab w:val="left" w:pos="1276"/>
        </w:tabs>
        <w:rPr>
          <w:rFonts w:asciiTheme="minorHAnsi" w:eastAsiaTheme="minorEastAsia" w:hAnsiTheme="minorHAnsi" w:cstheme="minorBidi"/>
          <w:noProof/>
          <w:kern w:val="2"/>
          <w:sz w:val="24"/>
          <w:szCs w:val="24"/>
          <w:lang w:val="en-AU" w:eastAsia="en-AU"/>
          <w14:ligatures w14:val="standardContextual"/>
        </w:rPr>
      </w:pPr>
      <w:hyperlink w:anchor="_Toc207353873" w:history="1">
        <w:r w:rsidRPr="0085746F">
          <w:rPr>
            <w:rStyle w:val="Hyperlink"/>
            <w:noProof/>
          </w:rPr>
          <w:t>2.5</w:t>
        </w:r>
        <w:r>
          <w:rPr>
            <w:rFonts w:asciiTheme="minorHAnsi" w:eastAsiaTheme="minorEastAsia" w:hAnsiTheme="minorHAnsi" w:cstheme="minorBidi"/>
            <w:noProof/>
            <w:kern w:val="2"/>
            <w:sz w:val="24"/>
            <w:szCs w:val="24"/>
            <w:lang w:val="en-AU" w:eastAsia="en-AU"/>
            <w14:ligatures w14:val="standardContextual"/>
          </w:rPr>
          <w:tab/>
        </w:r>
        <w:r w:rsidRPr="0085746F">
          <w:rPr>
            <w:rStyle w:val="Hyperlink"/>
            <w:noProof/>
          </w:rPr>
          <w:t>Conducting complaint investigations and inquiries</w:t>
        </w:r>
        <w:r>
          <w:rPr>
            <w:noProof/>
            <w:webHidden/>
          </w:rPr>
          <w:tab/>
        </w:r>
        <w:r>
          <w:rPr>
            <w:noProof/>
            <w:webHidden/>
          </w:rPr>
          <w:fldChar w:fldCharType="begin"/>
        </w:r>
        <w:r>
          <w:rPr>
            <w:noProof/>
            <w:webHidden/>
          </w:rPr>
          <w:instrText xml:space="preserve"> PAGEREF _Toc207353873 \h </w:instrText>
        </w:r>
        <w:r>
          <w:rPr>
            <w:noProof/>
            <w:webHidden/>
          </w:rPr>
        </w:r>
        <w:r>
          <w:rPr>
            <w:noProof/>
            <w:webHidden/>
          </w:rPr>
          <w:fldChar w:fldCharType="separate"/>
        </w:r>
        <w:r w:rsidR="00AA4317">
          <w:rPr>
            <w:noProof/>
            <w:webHidden/>
          </w:rPr>
          <w:t>29</w:t>
        </w:r>
        <w:r>
          <w:rPr>
            <w:noProof/>
            <w:webHidden/>
          </w:rPr>
          <w:fldChar w:fldCharType="end"/>
        </w:r>
      </w:hyperlink>
    </w:p>
    <w:p w14:paraId="302D113C" w14:textId="35DF4DE9" w:rsidR="00E548A1" w:rsidRDefault="00E548A1">
      <w:pPr>
        <w:pStyle w:val="TOC2"/>
        <w:tabs>
          <w:tab w:val="left" w:pos="1276"/>
        </w:tabs>
        <w:rPr>
          <w:rFonts w:asciiTheme="minorHAnsi" w:eastAsiaTheme="minorEastAsia" w:hAnsiTheme="minorHAnsi" w:cstheme="minorBidi"/>
          <w:noProof/>
          <w:kern w:val="2"/>
          <w:sz w:val="24"/>
          <w:szCs w:val="24"/>
          <w:lang w:val="en-AU" w:eastAsia="en-AU"/>
          <w14:ligatures w14:val="standardContextual"/>
        </w:rPr>
      </w:pPr>
      <w:hyperlink w:anchor="_Toc207353874" w:history="1">
        <w:r w:rsidRPr="0085746F">
          <w:rPr>
            <w:rStyle w:val="Hyperlink"/>
            <w:noProof/>
          </w:rPr>
          <w:t>2.6</w:t>
        </w:r>
        <w:r>
          <w:rPr>
            <w:rFonts w:asciiTheme="minorHAnsi" w:eastAsiaTheme="minorEastAsia" w:hAnsiTheme="minorHAnsi" w:cstheme="minorBidi"/>
            <w:noProof/>
            <w:kern w:val="2"/>
            <w:sz w:val="24"/>
            <w:szCs w:val="24"/>
            <w:lang w:val="en-AU" w:eastAsia="en-AU"/>
            <w14:ligatures w14:val="standardContextual"/>
          </w:rPr>
          <w:tab/>
        </w:r>
        <w:r w:rsidRPr="0085746F">
          <w:rPr>
            <w:rStyle w:val="Hyperlink"/>
            <w:noProof/>
          </w:rPr>
          <w:t>Reporting and invoicing</w:t>
        </w:r>
        <w:r>
          <w:rPr>
            <w:noProof/>
            <w:webHidden/>
          </w:rPr>
          <w:tab/>
        </w:r>
        <w:r>
          <w:rPr>
            <w:noProof/>
            <w:webHidden/>
          </w:rPr>
          <w:fldChar w:fldCharType="begin"/>
        </w:r>
        <w:r>
          <w:rPr>
            <w:noProof/>
            <w:webHidden/>
          </w:rPr>
          <w:instrText xml:space="preserve"> PAGEREF _Toc207353874 \h </w:instrText>
        </w:r>
        <w:r>
          <w:rPr>
            <w:noProof/>
            <w:webHidden/>
          </w:rPr>
        </w:r>
        <w:r>
          <w:rPr>
            <w:noProof/>
            <w:webHidden/>
          </w:rPr>
          <w:fldChar w:fldCharType="separate"/>
        </w:r>
        <w:r w:rsidR="00AA4317">
          <w:rPr>
            <w:noProof/>
            <w:webHidden/>
          </w:rPr>
          <w:t>36</w:t>
        </w:r>
        <w:r>
          <w:rPr>
            <w:noProof/>
            <w:webHidden/>
          </w:rPr>
          <w:fldChar w:fldCharType="end"/>
        </w:r>
      </w:hyperlink>
    </w:p>
    <w:p w14:paraId="4BFAEB16" w14:textId="2EC0C415" w:rsidR="00E548A1" w:rsidRDefault="00E548A1">
      <w:pPr>
        <w:pStyle w:val="TOC1"/>
        <w:tabs>
          <w:tab w:val="left" w:pos="1276"/>
        </w:tabs>
        <w:rPr>
          <w:rFonts w:asciiTheme="minorHAnsi" w:eastAsiaTheme="minorEastAsia" w:hAnsiTheme="minorHAnsi" w:cstheme="minorBidi"/>
          <w:noProof/>
          <w:kern w:val="2"/>
          <w:szCs w:val="24"/>
          <w:lang w:val="en-AU" w:eastAsia="en-AU"/>
          <w14:ligatures w14:val="standardContextual"/>
        </w:rPr>
      </w:pPr>
      <w:hyperlink w:anchor="_Toc207353875" w:history="1">
        <w:r w:rsidRPr="0085746F">
          <w:rPr>
            <w:rStyle w:val="Hyperlink"/>
            <w:noProof/>
          </w:rPr>
          <w:t>3</w:t>
        </w:r>
        <w:r w:rsidR="006B1B4F">
          <w:rPr>
            <w:rFonts w:asciiTheme="minorHAnsi" w:eastAsiaTheme="minorEastAsia" w:hAnsiTheme="minorHAnsi" w:cstheme="minorBidi"/>
            <w:noProof/>
            <w:kern w:val="2"/>
            <w:szCs w:val="24"/>
            <w:lang w:val="en-AU" w:eastAsia="en-AU"/>
            <w14:ligatures w14:val="standardContextual"/>
          </w:rPr>
          <w:t xml:space="preserve"> </w:t>
        </w:r>
        <w:r w:rsidR="00CC1560">
          <w:rPr>
            <w:rFonts w:asciiTheme="minorHAnsi" w:eastAsiaTheme="minorEastAsia" w:hAnsiTheme="minorHAnsi" w:cstheme="minorBidi"/>
            <w:noProof/>
            <w:kern w:val="2"/>
            <w:szCs w:val="24"/>
            <w:lang w:val="en-AU" w:eastAsia="en-AU"/>
            <w14:ligatures w14:val="standardContextual"/>
          </w:rPr>
          <w:tab/>
        </w:r>
        <w:r w:rsidRPr="0085746F">
          <w:rPr>
            <w:rStyle w:val="Hyperlink"/>
            <w:noProof/>
          </w:rPr>
          <w:t>General guidance for district inspectors</w:t>
        </w:r>
        <w:r>
          <w:rPr>
            <w:noProof/>
            <w:webHidden/>
          </w:rPr>
          <w:tab/>
        </w:r>
        <w:r>
          <w:rPr>
            <w:noProof/>
            <w:webHidden/>
          </w:rPr>
          <w:fldChar w:fldCharType="begin"/>
        </w:r>
        <w:r>
          <w:rPr>
            <w:noProof/>
            <w:webHidden/>
          </w:rPr>
          <w:instrText xml:space="preserve"> PAGEREF _Toc207353875 \h </w:instrText>
        </w:r>
        <w:r>
          <w:rPr>
            <w:noProof/>
            <w:webHidden/>
          </w:rPr>
        </w:r>
        <w:r>
          <w:rPr>
            <w:noProof/>
            <w:webHidden/>
          </w:rPr>
          <w:fldChar w:fldCharType="separate"/>
        </w:r>
        <w:r w:rsidR="00AA4317">
          <w:rPr>
            <w:noProof/>
            <w:webHidden/>
          </w:rPr>
          <w:t>37</w:t>
        </w:r>
        <w:r>
          <w:rPr>
            <w:noProof/>
            <w:webHidden/>
          </w:rPr>
          <w:fldChar w:fldCharType="end"/>
        </w:r>
      </w:hyperlink>
    </w:p>
    <w:p w14:paraId="74197EFC" w14:textId="0DEE0146" w:rsidR="00E548A1" w:rsidRDefault="00E548A1">
      <w:pPr>
        <w:pStyle w:val="TOC2"/>
        <w:tabs>
          <w:tab w:val="left" w:pos="1276"/>
        </w:tabs>
        <w:rPr>
          <w:rFonts w:asciiTheme="minorHAnsi" w:eastAsiaTheme="minorEastAsia" w:hAnsiTheme="minorHAnsi" w:cstheme="minorBidi"/>
          <w:noProof/>
          <w:kern w:val="2"/>
          <w:sz w:val="24"/>
          <w:szCs w:val="24"/>
          <w:lang w:val="en-AU" w:eastAsia="en-AU"/>
          <w14:ligatures w14:val="standardContextual"/>
        </w:rPr>
      </w:pPr>
      <w:hyperlink w:anchor="_Toc207353876" w:history="1">
        <w:r w:rsidRPr="0085746F">
          <w:rPr>
            <w:rStyle w:val="Hyperlink"/>
            <w:noProof/>
          </w:rPr>
          <w:t>3.1</w:t>
        </w:r>
        <w:r>
          <w:rPr>
            <w:rFonts w:asciiTheme="minorHAnsi" w:eastAsiaTheme="minorEastAsia" w:hAnsiTheme="minorHAnsi" w:cstheme="minorBidi"/>
            <w:noProof/>
            <w:kern w:val="2"/>
            <w:sz w:val="24"/>
            <w:szCs w:val="24"/>
            <w:lang w:val="en-AU" w:eastAsia="en-AU"/>
            <w14:ligatures w14:val="standardContextual"/>
          </w:rPr>
          <w:tab/>
        </w:r>
        <w:r w:rsidRPr="0085746F">
          <w:rPr>
            <w:rStyle w:val="Hyperlink"/>
            <w:noProof/>
          </w:rPr>
          <w:t>Accountability relationships</w:t>
        </w:r>
        <w:r>
          <w:rPr>
            <w:noProof/>
            <w:webHidden/>
          </w:rPr>
          <w:tab/>
        </w:r>
        <w:r>
          <w:rPr>
            <w:noProof/>
            <w:webHidden/>
          </w:rPr>
          <w:fldChar w:fldCharType="begin"/>
        </w:r>
        <w:r>
          <w:rPr>
            <w:noProof/>
            <w:webHidden/>
          </w:rPr>
          <w:instrText xml:space="preserve"> PAGEREF _Toc207353876 \h </w:instrText>
        </w:r>
        <w:r>
          <w:rPr>
            <w:noProof/>
            <w:webHidden/>
          </w:rPr>
        </w:r>
        <w:r>
          <w:rPr>
            <w:noProof/>
            <w:webHidden/>
          </w:rPr>
          <w:fldChar w:fldCharType="separate"/>
        </w:r>
        <w:r w:rsidR="00AA4317">
          <w:rPr>
            <w:noProof/>
            <w:webHidden/>
          </w:rPr>
          <w:t>37</w:t>
        </w:r>
        <w:r>
          <w:rPr>
            <w:noProof/>
            <w:webHidden/>
          </w:rPr>
          <w:fldChar w:fldCharType="end"/>
        </w:r>
      </w:hyperlink>
    </w:p>
    <w:p w14:paraId="11297B24" w14:textId="4B79F661" w:rsidR="00E548A1" w:rsidRDefault="00E548A1">
      <w:pPr>
        <w:pStyle w:val="TOC2"/>
        <w:tabs>
          <w:tab w:val="left" w:pos="1276"/>
        </w:tabs>
        <w:rPr>
          <w:rFonts w:asciiTheme="minorHAnsi" w:eastAsiaTheme="minorEastAsia" w:hAnsiTheme="minorHAnsi" w:cstheme="minorBidi"/>
          <w:noProof/>
          <w:kern w:val="2"/>
          <w:sz w:val="24"/>
          <w:szCs w:val="24"/>
          <w:lang w:val="en-AU" w:eastAsia="en-AU"/>
          <w14:ligatures w14:val="standardContextual"/>
        </w:rPr>
      </w:pPr>
      <w:hyperlink w:anchor="_Toc207353877" w:history="1">
        <w:r w:rsidRPr="0085746F">
          <w:rPr>
            <w:rStyle w:val="Hyperlink"/>
            <w:noProof/>
          </w:rPr>
          <w:t>3.2</w:t>
        </w:r>
        <w:r>
          <w:rPr>
            <w:rFonts w:asciiTheme="minorHAnsi" w:eastAsiaTheme="minorEastAsia" w:hAnsiTheme="minorHAnsi" w:cstheme="minorBidi"/>
            <w:noProof/>
            <w:kern w:val="2"/>
            <w:sz w:val="24"/>
            <w:szCs w:val="24"/>
            <w:lang w:val="en-AU" w:eastAsia="en-AU"/>
            <w14:ligatures w14:val="standardContextual"/>
          </w:rPr>
          <w:tab/>
        </w:r>
        <w:r w:rsidRPr="0085746F">
          <w:rPr>
            <w:rStyle w:val="Hyperlink"/>
            <w:noProof/>
          </w:rPr>
          <w:t>Optional Protocol to the Convention against Torture</w:t>
        </w:r>
        <w:r>
          <w:rPr>
            <w:noProof/>
            <w:webHidden/>
          </w:rPr>
          <w:tab/>
        </w:r>
        <w:r>
          <w:rPr>
            <w:noProof/>
            <w:webHidden/>
          </w:rPr>
          <w:fldChar w:fldCharType="begin"/>
        </w:r>
        <w:r>
          <w:rPr>
            <w:noProof/>
            <w:webHidden/>
          </w:rPr>
          <w:instrText xml:space="preserve"> PAGEREF _Toc207353877 \h </w:instrText>
        </w:r>
        <w:r>
          <w:rPr>
            <w:noProof/>
            <w:webHidden/>
          </w:rPr>
        </w:r>
        <w:r>
          <w:rPr>
            <w:noProof/>
            <w:webHidden/>
          </w:rPr>
          <w:fldChar w:fldCharType="separate"/>
        </w:r>
        <w:r w:rsidR="00AA4317">
          <w:rPr>
            <w:noProof/>
            <w:webHidden/>
          </w:rPr>
          <w:t>38</w:t>
        </w:r>
        <w:r>
          <w:rPr>
            <w:noProof/>
            <w:webHidden/>
          </w:rPr>
          <w:fldChar w:fldCharType="end"/>
        </w:r>
      </w:hyperlink>
    </w:p>
    <w:p w14:paraId="7F65D5A3" w14:textId="5F67C7A8" w:rsidR="00E548A1" w:rsidRDefault="00E548A1">
      <w:pPr>
        <w:pStyle w:val="TOC2"/>
        <w:tabs>
          <w:tab w:val="left" w:pos="1276"/>
        </w:tabs>
        <w:rPr>
          <w:rFonts w:asciiTheme="minorHAnsi" w:eastAsiaTheme="minorEastAsia" w:hAnsiTheme="minorHAnsi" w:cstheme="minorBidi"/>
          <w:noProof/>
          <w:kern w:val="2"/>
          <w:sz w:val="24"/>
          <w:szCs w:val="24"/>
          <w:lang w:val="en-AU" w:eastAsia="en-AU"/>
          <w14:ligatures w14:val="standardContextual"/>
        </w:rPr>
      </w:pPr>
      <w:hyperlink w:anchor="_Toc207353878" w:history="1">
        <w:r w:rsidRPr="0085746F">
          <w:rPr>
            <w:rStyle w:val="Hyperlink"/>
            <w:noProof/>
          </w:rPr>
          <w:t>3.3</w:t>
        </w:r>
        <w:r>
          <w:rPr>
            <w:rFonts w:asciiTheme="minorHAnsi" w:eastAsiaTheme="minorEastAsia" w:hAnsiTheme="minorHAnsi" w:cstheme="minorBidi"/>
            <w:noProof/>
            <w:kern w:val="2"/>
            <w:sz w:val="24"/>
            <w:szCs w:val="24"/>
            <w:lang w:val="en-AU" w:eastAsia="en-AU"/>
            <w14:ligatures w14:val="standardContextual"/>
          </w:rPr>
          <w:tab/>
        </w:r>
        <w:r w:rsidRPr="0085746F">
          <w:rPr>
            <w:rStyle w:val="Hyperlink"/>
            <w:noProof/>
          </w:rPr>
          <w:t>Working with rangatahi</w:t>
        </w:r>
        <w:r>
          <w:rPr>
            <w:noProof/>
            <w:webHidden/>
          </w:rPr>
          <w:tab/>
        </w:r>
        <w:r>
          <w:rPr>
            <w:noProof/>
            <w:webHidden/>
          </w:rPr>
          <w:fldChar w:fldCharType="begin"/>
        </w:r>
        <w:r>
          <w:rPr>
            <w:noProof/>
            <w:webHidden/>
          </w:rPr>
          <w:instrText xml:space="preserve"> PAGEREF _Toc207353878 \h </w:instrText>
        </w:r>
        <w:r>
          <w:rPr>
            <w:noProof/>
            <w:webHidden/>
          </w:rPr>
        </w:r>
        <w:r>
          <w:rPr>
            <w:noProof/>
            <w:webHidden/>
          </w:rPr>
          <w:fldChar w:fldCharType="separate"/>
        </w:r>
        <w:r w:rsidR="00AA4317">
          <w:rPr>
            <w:noProof/>
            <w:webHidden/>
          </w:rPr>
          <w:t>39</w:t>
        </w:r>
        <w:r>
          <w:rPr>
            <w:noProof/>
            <w:webHidden/>
          </w:rPr>
          <w:fldChar w:fldCharType="end"/>
        </w:r>
      </w:hyperlink>
    </w:p>
    <w:p w14:paraId="00C1CBF3" w14:textId="1D625D03" w:rsidR="00E548A1" w:rsidRDefault="00E548A1">
      <w:pPr>
        <w:pStyle w:val="TOC1"/>
        <w:tabs>
          <w:tab w:val="left" w:pos="1276"/>
        </w:tabs>
        <w:rPr>
          <w:rFonts w:asciiTheme="minorHAnsi" w:eastAsiaTheme="minorEastAsia" w:hAnsiTheme="minorHAnsi" w:cstheme="minorBidi"/>
          <w:noProof/>
          <w:kern w:val="2"/>
          <w:szCs w:val="24"/>
          <w:lang w:val="en-AU" w:eastAsia="en-AU"/>
          <w14:ligatures w14:val="standardContextual"/>
        </w:rPr>
      </w:pPr>
      <w:hyperlink w:anchor="_Toc207353879" w:history="1">
        <w:r w:rsidRPr="0085746F">
          <w:rPr>
            <w:rStyle w:val="Hyperlink"/>
            <w:noProof/>
          </w:rPr>
          <w:t>4</w:t>
        </w:r>
        <w:r w:rsidR="006B1B4F">
          <w:rPr>
            <w:rFonts w:asciiTheme="minorHAnsi" w:eastAsiaTheme="minorEastAsia" w:hAnsiTheme="minorHAnsi" w:cstheme="minorBidi"/>
            <w:noProof/>
            <w:kern w:val="2"/>
            <w:szCs w:val="24"/>
            <w:lang w:val="en-AU" w:eastAsia="en-AU"/>
            <w14:ligatures w14:val="standardContextual"/>
          </w:rPr>
          <w:t xml:space="preserve"> </w:t>
        </w:r>
        <w:r w:rsidR="00CC1560">
          <w:rPr>
            <w:rFonts w:asciiTheme="minorHAnsi" w:eastAsiaTheme="minorEastAsia" w:hAnsiTheme="minorHAnsi" w:cstheme="minorBidi"/>
            <w:noProof/>
            <w:kern w:val="2"/>
            <w:szCs w:val="24"/>
            <w:lang w:val="en-AU" w:eastAsia="en-AU"/>
            <w14:ligatures w14:val="standardContextual"/>
          </w:rPr>
          <w:tab/>
        </w:r>
        <w:r w:rsidRPr="0085746F">
          <w:rPr>
            <w:rStyle w:val="Hyperlink"/>
            <w:noProof/>
          </w:rPr>
          <w:t>Appointment of district inspectors and deputy district inspectors</w:t>
        </w:r>
        <w:r w:rsidR="00B0153B">
          <w:rPr>
            <w:noProof/>
            <w:webHidden/>
          </w:rPr>
          <w:tab/>
        </w:r>
        <w:r w:rsidR="00CC1560">
          <w:rPr>
            <w:noProof/>
            <w:webHidden/>
          </w:rPr>
          <w:tab/>
        </w:r>
        <w:r>
          <w:rPr>
            <w:noProof/>
            <w:webHidden/>
          </w:rPr>
          <w:fldChar w:fldCharType="begin"/>
        </w:r>
        <w:r>
          <w:rPr>
            <w:noProof/>
            <w:webHidden/>
          </w:rPr>
          <w:instrText xml:space="preserve"> PAGEREF _Toc207353879 \h </w:instrText>
        </w:r>
        <w:r>
          <w:rPr>
            <w:noProof/>
            <w:webHidden/>
          </w:rPr>
        </w:r>
        <w:r>
          <w:rPr>
            <w:noProof/>
            <w:webHidden/>
          </w:rPr>
          <w:fldChar w:fldCharType="separate"/>
        </w:r>
        <w:r w:rsidR="00AA4317">
          <w:rPr>
            <w:noProof/>
            <w:webHidden/>
          </w:rPr>
          <w:t>41</w:t>
        </w:r>
        <w:r>
          <w:rPr>
            <w:noProof/>
            <w:webHidden/>
          </w:rPr>
          <w:fldChar w:fldCharType="end"/>
        </w:r>
      </w:hyperlink>
    </w:p>
    <w:p w14:paraId="25B9D4F6" w14:textId="7917C0D3" w:rsidR="00E548A1" w:rsidRDefault="00E548A1">
      <w:pPr>
        <w:pStyle w:val="TOC2"/>
        <w:tabs>
          <w:tab w:val="left" w:pos="1276"/>
        </w:tabs>
        <w:rPr>
          <w:rFonts w:asciiTheme="minorHAnsi" w:eastAsiaTheme="minorEastAsia" w:hAnsiTheme="minorHAnsi" w:cstheme="minorBidi"/>
          <w:noProof/>
          <w:kern w:val="2"/>
          <w:sz w:val="24"/>
          <w:szCs w:val="24"/>
          <w:lang w:val="en-AU" w:eastAsia="en-AU"/>
          <w14:ligatures w14:val="standardContextual"/>
        </w:rPr>
      </w:pPr>
      <w:hyperlink w:anchor="_Toc207353880" w:history="1">
        <w:r w:rsidRPr="0085746F">
          <w:rPr>
            <w:rStyle w:val="Hyperlink"/>
            <w:noProof/>
          </w:rPr>
          <w:t>4.1</w:t>
        </w:r>
        <w:r>
          <w:rPr>
            <w:rFonts w:asciiTheme="minorHAnsi" w:eastAsiaTheme="minorEastAsia" w:hAnsiTheme="minorHAnsi" w:cstheme="minorBidi"/>
            <w:noProof/>
            <w:kern w:val="2"/>
            <w:sz w:val="24"/>
            <w:szCs w:val="24"/>
            <w:lang w:val="en-AU" w:eastAsia="en-AU"/>
            <w14:ligatures w14:val="standardContextual"/>
          </w:rPr>
          <w:tab/>
        </w:r>
        <w:r w:rsidRPr="0085746F">
          <w:rPr>
            <w:rStyle w:val="Hyperlink"/>
            <w:noProof/>
          </w:rPr>
          <w:t>The appointment processes</w:t>
        </w:r>
        <w:r>
          <w:rPr>
            <w:noProof/>
            <w:webHidden/>
          </w:rPr>
          <w:tab/>
        </w:r>
        <w:r>
          <w:rPr>
            <w:noProof/>
            <w:webHidden/>
          </w:rPr>
          <w:fldChar w:fldCharType="begin"/>
        </w:r>
        <w:r>
          <w:rPr>
            <w:noProof/>
            <w:webHidden/>
          </w:rPr>
          <w:instrText xml:space="preserve"> PAGEREF _Toc207353880 \h </w:instrText>
        </w:r>
        <w:r>
          <w:rPr>
            <w:noProof/>
            <w:webHidden/>
          </w:rPr>
        </w:r>
        <w:r>
          <w:rPr>
            <w:noProof/>
            <w:webHidden/>
          </w:rPr>
          <w:fldChar w:fldCharType="separate"/>
        </w:r>
        <w:r w:rsidR="00AA4317">
          <w:rPr>
            <w:noProof/>
            <w:webHidden/>
          </w:rPr>
          <w:t>42</w:t>
        </w:r>
        <w:r>
          <w:rPr>
            <w:noProof/>
            <w:webHidden/>
          </w:rPr>
          <w:fldChar w:fldCharType="end"/>
        </w:r>
      </w:hyperlink>
    </w:p>
    <w:p w14:paraId="652BB73C" w14:textId="7426215B" w:rsidR="00E548A1" w:rsidRDefault="00E548A1">
      <w:pPr>
        <w:pStyle w:val="TOC2"/>
        <w:tabs>
          <w:tab w:val="left" w:pos="1276"/>
        </w:tabs>
        <w:rPr>
          <w:rFonts w:asciiTheme="minorHAnsi" w:eastAsiaTheme="minorEastAsia" w:hAnsiTheme="minorHAnsi" w:cstheme="minorBidi"/>
          <w:noProof/>
          <w:kern w:val="2"/>
          <w:sz w:val="24"/>
          <w:szCs w:val="24"/>
          <w:lang w:val="en-AU" w:eastAsia="en-AU"/>
          <w14:ligatures w14:val="standardContextual"/>
        </w:rPr>
      </w:pPr>
      <w:hyperlink w:anchor="_Toc207353881" w:history="1">
        <w:r w:rsidRPr="0085746F">
          <w:rPr>
            <w:rStyle w:val="Hyperlink"/>
            <w:noProof/>
          </w:rPr>
          <w:t>4.2</w:t>
        </w:r>
        <w:r>
          <w:rPr>
            <w:rFonts w:asciiTheme="minorHAnsi" w:eastAsiaTheme="minorEastAsia" w:hAnsiTheme="minorHAnsi" w:cstheme="minorBidi"/>
            <w:noProof/>
            <w:kern w:val="2"/>
            <w:sz w:val="24"/>
            <w:szCs w:val="24"/>
            <w:lang w:val="en-AU" w:eastAsia="en-AU"/>
            <w14:ligatures w14:val="standardContextual"/>
          </w:rPr>
          <w:tab/>
        </w:r>
        <w:r w:rsidRPr="0085746F">
          <w:rPr>
            <w:rStyle w:val="Hyperlink"/>
            <w:noProof/>
          </w:rPr>
          <w:t>Senior advisory district inspector appointment</w:t>
        </w:r>
        <w:r>
          <w:rPr>
            <w:noProof/>
            <w:webHidden/>
          </w:rPr>
          <w:tab/>
        </w:r>
        <w:r>
          <w:rPr>
            <w:noProof/>
            <w:webHidden/>
          </w:rPr>
          <w:fldChar w:fldCharType="begin"/>
        </w:r>
        <w:r>
          <w:rPr>
            <w:noProof/>
            <w:webHidden/>
          </w:rPr>
          <w:instrText xml:space="preserve"> PAGEREF _Toc207353881 \h </w:instrText>
        </w:r>
        <w:r>
          <w:rPr>
            <w:noProof/>
            <w:webHidden/>
          </w:rPr>
        </w:r>
        <w:r>
          <w:rPr>
            <w:noProof/>
            <w:webHidden/>
          </w:rPr>
          <w:fldChar w:fldCharType="separate"/>
        </w:r>
        <w:r w:rsidR="00AA4317">
          <w:rPr>
            <w:noProof/>
            <w:webHidden/>
          </w:rPr>
          <w:t>42</w:t>
        </w:r>
        <w:r>
          <w:rPr>
            <w:noProof/>
            <w:webHidden/>
          </w:rPr>
          <w:fldChar w:fldCharType="end"/>
        </w:r>
      </w:hyperlink>
    </w:p>
    <w:p w14:paraId="59216448" w14:textId="6020520D" w:rsidR="00E548A1" w:rsidRDefault="00E548A1">
      <w:pPr>
        <w:pStyle w:val="TOC1"/>
        <w:tabs>
          <w:tab w:val="left" w:pos="1276"/>
        </w:tabs>
        <w:rPr>
          <w:rFonts w:asciiTheme="minorHAnsi" w:eastAsiaTheme="minorEastAsia" w:hAnsiTheme="minorHAnsi" w:cstheme="minorBidi"/>
          <w:noProof/>
          <w:kern w:val="2"/>
          <w:szCs w:val="24"/>
          <w:lang w:val="en-AU" w:eastAsia="en-AU"/>
          <w14:ligatures w14:val="standardContextual"/>
        </w:rPr>
      </w:pPr>
      <w:hyperlink w:anchor="_Toc207353882" w:history="1">
        <w:r w:rsidRPr="0085746F">
          <w:rPr>
            <w:rStyle w:val="Hyperlink"/>
            <w:noProof/>
          </w:rPr>
          <w:t>5</w:t>
        </w:r>
        <w:r w:rsidR="00CA4E39">
          <w:rPr>
            <w:rStyle w:val="Hyperlink"/>
            <w:noProof/>
          </w:rPr>
          <w:t xml:space="preserve"> </w:t>
        </w:r>
        <w:r w:rsidR="002025A3">
          <w:rPr>
            <w:rStyle w:val="Hyperlink"/>
            <w:noProof/>
          </w:rPr>
          <w:tab/>
        </w:r>
        <w:r w:rsidRPr="0085746F">
          <w:rPr>
            <w:rStyle w:val="Hyperlink"/>
            <w:noProof/>
          </w:rPr>
          <w:t>Complaints about</w:t>
        </w:r>
        <w:r w:rsidR="006B1B4F">
          <w:rPr>
            <w:rStyle w:val="Hyperlink"/>
            <w:noProof/>
          </w:rPr>
          <w:t xml:space="preserve"> </w:t>
        </w:r>
        <w:r w:rsidRPr="0085746F">
          <w:rPr>
            <w:rStyle w:val="Hyperlink"/>
            <w:noProof/>
          </w:rPr>
          <w:t>district inspectors</w:t>
        </w:r>
        <w:r>
          <w:rPr>
            <w:noProof/>
            <w:webHidden/>
          </w:rPr>
          <w:tab/>
        </w:r>
        <w:r>
          <w:rPr>
            <w:noProof/>
            <w:webHidden/>
          </w:rPr>
          <w:fldChar w:fldCharType="begin"/>
        </w:r>
        <w:r>
          <w:rPr>
            <w:noProof/>
            <w:webHidden/>
          </w:rPr>
          <w:instrText xml:space="preserve"> PAGEREF _Toc207353882 \h </w:instrText>
        </w:r>
        <w:r>
          <w:rPr>
            <w:noProof/>
            <w:webHidden/>
          </w:rPr>
        </w:r>
        <w:r>
          <w:rPr>
            <w:noProof/>
            <w:webHidden/>
          </w:rPr>
          <w:fldChar w:fldCharType="separate"/>
        </w:r>
        <w:r w:rsidR="00AA4317">
          <w:rPr>
            <w:noProof/>
            <w:webHidden/>
          </w:rPr>
          <w:t>43</w:t>
        </w:r>
        <w:r>
          <w:rPr>
            <w:noProof/>
            <w:webHidden/>
          </w:rPr>
          <w:fldChar w:fldCharType="end"/>
        </w:r>
      </w:hyperlink>
    </w:p>
    <w:p w14:paraId="7110FA77" w14:textId="29D6B465" w:rsidR="00E548A1" w:rsidRDefault="00E548A1">
      <w:pPr>
        <w:pStyle w:val="TOC2"/>
        <w:tabs>
          <w:tab w:val="left" w:pos="1276"/>
        </w:tabs>
        <w:rPr>
          <w:rFonts w:asciiTheme="minorHAnsi" w:eastAsiaTheme="minorEastAsia" w:hAnsiTheme="minorHAnsi" w:cstheme="minorBidi"/>
          <w:noProof/>
          <w:kern w:val="2"/>
          <w:sz w:val="24"/>
          <w:szCs w:val="24"/>
          <w:lang w:val="en-AU" w:eastAsia="en-AU"/>
          <w14:ligatures w14:val="standardContextual"/>
        </w:rPr>
      </w:pPr>
      <w:hyperlink w:anchor="_Toc207353883" w:history="1">
        <w:r w:rsidRPr="0085746F">
          <w:rPr>
            <w:rStyle w:val="Hyperlink"/>
            <w:noProof/>
          </w:rPr>
          <w:t>5.1</w:t>
        </w:r>
        <w:r>
          <w:rPr>
            <w:rFonts w:asciiTheme="minorHAnsi" w:eastAsiaTheme="minorEastAsia" w:hAnsiTheme="minorHAnsi" w:cstheme="minorBidi"/>
            <w:noProof/>
            <w:kern w:val="2"/>
            <w:sz w:val="24"/>
            <w:szCs w:val="24"/>
            <w:lang w:val="en-AU" w:eastAsia="en-AU"/>
            <w14:ligatures w14:val="standardContextual"/>
          </w:rPr>
          <w:tab/>
        </w:r>
        <w:r w:rsidRPr="0085746F">
          <w:rPr>
            <w:rStyle w:val="Hyperlink"/>
            <w:noProof/>
          </w:rPr>
          <w:t>District inspector civil immunity and rights</w:t>
        </w:r>
        <w:r>
          <w:rPr>
            <w:noProof/>
            <w:webHidden/>
          </w:rPr>
          <w:tab/>
        </w:r>
        <w:r>
          <w:rPr>
            <w:noProof/>
            <w:webHidden/>
          </w:rPr>
          <w:fldChar w:fldCharType="begin"/>
        </w:r>
        <w:r>
          <w:rPr>
            <w:noProof/>
            <w:webHidden/>
          </w:rPr>
          <w:instrText xml:space="preserve"> PAGEREF _Toc207353883 \h </w:instrText>
        </w:r>
        <w:r>
          <w:rPr>
            <w:noProof/>
            <w:webHidden/>
          </w:rPr>
        </w:r>
        <w:r>
          <w:rPr>
            <w:noProof/>
            <w:webHidden/>
          </w:rPr>
          <w:fldChar w:fldCharType="separate"/>
        </w:r>
        <w:r w:rsidR="00AA4317">
          <w:rPr>
            <w:noProof/>
            <w:webHidden/>
          </w:rPr>
          <w:t>44</w:t>
        </w:r>
        <w:r>
          <w:rPr>
            <w:noProof/>
            <w:webHidden/>
          </w:rPr>
          <w:fldChar w:fldCharType="end"/>
        </w:r>
      </w:hyperlink>
    </w:p>
    <w:p w14:paraId="33659F0B" w14:textId="410BF708" w:rsidR="00E548A1" w:rsidRDefault="00E548A1">
      <w:pPr>
        <w:pStyle w:val="TOC1"/>
        <w:rPr>
          <w:rFonts w:asciiTheme="minorHAnsi" w:eastAsiaTheme="minorEastAsia" w:hAnsiTheme="minorHAnsi" w:cstheme="minorBidi"/>
          <w:noProof/>
          <w:kern w:val="2"/>
          <w:szCs w:val="24"/>
          <w:lang w:val="en-AU" w:eastAsia="en-AU"/>
          <w14:ligatures w14:val="standardContextual"/>
        </w:rPr>
      </w:pPr>
      <w:hyperlink w:anchor="_Toc207353884" w:history="1">
        <w:r w:rsidRPr="0085746F">
          <w:rPr>
            <w:rStyle w:val="Hyperlink"/>
            <w:noProof/>
          </w:rPr>
          <w:t>References</w:t>
        </w:r>
        <w:r>
          <w:rPr>
            <w:noProof/>
            <w:webHidden/>
          </w:rPr>
          <w:tab/>
        </w:r>
        <w:r>
          <w:rPr>
            <w:noProof/>
            <w:webHidden/>
          </w:rPr>
          <w:fldChar w:fldCharType="begin"/>
        </w:r>
        <w:r>
          <w:rPr>
            <w:noProof/>
            <w:webHidden/>
          </w:rPr>
          <w:instrText xml:space="preserve"> PAGEREF _Toc207353884 \h </w:instrText>
        </w:r>
        <w:r>
          <w:rPr>
            <w:noProof/>
            <w:webHidden/>
          </w:rPr>
        </w:r>
        <w:r>
          <w:rPr>
            <w:noProof/>
            <w:webHidden/>
          </w:rPr>
          <w:fldChar w:fldCharType="separate"/>
        </w:r>
        <w:r w:rsidR="00AA4317">
          <w:rPr>
            <w:noProof/>
            <w:webHidden/>
          </w:rPr>
          <w:t>46</w:t>
        </w:r>
        <w:r>
          <w:rPr>
            <w:noProof/>
            <w:webHidden/>
          </w:rPr>
          <w:fldChar w:fldCharType="end"/>
        </w:r>
      </w:hyperlink>
    </w:p>
    <w:p w14:paraId="5C932D8E" w14:textId="34F145E3" w:rsidR="00E548A1" w:rsidRDefault="00E548A1">
      <w:pPr>
        <w:pStyle w:val="TOC1"/>
        <w:rPr>
          <w:rFonts w:asciiTheme="minorHAnsi" w:eastAsiaTheme="minorEastAsia" w:hAnsiTheme="minorHAnsi" w:cstheme="minorBidi"/>
          <w:noProof/>
          <w:kern w:val="2"/>
          <w:szCs w:val="24"/>
          <w:lang w:val="en-AU" w:eastAsia="en-AU"/>
          <w14:ligatures w14:val="standardContextual"/>
        </w:rPr>
      </w:pPr>
      <w:hyperlink w:anchor="_Toc207353885" w:history="1">
        <w:r w:rsidRPr="0085746F">
          <w:rPr>
            <w:rStyle w:val="Hyperlink"/>
            <w:noProof/>
          </w:rPr>
          <w:t>Appendix 1: Process for complaints about district inspectors</w:t>
        </w:r>
        <w:r>
          <w:rPr>
            <w:noProof/>
            <w:webHidden/>
          </w:rPr>
          <w:tab/>
        </w:r>
        <w:r>
          <w:rPr>
            <w:noProof/>
            <w:webHidden/>
          </w:rPr>
          <w:fldChar w:fldCharType="begin"/>
        </w:r>
        <w:r>
          <w:rPr>
            <w:noProof/>
            <w:webHidden/>
          </w:rPr>
          <w:instrText xml:space="preserve"> PAGEREF _Toc207353885 \h </w:instrText>
        </w:r>
        <w:r>
          <w:rPr>
            <w:noProof/>
            <w:webHidden/>
          </w:rPr>
        </w:r>
        <w:r>
          <w:rPr>
            <w:noProof/>
            <w:webHidden/>
          </w:rPr>
          <w:fldChar w:fldCharType="separate"/>
        </w:r>
        <w:r w:rsidR="00AA4317">
          <w:rPr>
            <w:noProof/>
            <w:webHidden/>
          </w:rPr>
          <w:t>49</w:t>
        </w:r>
        <w:r>
          <w:rPr>
            <w:noProof/>
            <w:webHidden/>
          </w:rPr>
          <w:fldChar w:fldCharType="end"/>
        </w:r>
      </w:hyperlink>
    </w:p>
    <w:p w14:paraId="133A9219" w14:textId="15478225" w:rsidR="00C86248" w:rsidRDefault="00C344A2">
      <w:r>
        <w:rPr>
          <w:rFonts w:ascii="Segoe UI Semibold" w:hAnsi="Segoe UI Semibold"/>
          <w:b/>
          <w:sz w:val="24"/>
        </w:rPr>
        <w:fldChar w:fldCharType="end"/>
      </w:r>
    </w:p>
    <w:p w14:paraId="05CC63FD" w14:textId="71FBD905" w:rsidR="003A5FEA" w:rsidRDefault="003A5FEA" w:rsidP="003A5FEA"/>
    <w:p w14:paraId="4A6797B1" w14:textId="65C19863" w:rsidR="002B76A7" w:rsidRDefault="002B76A7" w:rsidP="003A5FEA"/>
    <w:p w14:paraId="03333094" w14:textId="77777777" w:rsidR="001D3E4E" w:rsidRDefault="001D3E4E" w:rsidP="003A5FEA">
      <w:pPr>
        <w:sectPr w:rsidR="001D3E4E" w:rsidSect="0078658E">
          <w:headerReference w:type="even" r:id="rId21"/>
          <w:headerReference w:type="default" r:id="rId22"/>
          <w:footerReference w:type="even" r:id="rId23"/>
          <w:footerReference w:type="default" r:id="rId24"/>
          <w:pgSz w:w="11907" w:h="16840" w:code="9"/>
          <w:pgMar w:top="1418" w:right="1701" w:bottom="1134" w:left="1843" w:header="284" w:footer="425" w:gutter="284"/>
          <w:pgNumType w:fmt="lowerRoman"/>
          <w:cols w:space="720"/>
        </w:sectPr>
      </w:pPr>
    </w:p>
    <w:p w14:paraId="0A056DB8" w14:textId="52C80259" w:rsidR="009A42D5" w:rsidRDefault="002B3F7F" w:rsidP="001D3E4E">
      <w:pPr>
        <w:pStyle w:val="Heading1"/>
        <w:spacing w:before="0"/>
      </w:pPr>
      <w:bookmarkStart w:id="7" w:name="_Toc207353862"/>
      <w:r w:rsidRPr="002B3F7F">
        <w:lastRenderedPageBreak/>
        <w:t>Introduction</w:t>
      </w:r>
      <w:bookmarkEnd w:id="7"/>
    </w:p>
    <w:p w14:paraId="689203AB" w14:textId="4DA3D806" w:rsidR="00E3123A" w:rsidRDefault="002B3F7F" w:rsidP="002B3F7F">
      <w:r w:rsidRPr="00193FF2">
        <w:t>The</w:t>
      </w:r>
      <w:r>
        <w:t>se</w:t>
      </w:r>
      <w:r w:rsidRPr="00193FF2">
        <w:t xml:space="preserve"> </w:t>
      </w:r>
      <w:r>
        <w:rPr>
          <w:iCs/>
        </w:rPr>
        <w:t>g</w:t>
      </w:r>
      <w:r w:rsidRPr="00E9378E">
        <w:rPr>
          <w:iCs/>
        </w:rPr>
        <w:t>uidelines</w:t>
      </w:r>
      <w:r w:rsidRPr="00E9378E">
        <w:t xml:space="preserve"> for the </w:t>
      </w:r>
      <w:r>
        <w:rPr>
          <w:iCs/>
        </w:rPr>
        <w:t>r</w:t>
      </w:r>
      <w:r w:rsidRPr="00E9378E">
        <w:rPr>
          <w:iCs/>
        </w:rPr>
        <w:t>ole</w:t>
      </w:r>
      <w:r w:rsidRPr="00E9378E">
        <w:t xml:space="preserve"> and </w:t>
      </w:r>
      <w:r>
        <w:rPr>
          <w:iCs/>
        </w:rPr>
        <w:t>f</w:t>
      </w:r>
      <w:r w:rsidRPr="00E9378E">
        <w:rPr>
          <w:iCs/>
        </w:rPr>
        <w:t>unction</w:t>
      </w:r>
      <w:r>
        <w:rPr>
          <w:iCs/>
        </w:rPr>
        <w:t>s</w:t>
      </w:r>
      <w:r w:rsidRPr="00E9378E">
        <w:t xml:space="preserve"> of </w:t>
      </w:r>
      <w:r>
        <w:rPr>
          <w:iCs/>
        </w:rPr>
        <w:t>d</w:t>
      </w:r>
      <w:r w:rsidRPr="00E9378E">
        <w:rPr>
          <w:iCs/>
        </w:rPr>
        <w:t>istrict</w:t>
      </w:r>
      <w:r w:rsidRPr="00E9378E">
        <w:t xml:space="preserve"> </w:t>
      </w:r>
      <w:r>
        <w:t>i</w:t>
      </w:r>
      <w:r w:rsidRPr="00E9378E">
        <w:t>nspectors</w:t>
      </w:r>
      <w:r>
        <w:t xml:space="preserve"> are to</w:t>
      </w:r>
      <w:r w:rsidRPr="00193FF2">
        <w:rPr>
          <w:i/>
        </w:rPr>
        <w:t xml:space="preserve"> </w:t>
      </w:r>
      <w:r w:rsidRPr="00193FF2">
        <w:t>support the effective and lawful use of</w:t>
      </w:r>
      <w:r w:rsidRPr="00193FF2">
        <w:rPr>
          <w:i/>
        </w:rPr>
        <w:t xml:space="preserve"> </w:t>
      </w:r>
      <w:r w:rsidR="0033261B">
        <w:t>the</w:t>
      </w:r>
      <w:r w:rsidR="003A7EFE">
        <w:t>se</w:t>
      </w:r>
      <w:r w:rsidR="0033261B">
        <w:t xml:space="preserve"> </w:t>
      </w:r>
      <w:r w:rsidR="00C732C1">
        <w:t>Acts</w:t>
      </w:r>
      <w:r w:rsidR="003A7EFE">
        <w:t>:</w:t>
      </w:r>
    </w:p>
    <w:p w14:paraId="65F83B36" w14:textId="77777777" w:rsidR="00A42BC0" w:rsidRPr="00CF4E78" w:rsidRDefault="002B3F7F" w:rsidP="00632BD1">
      <w:pPr>
        <w:pStyle w:val="Bullet"/>
        <w:rPr>
          <w:rFonts w:eastAsia="Segoe UI"/>
        </w:rPr>
      </w:pPr>
      <w:r w:rsidRPr="00CF4E78">
        <w:rPr>
          <w:rFonts w:eastAsia="Segoe UI"/>
        </w:rPr>
        <w:t>Mental Health (Compulsory Assessment and Treatment) Act 1992 (</w:t>
      </w:r>
      <w:r w:rsidRPr="00CF4E78" w:rsidDel="0075719C">
        <w:rPr>
          <w:rFonts w:eastAsia="Segoe UI"/>
        </w:rPr>
        <w:t>Mental Health Act</w:t>
      </w:r>
      <w:r w:rsidRPr="00CF4E78">
        <w:rPr>
          <w:rFonts w:eastAsia="Segoe UI"/>
        </w:rPr>
        <w:t>)</w:t>
      </w:r>
    </w:p>
    <w:p w14:paraId="1354F8C4" w14:textId="7FD9E0C8" w:rsidR="00C732C1" w:rsidRPr="00CF4E78" w:rsidRDefault="00A42BC0" w:rsidP="00632BD1">
      <w:pPr>
        <w:pStyle w:val="Bullet"/>
        <w:rPr>
          <w:rFonts w:eastAsia="Segoe UI"/>
        </w:rPr>
      </w:pPr>
      <w:r w:rsidRPr="00CF4E78">
        <w:rPr>
          <w:rFonts w:eastAsia="Segoe UI"/>
        </w:rPr>
        <w:t>I</w:t>
      </w:r>
      <w:r w:rsidR="002B3F7F" w:rsidRPr="00CF4E78">
        <w:rPr>
          <w:rFonts w:eastAsia="Segoe UI"/>
        </w:rPr>
        <w:t>ntellectual Disability (Compulsory Care and Rehabilitation) Act 2003 (I</w:t>
      </w:r>
      <w:r w:rsidRPr="00CF4E78">
        <w:rPr>
          <w:rFonts w:eastAsia="Segoe UI"/>
        </w:rPr>
        <w:t>nte</w:t>
      </w:r>
      <w:r w:rsidR="000E3D41" w:rsidRPr="00CF4E78">
        <w:rPr>
          <w:rFonts w:eastAsia="Segoe UI"/>
        </w:rPr>
        <w:t>llectual Disability Act</w:t>
      </w:r>
      <w:r w:rsidR="002B3F7F" w:rsidRPr="00CF4E78">
        <w:rPr>
          <w:rFonts w:eastAsia="Segoe UI"/>
        </w:rPr>
        <w:t xml:space="preserve">) and </w:t>
      </w:r>
    </w:p>
    <w:p w14:paraId="57C1E5F3" w14:textId="6491459A" w:rsidR="00C732C1" w:rsidRPr="00CF4E78" w:rsidRDefault="002B3F7F" w:rsidP="00632BD1">
      <w:pPr>
        <w:pStyle w:val="Bullet"/>
        <w:rPr>
          <w:rFonts w:eastAsia="Segoe UI"/>
        </w:rPr>
      </w:pPr>
      <w:r w:rsidRPr="00CF4E78">
        <w:rPr>
          <w:rFonts w:eastAsia="Segoe UI"/>
        </w:rPr>
        <w:t>Substance Addiction (Compulsory Assessment and Treatment) Act 2017 (Substance Addiction Act).</w:t>
      </w:r>
    </w:p>
    <w:p w14:paraId="09619B8F" w14:textId="77777777" w:rsidR="00C732C1" w:rsidRDefault="00C732C1" w:rsidP="002B3F7F"/>
    <w:p w14:paraId="508E8D88" w14:textId="68C92AD8" w:rsidR="002B3F7F" w:rsidRDefault="002B3F7F" w:rsidP="002B3F7F">
      <w:r>
        <w:t>The</w:t>
      </w:r>
      <w:r w:rsidR="002D4783">
        <w:t>se guidelines</w:t>
      </w:r>
      <w:r w:rsidRPr="00193FF2">
        <w:t xml:space="preserve"> are issued </w:t>
      </w:r>
      <w:r w:rsidR="002D4783">
        <w:t>under</w:t>
      </w:r>
      <w:r w:rsidRPr="00193FF2">
        <w:t xml:space="preserve"> section 130</w:t>
      </w:r>
      <w:r>
        <w:t>(1)</w:t>
      </w:r>
      <w:r w:rsidRPr="00193FF2">
        <w:t>(a) of the</w:t>
      </w:r>
      <w:r>
        <w:t xml:space="preserve"> Mental Health</w:t>
      </w:r>
      <w:r w:rsidRPr="00193FF2">
        <w:t xml:space="preserve"> Act,</w:t>
      </w:r>
      <w:r>
        <w:t xml:space="preserve"> section 148(1)(a) of the </w:t>
      </w:r>
      <w:r w:rsidR="00E27AEB">
        <w:t>Intellectual Disability Act</w:t>
      </w:r>
      <w:r>
        <w:t xml:space="preserve"> and section 116(1)(a) of the Substance Addiction Act.</w:t>
      </w:r>
      <w:r w:rsidR="008214EF">
        <w:t xml:space="preserve"> </w:t>
      </w:r>
    </w:p>
    <w:p w14:paraId="761045A8" w14:textId="77777777" w:rsidR="00861072" w:rsidRPr="00193FF2" w:rsidRDefault="00861072" w:rsidP="00861072">
      <w:pPr>
        <w:rPr>
          <w:rFonts w:eastAsia="Segoe UI" w:cs="Segoe UI"/>
          <w:szCs w:val="21"/>
        </w:rPr>
      </w:pPr>
    </w:p>
    <w:p w14:paraId="694D3F2B" w14:textId="77777777" w:rsidR="00861072" w:rsidRPr="00193FF2" w:rsidRDefault="00861072" w:rsidP="00861072">
      <w:r>
        <w:t xml:space="preserve">All legislation is subject to change. All district inspectors should ensure that they are aware of any changes to these Acts that could affect their practice. </w:t>
      </w:r>
    </w:p>
    <w:p w14:paraId="7E4A98BB" w14:textId="77777777" w:rsidR="00DD59B4" w:rsidRDefault="00DD59B4" w:rsidP="002B3F7F"/>
    <w:p w14:paraId="07D88303" w14:textId="3651E818" w:rsidR="002B3F7F" w:rsidRDefault="002B3F7F" w:rsidP="002B3F7F">
      <w:r>
        <w:t xml:space="preserve">The purpose of these guidelines is to </w:t>
      </w:r>
      <w:r w:rsidRPr="516C99AA">
        <w:rPr>
          <w:rFonts w:eastAsia="Segoe UI" w:cs="Segoe UI"/>
        </w:rPr>
        <w:t>serve as a referenc</w:t>
      </w:r>
      <w:r w:rsidRPr="00E428B1">
        <w:rPr>
          <w:rFonts w:eastAsia="Calibri"/>
        </w:rPr>
        <w:t>e</w:t>
      </w:r>
      <w:r w:rsidRPr="516C99AA">
        <w:rPr>
          <w:rFonts w:eastAsia="Segoe UI"/>
        </w:rPr>
        <w:t xml:space="preserve"> </w:t>
      </w:r>
      <w:r>
        <w:t xml:space="preserve">for district inspectors </w:t>
      </w:r>
      <w:r w:rsidRPr="516C99AA">
        <w:rPr>
          <w:rFonts w:eastAsia="Segoe UI" w:cs="Segoe UI"/>
        </w:rPr>
        <w:t xml:space="preserve">to provide a high-quality service that is consistent with the </w:t>
      </w:r>
      <w:r>
        <w:t xml:space="preserve">requirements of legislation. The Ministry of Health – Manatū Hauora (the Ministry) expects that these guidelines will </w:t>
      </w:r>
      <w:r w:rsidR="00092224" w:rsidRPr="00092224">
        <w:t>ensure the law is upheld and enhance the provision of services by monitoring and safeguarding individual rights</w:t>
      </w:r>
      <w:r>
        <w:t>.</w:t>
      </w:r>
      <w:r w:rsidR="0061569F" w:rsidRPr="0061569F">
        <w:t xml:space="preserve"> They will also help to ensure stronger protections for people receiving compulsory assessment and treatment and to improve complaints and investigation processes for people under compulsory care.</w:t>
      </w:r>
    </w:p>
    <w:p w14:paraId="772B7719" w14:textId="77777777" w:rsidR="002B3F7F" w:rsidRDefault="002B3F7F" w:rsidP="002B3F7F"/>
    <w:p w14:paraId="0EB3AC6C" w14:textId="77777777" w:rsidR="00DE3709" w:rsidRDefault="00DE3709" w:rsidP="00DE3709">
      <w:r>
        <w:t xml:space="preserve">Everyone who is receiving a health or disability service in New Zealand has the protection of the Code of Health and Disability Services Consumers’ Rights (Code of Rights, or Code). The three Acts outlined in these guidelines specifically limit the right to refuse to undergo medical treatment or rehabilitation. Where an Act overrides a Code right, in part or in full, all other Code rights continue to apply. Other Code rights (including the rights to dignity and independence, to be treated with respect, to effective communication and to support) are particularly important and relevant where an Act overrides a Code right. As a result, these Acts incorporate the district inspector role as a safeguard and independent monitoring mechanism to protect </w:t>
      </w:r>
      <w:r w:rsidRPr="008924B7">
        <w:rPr>
          <w:i/>
          <w:iCs/>
        </w:rPr>
        <w:t>patients’</w:t>
      </w:r>
      <w:r>
        <w:t xml:space="preserve"> rights under these circumstances. </w:t>
      </w:r>
    </w:p>
    <w:p w14:paraId="1DEA586B" w14:textId="77777777" w:rsidR="00DE3709" w:rsidRPr="00193FF2" w:rsidRDefault="00DE3709" w:rsidP="00DE3709"/>
    <w:p w14:paraId="1826AD16" w14:textId="01094DD2" w:rsidR="002B3F7F" w:rsidRDefault="002B3F7F" w:rsidP="002B3F7F">
      <w:pPr>
        <w:spacing w:line="257" w:lineRule="auto"/>
        <w:rPr>
          <w:rFonts w:eastAsia="Segoe UI" w:cs="Segoe UI"/>
        </w:rPr>
      </w:pPr>
      <w:r w:rsidRPr="4801DE6A">
        <w:rPr>
          <w:rFonts w:eastAsia="Segoe UI" w:cs="Segoe UI"/>
        </w:rPr>
        <w:t xml:space="preserve">Previous guidance has specifically focused on the role of district inspectors under the Mental Health Act. However, district inspectors provide similar additional functions under the </w:t>
      </w:r>
      <w:r w:rsidR="00E27AEB">
        <w:t>Intellectual Disability Act</w:t>
      </w:r>
      <w:r w:rsidRPr="4801DE6A">
        <w:rPr>
          <w:rFonts w:eastAsia="Segoe UI" w:cs="Segoe UI"/>
        </w:rPr>
        <w:t xml:space="preserve"> and </w:t>
      </w:r>
      <w:r>
        <w:rPr>
          <w:rFonts w:eastAsia="Segoe UI" w:cs="Segoe UI"/>
        </w:rPr>
        <w:t xml:space="preserve">the </w:t>
      </w:r>
      <w:r w:rsidRPr="4801DE6A">
        <w:rPr>
          <w:rFonts w:eastAsia="Segoe UI" w:cs="Segoe UI"/>
        </w:rPr>
        <w:t xml:space="preserve">Substance Addiction Act. </w:t>
      </w:r>
      <w:r>
        <w:rPr>
          <w:rFonts w:eastAsia="Segoe UI" w:cs="Segoe UI"/>
        </w:rPr>
        <w:t>These</w:t>
      </w:r>
      <w:r w:rsidRPr="4801DE6A">
        <w:rPr>
          <w:rFonts w:eastAsia="Segoe UI" w:cs="Segoe UI"/>
        </w:rPr>
        <w:t xml:space="preserve"> </w:t>
      </w:r>
      <w:r w:rsidR="00475A84">
        <w:rPr>
          <w:rFonts w:eastAsia="Segoe UI" w:cs="Segoe UI"/>
        </w:rPr>
        <w:t xml:space="preserve">updated </w:t>
      </w:r>
      <w:r w:rsidRPr="4801DE6A">
        <w:rPr>
          <w:rFonts w:eastAsia="Segoe UI" w:cs="Segoe UI"/>
        </w:rPr>
        <w:t>guideline</w:t>
      </w:r>
      <w:r>
        <w:rPr>
          <w:rFonts w:eastAsia="Segoe UI" w:cs="Segoe UI"/>
        </w:rPr>
        <w:t>s</w:t>
      </w:r>
      <w:r w:rsidRPr="4801DE6A">
        <w:rPr>
          <w:rFonts w:eastAsia="Segoe UI" w:cs="Segoe UI"/>
        </w:rPr>
        <w:t xml:space="preserve"> seek</w:t>
      </w:r>
      <w:r>
        <w:rPr>
          <w:rFonts w:eastAsia="Segoe UI" w:cs="Segoe UI"/>
        </w:rPr>
        <w:t xml:space="preserve"> </w:t>
      </w:r>
      <w:r w:rsidRPr="4801DE6A">
        <w:rPr>
          <w:rFonts w:eastAsia="Segoe UI" w:cs="Segoe UI"/>
        </w:rPr>
        <w:t>to assist district inspectors to carry out their role</w:t>
      </w:r>
      <w:r>
        <w:rPr>
          <w:rFonts w:eastAsia="Segoe UI" w:cs="Segoe UI"/>
        </w:rPr>
        <w:t xml:space="preserve">, with specific guidance for their duties and responsibilities across all </w:t>
      </w:r>
      <w:r w:rsidR="00475A84">
        <w:rPr>
          <w:rFonts w:eastAsia="Segoe UI" w:cs="Segoe UI"/>
        </w:rPr>
        <w:t xml:space="preserve">three </w:t>
      </w:r>
      <w:r>
        <w:rPr>
          <w:rFonts w:eastAsia="Segoe UI" w:cs="Segoe UI"/>
        </w:rPr>
        <w:t>Acts.</w:t>
      </w:r>
      <w:r w:rsidRPr="4801DE6A">
        <w:rPr>
          <w:rFonts w:eastAsia="Segoe UI" w:cs="Segoe UI"/>
        </w:rPr>
        <w:t xml:space="preserve"> </w:t>
      </w:r>
    </w:p>
    <w:p w14:paraId="5E518AF4" w14:textId="77777777" w:rsidR="002B3F7F" w:rsidRDefault="002B3F7F" w:rsidP="002B3F7F">
      <w:pPr>
        <w:spacing w:line="257" w:lineRule="auto"/>
        <w:rPr>
          <w:rFonts w:eastAsia="Segoe UI" w:cs="Segoe UI"/>
        </w:rPr>
      </w:pPr>
    </w:p>
    <w:p w14:paraId="1ECAD1CD" w14:textId="56AD6734" w:rsidR="002B3F7F" w:rsidRDefault="002B3F7F" w:rsidP="002B3F7F">
      <w:pPr>
        <w:spacing w:line="257" w:lineRule="auto"/>
        <w:rPr>
          <w:rFonts w:eastAsia="Segoe UI" w:cs="Segoe UI"/>
        </w:rPr>
      </w:pPr>
      <w:r w:rsidRPr="7362CCE2">
        <w:rPr>
          <w:rFonts w:eastAsia="Segoe UI" w:cs="Segoe UI"/>
        </w:rPr>
        <w:t>District inspectors assist people who are</w:t>
      </w:r>
      <w:r w:rsidR="000E6509">
        <w:rPr>
          <w:rFonts w:eastAsia="Segoe UI" w:cs="Segoe UI"/>
        </w:rPr>
        <w:t>:</w:t>
      </w:r>
      <w:r w:rsidRPr="7362CCE2">
        <w:rPr>
          <w:rFonts w:eastAsia="Segoe UI" w:cs="Segoe UI"/>
        </w:rPr>
        <w:t xml:space="preserve"> </w:t>
      </w:r>
    </w:p>
    <w:p w14:paraId="65DF70C6" w14:textId="77777777" w:rsidR="002B3F7F" w:rsidRPr="002B3F7F" w:rsidRDefault="002B3F7F" w:rsidP="00632BD1">
      <w:pPr>
        <w:pStyle w:val="Bullet"/>
        <w:rPr>
          <w:rFonts w:eastAsia="Segoe UI"/>
        </w:rPr>
      </w:pPr>
      <w:r w:rsidRPr="002B3F7F">
        <w:rPr>
          <w:rFonts w:eastAsia="Segoe UI"/>
        </w:rPr>
        <w:t>being assessed or treated under the Mental Health Act or the Substance Addiction Act or</w:t>
      </w:r>
    </w:p>
    <w:p w14:paraId="47F64AD3" w14:textId="78945E79" w:rsidR="002B3F7F" w:rsidRPr="002B3F7F" w:rsidRDefault="002B3F7F" w:rsidP="00632BD1">
      <w:pPr>
        <w:pStyle w:val="Bullet"/>
        <w:rPr>
          <w:rFonts w:eastAsia="Segoe UI"/>
        </w:rPr>
      </w:pPr>
      <w:r w:rsidRPr="002B3F7F">
        <w:rPr>
          <w:rFonts w:eastAsia="Segoe UI"/>
        </w:rPr>
        <w:lastRenderedPageBreak/>
        <w:t xml:space="preserve">being provided care and rehabilitation under the </w:t>
      </w:r>
      <w:r w:rsidR="00E27AEB">
        <w:t>Intellectual Disability Act</w:t>
      </w:r>
      <w:r w:rsidRPr="002B3F7F">
        <w:rPr>
          <w:rFonts w:eastAsia="Segoe UI"/>
        </w:rPr>
        <w:t xml:space="preserve">. </w:t>
      </w:r>
    </w:p>
    <w:p w14:paraId="05665AB1" w14:textId="5FAABEC5" w:rsidR="002B3F7F" w:rsidRDefault="002B3F7F" w:rsidP="002B3F7F">
      <w:pPr>
        <w:spacing w:line="257" w:lineRule="auto"/>
        <w:rPr>
          <w:rFonts w:eastAsia="Segoe UI" w:cs="Segoe UI"/>
        </w:rPr>
      </w:pPr>
    </w:p>
    <w:p w14:paraId="1E1C70D4" w14:textId="702D61D7" w:rsidR="002B3F7F" w:rsidRDefault="002B3F7F" w:rsidP="002B3F7F">
      <w:pPr>
        <w:spacing w:line="257" w:lineRule="auto"/>
        <w:rPr>
          <w:rFonts w:eastAsia="Segoe UI" w:cs="Segoe UI"/>
          <w:szCs w:val="21"/>
        </w:rPr>
      </w:pPr>
      <w:r w:rsidRPr="30719067">
        <w:rPr>
          <w:rFonts w:eastAsia="Segoe UI" w:cs="Segoe UI"/>
        </w:rPr>
        <w:t>District inspectors are lawyers appointed by the Minister of Health</w:t>
      </w:r>
      <w:r>
        <w:rPr>
          <w:rFonts w:eastAsia="Segoe UI" w:cs="Segoe UI"/>
        </w:rPr>
        <w:t xml:space="preserve"> (or the </w:t>
      </w:r>
      <w:r w:rsidRPr="30719067">
        <w:rPr>
          <w:rFonts w:eastAsia="Segoe UI" w:cs="Segoe UI"/>
        </w:rPr>
        <w:t>Director-General of Health</w:t>
      </w:r>
      <w:r>
        <w:rPr>
          <w:rFonts w:eastAsia="Segoe UI" w:cs="Segoe UI"/>
        </w:rPr>
        <w:t xml:space="preserve">, should they take on additional duties under the </w:t>
      </w:r>
      <w:r w:rsidR="00E27AEB">
        <w:t>Intellectual Disability Act</w:t>
      </w:r>
      <w:r>
        <w:rPr>
          <w:rFonts w:eastAsia="Segoe UI" w:cs="Segoe UI"/>
        </w:rPr>
        <w:t>)</w:t>
      </w:r>
      <w:r w:rsidRPr="30719067">
        <w:rPr>
          <w:rFonts w:eastAsia="Segoe UI" w:cs="Segoe UI"/>
        </w:rPr>
        <w:t xml:space="preserve">. Individuals appointed as district inspectors hold this </w:t>
      </w:r>
      <w:r>
        <w:rPr>
          <w:rFonts w:eastAsia="Segoe UI" w:cs="Segoe UI"/>
        </w:rPr>
        <w:t>role</w:t>
      </w:r>
      <w:r w:rsidRPr="30719067">
        <w:rPr>
          <w:rFonts w:eastAsia="Segoe UI" w:cs="Segoe UI"/>
        </w:rPr>
        <w:t xml:space="preserve"> for </w:t>
      </w:r>
      <w:r>
        <w:rPr>
          <w:rFonts w:eastAsia="Segoe UI" w:cs="Segoe UI"/>
        </w:rPr>
        <w:t>three</w:t>
      </w:r>
      <w:r w:rsidRPr="30719067">
        <w:rPr>
          <w:rFonts w:eastAsia="Segoe UI" w:cs="Segoe UI"/>
        </w:rPr>
        <w:t xml:space="preserve">-year terms and can be reappointed. </w:t>
      </w:r>
      <w:r>
        <w:rPr>
          <w:rFonts w:eastAsia="Segoe UI" w:cs="Segoe UI"/>
          <w:szCs w:val="21"/>
        </w:rPr>
        <w:t xml:space="preserve">They have </w:t>
      </w:r>
      <w:r w:rsidRPr="00E9378E">
        <w:rPr>
          <w:rFonts w:eastAsia="Segoe UI" w:cs="Segoe UI"/>
          <w:szCs w:val="21"/>
        </w:rPr>
        <w:t>statutory reporting responsibilities to the Director of Mental Health</w:t>
      </w:r>
      <w:r>
        <w:rPr>
          <w:rFonts w:eastAsia="Segoe UI" w:cs="Segoe UI"/>
          <w:szCs w:val="21"/>
        </w:rPr>
        <w:t xml:space="preserve"> and the Director of Addiction Services, and to the Director-General of Health depending on the Act they are functioning under</w:t>
      </w:r>
      <w:r w:rsidRPr="00E9378E">
        <w:rPr>
          <w:rFonts w:eastAsia="Segoe UI" w:cs="Segoe UI"/>
          <w:szCs w:val="21"/>
        </w:rPr>
        <w:t>.</w:t>
      </w:r>
    </w:p>
    <w:p w14:paraId="3C4D9E62" w14:textId="77777777" w:rsidR="002B3F7F" w:rsidRPr="00D90875" w:rsidRDefault="002B3F7F" w:rsidP="002B3F7F">
      <w:pPr>
        <w:spacing w:line="257" w:lineRule="auto"/>
        <w:rPr>
          <w:rFonts w:eastAsia="Segoe UI" w:cs="Segoe UI"/>
        </w:rPr>
      </w:pPr>
    </w:p>
    <w:p w14:paraId="51E02C29" w14:textId="0D18B944" w:rsidR="00777F93" w:rsidRDefault="002B3F7F" w:rsidP="002B3F7F">
      <w:pPr>
        <w:spacing w:line="257" w:lineRule="auto"/>
        <w:rPr>
          <w:rFonts w:eastAsia="Segoe UI" w:cs="Segoe UI"/>
        </w:rPr>
      </w:pPr>
      <w:r w:rsidRPr="7362CCE2">
        <w:rPr>
          <w:rFonts w:eastAsia="Segoe UI" w:cs="Segoe UI"/>
        </w:rPr>
        <w:t xml:space="preserve">District inspectors are independent from health and disability services. They are not to act as </w:t>
      </w:r>
      <w:r w:rsidRPr="7362CCE2">
        <w:rPr>
          <w:rFonts w:eastAsia="Segoe UI" w:cs="Segoe UI"/>
          <w:i/>
        </w:rPr>
        <w:t>patient</w:t>
      </w:r>
      <w:r w:rsidRPr="7362CCE2">
        <w:rPr>
          <w:rFonts w:eastAsia="Segoe UI" w:cs="Segoe UI"/>
        </w:rPr>
        <w:t xml:space="preserve"> or </w:t>
      </w:r>
      <w:r w:rsidRPr="7362CCE2">
        <w:rPr>
          <w:rFonts w:eastAsia="Segoe UI" w:cs="Segoe UI"/>
          <w:i/>
        </w:rPr>
        <w:t>care recipient</w:t>
      </w:r>
      <w:r w:rsidRPr="7362CCE2">
        <w:rPr>
          <w:rFonts w:eastAsia="Segoe UI" w:cs="Segoe UI"/>
        </w:rPr>
        <w:t xml:space="preserve"> advocates, or as legal advisors to mental health, addiction or disability service</w:t>
      </w:r>
      <w:r>
        <w:rPr>
          <w:rFonts w:eastAsia="Segoe UI" w:cs="Segoe UI"/>
        </w:rPr>
        <w:t>s</w:t>
      </w:r>
      <w:r w:rsidRPr="7362CCE2">
        <w:rPr>
          <w:rFonts w:eastAsia="Segoe UI" w:cs="Segoe UI"/>
        </w:rPr>
        <w:t>, or any service provider. District inspectors are not health or disability care providers</w:t>
      </w:r>
      <w:r>
        <w:rPr>
          <w:rFonts w:eastAsia="Segoe UI" w:cs="Segoe UI"/>
        </w:rPr>
        <w:t xml:space="preserve"> and, as a result,</w:t>
      </w:r>
      <w:r w:rsidRPr="7362CCE2">
        <w:rPr>
          <w:rFonts w:eastAsia="Segoe UI" w:cs="Segoe UI"/>
        </w:rPr>
        <w:t xml:space="preserve"> are always required to be detached </w:t>
      </w:r>
      <w:r w:rsidRPr="00FC165B">
        <w:rPr>
          <w:rFonts w:eastAsia="Segoe UI" w:cs="Segoe UI"/>
        </w:rPr>
        <w:t xml:space="preserve">from the clinical decision-making processes that affects individual </w:t>
      </w:r>
      <w:r w:rsidRPr="00FC165B">
        <w:rPr>
          <w:rFonts w:eastAsia="Segoe UI" w:cs="Segoe UI"/>
          <w:i/>
        </w:rPr>
        <w:t>patients</w:t>
      </w:r>
      <w:r w:rsidRPr="00FC165B">
        <w:rPr>
          <w:rFonts w:eastAsia="Segoe UI" w:cs="Segoe UI"/>
        </w:rPr>
        <w:t xml:space="preserve"> or </w:t>
      </w:r>
      <w:r w:rsidRPr="00FC165B">
        <w:rPr>
          <w:rFonts w:eastAsia="Segoe UI" w:cs="Segoe UI"/>
          <w:i/>
        </w:rPr>
        <w:t>care recipients</w:t>
      </w:r>
      <w:r w:rsidRPr="00FC165B">
        <w:rPr>
          <w:rFonts w:eastAsia="Segoe UI" w:cs="Segoe UI"/>
        </w:rPr>
        <w:t xml:space="preserve">. </w:t>
      </w:r>
    </w:p>
    <w:p w14:paraId="3CC14F83" w14:textId="77777777" w:rsidR="00A62B5A" w:rsidRDefault="00A62B5A" w:rsidP="002B3F7F">
      <w:pPr>
        <w:spacing w:line="257" w:lineRule="auto"/>
        <w:rPr>
          <w:rFonts w:eastAsia="Segoe UI" w:cs="Segoe UI"/>
        </w:rPr>
      </w:pPr>
    </w:p>
    <w:p w14:paraId="7D3155C1" w14:textId="20FB949A" w:rsidR="00A62B5A" w:rsidRDefault="00A62B5A" w:rsidP="00A62B5A">
      <w:r w:rsidRPr="27E221F8">
        <w:rPr>
          <w:rFonts w:eastAsia="Segoe UI"/>
        </w:rPr>
        <w:t>District inspectors are the primary surveillance mechanism for the Director</w:t>
      </w:r>
      <w:r w:rsidR="00FE76D6" w:rsidRPr="00FE76D6">
        <w:rPr>
          <w:rFonts w:eastAsia="Segoe UI" w:cs="Segoe UI"/>
          <w:szCs w:val="21"/>
        </w:rPr>
        <w:t xml:space="preserve"> </w:t>
      </w:r>
      <w:r w:rsidRPr="27E221F8">
        <w:rPr>
          <w:rFonts w:eastAsia="Segoe UI"/>
        </w:rPr>
        <w:t xml:space="preserve">in mental health, addiction and intellectual disability facilities and services throughout </w:t>
      </w:r>
      <w:r>
        <w:rPr>
          <w:rFonts w:eastAsia="Segoe UI"/>
        </w:rPr>
        <w:t>New Zealand</w:t>
      </w:r>
      <w:r w:rsidRPr="27E221F8">
        <w:rPr>
          <w:rFonts w:eastAsia="Segoe UI"/>
        </w:rPr>
        <w:t xml:space="preserve">. They have unrestricted access to inspect facilities, including registers of incidents and restraints. </w:t>
      </w:r>
      <w:r>
        <w:t xml:space="preserve">The Director reviews district inspectors’ activities via their monthly or quarterly reports </w:t>
      </w:r>
      <w:r w:rsidRPr="27E221F8">
        <w:rPr>
          <w:rFonts w:eastAsia="Segoe UI"/>
        </w:rPr>
        <w:t>to identify trends and monitor issues</w:t>
      </w:r>
      <w:r>
        <w:t xml:space="preserve">. </w:t>
      </w:r>
    </w:p>
    <w:p w14:paraId="15573CDB" w14:textId="6C3E0F06" w:rsidR="002B3F7F" w:rsidRDefault="002B3F7F" w:rsidP="002B3F7F">
      <w:pPr>
        <w:spacing w:line="257" w:lineRule="auto"/>
      </w:pPr>
    </w:p>
    <w:p w14:paraId="31293E2A" w14:textId="3785975C" w:rsidR="002B3F7F" w:rsidRDefault="002B3F7F" w:rsidP="002B3F7F">
      <w:pPr>
        <w:rPr>
          <w:rFonts w:eastAsia="Segoe UI" w:cs="Segoe UI"/>
        </w:rPr>
      </w:pPr>
      <w:r>
        <w:t xml:space="preserve">The key changes and emerging issues that have prompted </w:t>
      </w:r>
      <w:r w:rsidRPr="1C866021">
        <w:rPr>
          <w:rFonts w:eastAsia="Segoe UI" w:cs="Segoe UI"/>
        </w:rPr>
        <w:t xml:space="preserve">the Ministry </w:t>
      </w:r>
      <w:r>
        <w:t>to revise these guidelines include</w:t>
      </w:r>
      <w:r w:rsidRPr="1C866021">
        <w:rPr>
          <w:rFonts w:eastAsia="Segoe UI" w:cs="Segoe UI"/>
        </w:rPr>
        <w:t xml:space="preserve"> a growing awareness and influence of rights-based approaches. This was highlighted in </w:t>
      </w:r>
      <w:r w:rsidRPr="1C866021">
        <w:rPr>
          <w:rFonts w:eastAsia="Segoe UI" w:cs="Segoe UI"/>
          <w:i/>
          <w:iCs/>
        </w:rPr>
        <w:t>He Ara Oranga: Report of the Government Inquiry into Mental Health and Addiction</w:t>
      </w:r>
      <w:r w:rsidRPr="1C866021">
        <w:rPr>
          <w:rFonts w:eastAsia="Segoe UI" w:cs="Segoe UI"/>
        </w:rPr>
        <w:t xml:space="preserve"> </w:t>
      </w:r>
      <w:r>
        <w:rPr>
          <w:rFonts w:eastAsia="Segoe UI" w:cs="Segoe UI"/>
        </w:rPr>
        <w:t xml:space="preserve">(Government Inquiry into Mental Health and Addiction 2018) </w:t>
      </w:r>
      <w:r w:rsidRPr="1C866021">
        <w:rPr>
          <w:rFonts w:eastAsia="Segoe UI" w:cs="Segoe UI"/>
        </w:rPr>
        <w:t>and through feedback we received from t</w:t>
      </w:r>
      <w:r w:rsidRPr="1C866021">
        <w:rPr>
          <w:lang w:eastAsia="en-NZ"/>
        </w:rPr>
        <w:t>ā</w:t>
      </w:r>
      <w:r w:rsidRPr="1C866021">
        <w:rPr>
          <w:rFonts w:eastAsia="Segoe UI" w:cs="Segoe UI"/>
        </w:rPr>
        <w:t>ngata whai ora with lived experience and their families and whānau on how they experience current administration of the Mental Health Act. The findings of the Royal Commission of Inquiry’s report into Abuse in Care</w:t>
      </w:r>
      <w:r>
        <w:rPr>
          <w:rFonts w:eastAsia="Segoe UI" w:cs="Segoe UI"/>
        </w:rPr>
        <w:t xml:space="preserve"> (</w:t>
      </w:r>
      <w:r w:rsidRPr="00523DB1">
        <w:rPr>
          <w:rFonts w:eastAsia="Segoe UI" w:cs="Segoe UI"/>
        </w:rPr>
        <w:t>Abuse in Care – Royal Commission of Inquiry</w:t>
      </w:r>
      <w:r>
        <w:rPr>
          <w:rFonts w:eastAsia="Segoe UI" w:cs="Segoe UI"/>
        </w:rPr>
        <w:t>, 2023a, 2023b)</w:t>
      </w:r>
      <w:r w:rsidRPr="1C866021">
        <w:rPr>
          <w:rFonts w:eastAsia="Segoe UI" w:cs="Segoe UI"/>
        </w:rPr>
        <w:t xml:space="preserve"> revealed the abuse and neglect of young people and adults and failures of the health system to protect and care for those people. Alongside this, the establishment of the </w:t>
      </w:r>
      <w:r w:rsidRPr="1C866021">
        <w:rPr>
          <w:rFonts w:eastAsia="Segoe UI" w:cs="Segoe UI"/>
          <w:i/>
          <w:iCs/>
        </w:rPr>
        <w:t>Enabling Good Lives</w:t>
      </w:r>
      <w:r w:rsidRPr="1C866021">
        <w:rPr>
          <w:rFonts w:eastAsia="Segoe UI" w:cs="Segoe UI"/>
        </w:rPr>
        <w:t xml:space="preserve"> approach</w:t>
      </w:r>
      <w:r>
        <w:rPr>
          <w:rFonts w:eastAsia="Segoe UI" w:cs="Segoe UI"/>
        </w:rPr>
        <w:t xml:space="preserve"> </w:t>
      </w:r>
      <w:r w:rsidRPr="1C866021">
        <w:rPr>
          <w:rFonts w:eastAsia="Segoe UI" w:cs="Segoe UI"/>
        </w:rPr>
        <w:t xml:space="preserve">has provided a foundation and framework to increase choice, control and positive change for tāngata whaikaha, their whānau and communities. </w:t>
      </w:r>
    </w:p>
    <w:p w14:paraId="2AB4E5B5" w14:textId="77777777" w:rsidR="002B3F7F" w:rsidRDefault="002B3F7F" w:rsidP="002B3F7F">
      <w:pPr>
        <w:rPr>
          <w:rFonts w:eastAsia="Segoe UI" w:cs="Segoe UI"/>
        </w:rPr>
      </w:pPr>
    </w:p>
    <w:p w14:paraId="1642A315" w14:textId="3E96F137" w:rsidR="002B3F7F" w:rsidRDefault="002B3F7F" w:rsidP="002B3F7F">
      <w:pPr>
        <w:rPr>
          <w:rFonts w:eastAsia="Segoe UI" w:cs="Segoe UI"/>
          <w:szCs w:val="21"/>
        </w:rPr>
      </w:pPr>
      <w:r>
        <w:rPr>
          <w:rFonts w:eastAsia="Segoe UI" w:cs="Segoe UI"/>
          <w:szCs w:val="21"/>
        </w:rPr>
        <w:t xml:space="preserve">Data has reflected that there are disparities between Māori and non-Māori, particularly in compulsory treatment for mental health. </w:t>
      </w:r>
      <w:r w:rsidRPr="00EE42D4">
        <w:rPr>
          <w:rFonts w:eastAsia="Segoe UI" w:cs="Segoe UI"/>
          <w:szCs w:val="21"/>
        </w:rPr>
        <w:t xml:space="preserve">Māori </w:t>
      </w:r>
      <w:r>
        <w:rPr>
          <w:rFonts w:eastAsia="Segoe UI" w:cs="Segoe UI"/>
          <w:szCs w:val="21"/>
        </w:rPr>
        <w:t xml:space="preserve">are </w:t>
      </w:r>
      <w:r w:rsidRPr="00EE42D4">
        <w:rPr>
          <w:rFonts w:eastAsia="Segoe UI" w:cs="Segoe UI"/>
          <w:szCs w:val="21"/>
        </w:rPr>
        <w:t xml:space="preserve">more likely to be assessed or treated under the Mental Health Act than Pacific peoples and other ethnicities. </w:t>
      </w:r>
      <w:r>
        <w:rPr>
          <w:rFonts w:eastAsia="Segoe UI" w:cs="Segoe UI"/>
          <w:szCs w:val="21"/>
        </w:rPr>
        <w:t xml:space="preserve">Additionally, </w:t>
      </w:r>
      <w:r w:rsidRPr="00D610F6">
        <w:rPr>
          <w:rFonts w:eastAsia="Segoe UI" w:cs="Segoe UI"/>
          <w:szCs w:val="21"/>
        </w:rPr>
        <w:t xml:space="preserve">Māori in adult inpatient services </w:t>
      </w:r>
      <w:r>
        <w:rPr>
          <w:rFonts w:eastAsia="Segoe UI" w:cs="Segoe UI"/>
          <w:szCs w:val="21"/>
        </w:rPr>
        <w:t>are</w:t>
      </w:r>
      <w:r w:rsidRPr="00D610F6">
        <w:rPr>
          <w:rFonts w:eastAsia="Segoe UI" w:cs="Segoe UI"/>
          <w:szCs w:val="21"/>
        </w:rPr>
        <w:t xml:space="preserve"> more likely to be secluded than non-Māori</w:t>
      </w:r>
      <w:r>
        <w:rPr>
          <w:rFonts w:eastAsia="Segoe UI" w:cs="Segoe UI"/>
          <w:szCs w:val="21"/>
        </w:rPr>
        <w:t xml:space="preserve">. District inspectors must be aware of their obligations </w:t>
      </w:r>
      <w:r w:rsidRPr="00DD651F">
        <w:rPr>
          <w:rFonts w:eastAsia="Segoe UI" w:cs="Segoe UI"/>
          <w:szCs w:val="21"/>
        </w:rPr>
        <w:t xml:space="preserve">to Māori as </w:t>
      </w:r>
      <w:r>
        <w:rPr>
          <w:rFonts w:eastAsia="Segoe UI" w:cs="Segoe UI"/>
          <w:szCs w:val="21"/>
        </w:rPr>
        <w:t>Te Tiriti</w:t>
      </w:r>
      <w:r w:rsidRPr="00DD651F">
        <w:rPr>
          <w:rFonts w:eastAsia="Segoe UI" w:cs="Segoe UI"/>
          <w:szCs w:val="21"/>
        </w:rPr>
        <w:t xml:space="preserve"> </w:t>
      </w:r>
      <w:r w:rsidR="005D3CB3">
        <w:rPr>
          <w:rFonts w:eastAsia="Segoe UI" w:cs="Segoe UI"/>
          <w:szCs w:val="21"/>
        </w:rPr>
        <w:t xml:space="preserve">o Waitangi </w:t>
      </w:r>
      <w:r w:rsidRPr="00DD651F">
        <w:rPr>
          <w:rFonts w:eastAsia="Segoe UI" w:cs="Segoe UI"/>
          <w:szCs w:val="21"/>
        </w:rPr>
        <w:t>partners, including by proactively examining equity of treatment and care for tāngata whai</w:t>
      </w:r>
      <w:r>
        <w:rPr>
          <w:rFonts w:eastAsia="Segoe UI" w:cs="Segoe UI"/>
          <w:szCs w:val="21"/>
        </w:rPr>
        <w:t xml:space="preserve"> </w:t>
      </w:r>
      <w:r w:rsidRPr="00DD651F">
        <w:rPr>
          <w:rFonts w:eastAsia="Segoe UI" w:cs="Segoe UI"/>
          <w:szCs w:val="21"/>
        </w:rPr>
        <w:t>ora</w:t>
      </w:r>
      <w:r>
        <w:rPr>
          <w:rFonts w:eastAsia="Segoe UI" w:cs="Segoe UI"/>
          <w:szCs w:val="21"/>
        </w:rPr>
        <w:t xml:space="preserve"> or</w:t>
      </w:r>
      <w:r w:rsidRPr="00DD651F">
        <w:rPr>
          <w:rFonts w:eastAsia="Segoe UI" w:cs="Segoe UI"/>
          <w:szCs w:val="21"/>
        </w:rPr>
        <w:t xml:space="preserve"> tāngata whaikaha Māori and ensuring that Māori (including whānau, hapū and iwi) are involved in decision-making processes.</w:t>
      </w:r>
      <w:r>
        <w:rPr>
          <w:rFonts w:eastAsia="Segoe UI" w:cs="Segoe UI"/>
          <w:szCs w:val="21"/>
        </w:rPr>
        <w:t xml:space="preserve"> These guidelines outline the key knowledge, skills and experience that district inspectors must have in order to perform this function.</w:t>
      </w:r>
    </w:p>
    <w:p w14:paraId="56CF055D" w14:textId="77777777" w:rsidR="002B3F7F" w:rsidRPr="00193FF2" w:rsidRDefault="002B3F7F" w:rsidP="002B3F7F">
      <w:pPr>
        <w:rPr>
          <w:rFonts w:eastAsia="Segoe UI" w:cs="Segoe UI"/>
          <w:szCs w:val="21"/>
        </w:rPr>
      </w:pPr>
    </w:p>
    <w:p w14:paraId="2BEB5004" w14:textId="6703F248" w:rsidR="002B3F7F" w:rsidRDefault="005D3CB3" w:rsidP="002B3F7F">
      <w:pPr>
        <w:rPr>
          <w:rFonts w:eastAsia="Segoe UI" w:cs="Segoe UI"/>
          <w:szCs w:val="21"/>
        </w:rPr>
      </w:pPr>
      <w:r w:rsidRPr="005D3CB3">
        <w:rPr>
          <w:rFonts w:eastAsia="Segoe UI" w:cs="Segoe UI"/>
          <w:szCs w:val="21"/>
        </w:rPr>
        <w:t xml:space="preserve">The strategic direction for the health system is set by the health strategies required under the Pae Ora (Healthy Futures) Act 2022. This includes a requirement for a Mental Health and Wellbeing Strategy, as well as strategies to meet the health needs of population groups including Māori, Pacific and disabled people. These guidelines align </w:t>
      </w:r>
      <w:r w:rsidRPr="005D3CB3">
        <w:rPr>
          <w:rFonts w:eastAsia="Segoe UI" w:cs="Segoe UI"/>
          <w:szCs w:val="21"/>
        </w:rPr>
        <w:lastRenderedPageBreak/>
        <w:t>with the direction and expectations set for the health system through these strategies and through the Government Policy Statement on Health.</w:t>
      </w:r>
    </w:p>
    <w:p w14:paraId="5FD8DBE3" w14:textId="77777777" w:rsidR="005D3CB3" w:rsidRDefault="005D3CB3" w:rsidP="002B3F7F">
      <w:pPr>
        <w:rPr>
          <w:rFonts w:eastAsia="Segoe UI" w:cs="Segoe UI"/>
          <w:szCs w:val="21"/>
        </w:rPr>
      </w:pPr>
    </w:p>
    <w:p w14:paraId="15B71634" w14:textId="7D6981CA" w:rsidR="002B3F7F" w:rsidRDefault="002B3F7F" w:rsidP="002B3F7F">
      <w:pPr>
        <w:rPr>
          <w:rFonts w:eastAsia="Segoe UI" w:cs="Segoe UI"/>
          <w:szCs w:val="21"/>
        </w:rPr>
      </w:pPr>
      <w:r w:rsidRPr="00D22170">
        <w:rPr>
          <w:rFonts w:eastAsia="Segoe UI" w:cs="Segoe UI"/>
          <w:i/>
          <w:iCs/>
          <w:szCs w:val="21"/>
        </w:rPr>
        <w:t xml:space="preserve">He Ara </w:t>
      </w:r>
      <w:r>
        <w:rPr>
          <w:rFonts w:eastAsia="Segoe UI" w:cs="Segoe UI"/>
          <w:i/>
          <w:iCs/>
          <w:szCs w:val="21"/>
        </w:rPr>
        <w:t>Ā</w:t>
      </w:r>
      <w:r w:rsidRPr="00D22170">
        <w:rPr>
          <w:rFonts w:eastAsia="Segoe UI" w:cs="Segoe UI"/>
          <w:i/>
          <w:iCs/>
          <w:szCs w:val="21"/>
        </w:rPr>
        <w:t>whina (Pathways to Support)</w:t>
      </w:r>
      <w:r>
        <w:rPr>
          <w:rStyle w:val="FootnoteReference"/>
          <w:rFonts w:eastAsia="Segoe UI" w:cs="Segoe UI"/>
          <w:i/>
          <w:iCs/>
          <w:szCs w:val="21"/>
        </w:rPr>
        <w:footnoteReference w:id="2"/>
      </w:r>
      <w:r w:rsidRPr="003509AB">
        <w:rPr>
          <w:rFonts w:eastAsia="Segoe UI" w:cs="Segoe UI"/>
          <w:szCs w:val="21"/>
        </w:rPr>
        <w:t xml:space="preserve"> </w:t>
      </w:r>
      <w:r>
        <w:rPr>
          <w:rFonts w:eastAsia="Segoe UI" w:cs="Segoe UI"/>
          <w:szCs w:val="21"/>
        </w:rPr>
        <w:t xml:space="preserve">is a </w:t>
      </w:r>
      <w:r w:rsidRPr="003509AB">
        <w:rPr>
          <w:rFonts w:eastAsia="Segoe UI" w:cs="Segoe UI"/>
          <w:szCs w:val="21"/>
        </w:rPr>
        <w:t>framework</w:t>
      </w:r>
      <w:r>
        <w:rPr>
          <w:rFonts w:eastAsia="Segoe UI" w:cs="Segoe UI"/>
          <w:szCs w:val="21"/>
        </w:rPr>
        <w:t xml:space="preserve"> that </w:t>
      </w:r>
      <w:r w:rsidRPr="003509AB">
        <w:rPr>
          <w:rFonts w:eastAsia="Segoe UI" w:cs="Segoe UI"/>
          <w:szCs w:val="21"/>
        </w:rPr>
        <w:t>guides Te Hiringa Mahara</w:t>
      </w:r>
      <w:r>
        <w:rPr>
          <w:rFonts w:eastAsia="Segoe UI" w:cs="Segoe UI"/>
          <w:szCs w:val="21"/>
        </w:rPr>
        <w:t xml:space="preserve"> – Mental Health and Wellbeing Commission in its </w:t>
      </w:r>
      <w:r w:rsidRPr="003509AB">
        <w:rPr>
          <w:rFonts w:eastAsia="Segoe UI" w:cs="Segoe UI"/>
          <w:szCs w:val="21"/>
        </w:rPr>
        <w:t>statutory monitoring of mental health and addiction services. The framework was developed from t</w:t>
      </w:r>
      <w:r>
        <w:rPr>
          <w:rFonts w:eastAsia="Segoe UI" w:cs="Segoe UI"/>
          <w:szCs w:val="21"/>
        </w:rPr>
        <w:t>ā</w:t>
      </w:r>
      <w:r w:rsidRPr="003509AB">
        <w:rPr>
          <w:rFonts w:eastAsia="Segoe UI" w:cs="Segoe UI"/>
          <w:szCs w:val="21"/>
        </w:rPr>
        <w:t xml:space="preserve">ngata </w:t>
      </w:r>
      <w:r>
        <w:rPr>
          <w:rFonts w:eastAsia="Segoe UI" w:cs="Segoe UI"/>
          <w:szCs w:val="21"/>
        </w:rPr>
        <w:t>whai ora</w:t>
      </w:r>
      <w:r w:rsidRPr="003509AB">
        <w:rPr>
          <w:rFonts w:eastAsia="Segoe UI" w:cs="Segoe UI"/>
          <w:szCs w:val="21"/>
        </w:rPr>
        <w:t xml:space="preserve"> perspectives and aspirations of an ideal mental health and addiction system, in which upholding mana tangata</w:t>
      </w:r>
      <w:r>
        <w:rPr>
          <w:rFonts w:eastAsia="Segoe UI" w:cs="Segoe UI"/>
          <w:szCs w:val="21"/>
        </w:rPr>
        <w:t xml:space="preserve"> – </w:t>
      </w:r>
      <w:r w:rsidRPr="003509AB">
        <w:rPr>
          <w:rFonts w:eastAsia="Segoe UI" w:cs="Segoe UI"/>
          <w:szCs w:val="21"/>
        </w:rPr>
        <w:t xml:space="preserve">safety and rights </w:t>
      </w:r>
      <w:r>
        <w:rPr>
          <w:rFonts w:eastAsia="Segoe UI" w:cs="Segoe UI"/>
          <w:szCs w:val="21"/>
        </w:rPr>
        <w:t>is a</w:t>
      </w:r>
      <w:r w:rsidRPr="003509AB">
        <w:rPr>
          <w:rFonts w:eastAsia="Segoe UI" w:cs="Segoe UI"/>
          <w:szCs w:val="21"/>
        </w:rPr>
        <w:t xml:space="preserve"> vital dimension.</w:t>
      </w:r>
    </w:p>
    <w:p w14:paraId="53A52881" w14:textId="77777777" w:rsidR="002B3F7F" w:rsidRDefault="002B3F7F" w:rsidP="002B3F7F">
      <w:pPr>
        <w:rPr>
          <w:rFonts w:eastAsia="Segoe UI" w:cs="Segoe UI"/>
          <w:szCs w:val="21"/>
        </w:rPr>
      </w:pPr>
    </w:p>
    <w:p w14:paraId="2BDB9565" w14:textId="020FBC1A" w:rsidR="002B3F7F" w:rsidRDefault="002B3F7F" w:rsidP="002B3F7F">
      <w:pPr>
        <w:rPr>
          <w:rFonts w:eastAsia="Segoe UI" w:cs="Segoe UI"/>
          <w:szCs w:val="21"/>
        </w:rPr>
      </w:pPr>
      <w:r>
        <w:rPr>
          <w:rFonts w:eastAsia="Segoe UI" w:cs="Segoe UI"/>
          <w:szCs w:val="21"/>
        </w:rPr>
        <w:t xml:space="preserve">Additionally, the </w:t>
      </w:r>
      <w:r w:rsidRPr="00964978">
        <w:rPr>
          <w:rFonts w:eastAsia="Segoe UI" w:cs="Segoe UI"/>
          <w:i/>
          <w:iCs/>
          <w:szCs w:val="21"/>
        </w:rPr>
        <w:t>High and Complex Framework Strateg</w:t>
      </w:r>
      <w:r>
        <w:rPr>
          <w:rFonts w:eastAsia="Segoe UI" w:cs="Segoe UI"/>
          <w:i/>
          <w:iCs/>
          <w:szCs w:val="21"/>
        </w:rPr>
        <w:t>ic Statement</w:t>
      </w:r>
      <w:r>
        <w:rPr>
          <w:rFonts w:eastAsia="Segoe UI"/>
        </w:rPr>
        <w:t xml:space="preserve"> (</w:t>
      </w:r>
      <w:r>
        <w:rPr>
          <w:rFonts w:cs="Arial"/>
          <w:color w:val="002639"/>
        </w:rPr>
        <w:t xml:space="preserve">Whaikaha – </w:t>
      </w:r>
      <w:r w:rsidRPr="00F03B6C">
        <w:rPr>
          <w:rStyle w:val="Hyperlink"/>
          <w:rFonts w:cs="Arial"/>
          <w:b w:val="0"/>
          <w:bCs/>
          <w:color w:val="000000" w:themeColor="text1"/>
        </w:rPr>
        <w:t>Ministry of Disabled People 2023</w:t>
      </w:r>
      <w:r>
        <w:rPr>
          <w:rFonts w:eastAsia="Segoe UI"/>
        </w:rPr>
        <w:t>)</w:t>
      </w:r>
      <w:r>
        <w:rPr>
          <w:rFonts w:eastAsia="Segoe UI" w:cs="Segoe UI"/>
          <w:szCs w:val="21"/>
        </w:rPr>
        <w:t xml:space="preserve"> supports the future direction of service delivery and policy for </w:t>
      </w:r>
      <w:r w:rsidRPr="516C99AA">
        <w:rPr>
          <w:rFonts w:eastAsia="Segoe UI" w:cs="Segoe UI"/>
          <w:szCs w:val="21"/>
        </w:rPr>
        <w:t>tāngata</w:t>
      </w:r>
      <w:r>
        <w:rPr>
          <w:rFonts w:eastAsia="Segoe UI" w:cs="Segoe UI"/>
          <w:szCs w:val="21"/>
        </w:rPr>
        <w:t xml:space="preserve"> whaikaha </w:t>
      </w:r>
      <w:r w:rsidRPr="000210C5">
        <w:rPr>
          <w:rFonts w:eastAsia="Segoe UI"/>
        </w:rPr>
        <w:t xml:space="preserve">in secure </w:t>
      </w:r>
      <w:r w:rsidRPr="009D29B4">
        <w:rPr>
          <w:rFonts w:eastAsia="Segoe UI" w:cs="Segoe UI"/>
          <w:szCs w:val="21"/>
        </w:rPr>
        <w:t xml:space="preserve">or </w:t>
      </w:r>
      <w:r w:rsidRPr="000210C5">
        <w:rPr>
          <w:rFonts w:eastAsia="Segoe UI"/>
        </w:rPr>
        <w:t>supervised care</w:t>
      </w:r>
      <w:r w:rsidRPr="000210C5">
        <w:rPr>
          <w:rFonts w:eastAsia="Segoe UI" w:cs="Segoe UI"/>
          <w:szCs w:val="21"/>
        </w:rPr>
        <w:t xml:space="preserve"> </w:t>
      </w:r>
      <w:r>
        <w:rPr>
          <w:rFonts w:eastAsia="Segoe UI" w:cs="Segoe UI"/>
          <w:szCs w:val="21"/>
        </w:rPr>
        <w:t xml:space="preserve">who have an intellectual disability and have offended. These guidelines reflect the vision and aims of this strategic plan to improve wellbeing outcomes for all </w:t>
      </w:r>
      <w:r w:rsidRPr="516C99AA">
        <w:rPr>
          <w:rFonts w:eastAsia="Segoe UI" w:cs="Segoe UI"/>
          <w:szCs w:val="21"/>
        </w:rPr>
        <w:t>tāngata</w:t>
      </w:r>
      <w:r>
        <w:rPr>
          <w:rFonts w:eastAsia="Segoe UI" w:cs="Segoe UI"/>
          <w:szCs w:val="21"/>
        </w:rPr>
        <w:t xml:space="preserve"> whaikaha and their </w:t>
      </w:r>
      <w:r w:rsidRPr="00332370">
        <w:rPr>
          <w:rFonts w:eastAsia="Segoe UI" w:cs="Segoe UI"/>
          <w:szCs w:val="21"/>
        </w:rPr>
        <w:t>whānau</w:t>
      </w:r>
      <w:r>
        <w:rPr>
          <w:rFonts w:eastAsia="Segoe UI" w:cs="Segoe UI"/>
          <w:szCs w:val="21"/>
        </w:rPr>
        <w:t xml:space="preserve"> in their care journey. </w:t>
      </w:r>
    </w:p>
    <w:p w14:paraId="5FC3AC18" w14:textId="77777777" w:rsidR="00941EAB" w:rsidRDefault="00941EAB" w:rsidP="00941EAB">
      <w:pPr>
        <w:rPr>
          <w:rFonts w:eastAsia="Segoe UI" w:cs="Segoe UI"/>
        </w:rPr>
      </w:pPr>
      <w:bookmarkStart w:id="8" w:name="_Toc107475995"/>
      <w:bookmarkStart w:id="9" w:name="_Toc200199220"/>
    </w:p>
    <w:p w14:paraId="70AE0EED" w14:textId="77777777" w:rsidR="00941EAB" w:rsidRDefault="00941EAB" w:rsidP="00941EAB">
      <w:r>
        <w:t>These guidelines should be read in the context of the other overarching guidelines promulgated under section 130 of the Mental Health Act, section 148 of the Intellectual Disability Act or section 116 of the Substance Addiction Act, including:</w:t>
      </w:r>
      <w:r>
        <w:rPr>
          <w:rStyle w:val="FootnoteReference"/>
        </w:rPr>
        <w:footnoteReference w:id="3"/>
      </w:r>
    </w:p>
    <w:p w14:paraId="607F7DC0" w14:textId="77777777" w:rsidR="00941EAB" w:rsidRPr="00E428B1" w:rsidRDefault="00941EAB" w:rsidP="00941EAB">
      <w:pPr>
        <w:pStyle w:val="Bullet"/>
        <w:rPr>
          <w:rFonts w:eastAsia="Georgia"/>
        </w:rPr>
      </w:pPr>
      <w:r w:rsidRPr="002B3F7F">
        <w:rPr>
          <w:i/>
          <w:iCs/>
        </w:rPr>
        <w:t>Guidelines to the Mental Health (Compulsory Assessment and Treatment) Act 1992</w:t>
      </w:r>
      <w:r>
        <w:t xml:space="preserve"> (Ministry of Health 2022)</w:t>
      </w:r>
    </w:p>
    <w:p w14:paraId="16081F12" w14:textId="77777777" w:rsidR="00941EAB" w:rsidRPr="005D6C4F" w:rsidRDefault="00941EAB" w:rsidP="00941EAB">
      <w:pPr>
        <w:pStyle w:val="Bullet"/>
        <w:rPr>
          <w:rFonts w:eastAsia="Georgia"/>
        </w:rPr>
      </w:pPr>
      <w:r w:rsidRPr="002B3F7F">
        <w:rPr>
          <w:i/>
          <w:iCs/>
        </w:rPr>
        <w:t>Human Rights and the Mental Health (Compulsory Assessment and Treatment) Act 1992</w:t>
      </w:r>
      <w:r>
        <w:t xml:space="preserve"> (Ministry of Health 2020)</w:t>
      </w:r>
    </w:p>
    <w:p w14:paraId="509CB3BB" w14:textId="77777777" w:rsidR="00941EAB" w:rsidRPr="00E428B1" w:rsidRDefault="00941EAB" w:rsidP="00941EAB">
      <w:pPr>
        <w:pStyle w:val="Bullet"/>
        <w:rPr>
          <w:rFonts w:eastAsia="Georgia"/>
        </w:rPr>
      </w:pPr>
      <w:r w:rsidRPr="002B3F7F">
        <w:rPr>
          <w:i/>
          <w:iCs/>
        </w:rPr>
        <w:t>A Guide to the Intellectual Disability (Compulsory Care and Rehabilitation) Act 2003</w:t>
      </w:r>
      <w:r w:rsidRPr="00E428B1">
        <w:t xml:space="preserve"> </w:t>
      </w:r>
      <w:r>
        <w:t>(Ministry of Health 2004)</w:t>
      </w:r>
    </w:p>
    <w:p w14:paraId="26A7DDA2" w14:textId="77777777" w:rsidR="00941EAB" w:rsidRPr="00484F90" w:rsidRDefault="00941EAB" w:rsidP="00941EAB">
      <w:pPr>
        <w:pStyle w:val="Bullet"/>
        <w:rPr>
          <w:rStyle w:val="Hyperlink"/>
          <w:rFonts w:eastAsia="Georgia"/>
          <w:i/>
          <w:iCs/>
        </w:rPr>
      </w:pPr>
      <w:r w:rsidRPr="002B3F7F">
        <w:rPr>
          <w:i/>
          <w:iCs/>
        </w:rPr>
        <w:t>Introductory Guideline to the Substance Addiction (Compulsory Assessment and Treatment) Act 2017</w:t>
      </w:r>
      <w:r>
        <w:t xml:space="preserve"> (Ministry of Health 2017)</w:t>
      </w:r>
      <w:r w:rsidRPr="408908A3">
        <w:t xml:space="preserve">. </w:t>
      </w:r>
    </w:p>
    <w:p w14:paraId="10EE5B62" w14:textId="77777777" w:rsidR="00941EAB" w:rsidRDefault="00941EAB" w:rsidP="00941EAB">
      <w:pPr>
        <w:spacing w:line="257" w:lineRule="auto"/>
      </w:pPr>
    </w:p>
    <w:p w14:paraId="233475AD" w14:textId="77777777" w:rsidR="00941EAB" w:rsidRDefault="00941EAB" w:rsidP="00941EAB">
      <w:pPr>
        <w:spacing w:line="257" w:lineRule="auto"/>
      </w:pPr>
      <w:r>
        <w:t>It can be useful for district inspectors to refer to these other guidelines as necessary. These additional guidelines are available on the</w:t>
      </w:r>
      <w:r w:rsidRPr="516C99AA">
        <w:rPr>
          <w:rFonts w:eastAsia="Segoe UI" w:cs="Segoe UI"/>
        </w:rPr>
        <w:t xml:space="preserve"> </w:t>
      </w:r>
      <w:r>
        <w:rPr>
          <w:rFonts w:eastAsia="Segoe UI" w:cs="Segoe UI"/>
        </w:rPr>
        <w:t xml:space="preserve">Ministry’s </w:t>
      </w:r>
      <w:r>
        <w:t xml:space="preserve">website at </w:t>
      </w:r>
      <w:hyperlink r:id="rId25" w:history="1">
        <w:r>
          <w:rPr>
            <w:rStyle w:val="Hyperlink"/>
          </w:rPr>
          <w:t>health.govt.nz</w:t>
        </w:r>
      </w:hyperlink>
      <w:r>
        <w:t>.</w:t>
      </w:r>
    </w:p>
    <w:p w14:paraId="4FFAC029" w14:textId="77777777" w:rsidR="002B3F7F" w:rsidRPr="002B3F7F" w:rsidRDefault="002B3F7F" w:rsidP="002B3F7F">
      <w:pPr>
        <w:pStyle w:val="Heading3"/>
      </w:pPr>
      <w:r w:rsidRPr="002B3F7F">
        <w:t>Use of the terms ‘patient’</w:t>
      </w:r>
      <w:bookmarkEnd w:id="8"/>
      <w:r w:rsidRPr="002B3F7F">
        <w:t>, ‘proposed patient‘, ‘care recipient’, and ‘proposed care recipient’ in this document</w:t>
      </w:r>
      <w:bookmarkEnd w:id="9"/>
    </w:p>
    <w:p w14:paraId="61AABD29" w14:textId="5141D6DA" w:rsidR="002B3F7F" w:rsidRDefault="002B3F7F" w:rsidP="002B3F7F">
      <w:r>
        <w:t xml:space="preserve">Using the terms </w:t>
      </w:r>
      <w:r w:rsidRPr="516C99AA">
        <w:rPr>
          <w:i/>
          <w:iCs/>
        </w:rPr>
        <w:t>‘patient’</w:t>
      </w:r>
      <w:r>
        <w:t>, ‘</w:t>
      </w:r>
      <w:r w:rsidRPr="516C99AA">
        <w:rPr>
          <w:i/>
          <w:iCs/>
        </w:rPr>
        <w:t>proposed patient</w:t>
      </w:r>
      <w:r>
        <w:t>’, ‘</w:t>
      </w:r>
      <w:r w:rsidRPr="516C99AA">
        <w:rPr>
          <w:i/>
          <w:iCs/>
        </w:rPr>
        <w:t>care recipient</w:t>
      </w:r>
      <w:r>
        <w:t>’ and ‘</w:t>
      </w:r>
      <w:r w:rsidRPr="00E227D9">
        <w:rPr>
          <w:i/>
          <w:iCs/>
        </w:rPr>
        <w:t>proposed care recipient</w:t>
      </w:r>
      <w:r>
        <w:t xml:space="preserve">’ in the context of mental health, addictions and intellectual disability services can exacerbate stigmatisation. They define people who experience mental illness, addiction or intellectual disabilities as people managed through medical treatment, care or rehabilitation, rather than as individuals with choices and autonomy. </w:t>
      </w:r>
    </w:p>
    <w:p w14:paraId="13D5F91A" w14:textId="77777777" w:rsidR="0033189D" w:rsidRDefault="0033189D" w:rsidP="002B3F7F"/>
    <w:p w14:paraId="767BA9A3" w14:textId="21881C86" w:rsidR="00ED3076" w:rsidRDefault="00ED3076" w:rsidP="002B3F7F">
      <w:r>
        <w:lastRenderedPageBreak/>
        <w:t xml:space="preserve">The Mental Health Bill </w:t>
      </w:r>
      <w:r w:rsidR="00F46F36">
        <w:t xml:space="preserve">that </w:t>
      </w:r>
      <w:r w:rsidR="00DB5F92">
        <w:t>is proposed to</w:t>
      </w:r>
      <w:r w:rsidR="00F46F36">
        <w:t xml:space="preserve"> replace the current </w:t>
      </w:r>
      <w:r w:rsidR="00BC6495">
        <w:t xml:space="preserve">Mental Health </w:t>
      </w:r>
      <w:r w:rsidR="00F46F36">
        <w:t xml:space="preserve">Act </w:t>
      </w:r>
      <w:r w:rsidR="00A13A3F">
        <w:t>has been considered by a Parliamentary Select Committee</w:t>
      </w:r>
      <w:r w:rsidR="00893C74">
        <w:t xml:space="preserve"> </w:t>
      </w:r>
      <w:r w:rsidR="00BC6495">
        <w:t xml:space="preserve">and </w:t>
      </w:r>
      <w:r w:rsidR="67FE61AC">
        <w:t>uses different language deliberately,</w:t>
      </w:r>
      <w:r w:rsidR="00CA5513">
        <w:t xml:space="preserve"> for this reason</w:t>
      </w:r>
      <w:r w:rsidR="00982CED">
        <w:t xml:space="preserve">. </w:t>
      </w:r>
    </w:p>
    <w:p w14:paraId="65DC5CE2" w14:textId="77777777" w:rsidR="002B3F7F" w:rsidRDefault="002B3F7F" w:rsidP="002B3F7F"/>
    <w:p w14:paraId="6E27A6AF" w14:textId="77777777" w:rsidR="002B3F7F" w:rsidRDefault="002B3F7F" w:rsidP="002B3F7F">
      <w:r>
        <w:t xml:space="preserve">With acknowledgement of this, where possible we have used the terms ‘person with lived experience’, ‘tangata whaiora’ and ‘tangata whaikaha’. However, under the three Acts outlined in these guidelines, the terms </w:t>
      </w:r>
      <w:r w:rsidRPr="3AC9088F">
        <w:rPr>
          <w:i/>
          <w:iCs/>
        </w:rPr>
        <w:t>‘patient’</w:t>
      </w:r>
      <w:r>
        <w:t>, ‘</w:t>
      </w:r>
      <w:r w:rsidRPr="3AC9088F">
        <w:rPr>
          <w:i/>
          <w:iCs/>
        </w:rPr>
        <w:t>proposed patient’</w:t>
      </w:r>
      <w:r>
        <w:t>, ‘</w:t>
      </w:r>
      <w:r w:rsidRPr="3AC9088F">
        <w:rPr>
          <w:i/>
          <w:iCs/>
        </w:rPr>
        <w:t xml:space="preserve">care recipient’ </w:t>
      </w:r>
      <w:r>
        <w:t>and ‘</w:t>
      </w:r>
      <w:r w:rsidRPr="3AC9088F">
        <w:rPr>
          <w:i/>
          <w:iCs/>
        </w:rPr>
        <w:t>proposed care recipient</w:t>
      </w:r>
      <w:r>
        <w:t>’ each have a specific legal meaning. We have italicised the terms within these guidelines (</w:t>
      </w:r>
      <w:r w:rsidRPr="3AC9088F">
        <w:rPr>
          <w:i/>
          <w:iCs/>
        </w:rPr>
        <w:t xml:space="preserve">patient, proposed patient, care recipient </w:t>
      </w:r>
      <w:r w:rsidRPr="00E428B1">
        <w:t>and</w:t>
      </w:r>
      <w:r w:rsidRPr="3AC9088F">
        <w:rPr>
          <w:i/>
          <w:iCs/>
        </w:rPr>
        <w:t xml:space="preserve"> proposed care recipient</w:t>
      </w:r>
      <w:r>
        <w:t>) to denote their statute-specific meaning.</w:t>
      </w:r>
    </w:p>
    <w:p w14:paraId="70ABC106" w14:textId="77777777" w:rsidR="002B3F7F" w:rsidRDefault="002B3F7F" w:rsidP="002B3F7F">
      <w:pPr>
        <w:rPr>
          <w:rFonts w:eastAsia="Segoe UI" w:cs="Segoe UI"/>
        </w:rPr>
      </w:pPr>
    </w:p>
    <w:p w14:paraId="37DDA54C" w14:textId="77777777" w:rsidR="004048ED" w:rsidRDefault="004048ED" w:rsidP="002B3F7F">
      <w:pPr>
        <w:rPr>
          <w:rFonts w:eastAsia="Segoe UI" w:cs="Segoe UI"/>
        </w:rPr>
        <w:sectPr w:rsidR="004048ED" w:rsidSect="008C1116">
          <w:footerReference w:type="even" r:id="rId26"/>
          <w:footerReference w:type="default" r:id="rId27"/>
          <w:pgSz w:w="11907" w:h="16840" w:code="9"/>
          <w:pgMar w:top="1418" w:right="1701" w:bottom="1134" w:left="1843" w:header="284" w:footer="425" w:gutter="284"/>
          <w:pgNumType w:start="1"/>
          <w:cols w:space="720"/>
        </w:sectPr>
      </w:pPr>
    </w:p>
    <w:p w14:paraId="5CE457DF" w14:textId="77777777" w:rsidR="004048ED" w:rsidRDefault="004048ED" w:rsidP="00B43C67">
      <w:pPr>
        <w:pStyle w:val="Heading1-numbered"/>
      </w:pPr>
      <w:bookmarkStart w:id="10" w:name="_Ref141778470"/>
      <w:bookmarkStart w:id="11" w:name="_Toc200199221"/>
      <w:bookmarkStart w:id="12" w:name="_Toc207353863"/>
      <w:r>
        <w:lastRenderedPageBreak/>
        <w:t>The district inspector role</w:t>
      </w:r>
      <w:bookmarkEnd w:id="10"/>
      <w:bookmarkEnd w:id="11"/>
      <w:bookmarkEnd w:id="12"/>
    </w:p>
    <w:p w14:paraId="065245C1" w14:textId="41E573B1" w:rsidR="0078038E" w:rsidRDefault="004048ED" w:rsidP="004048ED">
      <w:pPr>
        <w:rPr>
          <w:rFonts w:eastAsia="Segoe UI"/>
        </w:rPr>
      </w:pPr>
      <w:r>
        <w:t xml:space="preserve">District inspectors are lawyers established by statutory authority that work </w:t>
      </w:r>
      <w:r w:rsidRPr="00E9378E">
        <w:rPr>
          <w:rFonts w:eastAsia="Segoe UI"/>
        </w:rPr>
        <w:t>independent</w:t>
      </w:r>
      <w:r>
        <w:rPr>
          <w:rFonts w:eastAsia="Segoe UI"/>
        </w:rPr>
        <w:t xml:space="preserve">ly from care providers or services. They are officials appointed to ensure the provisions of the Mental Health Act, the Substance Addiction Act or the </w:t>
      </w:r>
      <w:r w:rsidR="00E27AEB">
        <w:t>Intellectual Disability Act</w:t>
      </w:r>
      <w:r>
        <w:rPr>
          <w:rFonts w:eastAsia="Segoe UI"/>
        </w:rPr>
        <w:t xml:space="preserve"> are upheld. District inspectors act as a conduit and protective mechanism between people and their family or whānau and the legalities of compulsory assessment, treatment or care. </w:t>
      </w:r>
    </w:p>
    <w:p w14:paraId="1EA2D883" w14:textId="77777777" w:rsidR="0078038E" w:rsidRDefault="0078038E" w:rsidP="004048ED">
      <w:pPr>
        <w:rPr>
          <w:rFonts w:eastAsia="Segoe UI"/>
        </w:rPr>
      </w:pPr>
    </w:p>
    <w:p w14:paraId="172CFEEE" w14:textId="77777777" w:rsidR="0078038E" w:rsidRDefault="0078038E" w:rsidP="0078038E">
      <w:r>
        <w:t xml:space="preserve">The primary role of a district inspector is to ensure that those subject to compulsory assessment, treatment or care are advised of their rights, and that these rights are protected. This includes ensuring that </w:t>
      </w:r>
      <w:r w:rsidRPr="0009495E">
        <w:t xml:space="preserve">health professionals involve family </w:t>
      </w:r>
      <w:r>
        <w:t xml:space="preserve">and </w:t>
      </w:r>
      <w:r w:rsidRPr="0009495E">
        <w:t>whānau</w:t>
      </w:r>
      <w:r>
        <w:t xml:space="preserve"> as much as possible and advocating that a culturally appropriate</w:t>
      </w:r>
      <w:r w:rsidRPr="0009495E">
        <w:t xml:space="preserve"> approach </w:t>
      </w:r>
      <w:r>
        <w:t xml:space="preserve">to supporting a person is taken. As part of this, district inspectors investigate and report on complaints regarding potential breaches of </w:t>
      </w:r>
      <w:r w:rsidRPr="7362CCE2">
        <w:rPr>
          <w:i/>
        </w:rPr>
        <w:t>patients</w:t>
      </w:r>
      <w:r>
        <w:t>’</w:t>
      </w:r>
      <w:r w:rsidRPr="00831F4E">
        <w:t xml:space="preserve"> </w:t>
      </w:r>
      <w:r>
        <w:t xml:space="preserve">or </w:t>
      </w:r>
      <w:r w:rsidRPr="00463C83">
        <w:rPr>
          <w:i/>
          <w:iCs/>
        </w:rPr>
        <w:t>care recipient</w:t>
      </w:r>
      <w:r>
        <w:rPr>
          <w:i/>
          <w:iCs/>
        </w:rPr>
        <w:t>s’</w:t>
      </w:r>
      <w:r w:rsidRPr="00463C83">
        <w:rPr>
          <w:i/>
          <w:iCs/>
        </w:rPr>
        <w:t xml:space="preserve"> </w:t>
      </w:r>
      <w:r w:rsidRPr="00831F4E">
        <w:t>rights</w:t>
      </w:r>
      <w:r>
        <w:t xml:space="preserve">. </w:t>
      </w:r>
    </w:p>
    <w:p w14:paraId="45D0FD48" w14:textId="77777777" w:rsidR="004048ED" w:rsidRPr="00191D52" w:rsidRDefault="004048ED" w:rsidP="00191D52">
      <w:pPr>
        <w:pStyle w:val="Heading2-numbered"/>
      </w:pPr>
      <w:bookmarkStart w:id="13" w:name="_Toc200199222"/>
      <w:bookmarkStart w:id="14" w:name="_Toc207353864"/>
      <w:r w:rsidRPr="00191D52">
        <w:t>Guiding principles</w:t>
      </w:r>
      <w:bookmarkEnd w:id="13"/>
      <w:bookmarkEnd w:id="14"/>
    </w:p>
    <w:p w14:paraId="4167B061" w14:textId="6F3F3898" w:rsidR="00690720" w:rsidRPr="002C1D2F" w:rsidRDefault="00611881" w:rsidP="004048ED">
      <w:r w:rsidRPr="008170AC">
        <w:t xml:space="preserve">Decisions about compulsory treatment require a balance between an individual’s rights and the need for </w:t>
      </w:r>
      <w:r>
        <w:t>restrictive</w:t>
      </w:r>
      <w:r w:rsidRPr="008170AC">
        <w:t xml:space="preserve"> interventions</w:t>
      </w:r>
      <w:r>
        <w:t xml:space="preserve">. </w:t>
      </w:r>
      <w:r w:rsidR="004048ED">
        <w:t xml:space="preserve">District inspectors should be guided by the </w:t>
      </w:r>
      <w:r w:rsidR="00DD1095">
        <w:t>principles</w:t>
      </w:r>
      <w:r w:rsidR="001670FD">
        <w:t xml:space="preserve"> </w:t>
      </w:r>
      <w:r w:rsidR="00DD1095">
        <w:t xml:space="preserve">in </w:t>
      </w:r>
      <w:r w:rsidR="00816F8C">
        <w:t xml:space="preserve">section 5 of the </w:t>
      </w:r>
      <w:r w:rsidR="00816F8C" w:rsidRPr="00816F8C">
        <w:t>Mental Health Act</w:t>
      </w:r>
      <w:r w:rsidR="00816F8C">
        <w:t>,</w:t>
      </w:r>
      <w:r w:rsidR="007E6BEE">
        <w:t xml:space="preserve"> section 13 of the Intellectual Disability Act and</w:t>
      </w:r>
      <w:r w:rsidR="00E80926">
        <w:t xml:space="preserve"> section 12 of the </w:t>
      </w:r>
      <w:r w:rsidR="00E80926" w:rsidRPr="00077522">
        <w:rPr>
          <w:rFonts w:eastAsia="Segoe UI"/>
        </w:rPr>
        <w:t>Substance Addiction Act</w:t>
      </w:r>
      <w:r w:rsidR="00271EC6">
        <w:rPr>
          <w:rFonts w:eastAsia="Segoe UI"/>
        </w:rPr>
        <w:t>.</w:t>
      </w:r>
      <w:r w:rsidR="00185E5E">
        <w:rPr>
          <w:rFonts w:eastAsia="Segoe UI"/>
        </w:rPr>
        <w:t xml:space="preserve"> </w:t>
      </w:r>
    </w:p>
    <w:p w14:paraId="5C3DA80C" w14:textId="77777777" w:rsidR="006C4913" w:rsidRDefault="006C4913" w:rsidP="004048ED">
      <w:pPr>
        <w:rPr>
          <w:rFonts w:eastAsia="Segoe UI"/>
        </w:rPr>
      </w:pPr>
    </w:p>
    <w:p w14:paraId="6D79F7D3" w14:textId="69BE31FA" w:rsidR="0037261D" w:rsidRDefault="004534D7" w:rsidP="004048ED">
      <w:r>
        <w:t xml:space="preserve">The </w:t>
      </w:r>
      <w:r w:rsidR="00E7308C">
        <w:t xml:space="preserve">work of </w:t>
      </w:r>
      <w:r w:rsidR="005C4B56">
        <w:t>d</w:t>
      </w:r>
      <w:r w:rsidR="008170AC">
        <w:t xml:space="preserve">istrict </w:t>
      </w:r>
      <w:r w:rsidR="005C4B56">
        <w:t>i</w:t>
      </w:r>
      <w:r w:rsidR="008170AC">
        <w:t xml:space="preserve">nspectors </w:t>
      </w:r>
      <w:r w:rsidR="00E7308C">
        <w:t>is</w:t>
      </w:r>
      <w:r w:rsidR="008170AC">
        <w:t xml:space="preserve"> expected to </w:t>
      </w:r>
      <w:r>
        <w:t xml:space="preserve">be </w:t>
      </w:r>
      <w:r w:rsidR="00E7308C">
        <w:t>consistent</w:t>
      </w:r>
      <w:r w:rsidR="00271EC6" w:rsidRPr="00271EC6">
        <w:t xml:space="preserve"> with the New Zealand Bill of Rights Act 1990, the Code of Health and Disability Consumers’ Rights, Ngā Paerewa Health and Disability Services Standard, and </w:t>
      </w:r>
      <w:r w:rsidR="00A663B6" w:rsidRPr="0037261D">
        <w:t xml:space="preserve">Te Tiriti o Waitangi obligations </w:t>
      </w:r>
      <w:r w:rsidR="00271EC6" w:rsidRPr="00271EC6">
        <w:t>to the greatest extent possible, and in the least restrictive way</w:t>
      </w:r>
      <w:r w:rsidR="00271EC6">
        <w:t>.</w:t>
      </w:r>
      <w:r w:rsidR="00A7190F">
        <w:t xml:space="preserve"> There is additional guidance in the following documents:</w:t>
      </w:r>
    </w:p>
    <w:p w14:paraId="6EF7CC28" w14:textId="77777777" w:rsidR="005669AB" w:rsidRPr="00A7190F" w:rsidRDefault="005669AB" w:rsidP="00A7190F">
      <w:pPr>
        <w:pStyle w:val="Bullet"/>
      </w:pPr>
      <w:r w:rsidRPr="00A7190F">
        <w:t>Guidelines to the Mental Health (Compulsory Assessment and Treatment) Act 1992</w:t>
      </w:r>
    </w:p>
    <w:p w14:paraId="336002C2" w14:textId="77777777" w:rsidR="005669AB" w:rsidRPr="00A7190F" w:rsidRDefault="005669AB" w:rsidP="00A7190F">
      <w:pPr>
        <w:pStyle w:val="Bullet"/>
      </w:pPr>
      <w:r w:rsidRPr="00A7190F">
        <w:t>Human Rights and the Mental Health (Compulsory Assessment and Treatment) Act 1992</w:t>
      </w:r>
    </w:p>
    <w:p w14:paraId="0556996F" w14:textId="77777777" w:rsidR="005669AB" w:rsidRDefault="005669AB" w:rsidP="005669AB">
      <w:pPr>
        <w:rPr>
          <w:rFonts w:eastAsia="Segoe UI"/>
        </w:rPr>
      </w:pPr>
    </w:p>
    <w:p w14:paraId="1E6EBC6A" w14:textId="18471B68" w:rsidR="009A5319" w:rsidRDefault="00BF0563" w:rsidP="004048ED">
      <w:r>
        <w:t xml:space="preserve">The Ministry expects district inspectors to </w:t>
      </w:r>
      <w:r w:rsidR="00150944">
        <w:t>take a</w:t>
      </w:r>
      <w:r w:rsidR="00FD4CA0">
        <w:t>n</w:t>
      </w:r>
      <w:r w:rsidR="00150944">
        <w:t xml:space="preserve"> approach that</w:t>
      </w:r>
      <w:r w:rsidR="000F2437">
        <w:t xml:space="preserve"> focuses on the future and</w:t>
      </w:r>
      <w:r w:rsidR="00150944">
        <w:t xml:space="preserve"> </w:t>
      </w:r>
      <w:r w:rsidR="00FD4CA0">
        <w:t xml:space="preserve">helps </w:t>
      </w:r>
      <w:r w:rsidR="002231AD">
        <w:t xml:space="preserve">providers </w:t>
      </w:r>
      <w:r w:rsidR="00FD4CA0">
        <w:t xml:space="preserve">improve </w:t>
      </w:r>
      <w:r w:rsidR="002231AD">
        <w:t xml:space="preserve">their services, and not just on strictly </w:t>
      </w:r>
      <w:r w:rsidR="00056694">
        <w:t>checking compliance</w:t>
      </w:r>
      <w:r w:rsidR="0094648C">
        <w:t>.</w:t>
      </w:r>
      <w:r w:rsidR="00114C32">
        <w:t xml:space="preserve"> </w:t>
      </w:r>
    </w:p>
    <w:p w14:paraId="13A34AF5" w14:textId="77777777" w:rsidR="00C87D24" w:rsidRDefault="00C87D24" w:rsidP="00C87D24">
      <w:pPr>
        <w:pStyle w:val="Bullet"/>
        <w:numPr>
          <w:ilvl w:val="0"/>
          <w:numId w:val="0"/>
        </w:numPr>
        <w:ind w:left="284" w:hanging="284"/>
      </w:pPr>
    </w:p>
    <w:p w14:paraId="02B51635" w14:textId="77777777" w:rsidR="004048ED" w:rsidRPr="00193FF2" w:rsidRDefault="004048ED" w:rsidP="00191D52">
      <w:pPr>
        <w:pStyle w:val="Heading2-numbered"/>
      </w:pPr>
      <w:bookmarkStart w:id="15" w:name="_Toc200199223"/>
      <w:bookmarkStart w:id="16" w:name="_Toc207353865"/>
      <w:r>
        <w:lastRenderedPageBreak/>
        <w:t>Skills</w:t>
      </w:r>
      <w:bookmarkEnd w:id="15"/>
      <w:bookmarkEnd w:id="16"/>
    </w:p>
    <w:p w14:paraId="7821A9EB" w14:textId="7A08D0C2" w:rsidR="004048ED" w:rsidRDefault="004048ED" w:rsidP="004048ED">
      <w:r>
        <w:t xml:space="preserve">It is the district inspector’s responsibility to appropriately upskill and maintain proficiency in the knowledge, skills and attitudes required for their role. Doing so will ensure they contribute to positive experiences and outcomes for </w:t>
      </w:r>
      <w:r w:rsidRPr="00B67B70">
        <w:t xml:space="preserve">tāngata </w:t>
      </w:r>
      <w:r>
        <w:t>whai ora</w:t>
      </w:r>
      <w:r w:rsidRPr="00B67B70">
        <w:t xml:space="preserve">, tāngata whaikaha, </w:t>
      </w:r>
      <w:r>
        <w:t xml:space="preserve">and their family and whānau. </w:t>
      </w:r>
    </w:p>
    <w:p w14:paraId="3F3D998A" w14:textId="77777777" w:rsidR="004048ED" w:rsidRDefault="004048ED" w:rsidP="004048ED"/>
    <w:p w14:paraId="3E80A531" w14:textId="77777777" w:rsidR="004048ED" w:rsidRPr="007A6AD0" w:rsidRDefault="004048ED" w:rsidP="004048ED">
      <w:r>
        <w:t>District inspectors must demonstrate the following skills and experience:</w:t>
      </w:r>
    </w:p>
    <w:p w14:paraId="684E2D47" w14:textId="77777777" w:rsidR="004048ED" w:rsidRPr="004048ED" w:rsidRDefault="004048ED" w:rsidP="004048ED">
      <w:pPr>
        <w:pStyle w:val="Bullet"/>
      </w:pPr>
      <w:r w:rsidRPr="004048ED">
        <w:t>a good range of legal skills related to mental health, addiction or intellectual disability work</w:t>
      </w:r>
    </w:p>
    <w:p w14:paraId="1A2BECE3" w14:textId="77777777" w:rsidR="004048ED" w:rsidRPr="004048ED" w:rsidRDefault="004048ED" w:rsidP="004048ED">
      <w:pPr>
        <w:pStyle w:val="Bullet"/>
      </w:pPr>
      <w:r w:rsidRPr="004048ED">
        <w:t>experience working with relevant legislation, and/or experience in the mental health, addictions or intellectual disability sector</w:t>
      </w:r>
    </w:p>
    <w:p w14:paraId="222B901E" w14:textId="77777777" w:rsidR="004048ED" w:rsidRPr="004048ED" w:rsidRDefault="004048ED" w:rsidP="004048ED">
      <w:pPr>
        <w:pStyle w:val="Bullet"/>
      </w:pPr>
      <w:r w:rsidRPr="004048ED">
        <w:t>the ability to communicate in plain language with people from a range of backgrounds, including tāngata whai ora, tāngata whaikaha, family and whānau, and health professionals</w:t>
      </w:r>
    </w:p>
    <w:p w14:paraId="7C448598" w14:textId="77777777" w:rsidR="004048ED" w:rsidRPr="004048ED" w:rsidRDefault="004048ED" w:rsidP="004048ED">
      <w:pPr>
        <w:pStyle w:val="Bullet"/>
      </w:pPr>
      <w:r w:rsidRPr="004048ED">
        <w:t>sound judgement and common sense</w:t>
      </w:r>
    </w:p>
    <w:p w14:paraId="6BC608FC" w14:textId="55A0E2A1" w:rsidR="004048ED" w:rsidRPr="004048ED" w:rsidRDefault="004048ED" w:rsidP="004048ED">
      <w:pPr>
        <w:pStyle w:val="Bullet"/>
      </w:pPr>
      <w:r w:rsidRPr="004048ED">
        <w:t>awareness of personal bias and maintenance of self-reflective practice</w:t>
      </w:r>
      <w:r w:rsidR="008214EF">
        <w:t xml:space="preserve"> </w:t>
      </w:r>
    </w:p>
    <w:p w14:paraId="275393A0" w14:textId="77777777" w:rsidR="004048ED" w:rsidRPr="004048ED" w:rsidRDefault="004048ED" w:rsidP="004048ED">
      <w:pPr>
        <w:pStyle w:val="Bullet"/>
      </w:pPr>
      <w:r w:rsidRPr="004048ED">
        <w:t xml:space="preserve">the ability to work collaboratively as part of a regional group of district inspectors </w:t>
      </w:r>
    </w:p>
    <w:p w14:paraId="4C532024" w14:textId="77777777" w:rsidR="004048ED" w:rsidRPr="004048ED" w:rsidRDefault="004048ED" w:rsidP="004048ED">
      <w:pPr>
        <w:pStyle w:val="Bullet"/>
      </w:pPr>
      <w:r w:rsidRPr="004048ED">
        <w:t xml:space="preserve">management of privacy and confidentiality </w:t>
      </w:r>
    </w:p>
    <w:p w14:paraId="2C04D5B4" w14:textId="77777777" w:rsidR="004048ED" w:rsidRPr="004048ED" w:rsidRDefault="004048ED" w:rsidP="004048ED">
      <w:pPr>
        <w:pStyle w:val="Bullet"/>
      </w:pPr>
      <w:r w:rsidRPr="004048ED">
        <w:t>sensitivity and respect when working with advocates and interpreters, and a commitment to enabling tāngata whai ora or tāngata whaikaha to access support</w:t>
      </w:r>
    </w:p>
    <w:p w14:paraId="50871EF3" w14:textId="77777777" w:rsidR="004048ED" w:rsidRPr="004048ED" w:rsidRDefault="004048ED" w:rsidP="004048ED">
      <w:pPr>
        <w:pStyle w:val="Bullet"/>
      </w:pPr>
      <w:r w:rsidRPr="004048ED">
        <w:t>understanding of mana, mana-enhancing practice and the importance of protecting the mana of tāngata whai ora and tāngata whaikaha on a compulsory treatment or care journey (Huriwai and Baker 2016)</w:t>
      </w:r>
      <w:r w:rsidRPr="004048ED" w:rsidDel="00283A60">
        <w:rPr>
          <w:rStyle w:val="FootnoteReference"/>
          <w:vertAlign w:val="baseline"/>
        </w:rPr>
        <w:t xml:space="preserve"> </w:t>
      </w:r>
    </w:p>
    <w:p w14:paraId="6ABB31D5" w14:textId="77777777" w:rsidR="004048ED" w:rsidRPr="004048ED" w:rsidRDefault="004048ED" w:rsidP="004048ED">
      <w:pPr>
        <w:pStyle w:val="Bullet"/>
      </w:pPr>
      <w:r w:rsidRPr="004048ED">
        <w:t xml:space="preserve">understanding of and ability to take a human rights based approach </w:t>
      </w:r>
    </w:p>
    <w:p w14:paraId="2A73A540" w14:textId="77777777" w:rsidR="004048ED" w:rsidRPr="004048ED" w:rsidRDefault="004048ED" w:rsidP="004048ED">
      <w:pPr>
        <w:pStyle w:val="Bullet"/>
      </w:pPr>
      <w:r w:rsidRPr="004048ED">
        <w:t xml:space="preserve">ability to maintain consistency with Te Tiriti o Waitangi </w:t>
      </w:r>
    </w:p>
    <w:p w14:paraId="31975F2B" w14:textId="77777777" w:rsidR="004048ED" w:rsidRPr="004048ED" w:rsidRDefault="004048ED" w:rsidP="004048ED">
      <w:pPr>
        <w:pStyle w:val="Bullet"/>
      </w:pPr>
      <w:r w:rsidRPr="004048ED">
        <w:t>ability to uphold kawa whakaruruhau (cultural safety and awareness)</w:t>
      </w:r>
    </w:p>
    <w:p w14:paraId="172AC313" w14:textId="77777777" w:rsidR="004048ED" w:rsidRPr="004048ED" w:rsidRDefault="004048ED" w:rsidP="004048ED">
      <w:pPr>
        <w:pStyle w:val="Bullet"/>
      </w:pPr>
      <w:r w:rsidRPr="004048ED">
        <w:t xml:space="preserve">ability to demonstrate respect and compassion for, and sensitivity to, people’s lived experience and context </w:t>
      </w:r>
    </w:p>
    <w:p w14:paraId="5E8A6A32" w14:textId="77777777" w:rsidR="004048ED" w:rsidRPr="004048ED" w:rsidRDefault="004048ED" w:rsidP="004048ED">
      <w:pPr>
        <w:pStyle w:val="Bullet"/>
      </w:pPr>
      <w:r w:rsidRPr="004048ED">
        <w:t>ability to provide a person-centred and wellbeing focus that acknowledges all dimensions of health and encourages the greatest possible independence and safety</w:t>
      </w:r>
    </w:p>
    <w:p w14:paraId="7F18E623" w14:textId="77777777" w:rsidR="004048ED" w:rsidRPr="004048ED" w:rsidRDefault="004048ED" w:rsidP="004048ED">
      <w:pPr>
        <w:pStyle w:val="Bullet"/>
      </w:pPr>
      <w:r w:rsidRPr="004048ED">
        <w:t>maintaining a focus on equitable and least restrictive care and treatment</w:t>
      </w:r>
    </w:p>
    <w:p w14:paraId="7941D515" w14:textId="5549C880" w:rsidR="004048ED" w:rsidRPr="004048ED" w:rsidRDefault="004048ED" w:rsidP="004048ED">
      <w:pPr>
        <w:pStyle w:val="Bullet"/>
      </w:pPr>
      <w:r w:rsidRPr="004048ED">
        <w:t>sensitivity to the needs of disabled people (Te Pou 2022b)</w:t>
      </w:r>
      <w:r w:rsidR="005D3CB3">
        <w:t>.</w:t>
      </w:r>
    </w:p>
    <w:p w14:paraId="413D921A" w14:textId="77777777" w:rsidR="00FC165B" w:rsidRDefault="00FC165B" w:rsidP="004048ED"/>
    <w:p w14:paraId="6D9876F2" w14:textId="75F48920" w:rsidR="004048ED" w:rsidRDefault="004048ED" w:rsidP="004048ED">
      <w:r>
        <w:t xml:space="preserve">Te Pou resources </w:t>
      </w:r>
      <w:r w:rsidRPr="00E428B1">
        <w:rPr>
          <w:rFonts w:cs="Segoe UI"/>
          <w:i/>
          <w:iCs/>
          <w:szCs w:val="21"/>
        </w:rPr>
        <w:t xml:space="preserve">Let’s Get Real </w:t>
      </w:r>
      <w:r w:rsidRPr="00E428B1">
        <w:rPr>
          <w:rFonts w:cs="Segoe UI"/>
          <w:szCs w:val="21"/>
        </w:rPr>
        <w:t>(Te Pou and Ministry of Health 2017, 2021</w:t>
      </w:r>
      <w:r>
        <w:rPr>
          <w:rFonts w:cs="Segoe UI"/>
          <w:szCs w:val="21"/>
        </w:rPr>
        <w:t>)</w:t>
      </w:r>
      <w:r>
        <w:t xml:space="preserve"> provide further details of some of the essential attitudes, knowledge and skills expected. In addition, they outline the application of the essential skills and knowledge district inspectors are required to uphold when engaging with tāngata whenua. As practising lawyers, district inspectors are expected to maintain their professional development and adhere to professional ethical and conduct standards.</w:t>
      </w:r>
    </w:p>
    <w:p w14:paraId="369A26B4" w14:textId="77777777" w:rsidR="004048ED" w:rsidRDefault="004048ED" w:rsidP="004048ED"/>
    <w:p w14:paraId="0D18068C" w14:textId="77777777" w:rsidR="004048ED" w:rsidRPr="003B3C4B" w:rsidRDefault="004048ED" w:rsidP="004048ED">
      <w:r>
        <w:t xml:space="preserve">Te Rau Matatini resource </w:t>
      </w:r>
      <w:r w:rsidRPr="00D22170">
        <w:rPr>
          <w:i/>
          <w:iCs/>
        </w:rPr>
        <w:t>Manaaki: Mana enhancing and mana protecting practice</w:t>
      </w:r>
      <w:r>
        <w:rPr>
          <w:i/>
          <w:iCs/>
        </w:rPr>
        <w:t xml:space="preserve"> </w:t>
      </w:r>
      <w:r>
        <w:t xml:space="preserve">(Huriwai and Baker 2016) </w:t>
      </w:r>
      <w:r w:rsidRPr="00D22170">
        <w:t>provides further information on what mana</w:t>
      </w:r>
      <w:r>
        <w:t>-</w:t>
      </w:r>
      <w:r w:rsidRPr="00D22170">
        <w:t>enhancing practice looks like, as well as</w:t>
      </w:r>
      <w:r>
        <w:t xml:space="preserve"> giving</w:t>
      </w:r>
      <w:r w:rsidRPr="00D22170">
        <w:t xml:space="preserve"> useful definitions of mana and manaaki.</w:t>
      </w:r>
    </w:p>
    <w:p w14:paraId="6DBFDA3C" w14:textId="77777777" w:rsidR="004048ED" w:rsidRPr="00193FF2" w:rsidRDefault="004048ED" w:rsidP="00191D52">
      <w:pPr>
        <w:pStyle w:val="Heading2-numbered"/>
      </w:pPr>
      <w:bookmarkStart w:id="17" w:name="_Toc200199224"/>
      <w:bookmarkStart w:id="18" w:name="_Toc207353866"/>
      <w:r w:rsidRPr="00193FF2">
        <w:lastRenderedPageBreak/>
        <w:t>Knowledge</w:t>
      </w:r>
      <w:bookmarkEnd w:id="17"/>
      <w:bookmarkEnd w:id="18"/>
    </w:p>
    <w:p w14:paraId="74242488" w14:textId="77777777" w:rsidR="004048ED" w:rsidRPr="00A54703" w:rsidRDefault="004048ED" w:rsidP="004048ED">
      <w:r>
        <w:t xml:space="preserve">All district inspectors must have knowledge and understanding of: </w:t>
      </w:r>
    </w:p>
    <w:p w14:paraId="6F0BA1E7" w14:textId="77777777" w:rsidR="005D3CB3" w:rsidRPr="004048ED" w:rsidRDefault="005D3CB3" w:rsidP="005D3CB3">
      <w:pPr>
        <w:pStyle w:val="Bullet"/>
      </w:pPr>
      <w:r w:rsidRPr="004048ED">
        <w:t>a recovery approach (Ministry of Health 2020a, Section 1)</w:t>
      </w:r>
      <w:r w:rsidRPr="004048ED" w:rsidDel="000C6BB9">
        <w:rPr>
          <w:rStyle w:val="FootnoteReference"/>
          <w:vertAlign w:val="baseline"/>
        </w:rPr>
        <w:t xml:space="preserve"> </w:t>
      </w:r>
      <w:r w:rsidRPr="004048ED">
        <w:t xml:space="preserve">as it applies to mental health, addiction and disability and how it applies to tāngata whai ora, tāngata whaikaha, and their family and whānau equity and human rights, with district inspectors being able to promote this through their role </w:t>
      </w:r>
    </w:p>
    <w:p w14:paraId="0A3130D7" w14:textId="77777777" w:rsidR="005D3CB3" w:rsidRPr="004048ED" w:rsidRDefault="005D3CB3" w:rsidP="005D3CB3">
      <w:pPr>
        <w:pStyle w:val="Bullet"/>
      </w:pPr>
      <w:r w:rsidRPr="004048ED">
        <w:t>supported decision-making (Ministry of Health 2020a, Section 2)</w:t>
      </w:r>
      <w:r w:rsidRPr="004048ED" w:rsidDel="00141097">
        <w:rPr>
          <w:rStyle w:val="FootnoteReference"/>
          <w:vertAlign w:val="baseline"/>
        </w:rPr>
        <w:t xml:space="preserve"> </w:t>
      </w:r>
      <w:r w:rsidRPr="004048ED">
        <w:t>and how it applies to tāngata whai ora and tāngata whaikaha, with district inspectors being able to promote this in their role</w:t>
      </w:r>
    </w:p>
    <w:p w14:paraId="16DD9433" w14:textId="77777777" w:rsidR="005D3CB3" w:rsidRPr="004048ED" w:rsidRDefault="005D3CB3" w:rsidP="005D3CB3">
      <w:pPr>
        <w:pStyle w:val="Bullet"/>
      </w:pPr>
      <w:r w:rsidRPr="004048ED">
        <w:t>the role of family and whānau, including tamariki, in the assessment, treatment or care of people with mental illness, addiction or intellectual disability</w:t>
      </w:r>
    </w:p>
    <w:p w14:paraId="299A759C" w14:textId="77777777" w:rsidR="004048ED" w:rsidRPr="004048ED" w:rsidRDefault="004048ED" w:rsidP="004048ED">
      <w:pPr>
        <w:pStyle w:val="Bullet"/>
      </w:pPr>
      <w:r w:rsidRPr="004048ED">
        <w:t>te ao Māori</w:t>
      </w:r>
      <w:r w:rsidRPr="004048ED">
        <w:rPr>
          <w:rStyle w:val="FootnoteReference"/>
        </w:rPr>
        <w:footnoteReference w:id="4"/>
      </w:r>
      <w:r w:rsidRPr="004048ED">
        <w:t xml:space="preserve"> concepts, knowledge, values and perspectives</w:t>
      </w:r>
    </w:p>
    <w:p w14:paraId="259EB36C" w14:textId="77777777" w:rsidR="004048ED" w:rsidRPr="004048ED" w:rsidRDefault="004048ED" w:rsidP="004048ED">
      <w:pPr>
        <w:pStyle w:val="Bullet"/>
      </w:pPr>
      <w:r w:rsidRPr="004048ED">
        <w:t>te reo Māori (Māori language), tikanga Māori (protocols and customs) and Te Tiriti o Waitangi, and how these apply day to day</w:t>
      </w:r>
    </w:p>
    <w:p w14:paraId="5455F03A" w14:textId="77777777" w:rsidR="004048ED" w:rsidRPr="004048ED" w:rsidRDefault="004048ED" w:rsidP="004048ED">
      <w:pPr>
        <w:pStyle w:val="Bullet"/>
      </w:pPr>
      <w:r w:rsidRPr="004048ED">
        <w:t>the implications of partnership, and sensitivity to cultural identity and personal beliefs as they relate to Te Tiriti o Waitangi</w:t>
      </w:r>
    </w:p>
    <w:p w14:paraId="62623DCB" w14:textId="77777777" w:rsidR="004048ED" w:rsidRPr="004048ED" w:rsidRDefault="004048ED" w:rsidP="004048ED">
      <w:pPr>
        <w:pStyle w:val="Bullet"/>
      </w:pPr>
      <w:r w:rsidRPr="004048ED">
        <w:t>te ao Māori models of care and holistic wellbeing, as well as social models of disability, and how these may apply to tāngata whai ora or tāngata whaikaha and whānau</w:t>
      </w:r>
    </w:p>
    <w:p w14:paraId="32FBB75C" w14:textId="77777777" w:rsidR="004048ED" w:rsidRPr="004048ED" w:rsidRDefault="004048ED" w:rsidP="004048ED">
      <w:pPr>
        <w:pStyle w:val="Bullet"/>
      </w:pPr>
      <w:r w:rsidRPr="004048ED">
        <w:t>the particular needs of children and young people</w:t>
      </w:r>
    </w:p>
    <w:p w14:paraId="7DB60887" w14:textId="77777777" w:rsidR="004048ED" w:rsidRPr="004048ED" w:rsidRDefault="004048ED" w:rsidP="004048ED">
      <w:pPr>
        <w:pStyle w:val="Bullet"/>
      </w:pPr>
      <w:r w:rsidRPr="004048ED">
        <w:t xml:space="preserve">the impacts of trauma and trauma-informed care practices </w:t>
      </w:r>
    </w:p>
    <w:p w14:paraId="4B722784" w14:textId="77777777" w:rsidR="004048ED" w:rsidRPr="004048ED" w:rsidRDefault="004048ED" w:rsidP="004048ED">
      <w:pPr>
        <w:pStyle w:val="Bullet"/>
      </w:pPr>
      <w:r w:rsidRPr="004048ED">
        <w:t>statutory provisions relating to special patients, restricted patients, care recipients and special care recipients</w:t>
      </w:r>
    </w:p>
    <w:p w14:paraId="7562D22F" w14:textId="77777777" w:rsidR="004048ED" w:rsidRPr="004048ED" w:rsidRDefault="004048ED" w:rsidP="004048ED">
      <w:pPr>
        <w:pStyle w:val="Bullet"/>
      </w:pPr>
      <w:r w:rsidRPr="004048ED">
        <w:t>the needs of disabled people.</w:t>
      </w:r>
    </w:p>
    <w:p w14:paraId="657FCDF0" w14:textId="77777777" w:rsidR="004048ED" w:rsidRDefault="004048ED" w:rsidP="004048ED"/>
    <w:p w14:paraId="6B26501B" w14:textId="730C4CDF" w:rsidR="004048ED" w:rsidRDefault="004048ED" w:rsidP="004048ED">
      <w:r>
        <w:t xml:space="preserve">District inspectors are expected to have knowledge and understanding of the importance of whānau involvement and the effective incorporation of tikanga, kawa and whanaungatanga into mental health and disability practice. Whakapapa and whanaungatanga obligations may require district inspectors to engage in more kōrero with whānau and hapū. </w:t>
      </w:r>
    </w:p>
    <w:p w14:paraId="39EDFB4D" w14:textId="77777777" w:rsidR="004048ED" w:rsidRDefault="004048ED" w:rsidP="004048ED"/>
    <w:p w14:paraId="37DBFF8A" w14:textId="77777777" w:rsidR="004048ED" w:rsidRDefault="004048ED" w:rsidP="004048ED">
      <w:r>
        <w:t>All district inspectors should be familiar with the following guidelines:</w:t>
      </w:r>
    </w:p>
    <w:p w14:paraId="0DE721FC" w14:textId="77777777" w:rsidR="004048ED" w:rsidRPr="00532A20" w:rsidRDefault="004048ED" w:rsidP="004048ED">
      <w:pPr>
        <w:pStyle w:val="Bullet"/>
        <w:tabs>
          <w:tab w:val="clear" w:pos="284"/>
        </w:tabs>
        <w:rPr>
          <w:rStyle w:val="Hyperlink"/>
          <w:rFonts w:eastAsia="Georgia"/>
          <w:i/>
          <w:iCs/>
        </w:rPr>
      </w:pPr>
      <w:r w:rsidRPr="00E428B1">
        <w:rPr>
          <w:i/>
          <w:iCs/>
        </w:rPr>
        <w:t xml:space="preserve">Guidelines to the Mental Health (Compulsory Assessment and Treatment) Act 1992 </w:t>
      </w:r>
      <w:r>
        <w:t>(Ministry of Health 2022b)</w:t>
      </w:r>
    </w:p>
    <w:p w14:paraId="770F73A5" w14:textId="77777777" w:rsidR="004048ED" w:rsidRPr="00B3285A" w:rsidRDefault="004048ED" w:rsidP="004048ED">
      <w:pPr>
        <w:pStyle w:val="Bullet"/>
        <w:tabs>
          <w:tab w:val="clear" w:pos="284"/>
        </w:tabs>
        <w:rPr>
          <w:rFonts w:eastAsia="Georgia"/>
          <w:szCs w:val="21"/>
        </w:rPr>
      </w:pPr>
      <w:r w:rsidRPr="00E428B1">
        <w:rPr>
          <w:i/>
          <w:iCs/>
        </w:rPr>
        <w:t>Human Rights and the Mental Health (Compulsory Assessment and Treatment) Act 1992</w:t>
      </w:r>
      <w:r>
        <w:t xml:space="preserve"> (Ministry of Health 2020a)</w:t>
      </w:r>
    </w:p>
    <w:p w14:paraId="26D47C80" w14:textId="77777777" w:rsidR="004048ED" w:rsidRPr="00532A20" w:rsidRDefault="004048ED" w:rsidP="004048ED">
      <w:pPr>
        <w:pStyle w:val="Bullet"/>
        <w:tabs>
          <w:tab w:val="clear" w:pos="284"/>
        </w:tabs>
        <w:rPr>
          <w:rStyle w:val="Hyperlink"/>
          <w:rFonts w:eastAsia="Georgia"/>
          <w:i/>
          <w:iCs/>
          <w:szCs w:val="21"/>
        </w:rPr>
      </w:pPr>
      <w:r w:rsidRPr="00E428B1">
        <w:rPr>
          <w:i/>
          <w:iCs/>
        </w:rPr>
        <w:t>A Guide to the Intellectual Disability (Compulsory Care and Rehabilitation) Act 2003</w:t>
      </w:r>
      <w:r>
        <w:t xml:space="preserve"> (Ministry of Health 2004)</w:t>
      </w:r>
      <w:r w:rsidRPr="00B3285A">
        <w:t xml:space="preserve"> </w:t>
      </w:r>
    </w:p>
    <w:p w14:paraId="40B90235" w14:textId="77777777" w:rsidR="004048ED" w:rsidRPr="00B3285A" w:rsidRDefault="004048ED" w:rsidP="004048ED">
      <w:pPr>
        <w:pStyle w:val="Bullet"/>
        <w:tabs>
          <w:tab w:val="clear" w:pos="284"/>
        </w:tabs>
        <w:rPr>
          <w:rFonts w:eastAsia="Georgia"/>
          <w:b/>
          <w:color w:val="595959" w:themeColor="text1" w:themeTint="A6"/>
        </w:rPr>
      </w:pPr>
      <w:r w:rsidRPr="00E428B1">
        <w:rPr>
          <w:i/>
          <w:iCs/>
        </w:rPr>
        <w:t>Introductory Guideline to the Substance Addiction (Compulsory Assessment and Treatment) Act 2017</w:t>
      </w:r>
      <w:r>
        <w:t xml:space="preserve"> (Ministry of Health 2017)</w:t>
      </w:r>
    </w:p>
    <w:p w14:paraId="14967E94" w14:textId="77777777" w:rsidR="004048ED" w:rsidRPr="00B3285A" w:rsidRDefault="004048ED" w:rsidP="004048ED">
      <w:pPr>
        <w:pStyle w:val="Bullet"/>
        <w:tabs>
          <w:tab w:val="clear" w:pos="284"/>
        </w:tabs>
      </w:pPr>
      <w:r w:rsidRPr="00E428B1">
        <w:rPr>
          <w:i/>
          <w:iCs/>
        </w:rPr>
        <w:lastRenderedPageBreak/>
        <w:t>Guidelines for Reducing and Eliminating Seclusion and Restraint Under the Mental Health (Compulsory Assessment and Treatment) Act 1992</w:t>
      </w:r>
      <w:r>
        <w:t xml:space="preserve"> (Ministry of Health 2023a)</w:t>
      </w:r>
    </w:p>
    <w:p w14:paraId="6C82A6A4" w14:textId="77777777" w:rsidR="004048ED" w:rsidRPr="00B3285A" w:rsidRDefault="004048ED" w:rsidP="004048ED">
      <w:pPr>
        <w:pStyle w:val="Bullet"/>
        <w:tabs>
          <w:tab w:val="clear" w:pos="284"/>
        </w:tabs>
      </w:pPr>
      <w:r w:rsidRPr="00E428B1">
        <w:rPr>
          <w:i/>
          <w:iCs/>
        </w:rPr>
        <w:t>Guidelines for the Role and Function of Statutory Officers: Appointed under the Mental Health (Compulsory Assessment and Treatment) Act 1992</w:t>
      </w:r>
      <w:r>
        <w:t xml:space="preserve"> (Ministry of Health 2022a)</w:t>
      </w:r>
    </w:p>
    <w:p w14:paraId="6B3FC83A" w14:textId="4D8B2A04" w:rsidR="004048ED" w:rsidRPr="004048ED" w:rsidRDefault="004048ED" w:rsidP="004048ED">
      <w:pPr>
        <w:pStyle w:val="Bullet"/>
      </w:pPr>
      <w:r w:rsidRPr="004048ED">
        <w:t>Te Pou Mental Health Act e-learning and information resources. (Te Pou 2023)</w:t>
      </w:r>
      <w:r w:rsidR="005D3CB3">
        <w:t>.</w:t>
      </w:r>
      <w:r w:rsidRPr="004048ED" w:rsidDel="00604723">
        <w:rPr>
          <w:rStyle w:val="FootnoteReference"/>
          <w:vertAlign w:val="baseline"/>
        </w:rPr>
        <w:t xml:space="preserve"> </w:t>
      </w:r>
    </w:p>
    <w:p w14:paraId="5C2B8C0D" w14:textId="77777777" w:rsidR="004048ED" w:rsidRDefault="004048ED" w:rsidP="004048ED"/>
    <w:p w14:paraId="08F15395" w14:textId="2ABE28AF" w:rsidR="004048ED" w:rsidRPr="007B6A4A" w:rsidRDefault="004048ED" w:rsidP="004048ED">
      <w:pPr>
        <w:rPr>
          <w:szCs w:val="21"/>
        </w:rPr>
      </w:pPr>
      <w:r>
        <w:t xml:space="preserve">All district inspectors must have knowledge and understanding of </w:t>
      </w:r>
      <w:r w:rsidRPr="00E13CD7">
        <w:t>legislation and international human rights treaties and declarations</w:t>
      </w:r>
      <w:r>
        <w:t xml:space="preserve"> relevant to the provision of health and disability services, particularly where they interface with </w:t>
      </w:r>
      <w:r w:rsidRPr="00A8567F">
        <w:t xml:space="preserve">the </w:t>
      </w:r>
      <w:r>
        <w:t xml:space="preserve">three </w:t>
      </w:r>
      <w:r w:rsidRPr="00A8567F">
        <w:t>Acts</w:t>
      </w:r>
      <w:r>
        <w:t xml:space="preserve">. </w:t>
      </w:r>
      <w:r w:rsidRPr="00384650">
        <w:t>Relevant laws, agreements and related documents include but are not limited to:</w:t>
      </w:r>
      <w:r w:rsidRPr="00384650" w:rsidDel="00384650">
        <w:t xml:space="preserve"> </w:t>
      </w:r>
    </w:p>
    <w:p w14:paraId="2D202E02" w14:textId="77777777" w:rsidR="004048ED" w:rsidRPr="004048ED" w:rsidRDefault="004048ED" w:rsidP="004048ED">
      <w:pPr>
        <w:pStyle w:val="Bullet"/>
      </w:pPr>
      <w:r w:rsidRPr="004048ED">
        <w:t>internationally:</w:t>
      </w:r>
    </w:p>
    <w:p w14:paraId="4691C304" w14:textId="77777777" w:rsidR="004048ED" w:rsidRPr="004048ED" w:rsidRDefault="004048ED" w:rsidP="004048ED">
      <w:pPr>
        <w:pStyle w:val="Dash"/>
      </w:pPr>
      <w:r w:rsidRPr="004048ED">
        <w:t>the International Covenant on Civil and Political Rights</w:t>
      </w:r>
    </w:p>
    <w:p w14:paraId="60F34472" w14:textId="77777777" w:rsidR="004048ED" w:rsidRPr="004048ED" w:rsidRDefault="004048ED" w:rsidP="004048ED">
      <w:pPr>
        <w:pStyle w:val="Dash"/>
      </w:pPr>
      <w:r w:rsidRPr="004048ED">
        <w:t>the International Covenant on Economic, Social and Cultural Rights</w:t>
      </w:r>
    </w:p>
    <w:p w14:paraId="6F95BB01" w14:textId="77777777" w:rsidR="004048ED" w:rsidRPr="004048ED" w:rsidRDefault="004048ED" w:rsidP="004048ED">
      <w:pPr>
        <w:pStyle w:val="Dash"/>
      </w:pPr>
      <w:r w:rsidRPr="004048ED">
        <w:t xml:space="preserve">the United Nations Convention on the Rights of Persons with Disabilities </w:t>
      </w:r>
    </w:p>
    <w:p w14:paraId="5E33FD4A" w14:textId="77777777" w:rsidR="004048ED" w:rsidRPr="004048ED" w:rsidRDefault="004048ED" w:rsidP="004048ED">
      <w:pPr>
        <w:pStyle w:val="Dash"/>
      </w:pPr>
      <w:r w:rsidRPr="004048ED">
        <w:t>the United Nations Convention against Torture and Other Cruel, Inhuman or Degrading Treatment or Punishment, and the Optional Protocol to the Convention against Torture and Other Cruel, Inhuman or Degrading Treatment or Punishment</w:t>
      </w:r>
    </w:p>
    <w:p w14:paraId="0B88D754" w14:textId="77777777" w:rsidR="004048ED" w:rsidRPr="004048ED" w:rsidRDefault="004048ED" w:rsidP="004048ED">
      <w:pPr>
        <w:pStyle w:val="Dash"/>
      </w:pPr>
      <w:r w:rsidRPr="004048ED">
        <w:t xml:space="preserve">the United Nations Convention on the Rights of the Child </w:t>
      </w:r>
    </w:p>
    <w:p w14:paraId="1BB96405" w14:textId="77777777" w:rsidR="004048ED" w:rsidRPr="004048ED" w:rsidRDefault="004048ED" w:rsidP="004048ED">
      <w:pPr>
        <w:pStyle w:val="Dash"/>
      </w:pPr>
      <w:r w:rsidRPr="004048ED">
        <w:t xml:space="preserve">the United Nations Declaration on the Rights of Indigenous Peoples </w:t>
      </w:r>
    </w:p>
    <w:p w14:paraId="323ED7A1" w14:textId="77777777" w:rsidR="004048ED" w:rsidRPr="004048ED" w:rsidRDefault="004048ED" w:rsidP="004048ED">
      <w:pPr>
        <w:pStyle w:val="Dash"/>
      </w:pPr>
      <w:r w:rsidRPr="004048ED">
        <w:t>the International Convention on the Elimination of All Forms of Racial Discrimination</w:t>
      </w:r>
    </w:p>
    <w:p w14:paraId="2FE2FDBA" w14:textId="77777777" w:rsidR="004048ED" w:rsidRPr="00C511BD" w:rsidRDefault="004048ED" w:rsidP="004048ED">
      <w:pPr>
        <w:pStyle w:val="Dash"/>
      </w:pPr>
      <w:r>
        <w:t xml:space="preserve">the World Health Organization (2023) </w:t>
      </w:r>
      <w:r w:rsidRPr="00E428B1">
        <w:rPr>
          <w:i/>
          <w:iCs/>
        </w:rPr>
        <w:t xml:space="preserve">Mental Health, Human Rights and Legislation: Guidance and </w:t>
      </w:r>
      <w:r>
        <w:rPr>
          <w:i/>
          <w:iCs/>
        </w:rPr>
        <w:t>p</w:t>
      </w:r>
      <w:r w:rsidRPr="00E428B1">
        <w:rPr>
          <w:i/>
          <w:iCs/>
        </w:rPr>
        <w:t>ractice</w:t>
      </w:r>
      <w:r>
        <w:t xml:space="preserve"> </w:t>
      </w:r>
    </w:p>
    <w:p w14:paraId="322C91ED" w14:textId="77777777" w:rsidR="004048ED" w:rsidRPr="004048ED" w:rsidRDefault="004048ED" w:rsidP="004048ED">
      <w:pPr>
        <w:pStyle w:val="Bullet"/>
      </w:pPr>
      <w:r w:rsidRPr="004048ED">
        <w:t>nationally:</w:t>
      </w:r>
    </w:p>
    <w:p w14:paraId="72E70444" w14:textId="77777777" w:rsidR="004048ED" w:rsidRPr="004048ED" w:rsidRDefault="004048ED" w:rsidP="004048ED">
      <w:pPr>
        <w:pStyle w:val="Dash"/>
      </w:pPr>
      <w:r w:rsidRPr="004048ED">
        <w:t>the New Zealand Bill of Rights Act 1990</w:t>
      </w:r>
    </w:p>
    <w:p w14:paraId="239B965F" w14:textId="77777777" w:rsidR="004048ED" w:rsidRPr="004048ED" w:rsidRDefault="004048ED" w:rsidP="004048ED">
      <w:pPr>
        <w:pStyle w:val="Dash"/>
      </w:pPr>
      <w:r w:rsidRPr="004048ED">
        <w:t>the Human Rights Act 1993</w:t>
      </w:r>
    </w:p>
    <w:p w14:paraId="22E4831F" w14:textId="77777777" w:rsidR="004048ED" w:rsidRPr="004048ED" w:rsidRDefault="004048ED" w:rsidP="004048ED">
      <w:pPr>
        <w:pStyle w:val="Dash"/>
      </w:pPr>
      <w:r w:rsidRPr="004048ED">
        <w:t>the Health Act 1956</w:t>
      </w:r>
    </w:p>
    <w:p w14:paraId="3386F01D" w14:textId="77777777" w:rsidR="004048ED" w:rsidRPr="004048ED" w:rsidRDefault="004048ED" w:rsidP="004048ED">
      <w:pPr>
        <w:pStyle w:val="Dash"/>
      </w:pPr>
      <w:r w:rsidRPr="004048ED">
        <w:t>the Criminal Procedure (Mentally Impaired Persons) Act 2003</w:t>
      </w:r>
    </w:p>
    <w:p w14:paraId="5AB656AF" w14:textId="77777777" w:rsidR="004048ED" w:rsidRPr="004048ED" w:rsidRDefault="004048ED" w:rsidP="004048ED">
      <w:pPr>
        <w:pStyle w:val="Dash"/>
      </w:pPr>
      <w:r w:rsidRPr="004048ED">
        <w:t>the Protection of Personal and Property Rights Act 1988</w:t>
      </w:r>
    </w:p>
    <w:p w14:paraId="202862B9" w14:textId="77777777" w:rsidR="004048ED" w:rsidRPr="004048ED" w:rsidRDefault="004048ED" w:rsidP="004048ED">
      <w:pPr>
        <w:pStyle w:val="Dash"/>
      </w:pPr>
      <w:r w:rsidRPr="004048ED">
        <w:t>the Oranga Tamariki Act 1989, also known as the Children’s and Young People’s Well-being Act 1989</w:t>
      </w:r>
    </w:p>
    <w:p w14:paraId="4860234E" w14:textId="77777777" w:rsidR="004048ED" w:rsidRPr="004048ED" w:rsidRDefault="004048ED" w:rsidP="004048ED">
      <w:pPr>
        <w:pStyle w:val="Dash"/>
      </w:pPr>
      <w:r w:rsidRPr="004048ED">
        <w:t>the Children’s Act 2014</w:t>
      </w:r>
    </w:p>
    <w:p w14:paraId="2B3747D8" w14:textId="77777777" w:rsidR="004048ED" w:rsidRPr="004048ED" w:rsidRDefault="004048ED" w:rsidP="004048ED">
      <w:pPr>
        <w:pStyle w:val="Dash"/>
      </w:pPr>
      <w:r w:rsidRPr="004048ED">
        <w:t>the Care of Children Act 2004</w:t>
      </w:r>
    </w:p>
    <w:p w14:paraId="02CC0183" w14:textId="77777777" w:rsidR="004048ED" w:rsidRPr="004048ED" w:rsidRDefault="004048ED" w:rsidP="004048ED">
      <w:pPr>
        <w:pStyle w:val="Dash"/>
      </w:pPr>
      <w:r w:rsidRPr="004048ED">
        <w:t>the Health and Disability Commissioner Act 1994</w:t>
      </w:r>
    </w:p>
    <w:p w14:paraId="6762C279" w14:textId="77777777" w:rsidR="004048ED" w:rsidRPr="004048ED" w:rsidRDefault="004048ED" w:rsidP="004048ED">
      <w:pPr>
        <w:pStyle w:val="Dash"/>
      </w:pPr>
      <w:r w:rsidRPr="004048ED">
        <w:t xml:space="preserve">the Code of Health and Disability Services Consumers’ Rights </w:t>
      </w:r>
    </w:p>
    <w:p w14:paraId="52CB8B87" w14:textId="77777777" w:rsidR="004048ED" w:rsidRPr="004048ED" w:rsidRDefault="004048ED" w:rsidP="004048ED">
      <w:pPr>
        <w:pStyle w:val="Dash"/>
      </w:pPr>
      <w:r w:rsidRPr="004048ED">
        <w:t>the Pae Ora (Healthy Futures) Act 2022</w:t>
      </w:r>
    </w:p>
    <w:p w14:paraId="65B49647" w14:textId="77777777" w:rsidR="004048ED" w:rsidRPr="004048ED" w:rsidRDefault="004048ED" w:rsidP="004048ED">
      <w:pPr>
        <w:pStyle w:val="Dash"/>
      </w:pPr>
      <w:r w:rsidRPr="004048ED">
        <w:t>the Health and Disability Services (Safety) Act 2001</w:t>
      </w:r>
    </w:p>
    <w:p w14:paraId="5BF612A2" w14:textId="77777777" w:rsidR="004048ED" w:rsidRPr="004048ED" w:rsidRDefault="004048ED" w:rsidP="004048ED">
      <w:pPr>
        <w:pStyle w:val="Dash"/>
      </w:pPr>
      <w:r w:rsidRPr="004048ED">
        <w:t>the Privacy Act 2020</w:t>
      </w:r>
    </w:p>
    <w:p w14:paraId="0A35BFD3" w14:textId="77777777" w:rsidR="004048ED" w:rsidRPr="004048ED" w:rsidRDefault="004048ED" w:rsidP="004048ED">
      <w:pPr>
        <w:pStyle w:val="Dash"/>
      </w:pPr>
      <w:r w:rsidRPr="004048ED">
        <w:t>the Health Information Privacy Code 2020</w:t>
      </w:r>
    </w:p>
    <w:p w14:paraId="4B0CB581" w14:textId="77777777" w:rsidR="004048ED" w:rsidRPr="004048ED" w:rsidRDefault="004048ED" w:rsidP="004048ED">
      <w:pPr>
        <w:pStyle w:val="Dash"/>
      </w:pPr>
      <w:r w:rsidRPr="004048ED">
        <w:t xml:space="preserve">the Public Service Act 2020 </w:t>
      </w:r>
    </w:p>
    <w:p w14:paraId="419BE404" w14:textId="77777777" w:rsidR="004048ED" w:rsidRPr="004048ED" w:rsidRDefault="004048ED" w:rsidP="004048ED">
      <w:pPr>
        <w:pStyle w:val="Dash"/>
      </w:pPr>
      <w:r w:rsidRPr="004048ED">
        <w:t>the Policing Act 2008</w:t>
      </w:r>
    </w:p>
    <w:p w14:paraId="1487323E" w14:textId="77777777" w:rsidR="004048ED" w:rsidRPr="004048ED" w:rsidRDefault="004048ED" w:rsidP="004048ED">
      <w:pPr>
        <w:pStyle w:val="Dash"/>
      </w:pPr>
      <w:r w:rsidRPr="004048ED">
        <w:t>the Crimes Act 1961</w:t>
      </w:r>
    </w:p>
    <w:p w14:paraId="219F1E43" w14:textId="77777777" w:rsidR="004048ED" w:rsidRPr="004048ED" w:rsidRDefault="004048ED" w:rsidP="004048ED">
      <w:pPr>
        <w:pStyle w:val="Dash"/>
      </w:pPr>
      <w:r w:rsidRPr="004048ED">
        <w:lastRenderedPageBreak/>
        <w:t>the Criminal Procedure Act 2011</w:t>
      </w:r>
    </w:p>
    <w:p w14:paraId="7058AA7B" w14:textId="77777777" w:rsidR="004048ED" w:rsidRPr="004048ED" w:rsidRDefault="004048ED" w:rsidP="004048ED">
      <w:pPr>
        <w:pStyle w:val="Dash"/>
      </w:pPr>
      <w:r w:rsidRPr="004048ED">
        <w:t>the Victims’ Rights Act 2002</w:t>
      </w:r>
    </w:p>
    <w:p w14:paraId="14912F17" w14:textId="77777777" w:rsidR="004048ED" w:rsidRPr="004048ED" w:rsidRDefault="004048ED" w:rsidP="004048ED">
      <w:pPr>
        <w:pStyle w:val="Dash"/>
      </w:pPr>
      <w:r w:rsidRPr="004048ED">
        <w:t>Ngā Paerewa: Health and Disability Services Standard 2021</w:t>
      </w:r>
    </w:p>
    <w:p w14:paraId="20C84951" w14:textId="65D8D140" w:rsidR="004048ED" w:rsidRPr="004048ED" w:rsidRDefault="004048ED" w:rsidP="004048ED">
      <w:pPr>
        <w:pStyle w:val="Dash"/>
      </w:pPr>
      <w:r w:rsidRPr="004048ED">
        <w:t>the Land Transport Act 1998.</w:t>
      </w:r>
    </w:p>
    <w:p w14:paraId="49E07DDC" w14:textId="77777777" w:rsidR="004048ED" w:rsidRPr="00193FF2" w:rsidRDefault="004048ED" w:rsidP="004048ED"/>
    <w:p w14:paraId="3EB17899" w14:textId="77777777" w:rsidR="004048ED" w:rsidRDefault="004048ED" w:rsidP="004048ED">
      <w:r>
        <w:t xml:space="preserve">The Ministry of Justice website provides further details regarding the various human rights agreements that all district inspectors need to know well and clearly understand. District inspectors can find these sources of information broken down by domestic and international human rights at </w:t>
      </w:r>
      <w:hyperlink r:id="rId28" w:history="1">
        <w:r w:rsidRPr="0093667C">
          <w:rPr>
            <w:rStyle w:val="Hyperlink"/>
          </w:rPr>
          <w:t>justice.govt.nz</w:t>
        </w:r>
      </w:hyperlink>
      <w:r>
        <w:t xml:space="preserve"> </w:t>
      </w:r>
      <w:r w:rsidRPr="009040E0">
        <w:t>(Ministry of Justice 2020)</w:t>
      </w:r>
      <w:r>
        <w:t>.</w:t>
      </w:r>
      <w:r w:rsidDel="009040E0">
        <w:rPr>
          <w:rStyle w:val="FootnoteReference"/>
        </w:rPr>
        <w:t xml:space="preserve"> </w:t>
      </w:r>
    </w:p>
    <w:p w14:paraId="396C6D0F" w14:textId="77777777" w:rsidR="004048ED" w:rsidRDefault="004048ED" w:rsidP="00191D52">
      <w:pPr>
        <w:pStyle w:val="Heading2-numbered"/>
      </w:pPr>
      <w:bookmarkStart w:id="19" w:name="_Ref139782479"/>
      <w:bookmarkStart w:id="20" w:name="_Toc200199225"/>
      <w:bookmarkStart w:id="21" w:name="_Toc207353867"/>
      <w:r>
        <w:t>Main functions</w:t>
      </w:r>
      <w:bookmarkEnd w:id="19"/>
      <w:bookmarkEnd w:id="20"/>
      <w:bookmarkEnd w:id="21"/>
      <w:r>
        <w:t xml:space="preserve"> </w:t>
      </w:r>
    </w:p>
    <w:p w14:paraId="50256E67" w14:textId="2657E95C" w:rsidR="005C6BE6" w:rsidRDefault="004048ED" w:rsidP="004048ED">
      <w:r>
        <w:rPr>
          <w:lang w:eastAsia="en-NZ"/>
        </w:rPr>
        <w:t xml:space="preserve">District inspectors are </w:t>
      </w:r>
      <w:r>
        <w:t xml:space="preserve">empowered by statute to undertake functions and exercise powers that together </w:t>
      </w:r>
      <w:r w:rsidRPr="00831F4E">
        <w:t>constitute the</w:t>
      </w:r>
      <w:r>
        <w:t xml:space="preserve">ir </w:t>
      </w:r>
      <w:r w:rsidRPr="00831F4E">
        <w:t xml:space="preserve">role as a </w:t>
      </w:r>
      <w:r w:rsidR="00F91EF4">
        <w:t>statutory</w:t>
      </w:r>
      <w:r w:rsidR="002742C8">
        <w:t xml:space="preserve"> monitor </w:t>
      </w:r>
      <w:r w:rsidRPr="00831F4E">
        <w:t xml:space="preserve">of </w:t>
      </w:r>
      <w:r w:rsidRPr="738BB95F">
        <w:rPr>
          <w:i/>
          <w:iCs/>
        </w:rPr>
        <w:t>patient</w:t>
      </w:r>
      <w:r w:rsidRPr="00831F4E">
        <w:t xml:space="preserve"> </w:t>
      </w:r>
      <w:r>
        <w:t xml:space="preserve">or </w:t>
      </w:r>
      <w:r w:rsidRPr="00463C83">
        <w:rPr>
          <w:i/>
          <w:iCs/>
        </w:rPr>
        <w:t xml:space="preserve">care recipient </w:t>
      </w:r>
      <w:r w:rsidRPr="00831F4E">
        <w:t>rights.</w:t>
      </w:r>
      <w:r>
        <w:t xml:space="preserve"> This is consistent with the recognition that people </w:t>
      </w:r>
      <w:r w:rsidRPr="00D757A1">
        <w:t>have a right to freedom</w:t>
      </w:r>
      <w:r>
        <w:t xml:space="preserve"> and autonomy</w:t>
      </w:r>
      <w:r w:rsidRPr="00D757A1">
        <w:t xml:space="preserve"> that is restricted or overridden by legally invoking compulsory treatment or care</w:t>
      </w:r>
      <w:r>
        <w:t xml:space="preserve">. </w:t>
      </w:r>
      <w:r w:rsidR="0003239A">
        <w:t>Every individual who is subject to compulsory assessment, treatment, care or re</w:t>
      </w:r>
      <w:r w:rsidR="0003239A" w:rsidRPr="007C6860">
        <w:t xml:space="preserve">habilitation </w:t>
      </w:r>
      <w:r w:rsidR="0003239A">
        <w:t>should be</w:t>
      </w:r>
      <w:r w:rsidR="0003239A" w:rsidRPr="007C6860">
        <w:t xml:space="preserve"> cared for in accordance with the statutory requirements and the principles of natural justice</w:t>
      </w:r>
      <w:r w:rsidR="0003239A">
        <w:t xml:space="preserve">. </w:t>
      </w:r>
      <w:r>
        <w:t>Safeguards are required to ensure they are lawfully detained, their rights are upheld and they are not subject to abuse or ill treatment.</w:t>
      </w:r>
    </w:p>
    <w:p w14:paraId="3F8029FB" w14:textId="77777777" w:rsidR="004048ED" w:rsidRDefault="004048ED" w:rsidP="004048ED"/>
    <w:p w14:paraId="00C021AE" w14:textId="4096CAB8" w:rsidR="005D45C2" w:rsidRDefault="005D45C2" w:rsidP="005D45C2">
      <w:r>
        <w:t>Alongside their role in protecting people’s rights, district inspectors proactively examine, monitor and report on aspects of service delivery that may impact the rights of tāngata whai ora or tāngata whaikaha, and their family and whānau. Their function plays an important role in enhancing and monitoring the provision of services</w:t>
      </w:r>
      <w:r w:rsidR="00523DB7" w:rsidRPr="00523DB7" w:rsidDel="002E74E4">
        <w:t xml:space="preserve"> </w:t>
      </w:r>
      <w:r>
        <w:t xml:space="preserve">. </w:t>
      </w:r>
    </w:p>
    <w:p w14:paraId="5DAD6CD6" w14:textId="77777777" w:rsidR="005D45C2" w:rsidRDefault="005D45C2" w:rsidP="005D45C2"/>
    <w:p w14:paraId="2CA10DC5" w14:textId="1F423DC0" w:rsidR="002509EC" w:rsidRPr="00125826" w:rsidRDefault="004048ED" w:rsidP="004048ED">
      <w:r w:rsidRPr="00C23101">
        <w:t>In their wider function of conducting inquiries</w:t>
      </w:r>
      <w:r w:rsidRPr="006B389B">
        <w:t xml:space="preserve">, </w:t>
      </w:r>
      <w:r>
        <w:t>d</w:t>
      </w:r>
      <w:r w:rsidRPr="006B389B">
        <w:t xml:space="preserve">istrict </w:t>
      </w:r>
      <w:r>
        <w:t>inspector</w:t>
      </w:r>
      <w:r w:rsidRPr="006B389B">
        <w:t xml:space="preserve">s may also </w:t>
      </w:r>
      <w:r>
        <w:t>inquire</w:t>
      </w:r>
      <w:r w:rsidRPr="006B389B">
        <w:t xml:space="preserve"> into</w:t>
      </w:r>
      <w:r>
        <w:t xml:space="preserve"> </w:t>
      </w:r>
      <w:r w:rsidRPr="006B389B">
        <w:t>matters after a person has been released from compulsory care</w:t>
      </w:r>
      <w:r>
        <w:t xml:space="preserve"> or treatment, if the matters raised occurred while a person was subject to one of the three Acts covered by these guidelines</w:t>
      </w:r>
      <w:r w:rsidRPr="006B389B">
        <w:t>.</w:t>
      </w:r>
      <w:r w:rsidRPr="006B389B">
        <w:rPr>
          <w:rStyle w:val="FootnoteReference"/>
        </w:rPr>
        <w:footnoteReference w:id="5"/>
      </w:r>
      <w:r>
        <w:t xml:space="preserve"> </w:t>
      </w:r>
    </w:p>
    <w:p w14:paraId="46E6B6FA" w14:textId="77777777" w:rsidR="004048ED" w:rsidRDefault="004048ED" w:rsidP="004048ED"/>
    <w:p w14:paraId="78CCB5E7" w14:textId="7EE344D9" w:rsidR="004048ED" w:rsidRDefault="004048ED" w:rsidP="004048ED">
      <w:r w:rsidRPr="007766E7">
        <w:t>There are several aspects of service delivery</w:t>
      </w:r>
      <w:r>
        <w:t xml:space="preserve"> and </w:t>
      </w:r>
      <w:r w:rsidRPr="008924B7">
        <w:rPr>
          <w:i/>
          <w:iCs/>
        </w:rPr>
        <w:t>patient</w:t>
      </w:r>
      <w:r>
        <w:t xml:space="preserve"> rights</w:t>
      </w:r>
      <w:r w:rsidRPr="007766E7">
        <w:t xml:space="preserve"> that district inspectors are required to report on to the Director of Mental Health and Addiction Services</w:t>
      </w:r>
      <w:r>
        <w:t xml:space="preserve"> (the Director)</w:t>
      </w:r>
      <w:r w:rsidRPr="007766E7">
        <w:t>.</w:t>
      </w:r>
      <w:r>
        <w:t xml:space="preserve"> District inspectors are an important independent statutory conduit between the Director, services, and </w:t>
      </w:r>
      <w:r w:rsidRPr="00AF1D55">
        <w:rPr>
          <w:i/>
          <w:iCs/>
        </w:rPr>
        <w:t>patients</w:t>
      </w:r>
      <w:r>
        <w:t xml:space="preserve"> or </w:t>
      </w:r>
      <w:r w:rsidRPr="00AF1D55">
        <w:rPr>
          <w:i/>
          <w:iCs/>
        </w:rPr>
        <w:t>care recipients</w:t>
      </w:r>
      <w:r>
        <w:t xml:space="preserve">. </w:t>
      </w:r>
    </w:p>
    <w:p w14:paraId="406DDCEF" w14:textId="77777777" w:rsidR="004048ED" w:rsidRDefault="004048ED" w:rsidP="004048ED"/>
    <w:p w14:paraId="0FB3DE34" w14:textId="355E7F98" w:rsidR="00AD2673" w:rsidRPr="004B1E58" w:rsidRDefault="004048ED" w:rsidP="00125826">
      <w:r>
        <w:t>Across all three Acts, district inspectors’ overarching functions include:</w:t>
      </w:r>
    </w:p>
    <w:p w14:paraId="06D436A9" w14:textId="3E5C36FA" w:rsidR="00863AF6" w:rsidRPr="007C6860" w:rsidRDefault="004048ED" w:rsidP="00125826">
      <w:pPr>
        <w:pStyle w:val="Bullet"/>
      </w:pPr>
      <w:r w:rsidRPr="007C6860">
        <w:t>monitoring mental health, addiction and intellectual disability services</w:t>
      </w:r>
      <w:r>
        <w:t xml:space="preserve"> that are</w:t>
      </w:r>
      <w:r w:rsidRPr="007C6860">
        <w:t xml:space="preserve"> providing compulsory care or treatment to persons, as defined by the various Acts, to ensure their continued smooth and efficient operation and</w:t>
      </w:r>
      <w:r>
        <w:t xml:space="preserve"> to</w:t>
      </w:r>
      <w:r w:rsidRPr="007C6860">
        <w:t xml:space="preserve"> assist with quality improvement at the service level through visits to the different services</w:t>
      </w:r>
    </w:p>
    <w:p w14:paraId="5FD80D08" w14:textId="67029930" w:rsidR="004048ED" w:rsidRPr="007C6860" w:rsidRDefault="004048ED" w:rsidP="004048ED">
      <w:pPr>
        <w:pStyle w:val="Bullet"/>
      </w:pPr>
      <w:r w:rsidRPr="007C6860">
        <w:t xml:space="preserve">providing process information to </w:t>
      </w:r>
      <w:r w:rsidRPr="007C6860">
        <w:rPr>
          <w:i/>
          <w:iCs/>
        </w:rPr>
        <w:t>patients</w:t>
      </w:r>
      <w:r w:rsidRPr="007C6860">
        <w:t xml:space="preserve"> or </w:t>
      </w:r>
      <w:r w:rsidRPr="007C6860">
        <w:rPr>
          <w:i/>
          <w:iCs/>
        </w:rPr>
        <w:t>care recipients</w:t>
      </w:r>
      <w:r w:rsidRPr="007C6860">
        <w:t xml:space="preserve">, and family and whānau, including the rights of complaint and review </w:t>
      </w:r>
    </w:p>
    <w:p w14:paraId="7E78D21B" w14:textId="5B27EAB1" w:rsidR="004048ED" w:rsidRPr="007C6860" w:rsidRDefault="004048ED" w:rsidP="004048ED">
      <w:pPr>
        <w:pStyle w:val="Bullet"/>
      </w:pPr>
      <w:r w:rsidRPr="007C6860">
        <w:lastRenderedPageBreak/>
        <w:t xml:space="preserve">checking and ensuring general quality and timeliness of </w:t>
      </w:r>
      <w:r w:rsidRPr="007C6860">
        <w:rPr>
          <w:i/>
          <w:iCs/>
        </w:rPr>
        <w:t>patient</w:t>
      </w:r>
      <w:r w:rsidRPr="007C6860">
        <w:t xml:space="preserve"> or </w:t>
      </w:r>
      <w:r w:rsidRPr="007C6860">
        <w:rPr>
          <w:i/>
          <w:iCs/>
        </w:rPr>
        <w:t>care recipient</w:t>
      </w:r>
      <w:r w:rsidRPr="00E428B1">
        <w:rPr>
          <w:i/>
          <w:iCs/>
        </w:rPr>
        <w:t xml:space="preserve"> </w:t>
      </w:r>
      <w:r w:rsidRPr="007C6860">
        <w:t>documentation</w:t>
      </w:r>
    </w:p>
    <w:p w14:paraId="7C214CB7" w14:textId="67B59615" w:rsidR="004048ED" w:rsidRPr="007C6860" w:rsidRDefault="004048ED" w:rsidP="004048ED">
      <w:pPr>
        <w:pStyle w:val="Bullet"/>
      </w:pPr>
      <w:r w:rsidRPr="007C6860">
        <w:t xml:space="preserve">visiting </w:t>
      </w:r>
      <w:r w:rsidRPr="007C6860">
        <w:rPr>
          <w:i/>
          <w:iCs/>
        </w:rPr>
        <w:t>patients</w:t>
      </w:r>
      <w:r w:rsidRPr="007C6860">
        <w:t xml:space="preserve"> or </w:t>
      </w:r>
      <w:r w:rsidRPr="007C6860">
        <w:rPr>
          <w:i/>
          <w:iCs/>
        </w:rPr>
        <w:t>care recipients</w:t>
      </w:r>
      <w:r w:rsidRPr="007C6860">
        <w:t xml:space="preserve"> </w:t>
      </w:r>
      <w:r>
        <w:t xml:space="preserve">who are </w:t>
      </w:r>
      <w:r w:rsidRPr="007C6860">
        <w:t xml:space="preserve">subject to compulsory assessment, treatment or care </w:t>
      </w:r>
    </w:p>
    <w:p w14:paraId="248912E0" w14:textId="7D3A76BF" w:rsidR="004048ED" w:rsidRPr="007C6860" w:rsidRDefault="004048ED" w:rsidP="004048ED">
      <w:pPr>
        <w:pStyle w:val="Bullet"/>
      </w:pPr>
      <w:r w:rsidRPr="007C6860">
        <w:t xml:space="preserve">visiting and inspecting inpatient and outpatient facilities in the district inspector’s locality </w:t>
      </w:r>
    </w:p>
    <w:p w14:paraId="39A5E1BC" w14:textId="18C65E8A" w:rsidR="004048ED" w:rsidRPr="007C6860" w:rsidRDefault="004048ED" w:rsidP="004048ED">
      <w:pPr>
        <w:pStyle w:val="Bullet"/>
      </w:pPr>
      <w:r w:rsidRPr="007C6860">
        <w:t xml:space="preserve">conducting inquiries and investigations into any alleged breaches to </w:t>
      </w:r>
      <w:r w:rsidRPr="007C6860">
        <w:rPr>
          <w:i/>
          <w:iCs/>
        </w:rPr>
        <w:t>patients</w:t>
      </w:r>
      <w:r>
        <w:rPr>
          <w:i/>
          <w:iCs/>
        </w:rPr>
        <w:t>’</w:t>
      </w:r>
      <w:r w:rsidRPr="007C6860">
        <w:t xml:space="preserve"> or </w:t>
      </w:r>
      <w:r w:rsidRPr="007C6860">
        <w:rPr>
          <w:i/>
          <w:iCs/>
        </w:rPr>
        <w:t>care recipients’</w:t>
      </w:r>
      <w:r w:rsidRPr="007C6860">
        <w:t xml:space="preserve"> rights </w:t>
      </w:r>
      <w:r w:rsidRPr="00E32E11">
        <w:t>as established by</w:t>
      </w:r>
      <w:r w:rsidR="008214EF">
        <w:t xml:space="preserve"> </w:t>
      </w:r>
      <w:r w:rsidRPr="007C6860">
        <w:t>the Act that they are functioning under, alongside complaint resolution and reporting</w:t>
      </w:r>
    </w:p>
    <w:p w14:paraId="2BD1B247" w14:textId="168A83D8" w:rsidR="004048ED" w:rsidRPr="007C6860" w:rsidRDefault="004048ED" w:rsidP="004048ED">
      <w:pPr>
        <w:pStyle w:val="Bullet"/>
      </w:pPr>
      <w:r w:rsidRPr="004048ED">
        <w:t>reporting</w:t>
      </w:r>
      <w:r w:rsidRPr="007C6860">
        <w:t xml:space="preserve"> on their statutory duties and functions </w:t>
      </w:r>
      <w:r w:rsidRPr="00E32E11">
        <w:t xml:space="preserve">as established by </w:t>
      </w:r>
      <w:r w:rsidRPr="007C6860">
        <w:t>the Act they are appointed under.</w:t>
      </w:r>
    </w:p>
    <w:p w14:paraId="31D50DE9" w14:textId="77777777" w:rsidR="004048ED" w:rsidRDefault="004048ED" w:rsidP="004048ED"/>
    <w:p w14:paraId="26B1247D" w14:textId="06B7D8F3" w:rsidR="004048ED" w:rsidRDefault="004048ED" w:rsidP="004048ED">
      <w:r>
        <w:t xml:space="preserve">Some specific powers and functions of district inspectors may vary depending on the Act they are appointed under. Details regarding the various sections of the Mental Health Act, the </w:t>
      </w:r>
      <w:r w:rsidR="00E27AEB">
        <w:t>Intellectual Disability Act</w:t>
      </w:r>
      <w:r>
        <w:t xml:space="preserve"> </w:t>
      </w:r>
      <w:r w:rsidR="00D52785">
        <w:t xml:space="preserve">and the Substance Addiction Act </w:t>
      </w:r>
      <w:r>
        <w:t xml:space="preserve">that relate to district inspector duties or functions are </w:t>
      </w:r>
      <w:r w:rsidRPr="00E32E11">
        <w:t>outlined below and described in more detail in</w:t>
      </w:r>
      <w:r w:rsidRPr="00E32E11" w:rsidDel="00E32E11">
        <w:t xml:space="preserve"> </w:t>
      </w:r>
      <w:hyperlink w:anchor="_District_inspector_duties" w:history="1">
        <w:r w:rsidRPr="00223E93">
          <w:rPr>
            <w:rStyle w:val="Hyperlink"/>
          </w:rPr>
          <w:t xml:space="preserve">2. </w:t>
        </w:r>
        <w:r w:rsidRPr="00223E93">
          <w:rPr>
            <w:rStyle w:val="Hyperlink"/>
            <w:rFonts w:eastAsiaTheme="majorEastAsia"/>
          </w:rPr>
          <w:t>District inspector duties</w:t>
        </w:r>
      </w:hyperlink>
      <w:r>
        <w:t xml:space="preserve">. </w:t>
      </w:r>
    </w:p>
    <w:p w14:paraId="74D188F4" w14:textId="77777777" w:rsidR="004048ED" w:rsidRPr="00C344A2" w:rsidRDefault="004048ED" w:rsidP="00C344A2">
      <w:pPr>
        <w:pStyle w:val="Heading3-numbered"/>
      </w:pPr>
      <w:r w:rsidRPr="00C344A2">
        <w:t>District inspectors appointed under the Mental Health Act</w:t>
      </w:r>
    </w:p>
    <w:p w14:paraId="257FE5AA" w14:textId="77777777" w:rsidR="004048ED" w:rsidRPr="004048ED" w:rsidRDefault="004048ED" w:rsidP="004048ED">
      <w:r w:rsidRPr="004048ED">
        <w:rPr>
          <w:rStyle w:val="Heading3Char"/>
          <w:color w:val="auto"/>
          <w:spacing w:val="0"/>
          <w:sz w:val="21"/>
        </w:rPr>
        <w:t>Alongside the general district inspector functions, district inspectors appointed under</w:t>
      </w:r>
      <w:r w:rsidRPr="004048ED">
        <w:t xml:space="preserve"> the Mental Health Act must: </w:t>
      </w:r>
    </w:p>
    <w:p w14:paraId="369A6953" w14:textId="77777777" w:rsidR="004048ED" w:rsidRPr="004048ED" w:rsidRDefault="004048ED" w:rsidP="004048ED">
      <w:pPr>
        <w:pStyle w:val="Bullet"/>
      </w:pPr>
      <w:r w:rsidRPr="004048ED">
        <w:rPr>
          <w:rFonts w:eastAsiaTheme="majorEastAsia"/>
        </w:rPr>
        <w:t>report on breaches of the Mental Health Act, such as breaches concerning procedural matters, the timing of assessments or the accuracy of documentation</w:t>
      </w:r>
    </w:p>
    <w:p w14:paraId="5CC76254" w14:textId="77777777" w:rsidR="004048ED" w:rsidRPr="004048ED" w:rsidRDefault="004048ED" w:rsidP="004048ED">
      <w:pPr>
        <w:pStyle w:val="Bullet"/>
        <w:rPr>
          <w:rFonts w:eastAsiaTheme="majorEastAsia"/>
        </w:rPr>
      </w:pPr>
      <w:r w:rsidRPr="004048ED">
        <w:rPr>
          <w:rFonts w:eastAsiaTheme="majorEastAsia"/>
        </w:rPr>
        <w:t>provide comment on court processes, such as keeping up with demands and timeliness of section 16 hearings</w:t>
      </w:r>
    </w:p>
    <w:p w14:paraId="68140DCD" w14:textId="77777777" w:rsidR="004048ED" w:rsidRPr="004048ED" w:rsidRDefault="004048ED" w:rsidP="004048ED">
      <w:pPr>
        <w:pStyle w:val="Bullet"/>
        <w:rPr>
          <w:rFonts w:eastAsiaTheme="majorEastAsia"/>
        </w:rPr>
      </w:pPr>
      <w:r w:rsidRPr="004048ED">
        <w:rPr>
          <w:rFonts w:eastAsiaTheme="majorEastAsia"/>
        </w:rPr>
        <w:t>check consent to treatment through either signed consent forms or section 59 and 60 second opinions</w:t>
      </w:r>
    </w:p>
    <w:p w14:paraId="646250C8" w14:textId="77777777" w:rsidR="004048ED" w:rsidRPr="004048ED" w:rsidRDefault="004048ED" w:rsidP="004048ED">
      <w:pPr>
        <w:pStyle w:val="Bullet"/>
        <w:rPr>
          <w:rFonts w:eastAsiaTheme="majorEastAsia"/>
        </w:rPr>
      </w:pPr>
      <w:r w:rsidRPr="004048ED">
        <w:rPr>
          <w:rFonts w:eastAsiaTheme="majorEastAsia"/>
        </w:rPr>
        <w:t>examine the use of Audio-Visual Link (AVL) technology as opposed to face-to-face assessments</w:t>
      </w:r>
    </w:p>
    <w:p w14:paraId="2AC1E44C" w14:textId="77777777" w:rsidR="004048ED" w:rsidRPr="004048ED" w:rsidRDefault="004048ED" w:rsidP="004048ED">
      <w:pPr>
        <w:pStyle w:val="Bullet"/>
        <w:rPr>
          <w:rFonts w:eastAsiaTheme="majorEastAsia"/>
        </w:rPr>
      </w:pPr>
      <w:r w:rsidRPr="004048ED">
        <w:rPr>
          <w:rFonts w:eastAsiaTheme="majorEastAsia"/>
        </w:rPr>
        <w:t xml:space="preserve">report on issues relating to the Mental Health Review Tribunal (MHRT). </w:t>
      </w:r>
    </w:p>
    <w:p w14:paraId="2478AA87" w14:textId="77777777" w:rsidR="004048ED" w:rsidRDefault="004048ED" w:rsidP="004048ED">
      <w:bookmarkStart w:id="22" w:name="_Hlk141946662"/>
    </w:p>
    <w:p w14:paraId="6B5FF0B4" w14:textId="627B04EC" w:rsidR="004048ED" w:rsidRDefault="004048ED" w:rsidP="004048ED">
      <w:r>
        <w:t xml:space="preserve">District inspectors ensure that </w:t>
      </w:r>
      <w:r w:rsidRPr="00B45183">
        <w:t xml:space="preserve">complaints that a service has breached tāngata whai ora rights </w:t>
      </w:r>
      <w:r>
        <w:t>are investigated and reported to the service’s Director of Area Mental Health Services (DAMHS)</w:t>
      </w:r>
      <w:r w:rsidRPr="000A1D7F">
        <w:t>. As part of this work, district inspectors may make recommendations as they see fit. The DAMHS must take all necessary steps required to address recommendations and rectify the concerns raised. District</w:t>
      </w:r>
      <w:r>
        <w:t xml:space="preserve"> inspectors are required to provide a monthly report to the DAMHS regarding their powers, duties and functions under the Mental Health Act; when relevant, this should include reporting on progress relating to investigation recommendations.</w:t>
      </w:r>
    </w:p>
    <w:bookmarkEnd w:id="22"/>
    <w:p w14:paraId="5AA212F7" w14:textId="77777777" w:rsidR="004048ED" w:rsidRPr="000741B1" w:rsidRDefault="004048ED" w:rsidP="004048ED"/>
    <w:p w14:paraId="16BE6506" w14:textId="5342974F" w:rsidR="004048ED" w:rsidRDefault="004048ED" w:rsidP="004048ED">
      <w:r>
        <w:t xml:space="preserve">District inspectors appointed under the Mental Health Act must observe the application of the </w:t>
      </w:r>
      <w:r>
        <w:rPr>
          <w:i/>
        </w:rPr>
        <w:t>Guidelines to the Mental Health (Compulsory Assessment and Treatment) Act 1992</w:t>
      </w:r>
      <w:r>
        <w:t xml:space="preserve"> (Ministry of Health 2022b) (the Mental Health Act guidelines), and associated specific guidance, which support the effective and lawful use of the Mental </w:t>
      </w:r>
      <w:r>
        <w:lastRenderedPageBreak/>
        <w:t>Health Act. The</w:t>
      </w:r>
      <w:r>
        <w:rPr>
          <w:rFonts w:ascii="Calibri" w:hAnsi="Calibri"/>
          <w:sz w:val="22"/>
          <w:szCs w:val="22"/>
          <w:lang w:eastAsia="en-US"/>
        </w:rPr>
        <w:t xml:space="preserve"> </w:t>
      </w:r>
      <w:r>
        <w:t>Mental Health Act guidelines</w:t>
      </w:r>
      <w:r w:rsidDel="00CA6EF0">
        <w:t xml:space="preserve"> </w:t>
      </w:r>
      <w:r>
        <w:t xml:space="preserve">contain a detailed description of the Act’s sections and principles, and practices expected when administering the Mental Health Act. </w:t>
      </w:r>
    </w:p>
    <w:p w14:paraId="3CB3926F" w14:textId="77777777" w:rsidR="004048ED" w:rsidRPr="00CE5953" w:rsidRDefault="004048ED" w:rsidP="004048ED">
      <w:pPr>
        <w:rPr>
          <w:rFonts w:ascii="Calibri" w:hAnsi="Calibri"/>
          <w:sz w:val="22"/>
          <w:szCs w:val="22"/>
          <w:lang w:eastAsia="en-US"/>
        </w:rPr>
      </w:pPr>
    </w:p>
    <w:p w14:paraId="2136621C" w14:textId="500572E8" w:rsidR="004048ED" w:rsidRDefault="004048ED" w:rsidP="004048ED">
      <w:r>
        <w:t>The Mental Health Act guidelines also provide an interpretation of clinical concepts, exclusion criteria, and consultation with family and whānau. Other areas covered are the application of compulsory assessment and treatment, compulsory treatment orders, regulations around special and restricted patients, use of force and reviews, and judicial inquiries. In addition to complying with district inspector guidelines, district inspectors must follow the Mental Health Act guidelines when exercising their powers under the Mental Health Act.</w:t>
      </w:r>
    </w:p>
    <w:p w14:paraId="7C160C2A" w14:textId="77777777" w:rsidR="004048ED" w:rsidRDefault="004048ED" w:rsidP="004048ED"/>
    <w:p w14:paraId="3E5E9839" w14:textId="77777777" w:rsidR="004048ED" w:rsidRDefault="004048ED" w:rsidP="004048ED">
      <w:r>
        <w:t>The</w:t>
      </w:r>
      <w:r w:rsidRPr="00DD1595">
        <w:rPr>
          <w:i/>
          <w:iCs/>
        </w:rPr>
        <w:t xml:space="preserve"> </w:t>
      </w:r>
      <w:r w:rsidRPr="00E428B1">
        <w:t xml:space="preserve">Mental Health Act </w:t>
      </w:r>
      <w:r>
        <w:t>e</w:t>
      </w:r>
      <w:r w:rsidRPr="00E428B1">
        <w:t xml:space="preserve">-learning and </w:t>
      </w:r>
      <w:r>
        <w:t>i</w:t>
      </w:r>
      <w:r w:rsidRPr="00E428B1">
        <w:t xml:space="preserve">nformation </w:t>
      </w:r>
      <w:r>
        <w:t>r</w:t>
      </w:r>
      <w:r w:rsidRPr="00E428B1">
        <w:t>esources</w:t>
      </w:r>
      <w:r>
        <w:t xml:space="preserve"> from </w:t>
      </w:r>
      <w:r w:rsidRPr="00821D15">
        <w:t>Te Pou</w:t>
      </w:r>
      <w:r w:rsidRPr="00CB2417">
        <w:t xml:space="preserve"> (Te Pou 2023)</w:t>
      </w:r>
      <w:r w:rsidRPr="00C83144">
        <w:t xml:space="preserve"> have been developed to assist the implementation of the Mental Health Act guidelin</w:t>
      </w:r>
      <w:r>
        <w:t>es. They function to support human rights, guide supported decision-making, expand knowledge, provide national consistency, and be applicable to a range of professions engaging with people subject to the Mental Health Act and their family and w</w:t>
      </w:r>
      <w:r w:rsidRPr="00D77640">
        <w:t>hānau.</w:t>
      </w:r>
      <w:r>
        <w:t xml:space="preserve"> These resources and modules are intended to underpin a quality improvement process and present a holistic view from the perspectives of lived experience, family and w</w:t>
      </w:r>
      <w:r w:rsidRPr="00D77640">
        <w:t>hānau</w:t>
      </w:r>
      <w:r>
        <w:t xml:space="preserve">, and the workforce. </w:t>
      </w:r>
    </w:p>
    <w:p w14:paraId="4E02AA8F" w14:textId="77777777" w:rsidR="004048ED" w:rsidRDefault="004048ED" w:rsidP="00C344A2">
      <w:pPr>
        <w:pStyle w:val="Heading3-numbered"/>
      </w:pPr>
      <w:r>
        <w:t>District inspectors appointed under the Substance Addiction Act</w:t>
      </w:r>
    </w:p>
    <w:p w14:paraId="57560059" w14:textId="77777777" w:rsidR="004048ED" w:rsidRDefault="004048ED" w:rsidP="004048ED">
      <w:pPr>
        <w:rPr>
          <w:rFonts w:eastAsiaTheme="majorEastAsia"/>
        </w:rPr>
      </w:pPr>
      <w:r>
        <w:t>Alongside the general district inspector functions, d</w:t>
      </w:r>
      <w:r w:rsidRPr="00353A5C">
        <w:rPr>
          <w:rFonts w:eastAsiaTheme="majorEastAsia"/>
        </w:rPr>
        <w:t xml:space="preserve">istrict inspectors appointed under the </w:t>
      </w:r>
      <w:r>
        <w:rPr>
          <w:rFonts w:eastAsiaTheme="majorEastAsia"/>
        </w:rPr>
        <w:t xml:space="preserve">Substance Addiction </w:t>
      </w:r>
      <w:r w:rsidRPr="00353A5C">
        <w:rPr>
          <w:rFonts w:eastAsiaTheme="majorEastAsia"/>
        </w:rPr>
        <w:t xml:space="preserve">Act </w:t>
      </w:r>
      <w:r>
        <w:rPr>
          <w:rFonts w:eastAsiaTheme="majorEastAsia"/>
        </w:rPr>
        <w:t>have functions such as:</w:t>
      </w:r>
    </w:p>
    <w:p w14:paraId="19582C5A" w14:textId="77777777" w:rsidR="004048ED" w:rsidRPr="004048ED" w:rsidRDefault="004048ED" w:rsidP="004048ED">
      <w:pPr>
        <w:pStyle w:val="Bullet"/>
        <w:rPr>
          <w:rFonts w:eastAsiaTheme="majorEastAsia"/>
        </w:rPr>
      </w:pPr>
      <w:r w:rsidRPr="004048ED">
        <w:rPr>
          <w:rFonts w:eastAsiaTheme="majorEastAsia"/>
        </w:rPr>
        <w:t xml:space="preserve">ensuring treatment and care of patients have been provided in a mana-enhancing and mana-protecting way </w:t>
      </w:r>
    </w:p>
    <w:p w14:paraId="66AA4040" w14:textId="77777777" w:rsidR="004048ED" w:rsidRPr="004048ED" w:rsidRDefault="004048ED" w:rsidP="004048ED">
      <w:pPr>
        <w:pStyle w:val="Bullet"/>
        <w:rPr>
          <w:rFonts w:eastAsiaTheme="majorEastAsia"/>
        </w:rPr>
      </w:pPr>
      <w:r w:rsidRPr="004048ED">
        <w:rPr>
          <w:rFonts w:eastAsiaTheme="majorEastAsia"/>
        </w:rPr>
        <w:t>conducting inquiries under section 101 of the Substance Addiction Act</w:t>
      </w:r>
    </w:p>
    <w:p w14:paraId="2C6FC300" w14:textId="7434D8D0" w:rsidR="004048ED" w:rsidRPr="004048ED" w:rsidRDefault="004048ED" w:rsidP="004048ED">
      <w:pPr>
        <w:pStyle w:val="Bullet"/>
        <w:rPr>
          <w:rFonts w:eastAsiaTheme="majorEastAsia"/>
        </w:rPr>
      </w:pPr>
      <w:r w:rsidRPr="004048ED">
        <w:rPr>
          <w:rFonts w:eastAsiaTheme="majorEastAsia"/>
        </w:rPr>
        <w:t>ensuring that information regarding a plan for future treatment and care under section 44(4) of the Substance Addiction Act has been provided.</w:t>
      </w:r>
      <w:r w:rsidR="008214EF">
        <w:rPr>
          <w:rFonts w:eastAsiaTheme="majorEastAsia"/>
        </w:rPr>
        <w:t xml:space="preserve"> </w:t>
      </w:r>
    </w:p>
    <w:p w14:paraId="741B264E" w14:textId="77777777" w:rsidR="004048ED" w:rsidRDefault="004048ED" w:rsidP="004048ED"/>
    <w:p w14:paraId="5698921E" w14:textId="74DD97F2" w:rsidR="004048ED" w:rsidRDefault="004048ED" w:rsidP="004048ED">
      <w:r>
        <w:t>Section 7 of the Substance Addiction Act sets out the criteria for placing a person under compulsory treatment, all of which must apply:</w:t>
      </w:r>
    </w:p>
    <w:p w14:paraId="362A6ECD" w14:textId="77777777" w:rsidR="004048ED" w:rsidRPr="004048ED" w:rsidRDefault="004048ED" w:rsidP="004048ED">
      <w:pPr>
        <w:pStyle w:val="Bullet"/>
      </w:pPr>
      <w:r w:rsidRPr="004048ED">
        <w:t>the person has a severe substance addiction, and</w:t>
      </w:r>
    </w:p>
    <w:p w14:paraId="14E98983" w14:textId="77777777" w:rsidR="004048ED" w:rsidRPr="004048ED" w:rsidRDefault="004048ED" w:rsidP="004048ED">
      <w:pPr>
        <w:pStyle w:val="Bullet"/>
      </w:pPr>
      <w:r w:rsidRPr="004048ED">
        <w:t>the person’s capacity to make informed decisions about treatment for that addiction is severely impaired, and</w:t>
      </w:r>
    </w:p>
    <w:p w14:paraId="5E4D34AA" w14:textId="77777777" w:rsidR="004048ED" w:rsidRPr="004048ED" w:rsidRDefault="004048ED" w:rsidP="004048ED">
      <w:pPr>
        <w:pStyle w:val="Bullet"/>
      </w:pPr>
      <w:r w:rsidRPr="004048ED">
        <w:t>compulsory treatment of the person is necessary, and</w:t>
      </w:r>
    </w:p>
    <w:p w14:paraId="52EA41F0" w14:textId="77777777" w:rsidR="004048ED" w:rsidRPr="004048ED" w:rsidRDefault="004048ED" w:rsidP="004048ED">
      <w:pPr>
        <w:pStyle w:val="Bullet"/>
      </w:pPr>
      <w:r w:rsidRPr="004048ED">
        <w:t>appropriate treatment for the person is available.</w:t>
      </w:r>
    </w:p>
    <w:p w14:paraId="2CE5B6E1" w14:textId="77777777" w:rsidR="004048ED" w:rsidRDefault="004048ED" w:rsidP="004048ED"/>
    <w:p w14:paraId="7FF06867" w14:textId="03A5A46B" w:rsidR="004048ED" w:rsidRDefault="004048ED" w:rsidP="004048ED">
      <w:r>
        <w:t xml:space="preserve">District inspectors ensure that </w:t>
      </w:r>
      <w:r w:rsidRPr="00CF40D7">
        <w:t>complaints that a service has breached tāngata whai ora rights</w:t>
      </w:r>
      <w:r>
        <w:t xml:space="preserve"> under the Substance Addiction Act are investigated and effectively reported to the service’s </w:t>
      </w:r>
      <w:r w:rsidRPr="00F80908">
        <w:t xml:space="preserve">Director of Area Addiction Services </w:t>
      </w:r>
      <w:r>
        <w:t xml:space="preserve">(Area Director). As part of this work, district inspectors may make recommendations for the service to address matters investigated. District inspectors are required to provide a monthly report to the Director regarding their functions, duties and powers under the Substance Addiction </w:t>
      </w:r>
      <w:r>
        <w:lastRenderedPageBreak/>
        <w:t>Act; when relevant, this should include reporting on progress relating to investigation recommendations.</w:t>
      </w:r>
    </w:p>
    <w:p w14:paraId="04A145B6" w14:textId="77777777" w:rsidR="004048ED" w:rsidRDefault="004048ED" w:rsidP="004048ED"/>
    <w:p w14:paraId="44E23DEA" w14:textId="2DA55B94" w:rsidR="004048ED" w:rsidRDefault="004048ED" w:rsidP="004048ED">
      <w:r>
        <w:t>A district inspector’s understanding of mana, mana-enhancement and mana-protecting practice is a foundational element of their role under the Substance Addiction Act. When functioning under the Substance Addiction Act, district inspectors are expected to ensure and review that tāngata whai ora engaged in the compulsory assessment and treatment process have their mana and dignity protected and enhanced.</w:t>
      </w:r>
    </w:p>
    <w:p w14:paraId="3BB6F856" w14:textId="77777777" w:rsidR="00B23CBC" w:rsidRDefault="00B23CBC" w:rsidP="004048ED"/>
    <w:p w14:paraId="366E15A5" w14:textId="120A6295" w:rsidR="004048ED" w:rsidRDefault="004048ED" w:rsidP="004048ED">
      <w:r>
        <w:t>An important part of this is the recognition that</w:t>
      </w:r>
      <w:r w:rsidRPr="00E65FF7">
        <w:t xml:space="preserve"> legally invoking compulsory treatment or care for tāngata whai ora intentionally restricts or overrides their right to freedom</w:t>
      </w:r>
      <w:r w:rsidR="008214EF">
        <w:t xml:space="preserve"> </w:t>
      </w:r>
      <w:r>
        <w:t>and, for this reason, it is crucial to safeguard their mana during this process. Further guidance on supporting mana-enhancing practices can be found in the resource from Te Rau Matatini,</w:t>
      </w:r>
      <w:r w:rsidRPr="75F6EB2C">
        <w:rPr>
          <w:i/>
          <w:iCs/>
        </w:rPr>
        <w:t xml:space="preserve"> </w:t>
      </w:r>
      <w:r>
        <w:rPr>
          <w:i/>
          <w:iCs/>
        </w:rPr>
        <w:t xml:space="preserve">Manaaki: </w:t>
      </w:r>
      <w:r w:rsidRPr="75F6EB2C">
        <w:rPr>
          <w:i/>
          <w:iCs/>
        </w:rPr>
        <w:t xml:space="preserve">Mana </w:t>
      </w:r>
      <w:r>
        <w:rPr>
          <w:i/>
          <w:iCs/>
        </w:rPr>
        <w:t>e</w:t>
      </w:r>
      <w:r w:rsidRPr="75F6EB2C">
        <w:rPr>
          <w:i/>
          <w:iCs/>
        </w:rPr>
        <w:t xml:space="preserve">nhancing </w:t>
      </w:r>
      <w:r>
        <w:rPr>
          <w:i/>
          <w:iCs/>
        </w:rPr>
        <w:t>and</w:t>
      </w:r>
      <w:r w:rsidRPr="75F6EB2C">
        <w:rPr>
          <w:i/>
          <w:iCs/>
        </w:rPr>
        <w:t xml:space="preserve"> </w:t>
      </w:r>
      <w:r>
        <w:rPr>
          <w:i/>
          <w:iCs/>
        </w:rPr>
        <w:t>m</w:t>
      </w:r>
      <w:r w:rsidRPr="75F6EB2C">
        <w:rPr>
          <w:i/>
          <w:iCs/>
        </w:rPr>
        <w:t xml:space="preserve">ana </w:t>
      </w:r>
      <w:r>
        <w:rPr>
          <w:i/>
          <w:iCs/>
        </w:rPr>
        <w:t>p</w:t>
      </w:r>
      <w:r w:rsidRPr="75F6EB2C">
        <w:rPr>
          <w:i/>
          <w:iCs/>
        </w:rPr>
        <w:t xml:space="preserve">rotecting </w:t>
      </w:r>
      <w:r>
        <w:rPr>
          <w:i/>
          <w:iCs/>
        </w:rPr>
        <w:t>p</w:t>
      </w:r>
      <w:r w:rsidRPr="75F6EB2C">
        <w:rPr>
          <w:i/>
          <w:iCs/>
        </w:rPr>
        <w:t>ractice</w:t>
      </w:r>
      <w:r>
        <w:rPr>
          <w:i/>
          <w:iCs/>
        </w:rPr>
        <w:t xml:space="preserve"> </w:t>
      </w:r>
      <w:r>
        <w:t xml:space="preserve">(Huriwai and Baker 2016). </w:t>
      </w:r>
    </w:p>
    <w:p w14:paraId="41CB9FBF" w14:textId="77777777" w:rsidR="00B23CBC" w:rsidRDefault="00B23CBC" w:rsidP="004048ED"/>
    <w:p w14:paraId="38413A67" w14:textId="77777777" w:rsidR="004048ED" w:rsidRDefault="004048ED" w:rsidP="004048ED">
      <w:r>
        <w:t>When t</w:t>
      </w:r>
      <w:r w:rsidRPr="00BC26A7">
        <w:t xml:space="preserve">āngata </w:t>
      </w:r>
      <w:r>
        <w:t xml:space="preserve">whai ora come under the provisions of the Substance Addiction Act, there </w:t>
      </w:r>
      <w:r w:rsidRPr="00AA6737">
        <w:t xml:space="preserve">are </w:t>
      </w:r>
      <w:r>
        <w:t xml:space="preserve">several legislative components that may present complexity. These may include: </w:t>
      </w:r>
    </w:p>
    <w:p w14:paraId="396A44A1" w14:textId="77777777" w:rsidR="004048ED" w:rsidRDefault="004048ED" w:rsidP="00B23CBC">
      <w:pPr>
        <w:pStyle w:val="Bullet"/>
      </w:pPr>
      <w:r>
        <w:t xml:space="preserve">issues regarding the </w:t>
      </w:r>
      <w:r w:rsidRPr="00AA6737">
        <w:t xml:space="preserve">clinical judgement </w:t>
      </w:r>
      <w:r>
        <w:t>or assessment of t</w:t>
      </w:r>
      <w:r w:rsidRPr="00BC26A7">
        <w:t xml:space="preserve">āngata </w:t>
      </w:r>
      <w:r>
        <w:t>whai ora capacity to make informed decisions</w:t>
      </w:r>
    </w:p>
    <w:p w14:paraId="3CD7ABB5" w14:textId="77777777" w:rsidR="004048ED" w:rsidRDefault="004048ED" w:rsidP="00B23CBC">
      <w:pPr>
        <w:pStyle w:val="Bullet"/>
      </w:pPr>
      <w:r>
        <w:t>the period of compulsory treatment and clear communication regarding this process</w:t>
      </w:r>
    </w:p>
    <w:p w14:paraId="38E302B7" w14:textId="77777777" w:rsidR="004048ED" w:rsidRDefault="004048ED" w:rsidP="00B23CBC">
      <w:pPr>
        <w:pStyle w:val="Bullet"/>
      </w:pPr>
      <w:r>
        <w:t xml:space="preserve">the provisions for the use of the Substance Addiction Act. </w:t>
      </w:r>
    </w:p>
    <w:p w14:paraId="3DF51F0A" w14:textId="77777777" w:rsidR="00B23CBC" w:rsidRDefault="00B23CBC" w:rsidP="004048ED"/>
    <w:p w14:paraId="77EBF6A7" w14:textId="3BBC32C9" w:rsidR="004048ED" w:rsidRPr="001C230B" w:rsidRDefault="004048ED" w:rsidP="004048ED">
      <w:r>
        <w:t xml:space="preserve">For further information and guidance regarding these aspects of the Substance Addiction Act, district inspectors are expected to refer to the </w:t>
      </w:r>
      <w:r w:rsidRPr="00BC26A7">
        <w:rPr>
          <w:i/>
          <w:iCs/>
        </w:rPr>
        <w:t>Introductory Guideline</w:t>
      </w:r>
      <w:r>
        <w:rPr>
          <w:i/>
          <w:iCs/>
        </w:rPr>
        <w:t xml:space="preserve"> to</w:t>
      </w:r>
      <w:r w:rsidRPr="00BC26A7">
        <w:rPr>
          <w:i/>
          <w:iCs/>
        </w:rPr>
        <w:t xml:space="preserve"> the Substance Addiction (Compulsory Assessment and Treatment) Act 2017</w:t>
      </w:r>
      <w:r w:rsidRPr="001C230B">
        <w:t xml:space="preserve"> </w:t>
      </w:r>
      <w:r w:rsidRPr="00E428B1">
        <w:t>(Ministry of Health 2017).</w:t>
      </w:r>
    </w:p>
    <w:p w14:paraId="32624C25" w14:textId="038F5EC8" w:rsidR="004048ED" w:rsidRDefault="004048ED" w:rsidP="00C344A2">
      <w:pPr>
        <w:pStyle w:val="Heading3-numbered"/>
      </w:pPr>
      <w:r>
        <w:t xml:space="preserve">District inspectors designated under the </w:t>
      </w:r>
      <w:r w:rsidR="00E27AEB">
        <w:t>Intellectual Disability Act</w:t>
      </w:r>
    </w:p>
    <w:p w14:paraId="000FFB71" w14:textId="2E33E218" w:rsidR="004048ED" w:rsidRDefault="004048ED" w:rsidP="004048ED">
      <w:r>
        <w:t xml:space="preserve">District inspectors appointed under the </w:t>
      </w:r>
      <w:r w:rsidR="00E27AEB">
        <w:t>Intellectual Disability Act</w:t>
      </w:r>
      <w:r>
        <w:t xml:space="preserve"> must concurrently be appointed as a district inspector under the Mental Health Act. </w:t>
      </w:r>
    </w:p>
    <w:p w14:paraId="4C263F2F" w14:textId="77777777" w:rsidR="00B23CBC" w:rsidRDefault="00B23CBC" w:rsidP="004048ED"/>
    <w:p w14:paraId="002DC2EB" w14:textId="109BBE49" w:rsidR="004048ED" w:rsidRDefault="004048ED" w:rsidP="004048ED">
      <w:r>
        <w:t xml:space="preserve">The </w:t>
      </w:r>
      <w:r w:rsidR="00E27AEB">
        <w:t>Intellectual Disability Act</w:t>
      </w:r>
      <w:r>
        <w:t xml:space="preserve"> establishes a scheme that authorises the provision of compulsory care and rehabilitation to individuals with an intellectual disability who have been charged with, or convicted of, an offence. The purposes of the </w:t>
      </w:r>
      <w:r w:rsidR="00E27AEB">
        <w:t>Intellectual Disability Act</w:t>
      </w:r>
      <w:r>
        <w:t xml:space="preserve"> are to:</w:t>
      </w:r>
    </w:p>
    <w:p w14:paraId="769B72EF" w14:textId="77777777" w:rsidR="004048ED" w:rsidRPr="00B23CBC" w:rsidRDefault="004048ED" w:rsidP="00B23CBC">
      <w:pPr>
        <w:pStyle w:val="Bullet"/>
      </w:pPr>
      <w:r w:rsidRPr="00B23CBC">
        <w:t>provide the courts with appropriate compulsory care and rehabilitation options for people who have an intellectual disability and who are charged with, or are convicted of, an offence</w:t>
      </w:r>
    </w:p>
    <w:p w14:paraId="44951FD9" w14:textId="41DFA174" w:rsidR="004048ED" w:rsidRPr="00B23CBC" w:rsidRDefault="004048ED" w:rsidP="00B23CBC">
      <w:pPr>
        <w:pStyle w:val="Bullet"/>
      </w:pPr>
      <w:r w:rsidRPr="00B23CBC">
        <w:t xml:space="preserve">recognise and safeguard the special rights of individuals subject to the </w:t>
      </w:r>
      <w:r w:rsidR="00E27AEB">
        <w:t>Intellectual Disability Act</w:t>
      </w:r>
    </w:p>
    <w:p w14:paraId="27F39157" w14:textId="3B41BC0D" w:rsidR="004048ED" w:rsidRPr="00B23CBC" w:rsidRDefault="004048ED" w:rsidP="00B23CBC">
      <w:pPr>
        <w:pStyle w:val="Bullet"/>
      </w:pPr>
      <w:r w:rsidRPr="00B23CBC">
        <w:lastRenderedPageBreak/>
        <w:t xml:space="preserve">provide for the appropriate use of different levels of care for individuals who, while no longer subject to the criminal justice system, remain subject to the </w:t>
      </w:r>
      <w:r w:rsidR="00E27AEB">
        <w:t>Intellectual Disability Act</w:t>
      </w:r>
      <w:r w:rsidRPr="00B23CBC">
        <w:t>.</w:t>
      </w:r>
    </w:p>
    <w:p w14:paraId="6DF7203A" w14:textId="77777777" w:rsidR="00B23CBC" w:rsidRDefault="00B23CBC" w:rsidP="00B23CBC"/>
    <w:p w14:paraId="461B7159" w14:textId="63D8218D" w:rsidR="004048ED" w:rsidRDefault="004048ED" w:rsidP="00B23CBC">
      <w:r>
        <w:t xml:space="preserve">The scope established by the </w:t>
      </w:r>
      <w:r w:rsidR="00E27AEB">
        <w:t>Intellectual Disability Act</w:t>
      </w:r>
      <w:r>
        <w:t xml:space="preserve"> includes individuals who both:</w:t>
      </w:r>
    </w:p>
    <w:p w14:paraId="25D84CC2" w14:textId="77777777" w:rsidR="004048ED" w:rsidRPr="00B23CBC" w:rsidRDefault="004048ED" w:rsidP="00B23CBC">
      <w:pPr>
        <w:pStyle w:val="Bullet"/>
      </w:pPr>
      <w:r w:rsidRPr="00B23CBC">
        <w:t>have been charged with or are convicted of an offence, and</w:t>
      </w:r>
    </w:p>
    <w:p w14:paraId="760577C1" w14:textId="758C0E76" w:rsidR="004048ED" w:rsidRPr="00B23CBC" w:rsidRDefault="004048ED" w:rsidP="00B23CBC">
      <w:pPr>
        <w:pStyle w:val="Bullet"/>
      </w:pPr>
      <w:r w:rsidRPr="00B23CBC">
        <w:t xml:space="preserve">have an intellectual disability as defined by section 7 of the </w:t>
      </w:r>
      <w:r w:rsidR="00E27AEB">
        <w:t>Intellectual Disability Act</w:t>
      </w:r>
      <w:r w:rsidRPr="00B23CBC">
        <w:t>.</w:t>
      </w:r>
    </w:p>
    <w:p w14:paraId="52DE4813" w14:textId="77777777" w:rsidR="00B23CBC" w:rsidRDefault="00B23CBC" w:rsidP="00B23CBC"/>
    <w:p w14:paraId="4AD019AE" w14:textId="270BCED2" w:rsidR="004048ED" w:rsidRPr="00D27444" w:rsidRDefault="004048ED" w:rsidP="00B23CBC">
      <w:r>
        <w:t xml:space="preserve">The specific functions of district inspectors are outlined in Part 7 of </w:t>
      </w:r>
      <w:r w:rsidRPr="00317B77">
        <w:rPr>
          <w:rFonts w:cs="Segoe UI"/>
          <w:szCs w:val="21"/>
        </w:rPr>
        <w:t xml:space="preserve">the </w:t>
      </w:r>
      <w:r w:rsidR="00E27AEB">
        <w:t>Intellectual Disability Act</w:t>
      </w:r>
      <w:r w:rsidRPr="00317B77">
        <w:rPr>
          <w:rFonts w:cs="Segoe UI"/>
          <w:szCs w:val="21"/>
        </w:rPr>
        <w:t xml:space="preserve"> and include:</w:t>
      </w:r>
    </w:p>
    <w:p w14:paraId="2C75F7B6" w14:textId="0B0A206A" w:rsidR="004048ED" w:rsidRPr="00B23CBC" w:rsidRDefault="004048ED" w:rsidP="00B23CBC">
      <w:pPr>
        <w:pStyle w:val="Bullet"/>
      </w:pPr>
      <w:r w:rsidRPr="00B23CBC">
        <w:t xml:space="preserve">conducting investigations and inquiries into any alleged breach of the </w:t>
      </w:r>
      <w:r w:rsidR="00E27AEB">
        <w:t>Intellectual Disability Act</w:t>
      </w:r>
      <w:r w:rsidRPr="00B23CBC">
        <w:t xml:space="preserve"> or breach of duty by any Director, employee or agent of a service under sections 98 and 101 </w:t>
      </w:r>
    </w:p>
    <w:p w14:paraId="44ACD03E" w14:textId="77777777" w:rsidR="004048ED" w:rsidRPr="00A45B9C" w:rsidRDefault="004048ED" w:rsidP="00B23CBC">
      <w:pPr>
        <w:pStyle w:val="Bullet"/>
        <w:rPr>
          <w:szCs w:val="21"/>
        </w:rPr>
      </w:pPr>
      <w:r>
        <w:t xml:space="preserve">checking </w:t>
      </w:r>
      <w:r w:rsidRPr="00A45B9C">
        <w:rPr>
          <w:i/>
          <w:iCs/>
        </w:rPr>
        <w:t xml:space="preserve">care recipient </w:t>
      </w:r>
      <w:r>
        <w:t>care and rehabilitation plans are completed and maintained</w:t>
      </w:r>
    </w:p>
    <w:p w14:paraId="34BDAD2C" w14:textId="1E8A38FC" w:rsidR="004048ED" w:rsidRDefault="004048ED" w:rsidP="00B23CBC">
      <w:pPr>
        <w:pStyle w:val="Bullet"/>
      </w:pPr>
      <w:r>
        <w:t xml:space="preserve">confirming that cultural assessments are carried out for </w:t>
      </w:r>
      <w:r w:rsidRPr="00A45B9C">
        <w:rPr>
          <w:i/>
          <w:iCs/>
        </w:rPr>
        <w:t xml:space="preserve">care recipients </w:t>
      </w:r>
      <w:r>
        <w:t xml:space="preserve">subject to the </w:t>
      </w:r>
      <w:r w:rsidR="00E27AEB">
        <w:t>Intellectual Disability Act</w:t>
      </w:r>
    </w:p>
    <w:p w14:paraId="6BA931DF" w14:textId="46B4364D" w:rsidR="004048ED" w:rsidRDefault="004048ED" w:rsidP="00B23CBC">
      <w:pPr>
        <w:pStyle w:val="Bullet"/>
      </w:pPr>
      <w:r>
        <w:t xml:space="preserve">monitoring </w:t>
      </w:r>
      <w:r w:rsidRPr="00DA5366">
        <w:rPr>
          <w:i/>
          <w:iCs/>
        </w:rPr>
        <w:t xml:space="preserve">care recipient </w:t>
      </w:r>
      <w:r>
        <w:t>progress within the services related to their care and rehabilitation plan. If there are issues related to this, the district inspector should investigate and escalate their concerns to the person’s care manager. District inspectors ensure that complaints of breaches of tāngata whaikaha rights are investigated and reported to the person’s</w:t>
      </w:r>
      <w:r w:rsidR="008214EF">
        <w:t xml:space="preserve"> </w:t>
      </w:r>
      <w:r>
        <w:t xml:space="preserve">care manager, with a copy of the report sent to the Director-General of Health. As part of this work, district inspectors may make recommendations as they think fit for the services to take such steps as may be necessary to rectify matters investigated. </w:t>
      </w:r>
    </w:p>
    <w:p w14:paraId="18CBF813" w14:textId="007F89FF" w:rsidR="002B3F7F" w:rsidRDefault="002B3F7F" w:rsidP="002B3F7F">
      <w:pPr>
        <w:rPr>
          <w:rFonts w:eastAsia="Segoe UI" w:cs="Segoe UI"/>
        </w:rPr>
      </w:pPr>
    </w:p>
    <w:p w14:paraId="5C420F1D" w14:textId="77777777" w:rsidR="00B43C67" w:rsidRDefault="00B43C67" w:rsidP="002B3F7F">
      <w:pPr>
        <w:rPr>
          <w:rFonts w:eastAsia="Segoe UI" w:cs="Segoe UI"/>
        </w:rPr>
        <w:sectPr w:rsidR="00B43C67" w:rsidSect="00191D52">
          <w:pgSz w:w="11907" w:h="16840" w:code="9"/>
          <w:pgMar w:top="1418" w:right="1701" w:bottom="1134" w:left="1843" w:header="284" w:footer="425" w:gutter="284"/>
          <w:cols w:space="720"/>
        </w:sectPr>
      </w:pPr>
    </w:p>
    <w:p w14:paraId="5C863F13" w14:textId="5B13C0B6" w:rsidR="00716F8D" w:rsidRDefault="00B43C67" w:rsidP="00D364DE">
      <w:pPr>
        <w:pStyle w:val="Heading1-numbered"/>
      </w:pPr>
      <w:bookmarkStart w:id="23" w:name="_Ref139782044"/>
      <w:bookmarkStart w:id="24" w:name="_Ref140759473"/>
      <w:bookmarkStart w:id="25" w:name="_Toc200199226"/>
      <w:bookmarkStart w:id="26" w:name="_Toc207353868"/>
      <w:r w:rsidRPr="00B43C67">
        <w:lastRenderedPageBreak/>
        <w:t>District inspector duties</w:t>
      </w:r>
      <w:bookmarkEnd w:id="23"/>
      <w:bookmarkEnd w:id="24"/>
      <w:bookmarkEnd w:id="25"/>
      <w:bookmarkEnd w:id="26"/>
    </w:p>
    <w:p w14:paraId="361A79D0" w14:textId="5C4963FF" w:rsidR="00820A3E" w:rsidRDefault="00820A3E" w:rsidP="00E548A1">
      <w:r w:rsidRPr="00AE35B4">
        <w:t xml:space="preserve">Duties of </w:t>
      </w:r>
      <w:r w:rsidR="00901676">
        <w:t>district inspectors include:</w:t>
      </w:r>
    </w:p>
    <w:p w14:paraId="62CDDAB1" w14:textId="404C811B" w:rsidR="00901676" w:rsidRDefault="00901676" w:rsidP="00E548A1">
      <w:pPr>
        <w:pStyle w:val="Bullet"/>
      </w:pPr>
      <w:r>
        <w:t>Providing and checking information</w:t>
      </w:r>
    </w:p>
    <w:p w14:paraId="20B36A5B" w14:textId="795EFA73" w:rsidR="00901676" w:rsidRDefault="00901676" w:rsidP="00E548A1">
      <w:pPr>
        <w:pStyle w:val="Bullet"/>
      </w:pPr>
      <w:r>
        <w:t>Rev</w:t>
      </w:r>
      <w:r w:rsidR="003F34E5">
        <w:t>iewing procedures</w:t>
      </w:r>
    </w:p>
    <w:p w14:paraId="01BFD29C" w14:textId="565AFBC8" w:rsidR="003F34E5" w:rsidRDefault="003F34E5" w:rsidP="00E548A1">
      <w:pPr>
        <w:pStyle w:val="Bullet"/>
      </w:pPr>
      <w:r>
        <w:t xml:space="preserve">Visiting and inspecting </w:t>
      </w:r>
    </w:p>
    <w:p w14:paraId="6319D236" w14:textId="743F1C92" w:rsidR="003F34E5" w:rsidRDefault="003F34E5" w:rsidP="00E548A1">
      <w:pPr>
        <w:pStyle w:val="Bullet"/>
      </w:pPr>
      <w:r>
        <w:t xml:space="preserve">Complaint handling and </w:t>
      </w:r>
      <w:r w:rsidR="00EA73CC">
        <w:t>investigation</w:t>
      </w:r>
    </w:p>
    <w:p w14:paraId="171E7C3B" w14:textId="645B60A0" w:rsidR="00940BEA" w:rsidRDefault="00940BEA" w:rsidP="00E548A1">
      <w:pPr>
        <w:pStyle w:val="Bullet"/>
      </w:pPr>
      <w:r w:rsidRPr="00940BEA">
        <w:t>Conducting complaint investigations and inquiries</w:t>
      </w:r>
    </w:p>
    <w:p w14:paraId="6F5BA197" w14:textId="3192BA55" w:rsidR="00EA73CC" w:rsidRPr="00901676" w:rsidRDefault="00EA73CC" w:rsidP="00E548A1">
      <w:pPr>
        <w:pStyle w:val="Bullet"/>
      </w:pPr>
      <w:r>
        <w:t>Reporting and invoicing</w:t>
      </w:r>
      <w:r w:rsidR="005D3CB3">
        <w:t>.</w:t>
      </w:r>
    </w:p>
    <w:p w14:paraId="1122885C" w14:textId="77777777" w:rsidR="00B43C67" w:rsidRDefault="00B43C67" w:rsidP="00191D52">
      <w:pPr>
        <w:pStyle w:val="Heading2-numbered"/>
      </w:pPr>
      <w:bookmarkStart w:id="27" w:name="_Toc200199227"/>
      <w:bookmarkStart w:id="28" w:name="_Toc207353869"/>
      <w:r>
        <w:t>Providing and checking information</w:t>
      </w:r>
      <w:bookmarkEnd w:id="27"/>
      <w:bookmarkEnd w:id="28"/>
      <w:r>
        <w:t xml:space="preserve"> </w:t>
      </w:r>
    </w:p>
    <w:p w14:paraId="74D5E678" w14:textId="25182F87" w:rsidR="00B43C67" w:rsidRDefault="00B43C67" w:rsidP="00B43C67">
      <w:r>
        <w:rPr>
          <w:rFonts w:cs="Arial"/>
        </w:rPr>
        <w:t>E</w:t>
      </w:r>
      <w:r w:rsidRPr="00A12BD1">
        <w:t xml:space="preserve">very </w:t>
      </w:r>
      <w:r w:rsidRPr="7362CCE2">
        <w:rPr>
          <w:i/>
        </w:rPr>
        <w:t>patient</w:t>
      </w:r>
      <w:r>
        <w:rPr>
          <w:i/>
        </w:rPr>
        <w:t xml:space="preserve"> </w:t>
      </w:r>
      <w:r w:rsidRPr="000A33B1">
        <w:rPr>
          <w:iCs/>
        </w:rPr>
        <w:t>or</w:t>
      </w:r>
      <w:r>
        <w:rPr>
          <w:i/>
        </w:rPr>
        <w:t xml:space="preserve"> care recipient</w:t>
      </w:r>
      <w:r w:rsidRPr="00A12BD1">
        <w:t xml:space="preserve"> </w:t>
      </w:r>
      <w:r>
        <w:t>who is subject to compulsory assessment, treatment or care</w:t>
      </w:r>
      <w:r w:rsidRPr="00A12BD1">
        <w:t xml:space="preserve"> is entitled to be kept informed</w:t>
      </w:r>
      <w:r>
        <w:t xml:space="preserve"> of</w:t>
      </w:r>
      <w:r w:rsidRPr="00A12BD1">
        <w:t xml:space="preserve"> </w:t>
      </w:r>
      <w:r>
        <w:t xml:space="preserve">their rights, </w:t>
      </w:r>
      <w:r w:rsidRPr="00A12BD1">
        <w:t xml:space="preserve">and of the functions and duties of </w:t>
      </w:r>
      <w:r>
        <w:t>d</w:t>
      </w:r>
      <w:r w:rsidRPr="00A12BD1">
        <w:t>istrict inspectors.</w:t>
      </w:r>
      <w:r>
        <w:t xml:space="preserve"> District inspectors must provide </w:t>
      </w:r>
      <w:r w:rsidRPr="7362CCE2">
        <w:rPr>
          <w:i/>
        </w:rPr>
        <w:t>patients</w:t>
      </w:r>
      <w:r>
        <w:t xml:space="preserve"> </w:t>
      </w:r>
      <w:r w:rsidRPr="000A33B1">
        <w:rPr>
          <w:iCs/>
        </w:rPr>
        <w:t>or</w:t>
      </w:r>
      <w:r>
        <w:rPr>
          <w:i/>
        </w:rPr>
        <w:t xml:space="preserve"> care recipients </w:t>
      </w:r>
      <w:r>
        <w:rPr>
          <w:iCs/>
        </w:rPr>
        <w:t xml:space="preserve">and family or </w:t>
      </w:r>
      <w:r>
        <w:t>whānau</w:t>
      </w:r>
      <w:r>
        <w:rPr>
          <w:iCs/>
        </w:rPr>
        <w:t xml:space="preserve"> </w:t>
      </w:r>
      <w:r>
        <w:t xml:space="preserve">with the required information about the compulsory treatment or care process. </w:t>
      </w:r>
    </w:p>
    <w:p w14:paraId="2BE421E4" w14:textId="77777777" w:rsidR="00B43C67" w:rsidRDefault="00B43C67" w:rsidP="00B43C67"/>
    <w:p w14:paraId="4CF77A83" w14:textId="69F4E51E" w:rsidR="00B43C67" w:rsidRDefault="00B43C67" w:rsidP="00B43C67">
      <w:r w:rsidRPr="00725852">
        <w:t xml:space="preserve">District inspectors monitor the application of the </w:t>
      </w:r>
      <w:r>
        <w:t xml:space="preserve">Act they are functioning under </w:t>
      </w:r>
      <w:r w:rsidRPr="00725852">
        <w:t xml:space="preserve">by ensuring that </w:t>
      </w:r>
      <w:r>
        <w:t xml:space="preserve">people </w:t>
      </w:r>
      <w:r w:rsidRPr="00725852">
        <w:t>subject to compulsory assessment</w:t>
      </w:r>
      <w:r>
        <w:t xml:space="preserve">, </w:t>
      </w:r>
      <w:r w:rsidRPr="00725852">
        <w:t xml:space="preserve">treatment </w:t>
      </w:r>
      <w:r>
        <w:t xml:space="preserve">or care are </w:t>
      </w:r>
      <w:r w:rsidRPr="00725852">
        <w:t xml:space="preserve">treated in accordance with statutory requirements and in a fair and </w:t>
      </w:r>
      <w:r>
        <w:t>respectful</w:t>
      </w:r>
      <w:r w:rsidRPr="00725852">
        <w:t xml:space="preserve"> manner regarding the principles of natural justice.</w:t>
      </w:r>
    </w:p>
    <w:p w14:paraId="7306A010" w14:textId="77777777" w:rsidR="00B43C67" w:rsidRDefault="00B43C67" w:rsidP="00B43C67"/>
    <w:p w14:paraId="4D23C33D" w14:textId="603782CB" w:rsidR="00B43C67" w:rsidRDefault="00B43C67" w:rsidP="00B43C67">
      <w:r>
        <w:t>D</w:t>
      </w:r>
      <w:r w:rsidRPr="004B1E58">
        <w:t xml:space="preserve">istrict </w:t>
      </w:r>
      <w:r>
        <w:t>inspectors must</w:t>
      </w:r>
      <w:r w:rsidRPr="004B1E58">
        <w:t xml:space="preserve"> see every </w:t>
      </w:r>
      <w:r w:rsidRPr="7362CCE2">
        <w:rPr>
          <w:i/>
        </w:rPr>
        <w:t>patient</w:t>
      </w:r>
      <w:r w:rsidRPr="00E067E2">
        <w:rPr>
          <w:iCs/>
        </w:rPr>
        <w:t xml:space="preserve"> </w:t>
      </w:r>
      <w:r w:rsidRPr="000A33B1">
        <w:rPr>
          <w:iCs/>
        </w:rPr>
        <w:t>or</w:t>
      </w:r>
      <w:r>
        <w:rPr>
          <w:i/>
        </w:rPr>
        <w:t xml:space="preserve"> care recipient</w:t>
      </w:r>
      <w:r w:rsidRPr="7362CCE2">
        <w:rPr>
          <w:i/>
        </w:rPr>
        <w:t xml:space="preserve"> </w:t>
      </w:r>
      <w:r>
        <w:t xml:space="preserve">to </w:t>
      </w:r>
      <w:r w:rsidRPr="004B1E58">
        <w:t xml:space="preserve">provide them with information on the processes in which they are involved and to check </w:t>
      </w:r>
      <w:r>
        <w:t xml:space="preserve">associated </w:t>
      </w:r>
      <w:r w:rsidRPr="004B1E58">
        <w:t>documentation to ensure that it complies with the procedural steps outlined in the legislation</w:t>
      </w:r>
      <w:r>
        <w:t xml:space="preserve"> they are subject to. This information should be provided in plain language or alternative formats where appropriate. </w:t>
      </w:r>
    </w:p>
    <w:p w14:paraId="4CA17EAF" w14:textId="77777777" w:rsidR="00B43C67" w:rsidRDefault="00B43C67" w:rsidP="00B43C67"/>
    <w:p w14:paraId="2F7080F6" w14:textId="3C887E56" w:rsidR="00B43C67" w:rsidRDefault="00B43C67" w:rsidP="00B43C67">
      <w:r>
        <w:t xml:space="preserve">When first formally engaging with a </w:t>
      </w:r>
      <w:r w:rsidRPr="75F6EB2C">
        <w:rPr>
          <w:i/>
          <w:iCs/>
        </w:rPr>
        <w:t>patient</w:t>
      </w:r>
      <w:r>
        <w:t xml:space="preserve"> or</w:t>
      </w:r>
      <w:r w:rsidRPr="75F6EB2C">
        <w:rPr>
          <w:i/>
          <w:iCs/>
        </w:rPr>
        <w:t xml:space="preserve"> care recipient</w:t>
      </w:r>
      <w:r>
        <w:t xml:space="preserve"> and their family and whānau, the district inspector is expected to introduce themself in the district inspector role. T</w:t>
      </w:r>
      <w:r w:rsidRPr="00DC272D">
        <w:t>he district inspecto</w:t>
      </w:r>
      <w:r>
        <w:t xml:space="preserve">r should describe the functions of a district inspector, explain the </w:t>
      </w:r>
      <w:r w:rsidRPr="00E428B1">
        <w:rPr>
          <w:i/>
          <w:iCs/>
        </w:rPr>
        <w:t>patient’s</w:t>
      </w:r>
      <w:r>
        <w:t xml:space="preserve"> or </w:t>
      </w:r>
      <w:r w:rsidRPr="00E428B1">
        <w:rPr>
          <w:i/>
          <w:iCs/>
        </w:rPr>
        <w:t>care recipient’s</w:t>
      </w:r>
      <w:r>
        <w:t xml:space="preserve"> rights under the Act they are subject to, and discuss the option to apply for a review under the relevant legislation, should this be appropriate.</w:t>
      </w:r>
    </w:p>
    <w:p w14:paraId="7005D838" w14:textId="6A85F0B7" w:rsidR="00B43C67" w:rsidRDefault="00B43C67" w:rsidP="00B43C67">
      <w:r>
        <w:t xml:space="preserve"> </w:t>
      </w:r>
    </w:p>
    <w:p w14:paraId="2B44CD1D" w14:textId="6AAA62ED" w:rsidR="00B43C67" w:rsidRDefault="00B43C67" w:rsidP="00B43C67">
      <w:r>
        <w:t>District inspectors must be aware of the importance of engaging with family and wh</w:t>
      </w:r>
      <w:r>
        <w:rPr>
          <w:rFonts w:cs="Segoe UI"/>
        </w:rPr>
        <w:t>ā</w:t>
      </w:r>
      <w:r>
        <w:t xml:space="preserve">nau, alongside maintaining a balance between the </w:t>
      </w:r>
      <w:r w:rsidRPr="007D17F9">
        <w:rPr>
          <w:i/>
          <w:iCs/>
        </w:rPr>
        <w:t>patient</w:t>
      </w:r>
      <w:r>
        <w:t xml:space="preserve">’s or </w:t>
      </w:r>
      <w:r w:rsidRPr="007D17F9">
        <w:rPr>
          <w:i/>
          <w:iCs/>
        </w:rPr>
        <w:t>care recipient</w:t>
      </w:r>
      <w:r w:rsidRPr="00E428B1">
        <w:t>’s</w:t>
      </w:r>
      <w:r w:rsidRPr="007D17F9">
        <w:rPr>
          <w:i/>
          <w:iCs/>
        </w:rPr>
        <w:t xml:space="preserve"> </w:t>
      </w:r>
      <w:r>
        <w:t>wishes and their privacy, and the engagement with family and wh</w:t>
      </w:r>
      <w:r>
        <w:rPr>
          <w:rFonts w:cs="Segoe UI"/>
        </w:rPr>
        <w:t>ā</w:t>
      </w:r>
      <w:r>
        <w:t>nau.</w:t>
      </w:r>
      <w:r w:rsidRPr="00E9570D">
        <w:t xml:space="preserve"> </w:t>
      </w:r>
      <w:r>
        <w:t xml:space="preserve">It can be challenging for health professionals to strike the right balance </w:t>
      </w:r>
      <w:r w:rsidRPr="001348CC">
        <w:t xml:space="preserve">between respecting </w:t>
      </w:r>
      <w:r w:rsidRPr="001348CC">
        <w:lastRenderedPageBreak/>
        <w:t xml:space="preserve">patient </w:t>
      </w:r>
      <w:r>
        <w:t xml:space="preserve">or care recipient </w:t>
      </w:r>
      <w:r w:rsidRPr="001348CC">
        <w:t>privacy and adhering to privacy rules, on the one hand, and meaningfully involving</w:t>
      </w:r>
      <w:r>
        <w:t xml:space="preserve"> family</w:t>
      </w:r>
      <w:r w:rsidRPr="006A4E50">
        <w:t xml:space="preserve"> </w:t>
      </w:r>
      <w:r>
        <w:t>and wh</w:t>
      </w:r>
      <w:r>
        <w:rPr>
          <w:rFonts w:cs="Segoe UI"/>
        </w:rPr>
        <w:t>ā</w:t>
      </w:r>
      <w:r>
        <w:t xml:space="preserve">nau in someone’s treatment journey </w:t>
      </w:r>
      <w:r w:rsidRPr="00E428B1">
        <w:t>on the other</w:t>
      </w:r>
      <w:r>
        <w:t>. It requires health professionals to apply discretion and careful judgement in relation to what is in the best interests of the person they are caring for.</w:t>
      </w:r>
      <w:r w:rsidR="008214EF">
        <w:t xml:space="preserve"> </w:t>
      </w:r>
    </w:p>
    <w:p w14:paraId="28B8B9BC" w14:textId="77777777" w:rsidR="00B43C67" w:rsidRDefault="00B43C67" w:rsidP="00B43C67"/>
    <w:p w14:paraId="097D9340" w14:textId="51BA17FE" w:rsidR="00B43C67" w:rsidRDefault="00B43C67" w:rsidP="00B43C67">
      <w:r>
        <w:t>There are several pieces of existing guidance to support health professionals to navigate this balance. The Royal Australian and New Zealand College of Psychiatrists (2021a, 2021b) has guidance for working effectively with family members involved in the care of their loved ones. The Privacy Commissioner (nd-a, nd-b) also has some information on the Office of the Privacy Commissioner’s website regarding disclosing health information to family. It may be useful for district inspectors to familiarise themselves with these resources and refer health professionals to them, where appropriate.</w:t>
      </w:r>
    </w:p>
    <w:p w14:paraId="6B375C0A" w14:textId="77777777" w:rsidR="00B43C67" w:rsidRDefault="00B43C67" w:rsidP="00B43C67"/>
    <w:p w14:paraId="3186BD31" w14:textId="45D2D3A2" w:rsidR="00B43C67" w:rsidRDefault="00B43C67" w:rsidP="00B43C67">
      <w:pPr>
        <w:rPr>
          <w:rFonts w:cs="Segoe UI"/>
        </w:rPr>
      </w:pPr>
      <w:r>
        <w:t xml:space="preserve">During all meetings with </w:t>
      </w:r>
      <w:r w:rsidRPr="75F6EB2C">
        <w:rPr>
          <w:i/>
          <w:iCs/>
        </w:rPr>
        <w:t>patients</w:t>
      </w:r>
      <w:r>
        <w:t xml:space="preserve"> or</w:t>
      </w:r>
      <w:r w:rsidRPr="75F6EB2C">
        <w:rPr>
          <w:i/>
          <w:iCs/>
        </w:rPr>
        <w:t xml:space="preserve"> care recipients</w:t>
      </w:r>
      <w:r>
        <w:t xml:space="preserve">, the district inspector should always provide information about the next steps in the process they are supporting the person with, check that they understand </w:t>
      </w:r>
      <w:r w:rsidRPr="75F6EB2C">
        <w:rPr>
          <w:rFonts w:cs="Segoe UI"/>
        </w:rPr>
        <w:t>and</w:t>
      </w:r>
      <w:r>
        <w:rPr>
          <w:rFonts w:cs="Segoe UI"/>
        </w:rPr>
        <w:t>,</w:t>
      </w:r>
      <w:r w:rsidRPr="75F6EB2C">
        <w:rPr>
          <w:rFonts w:cs="Segoe UI"/>
        </w:rPr>
        <w:t xml:space="preserve"> whenever possible, ascertain and acknowledge the</w:t>
      </w:r>
      <w:r w:rsidRPr="000716AB">
        <w:rPr>
          <w:rFonts w:cs="Segoe UI"/>
        </w:rPr>
        <w:t xml:space="preserve"> </w:t>
      </w:r>
      <w:r w:rsidRPr="75F6EB2C">
        <w:rPr>
          <w:rFonts w:cs="Segoe UI"/>
        </w:rPr>
        <w:t>wishes</w:t>
      </w:r>
      <w:r>
        <w:rPr>
          <w:rFonts w:cs="Segoe UI"/>
        </w:rPr>
        <w:t xml:space="preserve"> of</w:t>
      </w:r>
      <w:r w:rsidRPr="75F6EB2C">
        <w:rPr>
          <w:rFonts w:cs="Segoe UI"/>
        </w:rPr>
        <w:t xml:space="preserve"> tāngata whai ora on the matter. </w:t>
      </w:r>
    </w:p>
    <w:p w14:paraId="440DCC30" w14:textId="77777777" w:rsidR="00B43C67" w:rsidRDefault="00B43C67" w:rsidP="00B43C67">
      <w:pPr>
        <w:rPr>
          <w:rFonts w:cs="Segoe UI"/>
        </w:rPr>
      </w:pPr>
    </w:p>
    <w:p w14:paraId="1914CA75" w14:textId="605F1B36" w:rsidR="00B43C67" w:rsidRDefault="00B43C67" w:rsidP="00B43C67">
      <w:r>
        <w:t>S</w:t>
      </w:r>
      <w:r w:rsidRPr="005D1E01">
        <w:t xml:space="preserve">ection 1.7 </w:t>
      </w:r>
      <w:r>
        <w:t xml:space="preserve">of </w:t>
      </w:r>
      <w:r w:rsidRPr="005D1E01">
        <w:t>Ngā Paerewa</w:t>
      </w:r>
      <w:r w:rsidRPr="00795F46">
        <w:t xml:space="preserve"> </w:t>
      </w:r>
      <w:r w:rsidRPr="004539BE">
        <w:t>Health and Disability Services Standard 2021</w:t>
      </w:r>
      <w:r>
        <w:t xml:space="preserve"> (Standards New Zealand 2021) </w:t>
      </w:r>
      <w:r w:rsidRPr="005D1E01">
        <w:t>specifies that service providers shall establish procedures and policies for obtaining</w:t>
      </w:r>
      <w:r>
        <w:t xml:space="preserve"> the consent of</w:t>
      </w:r>
      <w:r w:rsidRPr="005D1E01">
        <w:t xml:space="preserve"> tāngata whai</w:t>
      </w:r>
      <w:r>
        <w:t xml:space="preserve"> </w:t>
      </w:r>
      <w:r w:rsidRPr="005D1E01">
        <w:t>ora.</w:t>
      </w:r>
      <w:r>
        <w:t xml:space="preserve"> District inspectors should be aware of each facility’s consent procedures</w:t>
      </w:r>
      <w:r w:rsidRPr="005D1E01">
        <w:t>.</w:t>
      </w:r>
      <w:r w:rsidRPr="00456F4F">
        <w:t xml:space="preserve"> </w:t>
      </w:r>
      <w:r>
        <w:t>I</w:t>
      </w:r>
      <w:r w:rsidRPr="00456F4F">
        <w:t>n cases where consent may not be straightforward</w:t>
      </w:r>
      <w:r>
        <w:t>,</w:t>
      </w:r>
      <w:r w:rsidRPr="00456F4F">
        <w:t xml:space="preserve"> it is important the service takes a support</w:t>
      </w:r>
      <w:r>
        <w:t xml:space="preserve">ed </w:t>
      </w:r>
      <w:r w:rsidRPr="00456F4F">
        <w:t>decision</w:t>
      </w:r>
      <w:r>
        <w:t>-</w:t>
      </w:r>
      <w:r w:rsidRPr="00456F4F">
        <w:t xml:space="preserve">making approach. </w:t>
      </w:r>
    </w:p>
    <w:p w14:paraId="3BA3D549" w14:textId="77777777" w:rsidR="00B43C67" w:rsidRPr="005D1E01" w:rsidRDefault="00B43C67" w:rsidP="00B43C67"/>
    <w:p w14:paraId="4DA7B32F" w14:textId="77777777" w:rsidR="00B43C67" w:rsidRDefault="00B43C67" w:rsidP="00B43C67">
      <w:pPr>
        <w:rPr>
          <w:iCs/>
        </w:rPr>
      </w:pPr>
      <w:r>
        <w:t xml:space="preserve">In practical terms, the Act that the district inspector is functioning under will define the specific procedural steps they must undertake to fulfil this aspect of their role. However, as outlined below, there are commonalities across all three Acts when providing or checking information to </w:t>
      </w:r>
      <w:r w:rsidRPr="7362CCE2">
        <w:rPr>
          <w:i/>
        </w:rPr>
        <w:t>patient</w:t>
      </w:r>
      <w:r>
        <w:rPr>
          <w:i/>
        </w:rPr>
        <w:t>s</w:t>
      </w:r>
      <w:r w:rsidRPr="00E067E2">
        <w:rPr>
          <w:iCs/>
        </w:rPr>
        <w:t xml:space="preserve"> </w:t>
      </w:r>
      <w:r w:rsidRPr="000A33B1">
        <w:rPr>
          <w:iCs/>
        </w:rPr>
        <w:t>or</w:t>
      </w:r>
      <w:r>
        <w:rPr>
          <w:i/>
        </w:rPr>
        <w:t xml:space="preserve"> care recipients</w:t>
      </w:r>
      <w:r>
        <w:rPr>
          <w:iCs/>
        </w:rPr>
        <w:t xml:space="preserve">. </w:t>
      </w:r>
    </w:p>
    <w:p w14:paraId="3591F342" w14:textId="77777777" w:rsidR="00B43C67" w:rsidRPr="007D6836" w:rsidRDefault="00B43C67" w:rsidP="00C344A2">
      <w:pPr>
        <w:pStyle w:val="Heading3-numbered"/>
      </w:pPr>
      <w:r>
        <w:t xml:space="preserve">Providing and checking information under the Mental Health Act </w:t>
      </w:r>
    </w:p>
    <w:p w14:paraId="3B2DF502" w14:textId="77777777" w:rsidR="00B43C67" w:rsidRPr="00843316" w:rsidRDefault="00B43C67" w:rsidP="00B43C67">
      <w:r>
        <w:t xml:space="preserve">District inspectors appointed under the Mental Health Act monitor the application of the Mental Health Act through providing and checking information specifically associated with: </w:t>
      </w:r>
    </w:p>
    <w:p w14:paraId="6D1D12E2" w14:textId="77777777" w:rsidR="00B43C67" w:rsidRPr="00B43C67" w:rsidRDefault="00B43C67" w:rsidP="00B43C67">
      <w:pPr>
        <w:pStyle w:val="Bullet"/>
      </w:pPr>
      <w:r w:rsidRPr="00B43C67">
        <w:t>the assessment procedures under section 12 of the Mental Health Act</w:t>
      </w:r>
    </w:p>
    <w:p w14:paraId="0F6A5B0B" w14:textId="77777777" w:rsidR="00B43C67" w:rsidRPr="00B43C67" w:rsidRDefault="00B43C67" w:rsidP="00B43C67">
      <w:pPr>
        <w:pStyle w:val="Bullet"/>
      </w:pPr>
      <w:r w:rsidRPr="00B43C67">
        <w:t>the assessment procedures under sections 14 and 14A of the Mental Health Act</w:t>
      </w:r>
    </w:p>
    <w:p w14:paraId="7E33810B" w14:textId="77777777" w:rsidR="00B43C67" w:rsidRPr="00B43C67" w:rsidRDefault="00B43C67" w:rsidP="00B43C67">
      <w:pPr>
        <w:pStyle w:val="Bullet"/>
      </w:pPr>
      <w:r w:rsidRPr="00B43C67">
        <w:t>attendance at hearings under sections 16, 17–30, 34 and 79 of the Mental Health Act.</w:t>
      </w:r>
    </w:p>
    <w:p w14:paraId="18EA9136" w14:textId="77777777" w:rsidR="00B43C67" w:rsidRPr="00B43C67" w:rsidRDefault="00B43C67" w:rsidP="00B43C67">
      <w:pPr>
        <w:pStyle w:val="Heading4"/>
      </w:pPr>
      <w:r w:rsidRPr="00B43C67">
        <w:t>Assessment procedures under section 12</w:t>
      </w:r>
    </w:p>
    <w:p w14:paraId="79D19529" w14:textId="173A363A" w:rsidR="00B43C67" w:rsidRDefault="00B43C67" w:rsidP="00B43C67">
      <w:r w:rsidRPr="00C709AC">
        <w:t xml:space="preserve">District inspector functions in relation to a </w:t>
      </w:r>
      <w:r w:rsidRPr="7362CCE2">
        <w:rPr>
          <w:i/>
        </w:rPr>
        <w:t>patient</w:t>
      </w:r>
      <w:r w:rsidRPr="00C709AC">
        <w:t xml:space="preserve"> usually commence at section 12(8) of the </w:t>
      </w:r>
      <w:r>
        <w:t xml:space="preserve">Mental Health </w:t>
      </w:r>
      <w:r w:rsidRPr="00C709AC">
        <w:t>Act. By this stage</w:t>
      </w:r>
      <w:r>
        <w:t>,</w:t>
      </w:r>
      <w:r w:rsidRPr="00C709AC">
        <w:t xml:space="preserve"> </w:t>
      </w:r>
      <w:r w:rsidRPr="00013906">
        <w:t xml:space="preserve">tāngata </w:t>
      </w:r>
      <w:r>
        <w:t>whai ora have</w:t>
      </w:r>
      <w:r w:rsidRPr="00C709AC">
        <w:t xml:space="preserve"> completed the first period of assessment and treatment under the</w:t>
      </w:r>
      <w:r>
        <w:t xml:space="preserve"> Mental Health</w:t>
      </w:r>
      <w:r w:rsidRPr="00C709AC">
        <w:t xml:space="preserve"> Act, and </w:t>
      </w:r>
      <w:r>
        <w:t>their</w:t>
      </w:r>
      <w:r w:rsidRPr="00C709AC">
        <w:t xml:space="preserve"> responsible clinician has decided that a further period of assessment of up to 14 days is required. Under section 12(5)(f) of the </w:t>
      </w:r>
      <w:r>
        <w:t xml:space="preserve">Mental Health </w:t>
      </w:r>
      <w:r w:rsidRPr="00C709AC">
        <w:t xml:space="preserve">Act, if the responsible clinician </w:t>
      </w:r>
      <w:r>
        <w:t xml:space="preserve">has </w:t>
      </w:r>
      <w:r>
        <w:lastRenderedPageBreak/>
        <w:t>reasonable grounds for believing</w:t>
      </w:r>
      <w:r w:rsidRPr="00C709AC">
        <w:t xml:space="preserve"> that the </w:t>
      </w:r>
      <w:r w:rsidRPr="7362CCE2">
        <w:rPr>
          <w:i/>
        </w:rPr>
        <w:t>patient</w:t>
      </w:r>
      <w:r w:rsidRPr="00C709AC">
        <w:t xml:space="preserve"> is mentally disordered and considers</w:t>
      </w:r>
      <w:r>
        <w:t xml:space="preserve"> it is desirable</w:t>
      </w:r>
      <w:r w:rsidRPr="00C709AC">
        <w:t xml:space="preserve"> that </w:t>
      </w:r>
      <w:r>
        <w:t>they</w:t>
      </w:r>
      <w:r w:rsidRPr="00C709AC">
        <w:t xml:space="preserve"> should undergo further assessment and treatment, the responsible clinician will send a copy of the certificate of further assessment to the district inspector. </w:t>
      </w:r>
    </w:p>
    <w:p w14:paraId="2F3F0758" w14:textId="77777777" w:rsidR="00B43C67" w:rsidRPr="00C709AC" w:rsidRDefault="00B43C67" w:rsidP="00B43C67"/>
    <w:p w14:paraId="78545036" w14:textId="20097E42" w:rsidR="00B43C67" w:rsidRDefault="00B43C67" w:rsidP="00B43C67">
      <w:r w:rsidRPr="00C709AC">
        <w:t xml:space="preserve">The district inspector who receives a copy of the certificate of further assessment must consider whether an application should be made to have the </w:t>
      </w:r>
      <w:r w:rsidRPr="7362CCE2">
        <w:rPr>
          <w:i/>
        </w:rPr>
        <w:t>patient</w:t>
      </w:r>
      <w:r w:rsidRPr="00E428B1">
        <w:t>’s</w:t>
      </w:r>
      <w:r w:rsidRPr="00656B86">
        <w:t xml:space="preserve"> </w:t>
      </w:r>
      <w:r w:rsidRPr="00C709AC">
        <w:t xml:space="preserve">condition reviewed by a </w:t>
      </w:r>
      <w:r>
        <w:t>j</w:t>
      </w:r>
      <w:r w:rsidRPr="00C709AC">
        <w:t xml:space="preserve">udge under section 16 of the </w:t>
      </w:r>
      <w:r>
        <w:t xml:space="preserve">Mental Health </w:t>
      </w:r>
      <w:r w:rsidRPr="00C709AC">
        <w:t xml:space="preserve">Act. To make such a decision, the district inspector is required to talk to the </w:t>
      </w:r>
      <w:r w:rsidRPr="7362CCE2">
        <w:rPr>
          <w:i/>
        </w:rPr>
        <w:t>patient</w:t>
      </w:r>
      <w:r w:rsidRPr="00C709AC">
        <w:t xml:space="preserve"> and, if possible, ascertain </w:t>
      </w:r>
      <w:r>
        <w:t xml:space="preserve">their </w:t>
      </w:r>
      <w:r w:rsidRPr="00C709AC">
        <w:t xml:space="preserve">wishes in the matter </w:t>
      </w:r>
      <w:r>
        <w:t xml:space="preserve">pursuant to </w:t>
      </w:r>
      <w:r w:rsidRPr="00C709AC">
        <w:t xml:space="preserve">section 12(8) of the </w:t>
      </w:r>
      <w:r>
        <w:t xml:space="preserve">Mental Health </w:t>
      </w:r>
      <w:r w:rsidRPr="00C709AC">
        <w:t>Act.</w:t>
      </w:r>
    </w:p>
    <w:p w14:paraId="55960D72" w14:textId="78DDB54F" w:rsidR="00B43C67" w:rsidRDefault="00B43C67" w:rsidP="00B43C67">
      <w:r>
        <w:t xml:space="preserve">When a </w:t>
      </w:r>
      <w:r w:rsidRPr="7362CCE2">
        <w:t>district inspector</w:t>
      </w:r>
      <w:r>
        <w:t xml:space="preserve"> talks to a </w:t>
      </w:r>
      <w:r w:rsidRPr="0040232C">
        <w:rPr>
          <w:i/>
          <w:iCs/>
        </w:rPr>
        <w:t>patient</w:t>
      </w:r>
      <w:r>
        <w:t xml:space="preserve"> pursuant to section 12(8), this will be </w:t>
      </w:r>
      <w:r w:rsidRPr="7362CCE2">
        <w:t xml:space="preserve">the first formal occasion on which the </w:t>
      </w:r>
      <w:r w:rsidRPr="7362CCE2">
        <w:rPr>
          <w:i/>
          <w:iCs/>
        </w:rPr>
        <w:t>patient</w:t>
      </w:r>
      <w:r w:rsidRPr="7362CCE2">
        <w:t xml:space="preserve"> meets a district inspector, although the district inspector may have met the </w:t>
      </w:r>
      <w:r w:rsidRPr="7362CCE2">
        <w:rPr>
          <w:i/>
          <w:iCs/>
        </w:rPr>
        <w:t>patient</w:t>
      </w:r>
      <w:r w:rsidRPr="7362CCE2">
        <w:t xml:space="preserve"> on earlier visits to the hospital during their initial </w:t>
      </w:r>
      <w:r>
        <w:t>five</w:t>
      </w:r>
      <w:r w:rsidRPr="7362CCE2">
        <w:t xml:space="preserve"> days of assessment and treatment. </w:t>
      </w:r>
    </w:p>
    <w:p w14:paraId="6C818E9C" w14:textId="77777777" w:rsidR="00B43C67" w:rsidRDefault="00B43C67" w:rsidP="00B43C67"/>
    <w:p w14:paraId="788EA28E" w14:textId="77777777" w:rsidR="00B43C67" w:rsidRDefault="00B43C67" w:rsidP="00B43C67">
      <w:r w:rsidRPr="00C709AC">
        <w:t xml:space="preserve">If the </w:t>
      </w:r>
      <w:r>
        <w:t>d</w:t>
      </w:r>
      <w:r w:rsidRPr="00C709AC">
        <w:t xml:space="preserve">istrict inspector considers an application </w:t>
      </w:r>
      <w:r>
        <w:t xml:space="preserve">under section 16 of the Mental Health Act </w:t>
      </w:r>
      <w:r w:rsidRPr="00C709AC">
        <w:t xml:space="preserve">should be made, they must take whatever reasonable steps are necessary to encourage or assist the </w:t>
      </w:r>
      <w:r w:rsidRPr="7362CCE2">
        <w:rPr>
          <w:i/>
        </w:rPr>
        <w:t>patient</w:t>
      </w:r>
      <w:r w:rsidRPr="00C709AC">
        <w:t xml:space="preserve">, </w:t>
      </w:r>
      <w:r>
        <w:t xml:space="preserve">their </w:t>
      </w:r>
      <w:r w:rsidRPr="00C709AC">
        <w:t xml:space="preserve">welfare guardian, principal caregiver or usual medical practitioner to make this application for a review (section 12(9) of the </w:t>
      </w:r>
      <w:r>
        <w:t xml:space="preserve">Mental Health </w:t>
      </w:r>
      <w:r w:rsidRPr="00C709AC">
        <w:t xml:space="preserve">Act). If none of the people listed above will make an application, the district inspector may report the matter to the court and the </w:t>
      </w:r>
      <w:r>
        <w:t>j</w:t>
      </w:r>
      <w:r w:rsidRPr="00C709AC">
        <w:t xml:space="preserve">udge may decide to review the </w:t>
      </w:r>
      <w:r w:rsidRPr="7362CCE2">
        <w:rPr>
          <w:i/>
        </w:rPr>
        <w:t>patient</w:t>
      </w:r>
      <w:r w:rsidRPr="00C709AC">
        <w:t xml:space="preserve">’s condition under section 16 of the </w:t>
      </w:r>
      <w:r>
        <w:t xml:space="preserve">Mental Health </w:t>
      </w:r>
      <w:r w:rsidRPr="00C709AC">
        <w:t>Act as if an appropriate application ha</w:t>
      </w:r>
      <w:r>
        <w:t>s</w:t>
      </w:r>
      <w:r w:rsidRPr="00C709AC">
        <w:t xml:space="preserve"> been made</w:t>
      </w:r>
      <w:r>
        <w:t>.</w:t>
      </w:r>
    </w:p>
    <w:p w14:paraId="12FF211E" w14:textId="77777777" w:rsidR="00B43C67" w:rsidRPr="00B43C67" w:rsidRDefault="00B43C67" w:rsidP="00B43C67">
      <w:pPr>
        <w:pStyle w:val="Heading4"/>
      </w:pPr>
      <w:r w:rsidRPr="00B43C67">
        <w:t>Assessment procedures under sections 14 and 14A</w:t>
      </w:r>
    </w:p>
    <w:p w14:paraId="60A6355E" w14:textId="4148DAB4" w:rsidR="00B43C67" w:rsidRDefault="00B43C67" w:rsidP="00B43C67">
      <w:r w:rsidRPr="00C709AC">
        <w:t xml:space="preserve">The district inspector’s next formal involvement with a </w:t>
      </w:r>
      <w:r w:rsidRPr="7362CCE2">
        <w:rPr>
          <w:i/>
        </w:rPr>
        <w:t>patient</w:t>
      </w:r>
      <w:r w:rsidRPr="00C709AC">
        <w:t xml:space="preserve"> is</w:t>
      </w:r>
      <w:r>
        <w:t xml:space="preserve"> usually</w:t>
      </w:r>
      <w:r w:rsidRPr="00C709AC">
        <w:t xml:space="preserve"> under section</w:t>
      </w:r>
      <w:r>
        <w:t> </w:t>
      </w:r>
      <w:r w:rsidRPr="00C709AC">
        <w:t xml:space="preserve">14A of the </w:t>
      </w:r>
      <w:r>
        <w:t xml:space="preserve">Mental Health </w:t>
      </w:r>
      <w:r w:rsidRPr="00C709AC">
        <w:t xml:space="preserve">Act. If, before the expiry of the second period of assessment and treatment, a </w:t>
      </w:r>
      <w:r w:rsidRPr="7362CCE2">
        <w:rPr>
          <w:i/>
        </w:rPr>
        <w:t>patient</w:t>
      </w:r>
      <w:r w:rsidRPr="00E428B1">
        <w:t>’s</w:t>
      </w:r>
      <w:r w:rsidRPr="00CC4AC4">
        <w:t xml:space="preserve"> r</w:t>
      </w:r>
      <w:r w:rsidRPr="00C709AC">
        <w:t xml:space="preserve">esponsible clinician considers that the </w:t>
      </w:r>
      <w:r w:rsidRPr="7362CCE2">
        <w:rPr>
          <w:i/>
        </w:rPr>
        <w:t>patient</w:t>
      </w:r>
      <w:r w:rsidRPr="00C709AC">
        <w:t xml:space="preserve"> is not fit to be released from compulsory status, the responsible clinician must send a copy of the documents relating to the application for a compulsory treatment order to the district inspector (section 14A(2)(f) of the </w:t>
      </w:r>
      <w:r>
        <w:t xml:space="preserve">Mental Health </w:t>
      </w:r>
      <w:r w:rsidRPr="00C709AC">
        <w:t xml:space="preserve">Act). On receipt of the documents, the district inspector is required to talk to the </w:t>
      </w:r>
      <w:r w:rsidRPr="7362CCE2">
        <w:rPr>
          <w:i/>
        </w:rPr>
        <w:t>patient</w:t>
      </w:r>
      <w:r w:rsidRPr="00C709AC">
        <w:t xml:space="preserve"> (unless impracticable) and, if possible, ascertain </w:t>
      </w:r>
      <w:r>
        <w:t>their</w:t>
      </w:r>
      <w:r w:rsidRPr="00C709AC">
        <w:t xml:space="preserve"> wishes about whether </w:t>
      </w:r>
      <w:r>
        <w:t xml:space="preserve">they wish the district inspector </w:t>
      </w:r>
      <w:r w:rsidRPr="00C709AC">
        <w:t xml:space="preserve">to appear in court at the compulsory treatment order application hearing (section 14A(4)(a) of the </w:t>
      </w:r>
      <w:r>
        <w:t xml:space="preserve">Mental Health </w:t>
      </w:r>
      <w:r w:rsidRPr="00C709AC">
        <w:t>Act).</w:t>
      </w:r>
    </w:p>
    <w:p w14:paraId="22FAF1C0" w14:textId="77777777" w:rsidR="00B43C67" w:rsidRPr="00C709AC" w:rsidRDefault="00B43C67" w:rsidP="00B43C67"/>
    <w:p w14:paraId="635A3D33" w14:textId="10191BBC" w:rsidR="00B43C67" w:rsidRDefault="00B43C67" w:rsidP="00B43C67">
      <w:r w:rsidRPr="00C709AC">
        <w:t xml:space="preserve">During this visit, the district inspector will provide information to the </w:t>
      </w:r>
      <w:r w:rsidRPr="7362CCE2">
        <w:rPr>
          <w:i/>
        </w:rPr>
        <w:t>patient</w:t>
      </w:r>
      <w:r w:rsidRPr="00C709AC">
        <w:t xml:space="preserve"> about the next step in the process of compulsory assessment and treatment and explain the process that will take place when the court considers the responsible clinician’s application for a compulsory treatment order.</w:t>
      </w:r>
    </w:p>
    <w:p w14:paraId="2E49ABA1" w14:textId="77777777" w:rsidR="00B43C67" w:rsidRDefault="00B43C67" w:rsidP="00B43C67"/>
    <w:p w14:paraId="17EAB681" w14:textId="5B49F908" w:rsidR="00B43C67" w:rsidRDefault="00B43C67" w:rsidP="00B43C67">
      <w:r w:rsidRPr="1FA8E077">
        <w:t xml:space="preserve">If possible, the district inspector should ensure that a system is in place to provide </w:t>
      </w:r>
      <w:r w:rsidRPr="1FA8E077" w:rsidDel="00D230BA">
        <w:t xml:space="preserve">the </w:t>
      </w:r>
      <w:r w:rsidRPr="7362CCE2" w:rsidDel="00D230BA">
        <w:rPr>
          <w:i/>
        </w:rPr>
        <w:t>patient</w:t>
      </w:r>
      <w:r w:rsidRPr="1FA8E077" w:rsidDel="00D230BA">
        <w:t xml:space="preserve"> with </w:t>
      </w:r>
      <w:r w:rsidRPr="1FA8E077">
        <w:t xml:space="preserve">the name and phone number of the </w:t>
      </w:r>
      <w:r>
        <w:t xml:space="preserve">duty solicitor or </w:t>
      </w:r>
      <w:r w:rsidRPr="1FA8E077">
        <w:t xml:space="preserve">rostered </w:t>
      </w:r>
      <w:r>
        <w:t>legal aid</w:t>
      </w:r>
      <w:r w:rsidRPr="1FA8E077">
        <w:t xml:space="preserve"> lawyer for that week</w:t>
      </w:r>
      <w:r>
        <w:t>.</w:t>
      </w:r>
    </w:p>
    <w:p w14:paraId="3FE394ED" w14:textId="77777777" w:rsidR="00B43C67" w:rsidRDefault="00B43C67" w:rsidP="00B43C67"/>
    <w:p w14:paraId="226838B3" w14:textId="18D52CF4" w:rsidR="00B43C67" w:rsidRDefault="00B43C67" w:rsidP="00B43C67">
      <w:r w:rsidRPr="00C709AC">
        <w:t xml:space="preserve">The district inspector must decide, having regard to any view expressed by the </w:t>
      </w:r>
      <w:r w:rsidRPr="7362CCE2">
        <w:rPr>
          <w:i/>
        </w:rPr>
        <w:t>patient</w:t>
      </w:r>
      <w:r w:rsidRPr="00C709AC">
        <w:t xml:space="preserve">, whether the district inspector should appear before the court to be heard on the application for a compulsory treatment order (section 14A(4)(b) of the </w:t>
      </w:r>
      <w:r>
        <w:t xml:space="preserve">Mental Health </w:t>
      </w:r>
      <w:r w:rsidRPr="00C709AC">
        <w:t xml:space="preserve">Act). If there are no lawyers rostered to </w:t>
      </w:r>
      <w:r>
        <w:t>be assigned to</w:t>
      </w:r>
      <w:r w:rsidRPr="00C709AC">
        <w:t xml:space="preserve"> </w:t>
      </w:r>
      <w:r w:rsidRPr="7362CCE2">
        <w:rPr>
          <w:i/>
        </w:rPr>
        <w:t>patients</w:t>
      </w:r>
      <w:r w:rsidRPr="00C709AC">
        <w:t xml:space="preserve"> in the hospital or service, or the </w:t>
      </w:r>
      <w:r w:rsidRPr="7362CCE2">
        <w:rPr>
          <w:i/>
        </w:rPr>
        <w:t>patient</w:t>
      </w:r>
      <w:r w:rsidRPr="00C709AC">
        <w:t xml:space="preserve"> does not want legal representation, the district inspector should </w:t>
      </w:r>
      <w:r w:rsidRPr="00C709AC">
        <w:lastRenderedPageBreak/>
        <w:t xml:space="preserve">attend the hearing but should be careful to limit their role to one of </w:t>
      </w:r>
      <w:r w:rsidRPr="00C709AC">
        <w:rPr>
          <w:i/>
        </w:rPr>
        <w:t>amicus curiae</w:t>
      </w:r>
      <w:r w:rsidRPr="00C709AC">
        <w:t xml:space="preserve"> (that is, ensuring that the court is aware of all relevant issues</w:t>
      </w:r>
      <w:r>
        <w:t xml:space="preserve">, including human rights issues, </w:t>
      </w:r>
      <w:r w:rsidRPr="00C709AC">
        <w:t xml:space="preserve">but not advocating the </w:t>
      </w:r>
      <w:r w:rsidRPr="7362CCE2">
        <w:rPr>
          <w:i/>
        </w:rPr>
        <w:t>patient</w:t>
      </w:r>
      <w:r w:rsidRPr="00E428B1">
        <w:t>’s</w:t>
      </w:r>
      <w:r w:rsidRPr="00C709AC">
        <w:t xml:space="preserve"> cause).</w:t>
      </w:r>
    </w:p>
    <w:p w14:paraId="452A52D9" w14:textId="77777777" w:rsidR="00B43C67" w:rsidRDefault="00B43C67" w:rsidP="00B43C67"/>
    <w:p w14:paraId="1353E998" w14:textId="03B9303E" w:rsidR="00B43C67" w:rsidRDefault="00B43C67" w:rsidP="00B43C67">
      <w:r w:rsidRPr="00C709AC">
        <w:t xml:space="preserve">The district inspector is not the </w:t>
      </w:r>
      <w:r w:rsidRPr="7362CCE2">
        <w:rPr>
          <w:i/>
        </w:rPr>
        <w:t>patient</w:t>
      </w:r>
      <w:r w:rsidRPr="00E428B1">
        <w:t>’s</w:t>
      </w:r>
      <w:r w:rsidRPr="008B411B">
        <w:t xml:space="preserve"> a</w:t>
      </w:r>
      <w:r w:rsidRPr="00C709AC">
        <w:t xml:space="preserve">dvocate or lawyer, and their presence at the court hearing may be superfluous if the </w:t>
      </w:r>
      <w:r w:rsidRPr="7362CCE2">
        <w:rPr>
          <w:i/>
        </w:rPr>
        <w:t>patient</w:t>
      </w:r>
      <w:r w:rsidRPr="00C709AC">
        <w:t xml:space="preserve"> already has a lawyer. Therefore, </w:t>
      </w:r>
      <w:r>
        <w:t>d</w:t>
      </w:r>
      <w:r w:rsidRPr="00C709AC">
        <w:t>istrict inspector attendance at such hearings should generally be limited to circumstances whe</w:t>
      </w:r>
      <w:r>
        <w:t>re</w:t>
      </w:r>
      <w:r w:rsidRPr="00C709AC">
        <w:t xml:space="preserve"> their attendance is either requested by the </w:t>
      </w:r>
      <w:r w:rsidRPr="7362CCE2">
        <w:rPr>
          <w:i/>
        </w:rPr>
        <w:t>patient</w:t>
      </w:r>
      <w:r w:rsidRPr="00C709AC">
        <w:t xml:space="preserve"> or necessary to protect </w:t>
      </w:r>
      <w:r>
        <w:t xml:space="preserve">the </w:t>
      </w:r>
      <w:r>
        <w:rPr>
          <w:i/>
          <w:iCs/>
        </w:rPr>
        <w:t>patient</w:t>
      </w:r>
      <w:r>
        <w:t>’s</w:t>
      </w:r>
      <w:r w:rsidRPr="00C709AC">
        <w:t xml:space="preserve"> rights. </w:t>
      </w:r>
    </w:p>
    <w:p w14:paraId="15353966" w14:textId="77777777" w:rsidR="00B43C67" w:rsidRPr="00B43C67" w:rsidRDefault="00B43C67" w:rsidP="00B43C67">
      <w:pPr>
        <w:pStyle w:val="Heading4"/>
      </w:pPr>
      <w:r w:rsidRPr="00B43C67">
        <w:t>Attendance at hearings under sections 16, 17–30, 34 and 79</w:t>
      </w:r>
    </w:p>
    <w:p w14:paraId="35E7B4FA" w14:textId="2B583EE1" w:rsidR="00B43C67" w:rsidRDefault="00B43C67" w:rsidP="00B43C67">
      <w:r w:rsidRPr="00C709AC">
        <w:t xml:space="preserve">It should be noted that attendance at hearings by </w:t>
      </w:r>
      <w:r>
        <w:t>d</w:t>
      </w:r>
      <w:r w:rsidRPr="00C709AC">
        <w:t xml:space="preserve">istrict inspectors is a matter for discretion and judgement. Attendance at such hearings should occur only when there is some good reason to attend. Ordinarily, if the district inspector has referred the matter to the court (such as under section 12(10) of the </w:t>
      </w:r>
      <w:r>
        <w:t>Mental Health</w:t>
      </w:r>
      <w:r w:rsidRPr="00C709AC">
        <w:t xml:space="preserve"> Act) or referred the case to the MHRT (such as under section 35(2) or 76(11) of the </w:t>
      </w:r>
      <w:r>
        <w:t>Mental Health</w:t>
      </w:r>
      <w:r w:rsidRPr="00C709AC">
        <w:t xml:space="preserve"> Act), the district inspector would attend the hearing. A </w:t>
      </w:r>
      <w:r>
        <w:t>d</w:t>
      </w:r>
      <w:r w:rsidRPr="00C709AC">
        <w:t xml:space="preserve">istrict inspector would generally also attend a hearing of a compulsory treatment order under section 14A(4) of the </w:t>
      </w:r>
      <w:r>
        <w:t>Mental Health</w:t>
      </w:r>
      <w:r w:rsidRPr="00C709AC">
        <w:t xml:space="preserve"> Act if a </w:t>
      </w:r>
      <w:r w:rsidRPr="7362CCE2">
        <w:rPr>
          <w:i/>
        </w:rPr>
        <w:t>patient</w:t>
      </w:r>
      <w:r w:rsidRPr="00C709AC">
        <w:t xml:space="preserve"> has asked them to do so. </w:t>
      </w:r>
    </w:p>
    <w:p w14:paraId="73710B96" w14:textId="77777777" w:rsidR="00B43C67" w:rsidRPr="00C709AC" w:rsidRDefault="00B43C67" w:rsidP="00B43C67"/>
    <w:p w14:paraId="1516BA22" w14:textId="52D66F21" w:rsidR="00B43C67" w:rsidRDefault="00B43C67" w:rsidP="00B43C67">
      <w:r w:rsidRPr="00C709AC">
        <w:t xml:space="preserve">In each of these hearings, the District Court </w:t>
      </w:r>
      <w:r>
        <w:t>j</w:t>
      </w:r>
      <w:r w:rsidRPr="00C709AC">
        <w:t xml:space="preserve">udge or MHRT is the statutory body that is responsible for making the decision about the </w:t>
      </w:r>
      <w:r w:rsidRPr="7362CCE2">
        <w:rPr>
          <w:i/>
        </w:rPr>
        <w:t>patient</w:t>
      </w:r>
      <w:r w:rsidRPr="00E428B1">
        <w:t>’s</w:t>
      </w:r>
      <w:r w:rsidRPr="00CD3C2B">
        <w:t xml:space="preserve"> </w:t>
      </w:r>
      <w:r w:rsidRPr="00C709AC">
        <w:t xml:space="preserve">status. It is important that the district inspector’s role is not compromised by appearing to offer views about the </w:t>
      </w:r>
      <w:r w:rsidRPr="7362CCE2">
        <w:rPr>
          <w:i/>
        </w:rPr>
        <w:t>patient</w:t>
      </w:r>
      <w:r w:rsidRPr="00C709AC">
        <w:t xml:space="preserve"> that may impinge on the decision-making power of the District Court </w:t>
      </w:r>
      <w:r>
        <w:t>j</w:t>
      </w:r>
      <w:r w:rsidRPr="00C709AC">
        <w:t>udge or MHRT.</w:t>
      </w:r>
    </w:p>
    <w:p w14:paraId="077225B9" w14:textId="77777777" w:rsidR="00B43C67" w:rsidRPr="00C709AC" w:rsidRDefault="00B43C67" w:rsidP="00B43C67"/>
    <w:p w14:paraId="23EF5FA1" w14:textId="77777777" w:rsidR="00B43C67" w:rsidRDefault="00B43C67" w:rsidP="00B43C67">
      <w:r w:rsidRPr="00C709AC">
        <w:t xml:space="preserve">It is also important to realise that frequent attendance or availability of a </w:t>
      </w:r>
      <w:r>
        <w:t>d</w:t>
      </w:r>
      <w:r w:rsidRPr="00C709AC">
        <w:t xml:space="preserve">istrict inspector at hearings may interfere with the independent legal representation of </w:t>
      </w:r>
      <w:r w:rsidRPr="7362CCE2">
        <w:rPr>
          <w:i/>
        </w:rPr>
        <w:t>patients</w:t>
      </w:r>
      <w:r w:rsidRPr="00C709AC">
        <w:t>.</w:t>
      </w:r>
    </w:p>
    <w:p w14:paraId="31345C96" w14:textId="77777777" w:rsidR="00B43C67" w:rsidRPr="007D6836" w:rsidRDefault="00B43C67" w:rsidP="00C344A2">
      <w:pPr>
        <w:pStyle w:val="Heading3-numbered"/>
      </w:pPr>
      <w:r>
        <w:t xml:space="preserve">Providing and checking information under the Substance Addiction Act </w:t>
      </w:r>
    </w:p>
    <w:p w14:paraId="40D0A9B4" w14:textId="77777777" w:rsidR="00B43C67" w:rsidRPr="00843316" w:rsidRDefault="00B43C67" w:rsidP="00B43C67">
      <w:r>
        <w:t xml:space="preserve">District inspectors appointed under the Substance Addiction Act monitor the application of the Substance Addiction Act through providing and checking information associated with: </w:t>
      </w:r>
    </w:p>
    <w:p w14:paraId="200B359C" w14:textId="77777777" w:rsidR="00B43C67" w:rsidRPr="00B43C67" w:rsidRDefault="00B43C67" w:rsidP="00B43C67">
      <w:pPr>
        <w:pStyle w:val="Bullet"/>
      </w:pPr>
      <w:r w:rsidRPr="00B43C67">
        <w:t>the application and assessment procedure under sections 14 to 16 of the Substance Addiction Act</w:t>
      </w:r>
    </w:p>
    <w:p w14:paraId="691465A1" w14:textId="77777777" w:rsidR="00B43C67" w:rsidRPr="00B43C67" w:rsidRDefault="00B43C67" w:rsidP="00B43C67">
      <w:pPr>
        <w:pStyle w:val="Bullet"/>
      </w:pPr>
      <w:r w:rsidRPr="00B43C67">
        <w:t>the assessment and compulsory treatment procedure under section 23 of the Substance Addiction Act</w:t>
      </w:r>
    </w:p>
    <w:p w14:paraId="4E8BC806" w14:textId="77777777" w:rsidR="00B43C67" w:rsidRPr="00B43C67" w:rsidRDefault="00B43C67" w:rsidP="00B43C67">
      <w:pPr>
        <w:pStyle w:val="Bullet"/>
      </w:pPr>
      <w:r w:rsidRPr="00B43C67">
        <w:t>the review of compulsory treatment under section 34 of the Act, and the application for an extension of compulsory treatment under section 46 of the Substance Addiction Act.</w:t>
      </w:r>
    </w:p>
    <w:p w14:paraId="34AB5345" w14:textId="77777777" w:rsidR="00B43C67" w:rsidRDefault="00B43C67" w:rsidP="00B43C67"/>
    <w:p w14:paraId="638575A7" w14:textId="2BA64866" w:rsidR="00B43C67" w:rsidRDefault="00B43C67" w:rsidP="00B43C67">
      <w:r>
        <w:t>Under section 14 of the Substance Addiction Act, an application can be made</w:t>
      </w:r>
      <w:r w:rsidRPr="00A268F1">
        <w:t xml:space="preserve"> </w:t>
      </w:r>
      <w:r>
        <w:t xml:space="preserve">for assessment of a person experiencing severe substance addiction. An application can be made by an applicant on behalf of a person who they believe has a severe substance addiction, or by the person themselves. </w:t>
      </w:r>
      <w:r w:rsidRPr="006C734D">
        <w:t xml:space="preserve">The applicant </w:t>
      </w:r>
      <w:r>
        <w:t xml:space="preserve">must make the application to </w:t>
      </w:r>
      <w:r w:rsidRPr="00503C80">
        <w:t xml:space="preserve">the </w:t>
      </w:r>
      <w:r w:rsidRPr="00503C80">
        <w:lastRenderedPageBreak/>
        <w:t>person’</w:t>
      </w:r>
      <w:r w:rsidRPr="00BD0330">
        <w:t>s local Area Director</w:t>
      </w:r>
      <w:r w:rsidRPr="006C734D">
        <w:t xml:space="preserve">, who will ensure the person with the severe substance addiction is assessed pursuant to section </w:t>
      </w:r>
      <w:r>
        <w:t>19</w:t>
      </w:r>
      <w:r w:rsidRPr="006C734D">
        <w:t xml:space="preserve"> of the Substance Addiction Act. The</w:t>
      </w:r>
      <w:r>
        <w:t xml:space="preserve"> applicant must be at least 18 years of age.</w:t>
      </w:r>
    </w:p>
    <w:p w14:paraId="25342BBA" w14:textId="77777777" w:rsidR="00B43C67" w:rsidRDefault="00B43C67" w:rsidP="00B43C67"/>
    <w:p w14:paraId="11FF81F4" w14:textId="5D7E3AA9" w:rsidR="00B43C67" w:rsidRDefault="00B43C67" w:rsidP="00B43C67">
      <w:r>
        <w:t>If the Approved Specialist considers that the person has a severe substance addiction, the Approved Specialist must assess whether the person’s capacity to make informed decisions about treatment for that addiction is severely impaired. If the Approved Specialist considers that the person’s capacity to make informed decisions about treatment for the person’s addiction is severely impaired, they must assess whether compulsory treatment of the person is necessary to enable the treatment to be provided and assess whether appropriate treatment for the person is available.</w:t>
      </w:r>
    </w:p>
    <w:p w14:paraId="4E9D5928" w14:textId="77777777" w:rsidR="00B43C67" w:rsidRDefault="00B43C67" w:rsidP="00B43C67"/>
    <w:p w14:paraId="122931E7" w14:textId="057245BA" w:rsidR="00B43C67" w:rsidRDefault="00B43C67" w:rsidP="00B43C67">
      <w:r>
        <w:t xml:space="preserve">If, after completing an assessment of a person, an Approved Specialist considers that the criteria for compulsory treatment are met, they must sign a compulsory treatment certificate under section 23 of the Substance Addiction Act. After signing the compulsory treatment certificate, the Approved Specialist must notify the Area Director to arrange the </w:t>
      </w:r>
      <w:r w:rsidRPr="7362CCE2">
        <w:rPr>
          <w:i/>
        </w:rPr>
        <w:t>patient</w:t>
      </w:r>
      <w:r w:rsidRPr="00E428B1">
        <w:t>’s</w:t>
      </w:r>
      <w:r w:rsidRPr="007C5FFD">
        <w:t xml:space="preserve"> </w:t>
      </w:r>
      <w:r w:rsidRPr="000D01A0">
        <w:t>detention</w:t>
      </w:r>
      <w:r>
        <w:t xml:space="preserve"> under section 25. </w:t>
      </w:r>
    </w:p>
    <w:p w14:paraId="0BE99D28" w14:textId="77777777" w:rsidR="00B43C67" w:rsidRDefault="00B43C67" w:rsidP="00B43C67"/>
    <w:p w14:paraId="516C309A" w14:textId="1C3EBDEF" w:rsidR="00B43C67" w:rsidRDefault="00B43C67" w:rsidP="00B43C67">
      <w:pPr>
        <w:rPr>
          <w:color w:val="000000"/>
          <w:shd w:val="clear" w:color="auto" w:fill="FFFFFF"/>
        </w:rPr>
      </w:pPr>
      <w:r w:rsidRPr="7362CCE2">
        <w:rPr>
          <w:rFonts w:cs="Arial"/>
        </w:rPr>
        <w:t xml:space="preserve">At this </w:t>
      </w:r>
      <w:r>
        <w:rPr>
          <w:rFonts w:cs="Arial"/>
        </w:rPr>
        <w:t>point</w:t>
      </w:r>
      <w:r w:rsidRPr="7362CCE2">
        <w:rPr>
          <w:rFonts w:cs="Arial"/>
        </w:rPr>
        <w:t xml:space="preserve">, section 26 </w:t>
      </w:r>
      <w:r>
        <w:t xml:space="preserve">of the Substance Addiction Act </w:t>
      </w:r>
      <w:r w:rsidRPr="7362CCE2">
        <w:rPr>
          <w:rFonts w:cs="Arial"/>
        </w:rPr>
        <w:t xml:space="preserve">entitles </w:t>
      </w:r>
      <w:r w:rsidRPr="7362CCE2">
        <w:rPr>
          <w:rFonts w:cs="Arial"/>
          <w:i/>
        </w:rPr>
        <w:t>patients</w:t>
      </w:r>
      <w:r w:rsidRPr="7362CCE2">
        <w:rPr>
          <w:rFonts w:cs="Arial"/>
        </w:rPr>
        <w:t xml:space="preserve"> and district inspectors, among other specified persons concerned with the </w:t>
      </w:r>
      <w:r w:rsidRPr="7362CCE2">
        <w:rPr>
          <w:rFonts w:cs="Arial"/>
          <w:i/>
        </w:rPr>
        <w:t>patient</w:t>
      </w:r>
      <w:r w:rsidRPr="00E428B1">
        <w:t>’s</w:t>
      </w:r>
      <w:r w:rsidRPr="00670343">
        <w:t xml:space="preserve"> </w:t>
      </w:r>
      <w:r w:rsidRPr="7362CCE2">
        <w:rPr>
          <w:rFonts w:cs="Arial"/>
        </w:rPr>
        <w:t xml:space="preserve">welfare, to be </w:t>
      </w:r>
      <w:r>
        <w:rPr>
          <w:rFonts w:cs="Arial"/>
        </w:rPr>
        <w:t>provided</w:t>
      </w:r>
      <w:r w:rsidRPr="7362CCE2">
        <w:rPr>
          <w:rFonts w:cs="Arial"/>
        </w:rPr>
        <w:t xml:space="preserve"> certain information as soon as practicable after the Area Director has been notified of the </w:t>
      </w:r>
      <w:r w:rsidRPr="7362CCE2">
        <w:rPr>
          <w:rFonts w:cs="Arial"/>
          <w:i/>
        </w:rPr>
        <w:t>patient</w:t>
      </w:r>
      <w:r w:rsidRPr="00E428B1">
        <w:t>’s</w:t>
      </w:r>
      <w:r w:rsidRPr="00670343">
        <w:t xml:space="preserve"> </w:t>
      </w:r>
      <w:r w:rsidRPr="7362CCE2">
        <w:rPr>
          <w:rFonts w:cs="Arial"/>
        </w:rPr>
        <w:t xml:space="preserve">identity. </w:t>
      </w:r>
      <w:r>
        <w:rPr>
          <w:color w:val="000000"/>
          <w:shd w:val="clear" w:color="auto" w:fill="FFFFFF"/>
        </w:rPr>
        <w:t xml:space="preserve">All </w:t>
      </w:r>
      <w:r w:rsidRPr="007E4653">
        <w:rPr>
          <w:i/>
          <w:iCs/>
          <w:color w:val="000000"/>
          <w:shd w:val="clear" w:color="auto" w:fill="FFFFFF"/>
        </w:rPr>
        <w:t>patients</w:t>
      </w:r>
      <w:r>
        <w:rPr>
          <w:color w:val="000000"/>
          <w:shd w:val="clear" w:color="auto" w:fill="FFFFFF"/>
        </w:rPr>
        <w:t xml:space="preserve"> subject to the Substance Addiction Act have the r</w:t>
      </w:r>
      <w:r w:rsidRPr="008A601F">
        <w:rPr>
          <w:color w:val="000000"/>
          <w:shd w:val="clear" w:color="auto" w:fill="FFFFFF"/>
        </w:rPr>
        <w:t xml:space="preserve">ight to nominate </w:t>
      </w:r>
      <w:r>
        <w:rPr>
          <w:color w:val="000000"/>
          <w:shd w:val="clear" w:color="auto" w:fill="FFFFFF"/>
        </w:rPr>
        <w:t xml:space="preserve">a </w:t>
      </w:r>
      <w:r w:rsidRPr="008A601F">
        <w:rPr>
          <w:color w:val="000000"/>
          <w:shd w:val="clear" w:color="auto" w:fill="FFFFFF"/>
        </w:rPr>
        <w:t xml:space="preserve">person to protect </w:t>
      </w:r>
      <w:r>
        <w:rPr>
          <w:color w:val="000000"/>
          <w:shd w:val="clear" w:color="auto" w:fill="FFFFFF"/>
        </w:rPr>
        <w:t>their</w:t>
      </w:r>
      <w:r w:rsidRPr="008A601F">
        <w:rPr>
          <w:color w:val="000000"/>
          <w:shd w:val="clear" w:color="auto" w:fill="FFFFFF"/>
        </w:rPr>
        <w:t xml:space="preserve"> interests</w:t>
      </w:r>
      <w:r>
        <w:rPr>
          <w:color w:val="000000"/>
          <w:shd w:val="clear" w:color="auto" w:fill="FFFFFF"/>
        </w:rPr>
        <w:t xml:space="preserve"> under section 49 of the </w:t>
      </w:r>
      <w:r>
        <w:t xml:space="preserve">Substance Addiction </w:t>
      </w:r>
      <w:r>
        <w:rPr>
          <w:color w:val="000000"/>
          <w:shd w:val="clear" w:color="auto" w:fill="FFFFFF"/>
        </w:rPr>
        <w:t xml:space="preserve">Act. </w:t>
      </w:r>
    </w:p>
    <w:p w14:paraId="2E09285B" w14:textId="77777777" w:rsidR="00B43C67" w:rsidRPr="00EA2DB4" w:rsidRDefault="00B43C67" w:rsidP="00B43C67">
      <w:pPr>
        <w:rPr>
          <w:rFonts w:ascii="Georgia" w:hAnsi="Georgia" w:cs="Arial"/>
          <w:sz w:val="22"/>
          <w:szCs w:val="22"/>
        </w:rPr>
      </w:pPr>
    </w:p>
    <w:p w14:paraId="3E915AF0" w14:textId="305DFD2E" w:rsidR="00B43C67" w:rsidRDefault="00B43C67" w:rsidP="00B43C67">
      <w:r w:rsidRPr="000E1EA3">
        <w:rPr>
          <w:color w:val="000000" w:themeColor="text1"/>
        </w:rPr>
        <w:t xml:space="preserve">Every </w:t>
      </w:r>
      <w:r w:rsidRPr="000E1EA3">
        <w:rPr>
          <w:i/>
          <w:iCs/>
          <w:color w:val="000000" w:themeColor="text1"/>
        </w:rPr>
        <w:t>patient</w:t>
      </w:r>
      <w:r w:rsidRPr="000E1EA3">
        <w:rPr>
          <w:color w:val="000000" w:themeColor="text1"/>
        </w:rPr>
        <w:t xml:space="preserve"> is entitled to receive and to send, in a manner that safeguards the </w:t>
      </w:r>
      <w:r w:rsidRPr="007E4653">
        <w:rPr>
          <w:i/>
          <w:iCs/>
          <w:color w:val="000000" w:themeColor="text1"/>
        </w:rPr>
        <w:t>patient</w:t>
      </w:r>
      <w:r w:rsidRPr="00E428B1">
        <w:t xml:space="preserve">’s </w:t>
      </w:r>
      <w:r w:rsidRPr="000E1EA3">
        <w:rPr>
          <w:color w:val="000000" w:themeColor="text1"/>
        </w:rPr>
        <w:t>privacy</w:t>
      </w:r>
      <w:r>
        <w:rPr>
          <w:color w:val="000000" w:themeColor="text1"/>
        </w:rPr>
        <w:t xml:space="preserve">, mail and electronic communications under section 60 of the Substance Addiction Act. </w:t>
      </w:r>
      <w:r w:rsidRPr="7362CCE2">
        <w:rPr>
          <w:color w:val="000000"/>
          <w:shd w:val="clear" w:color="auto" w:fill="FFFFFF"/>
        </w:rPr>
        <w:t>If there are reasonable grounds</w:t>
      </w:r>
      <w:r>
        <w:rPr>
          <w:color w:val="000000"/>
          <w:shd w:val="clear" w:color="auto" w:fill="FFFFFF"/>
        </w:rPr>
        <w:t>,</w:t>
      </w:r>
      <w:r w:rsidRPr="7362CCE2">
        <w:rPr>
          <w:color w:val="000000"/>
          <w:shd w:val="clear" w:color="auto" w:fill="FFFFFF"/>
        </w:rPr>
        <w:t xml:space="preserve"> during treatment, to consider that any mail or electronic communications could be detrimental to the interests and treatment of a </w:t>
      </w:r>
      <w:r w:rsidRPr="7362CCE2">
        <w:rPr>
          <w:i/>
          <w:color w:val="000000"/>
          <w:shd w:val="clear" w:color="auto" w:fill="FFFFFF"/>
        </w:rPr>
        <w:t>patient</w:t>
      </w:r>
      <w:r w:rsidRPr="7362CCE2">
        <w:rPr>
          <w:color w:val="000000"/>
          <w:shd w:val="clear" w:color="auto" w:fill="FFFFFF"/>
        </w:rPr>
        <w:t xml:space="preserve"> or of other persons in the treatment centre, </w:t>
      </w:r>
      <w:r>
        <w:rPr>
          <w:color w:val="000000"/>
          <w:shd w:val="clear" w:color="auto" w:fill="FFFFFF"/>
        </w:rPr>
        <w:t xml:space="preserve">under section 61 of the </w:t>
      </w:r>
      <w:r>
        <w:t>Substance Addiction</w:t>
      </w:r>
      <w:r>
        <w:rPr>
          <w:color w:val="000000"/>
          <w:shd w:val="clear" w:color="auto" w:fill="FFFFFF"/>
        </w:rPr>
        <w:t xml:space="preserve"> Act </w:t>
      </w:r>
      <w:r w:rsidRPr="7362CCE2">
        <w:rPr>
          <w:color w:val="000000"/>
          <w:shd w:val="clear" w:color="auto" w:fill="FFFFFF"/>
        </w:rPr>
        <w:t>the responsible clinician may direct that the mail or electronic communications be checked.</w:t>
      </w:r>
      <w:r>
        <w:rPr>
          <w:color w:val="000000"/>
          <w:shd w:val="clear" w:color="auto" w:fill="FFFFFF"/>
        </w:rPr>
        <w:t xml:space="preserve"> However, this requires prior approval by the Area Director.</w:t>
      </w:r>
      <w:r w:rsidRPr="7362CCE2">
        <w:rPr>
          <w:color w:val="000000"/>
          <w:shd w:val="clear" w:color="auto" w:fill="FFFFFF"/>
        </w:rPr>
        <w:t xml:space="preserve"> </w:t>
      </w:r>
      <w:r>
        <w:rPr>
          <w:color w:val="000000"/>
          <w:shd w:val="clear" w:color="auto" w:fill="FFFFFF"/>
        </w:rPr>
        <w:t>C</w:t>
      </w:r>
      <w:r>
        <w:t>ommunicat</w:t>
      </w:r>
      <w:r w:rsidRPr="00AE671C">
        <w:t>ions to and from district inspectors and other statutory officers cannot be withheld</w:t>
      </w:r>
      <w:r w:rsidRPr="00E428B1">
        <w:t xml:space="preserve"> under section 63 </w:t>
      </w:r>
      <w:r w:rsidRPr="00AE671C">
        <w:t>of the Substance Addiction Act</w:t>
      </w:r>
      <w:r w:rsidRPr="00E428B1">
        <w:t>.</w:t>
      </w:r>
      <w:r w:rsidRPr="00AE671C">
        <w:t xml:space="preserve"> </w:t>
      </w:r>
    </w:p>
    <w:p w14:paraId="20C6AA8D" w14:textId="77777777" w:rsidR="00B43C67" w:rsidRPr="00E428B1" w:rsidRDefault="00B43C67" w:rsidP="00B43C67"/>
    <w:p w14:paraId="695A7E9B" w14:textId="77777777" w:rsidR="00B43C67" w:rsidRDefault="00B43C67" w:rsidP="00B43C67">
      <w:r>
        <w:t xml:space="preserve">Where an item of mail is withheld, it must be returned to the sender if the sender’s address is known. If the sender’s address is not known, the item of mail must be sent to the district inspector or given to the district inspector when they next visit the treatment centre. </w:t>
      </w:r>
    </w:p>
    <w:p w14:paraId="4FB7DCD8" w14:textId="657F950D" w:rsidR="00B43C67" w:rsidRPr="007D6836" w:rsidRDefault="00B43C67" w:rsidP="00C344A2">
      <w:pPr>
        <w:pStyle w:val="Heading3-numbered"/>
      </w:pPr>
      <w:r>
        <w:t xml:space="preserve">Providing and checking information under the </w:t>
      </w:r>
      <w:r w:rsidR="00E27AEB">
        <w:t>Intellectual Disability Act</w:t>
      </w:r>
      <w:r>
        <w:t xml:space="preserve"> </w:t>
      </w:r>
    </w:p>
    <w:p w14:paraId="5BA030D2" w14:textId="32DFD1FB" w:rsidR="00B43C67" w:rsidRPr="00843316" w:rsidRDefault="00B43C67" w:rsidP="00B43C67">
      <w:r>
        <w:t xml:space="preserve">District inspectors appointed under the </w:t>
      </w:r>
      <w:r w:rsidR="00E27AEB">
        <w:t>Intellectual Disability Act</w:t>
      </w:r>
      <w:r>
        <w:t xml:space="preserve"> monitor the application of the </w:t>
      </w:r>
      <w:r w:rsidR="00E27AEB">
        <w:t>Intellectual Disability Act</w:t>
      </w:r>
      <w:r>
        <w:t xml:space="preserve"> through providing and checking information associated with: </w:t>
      </w:r>
    </w:p>
    <w:p w14:paraId="2B7DC6C6" w14:textId="15D065FA" w:rsidR="00B43C67" w:rsidRDefault="00B43C67" w:rsidP="00B43C67">
      <w:pPr>
        <w:pStyle w:val="Bullet"/>
      </w:pPr>
      <w:r>
        <w:t xml:space="preserve">the care manager informing the </w:t>
      </w:r>
      <w:r w:rsidRPr="00676442">
        <w:rPr>
          <w:i/>
          <w:iCs/>
        </w:rPr>
        <w:t xml:space="preserve">care recipient </w:t>
      </w:r>
      <w:r>
        <w:t xml:space="preserve">of their right to information under section 49 of the </w:t>
      </w:r>
      <w:r w:rsidR="00E27AEB">
        <w:t>Intellectual Disability Act</w:t>
      </w:r>
      <w:r>
        <w:t xml:space="preserve">, including their right to have access to a district inspector under section 49(2)(d) of the </w:t>
      </w:r>
      <w:r w:rsidR="00E27AEB">
        <w:t>Intellectual Disability Act</w:t>
      </w:r>
    </w:p>
    <w:p w14:paraId="133F75A5" w14:textId="76E4F5AB" w:rsidR="00B43C67" w:rsidRDefault="00B43C67" w:rsidP="00B43C67">
      <w:pPr>
        <w:pStyle w:val="Bullet"/>
      </w:pPr>
      <w:r>
        <w:lastRenderedPageBreak/>
        <w:t xml:space="preserve">the written communication procedure under sections 58 and 59 of the </w:t>
      </w:r>
      <w:r w:rsidR="00E27AEB">
        <w:t>Intellectual Disability Act</w:t>
      </w:r>
    </w:p>
    <w:p w14:paraId="0490FB02" w14:textId="48B196C2" w:rsidR="00B43C67" w:rsidRDefault="00B43C67" w:rsidP="00B43C67">
      <w:pPr>
        <w:pStyle w:val="Bullet"/>
      </w:pPr>
      <w:r>
        <w:t xml:space="preserve">the care and rehabilitation plan and any other </w:t>
      </w:r>
      <w:r w:rsidRPr="004D277F">
        <w:t>record</w:t>
      </w:r>
      <w:r>
        <w:t>s</w:t>
      </w:r>
      <w:r w:rsidRPr="004D277F">
        <w:t xml:space="preserve"> relating to a </w:t>
      </w:r>
      <w:r w:rsidRPr="00676442">
        <w:rPr>
          <w:i/>
          <w:iCs/>
        </w:rPr>
        <w:t xml:space="preserve">care recipient </w:t>
      </w:r>
      <w:r>
        <w:t xml:space="preserve">as set out in section 96 of the </w:t>
      </w:r>
      <w:r w:rsidR="00E27AEB">
        <w:t>Intellectual Disability Act</w:t>
      </w:r>
    </w:p>
    <w:p w14:paraId="48FA3AD1" w14:textId="5FF17135" w:rsidR="00B43C67" w:rsidRPr="00B43C67" w:rsidRDefault="00B43C67" w:rsidP="00B43C67">
      <w:pPr>
        <w:pStyle w:val="Bullet"/>
      </w:pPr>
      <w:r w:rsidRPr="00B43C67">
        <w:t xml:space="preserve">the clinical review procedure of a care recipient under sections 77 and 81 of the </w:t>
      </w:r>
      <w:r w:rsidR="00E27AEB">
        <w:t>Intellectual Disability Act</w:t>
      </w:r>
      <w:r w:rsidRPr="00B43C67">
        <w:t>.</w:t>
      </w:r>
    </w:p>
    <w:p w14:paraId="09B34A87" w14:textId="77777777" w:rsidR="00E548A1" w:rsidRDefault="00E548A1" w:rsidP="00B43C67"/>
    <w:p w14:paraId="42AF3B84" w14:textId="719C0687" w:rsidR="00B43C67" w:rsidRDefault="00B43C67" w:rsidP="00B43C67">
      <w:r>
        <w:t>When a court order is made, care managers</w:t>
      </w:r>
      <w:r>
        <w:rPr>
          <w:rStyle w:val="FootnoteReference"/>
        </w:rPr>
        <w:footnoteReference w:id="6"/>
      </w:r>
      <w:r>
        <w:t xml:space="preserve"> must explain to the </w:t>
      </w:r>
      <w:r w:rsidRPr="7362CCE2">
        <w:rPr>
          <w:i/>
        </w:rPr>
        <w:t>care recipient</w:t>
      </w:r>
      <w:r>
        <w:t xml:space="preserve"> what their rights are under the </w:t>
      </w:r>
      <w:r w:rsidR="00E27AEB">
        <w:t>Intellectual Disability Act</w:t>
      </w:r>
      <w:r>
        <w:t xml:space="preserve">. This information must be provided in a manner that the </w:t>
      </w:r>
      <w:r w:rsidRPr="7362CCE2">
        <w:rPr>
          <w:i/>
        </w:rPr>
        <w:t>care recipient</w:t>
      </w:r>
      <w:r>
        <w:t xml:space="preserve"> is most likely to understand. For example, the care manager may need to facilitate discussion with plain language and pictorial documentation (ie, easy-read and other communication modalities such as talking mats). Specifically, the </w:t>
      </w:r>
      <w:r w:rsidRPr="7362CCE2">
        <w:rPr>
          <w:i/>
        </w:rPr>
        <w:t>care recipient</w:t>
      </w:r>
      <w:r>
        <w:t xml:space="preserve"> must be informed of the function and duties of district inspectors pursuant to section 49(2)(d) of the </w:t>
      </w:r>
      <w:r w:rsidR="00E27AEB">
        <w:t>Intellectual Disability Act</w:t>
      </w:r>
      <w:r>
        <w:t>.</w:t>
      </w:r>
    </w:p>
    <w:p w14:paraId="16F7A3B0" w14:textId="77777777" w:rsidR="00B43C67" w:rsidRDefault="00B43C67" w:rsidP="00B43C67"/>
    <w:p w14:paraId="578B1DC1" w14:textId="28EAAECA" w:rsidR="00B43C67" w:rsidRDefault="00B43C67" w:rsidP="00B43C67">
      <w:r>
        <w:t xml:space="preserve">Under sections 57 and 58 of the </w:t>
      </w:r>
      <w:r w:rsidR="00E27AEB">
        <w:t>Intellectual Disability Act</w:t>
      </w:r>
      <w:r>
        <w:t xml:space="preserve">, </w:t>
      </w:r>
      <w:r w:rsidRPr="7362CCE2">
        <w:rPr>
          <w:i/>
        </w:rPr>
        <w:t>care recipients</w:t>
      </w:r>
      <w:r>
        <w:t xml:space="preserve"> are also entitled to receive, unopened, any written communications or other items that are sent to them and to have their outgoing written communications or other items dispatched promptly and unopened.</w:t>
      </w:r>
    </w:p>
    <w:p w14:paraId="3E42920B" w14:textId="77777777" w:rsidR="00B43C67" w:rsidRPr="00750340" w:rsidRDefault="00B43C67" w:rsidP="00B43C67"/>
    <w:p w14:paraId="0F01570C" w14:textId="15545A68" w:rsidR="00B43C67" w:rsidRDefault="00B43C67" w:rsidP="00B43C67">
      <w:r>
        <w:t xml:space="preserve">The exception to this provision is where there are reasonable grounds for believing that the receipt of, or dispatch of, written communications or other items could be detrimental to the interests or care of the </w:t>
      </w:r>
      <w:r w:rsidRPr="7362CCE2">
        <w:rPr>
          <w:i/>
        </w:rPr>
        <w:t>care recipient</w:t>
      </w:r>
      <w:r>
        <w:t xml:space="preserve"> or other persons. In this case, a care manager, with approval from the Care Coordinator, may check and withhold communications under section 57 of the </w:t>
      </w:r>
      <w:r w:rsidR="00E27AEB">
        <w:t>Intellectual Disability Act</w:t>
      </w:r>
      <w:r>
        <w:t xml:space="preserve">. This does not apply to written communications or other items sent by, or on behalf of, or addressed to a district inspector, or other office holders defined in section 58(3) of the </w:t>
      </w:r>
      <w:r w:rsidR="00E27AEB">
        <w:t>Intellectual Disability Act</w:t>
      </w:r>
      <w:r>
        <w:t>.</w:t>
      </w:r>
    </w:p>
    <w:p w14:paraId="09C4862A" w14:textId="77777777" w:rsidR="00B43C67" w:rsidRDefault="00B43C67" w:rsidP="00B43C67"/>
    <w:p w14:paraId="41752A58" w14:textId="601D0F1D" w:rsidR="00B43C67" w:rsidRDefault="00B43C67" w:rsidP="00B43C67">
      <w:r w:rsidRPr="00750340">
        <w:t>Where a care manager withholds a written communication or other item</w:t>
      </w:r>
      <w:r>
        <w:t>s</w:t>
      </w:r>
      <w:r w:rsidRPr="00750340">
        <w:t xml:space="preserve"> (either sent to, or sent by, the </w:t>
      </w:r>
      <w:r w:rsidRPr="7362CCE2">
        <w:rPr>
          <w:i/>
        </w:rPr>
        <w:t>care recipient</w:t>
      </w:r>
      <w:r w:rsidRPr="00750340">
        <w:t>)</w:t>
      </w:r>
      <w:r>
        <w:t>,</w:t>
      </w:r>
      <w:r w:rsidRPr="00750340">
        <w:t xml:space="preserve"> the care manager must return the written communication or other item to the sender</w:t>
      </w:r>
      <w:r>
        <w:t xml:space="preserve"> as per section 59 of the </w:t>
      </w:r>
      <w:r w:rsidR="00E27AEB">
        <w:t>Intellectual Disability Act</w:t>
      </w:r>
      <w:r w:rsidRPr="00750340">
        <w:t xml:space="preserve">. If the address of the sender is unknown, or the sender is the </w:t>
      </w:r>
      <w:r w:rsidRPr="7362CCE2">
        <w:rPr>
          <w:i/>
        </w:rPr>
        <w:t>care recipient</w:t>
      </w:r>
      <w:r w:rsidRPr="00750340">
        <w:t>, then the care manager must either send the written communication or other item to the responsible district inspector or produce it when the district inspector next visits the facility.</w:t>
      </w:r>
    </w:p>
    <w:p w14:paraId="7D3E0E24" w14:textId="77777777" w:rsidR="00B43C67" w:rsidRDefault="00B43C67" w:rsidP="00B43C67"/>
    <w:p w14:paraId="46E65AA5" w14:textId="66B8806B" w:rsidR="00B43C67" w:rsidRPr="004613A1" w:rsidRDefault="00B43C67" w:rsidP="00B43C67">
      <w:r w:rsidRPr="004613A1">
        <w:t xml:space="preserve">The </w:t>
      </w:r>
      <w:r w:rsidR="00E27AEB">
        <w:t>Intellectual Disability Act</w:t>
      </w:r>
      <w:r w:rsidRPr="004613A1">
        <w:t xml:space="preserve"> does not consider the monitoring of electronic communications such as emails and text messages. The Ministry of Health considers that there is no requirement for facilities to supply computers or mobile phones for </w:t>
      </w:r>
      <w:r w:rsidRPr="004613A1">
        <w:rPr>
          <w:i/>
          <w:iCs/>
        </w:rPr>
        <w:t>care recipient</w:t>
      </w:r>
      <w:r w:rsidRPr="004613A1">
        <w:t xml:space="preserve"> use, but such amenities may be appropriate in certain facilities, and it is important to respect a </w:t>
      </w:r>
      <w:r w:rsidRPr="004613A1">
        <w:rPr>
          <w:i/>
          <w:iCs/>
        </w:rPr>
        <w:t>care recipient</w:t>
      </w:r>
      <w:r w:rsidRPr="004613A1">
        <w:t xml:space="preserve">’s freedom of expression (including the right to correspond electronically). If </w:t>
      </w:r>
      <w:r w:rsidRPr="004613A1">
        <w:rPr>
          <w:i/>
          <w:iCs/>
        </w:rPr>
        <w:t>care recipients</w:t>
      </w:r>
      <w:r w:rsidRPr="004613A1">
        <w:t xml:space="preserve"> have access to such devices, responsible clinicians have the same powers to examine and withhold correspondence as if the </w:t>
      </w:r>
      <w:r w:rsidRPr="004613A1">
        <w:lastRenderedPageBreak/>
        <w:t xml:space="preserve">communications were letters, but may not withhold electronic communications to or from the people specified in section </w:t>
      </w:r>
      <w:r>
        <w:t>58</w:t>
      </w:r>
      <w:r w:rsidRPr="004613A1">
        <w:t xml:space="preserve">(3) of the </w:t>
      </w:r>
      <w:r w:rsidR="00E27AEB">
        <w:t>Intellectual Disability Act</w:t>
      </w:r>
      <w:r w:rsidRPr="004613A1">
        <w:t>.</w:t>
      </w:r>
    </w:p>
    <w:p w14:paraId="0E303C45" w14:textId="77777777" w:rsidR="00B43C67" w:rsidRDefault="00B43C67" w:rsidP="00191D52">
      <w:pPr>
        <w:pStyle w:val="Heading2-numbered"/>
      </w:pPr>
      <w:bookmarkStart w:id="29" w:name="_Toc199945536"/>
      <w:bookmarkStart w:id="30" w:name="_Toc200199228"/>
      <w:bookmarkStart w:id="31" w:name="_Toc207353870"/>
      <w:bookmarkEnd w:id="29"/>
      <w:r>
        <w:t>Review procedures and assistance</w:t>
      </w:r>
      <w:bookmarkEnd w:id="30"/>
      <w:bookmarkEnd w:id="31"/>
    </w:p>
    <w:p w14:paraId="6B84CBC0" w14:textId="77777777" w:rsidR="00B43C67" w:rsidRDefault="00B43C67" w:rsidP="00B43C67">
      <w:r>
        <w:rPr>
          <w:rFonts w:eastAsiaTheme="majorEastAsia"/>
        </w:rPr>
        <w:t xml:space="preserve">All </w:t>
      </w:r>
      <w:r w:rsidRPr="008F227B">
        <w:rPr>
          <w:rFonts w:eastAsiaTheme="majorEastAsia"/>
          <w:i/>
          <w:iCs/>
        </w:rPr>
        <w:t>patients</w:t>
      </w:r>
      <w:r>
        <w:rPr>
          <w:rFonts w:eastAsiaTheme="majorEastAsia"/>
        </w:rPr>
        <w:t xml:space="preserve"> or </w:t>
      </w:r>
      <w:r w:rsidRPr="008F227B">
        <w:rPr>
          <w:rFonts w:eastAsiaTheme="majorEastAsia"/>
          <w:i/>
          <w:iCs/>
        </w:rPr>
        <w:t>care recipients</w:t>
      </w:r>
      <w:r>
        <w:rPr>
          <w:rFonts w:eastAsiaTheme="majorEastAsia"/>
        </w:rPr>
        <w:t xml:space="preserve"> subject to a compulsory treatment or care order have the right to have their condition formally reviewed. The specific timing and procedures associated with such reviews are defined by the Act that the individual</w:t>
      </w:r>
      <w:r>
        <w:t xml:space="preserve"> is subject to and the Act that the district inspector is appointed under. </w:t>
      </w:r>
    </w:p>
    <w:p w14:paraId="608976CA" w14:textId="77777777" w:rsidR="00B43C67" w:rsidRPr="00BE7682" w:rsidRDefault="00B43C67" w:rsidP="00C344A2">
      <w:pPr>
        <w:pStyle w:val="Heading3-numbered"/>
      </w:pPr>
      <w:r>
        <w:t xml:space="preserve">Review procedures under the Mental Health Act </w:t>
      </w:r>
    </w:p>
    <w:p w14:paraId="149F0EE8" w14:textId="77777777" w:rsidR="00B43C67" w:rsidRPr="00B42749" w:rsidRDefault="00B43C67" w:rsidP="00B43C67">
      <w:pPr>
        <w:pStyle w:val="Heading4"/>
        <w:rPr>
          <w:rFonts w:cs="Segoe UI"/>
          <w:sz w:val="21"/>
          <w:szCs w:val="21"/>
        </w:rPr>
      </w:pPr>
      <w:r w:rsidRPr="00B42749">
        <w:t>Review procedures under sections 35</w:t>
      </w:r>
      <w:r>
        <w:t xml:space="preserve"> and </w:t>
      </w:r>
      <w:r w:rsidRPr="00B42749">
        <w:t>76</w:t>
      </w:r>
      <w:r>
        <w:t>–</w:t>
      </w:r>
      <w:r w:rsidRPr="00B42749">
        <w:t>78</w:t>
      </w:r>
    </w:p>
    <w:p w14:paraId="350BA6DC" w14:textId="50B1718A" w:rsidR="00B43C67" w:rsidRDefault="00B43C67" w:rsidP="00B43C67">
      <w:r w:rsidRPr="516C99AA">
        <w:t xml:space="preserve">Under sections 76 </w:t>
      </w:r>
      <w:r>
        <w:t>to</w:t>
      </w:r>
      <w:r w:rsidRPr="516C99AA">
        <w:t xml:space="preserve"> 78 of the Mental Health Act, all </w:t>
      </w:r>
      <w:r w:rsidRPr="516C99AA">
        <w:rPr>
          <w:i/>
          <w:iCs/>
        </w:rPr>
        <w:t xml:space="preserve">patients, </w:t>
      </w:r>
      <w:r w:rsidRPr="004F7838">
        <w:t>special</w:t>
      </w:r>
      <w:r w:rsidRPr="516C99AA">
        <w:rPr>
          <w:i/>
          <w:iCs/>
        </w:rPr>
        <w:t xml:space="preserve"> </w:t>
      </w:r>
      <w:r w:rsidRPr="004F7838">
        <w:t>patients</w:t>
      </w:r>
      <w:r w:rsidRPr="516C99AA">
        <w:rPr>
          <w:i/>
          <w:iCs/>
        </w:rPr>
        <w:t xml:space="preserve"> </w:t>
      </w:r>
      <w:r w:rsidRPr="004F7838">
        <w:t>and</w:t>
      </w:r>
      <w:r w:rsidRPr="516C99AA">
        <w:rPr>
          <w:i/>
          <w:iCs/>
        </w:rPr>
        <w:t xml:space="preserve"> </w:t>
      </w:r>
      <w:r w:rsidRPr="004F7838">
        <w:t>restricted</w:t>
      </w:r>
      <w:r w:rsidRPr="516C99AA">
        <w:rPr>
          <w:i/>
          <w:iCs/>
        </w:rPr>
        <w:t xml:space="preserve"> </w:t>
      </w:r>
      <w:r w:rsidRPr="004F7838">
        <w:t>patients</w:t>
      </w:r>
      <w:r w:rsidRPr="516C99AA">
        <w:rPr>
          <w:i/>
          <w:iCs/>
        </w:rPr>
        <w:t xml:space="preserve"> </w:t>
      </w:r>
      <w:r w:rsidRPr="516C99AA">
        <w:t xml:space="preserve">subject to a compulsory treatment order must have their condition formally reviewed by their responsible clinician within </w:t>
      </w:r>
      <w:r>
        <w:t xml:space="preserve">three </w:t>
      </w:r>
      <w:r w:rsidRPr="516C99AA">
        <w:t xml:space="preserve">months of the initial order. </w:t>
      </w:r>
    </w:p>
    <w:p w14:paraId="425D9BB7" w14:textId="77777777" w:rsidR="00B43C67" w:rsidRDefault="00B43C67" w:rsidP="00B43C67"/>
    <w:p w14:paraId="1B0D11D4" w14:textId="1C2B9A7E" w:rsidR="00B43C67" w:rsidRDefault="00B43C67" w:rsidP="00B43C67">
      <w:r w:rsidRPr="516C99AA">
        <w:t xml:space="preserve">Following the first </w:t>
      </w:r>
      <w:r>
        <w:t>three</w:t>
      </w:r>
      <w:r w:rsidRPr="516C99AA">
        <w:t xml:space="preserve"> months, the reviews take place at least every </w:t>
      </w:r>
      <w:r>
        <w:t xml:space="preserve">six </w:t>
      </w:r>
      <w:r w:rsidRPr="516C99AA">
        <w:t xml:space="preserve">months. </w:t>
      </w:r>
      <w:r w:rsidRPr="0093123E">
        <w:rPr>
          <w:i/>
          <w:iCs/>
        </w:rPr>
        <w:t>P</w:t>
      </w:r>
      <w:r w:rsidRPr="516C99AA">
        <w:rPr>
          <w:i/>
          <w:iCs/>
        </w:rPr>
        <w:t xml:space="preserve">atients </w:t>
      </w:r>
      <w:r w:rsidRPr="516C99AA">
        <w:t>must attend their clinical review</w:t>
      </w:r>
      <w:r>
        <w:t xml:space="preserve"> preferably face to face, but AVL technology is available if this is not possible</w:t>
      </w:r>
      <w:r w:rsidRPr="516C99AA">
        <w:t xml:space="preserve">. If </w:t>
      </w:r>
      <w:r>
        <w:t xml:space="preserve">a </w:t>
      </w:r>
      <w:r>
        <w:rPr>
          <w:i/>
          <w:iCs/>
        </w:rPr>
        <w:t>patient</w:t>
      </w:r>
      <w:r w:rsidRPr="516C99AA">
        <w:t xml:space="preserve"> do</w:t>
      </w:r>
      <w:r>
        <w:t>es</w:t>
      </w:r>
      <w:r w:rsidRPr="516C99AA">
        <w:t xml:space="preserve"> not attend, the </w:t>
      </w:r>
      <w:r>
        <w:t>DAMHS</w:t>
      </w:r>
      <w:r w:rsidRPr="516C99AA">
        <w:t xml:space="preserve"> is able to apply for a warrant authorising </w:t>
      </w:r>
      <w:r>
        <w:t>a constable</w:t>
      </w:r>
      <w:r w:rsidRPr="516C99AA">
        <w:t xml:space="preserve"> to take the designated </w:t>
      </w:r>
      <w:r w:rsidRPr="516C99AA">
        <w:rPr>
          <w:i/>
          <w:iCs/>
        </w:rPr>
        <w:t>patient</w:t>
      </w:r>
      <w:r w:rsidRPr="516C99AA">
        <w:t xml:space="preserve"> to the place specified in the warrant to undertake the clinical review (section 113A of the Mental Health Act). </w:t>
      </w:r>
    </w:p>
    <w:p w14:paraId="4FD29389" w14:textId="77777777" w:rsidR="00B43C67" w:rsidRDefault="00B43C67" w:rsidP="00B43C67"/>
    <w:p w14:paraId="5F71A591" w14:textId="5C72DEB6" w:rsidR="00B43C67" w:rsidRDefault="00B43C67" w:rsidP="00B43C67">
      <w:r w:rsidRPr="1FA8E077">
        <w:t xml:space="preserve">If the responsible clinician reviews the </w:t>
      </w:r>
      <w:r w:rsidRPr="7362CCE2">
        <w:rPr>
          <w:i/>
        </w:rPr>
        <w:t>patient</w:t>
      </w:r>
      <w:r w:rsidRPr="1FA8E077">
        <w:t xml:space="preserve"> and concludes that they are not fit to be released from compulsory status, the responsible clinician must send a copy of the certificate of clinical review to the district inspector. </w:t>
      </w:r>
    </w:p>
    <w:p w14:paraId="3DD6D431" w14:textId="77777777" w:rsidR="00B43C67" w:rsidRPr="00C709AC" w:rsidRDefault="00B43C67" w:rsidP="00B43C67"/>
    <w:p w14:paraId="25E98451" w14:textId="7597411A" w:rsidR="00B43C67" w:rsidRDefault="00B43C67" w:rsidP="00B43C67">
      <w:r w:rsidRPr="00C709AC">
        <w:t xml:space="preserve">If the responsible clinician considers that the </w:t>
      </w:r>
      <w:r w:rsidRPr="7362CCE2">
        <w:rPr>
          <w:i/>
        </w:rPr>
        <w:t>patient</w:t>
      </w:r>
      <w:r w:rsidRPr="00C709AC">
        <w:t xml:space="preserve"> is not fit to be released from compulsory status, but the district inspector</w:t>
      </w:r>
      <w:r>
        <w:t>,</w:t>
      </w:r>
      <w:r w:rsidRPr="00C709AC">
        <w:t xml:space="preserve"> or a friend or relative of the </w:t>
      </w:r>
      <w:r w:rsidRPr="7362CCE2">
        <w:rPr>
          <w:i/>
        </w:rPr>
        <w:t>patient</w:t>
      </w:r>
      <w:r w:rsidRPr="00C709AC">
        <w:t xml:space="preserve"> is of a contrary opinion, section 35(2) of the </w:t>
      </w:r>
      <w:r>
        <w:t>Mental Health</w:t>
      </w:r>
      <w:r w:rsidRPr="00C709AC">
        <w:t xml:space="preserve"> Act </w:t>
      </w:r>
      <w:r>
        <w:t xml:space="preserve">provides </w:t>
      </w:r>
      <w:r w:rsidRPr="00C709AC">
        <w:t>the district inspector</w:t>
      </w:r>
      <w:r>
        <w:t xml:space="preserve"> shall</w:t>
      </w:r>
      <w:r w:rsidRPr="00C709AC">
        <w:t>,</w:t>
      </w:r>
      <w:r>
        <w:t xml:space="preserve"> or the</w:t>
      </w:r>
      <w:r w:rsidRPr="00C709AC">
        <w:t xml:space="preserve"> friend or relative </w:t>
      </w:r>
      <w:r>
        <w:t>may,</w:t>
      </w:r>
      <w:r w:rsidRPr="00C709AC">
        <w:t xml:space="preserve"> refer the case to the </w:t>
      </w:r>
      <w:r>
        <w:t>MHRT</w:t>
      </w:r>
      <w:r w:rsidRPr="00C709AC">
        <w:t xml:space="preserve"> for consideration under section 79 of the </w:t>
      </w:r>
      <w:r>
        <w:t>Mental Health</w:t>
      </w:r>
      <w:r w:rsidRPr="00C709AC">
        <w:t xml:space="preserve"> Act. </w:t>
      </w:r>
    </w:p>
    <w:p w14:paraId="46A97277" w14:textId="77777777" w:rsidR="00B43C67" w:rsidRPr="00C709AC" w:rsidRDefault="00B43C67" w:rsidP="00B43C67"/>
    <w:p w14:paraId="0A85ECB3" w14:textId="6D9907FC" w:rsidR="00B43C67" w:rsidRDefault="00B43C67" w:rsidP="00B43C67">
      <w:r w:rsidRPr="00C709AC">
        <w:t xml:space="preserve">A </w:t>
      </w:r>
      <w:r>
        <w:t>d</w:t>
      </w:r>
      <w:r w:rsidRPr="00C709AC">
        <w:t xml:space="preserve">istrict inspector who receives a copy of the certificate of clinical review under section 76 of the </w:t>
      </w:r>
      <w:r>
        <w:t>Mental Health</w:t>
      </w:r>
      <w:r w:rsidRPr="00C709AC">
        <w:t xml:space="preserve"> Act </w:t>
      </w:r>
      <w:r>
        <w:t xml:space="preserve">must communicate with the patient and find out, if possible, whether or not the </w:t>
      </w:r>
      <w:r w:rsidRPr="00B30A51">
        <w:rPr>
          <w:i/>
          <w:iCs/>
        </w:rPr>
        <w:t xml:space="preserve">patient </w:t>
      </w:r>
      <w:r>
        <w:t xml:space="preserve">wishes to make an application to </w:t>
      </w:r>
      <w:r w:rsidRPr="00C709AC">
        <w:t xml:space="preserve">the MHRT for a review of the </w:t>
      </w:r>
      <w:r w:rsidRPr="7362CCE2">
        <w:rPr>
          <w:i/>
        </w:rPr>
        <w:t>patient</w:t>
      </w:r>
      <w:r w:rsidRPr="00E428B1">
        <w:t>’s</w:t>
      </w:r>
      <w:r w:rsidRPr="00366B19">
        <w:t xml:space="preserve"> </w:t>
      </w:r>
      <w:r w:rsidRPr="00C709AC">
        <w:t>condition</w:t>
      </w:r>
      <w:r>
        <w:t xml:space="preserve">. </w:t>
      </w:r>
      <w:r w:rsidRPr="003F5663">
        <w:t>Consideration should be given to the appropriate method of communicating with community patients.</w:t>
      </w:r>
      <w:r>
        <w:t xml:space="preserve"> The district inspector must then decide, having regard to any view expressed by the </w:t>
      </w:r>
      <w:r w:rsidRPr="00E97B18">
        <w:rPr>
          <w:i/>
          <w:iCs/>
        </w:rPr>
        <w:t>patient</w:t>
      </w:r>
      <w:r>
        <w:t xml:space="preserve">, whether or not an application should be made to the MHRT for a review of the </w:t>
      </w:r>
      <w:r w:rsidRPr="00E97B18">
        <w:rPr>
          <w:i/>
          <w:iCs/>
        </w:rPr>
        <w:t>patient</w:t>
      </w:r>
      <w:r w:rsidRPr="00E428B1">
        <w:t>’s</w:t>
      </w:r>
      <w:r w:rsidRPr="00800710">
        <w:t xml:space="preserve"> c</w:t>
      </w:r>
      <w:r>
        <w:t>ondition.</w:t>
      </w:r>
    </w:p>
    <w:p w14:paraId="22D436B3" w14:textId="77777777" w:rsidR="00B43C67" w:rsidRDefault="00B43C67" w:rsidP="00B43C67"/>
    <w:p w14:paraId="4ED63743" w14:textId="42433716" w:rsidR="00B43C67" w:rsidRDefault="00B43C67" w:rsidP="00B43C67">
      <w:r w:rsidRPr="00C709AC">
        <w:lastRenderedPageBreak/>
        <w:t>If</w:t>
      </w:r>
      <w:r>
        <w:t xml:space="preserve"> </w:t>
      </w:r>
      <w:r w:rsidRPr="00C709AC">
        <w:t xml:space="preserve">the district inspector considers that </w:t>
      </w:r>
      <w:r>
        <w:t xml:space="preserve">such </w:t>
      </w:r>
      <w:r w:rsidRPr="00C709AC">
        <w:t>an application should be made, the</w:t>
      </w:r>
      <w:r>
        <w:t xml:space="preserve"> district inspector</w:t>
      </w:r>
      <w:r w:rsidRPr="00C709AC">
        <w:t xml:space="preserve"> s</w:t>
      </w:r>
      <w:r>
        <w:t>hall take whatever reasonable steps they think are necessary to</w:t>
      </w:r>
      <w:r w:rsidRPr="00C709AC">
        <w:t xml:space="preserve"> encourage the </w:t>
      </w:r>
      <w:r w:rsidRPr="7362CCE2">
        <w:rPr>
          <w:i/>
        </w:rPr>
        <w:t>patient</w:t>
      </w:r>
      <w:r w:rsidRPr="00C709AC">
        <w:t xml:space="preserve"> or the other recipients of the clinical review certificate under section 76(7)(b) to make an application. If none of the people listed in section 76(7)(b) will make the application, the district inspector may report this matter to the MHRT, and the MHRT may subsequently review the </w:t>
      </w:r>
      <w:r w:rsidRPr="7362CCE2">
        <w:rPr>
          <w:i/>
        </w:rPr>
        <w:t>patient</w:t>
      </w:r>
      <w:r w:rsidRPr="00E428B1">
        <w:t>’s</w:t>
      </w:r>
      <w:r w:rsidRPr="00366B19">
        <w:t xml:space="preserve"> c</w:t>
      </w:r>
      <w:r w:rsidRPr="00C709AC">
        <w:t xml:space="preserve">ondition under section 79, or section 80 if the </w:t>
      </w:r>
      <w:r w:rsidRPr="7362CCE2">
        <w:rPr>
          <w:i/>
        </w:rPr>
        <w:t>patient</w:t>
      </w:r>
      <w:r w:rsidRPr="00C709AC">
        <w:t xml:space="preserve"> is a special </w:t>
      </w:r>
      <w:r w:rsidRPr="006C0C81">
        <w:t>patient</w:t>
      </w:r>
      <w:r w:rsidRPr="00C709AC">
        <w:t xml:space="preserve">, or section 81 if the </w:t>
      </w:r>
      <w:r w:rsidRPr="7362CCE2">
        <w:rPr>
          <w:i/>
        </w:rPr>
        <w:t>patient</w:t>
      </w:r>
      <w:r w:rsidRPr="00C709AC">
        <w:t xml:space="preserve"> is a restricted patient. It is important to consider that when a </w:t>
      </w:r>
      <w:r>
        <w:t>d</w:t>
      </w:r>
      <w:r w:rsidRPr="00C709AC">
        <w:t xml:space="preserve">istrict inspector recommends that an application be made to the MHRT, this will be contrary to the medical opinion of the responsible clinician regularly treating that </w:t>
      </w:r>
      <w:r w:rsidRPr="7362CCE2">
        <w:rPr>
          <w:i/>
        </w:rPr>
        <w:t>patient</w:t>
      </w:r>
      <w:r w:rsidRPr="00C709AC">
        <w:t>.</w:t>
      </w:r>
    </w:p>
    <w:p w14:paraId="27A51A77" w14:textId="77777777" w:rsidR="00B43C67" w:rsidRDefault="00B43C67" w:rsidP="00B43C67"/>
    <w:p w14:paraId="0B12F3F0" w14:textId="77777777" w:rsidR="00B43C67" w:rsidRDefault="00B43C67" w:rsidP="00B43C67">
      <w:r w:rsidRPr="00C709AC">
        <w:t xml:space="preserve">If the MHRT hearing concludes that the </w:t>
      </w:r>
      <w:r w:rsidRPr="7362CCE2">
        <w:rPr>
          <w:i/>
        </w:rPr>
        <w:t>patient</w:t>
      </w:r>
      <w:r w:rsidRPr="00C709AC">
        <w:t xml:space="preserve"> is not considered fit to be released from compulsory status, then the district inspector (or an official visitor) is required to meet with the </w:t>
      </w:r>
      <w:r w:rsidRPr="7362CCE2">
        <w:rPr>
          <w:i/>
        </w:rPr>
        <w:t>patient</w:t>
      </w:r>
      <w:r w:rsidRPr="00C709AC">
        <w:t xml:space="preserve"> to ascertain the </w:t>
      </w:r>
      <w:r w:rsidRPr="7362CCE2">
        <w:rPr>
          <w:i/>
        </w:rPr>
        <w:t>patient</w:t>
      </w:r>
      <w:r w:rsidRPr="00E428B1">
        <w:t>’s</w:t>
      </w:r>
      <w:r w:rsidRPr="00366B19">
        <w:t xml:space="preserve"> </w:t>
      </w:r>
      <w:r w:rsidRPr="00C709AC">
        <w:t xml:space="preserve">wishes in the matter and consider whether an appeal should be made to the court against the MHRT’s decision (section 79(12) of the </w:t>
      </w:r>
      <w:r>
        <w:t>Mental Health</w:t>
      </w:r>
      <w:r w:rsidRPr="00C709AC">
        <w:t xml:space="preserve"> Act). </w:t>
      </w:r>
    </w:p>
    <w:p w14:paraId="7124F58F" w14:textId="77777777" w:rsidR="00B43C67" w:rsidRDefault="00B43C67" w:rsidP="00C344A2">
      <w:pPr>
        <w:pStyle w:val="Heading3-numbered"/>
      </w:pPr>
      <w:r>
        <w:t xml:space="preserve">Review procedures under the Substance Addiction Act </w:t>
      </w:r>
    </w:p>
    <w:p w14:paraId="31ED51B5" w14:textId="77777777" w:rsidR="00B43C67" w:rsidRPr="003D339F" w:rsidRDefault="00B43C67" w:rsidP="00B43C67">
      <w:r>
        <w:t xml:space="preserve">Under section 34 of the Substance Addiction Act, </w:t>
      </w:r>
      <w:r w:rsidRPr="7FC6E479">
        <w:rPr>
          <w:i/>
          <w:iCs/>
        </w:rPr>
        <w:t>patients</w:t>
      </w:r>
      <w:r>
        <w:t xml:space="preserve">, district inspectors and other specified persons (such as the </w:t>
      </w:r>
      <w:r w:rsidRPr="7FC6E479">
        <w:rPr>
          <w:i/>
          <w:iCs/>
        </w:rPr>
        <w:t>patient</w:t>
      </w:r>
      <w:r w:rsidRPr="00E428B1">
        <w:t>’s</w:t>
      </w:r>
      <w:r>
        <w:t xml:space="preserve"> nominated person or lawyer) may at any time apply to the court for an urgent review of the </w:t>
      </w:r>
      <w:r w:rsidRPr="7FC6E479">
        <w:rPr>
          <w:i/>
          <w:iCs/>
        </w:rPr>
        <w:t>patient’s</w:t>
      </w:r>
      <w:r>
        <w:t xml:space="preserve"> status. An application can be made on the grounds that: </w:t>
      </w:r>
    </w:p>
    <w:p w14:paraId="78644FD0" w14:textId="77777777" w:rsidR="00B43C67" w:rsidRPr="00B43C67" w:rsidRDefault="00B43C67" w:rsidP="00632BD1">
      <w:pPr>
        <w:pStyle w:val="Bullet"/>
      </w:pPr>
      <w:r w:rsidRPr="00B43C67">
        <w:t>the criteria for compulsory treatment are not or are no longer met, or</w:t>
      </w:r>
    </w:p>
    <w:p w14:paraId="3B56CE35" w14:textId="77777777" w:rsidR="00B43C67" w:rsidRPr="003D339F" w:rsidRDefault="00B43C67" w:rsidP="00632BD1">
      <w:pPr>
        <w:pStyle w:val="Bullet"/>
      </w:pPr>
      <w:r w:rsidRPr="004613A1">
        <w:t>in the case of a</w:t>
      </w:r>
      <w:r w:rsidRPr="003D339F">
        <w:t xml:space="preserve"> </w:t>
      </w:r>
      <w:r w:rsidRPr="003D339F">
        <w:rPr>
          <w:i/>
        </w:rPr>
        <w:t>patient</w:t>
      </w:r>
      <w:r w:rsidRPr="003D339F">
        <w:t xml:space="preserve"> who is not subject to a compulsory treatment order</w:t>
      </w:r>
      <w:r w:rsidRPr="004613A1">
        <w:t>, the</w:t>
      </w:r>
      <w:r w:rsidRPr="003D339F">
        <w:t xml:space="preserve"> compulsory treatment certificate should not have been given</w:t>
      </w:r>
      <w:r>
        <w:t>.</w:t>
      </w:r>
    </w:p>
    <w:p w14:paraId="396FFC52" w14:textId="77777777" w:rsidR="00B43C67" w:rsidRDefault="00B43C67" w:rsidP="00632BD1">
      <w:pPr>
        <w:pStyle w:val="Bullet"/>
        <w:numPr>
          <w:ilvl w:val="0"/>
          <w:numId w:val="0"/>
        </w:numPr>
        <w:ind w:left="284"/>
      </w:pPr>
    </w:p>
    <w:p w14:paraId="0C31939C" w14:textId="767D2136" w:rsidR="00B43C67" w:rsidRDefault="00B43C67" w:rsidP="00B43C67">
      <w:r>
        <w:t xml:space="preserve">Under section 71 of the Substance Addiction Act, the responsible district inspector may appear and </w:t>
      </w:r>
      <w:r w:rsidRPr="7362CCE2">
        <w:rPr>
          <w:rFonts w:cs="Arial"/>
        </w:rPr>
        <w:t xml:space="preserve">be heard at a hearing of an application. However, under section 74 </w:t>
      </w:r>
      <w:r>
        <w:t xml:space="preserve">of the Substance Addiction Act, upon being served with an application, the district inspector must communicate with the </w:t>
      </w:r>
      <w:r w:rsidRPr="7362CCE2">
        <w:rPr>
          <w:i/>
        </w:rPr>
        <w:t>patient</w:t>
      </w:r>
      <w:r>
        <w:t xml:space="preserve"> who is the subject of an application to the court to find out, if possible, whether the </w:t>
      </w:r>
      <w:r w:rsidRPr="7362CCE2">
        <w:rPr>
          <w:i/>
        </w:rPr>
        <w:t>patient</w:t>
      </w:r>
      <w:r>
        <w:t xml:space="preserve"> wants the district inspector to appear before the court to be heard on the application. The district inspector must have regard to any views expressed by the </w:t>
      </w:r>
      <w:r w:rsidRPr="7362CCE2">
        <w:rPr>
          <w:i/>
        </w:rPr>
        <w:t>patient</w:t>
      </w:r>
      <w:r>
        <w:t xml:space="preserve"> in deciding whether to appear on the application.</w:t>
      </w:r>
    </w:p>
    <w:p w14:paraId="64F87EAB" w14:textId="1F6FD4A6" w:rsidR="00B43C67" w:rsidRPr="00D41707" w:rsidRDefault="00B43C67" w:rsidP="00C344A2">
      <w:pPr>
        <w:pStyle w:val="Heading3-numbered"/>
      </w:pPr>
      <w:r>
        <w:t xml:space="preserve">Review procedures under the </w:t>
      </w:r>
      <w:r w:rsidR="00E27AEB">
        <w:t>Intellectual Disability Act</w:t>
      </w:r>
      <w:r>
        <w:t xml:space="preserve"> </w:t>
      </w:r>
    </w:p>
    <w:p w14:paraId="2C204C66" w14:textId="203DB95A" w:rsidR="00B43C67" w:rsidRDefault="00B43C67" w:rsidP="00B43C67">
      <w:r>
        <w:t xml:space="preserve">Six months after the Care Coordinator has approved a </w:t>
      </w:r>
      <w:r w:rsidRPr="7362CCE2">
        <w:rPr>
          <w:i/>
        </w:rPr>
        <w:t>care recipient</w:t>
      </w:r>
      <w:r w:rsidRPr="00E428B1">
        <w:t>’s</w:t>
      </w:r>
      <w:r w:rsidRPr="001F7FBF">
        <w:t xml:space="preserve"> </w:t>
      </w:r>
      <w:r>
        <w:t xml:space="preserve">initial care and rehabilitation plan, they must present a report to the Family Court on the continued appropriateness of the plan under section 72 of the </w:t>
      </w:r>
      <w:r w:rsidR="00E27AEB">
        <w:t>Intellectual Disability Act</w:t>
      </w:r>
      <w:r>
        <w:t xml:space="preserve">. If the individual falls within the category of </w:t>
      </w:r>
      <w:r w:rsidRPr="7362CCE2">
        <w:rPr>
          <w:i/>
        </w:rPr>
        <w:t>care recipients</w:t>
      </w:r>
      <w:r>
        <w:t xml:space="preserve"> who are subject to a compulsory care order, the Care Coordinator must also include the continued appropriateness of the order.</w:t>
      </w:r>
    </w:p>
    <w:p w14:paraId="74F0AD82" w14:textId="77777777" w:rsidR="00B43C67" w:rsidRDefault="00B43C67" w:rsidP="00B43C67"/>
    <w:p w14:paraId="6E1FBC92" w14:textId="503D4165" w:rsidR="00B43C67" w:rsidRDefault="00B43C67" w:rsidP="00B43C67">
      <w:r>
        <w:lastRenderedPageBreak/>
        <w:t xml:space="preserve">The report must be accompanied by a certificate from a specialist assessor regarding the status of the </w:t>
      </w:r>
      <w:r w:rsidRPr="7362CCE2">
        <w:rPr>
          <w:i/>
        </w:rPr>
        <w:t>care recipient</w:t>
      </w:r>
      <w:r>
        <w:t>, along with any relevant reports from specialist assessors concerned with the case.</w:t>
      </w:r>
    </w:p>
    <w:p w14:paraId="5902B28E" w14:textId="77777777" w:rsidR="00B43C67" w:rsidRDefault="00B43C67" w:rsidP="00B43C67"/>
    <w:p w14:paraId="52920CDF" w14:textId="7AFC6B63" w:rsidR="00B43C67" w:rsidRDefault="00B43C67" w:rsidP="00B43C67">
      <w:r>
        <w:t xml:space="preserve">Copies of the report provided by the Care Coordinator to the Family Court must be sent to the list of individuals in section 73(1) of the </w:t>
      </w:r>
      <w:r w:rsidR="00E27AEB">
        <w:t>Intellectual Disability Act</w:t>
      </w:r>
      <w:r>
        <w:t>, including the responsible district inspector. Individuals on this list have the right to make a written submission to the court about the report.</w:t>
      </w:r>
    </w:p>
    <w:p w14:paraId="388EA823" w14:textId="77777777" w:rsidR="00B43C67" w:rsidRDefault="00B43C67" w:rsidP="00B43C67"/>
    <w:p w14:paraId="4804AD24" w14:textId="77777777" w:rsidR="00B43C67" w:rsidRDefault="00B43C67" w:rsidP="00B43C67">
      <w:r>
        <w:t>In carrying out its review, the Family Court must review the contents of the care and rehabilitation plan and any compulsory care order. The court may also:</w:t>
      </w:r>
    </w:p>
    <w:p w14:paraId="767307A8" w14:textId="77777777" w:rsidR="00B43C67" w:rsidRPr="00B43C67" w:rsidRDefault="00B43C67" w:rsidP="00B43C67">
      <w:pPr>
        <w:pStyle w:val="Bullet"/>
      </w:pPr>
      <w:r w:rsidRPr="00B43C67">
        <w:t>call for reports from the Care Coordinator, care manager, responsible district inspector and any specialist assessor concerned with the case</w:t>
      </w:r>
    </w:p>
    <w:p w14:paraId="35F9A01C" w14:textId="77777777" w:rsidR="00B43C67" w:rsidRPr="00B43C67" w:rsidRDefault="00B43C67" w:rsidP="00B43C67">
      <w:pPr>
        <w:pStyle w:val="Bullet"/>
      </w:pPr>
      <w:r w:rsidRPr="00B43C67">
        <w:t>obtain a second opinion from a specialist assessor other than the specialist assessor who issued the certificate</w:t>
      </w:r>
    </w:p>
    <w:p w14:paraId="44801130" w14:textId="77777777" w:rsidR="00B43C67" w:rsidRPr="00B43C67" w:rsidRDefault="00B43C67" w:rsidP="00B43C67">
      <w:pPr>
        <w:pStyle w:val="Bullet"/>
      </w:pPr>
      <w:r w:rsidRPr="00B43C67">
        <w:t>require the Care Coordinator, care manager, responsible district inspector or any specialist assessor concerned with the case to give evidence and to produce documents.</w:t>
      </w:r>
    </w:p>
    <w:p w14:paraId="00202F11" w14:textId="77777777" w:rsidR="00B43C67" w:rsidRDefault="00B43C67" w:rsidP="00191D52">
      <w:pPr>
        <w:pStyle w:val="Heading2-numbered"/>
      </w:pPr>
      <w:bookmarkStart w:id="32" w:name="_Toc200199229"/>
      <w:bookmarkStart w:id="33" w:name="_Toc207353871"/>
      <w:r>
        <w:t>Visitation and inspection</w:t>
      </w:r>
      <w:bookmarkEnd w:id="32"/>
      <w:bookmarkEnd w:id="33"/>
      <w:r>
        <w:t xml:space="preserve"> </w:t>
      </w:r>
    </w:p>
    <w:p w14:paraId="6DBA3D5F" w14:textId="53D51EFB" w:rsidR="00B43C67" w:rsidRDefault="00B43C67" w:rsidP="00B43C67">
      <w:r>
        <w:t xml:space="preserve">District inspectors must visit each of the services in their region in which any </w:t>
      </w:r>
      <w:r w:rsidRPr="00D4439C">
        <w:rPr>
          <w:i/>
          <w:iCs/>
        </w:rPr>
        <w:t>patient</w:t>
      </w:r>
      <w:r>
        <w:t xml:space="preserve"> or </w:t>
      </w:r>
      <w:r w:rsidRPr="00D4439C">
        <w:rPr>
          <w:i/>
          <w:iCs/>
        </w:rPr>
        <w:t>care recipient</w:t>
      </w:r>
      <w:r>
        <w:t xml:space="preserve"> is being assessed, treated or cared for under the three Acts outlined in these guidelines. T</w:t>
      </w:r>
      <w:r w:rsidRPr="00A012AA">
        <w:t xml:space="preserve">he </w:t>
      </w:r>
      <w:r>
        <w:t xml:space="preserve">specific </w:t>
      </w:r>
      <w:r w:rsidRPr="00A012AA">
        <w:t>extent</w:t>
      </w:r>
      <w:r>
        <w:t xml:space="preserve"> and frequency </w:t>
      </w:r>
      <w:r w:rsidRPr="00A012AA">
        <w:t xml:space="preserve">of a </w:t>
      </w:r>
      <w:r>
        <w:t>d</w:t>
      </w:r>
      <w:r w:rsidRPr="00A012AA">
        <w:t xml:space="preserve">istrict </w:t>
      </w:r>
      <w:r>
        <w:t>i</w:t>
      </w:r>
      <w:r w:rsidRPr="00A012AA">
        <w:t>nspector</w:t>
      </w:r>
      <w:r>
        <w:t>’</w:t>
      </w:r>
      <w:r w:rsidRPr="00A012AA">
        <w:t>s powers of inspection</w:t>
      </w:r>
      <w:r>
        <w:t xml:space="preserve"> and visitation</w:t>
      </w:r>
      <w:r w:rsidRPr="00A012AA">
        <w:t xml:space="preserve"> </w:t>
      </w:r>
      <w:r>
        <w:t>are determined by the Act that they are functioning under; however, it is</w:t>
      </w:r>
      <w:r w:rsidRPr="00CA12CA">
        <w:t xml:space="preserve"> expected </w:t>
      </w:r>
      <w:r>
        <w:t xml:space="preserve">that district inspectors </w:t>
      </w:r>
      <w:r w:rsidRPr="00CA12CA">
        <w:t>engage regularly with services</w:t>
      </w:r>
      <w:r>
        <w:t xml:space="preserve"> and </w:t>
      </w:r>
      <w:r w:rsidRPr="00CA12CA">
        <w:t xml:space="preserve">tāngata </w:t>
      </w:r>
      <w:r>
        <w:t xml:space="preserve">whai ora or tāngata </w:t>
      </w:r>
      <w:r w:rsidRPr="00CA12CA">
        <w:t>whaikaha</w:t>
      </w:r>
      <w:r>
        <w:t xml:space="preserve">. More frequent visits may be prompted by concerns </w:t>
      </w:r>
      <w:r w:rsidRPr="0096662B">
        <w:t>such as high or prolonged use of seclusion</w:t>
      </w:r>
      <w:r>
        <w:t xml:space="preserve"> or</w:t>
      </w:r>
      <w:r w:rsidRPr="0096662B">
        <w:t xml:space="preserve"> restraint, potentially inequitable application of restrictive practices </w:t>
      </w:r>
      <w:r>
        <w:t>to</w:t>
      </w:r>
      <w:r w:rsidRPr="0096662B">
        <w:t xml:space="preserve"> some groups, high numbers of complaints or other concerning matters.</w:t>
      </w:r>
    </w:p>
    <w:p w14:paraId="32125BFA" w14:textId="77777777" w:rsidR="00B43C67" w:rsidRDefault="00B43C67" w:rsidP="00B43C67"/>
    <w:p w14:paraId="1CD14713" w14:textId="055F42AA" w:rsidR="00B43C67" w:rsidRDefault="00B43C67" w:rsidP="00B43C67">
      <w:r>
        <w:t xml:space="preserve">District inspector powers of visitation </w:t>
      </w:r>
      <w:r>
        <w:rPr>
          <w:rFonts w:eastAsia="Segoe UI" w:cs="Segoe UI"/>
        </w:rPr>
        <w:t>grant</w:t>
      </w:r>
      <w:r w:rsidRPr="27E221F8">
        <w:rPr>
          <w:rFonts w:eastAsia="Segoe UI" w:cs="Segoe UI"/>
        </w:rPr>
        <w:t xml:space="preserve"> unrestricted access to inspect </w:t>
      </w:r>
      <w:r>
        <w:rPr>
          <w:rFonts w:eastAsia="Segoe UI" w:cs="Segoe UI"/>
        </w:rPr>
        <w:t xml:space="preserve">services and </w:t>
      </w:r>
      <w:r w:rsidRPr="27E221F8">
        <w:rPr>
          <w:rFonts w:eastAsia="Segoe UI" w:cs="Segoe UI"/>
        </w:rPr>
        <w:t>facilities</w:t>
      </w:r>
      <w:r>
        <w:rPr>
          <w:rFonts w:eastAsia="Segoe UI" w:cs="Segoe UI"/>
        </w:rPr>
        <w:t xml:space="preserve"> and </w:t>
      </w:r>
      <w:r>
        <w:t>are specific to the Act that the district inspector is functioning under. When</w:t>
      </w:r>
      <w:r w:rsidRPr="00A012AA">
        <w:t xml:space="preserve"> visiting any service on </w:t>
      </w:r>
      <w:r>
        <w:t>d</w:t>
      </w:r>
      <w:r w:rsidRPr="00A012AA">
        <w:t xml:space="preserve">istrict </w:t>
      </w:r>
      <w:r>
        <w:t>i</w:t>
      </w:r>
      <w:r w:rsidRPr="00A012AA">
        <w:t xml:space="preserve">nspector business, </w:t>
      </w:r>
      <w:r>
        <w:t>all d</w:t>
      </w:r>
      <w:r w:rsidRPr="00A012AA">
        <w:t xml:space="preserve">istrict </w:t>
      </w:r>
      <w:r>
        <w:t>i</w:t>
      </w:r>
      <w:r w:rsidRPr="00A012AA">
        <w:t xml:space="preserve">nspectors should have access to every part of the service and every person in it, </w:t>
      </w:r>
      <w:r>
        <w:t>regardless of whether</w:t>
      </w:r>
      <w:r w:rsidRPr="00A012AA">
        <w:t xml:space="preserve"> that person is deta</w:t>
      </w:r>
      <w:r>
        <w:t>ined under any of the three Acts outlined in these guidelines</w:t>
      </w:r>
      <w:r w:rsidRPr="00A012AA">
        <w:t>.</w:t>
      </w:r>
    </w:p>
    <w:p w14:paraId="328D3A1E" w14:textId="77777777" w:rsidR="00B43C67" w:rsidRDefault="00B43C67" w:rsidP="00B43C67"/>
    <w:p w14:paraId="23A0526F" w14:textId="6EFB59E0" w:rsidR="00B43C67" w:rsidRDefault="00B43C67" w:rsidP="00B43C67">
      <w:r>
        <w:t xml:space="preserve">Under section 117 of the Mental Health Act and section 112 of the Substance Addiction Act, it is an offence for the manager of a service, or a person employed or engaged by the manager, to conceal or attempt to conceal anything from a district inspector, or to wilfully obstruct or attempt to obstruct an inspection by a district inspector. </w:t>
      </w:r>
      <w:r w:rsidRPr="007D68CE">
        <w:t>A person who commits an offence against th</w:t>
      </w:r>
      <w:r>
        <w:t>ese</w:t>
      </w:r>
      <w:r w:rsidRPr="007D68CE">
        <w:t xml:space="preserve"> section</w:t>
      </w:r>
      <w:r>
        <w:t>s</w:t>
      </w:r>
      <w:r w:rsidRPr="007D68CE">
        <w:t xml:space="preserve"> is liable on conviction to a fine</w:t>
      </w:r>
      <w:r>
        <w:t xml:space="preserve">. </w:t>
      </w:r>
      <w:r w:rsidRPr="000A1D7F">
        <w:t>District inspectors should raise any concerns about unrestricted access directly with the DAMHS</w:t>
      </w:r>
      <w:r>
        <w:t xml:space="preserve">, </w:t>
      </w:r>
      <w:r w:rsidRPr="000A1D7F">
        <w:t>Area Director</w:t>
      </w:r>
      <w:r>
        <w:t xml:space="preserve"> or Care Coordinator </w:t>
      </w:r>
      <w:r w:rsidRPr="000A1D7F">
        <w:t xml:space="preserve">and report their concerns to the Director in their monthly reporting. It is expected the </w:t>
      </w:r>
      <w:r>
        <w:t xml:space="preserve">service </w:t>
      </w:r>
      <w:r w:rsidRPr="000A1D7F">
        <w:t xml:space="preserve">take all necessary steps to address and rectify the matters raised. </w:t>
      </w:r>
    </w:p>
    <w:p w14:paraId="3BB3E36E" w14:textId="77777777" w:rsidR="00B43C67" w:rsidRDefault="00B43C67" w:rsidP="00B43C67"/>
    <w:p w14:paraId="58873E72" w14:textId="7F28D2F1" w:rsidR="00B43C67" w:rsidRDefault="00B43C67" w:rsidP="00B43C67">
      <w:r>
        <w:lastRenderedPageBreak/>
        <w:t>As part of their regular visitations, district inspectors should proactively engage with service staff by establishing strong communication pathways and working relationships, and considering any feedback. This should involve engaging with service lived experience, cultural or w</w:t>
      </w:r>
      <w:r w:rsidRPr="00DC3650">
        <w:t xml:space="preserve">hānau </w:t>
      </w:r>
      <w:r>
        <w:t>advisors/kaimahi. However, it is important that d</w:t>
      </w:r>
      <w:r w:rsidRPr="00D24F43">
        <w:t xml:space="preserve">istrict inspectors </w:t>
      </w:r>
      <w:r>
        <w:t xml:space="preserve">keep in mind that they </w:t>
      </w:r>
      <w:r w:rsidRPr="00D24F43">
        <w:t>are independent from health and disability services</w:t>
      </w:r>
      <w:r>
        <w:t xml:space="preserve"> and that it is not their role to act as </w:t>
      </w:r>
      <w:r w:rsidRPr="003844AA">
        <w:rPr>
          <w:i/>
          <w:iCs/>
        </w:rPr>
        <w:t xml:space="preserve">patient </w:t>
      </w:r>
      <w:r w:rsidRPr="00E21145">
        <w:t xml:space="preserve">or </w:t>
      </w:r>
      <w:r w:rsidRPr="003844AA">
        <w:rPr>
          <w:i/>
          <w:iCs/>
        </w:rPr>
        <w:t>care recipient</w:t>
      </w:r>
      <w:r w:rsidRPr="00E21145">
        <w:t xml:space="preserve"> advocate</w:t>
      </w:r>
      <w:r>
        <w:t>s.</w:t>
      </w:r>
    </w:p>
    <w:p w14:paraId="5C315B8A" w14:textId="77777777" w:rsidR="00B43C67" w:rsidRDefault="00B43C67" w:rsidP="00B43C67"/>
    <w:p w14:paraId="57737840" w14:textId="2C92857F" w:rsidR="00B43C67" w:rsidRDefault="00B43C67" w:rsidP="00B43C67">
      <w:r>
        <w:t xml:space="preserve">Alongside their primary role of investigating the rights of </w:t>
      </w:r>
      <w:r w:rsidRPr="00D4439C">
        <w:rPr>
          <w:i/>
          <w:iCs/>
        </w:rPr>
        <w:t>patient</w:t>
      </w:r>
      <w:r>
        <w:rPr>
          <w:i/>
          <w:iCs/>
        </w:rPr>
        <w:t>s</w:t>
      </w:r>
      <w:r>
        <w:t xml:space="preserve"> or </w:t>
      </w:r>
      <w:r w:rsidRPr="00D4439C">
        <w:rPr>
          <w:i/>
          <w:iCs/>
        </w:rPr>
        <w:t>care recipient</w:t>
      </w:r>
      <w:r>
        <w:rPr>
          <w:i/>
          <w:iCs/>
        </w:rPr>
        <w:t>s</w:t>
      </w:r>
      <w:r w:rsidRPr="00F34F1A">
        <w:t xml:space="preserve"> </w:t>
      </w:r>
      <w:r>
        <w:t>and ensuring that those rights are protected during visits, district inspectors are additionally expected to examine important aspects of service delivery that may influence these rights. Any concerns arising from these visits should be raised promptly with the DAMHS, Area Director or Care Coordinator, depending on the Act the district inspector is functioning under. Ongoing or significant concerns raised are expected to be</w:t>
      </w:r>
      <w:r w:rsidRPr="00BF05C3">
        <w:t xml:space="preserve"> noted in monthly </w:t>
      </w:r>
      <w:r>
        <w:t xml:space="preserve">statutory </w:t>
      </w:r>
      <w:r w:rsidRPr="00BF05C3">
        <w:t>report</w:t>
      </w:r>
      <w:r>
        <w:t>ing</w:t>
      </w:r>
      <w:r w:rsidRPr="00BF05C3">
        <w:t xml:space="preserve"> to the Director </w:t>
      </w:r>
      <w:r>
        <w:t>and followed up with the service.</w:t>
      </w:r>
      <w:r w:rsidR="008214EF">
        <w:t xml:space="preserve"> </w:t>
      </w:r>
    </w:p>
    <w:p w14:paraId="0CA3FB0A" w14:textId="77777777" w:rsidR="00E548A1" w:rsidRDefault="00E548A1" w:rsidP="00B43C67"/>
    <w:p w14:paraId="03D90B1E" w14:textId="3E3EDCA8" w:rsidR="00B43C67" w:rsidRDefault="00B43C67" w:rsidP="00B43C67">
      <w:r w:rsidRPr="00083816">
        <w:t>Aspects of</w:t>
      </w:r>
      <w:r>
        <w:t xml:space="preserve"> service delivery that district inspectors should examine and report on include:</w:t>
      </w:r>
    </w:p>
    <w:p w14:paraId="388C2589" w14:textId="77777777" w:rsidR="00B43C67" w:rsidRDefault="00B43C67" w:rsidP="00B43C67">
      <w:pPr>
        <w:pStyle w:val="Bullet"/>
      </w:pPr>
      <w:r w:rsidRPr="00B43C67">
        <w:t>service</w:t>
      </w:r>
      <w:r>
        <w:t xml:space="preserve">-wide issues, including any concerns about staffing, morale and culture, occupancy, leadership and clinical governance </w:t>
      </w:r>
    </w:p>
    <w:p w14:paraId="7388D5FA" w14:textId="77777777" w:rsidR="00B43C67" w:rsidRDefault="00B43C67" w:rsidP="00B43C67">
      <w:pPr>
        <w:pStyle w:val="Bullet"/>
      </w:pPr>
      <w:r>
        <w:t xml:space="preserve">equity and access to culturally appropriate assessment, treatment and care </w:t>
      </w:r>
    </w:p>
    <w:p w14:paraId="6385D686" w14:textId="77777777" w:rsidR="00B43C67" w:rsidRDefault="00B43C67" w:rsidP="00B43C67">
      <w:pPr>
        <w:pStyle w:val="Bullet"/>
      </w:pPr>
      <w:r>
        <w:t xml:space="preserve">least restrictive practice and model of care, including access to mental health, addiction and other drug, or intellectual disability care in the community, and any admissions lasting longer than clinically necessary </w:t>
      </w:r>
    </w:p>
    <w:p w14:paraId="2083B284" w14:textId="77777777" w:rsidR="00B43C67" w:rsidRDefault="00B43C67" w:rsidP="00B43C67">
      <w:pPr>
        <w:pStyle w:val="Bullet"/>
      </w:pPr>
      <w:r w:rsidRPr="003844AA">
        <w:t xml:space="preserve">the use of seclusion and restraint within mental health, addiction or intellectual disability services, and compliance with relevant statutory guidance including the </w:t>
      </w:r>
      <w:r w:rsidRPr="003844AA">
        <w:rPr>
          <w:i/>
          <w:iCs/>
        </w:rPr>
        <w:t>Guidelines for Reducing and Eliminating Seclusion and Restraint Under the Mental Health (Compulsory Assessment and Treatment) Act 1992</w:t>
      </w:r>
      <w:r w:rsidRPr="003844AA">
        <w:t xml:space="preserve"> </w:t>
      </w:r>
      <w:r>
        <w:t>(Ministry of Health 2023a)</w:t>
      </w:r>
    </w:p>
    <w:p w14:paraId="776431A4" w14:textId="77777777" w:rsidR="00B43C67" w:rsidRDefault="00B43C67" w:rsidP="00B43C67">
      <w:pPr>
        <w:pStyle w:val="Bullet"/>
      </w:pPr>
      <w:r>
        <w:t>relevant registers and records, including reviewing complaints and reportable events records or systems, alongside seclusion and restraint registers</w:t>
      </w:r>
    </w:p>
    <w:p w14:paraId="59D1498D" w14:textId="77777777" w:rsidR="00B43C67" w:rsidRDefault="00B43C67" w:rsidP="00B43C67">
      <w:pPr>
        <w:pStyle w:val="Bullet"/>
      </w:pPr>
      <w:r>
        <w:t xml:space="preserve">access to age-appropriate assessment, treatment and care for rangatahi, including incidents of age-mixing with reference to article 37(c) of the </w:t>
      </w:r>
      <w:r w:rsidRPr="00A70D48">
        <w:t>United Nations Convention on the Rights of the Child</w:t>
      </w:r>
      <w:r>
        <w:t xml:space="preserve"> and any impacts on the rights of rangatahi</w:t>
      </w:r>
    </w:p>
    <w:p w14:paraId="4CFF927E" w14:textId="77777777" w:rsidR="00B43C67" w:rsidRDefault="00B43C67" w:rsidP="00B43C67">
      <w:pPr>
        <w:pStyle w:val="Bullet"/>
      </w:pPr>
      <w:r>
        <w:t xml:space="preserve">consultation and active engagement with family and whānau and their involvement with tāngata whai ora or tāngata whaikaha, with reference to adequacy and compliance with legislation </w:t>
      </w:r>
    </w:p>
    <w:p w14:paraId="03A3D7AD" w14:textId="2DD42EEF" w:rsidR="00B43C67" w:rsidRDefault="00B43C67" w:rsidP="00B43C67">
      <w:pPr>
        <w:pStyle w:val="Bullet"/>
      </w:pPr>
      <w:r>
        <w:t xml:space="preserve">implementation of recommendations from Optional Protocol to the Convention against Torture (OPCAT) inspection reports (see Section </w:t>
      </w:r>
      <w:r>
        <w:fldChar w:fldCharType="begin"/>
      </w:r>
      <w:r>
        <w:instrText xml:space="preserve"> REF _Ref141774145 \r \h  \* MERGEFORMAT </w:instrText>
      </w:r>
      <w:r>
        <w:fldChar w:fldCharType="separate"/>
      </w:r>
      <w:r w:rsidR="00AA4317">
        <w:t>3.2</w:t>
      </w:r>
      <w:r>
        <w:fldChar w:fldCharType="end"/>
      </w:r>
      <w:r>
        <w:t xml:space="preserve">), depending on the nature of the recommendations </w:t>
      </w:r>
    </w:p>
    <w:p w14:paraId="3F95AA8A" w14:textId="77777777" w:rsidR="00B43C67" w:rsidRDefault="00B43C67" w:rsidP="00B43C67">
      <w:pPr>
        <w:pStyle w:val="Bullet"/>
        <w:spacing w:after="180"/>
      </w:pPr>
      <w:r>
        <w:t xml:space="preserve">implementation of recommendations from reviews, investigations and statutory inquiries, including those arising from complaints and adverse events </w:t>
      </w:r>
    </w:p>
    <w:p w14:paraId="6BBC4DCA" w14:textId="15350BD8" w:rsidR="00B43C67" w:rsidRDefault="00B43C67" w:rsidP="00B43C67">
      <w:pPr>
        <w:pStyle w:val="Bullet"/>
      </w:pPr>
      <w:r>
        <w:t>evidence of appropriate, up-to-date policies and procedures, including consent procedures for tāngata whai ora or tāngata whaikaha receiving compulsory treatment as well as for those receiving treatment voluntarily (including consent to receive treatment in a locked unit, where relevant)</w:t>
      </w:r>
      <w:r w:rsidR="008214EF">
        <w:t xml:space="preserve"> </w:t>
      </w:r>
    </w:p>
    <w:p w14:paraId="32014089" w14:textId="77777777" w:rsidR="00B43C67" w:rsidRDefault="00B43C67" w:rsidP="00B43C67">
      <w:pPr>
        <w:pStyle w:val="Bullet"/>
      </w:pPr>
      <w:r>
        <w:t xml:space="preserve">whether the service clearly displays accessible information for tāngata whai ora or tāngata whaikaha, including information about complaints processes, district </w:t>
      </w:r>
      <w:r>
        <w:lastRenderedPageBreak/>
        <w:t>inspector contact details, and signage informing voluntary tāngata whai ora or tāngata whaikaha how to exit a locked unit</w:t>
      </w:r>
    </w:p>
    <w:p w14:paraId="75158EE0" w14:textId="77777777" w:rsidR="00B43C67" w:rsidRDefault="00B43C67" w:rsidP="00B43C67">
      <w:pPr>
        <w:pStyle w:val="Bullet"/>
      </w:pPr>
      <w:r>
        <w:t xml:space="preserve">any other issues impacting on the rights of tāngata whai ora or tāngata whaikaha, such as </w:t>
      </w:r>
      <w:r w:rsidRPr="00CB7574">
        <w:t>check</w:t>
      </w:r>
      <w:r>
        <w:t>ing</w:t>
      </w:r>
      <w:r w:rsidRPr="00CB7574">
        <w:t xml:space="preserve"> that people are given the opportunity to engage in the development of their treatment</w:t>
      </w:r>
      <w:r>
        <w:t>, r</w:t>
      </w:r>
      <w:r w:rsidRPr="00CB7574">
        <w:t>ecovery</w:t>
      </w:r>
      <w:r>
        <w:t xml:space="preserve"> or </w:t>
      </w:r>
      <w:r w:rsidRPr="00CB7574">
        <w:t>care plan</w:t>
      </w:r>
      <w:r>
        <w:t xml:space="preserve">. </w:t>
      </w:r>
    </w:p>
    <w:p w14:paraId="5D384CEA" w14:textId="77777777" w:rsidR="00B43C67" w:rsidRDefault="00B43C67" w:rsidP="00B43C67"/>
    <w:p w14:paraId="57170FAD" w14:textId="53EB9CBA" w:rsidR="00B43C67" w:rsidRDefault="00B43C67" w:rsidP="00B43C67">
      <w:r>
        <w:t xml:space="preserve">The Director expects district inspectors, as a specific part of their role, to regularly inspect the use of force, and seclusion and restraint registers at hospitals or services in their region providing mental health or intellectual disability care. </w:t>
      </w:r>
      <w:r w:rsidRPr="00BF05C3">
        <w:t xml:space="preserve">When </w:t>
      </w:r>
      <w:r>
        <w:t>d</w:t>
      </w:r>
      <w:r w:rsidRPr="00BF05C3">
        <w:t xml:space="preserve">istrict </w:t>
      </w:r>
      <w:r>
        <w:t>i</w:t>
      </w:r>
      <w:r w:rsidRPr="00BF05C3">
        <w:t xml:space="preserve">nspectors view these registers, they should be </w:t>
      </w:r>
      <w:r>
        <w:t>monitoring</w:t>
      </w:r>
      <w:r w:rsidRPr="00BF05C3">
        <w:t xml:space="preserve"> </w:t>
      </w:r>
      <w:r>
        <w:t xml:space="preserve">if </w:t>
      </w:r>
      <w:r w:rsidRPr="00BF05C3">
        <w:t xml:space="preserve">the use of force, </w:t>
      </w:r>
      <w:r>
        <w:t xml:space="preserve">seclusion and </w:t>
      </w:r>
      <w:r w:rsidRPr="00BF05C3">
        <w:t>restraint</w:t>
      </w:r>
      <w:r>
        <w:t xml:space="preserve"> is necessary and reasonable in the circumstances. They should additionally </w:t>
      </w:r>
      <w:r w:rsidRPr="00BF05C3">
        <w:t>check for a</w:t>
      </w:r>
      <w:r>
        <w:t>ny</w:t>
      </w:r>
      <w:r w:rsidRPr="00BF05C3">
        <w:t xml:space="preserve"> pattern of </w:t>
      </w:r>
      <w:r>
        <w:t xml:space="preserve">seclusion or </w:t>
      </w:r>
      <w:r w:rsidRPr="00BF05C3">
        <w:t xml:space="preserve">restraint that might indicate the culture of the unit, or that might indicate that rights of an individual </w:t>
      </w:r>
      <w:r w:rsidRPr="00F44AD0">
        <w:rPr>
          <w:i/>
          <w:iCs/>
        </w:rPr>
        <w:t>patient</w:t>
      </w:r>
      <w:r w:rsidRPr="00BF05C3">
        <w:t xml:space="preserve"> </w:t>
      </w:r>
      <w:r>
        <w:t xml:space="preserve">or </w:t>
      </w:r>
      <w:r w:rsidRPr="00F44AD0">
        <w:rPr>
          <w:i/>
          <w:iCs/>
        </w:rPr>
        <w:t>care recipient</w:t>
      </w:r>
      <w:r>
        <w:t xml:space="preserve"> </w:t>
      </w:r>
      <w:r w:rsidRPr="00BF05C3">
        <w:t xml:space="preserve">(or </w:t>
      </w:r>
      <w:r w:rsidRPr="00F44AD0">
        <w:rPr>
          <w:i/>
          <w:iCs/>
        </w:rPr>
        <w:t>patients</w:t>
      </w:r>
      <w:r>
        <w:t xml:space="preserve"> and </w:t>
      </w:r>
      <w:r w:rsidRPr="00F44AD0">
        <w:rPr>
          <w:i/>
          <w:iCs/>
        </w:rPr>
        <w:t>care recipients</w:t>
      </w:r>
      <w:r w:rsidRPr="00BF05C3">
        <w:t xml:space="preserve"> in general) are being </w:t>
      </w:r>
      <w:r>
        <w:t xml:space="preserve">unnecessarily </w:t>
      </w:r>
      <w:r w:rsidRPr="00BF05C3">
        <w:t xml:space="preserve">impinged upon. </w:t>
      </w:r>
      <w:r>
        <w:t xml:space="preserve">They should be ensuring that any use of force, seclusion and restraint is recorded accurately and is compliant with the </w:t>
      </w:r>
      <w:r w:rsidRPr="516C99AA">
        <w:rPr>
          <w:i/>
          <w:iCs/>
        </w:rPr>
        <w:t>Guidelines for Reducing and Eliminating Seclusion and Restraint under the Mental Health Act 1992</w:t>
      </w:r>
      <w:r>
        <w:t xml:space="preserve"> (Ministry of Health 2023a).</w:t>
      </w:r>
    </w:p>
    <w:p w14:paraId="10E85EBE" w14:textId="77777777" w:rsidR="00B43C67" w:rsidRDefault="00B43C67" w:rsidP="00B43C67"/>
    <w:p w14:paraId="2AC133B2" w14:textId="3D876A54" w:rsidR="00B43C67" w:rsidRDefault="00B43C67" w:rsidP="00B43C67">
      <w:r w:rsidRPr="00BF05C3">
        <w:t xml:space="preserve">If a pattern is discovered in the register or the </w:t>
      </w:r>
      <w:r>
        <w:t>d</w:t>
      </w:r>
      <w:r w:rsidRPr="00BF05C3">
        <w:t xml:space="preserve">istrict </w:t>
      </w:r>
      <w:r>
        <w:t>i</w:t>
      </w:r>
      <w:r w:rsidRPr="00BF05C3">
        <w:t xml:space="preserve">nspector has concerns about the use of </w:t>
      </w:r>
      <w:r>
        <w:t xml:space="preserve">seclusion and </w:t>
      </w:r>
      <w:r w:rsidRPr="00BF05C3">
        <w:t>restraint at the hospital or service</w:t>
      </w:r>
      <w:r w:rsidRPr="000A1D7F">
        <w:t>, these concerns must be directed to the DAMHS</w:t>
      </w:r>
      <w:r>
        <w:t xml:space="preserve">, Area Director or Care Coordinator </w:t>
      </w:r>
      <w:r w:rsidRPr="000A1D7F">
        <w:t xml:space="preserve">to be addressed in the first instance and noted in the monthly report to the Director. </w:t>
      </w:r>
      <w:r>
        <w:t xml:space="preserve">The service escalation pathway for such concerns will depend on the Act the district inspector is functioning under. </w:t>
      </w:r>
    </w:p>
    <w:p w14:paraId="0F06E10D" w14:textId="77777777" w:rsidR="00B43C67" w:rsidRDefault="00B43C67" w:rsidP="00B43C67"/>
    <w:p w14:paraId="50E8F0F4" w14:textId="77777777" w:rsidR="00B43C67" w:rsidRDefault="00B43C67" w:rsidP="00B43C67">
      <w:r>
        <w:t>D</w:t>
      </w:r>
      <w:r w:rsidRPr="000A1D7F">
        <w:t>istrict inspectors should review and regularly report on the</w:t>
      </w:r>
      <w:r>
        <w:t xml:space="preserve"> implementation and progress of recommendations set out in OPCAT reports. The focus of this will depend on the nature of the recommendations outlined and how these relate to </w:t>
      </w:r>
      <w:r w:rsidRPr="516C99AA">
        <w:rPr>
          <w:rFonts w:eastAsia="Segoe UI" w:cs="Segoe UI"/>
          <w:szCs w:val="21"/>
        </w:rPr>
        <w:t>tāngata</w:t>
      </w:r>
      <w:r>
        <w:rPr>
          <w:rFonts w:eastAsia="Segoe UI" w:cs="Segoe UI"/>
          <w:szCs w:val="21"/>
        </w:rPr>
        <w:t xml:space="preserve"> whai ora or family and wh</w:t>
      </w:r>
      <w:r w:rsidRPr="516C99AA">
        <w:rPr>
          <w:rFonts w:eastAsia="Segoe UI" w:cs="Segoe UI"/>
          <w:szCs w:val="21"/>
        </w:rPr>
        <w:t>ā</w:t>
      </w:r>
      <w:r>
        <w:rPr>
          <w:rFonts w:eastAsia="Segoe UI" w:cs="Segoe UI"/>
          <w:szCs w:val="21"/>
        </w:rPr>
        <w:t>nau rights</w:t>
      </w:r>
      <w:r>
        <w:t xml:space="preserve">. The statutory relationship between district inspectors and DAMHS, Area Directors or Care Coordinators requires any comments to be first directed to the service before escalation. </w:t>
      </w:r>
    </w:p>
    <w:p w14:paraId="1370B0D0" w14:textId="77777777" w:rsidR="00B43C67" w:rsidRPr="007D6836" w:rsidRDefault="00B43C67" w:rsidP="00C344A2">
      <w:pPr>
        <w:pStyle w:val="Heading3-numbered"/>
      </w:pPr>
      <w:r>
        <w:t xml:space="preserve">Visitation and inspection under the Mental Health Act </w:t>
      </w:r>
    </w:p>
    <w:p w14:paraId="653BCBD0" w14:textId="77777777" w:rsidR="00B43C67" w:rsidRPr="004613A1" w:rsidRDefault="00B43C67" w:rsidP="00B43C67">
      <w:pPr>
        <w:pStyle w:val="Heading4"/>
      </w:pPr>
      <w:r w:rsidRPr="004613A1">
        <w:t>District inspector powers of inspection</w:t>
      </w:r>
    </w:p>
    <w:p w14:paraId="4206E9DE" w14:textId="15F45C9C" w:rsidR="00B43C67" w:rsidRDefault="00B43C67" w:rsidP="00B43C67">
      <w:r>
        <w:t>T</w:t>
      </w:r>
      <w:r w:rsidRPr="00A012AA">
        <w:t xml:space="preserve">he extent of a </w:t>
      </w:r>
      <w:r>
        <w:t>d</w:t>
      </w:r>
      <w:r w:rsidRPr="00A012AA">
        <w:t xml:space="preserve">istrict </w:t>
      </w:r>
      <w:r>
        <w:t>inspector’</w:t>
      </w:r>
      <w:r w:rsidRPr="00A012AA">
        <w:t>s powers of inspection is outlined in section 97</w:t>
      </w:r>
      <w:r>
        <w:t xml:space="preserve"> of the Mental Health Act</w:t>
      </w:r>
      <w:r w:rsidRPr="00A012AA">
        <w:t>.</w:t>
      </w:r>
      <w:r>
        <w:t xml:space="preserve"> </w:t>
      </w:r>
      <w:r w:rsidRPr="00CE541C">
        <w:t xml:space="preserve">A district inspector may, without previous notice, visit any </w:t>
      </w:r>
      <w:r>
        <w:t>hospital or service</w:t>
      </w:r>
      <w:r w:rsidRPr="00CE541C">
        <w:t xml:space="preserve"> in the locality to which the district inspector is appointed</w:t>
      </w:r>
      <w:r>
        <w:t>,</w:t>
      </w:r>
      <w:r w:rsidRPr="00CE541C">
        <w:t xml:space="preserve"> as often as the district inspector thinks fit. </w:t>
      </w:r>
      <w:r w:rsidRPr="00A012AA">
        <w:t xml:space="preserve">When visiting any hospital or service on </w:t>
      </w:r>
      <w:r>
        <w:t>d</w:t>
      </w:r>
      <w:r w:rsidRPr="00A012AA">
        <w:t xml:space="preserve">istrict </w:t>
      </w:r>
      <w:r>
        <w:t>inspector</w:t>
      </w:r>
      <w:r w:rsidRPr="00A012AA">
        <w:t xml:space="preserve"> business, </w:t>
      </w:r>
      <w:r>
        <w:t>d</w:t>
      </w:r>
      <w:r w:rsidRPr="00A012AA">
        <w:t xml:space="preserve">istrict </w:t>
      </w:r>
      <w:r>
        <w:t>inspector</w:t>
      </w:r>
      <w:r w:rsidRPr="00A012AA">
        <w:t xml:space="preserve">s should have access to every part of the hospital or service and every person in it, whether that person is detained under the </w:t>
      </w:r>
      <w:r>
        <w:t xml:space="preserve">Mental Health </w:t>
      </w:r>
      <w:r w:rsidRPr="00A012AA">
        <w:t>Act</w:t>
      </w:r>
      <w:r>
        <w:t xml:space="preserve"> or not</w:t>
      </w:r>
      <w:r w:rsidRPr="00A012AA">
        <w:t>.</w:t>
      </w:r>
      <w:r>
        <w:t xml:space="preserve"> </w:t>
      </w:r>
    </w:p>
    <w:p w14:paraId="5A917894" w14:textId="77777777" w:rsidR="00B43C67" w:rsidRDefault="00B43C67" w:rsidP="00B43C67"/>
    <w:p w14:paraId="1E46B46E" w14:textId="77777777" w:rsidR="00B43C67" w:rsidRPr="00A012AA" w:rsidRDefault="00B43C67" w:rsidP="00B43C67">
      <w:r w:rsidRPr="00A012AA">
        <w:t xml:space="preserve">On each visit the district </w:t>
      </w:r>
      <w:r>
        <w:t>inspector</w:t>
      </w:r>
      <w:r w:rsidRPr="00A012AA">
        <w:t xml:space="preserve"> makes to the hospital or service for the purposes of th</w:t>
      </w:r>
      <w:r>
        <w:t>e Mental Health</w:t>
      </w:r>
      <w:r w:rsidRPr="00A012AA">
        <w:t xml:space="preserve"> Ac</w:t>
      </w:r>
      <w:r>
        <w:t xml:space="preserve">t and pursuant to section 97 of the Mental Health Act, </w:t>
      </w:r>
      <w:r w:rsidRPr="00A012AA">
        <w:t xml:space="preserve">the responsible clinicians are to provide the district </w:t>
      </w:r>
      <w:r>
        <w:t xml:space="preserve">inspector with access to: </w:t>
      </w:r>
    </w:p>
    <w:p w14:paraId="19849E14" w14:textId="77777777" w:rsidR="00B43C67" w:rsidRPr="00970D4D" w:rsidRDefault="00B43C67" w:rsidP="00B43C67">
      <w:pPr>
        <w:pStyle w:val="Bullet"/>
      </w:pPr>
      <w:r w:rsidRPr="00B43C67">
        <w:lastRenderedPageBreak/>
        <w:t>registers</w:t>
      </w:r>
      <w:r>
        <w:t xml:space="preserve"> and records required to be kept under the Mental Health Act. Registers and records can be either paper-based or electronic and district inspec</w:t>
      </w:r>
      <w:r w:rsidRPr="00970D4D">
        <w:t>tors may sign under the last entry of the paper-based document or</w:t>
      </w:r>
      <w:r>
        <w:t>,</w:t>
      </w:r>
      <w:r w:rsidRPr="00970D4D">
        <w:t xml:space="preserve"> in the case of an electronic register, email the DAMHS to indicate that they have seen it</w:t>
      </w:r>
    </w:p>
    <w:p w14:paraId="0FB12F00" w14:textId="77777777" w:rsidR="00B43C67" w:rsidRPr="00970D4D" w:rsidRDefault="00B43C67" w:rsidP="00B43C67">
      <w:pPr>
        <w:pStyle w:val="Bullet"/>
      </w:pPr>
      <w:r w:rsidRPr="00970D4D">
        <w:t xml:space="preserve">any orders and other documents relating to any of the </w:t>
      </w:r>
      <w:r w:rsidRPr="00E428B1">
        <w:t>patients</w:t>
      </w:r>
      <w:r w:rsidRPr="00970D4D">
        <w:t xml:space="preserve"> the district inspector requires</w:t>
      </w:r>
    </w:p>
    <w:p w14:paraId="1B64BC4A" w14:textId="77777777" w:rsidR="00B43C67" w:rsidRDefault="00B43C67" w:rsidP="00B43C67">
      <w:pPr>
        <w:pStyle w:val="Bullet"/>
      </w:pPr>
      <w:r w:rsidRPr="00970D4D">
        <w:t>all letters and other postal packets withheld by the responsible clinician under sect</w:t>
      </w:r>
      <w:r>
        <w:t>ion 123 or section 124 of the Mental Health Act.</w:t>
      </w:r>
    </w:p>
    <w:p w14:paraId="75A33B77" w14:textId="77777777" w:rsidR="00B43C67" w:rsidRDefault="00B43C67" w:rsidP="00B43C67"/>
    <w:p w14:paraId="02981996" w14:textId="122D4064" w:rsidR="00B43C67" w:rsidRDefault="00B43C67" w:rsidP="00B43C67">
      <w:r w:rsidRPr="000A1D7F">
        <w:t xml:space="preserve">Within 14 days of any visit to a hospital or service, a district inspector must give a written report on the visit to the </w:t>
      </w:r>
      <w:r w:rsidRPr="000A1D7F">
        <w:rPr>
          <w:rFonts w:cs="Segoe UI"/>
          <w:szCs w:val="21"/>
        </w:rPr>
        <w:t>DAMHS</w:t>
      </w:r>
      <w:r w:rsidRPr="000A1D7F">
        <w:t xml:space="preserve"> pursuant to section 98 of the Mental Health Act. It is expected that the DAMHS take all steps necessary to appropriately address any concerns raised within this report. </w:t>
      </w:r>
    </w:p>
    <w:p w14:paraId="6D0BEF0D" w14:textId="77777777" w:rsidR="00B43C67" w:rsidRPr="008A542D" w:rsidRDefault="00B43C67" w:rsidP="00B43C67">
      <w:pPr>
        <w:rPr>
          <w:rFonts w:eastAsiaTheme="majorEastAsia"/>
        </w:rPr>
      </w:pPr>
    </w:p>
    <w:p w14:paraId="201A3389" w14:textId="77777777" w:rsidR="00B43C67" w:rsidRDefault="00B43C67" w:rsidP="00B43C67">
      <w:r>
        <w:t xml:space="preserve">The Mental Health Act outlines the visitation frequency of district inspectors to services within their region as follows. </w:t>
      </w:r>
    </w:p>
    <w:p w14:paraId="2837D069" w14:textId="77777777" w:rsidR="00B43C67" w:rsidRPr="006C0C81" w:rsidRDefault="00B43C67" w:rsidP="00B43C67">
      <w:pPr>
        <w:pStyle w:val="Heading4"/>
      </w:pPr>
      <w:r w:rsidRPr="006C0C81">
        <w:t>Inpatient services</w:t>
      </w:r>
    </w:p>
    <w:p w14:paraId="00431B20" w14:textId="77777777" w:rsidR="00B43C67" w:rsidRDefault="00B43C67" w:rsidP="00B43C67">
      <w:r w:rsidRPr="00A012AA">
        <w:t>Under section 96(1)(a</w:t>
      </w:r>
      <w:r>
        <w:t>) of the Mental Health Act</w:t>
      </w:r>
      <w:r w:rsidRPr="00A012AA">
        <w:t xml:space="preserve">, at least once a month </w:t>
      </w:r>
      <w:r>
        <w:t>d</w:t>
      </w:r>
      <w:r w:rsidRPr="00A012AA">
        <w:t xml:space="preserve">istrict </w:t>
      </w:r>
      <w:r>
        <w:t>inspector</w:t>
      </w:r>
      <w:r w:rsidRPr="00A012AA">
        <w:t xml:space="preserve">s must visit each of the hospitals and services in their region in which any </w:t>
      </w:r>
      <w:r w:rsidRPr="7362CCE2">
        <w:rPr>
          <w:i/>
        </w:rPr>
        <w:t>patient</w:t>
      </w:r>
      <w:r w:rsidRPr="00A012AA">
        <w:t xml:space="preserve"> is being assessed or treated as an inpatient under the </w:t>
      </w:r>
      <w:r>
        <w:t xml:space="preserve">Mental Health </w:t>
      </w:r>
      <w:r w:rsidRPr="00A012AA">
        <w:t>Act.</w:t>
      </w:r>
      <w:r>
        <w:t xml:space="preserve"> </w:t>
      </w:r>
    </w:p>
    <w:p w14:paraId="297438F9" w14:textId="77777777" w:rsidR="00B43C67" w:rsidRPr="006C0C81" w:rsidRDefault="00B43C67" w:rsidP="00B43C67">
      <w:pPr>
        <w:pStyle w:val="Heading4"/>
      </w:pPr>
      <w:r w:rsidRPr="006C0C81">
        <w:t>Outpatient services</w:t>
      </w:r>
    </w:p>
    <w:p w14:paraId="6ABA7196" w14:textId="77777777" w:rsidR="00B43C67" w:rsidRDefault="00B43C67" w:rsidP="009A396D">
      <w:r w:rsidRPr="00A012AA">
        <w:t>Under section 96(1)(b)</w:t>
      </w:r>
      <w:r>
        <w:t xml:space="preserve"> of the Mental Health Act</w:t>
      </w:r>
      <w:r w:rsidRPr="00A012AA">
        <w:t xml:space="preserve">, </w:t>
      </w:r>
      <w:r>
        <w:t xml:space="preserve">at least four times a year at regular intervals and when the Director directs, district inspectors must visit </w:t>
      </w:r>
      <w:r w:rsidRPr="00A012AA">
        <w:t xml:space="preserve">all hospitals or services </w:t>
      </w:r>
      <w:r>
        <w:t>in their</w:t>
      </w:r>
      <w:r w:rsidRPr="00A012AA">
        <w:t xml:space="preserve"> region in which </w:t>
      </w:r>
      <w:r>
        <w:t>tāngata whai ora</w:t>
      </w:r>
      <w:r w:rsidRPr="00A012AA">
        <w:t xml:space="preserve"> are assessed or treated as outpatients under the </w:t>
      </w:r>
      <w:r>
        <w:t xml:space="preserve">Mental Health </w:t>
      </w:r>
      <w:r w:rsidRPr="00A012AA">
        <w:t>Act</w:t>
      </w:r>
      <w:r>
        <w:t xml:space="preserve">. </w:t>
      </w:r>
    </w:p>
    <w:p w14:paraId="0DA47A83" w14:textId="77777777" w:rsidR="00B43C67" w:rsidRPr="006C0C81" w:rsidRDefault="00B43C67" w:rsidP="00B43C67">
      <w:pPr>
        <w:pStyle w:val="Heading4"/>
      </w:pPr>
      <w:r w:rsidRPr="006C0C81">
        <w:t>Residential care services</w:t>
      </w:r>
    </w:p>
    <w:p w14:paraId="79FCA018" w14:textId="77777777" w:rsidR="00B43C67" w:rsidRDefault="00B43C67" w:rsidP="009A396D">
      <w:r>
        <w:t>T</w:t>
      </w:r>
      <w:r w:rsidRPr="00A012AA">
        <w:t>he provision of residential care can be effectively monito</w:t>
      </w:r>
      <w:r>
        <w:t>red via review under section 75</w:t>
      </w:r>
      <w:r w:rsidRPr="00A012AA">
        <w:t xml:space="preserve"> </w:t>
      </w:r>
      <w:r>
        <w:t>of the Mental Health Act</w:t>
      </w:r>
      <w:r w:rsidRPr="00A012AA">
        <w:t xml:space="preserve"> and periodical review of residential facilities as </w:t>
      </w:r>
      <w:r w:rsidRPr="00E428B1">
        <w:rPr>
          <w:rFonts w:eastAsia="Segoe UI" w:cs="Segoe UI"/>
          <w:szCs w:val="21"/>
        </w:rPr>
        <w:t xml:space="preserve">district inspectors feel </w:t>
      </w:r>
      <w:r>
        <w:t>necessary</w:t>
      </w:r>
      <w:r w:rsidRPr="00A012AA">
        <w:t>.</w:t>
      </w:r>
      <w:r>
        <w:t xml:space="preserve"> </w:t>
      </w:r>
      <w:r w:rsidRPr="00A012AA">
        <w:t xml:space="preserve">A </w:t>
      </w:r>
      <w:r>
        <w:t>‘</w:t>
      </w:r>
      <w:r w:rsidRPr="00A012AA">
        <w:t>service</w:t>
      </w:r>
      <w:r>
        <w:t>’</w:t>
      </w:r>
      <w:r w:rsidRPr="00A012AA">
        <w:t xml:space="preserve"> under the </w:t>
      </w:r>
      <w:r>
        <w:t xml:space="preserve">Mental Health </w:t>
      </w:r>
      <w:r w:rsidRPr="00A012AA">
        <w:t xml:space="preserve">Act does not normally include places of residence or boarding houses, and these are not included as places </w:t>
      </w:r>
      <w:r>
        <w:t>d</w:t>
      </w:r>
      <w:r w:rsidRPr="00A012AA">
        <w:t xml:space="preserve">istrict </w:t>
      </w:r>
      <w:r>
        <w:t>inspector</w:t>
      </w:r>
      <w:r w:rsidRPr="00A012AA">
        <w:t>s must routinely visit.</w:t>
      </w:r>
      <w:r>
        <w:t xml:space="preserve"> However, district inspectors have the authority to visit any person who is compulsorily treated whether in a hospital service or with a residential provider. </w:t>
      </w:r>
    </w:p>
    <w:p w14:paraId="6B96B4DF" w14:textId="77777777" w:rsidR="00B43C67" w:rsidRPr="006C0C81" w:rsidRDefault="00B43C67" w:rsidP="00B43C67">
      <w:pPr>
        <w:pStyle w:val="Heading4"/>
      </w:pPr>
      <w:r w:rsidRPr="006C0C81">
        <w:t>Non-government</w:t>
      </w:r>
      <w:r>
        <w:t>al</w:t>
      </w:r>
      <w:r w:rsidRPr="006C0C81">
        <w:t xml:space="preserve"> organisations</w:t>
      </w:r>
    </w:p>
    <w:p w14:paraId="0FA5CE78" w14:textId="576A1201" w:rsidR="00B43C67" w:rsidRDefault="00B43C67" w:rsidP="00B43C67">
      <w:r>
        <w:t xml:space="preserve">Non-governmental organisations capable of taking </w:t>
      </w:r>
      <w:r w:rsidRPr="7362CCE2">
        <w:rPr>
          <w:i/>
        </w:rPr>
        <w:t>patients</w:t>
      </w:r>
      <w:r>
        <w:t xml:space="preserve"> or </w:t>
      </w:r>
      <w:r w:rsidRPr="7362CCE2">
        <w:rPr>
          <w:i/>
        </w:rPr>
        <w:t>proposed patients</w:t>
      </w:r>
      <w:r>
        <w:t xml:space="preserve"> under the Mental Health Act may additionally be included for inspection.</w:t>
      </w:r>
      <w:r w:rsidRPr="002B0DA4">
        <w:t xml:space="preserve"> However, although district inspectors can visit such places of residence, they should only do so in response to a specific concern or complaint.</w:t>
      </w:r>
      <w:r w:rsidR="008214EF">
        <w:t xml:space="preserve"> </w:t>
      </w:r>
    </w:p>
    <w:p w14:paraId="66EE8405" w14:textId="77777777" w:rsidR="00B43C67" w:rsidRPr="007D6836" w:rsidRDefault="00B43C67" w:rsidP="00C344A2">
      <w:pPr>
        <w:pStyle w:val="Heading3-numbered"/>
      </w:pPr>
      <w:r>
        <w:lastRenderedPageBreak/>
        <w:t xml:space="preserve">Visitation and inspection under the Substance Addiction Act </w:t>
      </w:r>
    </w:p>
    <w:p w14:paraId="674B9705" w14:textId="7DDEC4CC" w:rsidR="00B43C67" w:rsidRDefault="00B43C67" w:rsidP="00B43C67">
      <w:pPr>
        <w:rPr>
          <w:color w:val="000000" w:themeColor="text1"/>
        </w:rPr>
      </w:pPr>
      <w:r>
        <w:t>Section 98 of the Substance Addiction Act provides that district inspectors are required to visit treatment centres</w:t>
      </w:r>
      <w:r>
        <w:rPr>
          <w:rStyle w:val="FootnoteReference"/>
        </w:rPr>
        <w:footnoteReference w:id="7"/>
      </w:r>
      <w:r>
        <w:t xml:space="preserve"> in which </w:t>
      </w:r>
      <w:r w:rsidRPr="7362CCE2">
        <w:rPr>
          <w:i/>
        </w:rPr>
        <w:t>patients</w:t>
      </w:r>
      <w:r>
        <w:t xml:space="preserve"> are detained. During a </w:t>
      </w:r>
      <w:r w:rsidRPr="00444587">
        <w:rPr>
          <w:i/>
          <w:iCs/>
        </w:rPr>
        <w:t>patient</w:t>
      </w:r>
      <w:r w:rsidRPr="00E428B1">
        <w:t>’s</w:t>
      </w:r>
      <w:r w:rsidRPr="00444587">
        <w:rPr>
          <w:i/>
          <w:iCs/>
        </w:rPr>
        <w:t xml:space="preserve"> </w:t>
      </w:r>
      <w:r>
        <w:t xml:space="preserve">detention, a district inspector must visit the service at least once, and </w:t>
      </w:r>
      <w:r w:rsidRPr="7362CCE2">
        <w:rPr>
          <w:color w:val="000000" w:themeColor="text1"/>
        </w:rPr>
        <w:t xml:space="preserve">as soon as practicable after receiving notice of the </w:t>
      </w:r>
      <w:r w:rsidRPr="7362CCE2">
        <w:rPr>
          <w:i/>
          <w:color w:val="000000" w:themeColor="text1"/>
        </w:rPr>
        <w:t>patient</w:t>
      </w:r>
      <w:r w:rsidRPr="00E428B1">
        <w:t xml:space="preserve">’s </w:t>
      </w:r>
      <w:r w:rsidRPr="7362CCE2">
        <w:rPr>
          <w:color w:val="000000" w:themeColor="text1"/>
        </w:rPr>
        <w:t>detention. A district inspector may, without previous notice, visit any treatment centre in the locality to which the</w:t>
      </w:r>
      <w:r>
        <w:rPr>
          <w:color w:val="000000" w:themeColor="text1"/>
        </w:rPr>
        <w:t>y are</w:t>
      </w:r>
      <w:r w:rsidRPr="7362CCE2">
        <w:rPr>
          <w:color w:val="000000" w:themeColor="text1"/>
        </w:rPr>
        <w:t xml:space="preserve"> appointed as often as the</w:t>
      </w:r>
      <w:r>
        <w:rPr>
          <w:color w:val="000000" w:themeColor="text1"/>
        </w:rPr>
        <w:t>y</w:t>
      </w:r>
      <w:r w:rsidRPr="7362CCE2">
        <w:rPr>
          <w:color w:val="000000" w:themeColor="text1"/>
        </w:rPr>
        <w:t xml:space="preserve"> think fit. </w:t>
      </w:r>
    </w:p>
    <w:p w14:paraId="6630C8B5" w14:textId="77777777" w:rsidR="00B43C67" w:rsidRPr="005149DF" w:rsidRDefault="00B43C67" w:rsidP="00B43C67">
      <w:pPr>
        <w:rPr>
          <w:color w:val="000000"/>
        </w:rPr>
      </w:pPr>
    </w:p>
    <w:p w14:paraId="59ED8789" w14:textId="775D61C2" w:rsidR="00B43C67" w:rsidRDefault="00B43C67" w:rsidP="00B43C67">
      <w:pPr>
        <w:rPr>
          <w:color w:val="000000"/>
          <w:szCs w:val="21"/>
        </w:rPr>
      </w:pPr>
      <w:r w:rsidRPr="005149DF">
        <w:rPr>
          <w:color w:val="000000"/>
          <w:szCs w:val="21"/>
        </w:rPr>
        <w:t>All visits made under the authority of section 98</w:t>
      </w:r>
      <w:r>
        <w:rPr>
          <w:color w:val="000000"/>
          <w:szCs w:val="21"/>
        </w:rPr>
        <w:t xml:space="preserve"> of the Substance Addiction Act</w:t>
      </w:r>
      <w:r w:rsidRPr="005149DF">
        <w:rPr>
          <w:color w:val="000000"/>
          <w:szCs w:val="21"/>
        </w:rPr>
        <w:t xml:space="preserve"> may be made on any day and at any time of the day or night, and for the length of time that the district inspector thinks fit.</w:t>
      </w:r>
      <w:r>
        <w:rPr>
          <w:color w:val="000000"/>
          <w:szCs w:val="21"/>
        </w:rPr>
        <w:t xml:space="preserve"> During</w:t>
      </w:r>
      <w:r w:rsidRPr="005149DF">
        <w:rPr>
          <w:color w:val="000000"/>
          <w:szCs w:val="21"/>
        </w:rPr>
        <w:t xml:space="preserve"> any such visit, the district inspector may, if the Director so permits or requires, be accompanied by a health professional named by the Director.</w:t>
      </w:r>
    </w:p>
    <w:p w14:paraId="547C555F" w14:textId="77777777" w:rsidR="00B43C67" w:rsidRPr="005149DF" w:rsidRDefault="00B43C67" w:rsidP="00B43C67">
      <w:pPr>
        <w:rPr>
          <w:color w:val="000000"/>
          <w:szCs w:val="21"/>
        </w:rPr>
      </w:pPr>
    </w:p>
    <w:p w14:paraId="0875821E" w14:textId="40E40E21" w:rsidR="00B43C67" w:rsidRDefault="00B43C67" w:rsidP="00B43C67">
      <w:pPr>
        <w:rPr>
          <w:color w:val="000000"/>
          <w:szCs w:val="21"/>
        </w:rPr>
      </w:pPr>
      <w:r w:rsidRPr="005149DF">
        <w:rPr>
          <w:color w:val="000000"/>
          <w:szCs w:val="21"/>
        </w:rPr>
        <w:t>Any district inspector may, in respect of any specific matter, obtain advice from a health professional appointed for the purpose by the Director</w:t>
      </w:r>
      <w:r>
        <w:rPr>
          <w:color w:val="000000"/>
          <w:szCs w:val="21"/>
        </w:rPr>
        <w:t>. T</w:t>
      </w:r>
      <w:r w:rsidRPr="005149DF">
        <w:rPr>
          <w:color w:val="000000"/>
          <w:szCs w:val="21"/>
        </w:rPr>
        <w:t>hat health professional has, for that purpose, all the powers of visiting and inspecting</w:t>
      </w:r>
      <w:r>
        <w:rPr>
          <w:color w:val="000000"/>
          <w:szCs w:val="21"/>
        </w:rPr>
        <w:t xml:space="preserve"> in addition to the district inspector</w:t>
      </w:r>
      <w:r w:rsidRPr="005149DF">
        <w:rPr>
          <w:color w:val="000000"/>
          <w:szCs w:val="21"/>
        </w:rPr>
        <w:t>.</w:t>
      </w:r>
    </w:p>
    <w:p w14:paraId="07FEE20E" w14:textId="77777777" w:rsidR="00B43C67" w:rsidRPr="005149DF" w:rsidRDefault="00B43C67" w:rsidP="00B43C67">
      <w:pPr>
        <w:rPr>
          <w:color w:val="000000"/>
          <w:szCs w:val="21"/>
        </w:rPr>
      </w:pPr>
    </w:p>
    <w:p w14:paraId="1F0D693B" w14:textId="06D384CB" w:rsidR="00B43C67" w:rsidRDefault="00B43C67" w:rsidP="00B43C67">
      <w:r>
        <w:t>Section 99</w:t>
      </w:r>
      <w:r w:rsidRPr="00BD22F3">
        <w:t xml:space="preserve"> </w:t>
      </w:r>
      <w:r>
        <w:t xml:space="preserve">of the Substance Addiction Act gives a district inspector access to every part of a treatment centre and to every person in it and requires the manager of the treatment centre to present specified items, such as the </w:t>
      </w:r>
      <w:r w:rsidRPr="7362CCE2">
        <w:rPr>
          <w:i/>
        </w:rPr>
        <w:t>patient’</w:t>
      </w:r>
      <w:r w:rsidRPr="00E428B1">
        <w:t>s</w:t>
      </w:r>
      <w:r w:rsidRPr="00745D22">
        <w:t xml:space="preserve"> c</w:t>
      </w:r>
      <w:r>
        <w:t>ompulsory treatment certificate, to the district inspector on request.</w:t>
      </w:r>
      <w:r w:rsidR="008214EF">
        <w:t xml:space="preserve"> </w:t>
      </w:r>
    </w:p>
    <w:p w14:paraId="35AC9E00" w14:textId="77777777" w:rsidR="00B43C67" w:rsidRDefault="00B43C67" w:rsidP="00B43C67"/>
    <w:p w14:paraId="608AB5FA" w14:textId="5EACDCBA" w:rsidR="00B43C67" w:rsidRDefault="00B43C67" w:rsidP="009A396D">
      <w:r>
        <w:t>District inspectors, after a visit to a treatment centre, must report to the Area Director within 14 days after the visit. Section 100 of the Substance Addiction Act also provides that copies of a district inspector’s report can be provided to the manager of a treatment centre, if the Area Director considers it appropriate.</w:t>
      </w:r>
      <w:r w:rsidR="008214EF">
        <w:t xml:space="preserve"> </w:t>
      </w:r>
    </w:p>
    <w:p w14:paraId="447424D7" w14:textId="5FE85475" w:rsidR="00B43C67" w:rsidRPr="007D6836" w:rsidRDefault="00B43C67" w:rsidP="00C344A2">
      <w:pPr>
        <w:pStyle w:val="Heading3-numbered"/>
      </w:pPr>
      <w:r>
        <w:t xml:space="preserve">Visitation and inspection under the </w:t>
      </w:r>
      <w:r w:rsidR="00E27AEB">
        <w:t>Intellectual Disability Act</w:t>
      </w:r>
      <w:r>
        <w:t xml:space="preserve"> </w:t>
      </w:r>
    </w:p>
    <w:p w14:paraId="36B630F6" w14:textId="6EFCE78A" w:rsidR="00B43C67" w:rsidRDefault="00B43C67" w:rsidP="00B43C67">
      <w:r>
        <w:t xml:space="preserve">Section 95 of the </w:t>
      </w:r>
      <w:r w:rsidR="00E27AEB">
        <w:t>Intellectual Disability Act</w:t>
      </w:r>
      <w:r>
        <w:t xml:space="preserve"> provides that a d</w:t>
      </w:r>
      <w:r w:rsidRPr="002A1443">
        <w:t>istrict inspector</w:t>
      </w:r>
      <w:r>
        <w:t xml:space="preserve"> must </w:t>
      </w:r>
      <w:r w:rsidRPr="002A1443">
        <w:t>visit each facility</w:t>
      </w:r>
      <w:r>
        <w:t xml:space="preserve"> </w:t>
      </w:r>
      <w:r w:rsidRPr="002A1443">
        <w:t>that is in the locality at least twice a year or on a greater number of occasions that the Director-General of Health directs for a particular facility or class of facility.</w:t>
      </w:r>
      <w:r>
        <w:t xml:space="preserve"> District </w:t>
      </w:r>
      <w:r w:rsidRPr="002A1443">
        <w:t>inspector</w:t>
      </w:r>
      <w:r>
        <w:t xml:space="preserve">s </w:t>
      </w:r>
      <w:r w:rsidRPr="002A1443">
        <w:t>may, without previous notice, visit a facility as often</w:t>
      </w:r>
      <w:r>
        <w:t xml:space="preserve"> as </w:t>
      </w:r>
      <w:r w:rsidRPr="002A1443">
        <w:t>and for any length of time</w:t>
      </w:r>
      <w:r>
        <w:t xml:space="preserve"> that </w:t>
      </w:r>
      <w:r w:rsidRPr="002A1443">
        <w:t>the</w:t>
      </w:r>
      <w:r>
        <w:t>y</w:t>
      </w:r>
      <w:r w:rsidRPr="002A1443">
        <w:t xml:space="preserve"> think fit.</w:t>
      </w:r>
      <w:r>
        <w:t xml:space="preserve"> </w:t>
      </w:r>
      <w:r w:rsidRPr="002A1443">
        <w:t xml:space="preserve">A </w:t>
      </w:r>
      <w:r>
        <w:t xml:space="preserve">suitably qualified </w:t>
      </w:r>
      <w:r w:rsidRPr="002A1443">
        <w:t>health or disability professional may accompany</w:t>
      </w:r>
      <w:r>
        <w:t xml:space="preserve"> </w:t>
      </w:r>
      <w:r w:rsidRPr="002A1443">
        <w:t>the district inspector on a particular visit to a facility.</w:t>
      </w:r>
    </w:p>
    <w:p w14:paraId="4CA97EE2" w14:textId="77777777" w:rsidR="00B43C67" w:rsidRPr="002A1443" w:rsidRDefault="00B43C67" w:rsidP="00B43C67"/>
    <w:p w14:paraId="06811394" w14:textId="1D757EFE" w:rsidR="00B43C67" w:rsidRDefault="00B43C67" w:rsidP="00B43C67">
      <w:r w:rsidRPr="002A1443">
        <w:lastRenderedPageBreak/>
        <w:t xml:space="preserve">The district inspector may obtain advice on a particular matter from a specialist assessor appointed for the purpose by the </w:t>
      </w:r>
      <w:r>
        <w:t>Care C</w:t>
      </w:r>
      <w:r w:rsidRPr="002A1443">
        <w:t>oordinator, and that specialist assessor has, for that purpose, the powers of the district inspector to visit and inspect facilities.</w:t>
      </w:r>
    </w:p>
    <w:p w14:paraId="3F95966A" w14:textId="77777777" w:rsidR="00B43C67" w:rsidRPr="002A1443" w:rsidRDefault="00B43C67" w:rsidP="00B43C67"/>
    <w:p w14:paraId="20D8CFD0" w14:textId="0B3F0854" w:rsidR="00B43C67" w:rsidRDefault="00B43C67" w:rsidP="00B43C67">
      <w:r w:rsidRPr="00717107">
        <w:t xml:space="preserve">Section 96 of the </w:t>
      </w:r>
      <w:r w:rsidR="00E27AEB">
        <w:t>Intellectual Disability Act</w:t>
      </w:r>
      <w:r w:rsidRPr="00717107">
        <w:t xml:space="preserve"> allows district inspectors who visit a facility for the purposes of this to be granted access to every part of the facility and to every person in it, whether</w:t>
      </w:r>
      <w:r>
        <w:t xml:space="preserve"> or not</w:t>
      </w:r>
      <w:r w:rsidRPr="00717107">
        <w:t xml:space="preserve"> that person is a </w:t>
      </w:r>
      <w:r w:rsidRPr="7362CCE2">
        <w:rPr>
          <w:i/>
        </w:rPr>
        <w:t>care recipient</w:t>
      </w:r>
      <w:r w:rsidRPr="00717107">
        <w:t xml:space="preserve"> under th</w:t>
      </w:r>
      <w:r>
        <w:t xml:space="preserve">e </w:t>
      </w:r>
      <w:r w:rsidR="00E27AEB">
        <w:t>Intellectual Disability Act</w:t>
      </w:r>
      <w:r w:rsidRPr="00717107">
        <w:t>.</w:t>
      </w:r>
    </w:p>
    <w:p w14:paraId="2112BFFE" w14:textId="77777777" w:rsidR="00572C03" w:rsidRPr="00717107" w:rsidRDefault="00572C03" w:rsidP="00B43C67"/>
    <w:p w14:paraId="38A91722" w14:textId="77777777" w:rsidR="00B43C67" w:rsidRPr="00DA6736" w:rsidRDefault="00B43C67" w:rsidP="00B43C67">
      <w:r w:rsidRPr="00717107">
        <w:t>The care manager must present to the district inspector the following documents:</w:t>
      </w:r>
    </w:p>
    <w:p w14:paraId="49E95283" w14:textId="77777777" w:rsidR="00B43C67" w:rsidRDefault="00B43C67" w:rsidP="00572C03">
      <w:pPr>
        <w:pStyle w:val="Bullet"/>
      </w:pPr>
      <w:r w:rsidRPr="00957D13">
        <w:t xml:space="preserve">every record relating to a </w:t>
      </w:r>
      <w:r w:rsidRPr="003F37FD">
        <w:rPr>
          <w:i/>
        </w:rPr>
        <w:t>care recipient</w:t>
      </w:r>
      <w:r w:rsidRPr="00957D13">
        <w:t xml:space="preserve">, including the </w:t>
      </w:r>
      <w:r w:rsidRPr="003F37FD">
        <w:rPr>
          <w:i/>
        </w:rPr>
        <w:t>care recipient</w:t>
      </w:r>
      <w:r w:rsidRPr="00E428B1">
        <w:t>’s</w:t>
      </w:r>
      <w:r w:rsidRPr="00924E49">
        <w:t xml:space="preserve"> </w:t>
      </w:r>
      <w:r w:rsidRPr="00957D13">
        <w:t>court order and care and rehabilitation plan</w:t>
      </w:r>
    </w:p>
    <w:p w14:paraId="170F394B" w14:textId="0E557188" w:rsidR="00B43C67" w:rsidRDefault="00B43C67" w:rsidP="00572C03">
      <w:pPr>
        <w:pStyle w:val="Bullet"/>
      </w:pPr>
      <w:r w:rsidRPr="00957D13">
        <w:t>every communication or item withheld by the care manager under </w:t>
      </w:r>
      <w:hyperlink r:id="rId29" w:anchor="DLM225472" w:history="1">
        <w:r w:rsidRPr="00957D13">
          <w:t>section 57</w:t>
        </w:r>
      </w:hyperlink>
      <w:r>
        <w:t xml:space="preserve"> of the</w:t>
      </w:r>
      <w:r w:rsidRPr="00727829">
        <w:t xml:space="preserve"> </w:t>
      </w:r>
      <w:r w:rsidR="00E27AEB">
        <w:t>Intellectual Disability Act</w:t>
      </w:r>
      <w:r w:rsidRPr="00957D13">
        <w:t>.</w:t>
      </w:r>
    </w:p>
    <w:p w14:paraId="3E15B396" w14:textId="77777777" w:rsidR="00B43C67" w:rsidRDefault="00B43C67" w:rsidP="00191D52">
      <w:pPr>
        <w:pStyle w:val="Heading2-numbered"/>
      </w:pPr>
      <w:bookmarkStart w:id="34" w:name="_Toc200199230"/>
      <w:bookmarkStart w:id="35" w:name="_Toc207353872"/>
      <w:r>
        <w:t>Complaint handling and investigation</w:t>
      </w:r>
      <w:bookmarkEnd w:id="34"/>
      <w:bookmarkEnd w:id="35"/>
      <w:r>
        <w:t xml:space="preserve"> </w:t>
      </w:r>
    </w:p>
    <w:p w14:paraId="619743F4" w14:textId="5E92BE96" w:rsidR="00B43C67" w:rsidRDefault="00B43C67" w:rsidP="00B43C67">
      <w:pPr>
        <w:rPr>
          <w:snapToGrid w:val="0"/>
        </w:rPr>
      </w:pPr>
      <w:r w:rsidRPr="001C1F13">
        <w:rPr>
          <w:snapToGrid w:val="0"/>
        </w:rPr>
        <w:t xml:space="preserve">District </w:t>
      </w:r>
      <w:r>
        <w:rPr>
          <w:snapToGrid w:val="0"/>
        </w:rPr>
        <w:t>inspector</w:t>
      </w:r>
      <w:r w:rsidRPr="001C1F13">
        <w:rPr>
          <w:snapToGrid w:val="0"/>
        </w:rPr>
        <w:t xml:space="preserve">s have an important role in receiving and investigating complaints </w:t>
      </w:r>
      <w:r>
        <w:rPr>
          <w:snapToGrid w:val="0"/>
        </w:rPr>
        <w:t>from</w:t>
      </w:r>
      <w:r w:rsidRPr="001C1F13">
        <w:rPr>
          <w:snapToGrid w:val="0"/>
        </w:rPr>
        <w:t xml:space="preserve"> </w:t>
      </w:r>
      <w:r>
        <w:t>tāngata whai ora or tāngata whaikaha</w:t>
      </w:r>
      <w:r w:rsidRPr="001C1F13">
        <w:rPr>
          <w:snapToGrid w:val="0"/>
        </w:rPr>
        <w:t xml:space="preserve">, </w:t>
      </w:r>
      <w:r>
        <w:rPr>
          <w:snapToGrid w:val="0"/>
        </w:rPr>
        <w:t xml:space="preserve">their family and </w:t>
      </w:r>
      <w:r>
        <w:t xml:space="preserve">whānau, </w:t>
      </w:r>
      <w:r w:rsidRPr="001C1F13">
        <w:rPr>
          <w:snapToGrid w:val="0"/>
        </w:rPr>
        <w:t>or any individual on their behalf regarding alleged breaches or omissions of rights</w:t>
      </w:r>
      <w:r>
        <w:rPr>
          <w:snapToGrid w:val="0"/>
        </w:rPr>
        <w:t xml:space="preserve"> under the Act a person is subject to. </w:t>
      </w:r>
    </w:p>
    <w:p w14:paraId="3EA66A24" w14:textId="77777777" w:rsidR="00572C03" w:rsidRPr="003F37FD" w:rsidRDefault="00572C03" w:rsidP="00B43C67"/>
    <w:p w14:paraId="0316C5E8" w14:textId="1142C544" w:rsidR="00B43C67" w:rsidRDefault="00B43C67" w:rsidP="00B43C67">
      <w:pPr>
        <w:pStyle w:val="Number"/>
        <w:numPr>
          <w:ilvl w:val="3"/>
          <w:numId w:val="0"/>
        </w:numPr>
        <w:spacing w:before="0"/>
        <w:rPr>
          <w:snapToGrid w:val="0"/>
        </w:rPr>
      </w:pPr>
      <w:r w:rsidRPr="008C75DC">
        <w:rPr>
          <w:snapToGrid w:val="0"/>
        </w:rPr>
        <w:t>D</w:t>
      </w:r>
      <w:r>
        <w:rPr>
          <w:snapToGrid w:val="0"/>
        </w:rPr>
        <w:t>istrict inspectors must be</w:t>
      </w:r>
      <w:r w:rsidRPr="008C75DC">
        <w:rPr>
          <w:snapToGrid w:val="0"/>
        </w:rPr>
        <w:t xml:space="preserve"> mindful of the potential imbalance of power between </w:t>
      </w:r>
      <w:r w:rsidRPr="009D29B4">
        <w:rPr>
          <w:i/>
          <w:iCs/>
          <w:snapToGrid w:val="0"/>
        </w:rPr>
        <w:t>patients/care recipients</w:t>
      </w:r>
      <w:r w:rsidRPr="008C75DC">
        <w:rPr>
          <w:snapToGrid w:val="0"/>
        </w:rPr>
        <w:t xml:space="preserve"> and services</w:t>
      </w:r>
      <w:r>
        <w:rPr>
          <w:snapToGrid w:val="0"/>
        </w:rPr>
        <w:t>.</w:t>
      </w:r>
      <w:r w:rsidRPr="008C75DC">
        <w:rPr>
          <w:snapToGrid w:val="0"/>
        </w:rPr>
        <w:t xml:space="preserve"> </w:t>
      </w:r>
      <w:r>
        <w:rPr>
          <w:snapToGrid w:val="0"/>
        </w:rPr>
        <w:t>District inspectors should ensure that a person’s</w:t>
      </w:r>
      <w:r w:rsidRPr="00F93E08">
        <w:rPr>
          <w:snapToGrid w:val="0"/>
        </w:rPr>
        <w:t xml:space="preserve"> concerns have been appropriately addressed. D</w:t>
      </w:r>
      <w:r>
        <w:rPr>
          <w:snapToGrid w:val="0"/>
        </w:rPr>
        <w:t>istrict inspector</w:t>
      </w:r>
      <w:r w:rsidRPr="00F93E08">
        <w:rPr>
          <w:snapToGrid w:val="0"/>
        </w:rPr>
        <w:t>s should raise and follow up concerns</w:t>
      </w:r>
      <w:r>
        <w:rPr>
          <w:snapToGrid w:val="0"/>
        </w:rPr>
        <w:t>,</w:t>
      </w:r>
      <w:r w:rsidRPr="00F93E08">
        <w:rPr>
          <w:snapToGrid w:val="0"/>
        </w:rPr>
        <w:t xml:space="preserve"> </w:t>
      </w:r>
      <w:r>
        <w:rPr>
          <w:snapToGrid w:val="0"/>
        </w:rPr>
        <w:t xml:space="preserve">with </w:t>
      </w:r>
      <w:r w:rsidRPr="00F93E08">
        <w:rPr>
          <w:snapToGrid w:val="0"/>
        </w:rPr>
        <w:t xml:space="preserve">sensitivity to the safety </w:t>
      </w:r>
      <w:r>
        <w:rPr>
          <w:snapToGrid w:val="0"/>
        </w:rPr>
        <w:t xml:space="preserve">and concerns </w:t>
      </w:r>
      <w:r w:rsidRPr="00F93E08">
        <w:rPr>
          <w:snapToGrid w:val="0"/>
        </w:rPr>
        <w:t xml:space="preserve">of the person. </w:t>
      </w:r>
    </w:p>
    <w:p w14:paraId="4996818B" w14:textId="77777777" w:rsidR="00572C03" w:rsidRDefault="00572C03" w:rsidP="00B43C67">
      <w:pPr>
        <w:pStyle w:val="Number"/>
        <w:numPr>
          <w:ilvl w:val="3"/>
          <w:numId w:val="0"/>
        </w:numPr>
        <w:spacing w:before="0"/>
        <w:rPr>
          <w:snapToGrid w:val="0"/>
        </w:rPr>
      </w:pPr>
    </w:p>
    <w:p w14:paraId="1BB2F5BA" w14:textId="2DF4820C" w:rsidR="00B43C67" w:rsidRDefault="00B43C67" w:rsidP="00B43C67">
      <w:pPr>
        <w:rPr>
          <w:rFonts w:cs="Segoe UI"/>
          <w:szCs w:val="21"/>
        </w:rPr>
      </w:pPr>
      <w:r>
        <w:rPr>
          <w:snapToGrid w:val="0"/>
        </w:rPr>
        <w:t>M</w:t>
      </w:r>
      <w:r w:rsidRPr="001C1F13">
        <w:rPr>
          <w:snapToGrid w:val="0"/>
        </w:rPr>
        <w:t xml:space="preserve">any of the matters brought to the attention of the district </w:t>
      </w:r>
      <w:r>
        <w:rPr>
          <w:snapToGrid w:val="0"/>
        </w:rPr>
        <w:t>inspector</w:t>
      </w:r>
      <w:r w:rsidRPr="001C1F13">
        <w:rPr>
          <w:snapToGrid w:val="0"/>
        </w:rPr>
        <w:t xml:space="preserve"> </w:t>
      </w:r>
      <w:r>
        <w:rPr>
          <w:snapToGrid w:val="0"/>
        </w:rPr>
        <w:t>may</w:t>
      </w:r>
      <w:r w:rsidRPr="001C1F13">
        <w:rPr>
          <w:snapToGrid w:val="0"/>
        </w:rPr>
        <w:t xml:space="preserve"> be resolved through informal contact and liaison </w:t>
      </w:r>
      <w:r>
        <w:rPr>
          <w:snapToGrid w:val="0"/>
        </w:rPr>
        <w:t>with</w:t>
      </w:r>
      <w:r w:rsidRPr="001C1F13">
        <w:rPr>
          <w:snapToGrid w:val="0"/>
        </w:rPr>
        <w:t xml:space="preserve"> the </w:t>
      </w:r>
      <w:r w:rsidRPr="516C99AA">
        <w:rPr>
          <w:i/>
          <w:iCs/>
          <w:snapToGrid w:val="0"/>
        </w:rPr>
        <w:t>patient</w:t>
      </w:r>
      <w:r>
        <w:rPr>
          <w:i/>
          <w:iCs/>
          <w:snapToGrid w:val="0"/>
        </w:rPr>
        <w:t xml:space="preserve"> </w:t>
      </w:r>
      <w:r w:rsidRPr="0054729E">
        <w:rPr>
          <w:snapToGrid w:val="0"/>
        </w:rPr>
        <w:t>or</w:t>
      </w:r>
      <w:r>
        <w:rPr>
          <w:i/>
          <w:iCs/>
          <w:snapToGrid w:val="0"/>
        </w:rPr>
        <w:t xml:space="preserve"> care recipient</w:t>
      </w:r>
      <w:r w:rsidRPr="001C1F13">
        <w:rPr>
          <w:snapToGrid w:val="0"/>
        </w:rPr>
        <w:t>, the responsible clinician</w:t>
      </w:r>
      <w:r>
        <w:rPr>
          <w:snapToGrid w:val="0"/>
        </w:rPr>
        <w:t xml:space="preserve"> or care manager</w:t>
      </w:r>
      <w:r w:rsidRPr="001C1F13">
        <w:rPr>
          <w:snapToGrid w:val="0"/>
        </w:rPr>
        <w:t xml:space="preserve"> and</w:t>
      </w:r>
      <w:r>
        <w:rPr>
          <w:snapToGrid w:val="0"/>
        </w:rPr>
        <w:t>,</w:t>
      </w:r>
      <w:r w:rsidRPr="001C1F13">
        <w:rPr>
          <w:snapToGrid w:val="0"/>
        </w:rPr>
        <w:t xml:space="preserve"> </w:t>
      </w:r>
      <w:r>
        <w:rPr>
          <w:snapToGrid w:val="0"/>
        </w:rPr>
        <w:t xml:space="preserve">where appropriate, </w:t>
      </w:r>
      <w:r w:rsidRPr="001C1F13">
        <w:t>the</w:t>
      </w:r>
      <w:r w:rsidRPr="516C99AA">
        <w:rPr>
          <w:rFonts w:cs="Segoe UI"/>
          <w:szCs w:val="21"/>
        </w:rPr>
        <w:t xml:space="preserve"> </w:t>
      </w:r>
      <w:r>
        <w:rPr>
          <w:rFonts w:cs="Segoe UI"/>
          <w:szCs w:val="21"/>
        </w:rPr>
        <w:t>DAMHS,</w:t>
      </w:r>
      <w:r w:rsidRPr="00301A61">
        <w:t xml:space="preserve"> </w:t>
      </w:r>
      <w:r>
        <w:t>Care Coordinator</w:t>
      </w:r>
      <w:r>
        <w:rPr>
          <w:rFonts w:cs="Segoe UI"/>
          <w:szCs w:val="21"/>
        </w:rPr>
        <w:t xml:space="preserve"> or Area Director of the service. There are formal complaint investigation and resolution pathways for district inspectors specific to the Act that they are functioning under. </w:t>
      </w:r>
    </w:p>
    <w:p w14:paraId="182DC3F4" w14:textId="77777777" w:rsidR="00572C03" w:rsidRDefault="00572C03" w:rsidP="00B43C67">
      <w:pPr>
        <w:rPr>
          <w:snapToGrid w:val="0"/>
        </w:rPr>
      </w:pPr>
    </w:p>
    <w:p w14:paraId="3B89AD00" w14:textId="2EC326F5" w:rsidR="00B43C67" w:rsidRDefault="00B43C67" w:rsidP="00B43C67">
      <w:pPr>
        <w:rPr>
          <w:snapToGrid w:val="0"/>
        </w:rPr>
      </w:pPr>
      <w:r>
        <w:rPr>
          <w:snapToGrid w:val="0"/>
        </w:rPr>
        <w:t>Most complaints will be made directly to the district inspector or passed on to the district inspector by the service; however, complaints may</w:t>
      </w:r>
      <w:r w:rsidRPr="001C1F13">
        <w:rPr>
          <w:snapToGrid w:val="0"/>
        </w:rPr>
        <w:t xml:space="preserve"> also </w:t>
      </w:r>
      <w:r>
        <w:rPr>
          <w:snapToGrid w:val="0"/>
        </w:rPr>
        <w:t xml:space="preserve">be </w:t>
      </w:r>
      <w:r w:rsidRPr="001C1F13">
        <w:rPr>
          <w:snapToGrid w:val="0"/>
        </w:rPr>
        <w:t>made to the Health and Disability Commission</w:t>
      </w:r>
      <w:r>
        <w:rPr>
          <w:snapToGrid w:val="0"/>
        </w:rPr>
        <w:t xml:space="preserve">er. </w:t>
      </w:r>
      <w:r w:rsidRPr="00254090">
        <w:rPr>
          <w:snapToGrid w:val="0"/>
        </w:rPr>
        <w:t>The Health and Disability Commission</w:t>
      </w:r>
      <w:r>
        <w:rPr>
          <w:snapToGrid w:val="0"/>
        </w:rPr>
        <w:t xml:space="preserve">er </w:t>
      </w:r>
      <w:r w:rsidRPr="00254090">
        <w:rPr>
          <w:snapToGrid w:val="0"/>
        </w:rPr>
        <w:t>determines whether there has been a breach of the Code of</w:t>
      </w:r>
      <w:r>
        <w:rPr>
          <w:snapToGrid w:val="0"/>
        </w:rPr>
        <w:t xml:space="preserve"> Rights</w:t>
      </w:r>
      <w:r w:rsidRPr="00254090">
        <w:rPr>
          <w:snapToGrid w:val="0"/>
        </w:rPr>
        <w:t xml:space="preserve">. </w:t>
      </w:r>
      <w:r w:rsidRPr="00226D89">
        <w:t>When complaints</w:t>
      </w:r>
      <w:r>
        <w:t xml:space="preserve"> received by the Health and Disability Commissioner</w:t>
      </w:r>
      <w:r w:rsidRPr="00226D89">
        <w:t xml:space="preserve"> relate to the care and treatment of </w:t>
      </w:r>
      <w:r w:rsidRPr="004977BA">
        <w:rPr>
          <w:i/>
          <w:iCs/>
        </w:rPr>
        <w:t>patients</w:t>
      </w:r>
      <w:r w:rsidRPr="00226D89">
        <w:t xml:space="preserve"> </w:t>
      </w:r>
      <w:r>
        <w:t xml:space="preserve">or </w:t>
      </w:r>
      <w:r w:rsidRPr="004977BA">
        <w:rPr>
          <w:i/>
          <w:iCs/>
        </w:rPr>
        <w:t>care recipients</w:t>
      </w:r>
      <w:r>
        <w:t xml:space="preserve"> </w:t>
      </w:r>
      <w:r w:rsidRPr="00226D89">
        <w:t xml:space="preserve">subject to </w:t>
      </w:r>
      <w:r>
        <w:t xml:space="preserve">an Act the district inspector is functioning under, then </w:t>
      </w:r>
      <w:r w:rsidRPr="00226D89">
        <w:t>the Commission</w:t>
      </w:r>
      <w:r>
        <w:t>er</w:t>
      </w:r>
      <w:r w:rsidRPr="00226D89">
        <w:t xml:space="preserve"> will consider forwarding them to the district inspector for investigation if appropriate. </w:t>
      </w:r>
      <w:r w:rsidRPr="003D5197">
        <w:rPr>
          <w:snapToGrid w:val="0"/>
        </w:rPr>
        <w:t>District inspectors should advise the Director if they receive a complaint directly from the Health and Disability Commission</w:t>
      </w:r>
      <w:r>
        <w:rPr>
          <w:snapToGrid w:val="0"/>
        </w:rPr>
        <w:t>er</w:t>
      </w:r>
      <w:r w:rsidRPr="003D5197">
        <w:rPr>
          <w:snapToGrid w:val="0"/>
        </w:rPr>
        <w:t>.</w:t>
      </w:r>
    </w:p>
    <w:p w14:paraId="0FBA4B24" w14:textId="77777777" w:rsidR="00572C03" w:rsidRDefault="00572C03" w:rsidP="00B43C67">
      <w:pPr>
        <w:rPr>
          <w:snapToGrid w:val="0"/>
        </w:rPr>
      </w:pPr>
    </w:p>
    <w:p w14:paraId="2BBEADF8" w14:textId="78E15826" w:rsidR="00B43C67" w:rsidRDefault="00B43C67" w:rsidP="00B43C67">
      <w:pPr>
        <w:rPr>
          <w:snapToGrid w:val="0"/>
        </w:rPr>
      </w:pPr>
      <w:r>
        <w:rPr>
          <w:snapToGrid w:val="0"/>
        </w:rPr>
        <w:t>T</w:t>
      </w:r>
      <w:r w:rsidRPr="001C1F13">
        <w:rPr>
          <w:snapToGrid w:val="0"/>
        </w:rPr>
        <w:t xml:space="preserve">he district </w:t>
      </w:r>
      <w:r>
        <w:rPr>
          <w:snapToGrid w:val="0"/>
        </w:rPr>
        <w:t>inspector</w:t>
      </w:r>
      <w:r w:rsidRPr="001C1F13">
        <w:rPr>
          <w:snapToGrid w:val="0"/>
        </w:rPr>
        <w:t xml:space="preserve"> can only </w:t>
      </w:r>
      <w:r>
        <w:rPr>
          <w:snapToGrid w:val="0"/>
        </w:rPr>
        <w:t>inquire</w:t>
      </w:r>
      <w:r w:rsidRPr="001C1F13">
        <w:rPr>
          <w:snapToGrid w:val="0"/>
        </w:rPr>
        <w:t xml:space="preserve"> within their jurisdiction.</w:t>
      </w:r>
      <w:r>
        <w:rPr>
          <w:snapToGrid w:val="0"/>
        </w:rPr>
        <w:t xml:space="preserve"> </w:t>
      </w:r>
      <w:r w:rsidRPr="003D5197">
        <w:rPr>
          <w:snapToGrid w:val="0"/>
        </w:rPr>
        <w:t>Th</w:t>
      </w:r>
      <w:r>
        <w:rPr>
          <w:snapToGrid w:val="0"/>
        </w:rPr>
        <w:t>erefore</w:t>
      </w:r>
      <w:r w:rsidRPr="003D5197">
        <w:rPr>
          <w:snapToGrid w:val="0"/>
        </w:rPr>
        <w:t xml:space="preserve">, if the complainant specifically requests an investigation of an alleged breach of rights under </w:t>
      </w:r>
      <w:r w:rsidRPr="003D5197">
        <w:rPr>
          <w:snapToGrid w:val="0"/>
        </w:rPr>
        <w:lastRenderedPageBreak/>
        <w:t xml:space="preserve">the </w:t>
      </w:r>
      <w:r>
        <w:rPr>
          <w:snapToGrid w:val="0"/>
        </w:rPr>
        <w:t>Code of Rights</w:t>
      </w:r>
      <w:r w:rsidRPr="003D5197">
        <w:rPr>
          <w:snapToGrid w:val="0"/>
        </w:rPr>
        <w:t xml:space="preserve">, the complaint will need to be </w:t>
      </w:r>
      <w:r>
        <w:rPr>
          <w:snapToGrid w:val="0"/>
        </w:rPr>
        <w:t>assessed</w:t>
      </w:r>
      <w:r w:rsidRPr="003D5197">
        <w:rPr>
          <w:snapToGrid w:val="0"/>
        </w:rPr>
        <w:t xml:space="preserve"> by the Health and Disability Commission</w:t>
      </w:r>
      <w:r>
        <w:rPr>
          <w:snapToGrid w:val="0"/>
        </w:rPr>
        <w:t xml:space="preserve">er. </w:t>
      </w:r>
    </w:p>
    <w:p w14:paraId="77FFB338" w14:textId="77777777" w:rsidR="00572C03" w:rsidRDefault="00572C03" w:rsidP="00B43C67">
      <w:pPr>
        <w:rPr>
          <w:snapToGrid w:val="0"/>
        </w:rPr>
      </w:pPr>
    </w:p>
    <w:p w14:paraId="4D24DC2F" w14:textId="278B70A5" w:rsidR="00B43C67" w:rsidRDefault="00B43C67" w:rsidP="00B43C67">
      <w:pPr>
        <w:rPr>
          <w:snapToGrid w:val="0"/>
        </w:rPr>
      </w:pPr>
      <w:r w:rsidRPr="00F435A8">
        <w:rPr>
          <w:snapToGrid w:val="0"/>
        </w:rPr>
        <w:t>If the complainant specifically requests an investigation of an alleged breach of rights under the Code of</w:t>
      </w:r>
      <w:r>
        <w:rPr>
          <w:snapToGrid w:val="0"/>
        </w:rPr>
        <w:t xml:space="preserve"> Rights</w:t>
      </w:r>
      <w:r w:rsidRPr="00F435A8">
        <w:rPr>
          <w:snapToGrid w:val="0"/>
        </w:rPr>
        <w:t xml:space="preserve">, the </w:t>
      </w:r>
      <w:r>
        <w:rPr>
          <w:snapToGrid w:val="0"/>
        </w:rPr>
        <w:t>d</w:t>
      </w:r>
      <w:r w:rsidRPr="00F435A8">
        <w:rPr>
          <w:snapToGrid w:val="0"/>
        </w:rPr>
        <w:t xml:space="preserve">istrict </w:t>
      </w:r>
      <w:r>
        <w:rPr>
          <w:snapToGrid w:val="0"/>
        </w:rPr>
        <w:t>i</w:t>
      </w:r>
      <w:r w:rsidRPr="00F435A8">
        <w:rPr>
          <w:snapToGrid w:val="0"/>
        </w:rPr>
        <w:t xml:space="preserve">nspector should discuss with the complainant their options in respect of the different roles of the </w:t>
      </w:r>
      <w:r w:rsidRPr="003D5197">
        <w:rPr>
          <w:snapToGrid w:val="0"/>
        </w:rPr>
        <w:t>Health and Disability Commission</w:t>
      </w:r>
      <w:r>
        <w:rPr>
          <w:snapToGrid w:val="0"/>
        </w:rPr>
        <w:t>er</w:t>
      </w:r>
      <w:r w:rsidRPr="00F435A8">
        <w:rPr>
          <w:snapToGrid w:val="0"/>
        </w:rPr>
        <w:t xml:space="preserve"> and the </w:t>
      </w:r>
      <w:r>
        <w:rPr>
          <w:snapToGrid w:val="0"/>
        </w:rPr>
        <w:t>d</w:t>
      </w:r>
      <w:r w:rsidRPr="00F435A8">
        <w:rPr>
          <w:snapToGrid w:val="0"/>
        </w:rPr>
        <w:t xml:space="preserve">istrict </w:t>
      </w:r>
      <w:r>
        <w:rPr>
          <w:snapToGrid w:val="0"/>
        </w:rPr>
        <w:t>i</w:t>
      </w:r>
      <w:r w:rsidRPr="00F435A8">
        <w:rPr>
          <w:snapToGrid w:val="0"/>
        </w:rPr>
        <w:t>nspector</w:t>
      </w:r>
      <w:r>
        <w:rPr>
          <w:snapToGrid w:val="0"/>
        </w:rPr>
        <w:t>.</w:t>
      </w:r>
    </w:p>
    <w:p w14:paraId="2B6D22D0" w14:textId="77777777" w:rsidR="00572C03" w:rsidRDefault="00572C03" w:rsidP="00B43C67">
      <w:pPr>
        <w:rPr>
          <w:snapToGrid w:val="0"/>
        </w:rPr>
      </w:pPr>
    </w:p>
    <w:p w14:paraId="1A1FCFCB" w14:textId="14DD5A3C" w:rsidR="00B43C67" w:rsidRDefault="00B43C67" w:rsidP="00B43C67">
      <w:bookmarkStart w:id="36" w:name="_Hlk144108200"/>
      <w:r w:rsidRPr="001C1F13">
        <w:rPr>
          <w:snapToGrid w:val="0"/>
        </w:rPr>
        <w:t>If the complainant specifically requests an investigation and resolution of a complaint of an alleged breach of specific rights under the Health and Disability Commissioner</w:t>
      </w:r>
      <w:r>
        <w:rPr>
          <w:snapToGrid w:val="0"/>
        </w:rPr>
        <w:t>’</w:t>
      </w:r>
      <w:r w:rsidRPr="001C1F13">
        <w:rPr>
          <w:snapToGrid w:val="0"/>
        </w:rPr>
        <w:t>s Code</w:t>
      </w:r>
      <w:r>
        <w:rPr>
          <w:snapToGrid w:val="0"/>
        </w:rPr>
        <w:t>,</w:t>
      </w:r>
      <w:r w:rsidRPr="001C1F13">
        <w:rPr>
          <w:snapToGrid w:val="0"/>
        </w:rPr>
        <w:t xml:space="preserve"> it will remain the responsibility of the Health and Disability Commission</w:t>
      </w:r>
      <w:r>
        <w:rPr>
          <w:snapToGrid w:val="0"/>
        </w:rPr>
        <w:t>er</w:t>
      </w:r>
      <w:r w:rsidRPr="001C1F13">
        <w:rPr>
          <w:snapToGrid w:val="0"/>
        </w:rPr>
        <w:t xml:space="preserve"> to </w:t>
      </w:r>
      <w:r>
        <w:rPr>
          <w:snapToGrid w:val="0"/>
        </w:rPr>
        <w:t>assess</w:t>
      </w:r>
      <w:r w:rsidRPr="001C1F13">
        <w:rPr>
          <w:snapToGrid w:val="0"/>
        </w:rPr>
        <w:t xml:space="preserve"> the complaint</w:t>
      </w:r>
      <w:r w:rsidRPr="001C1F13">
        <w:t>.</w:t>
      </w:r>
      <w:r>
        <w:t xml:space="preserve"> </w:t>
      </w:r>
      <w:bookmarkEnd w:id="36"/>
      <w:r w:rsidRPr="001C1F13">
        <w:t>It is important that the complainant makes an informed decision as the different jurisdictions have different processes and remedies available</w:t>
      </w:r>
      <w:r>
        <w:t>.</w:t>
      </w:r>
    </w:p>
    <w:p w14:paraId="0ADB6D04" w14:textId="77777777" w:rsidR="00572C03" w:rsidRDefault="00572C03" w:rsidP="00B43C67"/>
    <w:p w14:paraId="5173549E" w14:textId="39779654" w:rsidR="00B43C67" w:rsidRDefault="00B43C67" w:rsidP="00B43C67">
      <w:r>
        <w:t xml:space="preserve">District inspectors ensure that complaints are appropriately investigated and reported to the service provider and the Director. </w:t>
      </w:r>
      <w:r w:rsidRPr="00992488">
        <w:t xml:space="preserve">As part of this </w:t>
      </w:r>
      <w:r>
        <w:t>duty</w:t>
      </w:r>
      <w:r w:rsidRPr="00992488">
        <w:t xml:space="preserve">, </w:t>
      </w:r>
      <w:r>
        <w:t xml:space="preserve">as they see fit, </w:t>
      </w:r>
      <w:r w:rsidRPr="00992488">
        <w:t xml:space="preserve">district inspectors may make recommendations for services to make </w:t>
      </w:r>
      <w:r>
        <w:t xml:space="preserve">any </w:t>
      </w:r>
      <w:r w:rsidRPr="00992488">
        <w:t>changes necessary to rectify the matters they have investigated.</w:t>
      </w:r>
      <w:r>
        <w:t xml:space="preserve"> They are required to have access to information that allows them to monitor the complaint recommendations the service may be required to address. District inspectors have unrestricted access to service reportable event systems or records and services are required to send them summaries of reportable events, particularly relating to people under the provisions of the Mental Health Act. </w:t>
      </w:r>
    </w:p>
    <w:p w14:paraId="3BCEE2D1" w14:textId="77777777" w:rsidR="00572C03" w:rsidRDefault="00572C03" w:rsidP="00B43C67"/>
    <w:p w14:paraId="5082223D" w14:textId="77777777" w:rsidR="00B43C67" w:rsidRDefault="00B43C67" w:rsidP="00572C03">
      <w:r>
        <w:t xml:space="preserve">Throughout this process, it is important that district inspectors communicate clearly and keep all parties involved in the case informed of its progress. District inspectors </w:t>
      </w:r>
      <w:r w:rsidRPr="00A15178">
        <w:t>should ensure</w:t>
      </w:r>
      <w:r>
        <w:t xml:space="preserve"> </w:t>
      </w:r>
      <w:r w:rsidRPr="00A15178">
        <w:t>people’s communication needs are reasonably accommodated</w:t>
      </w:r>
      <w:r>
        <w:t>.</w:t>
      </w:r>
      <w:r>
        <w:rPr>
          <w:rStyle w:val="FootnoteReference"/>
        </w:rPr>
        <w:footnoteReference w:id="8"/>
      </w:r>
      <w:r>
        <w:t xml:space="preserve"> </w:t>
      </w:r>
      <w:r w:rsidRPr="004F7E82">
        <w:t>As part of their regular visitations</w:t>
      </w:r>
      <w:r>
        <w:t xml:space="preserve"> and complaint procedures</w:t>
      </w:r>
      <w:r w:rsidRPr="004F7E82">
        <w:t xml:space="preserve">, district inspectors should engage with service staff </w:t>
      </w:r>
      <w:r>
        <w:t>such as</w:t>
      </w:r>
      <w:r w:rsidRPr="004F7E82">
        <w:t xml:space="preserve"> </w:t>
      </w:r>
      <w:r>
        <w:t>l</w:t>
      </w:r>
      <w:r w:rsidRPr="004F7E82">
        <w:t xml:space="preserve">ived </w:t>
      </w:r>
      <w:r>
        <w:t>e</w:t>
      </w:r>
      <w:r w:rsidRPr="004F7E82">
        <w:t xml:space="preserve">xperience, </w:t>
      </w:r>
      <w:r>
        <w:t>c</w:t>
      </w:r>
      <w:r w:rsidRPr="004F7E82">
        <w:t xml:space="preserve">ultural or </w:t>
      </w:r>
      <w:r>
        <w:t>w</w:t>
      </w:r>
      <w:r w:rsidRPr="004F7E82">
        <w:t xml:space="preserve">hānau </w:t>
      </w:r>
      <w:r>
        <w:t>a</w:t>
      </w:r>
      <w:r w:rsidRPr="004F7E82">
        <w:t>dvisors/</w:t>
      </w:r>
      <w:r>
        <w:t>k</w:t>
      </w:r>
      <w:r w:rsidRPr="004F7E82">
        <w:t>aimahi</w:t>
      </w:r>
      <w:r>
        <w:t xml:space="preserve"> to manage oversight and resolution of </w:t>
      </w:r>
      <w:r w:rsidRPr="003F37FD">
        <w:rPr>
          <w:i/>
          <w:iCs/>
        </w:rPr>
        <w:t>patient</w:t>
      </w:r>
      <w:r>
        <w:t xml:space="preserve"> or </w:t>
      </w:r>
      <w:r w:rsidRPr="003F37FD">
        <w:rPr>
          <w:i/>
          <w:iCs/>
        </w:rPr>
        <w:t>care recipient</w:t>
      </w:r>
      <w:r>
        <w:t xml:space="preserve"> concerns. </w:t>
      </w:r>
    </w:p>
    <w:p w14:paraId="57D02E29" w14:textId="77777777" w:rsidR="00572C03" w:rsidRDefault="00572C03" w:rsidP="00572C03"/>
    <w:p w14:paraId="2B686D21" w14:textId="0AE03EA6" w:rsidR="00B43C67" w:rsidRDefault="00B43C67" w:rsidP="00572C03">
      <w:r>
        <w:t xml:space="preserve">All </w:t>
      </w:r>
      <w:r w:rsidRPr="003F37FD">
        <w:rPr>
          <w:i/>
          <w:iCs/>
        </w:rPr>
        <w:t>patients</w:t>
      </w:r>
      <w:r>
        <w:t xml:space="preserve"> and </w:t>
      </w:r>
      <w:r w:rsidRPr="003F37FD">
        <w:rPr>
          <w:i/>
          <w:iCs/>
        </w:rPr>
        <w:t>care recipients</w:t>
      </w:r>
      <w:r>
        <w:t xml:space="preserve"> have the right to treatment, assessment and care that respects their</w:t>
      </w:r>
      <w:r w:rsidRPr="005A30BE">
        <w:t xml:space="preserve"> cultural identity and personal beliefs</w:t>
      </w:r>
      <w:r>
        <w:t>. Should a district inspector receive a complaint that relates to a breach of a person’s right to cultural respect or that raises equity concerns, in the first instance it is expected that the district inspector should seek input from a cultural advisor/kaimahi within the service. It may be appropriate for the district inspector to additionally discuss the nature of the complaint with the DAMHS, Area Director or Care Coordinator of the service and consult with the person who holds the senior cultural role within the organisation. If it is not possible for the district inspector to gain cultural advice or input from within the service, it may be necessary for them to discuss their concerns with the Director in order to seek advice.</w:t>
      </w:r>
    </w:p>
    <w:p w14:paraId="602F6533" w14:textId="77777777" w:rsidR="00B43C67" w:rsidRDefault="00B43C67" w:rsidP="00C344A2">
      <w:pPr>
        <w:pStyle w:val="Heading3-numbered"/>
      </w:pPr>
      <w:r>
        <w:lastRenderedPageBreak/>
        <w:t xml:space="preserve">Complaint procedures under the Mental Health Act </w:t>
      </w:r>
    </w:p>
    <w:p w14:paraId="154A4A0B" w14:textId="249BF99A" w:rsidR="00B43C67" w:rsidRDefault="00B43C67" w:rsidP="00B43C67">
      <w:pPr>
        <w:rPr>
          <w:snapToGrid w:val="0"/>
        </w:rPr>
      </w:pPr>
      <w:r w:rsidRPr="001C1F13">
        <w:rPr>
          <w:snapToGrid w:val="0"/>
        </w:rPr>
        <w:t>Statutory authority for complaint investigation</w:t>
      </w:r>
      <w:r>
        <w:rPr>
          <w:snapToGrid w:val="0"/>
        </w:rPr>
        <w:t>s made</w:t>
      </w:r>
      <w:r w:rsidRPr="00747E31">
        <w:rPr>
          <w:snapToGrid w:val="0"/>
        </w:rPr>
        <w:t xml:space="preserve"> about a breach of a patient’s rights</w:t>
      </w:r>
      <w:r w:rsidRPr="001C1F13">
        <w:rPr>
          <w:snapToGrid w:val="0"/>
        </w:rPr>
        <w:t xml:space="preserve"> and inquiry</w:t>
      </w:r>
      <w:r>
        <w:rPr>
          <w:snapToGrid w:val="0"/>
        </w:rPr>
        <w:t xml:space="preserve"> are </w:t>
      </w:r>
      <w:r w:rsidRPr="001C1F13">
        <w:rPr>
          <w:snapToGrid w:val="0"/>
        </w:rPr>
        <w:t>found in sections 75 and 95</w:t>
      </w:r>
      <w:r>
        <w:rPr>
          <w:snapToGrid w:val="0"/>
        </w:rPr>
        <w:t xml:space="preserve"> of the Mental Health Act</w:t>
      </w:r>
      <w:r>
        <w:t>.</w:t>
      </w:r>
      <w:r>
        <w:rPr>
          <w:snapToGrid w:val="0"/>
        </w:rPr>
        <w:t xml:space="preserve"> </w:t>
      </w:r>
      <w:r>
        <w:t>T</w:t>
      </w:r>
      <w:r>
        <w:rPr>
          <w:snapToGrid w:val="0"/>
        </w:rPr>
        <w:t xml:space="preserve">hese procedures are outlined under </w:t>
      </w:r>
      <w:r>
        <w:t>S</w:t>
      </w:r>
      <w:r>
        <w:rPr>
          <w:snapToGrid w:val="0"/>
        </w:rPr>
        <w:t>ection</w:t>
      </w:r>
      <w:r>
        <w:t>s</w:t>
      </w:r>
      <w:r>
        <w:rPr>
          <w:snapToGrid w:val="0"/>
        </w:rPr>
        <w:t xml:space="preserve"> </w:t>
      </w:r>
      <w:r>
        <w:rPr>
          <w:snapToGrid w:val="0"/>
        </w:rPr>
        <w:fldChar w:fldCharType="begin"/>
      </w:r>
      <w:r>
        <w:rPr>
          <w:snapToGrid w:val="0"/>
        </w:rPr>
        <w:instrText xml:space="preserve"> REF _Ref139878403 \r \h </w:instrText>
      </w:r>
      <w:r>
        <w:rPr>
          <w:snapToGrid w:val="0"/>
        </w:rPr>
      </w:r>
      <w:r>
        <w:rPr>
          <w:snapToGrid w:val="0"/>
        </w:rPr>
        <w:fldChar w:fldCharType="separate"/>
      </w:r>
      <w:r w:rsidR="00AA4317">
        <w:rPr>
          <w:snapToGrid w:val="0"/>
        </w:rPr>
        <w:t>2.5.2</w:t>
      </w:r>
      <w:r>
        <w:rPr>
          <w:snapToGrid w:val="0"/>
        </w:rPr>
        <w:fldChar w:fldCharType="end"/>
      </w:r>
      <w:r>
        <w:t xml:space="preserve"> and 2.5.2</w:t>
      </w:r>
      <w:r>
        <w:rPr>
          <w:snapToGrid w:val="0"/>
        </w:rPr>
        <w:t xml:space="preserve"> of th</w:t>
      </w:r>
      <w:r>
        <w:t xml:space="preserve">ese </w:t>
      </w:r>
      <w:r>
        <w:rPr>
          <w:snapToGrid w:val="0"/>
        </w:rPr>
        <w:t>guideline</w:t>
      </w:r>
      <w:r>
        <w:t>s</w:t>
      </w:r>
      <w:r>
        <w:rPr>
          <w:snapToGrid w:val="0"/>
        </w:rPr>
        <w:t xml:space="preserve">. </w:t>
      </w:r>
    </w:p>
    <w:p w14:paraId="3A49F52B" w14:textId="77777777" w:rsidR="00572C03" w:rsidRPr="000B359B" w:rsidRDefault="00572C03" w:rsidP="00B43C67"/>
    <w:p w14:paraId="5E074CC7" w14:textId="77777777" w:rsidR="00B43C67" w:rsidRDefault="00B43C67" w:rsidP="00B43C67">
      <w:pPr>
        <w:rPr>
          <w:snapToGrid w:val="0"/>
        </w:rPr>
      </w:pPr>
      <w:r>
        <w:rPr>
          <w:snapToGrid w:val="0"/>
        </w:rPr>
        <w:t>However, m</w:t>
      </w:r>
      <w:r w:rsidRPr="001C1F13">
        <w:rPr>
          <w:snapToGrid w:val="0"/>
        </w:rPr>
        <w:t xml:space="preserve">any of the matters brought to the attention of the district </w:t>
      </w:r>
      <w:r>
        <w:rPr>
          <w:snapToGrid w:val="0"/>
        </w:rPr>
        <w:t>inspector</w:t>
      </w:r>
      <w:r w:rsidRPr="001C1F13">
        <w:rPr>
          <w:snapToGrid w:val="0"/>
        </w:rPr>
        <w:t xml:space="preserve"> can be resolved through informal contact and liaison </w:t>
      </w:r>
      <w:r>
        <w:rPr>
          <w:snapToGrid w:val="0"/>
        </w:rPr>
        <w:t>with</w:t>
      </w:r>
      <w:r w:rsidRPr="001C1F13">
        <w:rPr>
          <w:snapToGrid w:val="0"/>
        </w:rPr>
        <w:t xml:space="preserve"> the </w:t>
      </w:r>
      <w:r w:rsidRPr="516C99AA">
        <w:rPr>
          <w:i/>
          <w:iCs/>
          <w:snapToGrid w:val="0"/>
        </w:rPr>
        <w:t>patient</w:t>
      </w:r>
      <w:r w:rsidRPr="001C1F13">
        <w:rPr>
          <w:snapToGrid w:val="0"/>
        </w:rPr>
        <w:t>, the responsible clinician and</w:t>
      </w:r>
      <w:r>
        <w:rPr>
          <w:snapToGrid w:val="0"/>
        </w:rPr>
        <w:t>,</w:t>
      </w:r>
      <w:r w:rsidRPr="516C99AA">
        <w:rPr>
          <w:rFonts w:cs="Segoe UI"/>
          <w:szCs w:val="21"/>
        </w:rPr>
        <w:t xml:space="preserve"> </w:t>
      </w:r>
      <w:r w:rsidRPr="001C1F13">
        <w:rPr>
          <w:snapToGrid w:val="0"/>
        </w:rPr>
        <w:t>where appropriate</w:t>
      </w:r>
      <w:r>
        <w:rPr>
          <w:snapToGrid w:val="0"/>
        </w:rPr>
        <w:t>,</w:t>
      </w:r>
      <w:r w:rsidRPr="001C1F13">
        <w:rPr>
          <w:snapToGrid w:val="0"/>
        </w:rPr>
        <w:t xml:space="preserve"> </w:t>
      </w:r>
      <w:r w:rsidRPr="001C1F13">
        <w:t>the</w:t>
      </w:r>
      <w:r w:rsidRPr="516C99AA">
        <w:rPr>
          <w:rFonts w:cs="Segoe UI"/>
          <w:szCs w:val="21"/>
        </w:rPr>
        <w:t xml:space="preserve"> DAMHS</w:t>
      </w:r>
      <w:r w:rsidRPr="001C1F13">
        <w:rPr>
          <w:snapToGrid w:val="0"/>
        </w:rPr>
        <w:t>.</w:t>
      </w:r>
      <w:r>
        <w:rPr>
          <w:snapToGrid w:val="0"/>
        </w:rPr>
        <w:t xml:space="preserve"> </w:t>
      </w:r>
    </w:p>
    <w:p w14:paraId="591964C1" w14:textId="77777777" w:rsidR="00B43C67" w:rsidRDefault="00B43C67" w:rsidP="00C344A2">
      <w:pPr>
        <w:pStyle w:val="Heading3-numbered"/>
      </w:pPr>
      <w:r>
        <w:t xml:space="preserve">Complaint procedures under the Substance Addiction Act </w:t>
      </w:r>
    </w:p>
    <w:p w14:paraId="3E3B209F" w14:textId="77777777" w:rsidR="00B43C67" w:rsidRPr="00DB253A" w:rsidRDefault="00B43C67" w:rsidP="00B43C67">
      <w:r>
        <w:t xml:space="preserve">Section 67 of the Substance Addiction Act requires complaints made by or on behalf of a </w:t>
      </w:r>
      <w:r w:rsidRPr="00137F63">
        <w:rPr>
          <w:i/>
          <w:iCs/>
        </w:rPr>
        <w:t>patient</w:t>
      </w:r>
      <w:r>
        <w:t xml:space="preserve">, about any breach of a </w:t>
      </w:r>
      <w:r w:rsidRPr="7362CCE2">
        <w:rPr>
          <w:i/>
        </w:rPr>
        <w:t>patient</w:t>
      </w:r>
      <w:r w:rsidRPr="00E428B1">
        <w:t>’s</w:t>
      </w:r>
      <w:r w:rsidRPr="008963C2">
        <w:t xml:space="preserve"> </w:t>
      </w:r>
      <w:r>
        <w:t xml:space="preserve">rights, to be referred to a district inspector for investigation. The district inspector must report the matter to the Area Director, who must take all steps that are necessary to rectify the matter. </w:t>
      </w:r>
    </w:p>
    <w:p w14:paraId="7D5F4BCD" w14:textId="01229158" w:rsidR="00B43C67" w:rsidRDefault="00B43C67" w:rsidP="00C344A2">
      <w:pPr>
        <w:pStyle w:val="Heading3-numbered"/>
      </w:pPr>
      <w:r>
        <w:t xml:space="preserve">Complaint procedures under the </w:t>
      </w:r>
      <w:r w:rsidR="00E27AEB">
        <w:t>Intellectual Disability Act</w:t>
      </w:r>
      <w:r>
        <w:t xml:space="preserve"> </w:t>
      </w:r>
    </w:p>
    <w:p w14:paraId="4BEBE1B8" w14:textId="60D5F4B3" w:rsidR="00B43C67" w:rsidRDefault="00B43C67" w:rsidP="00B43C67">
      <w:r>
        <w:t xml:space="preserve">A </w:t>
      </w:r>
      <w:r w:rsidRPr="00E4CEBB">
        <w:rPr>
          <w:i/>
          <w:iCs/>
        </w:rPr>
        <w:t>care recipient</w:t>
      </w:r>
      <w:r>
        <w:t xml:space="preserve">, or any other </w:t>
      </w:r>
      <w:r w:rsidRPr="006D677E">
        <w:t xml:space="preserve">person on behalf of the </w:t>
      </w:r>
      <w:r w:rsidRPr="00855D1D">
        <w:rPr>
          <w:i/>
          <w:iCs/>
        </w:rPr>
        <w:t>care recipient</w:t>
      </w:r>
      <w:r>
        <w:t>,</w:t>
      </w:r>
      <w:r w:rsidRPr="006D677E">
        <w:t xml:space="preserve"> may complain </w:t>
      </w:r>
      <w:r>
        <w:t xml:space="preserve">to a district inspector about a breach of the </w:t>
      </w:r>
      <w:r w:rsidRPr="00E4CEBB">
        <w:rPr>
          <w:i/>
          <w:iCs/>
        </w:rPr>
        <w:t>care recipient</w:t>
      </w:r>
      <w:r>
        <w:t xml:space="preserve">’s rights under section 97 or section 98 of the </w:t>
      </w:r>
      <w:r w:rsidR="00E27AEB">
        <w:t>Intellectual Disability Act</w:t>
      </w:r>
      <w:r>
        <w:t xml:space="preserve">. A care manager or Care Coordinator who receives a complaint about a breach of the </w:t>
      </w:r>
      <w:r w:rsidRPr="00E4CEBB">
        <w:rPr>
          <w:i/>
          <w:iCs/>
        </w:rPr>
        <w:t>care recipient</w:t>
      </w:r>
      <w:r w:rsidRPr="00E428B1">
        <w:t>’s</w:t>
      </w:r>
      <w:r w:rsidRPr="008C7870">
        <w:t xml:space="preserve"> </w:t>
      </w:r>
      <w:r>
        <w:t xml:space="preserve">rights under the </w:t>
      </w:r>
      <w:r w:rsidR="00E27AEB">
        <w:t>Intellectual Disability Act</w:t>
      </w:r>
      <w:r>
        <w:t xml:space="preserve"> must refer the complaint to the district inspector.</w:t>
      </w:r>
    </w:p>
    <w:p w14:paraId="0CF5ED23" w14:textId="77777777" w:rsidR="00572C03" w:rsidRPr="00DB253A" w:rsidRDefault="00572C03" w:rsidP="00B43C67"/>
    <w:p w14:paraId="333F3F90" w14:textId="6A5A9B80" w:rsidR="00B43C67" w:rsidRDefault="00B43C67" w:rsidP="00B43C67">
      <w:pPr>
        <w:rPr>
          <w:rFonts w:eastAsia="Segoe UI" w:cs="Segoe UI"/>
          <w:color w:val="000000" w:themeColor="text1"/>
        </w:rPr>
      </w:pPr>
      <w:r w:rsidRPr="42BA5976">
        <w:rPr>
          <w:rFonts w:eastAsia="Segoe UI" w:cs="Segoe UI"/>
          <w:color w:val="000000" w:themeColor="text1"/>
        </w:rPr>
        <w:t xml:space="preserve">It is important to note that if a complaint is made or referred to the district inspector under section 97 and is related to a breach of rights under </w:t>
      </w:r>
      <w:r>
        <w:rPr>
          <w:rFonts w:eastAsia="Segoe UI" w:cs="Segoe UI"/>
          <w:color w:val="000000" w:themeColor="text1"/>
        </w:rPr>
        <w:t>P</w:t>
      </w:r>
      <w:r w:rsidRPr="42BA5976">
        <w:rPr>
          <w:rFonts w:eastAsia="Segoe UI" w:cs="Segoe UI"/>
          <w:color w:val="000000" w:themeColor="text1"/>
        </w:rPr>
        <w:t>art 5</w:t>
      </w:r>
      <w:r>
        <w:rPr>
          <w:rFonts w:eastAsia="Segoe UI" w:cs="Segoe UI"/>
          <w:color w:val="000000" w:themeColor="text1"/>
        </w:rPr>
        <w:t>,</w:t>
      </w:r>
      <w:r w:rsidRPr="42BA5976">
        <w:rPr>
          <w:rFonts w:eastAsia="Segoe UI" w:cs="Segoe UI"/>
          <w:color w:val="000000" w:themeColor="text1"/>
        </w:rPr>
        <w:t xml:space="preserve"> sections 49 to 57, of the </w:t>
      </w:r>
      <w:r w:rsidR="00E27AEB">
        <w:rPr>
          <w:rFonts w:eastAsia="Segoe UI" w:cs="Segoe UI"/>
          <w:color w:val="000000" w:themeColor="text1"/>
        </w:rPr>
        <w:t>Intellectual Disability Act</w:t>
      </w:r>
      <w:r>
        <w:rPr>
          <w:rFonts w:eastAsia="Segoe UI" w:cs="Segoe UI"/>
          <w:color w:val="000000" w:themeColor="text1"/>
        </w:rPr>
        <w:t>,</w:t>
      </w:r>
      <w:r w:rsidRPr="42BA5976">
        <w:rPr>
          <w:rFonts w:eastAsia="Segoe UI" w:cs="Segoe UI"/>
          <w:color w:val="000000" w:themeColor="text1"/>
        </w:rPr>
        <w:t xml:space="preserve"> the district inspector must investigate the complaint under section 98 of the </w:t>
      </w:r>
      <w:r w:rsidR="00E27AEB">
        <w:rPr>
          <w:rFonts w:eastAsia="Segoe UI" w:cs="Segoe UI"/>
          <w:color w:val="000000" w:themeColor="text1"/>
        </w:rPr>
        <w:t>Intellectual Disability Act</w:t>
      </w:r>
      <w:r w:rsidRPr="42BA5976">
        <w:rPr>
          <w:rFonts w:eastAsia="Segoe UI" w:cs="Segoe UI"/>
          <w:color w:val="000000" w:themeColor="text1"/>
        </w:rPr>
        <w:t>.</w:t>
      </w:r>
    </w:p>
    <w:p w14:paraId="2C9A9132" w14:textId="77777777" w:rsidR="00572C03" w:rsidRDefault="00572C03" w:rsidP="00B43C67">
      <w:pPr>
        <w:rPr>
          <w:rFonts w:eastAsia="Segoe UI" w:cs="Segoe UI"/>
          <w:color w:val="000000" w:themeColor="text1"/>
        </w:rPr>
      </w:pPr>
    </w:p>
    <w:p w14:paraId="1C764A7C" w14:textId="310C808D" w:rsidR="00B43C67" w:rsidRDefault="00B43C67" w:rsidP="00B43C67">
      <w:pPr>
        <w:rPr>
          <w:rFonts w:eastAsiaTheme="majorEastAsia"/>
        </w:rPr>
      </w:pPr>
      <w:r>
        <w:rPr>
          <w:rFonts w:eastAsia="Segoe UI" w:cs="Segoe UI"/>
          <w:color w:val="000000" w:themeColor="text1"/>
        </w:rPr>
        <w:t xml:space="preserve">If the investigation under section 98 of the </w:t>
      </w:r>
      <w:r w:rsidR="00E27AEB">
        <w:rPr>
          <w:rFonts w:eastAsia="Segoe UI" w:cs="Segoe UI"/>
          <w:color w:val="000000" w:themeColor="text1"/>
        </w:rPr>
        <w:t>Intellectual Disability Act</w:t>
      </w:r>
      <w:r>
        <w:rPr>
          <w:rFonts w:eastAsia="Segoe UI" w:cs="Segoe UI"/>
          <w:color w:val="000000" w:themeColor="text1"/>
        </w:rPr>
        <w:t xml:space="preserve"> </w:t>
      </w:r>
      <w:r w:rsidRPr="00D945A4">
        <w:rPr>
          <w:rFonts w:eastAsia="Segoe UI" w:cs="Segoe UI"/>
          <w:color w:val="000000" w:themeColor="text1"/>
        </w:rPr>
        <w:t>concerns a breach of a right under the Code of Rights</w:t>
      </w:r>
      <w:r>
        <w:rPr>
          <w:rFonts w:eastAsia="Segoe UI" w:cs="Segoe UI"/>
          <w:color w:val="000000" w:themeColor="text1"/>
        </w:rPr>
        <w:t>, t</w:t>
      </w:r>
      <w:r w:rsidRPr="00D945A4">
        <w:rPr>
          <w:rFonts w:eastAsia="Segoe UI" w:cs="Segoe UI"/>
          <w:color w:val="000000" w:themeColor="text1"/>
        </w:rPr>
        <w:t>he responsible district inspector must notify the Health and Disability Commissioner under the Health and Disability Commissioner Act 1994</w:t>
      </w:r>
      <w:r>
        <w:rPr>
          <w:rFonts w:eastAsia="Segoe UI" w:cs="Segoe UI"/>
          <w:color w:val="000000" w:themeColor="text1"/>
        </w:rPr>
        <w:t>.</w:t>
      </w:r>
      <w:r w:rsidRPr="00D945A4">
        <w:rPr>
          <w:rFonts w:eastAsia="Segoe UI" w:cs="Segoe UI"/>
          <w:color w:val="000000" w:themeColor="text1"/>
        </w:rPr>
        <w:t xml:space="preserve"> </w:t>
      </w:r>
    </w:p>
    <w:p w14:paraId="0114425B" w14:textId="77777777" w:rsidR="00B43C67" w:rsidRDefault="00B43C67" w:rsidP="00191D52">
      <w:pPr>
        <w:pStyle w:val="Heading2-numbered"/>
      </w:pPr>
      <w:bookmarkStart w:id="37" w:name="_Toc200199231"/>
      <w:bookmarkStart w:id="38" w:name="_Toc207353873"/>
      <w:r>
        <w:t>Conducting complaint investigations and inquiries</w:t>
      </w:r>
      <w:bookmarkEnd w:id="37"/>
      <w:bookmarkEnd w:id="38"/>
      <w:r>
        <w:t xml:space="preserve"> </w:t>
      </w:r>
    </w:p>
    <w:p w14:paraId="01423F3B" w14:textId="1CC77BB7" w:rsidR="00B43C67" w:rsidRDefault="00B43C67" w:rsidP="00B43C67">
      <w:r w:rsidRPr="00102539">
        <w:t xml:space="preserve">District </w:t>
      </w:r>
      <w:r>
        <w:t>inspector</w:t>
      </w:r>
      <w:r w:rsidRPr="00102539">
        <w:t xml:space="preserve"> investigations provide a complaints resolution process to allow dissatisfied </w:t>
      </w:r>
      <w:r w:rsidRPr="7362CCE2">
        <w:rPr>
          <w:i/>
        </w:rPr>
        <w:t>patients</w:t>
      </w:r>
      <w:r w:rsidRPr="00102539">
        <w:t xml:space="preserve"> </w:t>
      </w:r>
      <w:r>
        <w:t xml:space="preserve">or </w:t>
      </w:r>
      <w:r w:rsidRPr="00A25C01">
        <w:rPr>
          <w:i/>
          <w:iCs/>
        </w:rPr>
        <w:t>care recipient</w:t>
      </w:r>
      <w:r>
        <w:t xml:space="preserve">s </w:t>
      </w:r>
      <w:r w:rsidRPr="00102539">
        <w:t xml:space="preserve">to address concerns about their treatment </w:t>
      </w:r>
      <w:r>
        <w:t>and care</w:t>
      </w:r>
      <w:r w:rsidRPr="00102539">
        <w:t xml:space="preserve"> under the</w:t>
      </w:r>
      <w:r>
        <w:t xml:space="preserve"> three Acts outlined in these guidelines.</w:t>
      </w:r>
      <w:r w:rsidR="008214EF">
        <w:t xml:space="preserve"> </w:t>
      </w:r>
    </w:p>
    <w:p w14:paraId="45EA200E" w14:textId="77777777" w:rsidR="00572C03" w:rsidRPr="00784C8D" w:rsidRDefault="00572C03" w:rsidP="00B43C67"/>
    <w:p w14:paraId="65806751" w14:textId="41DC971F" w:rsidR="00B43C67" w:rsidRDefault="00B43C67" w:rsidP="00B43C67">
      <w:r>
        <w:t xml:space="preserve">District inspectors additionally assist the process of quality improvement at an individual service level through their investigations. This is accomplished by their role in investigating and resolving complaints regarding breaches to </w:t>
      </w:r>
      <w:r w:rsidRPr="00A25C01">
        <w:rPr>
          <w:i/>
          <w:iCs/>
        </w:rPr>
        <w:t>patient</w:t>
      </w:r>
      <w:r>
        <w:t xml:space="preserve"> or </w:t>
      </w:r>
      <w:r w:rsidRPr="00A25C01">
        <w:rPr>
          <w:i/>
          <w:iCs/>
        </w:rPr>
        <w:t>care recipient</w:t>
      </w:r>
      <w:r>
        <w:t xml:space="preserve"> rights. S</w:t>
      </w:r>
      <w:r w:rsidRPr="00102539">
        <w:t xml:space="preserve">ervices </w:t>
      </w:r>
      <w:r>
        <w:t>should use</w:t>
      </w:r>
      <w:r w:rsidRPr="00102539">
        <w:t xml:space="preserve"> the process and recommendations of </w:t>
      </w:r>
      <w:r>
        <w:t>d</w:t>
      </w:r>
      <w:r w:rsidRPr="00102539">
        <w:t xml:space="preserve">istrict </w:t>
      </w:r>
      <w:r>
        <w:t>inspector</w:t>
      </w:r>
      <w:r w:rsidRPr="00102539">
        <w:t xml:space="preserve"> reports to bring about positive changes in their service configuration and staff attitudes.</w:t>
      </w:r>
      <w:r>
        <w:t xml:space="preserve"> </w:t>
      </w:r>
    </w:p>
    <w:p w14:paraId="469E5887" w14:textId="77777777" w:rsidR="00572C03" w:rsidRDefault="00572C03" w:rsidP="00B43C67"/>
    <w:p w14:paraId="0A086C33" w14:textId="43B70BD5" w:rsidR="00B43C67" w:rsidRDefault="00B43C67" w:rsidP="00B43C67">
      <w:r>
        <w:t xml:space="preserve">As part of a </w:t>
      </w:r>
      <w:r w:rsidRPr="516C99AA">
        <w:t>district inspector</w:t>
      </w:r>
      <w:r>
        <w:t>’s response to all complaints, they</w:t>
      </w:r>
      <w:r w:rsidRPr="516C99AA">
        <w:t xml:space="preserve"> </w:t>
      </w:r>
      <w:r>
        <w:t>are</w:t>
      </w:r>
      <w:r w:rsidRPr="516C99AA">
        <w:t xml:space="preserve"> required to talk with the </w:t>
      </w:r>
      <w:r w:rsidRPr="516C99AA">
        <w:rPr>
          <w:i/>
          <w:iCs/>
        </w:rPr>
        <w:t>patient</w:t>
      </w:r>
      <w:r>
        <w:rPr>
          <w:i/>
          <w:iCs/>
        </w:rPr>
        <w:t xml:space="preserve"> </w:t>
      </w:r>
      <w:r w:rsidRPr="00ED0991">
        <w:t>or</w:t>
      </w:r>
      <w:r>
        <w:rPr>
          <w:i/>
          <w:iCs/>
        </w:rPr>
        <w:t xml:space="preserve"> care recipient</w:t>
      </w:r>
      <w:r w:rsidRPr="516C99AA">
        <w:t xml:space="preserve">, the complainant (if this is not the </w:t>
      </w:r>
      <w:r w:rsidRPr="516C99AA">
        <w:rPr>
          <w:i/>
          <w:iCs/>
        </w:rPr>
        <w:t>patient</w:t>
      </w:r>
      <w:r w:rsidRPr="516C99AA">
        <w:t xml:space="preserve"> but someone making a complaint on the </w:t>
      </w:r>
      <w:r w:rsidRPr="516C99AA">
        <w:rPr>
          <w:i/>
          <w:iCs/>
        </w:rPr>
        <w:t>patient</w:t>
      </w:r>
      <w:r>
        <w:t>’s</w:t>
      </w:r>
      <w:r w:rsidRPr="516C99AA">
        <w:t xml:space="preserve"> behalf) and everyone else involved in the case</w:t>
      </w:r>
      <w:r>
        <w:t xml:space="preserve"> (including family and wh</w:t>
      </w:r>
      <w:r w:rsidRPr="000C4136">
        <w:t>ā</w:t>
      </w:r>
      <w:r>
        <w:t>nau if appropriate)</w:t>
      </w:r>
      <w:r w:rsidRPr="516C99AA">
        <w:t>, and to generally investigate the matter.</w:t>
      </w:r>
      <w:r>
        <w:t xml:space="preserve"> </w:t>
      </w:r>
      <w:r w:rsidRPr="516C99AA">
        <w:t xml:space="preserve">If the district inspector is satisfied that the complaint has substance, they must </w:t>
      </w:r>
      <w:r>
        <w:t xml:space="preserve">investigate the matter and </w:t>
      </w:r>
      <w:r w:rsidRPr="516C99AA">
        <w:t xml:space="preserve">report </w:t>
      </w:r>
      <w:r>
        <w:t xml:space="preserve">to the service </w:t>
      </w:r>
      <w:r w:rsidRPr="516C99AA">
        <w:t>with recommendations as the district inspector thinks fit.</w:t>
      </w:r>
    </w:p>
    <w:p w14:paraId="604DCD95" w14:textId="77777777" w:rsidR="00572C03" w:rsidRPr="00ED0991" w:rsidRDefault="00572C03" w:rsidP="00B43C67"/>
    <w:p w14:paraId="002B9CA0" w14:textId="23D4B9DA" w:rsidR="00B43C67" w:rsidRDefault="00B43C67" w:rsidP="00B43C67">
      <w:r>
        <w:t xml:space="preserve">It is important that during engagement with </w:t>
      </w:r>
      <w:r w:rsidRPr="516C99AA">
        <w:rPr>
          <w:i/>
          <w:iCs/>
        </w:rPr>
        <w:t>patient</w:t>
      </w:r>
      <w:r>
        <w:rPr>
          <w:i/>
          <w:iCs/>
        </w:rPr>
        <w:t>s, care recipients</w:t>
      </w:r>
      <w:r>
        <w:t xml:space="preserve"> or family and </w:t>
      </w:r>
      <w:r w:rsidRPr="000C4136">
        <w:t>whānau</w:t>
      </w:r>
      <w:r>
        <w:t xml:space="preserve">, district inspectors follow the requirements and principles of natural justice. This includes taking a person-centred approach that enables fair treatment and respect, and that all decisions regarding a person’s rights are made using legitimate and unprejudicial processes. </w:t>
      </w:r>
    </w:p>
    <w:p w14:paraId="32EAA92D" w14:textId="77777777" w:rsidR="00572C03" w:rsidRPr="00654847" w:rsidRDefault="00572C03" w:rsidP="00B43C67"/>
    <w:p w14:paraId="24244D2A" w14:textId="6F68FA0A" w:rsidR="00B43C67" w:rsidRDefault="00B43C67" w:rsidP="00B43C67">
      <w:pPr>
        <w:rPr>
          <w:rFonts w:cs="Segoe UI"/>
          <w:szCs w:val="21"/>
        </w:rPr>
      </w:pPr>
      <w:r>
        <w:t xml:space="preserve">District inspectors additionally have relevant investigation and inquiry powers under the Inquiries Act 2013. When undertaking investigation and inquiry procedures, district inspectors must comply with the Health Information Privacy Code requirements pertaining to gathering and sharing of health information. Complaints made on behalf of the patient require careful consideration as to whether there has been consent to share health information with the complainant. Further up-to-date information regarding these requirements is accessible through the Privacy Commissioner’s </w:t>
      </w:r>
      <w:r w:rsidRPr="00E428B1">
        <w:t>website</w:t>
      </w:r>
      <w:r>
        <w:t xml:space="preserve"> </w:t>
      </w:r>
      <w:r w:rsidRPr="005A38FA">
        <w:rPr>
          <w:rFonts w:cs="Segoe UI"/>
          <w:szCs w:val="21"/>
        </w:rPr>
        <w:t>(</w:t>
      </w:r>
      <w:hyperlink r:id="rId30" w:history="1">
        <w:r w:rsidRPr="00572C03">
          <w:rPr>
            <w:rStyle w:val="Hyperlink"/>
          </w:rPr>
          <w:t>https://www.privacy.org.nz/your-rights/making-a-complaint-to-the-privacy-commissioner/</w:t>
        </w:r>
      </w:hyperlink>
      <w:r w:rsidRPr="005A38FA">
        <w:rPr>
          <w:rFonts w:cs="Segoe UI"/>
          <w:szCs w:val="21"/>
        </w:rPr>
        <w:t xml:space="preserve">). </w:t>
      </w:r>
    </w:p>
    <w:p w14:paraId="294D318B" w14:textId="77777777" w:rsidR="00572C03" w:rsidRDefault="00572C03" w:rsidP="00B43C67"/>
    <w:p w14:paraId="1FB11017" w14:textId="77777777" w:rsidR="00B43C67" w:rsidRDefault="00B43C67" w:rsidP="00B43C67">
      <w:r w:rsidRPr="008A1D1F">
        <w:t>In</w:t>
      </w:r>
      <w:r>
        <w:t xml:space="preserve"> addition, in</w:t>
      </w:r>
      <w:r w:rsidRPr="008A1D1F">
        <w:t xml:space="preserve"> the course of investigating a</w:t>
      </w:r>
      <w:r>
        <w:t xml:space="preserve"> </w:t>
      </w:r>
      <w:r w:rsidRPr="008A1D1F">
        <w:t xml:space="preserve">complaint, </w:t>
      </w:r>
      <w:r>
        <w:t>a district inspector</w:t>
      </w:r>
      <w:r w:rsidRPr="008A1D1F">
        <w:t xml:space="preserve"> may give consideration to other</w:t>
      </w:r>
      <w:r>
        <w:t xml:space="preserve"> relevant</w:t>
      </w:r>
      <w:r w:rsidRPr="008A1D1F">
        <w:t xml:space="preserve"> legislation </w:t>
      </w:r>
      <w:r>
        <w:t>(eg, the</w:t>
      </w:r>
      <w:r w:rsidRPr="008A1D1F">
        <w:t xml:space="preserve"> New Zealand Bill of Rights Act 1990</w:t>
      </w:r>
      <w:r>
        <w:t>).</w:t>
      </w:r>
    </w:p>
    <w:p w14:paraId="66C2FD52" w14:textId="77777777" w:rsidR="00B43C67" w:rsidRDefault="00B43C67" w:rsidP="00C344A2">
      <w:pPr>
        <w:pStyle w:val="Heading3-numbered"/>
        <w:rPr>
          <w:lang w:eastAsia="en-NZ"/>
        </w:rPr>
      </w:pPr>
      <w:r w:rsidRPr="005A38FA">
        <w:rPr>
          <w:lang w:eastAsia="en-NZ"/>
        </w:rPr>
        <w:t>Incidental Findings</w:t>
      </w:r>
    </w:p>
    <w:p w14:paraId="617D311E" w14:textId="77777777" w:rsidR="00B43C67" w:rsidRPr="00E428B1" w:rsidRDefault="00B43C67" w:rsidP="00B43C67">
      <w:pPr>
        <w:pStyle w:val="Heading3-nonumbering"/>
        <w:rPr>
          <w:sz w:val="21"/>
        </w:rPr>
      </w:pPr>
      <w:r w:rsidRPr="00E428B1">
        <w:rPr>
          <w:color w:val="auto"/>
          <w:spacing w:val="0"/>
          <w:sz w:val="21"/>
        </w:rPr>
        <w:t xml:space="preserve">From time to time in the course of an investigation a district inspector may receive a complaint that is out of scope of the three acts requiring different actions. </w:t>
      </w:r>
    </w:p>
    <w:p w14:paraId="1AD22F2E" w14:textId="77777777" w:rsidR="00B43C67" w:rsidRPr="003644D9" w:rsidRDefault="00B43C67" w:rsidP="00B43C67">
      <w:pPr>
        <w:pStyle w:val="Heading4"/>
      </w:pPr>
      <w:r w:rsidRPr="003644D9">
        <w:t>Complaints regarding possible criminal activity</w:t>
      </w:r>
    </w:p>
    <w:p w14:paraId="0C68C50A" w14:textId="77777777" w:rsidR="00B43C67" w:rsidRPr="009C64E4" w:rsidRDefault="00B43C67" w:rsidP="00B43C67">
      <w:r w:rsidRPr="009C64E4">
        <w:t xml:space="preserve">If a </w:t>
      </w:r>
      <w:r>
        <w:t>d</w:t>
      </w:r>
      <w:r w:rsidRPr="009C64E4">
        <w:t xml:space="preserve">istrict inspector receives a complaint of possible criminal activity, such as an assault by a staff member, during an inspection or investigation, the district inspector should advise the </w:t>
      </w:r>
      <w:r>
        <w:t>person in charge of the hospital o</w:t>
      </w:r>
      <w:r w:rsidRPr="009C64E4">
        <w:t xml:space="preserve">r service immediately, with consideration being given to the matter being reported to </w:t>
      </w:r>
      <w:r>
        <w:t xml:space="preserve">the </w:t>
      </w:r>
      <w:r w:rsidRPr="009C64E4">
        <w:t>Police. It is important in cases of serious allegations that the district inspector does not conduct an investigation that may impair a full and proper Police investigation.</w:t>
      </w:r>
      <w:r w:rsidRPr="005F1C6E">
        <w:t xml:space="preserve"> In such a case</w:t>
      </w:r>
      <w:r>
        <w:t>,</w:t>
      </w:r>
      <w:r w:rsidRPr="005F1C6E">
        <w:t xml:space="preserve"> the district inspector should ensure that the matter is brought to the attention of </w:t>
      </w:r>
      <w:r>
        <w:t xml:space="preserve">the </w:t>
      </w:r>
      <w:r w:rsidRPr="005F1C6E">
        <w:lastRenderedPageBreak/>
        <w:t xml:space="preserve">Police, and that arrangements are made for a patient to make a statement to </w:t>
      </w:r>
      <w:r>
        <w:t xml:space="preserve">the </w:t>
      </w:r>
      <w:r w:rsidRPr="005F1C6E">
        <w:t>Police</w:t>
      </w:r>
      <w:r>
        <w:t xml:space="preserve">. It is additionally important for a district inspector to check whether a patient has access to a lawyer in this situation. </w:t>
      </w:r>
    </w:p>
    <w:p w14:paraId="2A5BD57E" w14:textId="77777777" w:rsidR="00B43C67" w:rsidRPr="003644D9" w:rsidDel="008C667E" w:rsidRDefault="00B43C67" w:rsidP="00B43C67">
      <w:pPr>
        <w:pStyle w:val="Heading4"/>
      </w:pPr>
      <w:r w:rsidRPr="003644D9">
        <w:t>Complaints regarding inappropriate medical treatment</w:t>
      </w:r>
    </w:p>
    <w:p w14:paraId="201A19D8" w14:textId="04B8B4AC" w:rsidR="00B43C67" w:rsidRDefault="00B43C67" w:rsidP="00B43C67">
      <w:r w:rsidRPr="516C99AA">
        <w:t xml:space="preserve">If a complaint </w:t>
      </w:r>
      <w:r>
        <w:t>regarding</w:t>
      </w:r>
      <w:r w:rsidRPr="516C99AA">
        <w:t xml:space="preserve"> inappropriate medical treatment</w:t>
      </w:r>
      <w:r>
        <w:t xml:space="preserve"> is raised</w:t>
      </w:r>
      <w:r w:rsidRPr="516C99AA">
        <w:t>, the district inspector should discuss this with the DAMHS</w:t>
      </w:r>
      <w:r>
        <w:t>, Area Director or care manager</w:t>
      </w:r>
      <w:r w:rsidRPr="516C99AA">
        <w:t xml:space="preserve"> before proceeding. In some cases, it may be necessary to </w:t>
      </w:r>
      <w:r>
        <w:t>seek</w:t>
      </w:r>
      <w:r w:rsidRPr="516C99AA">
        <w:t xml:space="preserve"> a</w:t>
      </w:r>
      <w:r>
        <w:t>n</w:t>
      </w:r>
      <w:r w:rsidRPr="516C99AA">
        <w:t xml:space="preserve"> </w:t>
      </w:r>
      <w:r>
        <w:t xml:space="preserve">independent </w:t>
      </w:r>
      <w:r w:rsidRPr="516C99AA">
        <w:t xml:space="preserve">mental health professional </w:t>
      </w:r>
      <w:r>
        <w:t>opinion to support</w:t>
      </w:r>
      <w:r w:rsidRPr="516C99AA">
        <w:t xml:space="preserve"> the district inspector to ensure that practices are critiqued from a position of clinical knowledge.</w:t>
      </w:r>
      <w:r>
        <w:t xml:space="preserve"> </w:t>
      </w:r>
    </w:p>
    <w:p w14:paraId="3CF7EBBF" w14:textId="77777777" w:rsidR="00F84CB5" w:rsidRDefault="00F84CB5" w:rsidP="00B43C67"/>
    <w:p w14:paraId="6D128505" w14:textId="13290385" w:rsidR="00572C03" w:rsidRDefault="00B43C67" w:rsidP="00572C03">
      <w:r w:rsidRPr="00FE1A71">
        <w:t xml:space="preserve">If the complaint relates to a breach of specific rights under the Code of Rights, </w:t>
      </w:r>
      <w:r>
        <w:t>the appropriate procedure is to refer</w:t>
      </w:r>
      <w:r w:rsidRPr="00FE1A71">
        <w:t xml:space="preserve"> to the Health and Disability Commissioner to assess.</w:t>
      </w:r>
      <w:r w:rsidR="008214EF">
        <w:t xml:space="preserve"> </w:t>
      </w:r>
      <w:r w:rsidRPr="00FE1A71">
        <w:t xml:space="preserve">The district inspector should explain this to the complainant, who can then make the decision as to whether to complain to the Health and Disability Commissioner. The Health and Disability Commissioner has a free and independent advocacy service that can support the complainant, should the complainant wish to use it. </w:t>
      </w:r>
    </w:p>
    <w:p w14:paraId="1F47B87C" w14:textId="7F23ED50" w:rsidR="00195D85" w:rsidRDefault="00086234" w:rsidP="00572C03">
      <w:r>
        <w:br w:type="page"/>
      </w:r>
    </w:p>
    <w:p w14:paraId="05096E8A" w14:textId="5FCE78F7" w:rsidR="00B43C67" w:rsidRPr="007F69D8" w:rsidRDefault="00B43C67" w:rsidP="00C344A2">
      <w:pPr>
        <w:pStyle w:val="Heading3-numbered"/>
      </w:pPr>
      <w:bookmarkStart w:id="39" w:name="_Ref139878403"/>
      <w:r>
        <w:lastRenderedPageBreak/>
        <w:t>Section 75 investigations under the Mental Health Act</w:t>
      </w:r>
      <w:bookmarkEnd w:id="39"/>
      <w:r w:rsidR="008214EF">
        <w:t xml:space="preserve"> </w:t>
      </w:r>
    </w:p>
    <w:p w14:paraId="55E247F3" w14:textId="73561B63" w:rsidR="00B43C67" w:rsidRDefault="00B43C67" w:rsidP="00B43C67">
      <w:r w:rsidRPr="009E5B99">
        <w:t xml:space="preserve">Under section 75 of the Mental Health Act, a district inspector may investigate complaints regarding breaches of </w:t>
      </w:r>
      <w:r w:rsidRPr="009E5B99">
        <w:rPr>
          <w:i/>
          <w:iCs/>
        </w:rPr>
        <w:t>patients</w:t>
      </w:r>
      <w:r w:rsidRPr="009E5B99">
        <w:t>’ rights, report on that investigation and make recommendations to the DAMHS.</w:t>
      </w:r>
    </w:p>
    <w:p w14:paraId="4965AD56" w14:textId="77777777" w:rsidR="00572C03" w:rsidRPr="009E5B99" w:rsidRDefault="00572C03" w:rsidP="00B43C67"/>
    <w:p w14:paraId="64EF085F" w14:textId="14CD5C2D" w:rsidR="00B43C67" w:rsidRDefault="00B43C67" w:rsidP="00B43C67">
      <w:r w:rsidRPr="009C64E4">
        <w:t xml:space="preserve">The rights of </w:t>
      </w:r>
      <w:r w:rsidRPr="7362CCE2">
        <w:rPr>
          <w:i/>
        </w:rPr>
        <w:t>patients</w:t>
      </w:r>
      <w:r w:rsidRPr="009C64E4">
        <w:t xml:space="preserve"> are specified and particularised in Part 6 of the </w:t>
      </w:r>
      <w:r>
        <w:t>Mental Health</w:t>
      </w:r>
      <w:r w:rsidRPr="009C64E4">
        <w:t xml:space="preserve"> Act. General rights to information are outlined in section 64</w:t>
      </w:r>
      <w:r>
        <w:t>,</w:t>
      </w:r>
      <w:r w:rsidRPr="009C64E4">
        <w:t xml:space="preserve"> and specific rights are set out in sections 65 to 74 of the M</w:t>
      </w:r>
      <w:r>
        <w:t>ental Health</w:t>
      </w:r>
      <w:r w:rsidRPr="009C64E4">
        <w:t xml:space="preserve"> Act. Complaints regarding breaches of these rights may be made by </w:t>
      </w:r>
      <w:r w:rsidRPr="7362CCE2">
        <w:rPr>
          <w:i/>
        </w:rPr>
        <w:t>patients</w:t>
      </w:r>
      <w:r w:rsidRPr="009C64E4">
        <w:t xml:space="preserve"> themselves or</w:t>
      </w:r>
      <w:r>
        <w:t xml:space="preserve"> by</w:t>
      </w:r>
      <w:r w:rsidRPr="009C64E4">
        <w:t xml:space="preserve"> certain other people acting on their behalf.</w:t>
      </w:r>
      <w:r w:rsidR="008214EF">
        <w:t xml:space="preserve"> </w:t>
      </w:r>
    </w:p>
    <w:p w14:paraId="095EBCCE" w14:textId="77777777" w:rsidR="00572C03" w:rsidRPr="009C64E4" w:rsidRDefault="00572C03" w:rsidP="00B43C67"/>
    <w:p w14:paraId="41210F36" w14:textId="127DE6B5" w:rsidR="00B43C67" w:rsidRDefault="00B43C67" w:rsidP="00B43C67">
      <w:r w:rsidRPr="009C64E4">
        <w:t xml:space="preserve">Section 75 investigations are </w:t>
      </w:r>
      <w:r w:rsidRPr="4801DE6A">
        <w:t>an important</w:t>
      </w:r>
      <w:r w:rsidRPr="009C64E4">
        <w:t xml:space="preserve"> part of a </w:t>
      </w:r>
      <w:r>
        <w:t>d</w:t>
      </w:r>
      <w:r w:rsidRPr="009C64E4">
        <w:t>istrict inspector’s work</w:t>
      </w:r>
      <w:r>
        <w:t xml:space="preserve">. </w:t>
      </w:r>
      <w:r w:rsidRPr="009C64E4">
        <w:t xml:space="preserve">If a complaint is made by or on behalf of a </w:t>
      </w:r>
      <w:r w:rsidRPr="7362CCE2">
        <w:rPr>
          <w:i/>
        </w:rPr>
        <w:t>patient</w:t>
      </w:r>
      <w:r w:rsidRPr="009C64E4">
        <w:t xml:space="preserve"> whose rights</w:t>
      </w:r>
      <w:r>
        <w:t xml:space="preserve"> as</w:t>
      </w:r>
      <w:r w:rsidRPr="009C64E4">
        <w:t xml:space="preserve"> set out in Part 6 of the</w:t>
      </w:r>
      <w:r>
        <w:t xml:space="preserve"> Mental Health</w:t>
      </w:r>
      <w:r w:rsidRPr="009C64E4">
        <w:t xml:space="preserve"> Act have been breached</w:t>
      </w:r>
      <w:r>
        <w:t xml:space="preserve"> or denied in some way</w:t>
      </w:r>
      <w:r w:rsidRPr="009C64E4">
        <w:t xml:space="preserve">, </w:t>
      </w:r>
      <w:r>
        <w:t xml:space="preserve">the matter shall be referred to </w:t>
      </w:r>
      <w:r w:rsidRPr="009C64E4">
        <w:t xml:space="preserve">a </w:t>
      </w:r>
      <w:r>
        <w:t>d</w:t>
      </w:r>
      <w:r w:rsidRPr="009C64E4">
        <w:t xml:space="preserve">istrict inspector </w:t>
      </w:r>
      <w:r>
        <w:t xml:space="preserve">for investigation under </w:t>
      </w:r>
      <w:r w:rsidRPr="009C64E4">
        <w:t>section 75 of the M</w:t>
      </w:r>
      <w:r>
        <w:t>ental Health</w:t>
      </w:r>
      <w:r w:rsidRPr="009C64E4">
        <w:t xml:space="preserve"> Act. For example, a </w:t>
      </w:r>
      <w:r>
        <w:t>d</w:t>
      </w:r>
      <w:r w:rsidRPr="009C64E4">
        <w:t xml:space="preserve">istrict inspector shall investigate if a </w:t>
      </w:r>
      <w:r w:rsidRPr="7362CCE2">
        <w:rPr>
          <w:i/>
        </w:rPr>
        <w:t>patient</w:t>
      </w:r>
      <w:r w:rsidRPr="009C64E4">
        <w:t xml:space="preserve"> complains that their mail is being withheld by staff. The district inspector must use professional judgement to assess the seriousness and validity of such complaints. </w:t>
      </w:r>
    </w:p>
    <w:p w14:paraId="03086641" w14:textId="77777777" w:rsidR="00572C03" w:rsidRDefault="00572C03" w:rsidP="00B43C67"/>
    <w:p w14:paraId="2C515745" w14:textId="0E1BE03F" w:rsidR="00B43C67" w:rsidRDefault="00B43C67" w:rsidP="00B43C67">
      <w:r>
        <w:t>As part of all</w:t>
      </w:r>
      <w:r w:rsidRPr="516C99AA">
        <w:t xml:space="preserve"> district inspector</w:t>
      </w:r>
      <w:r>
        <w:t>s’ responses to any complaints, they</w:t>
      </w:r>
      <w:r w:rsidRPr="516C99AA">
        <w:t xml:space="preserve"> </w:t>
      </w:r>
      <w:r>
        <w:t>are</w:t>
      </w:r>
      <w:r w:rsidRPr="516C99AA">
        <w:t xml:space="preserve"> required to talk with the </w:t>
      </w:r>
      <w:r w:rsidRPr="516C99AA">
        <w:rPr>
          <w:i/>
          <w:iCs/>
        </w:rPr>
        <w:t>patient</w:t>
      </w:r>
      <w:r w:rsidRPr="516C99AA">
        <w:t>, the complainant</w:t>
      </w:r>
      <w:r>
        <w:t xml:space="preserve"> </w:t>
      </w:r>
      <w:r w:rsidRPr="516C99AA">
        <w:t>and everyone else involved in the case, and to investigate the matter.</w:t>
      </w:r>
      <w:r>
        <w:t xml:space="preserve"> This should be undertaken in a </w:t>
      </w:r>
      <w:r w:rsidRPr="00D9510B">
        <w:t>fair and respectful manner</w:t>
      </w:r>
      <w:r>
        <w:t xml:space="preserve"> that reflects</w:t>
      </w:r>
      <w:r w:rsidRPr="00D9510B">
        <w:t xml:space="preserve"> the</w:t>
      </w:r>
      <w:r>
        <w:t xml:space="preserve"> requirements and</w:t>
      </w:r>
      <w:r w:rsidRPr="00D9510B">
        <w:t xml:space="preserve"> principles of natural justice.</w:t>
      </w:r>
      <w:r w:rsidRPr="516C99AA">
        <w:t xml:space="preserve"> If</w:t>
      </w:r>
      <w:r>
        <w:t>, after following these processes,</w:t>
      </w:r>
      <w:r w:rsidRPr="516C99AA">
        <w:t xml:space="preserve"> the district inspector is satisfied that the complaint has substance, they must report the matter to the DAMHS together with recommendations as the district inspector thinks fit.</w:t>
      </w:r>
      <w:r w:rsidRPr="002B62D1">
        <w:t xml:space="preserve"> </w:t>
      </w:r>
    </w:p>
    <w:p w14:paraId="5E768CE7" w14:textId="77777777" w:rsidR="00F84CB5" w:rsidRPr="009C64E4" w:rsidRDefault="00F84CB5" w:rsidP="00B43C67"/>
    <w:p w14:paraId="478DC4F0" w14:textId="74477D70" w:rsidR="00B43C67" w:rsidRDefault="00B43C67" w:rsidP="00B43C67">
      <w:r w:rsidRPr="516C99AA">
        <w:t xml:space="preserve">Once </w:t>
      </w:r>
      <w:r>
        <w:t xml:space="preserve">a complaint is </w:t>
      </w:r>
      <w:r w:rsidRPr="516C99AA">
        <w:t>referred to the DAMHS under section 75(2) of the Mental Health Act, it is mandatory for the DAMHS to take all steps necessary to rectify the matter.</w:t>
      </w:r>
    </w:p>
    <w:p w14:paraId="75A429DF" w14:textId="77777777" w:rsidR="00572C03" w:rsidRPr="009C64E4" w:rsidRDefault="00572C03" w:rsidP="00B43C67"/>
    <w:p w14:paraId="24C900FB" w14:textId="35E74E6B" w:rsidR="00B43C67" w:rsidRDefault="00B43C67" w:rsidP="00B43C67">
      <w:r w:rsidRPr="009C64E4">
        <w:t xml:space="preserve">The district inspector must inform the </w:t>
      </w:r>
      <w:r w:rsidRPr="7362CCE2">
        <w:rPr>
          <w:i/>
        </w:rPr>
        <w:t>patient</w:t>
      </w:r>
      <w:r w:rsidRPr="009C64E4">
        <w:t xml:space="preserve"> or complainant of the investigation’s findings under section 75(3) of the </w:t>
      </w:r>
      <w:r>
        <w:t xml:space="preserve">Mental Health </w:t>
      </w:r>
      <w:r w:rsidRPr="009C64E4">
        <w:t xml:space="preserve">Act. There is discretion as to how the </w:t>
      </w:r>
      <w:r w:rsidRPr="7362CCE2">
        <w:rPr>
          <w:i/>
        </w:rPr>
        <w:t>patient</w:t>
      </w:r>
      <w:r w:rsidRPr="009C64E4">
        <w:t xml:space="preserve"> or complainant is informed, and at times it will be appropriate to receive clinical advice on the least disruptive way of reporting the findings of an investigation. If the </w:t>
      </w:r>
      <w:r w:rsidRPr="7362CCE2">
        <w:rPr>
          <w:i/>
        </w:rPr>
        <w:t>patient</w:t>
      </w:r>
      <w:r w:rsidRPr="009C64E4">
        <w:t xml:space="preserve"> or complainant is not satisfied with the outcome of the complaint to the </w:t>
      </w:r>
      <w:r>
        <w:t>d</w:t>
      </w:r>
      <w:r w:rsidRPr="009C64E4">
        <w:t xml:space="preserve">istrict inspector, the </w:t>
      </w:r>
      <w:r w:rsidRPr="7362CCE2">
        <w:rPr>
          <w:i/>
        </w:rPr>
        <w:t>patient</w:t>
      </w:r>
      <w:r w:rsidRPr="009C64E4">
        <w:t xml:space="preserve"> or complainant may refer the case to the MHRT for further investigation (</w:t>
      </w:r>
      <w:r>
        <w:t xml:space="preserve">as per </w:t>
      </w:r>
      <w:r w:rsidRPr="009C64E4">
        <w:t>section 75(4) of the M</w:t>
      </w:r>
      <w:r>
        <w:t>ental Health</w:t>
      </w:r>
      <w:r w:rsidRPr="009C64E4">
        <w:t xml:space="preserve"> Act).</w:t>
      </w:r>
    </w:p>
    <w:p w14:paraId="05B822D6" w14:textId="77777777" w:rsidR="00572C03" w:rsidRPr="009C64E4" w:rsidRDefault="00572C03" w:rsidP="00B43C67"/>
    <w:p w14:paraId="4E377633" w14:textId="77777777" w:rsidR="00B43C67" w:rsidRPr="009C64E4" w:rsidRDefault="00B43C67" w:rsidP="00B43C67">
      <w:r w:rsidRPr="516C99AA">
        <w:t xml:space="preserve">It is important, particularly in relation to reportable events, that the district inspector first consults the </w:t>
      </w:r>
      <w:r w:rsidRPr="516C99AA">
        <w:rPr>
          <w:i/>
          <w:iCs/>
        </w:rPr>
        <w:t>patient</w:t>
      </w:r>
      <w:r w:rsidRPr="00E428B1">
        <w:t>’s</w:t>
      </w:r>
      <w:r w:rsidRPr="00EB0D16">
        <w:t xml:space="preserve"> </w:t>
      </w:r>
      <w:r w:rsidRPr="516C99AA">
        <w:t>notes and reportable event report and undertakes a proper investigation of all persons involved in any allegation. A full report of that investigation should be forwarded to the DAMHS and the Director, together with recommendations if appropriate. A copy should also go to the</w:t>
      </w:r>
      <w:r>
        <w:t xml:space="preserve"> person in charge of the hospital or service.</w:t>
      </w:r>
    </w:p>
    <w:p w14:paraId="6AD0A9B2" w14:textId="77777777" w:rsidR="00572C03" w:rsidRDefault="00572C03" w:rsidP="00B43C67"/>
    <w:p w14:paraId="40BE5446" w14:textId="041D158E" w:rsidR="00B43C67" w:rsidRPr="009C64E4" w:rsidRDefault="00B43C67" w:rsidP="00B43C67">
      <w:r w:rsidRPr="009C64E4">
        <w:t xml:space="preserve">If it is intended that a copy of the report should be kept on the </w:t>
      </w:r>
      <w:r>
        <w:t>person’s</w:t>
      </w:r>
      <w:r w:rsidRPr="009C64E4">
        <w:t xml:space="preserve"> record (for example, to correct information under the Health Information Privacy Code), this should be noted clearly in the report</w:t>
      </w:r>
      <w:r w:rsidRPr="00F43BE0">
        <w:t>.</w:t>
      </w:r>
    </w:p>
    <w:p w14:paraId="60B3E1C9" w14:textId="6CAF9C5A" w:rsidR="00B43C67" w:rsidRDefault="00B43C67" w:rsidP="00C344A2">
      <w:pPr>
        <w:pStyle w:val="Heading3-numbered"/>
      </w:pPr>
      <w:r>
        <w:lastRenderedPageBreak/>
        <w:t>Section 95 inquiries under the Mental Health Act</w:t>
      </w:r>
      <w:r w:rsidR="008214EF">
        <w:t xml:space="preserve"> </w:t>
      </w:r>
    </w:p>
    <w:p w14:paraId="6FE9CC7C" w14:textId="77777777" w:rsidR="00B43C67" w:rsidRPr="009C64E4" w:rsidRDefault="00B43C67" w:rsidP="00F84CB5">
      <w:r w:rsidRPr="005C4C9D">
        <w:t>Unlike section 75 investigations, section 95 inquiries focus on the role of the service. Under section 95 of the Mental Health Act, district inspectors may inquire into:</w:t>
      </w:r>
    </w:p>
    <w:p w14:paraId="7756A389" w14:textId="77777777" w:rsidR="00B43C67" w:rsidRPr="00EB0D16" w:rsidRDefault="00B43C67" w:rsidP="00572C03">
      <w:pPr>
        <w:pStyle w:val="Bullet"/>
      </w:pPr>
      <w:r w:rsidRPr="516C99AA">
        <w:t>any breach of</w:t>
      </w:r>
      <w:r w:rsidRPr="00EB0D16">
        <w:t xml:space="preserve"> the Mental Health Act (or regulations made under it)</w:t>
      </w:r>
    </w:p>
    <w:p w14:paraId="51CCAD96" w14:textId="77777777" w:rsidR="00B43C67" w:rsidRPr="00EB0D16" w:rsidRDefault="00B43C67" w:rsidP="00572C03">
      <w:pPr>
        <w:pStyle w:val="Bullet"/>
      </w:pPr>
      <w:r w:rsidRPr="00EB0D16">
        <w:t>any breach of duty on the part of any officer or other person employed in the hospital or service</w:t>
      </w:r>
    </w:p>
    <w:p w14:paraId="342C4635" w14:textId="77777777" w:rsidR="00B43C67" w:rsidRPr="002B319F" w:rsidRDefault="00B43C67" w:rsidP="00572C03">
      <w:pPr>
        <w:pStyle w:val="Bullet"/>
      </w:pPr>
      <w:r w:rsidRPr="00EB0D16">
        <w:t>such other matters as the district inspector or Director thinks fit to be inquired into respecting</w:t>
      </w:r>
      <w:r>
        <w:t xml:space="preserve"> any </w:t>
      </w:r>
      <w:r w:rsidRPr="00580F9C">
        <w:rPr>
          <w:i/>
          <w:iCs/>
        </w:rPr>
        <w:t>patients</w:t>
      </w:r>
      <w:r>
        <w:t xml:space="preserve"> </w:t>
      </w:r>
      <w:r w:rsidRPr="516C99AA">
        <w:t>or the management of the hospital or service.</w:t>
      </w:r>
    </w:p>
    <w:p w14:paraId="5C0A61D5" w14:textId="77777777" w:rsidR="00572C03" w:rsidRDefault="00572C03" w:rsidP="00B43C67"/>
    <w:p w14:paraId="218E3C9E" w14:textId="15581CE5" w:rsidR="00B43C67" w:rsidRDefault="00B43C67" w:rsidP="00B43C67">
      <w:r w:rsidRPr="009C64E4">
        <w:t xml:space="preserve">Section 95(2) of the </w:t>
      </w:r>
      <w:r>
        <w:t xml:space="preserve">Mental Health </w:t>
      </w:r>
      <w:r w:rsidRPr="009C64E4">
        <w:t xml:space="preserve">Act grants </w:t>
      </w:r>
      <w:r>
        <w:t>d</w:t>
      </w:r>
      <w:r w:rsidRPr="009C64E4">
        <w:t xml:space="preserve">istrict inspectors the same powers and authority to summon witnesses and receive evidence as </w:t>
      </w:r>
      <w:r>
        <w:t>those</w:t>
      </w:r>
      <w:r w:rsidRPr="009C64E4">
        <w:t xml:space="preserve"> conferred upon </w:t>
      </w:r>
      <w:r>
        <w:t>c</w:t>
      </w:r>
      <w:r w:rsidRPr="009C64E4">
        <w:t>ommission</w:t>
      </w:r>
      <w:r>
        <w:t>s</w:t>
      </w:r>
      <w:r w:rsidRPr="009C64E4">
        <w:t xml:space="preserve"> of </w:t>
      </w:r>
      <w:r>
        <w:t>i</w:t>
      </w:r>
      <w:r w:rsidRPr="009C64E4">
        <w:t xml:space="preserve">nquiry by the Commissions of Inquiry Act 1908. This is a general provision, providing wide powers for </w:t>
      </w:r>
      <w:r>
        <w:t>d</w:t>
      </w:r>
      <w:r w:rsidRPr="009C64E4">
        <w:t>istrict inspectors to make inquiries ranging from follow-up inquiries on a particular problem all the way to a formal inquiry into major incidents. District inspectors may undertake the lower</w:t>
      </w:r>
      <w:r>
        <w:t>-</w:t>
      </w:r>
      <w:r w:rsidRPr="009C64E4">
        <w:t>level, more narrowly focused inquiries routinely.</w:t>
      </w:r>
    </w:p>
    <w:p w14:paraId="705941F9" w14:textId="77777777" w:rsidR="00572C03" w:rsidRPr="009C64E4" w:rsidRDefault="00572C03" w:rsidP="00B43C67"/>
    <w:p w14:paraId="68B8394F" w14:textId="2B44E3EC" w:rsidR="00B43C67" w:rsidRDefault="00B43C67" w:rsidP="00B43C67">
      <w:r w:rsidRPr="009C64E4">
        <w:t>The major role of section 95 of the M</w:t>
      </w:r>
      <w:r>
        <w:t>ental Health</w:t>
      </w:r>
      <w:r w:rsidRPr="009C64E4">
        <w:t xml:space="preserve"> Act is to provide legal authori</w:t>
      </w:r>
      <w:r>
        <w:t>ty</w:t>
      </w:r>
      <w:r w:rsidRPr="009C64E4">
        <w:t xml:space="preserve"> for the district inspector to enter a facility and look around. Most common are very narrow inquiries in which a </w:t>
      </w:r>
      <w:r>
        <w:t>d</w:t>
      </w:r>
      <w:r w:rsidRPr="009C64E4">
        <w:t xml:space="preserve">istrict inspector uses the general powers of inquiry under section 95 of the </w:t>
      </w:r>
      <w:r>
        <w:t xml:space="preserve">Mental Health </w:t>
      </w:r>
      <w:r w:rsidRPr="009C64E4">
        <w:t xml:space="preserve">Act to investigate </w:t>
      </w:r>
      <w:r>
        <w:t>a</w:t>
      </w:r>
      <w:r w:rsidRPr="009C64E4">
        <w:t xml:space="preserve"> particular aspect of a service and to report on the results of that investigation. For example, if it appears to a </w:t>
      </w:r>
      <w:r>
        <w:t>d</w:t>
      </w:r>
      <w:r w:rsidRPr="009C64E4">
        <w:t xml:space="preserve">istrict inspector that some aspects of a service’s quality are being compromised, then they may wish to make some specific inquiries about the situation. As part of these inquiries, the district inspector will usually seek information from the </w:t>
      </w:r>
      <w:r>
        <w:t>DAMHS</w:t>
      </w:r>
      <w:r w:rsidRPr="009C64E4">
        <w:t xml:space="preserve">, the manager of the service or other staff. </w:t>
      </w:r>
    </w:p>
    <w:p w14:paraId="0CE88EF5" w14:textId="77777777" w:rsidR="00572C03" w:rsidRPr="009C64E4" w:rsidRDefault="00572C03" w:rsidP="00B43C67"/>
    <w:p w14:paraId="7E7B8993" w14:textId="50C105A6" w:rsidR="00B43C67" w:rsidRDefault="00B43C67" w:rsidP="00B43C67">
      <w:r w:rsidRPr="07D3D206">
        <w:t xml:space="preserve">The more major inquiries conducted under section 95 of the Mental Health Act are generally large scale and concerned with major incidents, such as a suicide or an assault on a </w:t>
      </w:r>
      <w:r w:rsidRPr="7362CCE2">
        <w:rPr>
          <w:i/>
        </w:rPr>
        <w:t>patient</w:t>
      </w:r>
      <w:r>
        <w:t>,</w:t>
      </w:r>
      <w:r w:rsidRPr="07D3D206">
        <w:t xml:space="preserve"> that have not been satisfactorily investigated or resolved at a local level. It should be noted that large-scale section 95 inquiries are relatively rare</w:t>
      </w:r>
      <w:r w:rsidRPr="7362CCE2">
        <w:t>.</w:t>
      </w:r>
    </w:p>
    <w:p w14:paraId="1802976F" w14:textId="77777777" w:rsidR="00572C03" w:rsidRDefault="00572C03" w:rsidP="00B43C67"/>
    <w:p w14:paraId="6459D299" w14:textId="367846E8" w:rsidR="00B43C67" w:rsidRDefault="00B43C67" w:rsidP="00B43C67">
      <w:r w:rsidRPr="009C64E4">
        <w:t xml:space="preserve">A </w:t>
      </w:r>
      <w:r>
        <w:t>d</w:t>
      </w:r>
      <w:r w:rsidRPr="009C64E4">
        <w:t xml:space="preserve">istrict inspector, </w:t>
      </w:r>
      <w:r>
        <w:t xml:space="preserve">the </w:t>
      </w:r>
      <w:r w:rsidRPr="009C64E4">
        <w:t xml:space="preserve">Director </w:t>
      </w:r>
      <w:r>
        <w:t>or the Director-General of Health</w:t>
      </w:r>
      <w:r w:rsidRPr="009C64E4">
        <w:t xml:space="preserve"> may initiate such inquiries</w:t>
      </w:r>
      <w:r>
        <w:t>. Due to the</w:t>
      </w:r>
      <w:r w:rsidRPr="009C64E4">
        <w:t xml:space="preserve"> formality of section 95 inquiries and their potential impact on a service, </w:t>
      </w:r>
      <w:r>
        <w:t>d</w:t>
      </w:r>
      <w:r w:rsidRPr="009C64E4">
        <w:t xml:space="preserve">istrict inspectors should always consult with the Director before proceeding with a section 95 inquiry. </w:t>
      </w:r>
      <w:r>
        <w:t>I</w:t>
      </w:r>
      <w:r w:rsidRPr="009C64E4">
        <w:t>nquiries are not usually undertaken without first considering whether the local service has sought to investigate and address the issues that are the subject of the proposed inquiry. In most cases, this is because it is preferable for a service provider to conduct its own investigation into complaints and incidents, using external expertise when appropriate.</w:t>
      </w:r>
      <w:r>
        <w:t xml:space="preserve"> </w:t>
      </w:r>
      <w:r w:rsidRPr="009C64E4">
        <w:t>Formal section 95 inquiries should generally be limited to circumstances where there is clear evidence of outstanding issues that are not being addressed by the mental health service.</w:t>
      </w:r>
    </w:p>
    <w:p w14:paraId="3F44F3FE" w14:textId="77777777" w:rsidR="00572C03" w:rsidRPr="009C64E4" w:rsidRDefault="00572C03" w:rsidP="00B43C67"/>
    <w:p w14:paraId="64F11DB5" w14:textId="53513C93" w:rsidR="00B43C67" w:rsidRDefault="00B43C67" w:rsidP="00B43C67">
      <w:r w:rsidRPr="009C64E4">
        <w:t xml:space="preserve">The Director may also direct a </w:t>
      </w:r>
      <w:r>
        <w:t>d</w:t>
      </w:r>
      <w:r w:rsidRPr="009C64E4">
        <w:t xml:space="preserve">istrict inspector to undertake an inquiry under section 95. Such an inquiry would normally be undertaken if the Director were provided with information from </w:t>
      </w:r>
      <w:r w:rsidRPr="7362CCE2">
        <w:rPr>
          <w:i/>
          <w:iCs/>
        </w:rPr>
        <w:t>patients</w:t>
      </w:r>
      <w:r w:rsidRPr="009C64E4">
        <w:t xml:space="preserve">, </w:t>
      </w:r>
      <w:r>
        <w:t xml:space="preserve">family and </w:t>
      </w:r>
      <w:r w:rsidRPr="009C64E4">
        <w:t xml:space="preserve">whānau, or service staff that there was a major issue that needed to be investigated. Such an issue would first be addressed with the </w:t>
      </w:r>
      <w:r w:rsidRPr="009C64E4">
        <w:lastRenderedPageBreak/>
        <w:t xml:space="preserve">service, and any correspondence created is likely to be copied to the </w:t>
      </w:r>
      <w:r>
        <w:t>DAMHS</w:t>
      </w:r>
      <w:r w:rsidRPr="009C64E4">
        <w:t>. If it is subsequently considered that there was sufficient evidence that the issue had not been satisfactorily resolved by the service, the Director would normally ask for a section 95 investigation to be undertaken.</w:t>
      </w:r>
    </w:p>
    <w:p w14:paraId="6E8DC36B" w14:textId="77777777" w:rsidR="00572C03" w:rsidRPr="009C64E4" w:rsidRDefault="00572C03" w:rsidP="00B43C67"/>
    <w:p w14:paraId="110D98B3" w14:textId="77777777" w:rsidR="00B43C67" w:rsidRPr="009C64E4" w:rsidRDefault="00B43C67" w:rsidP="00B43C67">
      <w:r w:rsidRPr="009C64E4">
        <w:t xml:space="preserve">The Director may sometimes ask a </w:t>
      </w:r>
      <w:r>
        <w:t>d</w:t>
      </w:r>
      <w:r w:rsidRPr="009C64E4">
        <w:t xml:space="preserve">istrict inspector </w:t>
      </w:r>
      <w:r>
        <w:t xml:space="preserve">from another region </w:t>
      </w:r>
      <w:r w:rsidRPr="009C64E4">
        <w:t>to undertake a section 95 inquiry</w:t>
      </w:r>
      <w:r w:rsidRPr="4801DE6A">
        <w:t>.</w:t>
      </w:r>
      <w:r w:rsidRPr="009C64E4">
        <w:t xml:space="preserve"> This is usually done so that the relationship between the local </w:t>
      </w:r>
      <w:r>
        <w:t>d</w:t>
      </w:r>
      <w:r w:rsidRPr="009C64E4">
        <w:t>istrict inspector and the local service is preserved or to bring a fresh perspective.</w:t>
      </w:r>
    </w:p>
    <w:p w14:paraId="51A7CCBD" w14:textId="77777777" w:rsidR="00B43C67" w:rsidRPr="006C0C81" w:rsidRDefault="00B43C67" w:rsidP="00B43C67">
      <w:pPr>
        <w:pStyle w:val="Heading4"/>
      </w:pPr>
      <w:r>
        <w:t>The s</w:t>
      </w:r>
      <w:r w:rsidRPr="006C0C81">
        <w:t xml:space="preserve">ection 95 </w:t>
      </w:r>
      <w:r>
        <w:t xml:space="preserve">reporting </w:t>
      </w:r>
      <w:r w:rsidRPr="006C0C81">
        <w:t xml:space="preserve">procedure </w:t>
      </w:r>
    </w:p>
    <w:p w14:paraId="2D6653F7" w14:textId="4F8ECEEA" w:rsidR="00B43C67" w:rsidRDefault="00B43C67" w:rsidP="00B43C67">
      <w:r w:rsidRPr="009C64E4">
        <w:t xml:space="preserve">District inspectors are required to report on the outcome of their inquiries to the Director. </w:t>
      </w:r>
      <w:r w:rsidRPr="3A58D565">
        <w:t xml:space="preserve">The body of the report </w:t>
      </w:r>
      <w:r w:rsidRPr="22E863F8">
        <w:t xml:space="preserve">should </w:t>
      </w:r>
      <w:r w:rsidRPr="2372E94E">
        <w:t>contain</w:t>
      </w:r>
      <w:r w:rsidRPr="009C64E4">
        <w:t xml:space="preserve"> findings of fact, and any recommendations for changes to be made to service provision or to policy or legal frameworks. More detailed information on the events as reported to or established by the inquiry, and information identifying persons involved and those providing information to the inquiry should be attached as appendices to the main report.</w:t>
      </w:r>
      <w:r>
        <w:t xml:space="preserve"> </w:t>
      </w:r>
    </w:p>
    <w:p w14:paraId="34A4C857" w14:textId="77777777" w:rsidR="00572C03" w:rsidRPr="009C64E4" w:rsidRDefault="00572C03" w:rsidP="00B43C67"/>
    <w:p w14:paraId="49AFF462" w14:textId="30A68993" w:rsidR="00B43C67" w:rsidRDefault="00B43C67" w:rsidP="00572C03">
      <w:r>
        <w:t xml:space="preserve">All inquiries by district inspectors must follow a sound inquiry process and be executed in a </w:t>
      </w:r>
      <w:r w:rsidRPr="00D9510B">
        <w:t>fair and respectful manner regarding the</w:t>
      </w:r>
      <w:r>
        <w:t xml:space="preserve"> requirements and</w:t>
      </w:r>
      <w:r w:rsidRPr="00D9510B">
        <w:t xml:space="preserve"> principles of natural justice</w:t>
      </w:r>
      <w:r>
        <w:t>. Should a person be adversely impacted by the outcome of the inquiry, they may seek an administrative review in the High Court of New Zealand.</w:t>
      </w:r>
    </w:p>
    <w:p w14:paraId="7FF88951" w14:textId="77777777" w:rsidR="00572C03" w:rsidRPr="009C64E4" w:rsidRDefault="00572C03" w:rsidP="00B43C67"/>
    <w:p w14:paraId="7E3F42A4" w14:textId="77777777" w:rsidR="00B43C67" w:rsidRPr="009C64E4" w:rsidRDefault="00B43C67" w:rsidP="00B43C67">
      <w:r w:rsidRPr="07D3D206">
        <w:t xml:space="preserve">When submitting the report, a district inspector may wish to draw to the attention of the Director, or the service provider, matters that they consider are not properly placed in the report itself. The district inspector should also keep in mind that reports may be discoverable by courts in any subsequent legal action undertaken and </w:t>
      </w:r>
      <w:r>
        <w:t xml:space="preserve">should </w:t>
      </w:r>
      <w:r w:rsidRPr="07D3D206">
        <w:t xml:space="preserve">use legal discretion and judgement regarding privacy concerns in preparing their reports. </w:t>
      </w:r>
    </w:p>
    <w:p w14:paraId="608016EF" w14:textId="77777777" w:rsidR="00F84CB5" w:rsidRDefault="00F84CB5" w:rsidP="00B43C67"/>
    <w:p w14:paraId="5BEC951F" w14:textId="2C089670" w:rsidR="00B43C67" w:rsidRPr="009C64E4" w:rsidRDefault="00B43C67" w:rsidP="00B43C67">
      <w:pPr>
        <w:rPr>
          <w:rFonts w:eastAsia="Segoe UI"/>
        </w:rPr>
      </w:pPr>
      <w:r w:rsidRPr="07D3D206">
        <w:t xml:space="preserve">Crown Law has produced </w:t>
      </w:r>
      <w:r w:rsidRPr="7362CCE2">
        <w:rPr>
          <w:i/>
        </w:rPr>
        <w:t>Te Pouārahi</w:t>
      </w:r>
      <w:r>
        <w:rPr>
          <w:i/>
          <w:iCs/>
        </w:rPr>
        <w:t xml:space="preserve"> –</w:t>
      </w:r>
      <w:r w:rsidRPr="7362CCE2">
        <w:rPr>
          <w:i/>
        </w:rPr>
        <w:t xml:space="preserve"> The Judge </w:t>
      </w:r>
      <w:r w:rsidRPr="7362CCE2">
        <w:rPr>
          <w:i/>
          <w:iCs/>
        </w:rPr>
        <w:t>Over Your Shoulder</w:t>
      </w:r>
      <w:r>
        <w:t xml:space="preserve"> (Crown Law 2019)</w:t>
      </w:r>
      <w:r w:rsidRPr="07D3D206">
        <w:t>, a guide to good decision</w:t>
      </w:r>
      <w:r>
        <w:t>-</w:t>
      </w:r>
      <w:r w:rsidRPr="07D3D206">
        <w:t xml:space="preserve">making and the law in New Zealand. This is a guide </w:t>
      </w:r>
      <w:r w:rsidRPr="07D3D206">
        <w:rPr>
          <w:rFonts w:eastAsia="Segoe UI"/>
        </w:rPr>
        <w:t>for government officials making decisions or advising others to make decisions that affect members of the public. The publication may be useful for district inspectors</w:t>
      </w:r>
      <w:r w:rsidRPr="7362CCE2">
        <w:rPr>
          <w:rFonts w:eastAsia="Segoe UI"/>
        </w:rPr>
        <w:t>.</w:t>
      </w:r>
    </w:p>
    <w:p w14:paraId="666638E1" w14:textId="77777777" w:rsidR="00572C03" w:rsidRDefault="00572C03" w:rsidP="00572C03">
      <w:pPr>
        <w:rPr>
          <w:rFonts w:cs="Segoe UI"/>
          <w:szCs w:val="21"/>
        </w:rPr>
      </w:pPr>
    </w:p>
    <w:p w14:paraId="1E21B6BB" w14:textId="7AA10D8A" w:rsidR="00B43C67" w:rsidRDefault="00B43C67" w:rsidP="00572C03">
      <w:pPr>
        <w:rPr>
          <w:rFonts w:cs="Segoe UI"/>
          <w:szCs w:val="21"/>
        </w:rPr>
      </w:pPr>
      <w:r w:rsidRPr="009C64E4">
        <w:rPr>
          <w:rFonts w:cs="Segoe UI"/>
          <w:szCs w:val="21"/>
        </w:rPr>
        <w:t xml:space="preserve">The Director </w:t>
      </w:r>
      <w:r w:rsidRPr="1ABA3A55">
        <w:rPr>
          <w:rFonts w:cs="Segoe UI"/>
          <w:szCs w:val="21"/>
        </w:rPr>
        <w:t>will determine</w:t>
      </w:r>
      <w:r w:rsidRPr="009C64E4">
        <w:rPr>
          <w:rFonts w:cs="Segoe UI"/>
          <w:szCs w:val="21"/>
        </w:rPr>
        <w:t xml:space="preserve"> if further action needs to be taken in response to a </w:t>
      </w:r>
      <w:r>
        <w:rPr>
          <w:rFonts w:cs="Segoe UI"/>
          <w:szCs w:val="21"/>
        </w:rPr>
        <w:t>d</w:t>
      </w:r>
      <w:r w:rsidRPr="009C64E4">
        <w:rPr>
          <w:rFonts w:cs="Segoe UI"/>
          <w:szCs w:val="21"/>
        </w:rPr>
        <w:t xml:space="preserve">istrict inspector’s report. This will depend on the facts of each </w:t>
      </w:r>
      <w:r w:rsidRPr="36B88E7E">
        <w:rPr>
          <w:rFonts w:cs="Segoe UI"/>
          <w:szCs w:val="21"/>
        </w:rPr>
        <w:t>specific case</w:t>
      </w:r>
      <w:r w:rsidRPr="009C64E4">
        <w:rPr>
          <w:rFonts w:cs="Segoe UI"/>
          <w:szCs w:val="21"/>
        </w:rPr>
        <w:t>, the recommendations that are made in the report, and any response that the service has already made or is planning to make to the report.</w:t>
      </w:r>
    </w:p>
    <w:p w14:paraId="0F91665D" w14:textId="77777777" w:rsidR="00572C03" w:rsidRPr="009C64E4" w:rsidRDefault="00572C03" w:rsidP="00572C03">
      <w:pPr>
        <w:rPr>
          <w:rFonts w:cs="Segoe UI"/>
          <w:szCs w:val="21"/>
        </w:rPr>
      </w:pPr>
    </w:p>
    <w:p w14:paraId="0E6BF010" w14:textId="1576E710" w:rsidR="00B43C67" w:rsidRDefault="00B43C67" w:rsidP="00B43C67">
      <w:r w:rsidRPr="009C64E4">
        <w:t xml:space="preserve">The </w:t>
      </w:r>
      <w:r>
        <w:t>district service</w:t>
      </w:r>
      <w:r w:rsidRPr="009C64E4">
        <w:t xml:space="preserve"> may be asked to address issues raised in a </w:t>
      </w:r>
      <w:r>
        <w:t>d</w:t>
      </w:r>
      <w:r w:rsidRPr="009C64E4">
        <w:t xml:space="preserve">istrict inspector’s report if those issues arise from the way in which mental health services are funded. On rare occasions, an issue may also arise that requires action by another party, such as the Police. Some issues may also need to be followed up directly by </w:t>
      </w:r>
      <w:r>
        <w:t>the Ministry</w:t>
      </w:r>
      <w:r w:rsidRPr="009C64E4">
        <w:t>.</w:t>
      </w:r>
    </w:p>
    <w:p w14:paraId="15E58C90" w14:textId="77777777" w:rsidR="00572C03" w:rsidRPr="009C64E4" w:rsidRDefault="00572C03" w:rsidP="00B43C67"/>
    <w:p w14:paraId="5DE55E44" w14:textId="224E316D" w:rsidR="00B43C67" w:rsidRDefault="00B43C67" w:rsidP="00B43C67">
      <w:r w:rsidRPr="009C64E4">
        <w:t xml:space="preserve">It is important to note that the Director does not have the authority to direct services to take specific action(s) in response to a </w:t>
      </w:r>
      <w:r>
        <w:t>d</w:t>
      </w:r>
      <w:r w:rsidRPr="009C64E4">
        <w:t xml:space="preserve">istrict inspector’s report. In the past, most recommendations made by </w:t>
      </w:r>
      <w:r>
        <w:t>d</w:t>
      </w:r>
      <w:r w:rsidRPr="009C64E4">
        <w:t xml:space="preserve">istrict inspectors in their reports have been implemented. It is not uncommon for a service to begin addressing issues during a </w:t>
      </w:r>
      <w:r>
        <w:t>d</w:t>
      </w:r>
      <w:r w:rsidRPr="009C64E4">
        <w:t>istrict inspector’s inquiry.</w:t>
      </w:r>
    </w:p>
    <w:p w14:paraId="2CCAF685" w14:textId="77777777" w:rsidR="00572C03" w:rsidRPr="009C64E4" w:rsidRDefault="00572C03" w:rsidP="00B43C67"/>
    <w:p w14:paraId="435E4958" w14:textId="01601095" w:rsidR="00B43C67" w:rsidRDefault="00B43C67" w:rsidP="00B43C67">
      <w:r w:rsidRPr="009C64E4">
        <w:lastRenderedPageBreak/>
        <w:t xml:space="preserve">It is also important to emphasise that </w:t>
      </w:r>
      <w:r>
        <w:t>the Ministry</w:t>
      </w:r>
      <w:r w:rsidRPr="009C64E4">
        <w:t xml:space="preserve"> and the Director expect </w:t>
      </w:r>
      <w:r>
        <w:t>d</w:t>
      </w:r>
      <w:r w:rsidRPr="009C64E4" w:rsidDel="00032B75">
        <w:t xml:space="preserve">istrict </w:t>
      </w:r>
      <w:r>
        <w:t>health service</w:t>
      </w:r>
      <w:r w:rsidRPr="009C64E4">
        <w:t xml:space="preserve">s, mental health services and other publicly funded health services to establish their own quality </w:t>
      </w:r>
      <w:r>
        <w:t xml:space="preserve">improvement </w:t>
      </w:r>
      <w:r w:rsidRPr="009C64E4">
        <w:t>and safety monitoring</w:t>
      </w:r>
      <w:r>
        <w:t xml:space="preserve"> </w:t>
      </w:r>
      <w:r w:rsidRPr="009C64E4">
        <w:t>processes.</w:t>
      </w:r>
    </w:p>
    <w:p w14:paraId="5D68C373" w14:textId="77777777" w:rsidR="00572C03" w:rsidRPr="009C64E4" w:rsidRDefault="00572C03" w:rsidP="00B43C67"/>
    <w:p w14:paraId="13308B5D" w14:textId="77777777" w:rsidR="00B43C67" w:rsidRPr="009F1A0F" w:rsidRDefault="00B43C67" w:rsidP="00B43C67">
      <w:r>
        <w:t>The Ministry</w:t>
      </w:r>
      <w:r w:rsidRPr="159A7C35">
        <w:t xml:space="preserve"> and</w:t>
      </w:r>
      <w:r>
        <w:t xml:space="preserve"> the</w:t>
      </w:r>
      <w:r w:rsidRPr="159A7C35">
        <w:t xml:space="preserve"> Director expect that services will undertake their own internal reviews of every incident that occurs or any issues of serious concern that are raised by district inspectors, clinicians,</w:t>
      </w:r>
      <w:r>
        <w:t xml:space="preserve"> and</w:t>
      </w:r>
      <w:r w:rsidRPr="159A7C35">
        <w:t xml:space="preserve"> </w:t>
      </w:r>
      <w:r w:rsidRPr="7362CCE2">
        <w:rPr>
          <w:i/>
        </w:rPr>
        <w:t>patients</w:t>
      </w:r>
      <w:r w:rsidRPr="159A7C35">
        <w:t xml:space="preserve"> or their advocates. This is what is expected of any other health or disability support service. If this internal review and follow-up do not occur, or if the service’s response does not appear to adequately address the concerns that have been raised, then the Director will seek to use a district inspector to inquire further into the matter.</w:t>
      </w:r>
    </w:p>
    <w:p w14:paraId="485F32D2" w14:textId="41D69637" w:rsidR="00B43C67" w:rsidRPr="007D6836" w:rsidRDefault="00B43C67" w:rsidP="00C344A2">
      <w:pPr>
        <w:pStyle w:val="Heading3-numbered"/>
      </w:pPr>
      <w:r>
        <w:t>Investigation and inquiry procedures under the Substance Addiction Act</w:t>
      </w:r>
      <w:r w:rsidR="008214EF">
        <w:t xml:space="preserve"> </w:t>
      </w:r>
    </w:p>
    <w:p w14:paraId="072D796F" w14:textId="171EE9C6" w:rsidR="00B43C67" w:rsidRDefault="00B43C67" w:rsidP="00B43C67">
      <w:r>
        <w:t xml:space="preserve">Section 101 of the Substance Addiction Act enables a district inspector to conduct an inquiry into any event that occurs within a treatment centre that could constitute a breach of the Substance Addiction Act, as well as into any concern raised in relation to the care, treatment or conduct of a </w:t>
      </w:r>
      <w:r w:rsidRPr="7362CCE2">
        <w:rPr>
          <w:i/>
        </w:rPr>
        <w:t>patient</w:t>
      </w:r>
      <w:r>
        <w:t>.</w:t>
      </w:r>
    </w:p>
    <w:p w14:paraId="17FB0B74" w14:textId="77777777" w:rsidR="00572C03" w:rsidRDefault="00572C03" w:rsidP="00B43C67"/>
    <w:p w14:paraId="76985450" w14:textId="77777777" w:rsidR="00B43C67" w:rsidRDefault="00B43C67" w:rsidP="00B43C67">
      <w:r w:rsidRPr="00771EA6">
        <w:t>The district inspector must inquire as to whether the concern is valid</w:t>
      </w:r>
      <w:r>
        <w:t xml:space="preserve">. If there are reasonable grounds to believe that further consideration of the case may be desirable, the district inspector must inform the responsible clinician or any other appropriate person of the grounds of concern that have arisen in the case and give any other advice or assistance in the matter that may be appropriate. </w:t>
      </w:r>
    </w:p>
    <w:p w14:paraId="4CE77BB8" w14:textId="1CEC3A48" w:rsidR="00B43C67" w:rsidRPr="007D6836" w:rsidRDefault="00B43C67" w:rsidP="00C344A2">
      <w:pPr>
        <w:pStyle w:val="Heading3-numbered"/>
      </w:pPr>
      <w:r>
        <w:t xml:space="preserve">Investigation and inquiry procedures under the </w:t>
      </w:r>
      <w:r w:rsidR="00E27AEB">
        <w:t>Intellectual Disability Act</w:t>
      </w:r>
      <w:r w:rsidR="008214EF">
        <w:t xml:space="preserve"> </w:t>
      </w:r>
    </w:p>
    <w:p w14:paraId="67822905" w14:textId="18BF6954" w:rsidR="00B43C67" w:rsidRDefault="00B43C67" w:rsidP="00B43C67">
      <w:r w:rsidRPr="00D15135">
        <w:t xml:space="preserve">If a complaint </w:t>
      </w:r>
      <w:r>
        <w:t xml:space="preserve">is </w:t>
      </w:r>
      <w:r w:rsidRPr="00D15135">
        <w:t>made</w:t>
      </w:r>
      <w:r>
        <w:t xml:space="preserve"> to</w:t>
      </w:r>
      <w:r w:rsidRPr="00D15135">
        <w:t xml:space="preserve"> or referred to the district inspector under </w:t>
      </w:r>
      <w:hyperlink r:id="rId31" w:anchor="DLM225934" w:history="1">
        <w:r w:rsidRPr="00D15135">
          <w:t>section 97</w:t>
        </w:r>
      </w:hyperlink>
      <w:r w:rsidRPr="00D15135">
        <w:t> </w:t>
      </w:r>
      <w:r>
        <w:t xml:space="preserve">of the </w:t>
      </w:r>
      <w:r w:rsidR="00E27AEB">
        <w:t>Intellectual Disability Act</w:t>
      </w:r>
      <w:r>
        <w:t xml:space="preserve"> or </w:t>
      </w:r>
      <w:r w:rsidRPr="00D15135">
        <w:t>is not a complaint that concerns a breach of right</w:t>
      </w:r>
      <w:r>
        <w:t>s</w:t>
      </w:r>
      <w:r w:rsidRPr="00D15135">
        <w:t xml:space="preserve"> under the Code of Rights, the district inspector must investigate the complaint.</w:t>
      </w:r>
    </w:p>
    <w:p w14:paraId="25D3F032" w14:textId="77777777" w:rsidR="00572C03" w:rsidRPr="00D15135" w:rsidRDefault="00572C03" w:rsidP="00B43C67"/>
    <w:p w14:paraId="076C833B" w14:textId="4EB27EDC" w:rsidR="00B43C67" w:rsidRDefault="00B43C67" w:rsidP="00B43C67">
      <w:r w:rsidRPr="00D15135">
        <w:t xml:space="preserve">In investigating a complaint, the district inspector must try to talk with the </w:t>
      </w:r>
      <w:r w:rsidRPr="7362CCE2">
        <w:rPr>
          <w:i/>
        </w:rPr>
        <w:t>care recipient</w:t>
      </w:r>
      <w:r w:rsidRPr="00D15135">
        <w:t xml:space="preserve">, any person who complained on behalf of the </w:t>
      </w:r>
      <w:r w:rsidRPr="7362CCE2">
        <w:rPr>
          <w:i/>
        </w:rPr>
        <w:t>care recipient</w:t>
      </w:r>
      <w:r w:rsidRPr="00D15135">
        <w:t>, the care manager and everyone else involved in the case.</w:t>
      </w:r>
    </w:p>
    <w:p w14:paraId="30B9AFD0" w14:textId="77777777" w:rsidR="00572C03" w:rsidRPr="00D15135" w:rsidRDefault="00572C03" w:rsidP="00B43C67"/>
    <w:p w14:paraId="68F31CD0" w14:textId="77777777" w:rsidR="00B43C67" w:rsidRDefault="00B43C67" w:rsidP="00572C03">
      <w:r w:rsidRPr="00D15135">
        <w:t>If, after investigating the complaint, the district inspector is satisfied that the complaint has substance, the district inspector must</w:t>
      </w:r>
      <w:r>
        <w:t xml:space="preserve"> either:</w:t>
      </w:r>
    </w:p>
    <w:p w14:paraId="51A5421C" w14:textId="77777777" w:rsidR="00B43C67" w:rsidRDefault="00B43C67" w:rsidP="00572C03">
      <w:pPr>
        <w:pStyle w:val="Bullet"/>
      </w:pPr>
      <w:r w:rsidRPr="00572C03">
        <w:t>conduct</w:t>
      </w:r>
      <w:r w:rsidRPr="00D15135">
        <w:t xml:space="preserve"> an inquiry under </w:t>
      </w:r>
      <w:hyperlink r:id="rId32" w:anchor="DLM225939" w:history="1">
        <w:r w:rsidRPr="00D15135">
          <w:t>section 101</w:t>
        </w:r>
      </w:hyperlink>
      <w:r w:rsidRPr="00D15135">
        <w:t> into the complaint</w:t>
      </w:r>
      <w:r>
        <w:t>,</w:t>
      </w:r>
      <w:r w:rsidRPr="00D15135">
        <w:t xml:space="preserve"> or</w:t>
      </w:r>
    </w:p>
    <w:p w14:paraId="4BE61140" w14:textId="77777777" w:rsidR="00B43C67" w:rsidRPr="00704134" w:rsidRDefault="00B43C67" w:rsidP="00572C03">
      <w:pPr>
        <w:pStyle w:val="Bullet"/>
      </w:pPr>
      <w:r w:rsidRPr="00572C03">
        <w:t>report</w:t>
      </w:r>
      <w:r w:rsidRPr="00D15135">
        <w:t xml:space="preserve"> the matter together with any recommendations to the care manager.</w:t>
      </w:r>
    </w:p>
    <w:p w14:paraId="6C5F72E1" w14:textId="77777777" w:rsidR="00572C03" w:rsidRDefault="00572C03" w:rsidP="00B43C67"/>
    <w:p w14:paraId="54309F5D" w14:textId="02386C99" w:rsidR="00B43C67" w:rsidRDefault="00B43C67" w:rsidP="00B43C67">
      <w:r w:rsidRPr="00D15135">
        <w:t xml:space="preserve">The district inspector must send a copy of any report prepared under </w:t>
      </w:r>
      <w:r>
        <w:t>section</w:t>
      </w:r>
      <w:r w:rsidRPr="00D15135">
        <w:t xml:space="preserve"> </w:t>
      </w:r>
      <w:r>
        <w:t>98</w:t>
      </w:r>
      <w:r w:rsidRPr="00D15135">
        <w:t xml:space="preserve">(3)(b) </w:t>
      </w:r>
      <w:r>
        <w:t xml:space="preserve">of the </w:t>
      </w:r>
      <w:r w:rsidR="00E27AEB">
        <w:t>Intellectual Disability Act</w:t>
      </w:r>
      <w:r>
        <w:t xml:space="preserve"> </w:t>
      </w:r>
      <w:r w:rsidRPr="00D15135">
        <w:t>to the Director</w:t>
      </w:r>
      <w:r>
        <w:t>, who has delegated authority from the Director-General of Health</w:t>
      </w:r>
      <w:r w:rsidRPr="00D15135">
        <w:t>.</w:t>
      </w:r>
    </w:p>
    <w:p w14:paraId="0576B76C" w14:textId="77777777" w:rsidR="00572C03" w:rsidRDefault="00572C03" w:rsidP="00B43C67"/>
    <w:p w14:paraId="685E87D4" w14:textId="3AC9FBCE" w:rsidR="00B43C67" w:rsidRDefault="00B43C67" w:rsidP="00B43C67">
      <w:r>
        <w:lastRenderedPageBreak/>
        <w:t xml:space="preserve">Part 7 of the </w:t>
      </w:r>
      <w:r w:rsidR="00E27AEB">
        <w:t>Intellectual Disability Act</w:t>
      </w:r>
      <w:r>
        <w:t xml:space="preserve"> also allows district inspectors to report on the results of their findings where they are investigating an alleged breach of a </w:t>
      </w:r>
      <w:r w:rsidRPr="7362CCE2">
        <w:rPr>
          <w:i/>
        </w:rPr>
        <w:t>care recipient</w:t>
      </w:r>
      <w:r w:rsidRPr="00E428B1">
        <w:rPr>
          <w:iCs/>
        </w:rPr>
        <w:t>’s</w:t>
      </w:r>
      <w:r>
        <w:t xml:space="preserve"> rights under the </w:t>
      </w:r>
      <w:r w:rsidR="00E27AEB">
        <w:t>Intellectual Disability Act</w:t>
      </w:r>
      <w:r>
        <w:t xml:space="preserve">. </w:t>
      </w:r>
      <w:r w:rsidRPr="00D15135">
        <w:t xml:space="preserve">The Director-General of Health </w:t>
      </w:r>
      <w:r>
        <w:t xml:space="preserve">or Director </w:t>
      </w:r>
      <w:r w:rsidRPr="00D15135">
        <w:t>may direct a</w:t>
      </w:r>
      <w:r>
        <w:t xml:space="preserve"> </w:t>
      </w:r>
      <w:r w:rsidRPr="00D15135">
        <w:t>district</w:t>
      </w:r>
      <w:r>
        <w:t xml:space="preserve"> </w:t>
      </w:r>
      <w:r w:rsidRPr="00D15135">
        <w:t>inspector</w:t>
      </w:r>
      <w:r>
        <w:t xml:space="preserve"> </w:t>
      </w:r>
      <w:r w:rsidRPr="00D15135">
        <w:t xml:space="preserve">to conduct an inquiry under </w:t>
      </w:r>
      <w:r>
        <w:t>section 101</w:t>
      </w:r>
      <w:r w:rsidRPr="00D15135">
        <w:t xml:space="preserve"> and that</w:t>
      </w:r>
      <w:r>
        <w:t xml:space="preserve"> </w:t>
      </w:r>
      <w:r w:rsidRPr="00D15135">
        <w:t>district</w:t>
      </w:r>
      <w:r>
        <w:t xml:space="preserve"> </w:t>
      </w:r>
      <w:r w:rsidRPr="00D15135">
        <w:t>inspector</w:t>
      </w:r>
      <w:r>
        <w:t xml:space="preserve"> </w:t>
      </w:r>
      <w:r w:rsidRPr="00D15135">
        <w:t>must comply with that direction.</w:t>
      </w:r>
    </w:p>
    <w:p w14:paraId="38DBA5C3" w14:textId="77777777" w:rsidR="00572C03" w:rsidRDefault="00572C03" w:rsidP="00B43C67"/>
    <w:p w14:paraId="0D8DB014" w14:textId="0326AA8F" w:rsidR="00B43C67" w:rsidRDefault="00B43C67" w:rsidP="00B43C67">
      <w:r w:rsidRPr="00D15135">
        <w:t xml:space="preserve">For the purpose of conducting an inquiry under </w:t>
      </w:r>
      <w:r>
        <w:t xml:space="preserve">the </w:t>
      </w:r>
      <w:r w:rsidR="00E27AEB">
        <w:t>Intellectual Disability Act</w:t>
      </w:r>
      <w:r w:rsidRPr="00D15135">
        <w:t>,</w:t>
      </w:r>
      <w:r>
        <w:t xml:space="preserve"> </w:t>
      </w:r>
      <w:r w:rsidRPr="00D15135">
        <w:t>a</w:t>
      </w:r>
      <w:r>
        <w:t xml:space="preserve"> </w:t>
      </w:r>
      <w:r w:rsidRPr="00D15135">
        <w:t>district</w:t>
      </w:r>
      <w:r>
        <w:t xml:space="preserve"> </w:t>
      </w:r>
      <w:r w:rsidRPr="00D15135">
        <w:t>inspector</w:t>
      </w:r>
      <w:r>
        <w:t xml:space="preserve"> </w:t>
      </w:r>
      <w:r w:rsidRPr="00D15135">
        <w:t xml:space="preserve">has the same powers and authority to summon witnesses and receive evidence as </w:t>
      </w:r>
      <w:r>
        <w:t xml:space="preserve">those that </w:t>
      </w:r>
      <w:r w:rsidRPr="00D15135">
        <w:t>are conferred on commissions of inquiry by the </w:t>
      </w:r>
      <w:hyperlink r:id="rId33" w:history="1">
        <w:r w:rsidRPr="00D15135">
          <w:t>Commissions of Inquiry Act</w:t>
        </w:r>
        <w:r>
          <w:t> </w:t>
        </w:r>
        <w:r w:rsidRPr="00D15135">
          <w:t>1908</w:t>
        </w:r>
      </w:hyperlink>
      <w:r w:rsidRPr="00D15135">
        <w:t>.</w:t>
      </w:r>
    </w:p>
    <w:p w14:paraId="1DB7BA89" w14:textId="77777777" w:rsidR="00572C03" w:rsidRDefault="00572C03" w:rsidP="00B43C67"/>
    <w:p w14:paraId="0FA89D80" w14:textId="77777777" w:rsidR="00B43C67" w:rsidRPr="00B51E70" w:rsidRDefault="00B43C67" w:rsidP="00B43C67">
      <w:r w:rsidRPr="00D15135">
        <w:t xml:space="preserve">As soon as practicable after concluding an inquiry under this section, a district inspector must send a full report of the inquiry to the </w:t>
      </w:r>
      <w:r>
        <w:t>Care C</w:t>
      </w:r>
      <w:r w:rsidRPr="00D15135">
        <w:t>oordinator and to the Director-General of Health</w:t>
      </w:r>
      <w:r>
        <w:t xml:space="preserve"> and Director</w:t>
      </w:r>
      <w:r w:rsidRPr="00D15135">
        <w:t>.</w:t>
      </w:r>
    </w:p>
    <w:p w14:paraId="52AEEDBF" w14:textId="77777777" w:rsidR="00B43C67" w:rsidRDefault="00B43C67" w:rsidP="00191D52">
      <w:pPr>
        <w:pStyle w:val="Heading2-numbered"/>
      </w:pPr>
      <w:bookmarkStart w:id="40" w:name="_Toc200199232"/>
      <w:bookmarkStart w:id="41" w:name="_Toc207353874"/>
      <w:r>
        <w:t>Reporting and invoicing</w:t>
      </w:r>
      <w:bookmarkEnd w:id="40"/>
      <w:bookmarkEnd w:id="41"/>
    </w:p>
    <w:p w14:paraId="1BE3A5B6" w14:textId="44AC06BA" w:rsidR="00B43C67" w:rsidRDefault="00B43C67" w:rsidP="00B43C67">
      <w:r>
        <w:t xml:space="preserve">As officers appointed under the three Acts outlined in these guidelines, district inspectors have regular statutory reporting responsibilities to the Director, or the Director-General of Health in the case of the </w:t>
      </w:r>
      <w:r w:rsidR="00E27AEB">
        <w:t>Intellectual Disability Act</w:t>
      </w:r>
      <w:r>
        <w:t xml:space="preserve">. </w:t>
      </w:r>
    </w:p>
    <w:p w14:paraId="59E06B84" w14:textId="77777777" w:rsidR="00572C03" w:rsidRPr="00AD2F5A" w:rsidRDefault="00572C03" w:rsidP="00B43C67"/>
    <w:p w14:paraId="0758EB1F" w14:textId="2CFCBD45" w:rsidR="00B43C67" w:rsidRDefault="00B43C67" w:rsidP="00B43C67">
      <w:r>
        <w:t xml:space="preserve">The Director carefully considers each district inspector’s monthly report to ensure the work they have undertaken under the Act(s) they are appointed under is aligned with legislative requirements. The Director additionally considers district inspectors’ reports to identify any issues that have been raised that require follow-up by </w:t>
      </w:r>
      <w:r>
        <w:rPr>
          <w:rFonts w:cs="Segoe UI"/>
          <w:szCs w:val="21"/>
        </w:rPr>
        <w:t>the Ministry</w:t>
      </w:r>
      <w:r>
        <w:t>. This means district inspector monthly statutory reporting acts as an accountability</w:t>
      </w:r>
      <w:r w:rsidRPr="00234ED0">
        <w:rPr>
          <w:rFonts w:eastAsia="Segoe UI" w:cs="Segoe UI"/>
          <w:szCs w:val="21"/>
        </w:rPr>
        <w:t xml:space="preserve"> mechanism</w:t>
      </w:r>
      <w:r>
        <w:rPr>
          <w:rFonts w:eastAsia="Segoe UI" w:cs="Segoe UI"/>
          <w:szCs w:val="21"/>
        </w:rPr>
        <w:t xml:space="preserve"> for services and facilities</w:t>
      </w:r>
      <w:r>
        <w:t>.</w:t>
      </w:r>
    </w:p>
    <w:p w14:paraId="76F5CFDD" w14:textId="77777777" w:rsidR="00F84CB5" w:rsidRDefault="00F84CB5" w:rsidP="00B43C67">
      <w:pPr>
        <w:rPr>
          <w:rFonts w:eastAsia="Segoe UI"/>
        </w:rPr>
      </w:pPr>
    </w:p>
    <w:p w14:paraId="7940B9FB" w14:textId="77777777" w:rsidR="00B43C67" w:rsidRDefault="00B43C67" w:rsidP="00572C03">
      <w:pPr>
        <w:rPr>
          <w:rFonts w:eastAsia="Segoe UI"/>
        </w:rPr>
      </w:pPr>
      <w:r>
        <w:rPr>
          <w:rFonts w:eastAsia="Segoe UI"/>
        </w:rPr>
        <w:t>District inspector monthly statutory reporting</w:t>
      </w:r>
      <w:r w:rsidRPr="7362CCE2">
        <w:rPr>
          <w:rFonts w:eastAsia="Segoe UI"/>
        </w:rPr>
        <w:t xml:space="preserve"> </w:t>
      </w:r>
      <w:r>
        <w:rPr>
          <w:rFonts w:eastAsia="Segoe UI"/>
        </w:rPr>
        <w:t xml:space="preserve">contributes to </w:t>
      </w:r>
      <w:r w:rsidRPr="7362CCE2">
        <w:rPr>
          <w:rFonts w:eastAsia="Segoe UI"/>
        </w:rPr>
        <w:t xml:space="preserve">quality improvement at an individual service level. Through their routine functions, district inspectors become familiar with services and can detect patterns or </w:t>
      </w:r>
      <w:r>
        <w:rPr>
          <w:rFonts w:eastAsia="Segoe UI"/>
        </w:rPr>
        <w:t>concerns that require addressing</w:t>
      </w:r>
      <w:r w:rsidRPr="7362CCE2">
        <w:rPr>
          <w:rFonts w:eastAsia="Segoe UI"/>
        </w:rPr>
        <w:t>. In many cases, services have used the reporting process and the recommendations made by district inspectors to bring about positive changes and improvements to service provision.</w:t>
      </w:r>
    </w:p>
    <w:p w14:paraId="66C7D341" w14:textId="77777777" w:rsidR="00572C03" w:rsidRDefault="00572C03" w:rsidP="00572C03">
      <w:pPr>
        <w:rPr>
          <w:rFonts w:eastAsia="Segoe UI"/>
        </w:rPr>
      </w:pPr>
    </w:p>
    <w:p w14:paraId="432BDB74" w14:textId="55BBF9B9" w:rsidR="00B43C67" w:rsidRDefault="00B43C67" w:rsidP="00572C03">
      <w:r>
        <w:rPr>
          <w:rFonts w:eastAsia="Segoe UI"/>
        </w:rPr>
        <w:t>All</w:t>
      </w:r>
      <w:r w:rsidRPr="4801DE6A">
        <w:rPr>
          <w:rFonts w:eastAsia="Segoe UI"/>
        </w:rPr>
        <w:t xml:space="preserve"> </w:t>
      </w:r>
      <w:r w:rsidRPr="00572C03">
        <w:rPr>
          <w:rFonts w:eastAsia="Segoe UI"/>
        </w:rPr>
        <w:t>monthly</w:t>
      </w:r>
      <w:r w:rsidRPr="4801DE6A">
        <w:rPr>
          <w:rFonts w:eastAsia="Segoe UI"/>
        </w:rPr>
        <w:t xml:space="preserve"> </w:t>
      </w:r>
      <w:r>
        <w:rPr>
          <w:rFonts w:eastAsia="Segoe UI"/>
        </w:rPr>
        <w:t xml:space="preserve">statutory </w:t>
      </w:r>
      <w:r w:rsidRPr="4801DE6A">
        <w:rPr>
          <w:rFonts w:eastAsia="Segoe UI"/>
        </w:rPr>
        <w:t>report</w:t>
      </w:r>
      <w:r>
        <w:rPr>
          <w:rFonts w:eastAsia="Segoe UI"/>
        </w:rPr>
        <w:t>s</w:t>
      </w:r>
      <w:r w:rsidRPr="4801DE6A">
        <w:rPr>
          <w:rFonts w:eastAsia="Segoe UI"/>
        </w:rPr>
        <w:t xml:space="preserve"> </w:t>
      </w:r>
      <w:r>
        <w:rPr>
          <w:rFonts w:eastAsia="Segoe UI"/>
        </w:rPr>
        <w:t>must</w:t>
      </w:r>
      <w:r w:rsidRPr="4801DE6A">
        <w:rPr>
          <w:rFonts w:eastAsia="Segoe UI"/>
        </w:rPr>
        <w:t xml:space="preserve"> be accompanied by a covering letter identifying any outstanding issues, and an invoice. </w:t>
      </w:r>
      <w:r>
        <w:rPr>
          <w:rFonts w:eastAsia="Segoe UI"/>
        </w:rPr>
        <w:t xml:space="preserve">The Ministry expects district inspectors to complete and submit </w:t>
      </w:r>
      <w:r>
        <w:t>m</w:t>
      </w:r>
      <w:r w:rsidRPr="00665B78">
        <w:t xml:space="preserve">onthly reports within </w:t>
      </w:r>
      <w:r>
        <w:t>14 days of the</w:t>
      </w:r>
      <w:r w:rsidRPr="00665B78">
        <w:t xml:space="preserve"> month’s end.</w:t>
      </w:r>
      <w:r>
        <w:t xml:space="preserve"> Templates and instructions for both monthly reports and invoices are available on the Ministry’s website at </w:t>
      </w:r>
      <w:hyperlink r:id="rId34" w:history="1">
        <w:r w:rsidR="00825FB4" w:rsidRPr="00825FB4">
          <w:rPr>
            <w:rStyle w:val="Hyperlink"/>
            <w:rFonts w:cs="Segoe UI"/>
            <w:szCs w:val="21"/>
            <w:u w:val="single"/>
          </w:rPr>
          <w:t>www.health.govt.nz/publications/guidelines-for-the-role-and-function-of-district-inspectors</w:t>
        </w:r>
      </w:hyperlink>
      <w:r w:rsidR="00825FB4">
        <w:t>.</w:t>
      </w:r>
    </w:p>
    <w:p w14:paraId="048EC1FE" w14:textId="77777777" w:rsidR="00B43C67" w:rsidRDefault="00B43C67" w:rsidP="00B43C67">
      <w:pPr>
        <w:pStyle w:val="Heading4"/>
      </w:pPr>
      <w:r w:rsidRPr="001E62C8">
        <w:t xml:space="preserve">Remuneration </w:t>
      </w:r>
    </w:p>
    <w:p w14:paraId="73B4E05F" w14:textId="77777777" w:rsidR="00B43C67" w:rsidRDefault="00B43C67" w:rsidP="00B43C67">
      <w:pPr>
        <w:rPr>
          <w:b/>
          <w:bCs/>
        </w:rPr>
      </w:pPr>
      <w:r w:rsidRPr="00B63C21">
        <w:t xml:space="preserve">The Minister of Health may from time to time, with the concurrence of the Minister of Finance, fix the remuneration of district inspectors and </w:t>
      </w:r>
      <w:r>
        <w:t>d</w:t>
      </w:r>
      <w:r w:rsidRPr="00B63C21">
        <w:t xml:space="preserve">eputy district inspectors either generally or in any </w:t>
      </w:r>
      <w:r>
        <w:t xml:space="preserve">specific </w:t>
      </w:r>
      <w:r w:rsidRPr="00B63C21">
        <w:t xml:space="preserve">case. The </w:t>
      </w:r>
      <w:r>
        <w:t xml:space="preserve">two </w:t>
      </w:r>
      <w:r w:rsidRPr="00B63C21">
        <w:t>Ministers may also concur to vary the amount or nature of</w:t>
      </w:r>
      <w:r w:rsidRPr="00682266">
        <w:t xml:space="preserve"> </w:t>
      </w:r>
      <w:r w:rsidRPr="00B63C21">
        <w:t>remuneration</w:t>
      </w:r>
      <w:r>
        <w:t xml:space="preserve"> for</w:t>
      </w:r>
      <w:r w:rsidRPr="00B63C21">
        <w:t xml:space="preserve"> district inspector</w:t>
      </w:r>
      <w:r>
        <w:t>s</w:t>
      </w:r>
      <w:r w:rsidRPr="00B63C21">
        <w:t xml:space="preserve"> or </w:t>
      </w:r>
      <w:r>
        <w:t>d</w:t>
      </w:r>
      <w:r w:rsidRPr="00B63C21">
        <w:t>eputy district inspector</w:t>
      </w:r>
      <w:r>
        <w:t>s</w:t>
      </w:r>
      <w:r w:rsidRPr="00B63C21">
        <w:t>.</w:t>
      </w:r>
    </w:p>
    <w:p w14:paraId="53CFBA08" w14:textId="7BB4A59A" w:rsidR="002B3F7F" w:rsidRDefault="002B3F7F" w:rsidP="002B3F7F">
      <w:pPr>
        <w:rPr>
          <w:rFonts w:eastAsia="Segoe UI" w:cs="Segoe UI"/>
        </w:rPr>
      </w:pPr>
    </w:p>
    <w:p w14:paraId="78FA79AA" w14:textId="77777777" w:rsidR="00572C03" w:rsidRDefault="00572C03" w:rsidP="002B3F7F">
      <w:pPr>
        <w:rPr>
          <w:rFonts w:eastAsia="Segoe UI" w:cs="Segoe UI"/>
        </w:rPr>
        <w:sectPr w:rsidR="00572C03" w:rsidSect="00191D52">
          <w:pgSz w:w="11907" w:h="16840" w:code="9"/>
          <w:pgMar w:top="1418" w:right="1701" w:bottom="1134" w:left="1843" w:header="284" w:footer="425" w:gutter="284"/>
          <w:cols w:space="720"/>
        </w:sectPr>
      </w:pPr>
    </w:p>
    <w:p w14:paraId="58502D37" w14:textId="77777777" w:rsidR="00572C03" w:rsidRDefault="00572C03" w:rsidP="00572C03">
      <w:pPr>
        <w:pStyle w:val="Heading1-numbered"/>
      </w:pPr>
      <w:bookmarkStart w:id="42" w:name="_Toc200199233"/>
      <w:bookmarkStart w:id="43" w:name="_Toc207353875"/>
      <w:r>
        <w:lastRenderedPageBreak/>
        <w:t>General guidance for district inspectors</w:t>
      </w:r>
      <w:bookmarkEnd w:id="42"/>
      <w:bookmarkEnd w:id="43"/>
    </w:p>
    <w:p w14:paraId="2EC23615" w14:textId="77777777" w:rsidR="00572C03" w:rsidRDefault="00572C03" w:rsidP="00191D52">
      <w:pPr>
        <w:pStyle w:val="Heading2-numbered"/>
      </w:pPr>
      <w:bookmarkStart w:id="44" w:name="_Toc200199234"/>
      <w:bookmarkStart w:id="45" w:name="_Toc207353876"/>
      <w:bookmarkStart w:id="46" w:name="_Hlk83894408"/>
      <w:r>
        <w:t>Accountability relationships</w:t>
      </w:r>
      <w:bookmarkEnd w:id="44"/>
      <w:bookmarkEnd w:id="45"/>
    </w:p>
    <w:p w14:paraId="6BA19479" w14:textId="7E20DD92" w:rsidR="00572C03" w:rsidRDefault="00572C03" w:rsidP="00572C03">
      <w:r w:rsidRPr="00E72BCC">
        <w:t xml:space="preserve">One of the most significant features of the district </w:t>
      </w:r>
      <w:r>
        <w:t>inspector’</w:t>
      </w:r>
      <w:r w:rsidRPr="00E72BCC">
        <w:t>s role is their independence from</w:t>
      </w:r>
      <w:r>
        <w:t xml:space="preserve"> </w:t>
      </w:r>
      <w:r w:rsidRPr="00E72BCC">
        <w:t>services.</w:t>
      </w:r>
      <w:r>
        <w:t xml:space="preserve"> As a result, district inspectors are required</w:t>
      </w:r>
      <w:r w:rsidRPr="00E72BCC">
        <w:t xml:space="preserve"> to maintain impartiality and detachment from services and the decision-making processes that affect individual </w:t>
      </w:r>
      <w:r w:rsidRPr="7362CCE2">
        <w:rPr>
          <w:i/>
        </w:rPr>
        <w:t>patients</w:t>
      </w:r>
      <w:r>
        <w:rPr>
          <w:i/>
        </w:rPr>
        <w:t xml:space="preserve"> </w:t>
      </w:r>
      <w:r w:rsidRPr="006C0C81">
        <w:t>and</w:t>
      </w:r>
      <w:r>
        <w:rPr>
          <w:i/>
        </w:rPr>
        <w:t xml:space="preserve"> care recipients</w:t>
      </w:r>
      <w:r w:rsidRPr="00E72BCC">
        <w:t>.</w:t>
      </w:r>
      <w:r>
        <w:t xml:space="preserve"> This means district inspectors have an accountability to tāngata whai ora and tāngata whaikaha in protecting their rights. </w:t>
      </w:r>
    </w:p>
    <w:p w14:paraId="13F0E6B1" w14:textId="77777777" w:rsidR="00E8173D" w:rsidRDefault="00E8173D" w:rsidP="00572C03"/>
    <w:p w14:paraId="4C81255D" w14:textId="2A3A26D8" w:rsidR="00572C03" w:rsidRDefault="00572C03" w:rsidP="00572C03">
      <w:r>
        <w:t xml:space="preserve">To assist the Director to identify that the activities and claims made by district inspectors are within the specifications of the district inspector role, the Director may, from time to time, seek to verify claims made by district inspectors. </w:t>
      </w:r>
      <w:r w:rsidRPr="00725D55">
        <w:t xml:space="preserve">If the Director considers that a </w:t>
      </w:r>
      <w:r>
        <w:t>d</w:t>
      </w:r>
      <w:r w:rsidRPr="00725D55">
        <w:t xml:space="preserve">istrict </w:t>
      </w:r>
      <w:r>
        <w:t>inspector</w:t>
      </w:r>
      <w:r w:rsidRPr="00725D55">
        <w:t xml:space="preserve"> has discharged </w:t>
      </w:r>
      <w:r>
        <w:t>their</w:t>
      </w:r>
      <w:r w:rsidRPr="00725D55">
        <w:t xml:space="preserve"> statutory powers in an unnecessary or inappropriate way</w:t>
      </w:r>
      <w:r>
        <w:t>,</w:t>
      </w:r>
      <w:r w:rsidRPr="00725D55">
        <w:t xml:space="preserve"> then </w:t>
      </w:r>
      <w:r>
        <w:t xml:space="preserve">they </w:t>
      </w:r>
      <w:r w:rsidRPr="00725D55">
        <w:t xml:space="preserve">will address these concerns directly with the district </w:t>
      </w:r>
      <w:r>
        <w:t xml:space="preserve">inspector. </w:t>
      </w:r>
    </w:p>
    <w:p w14:paraId="3204AAC6" w14:textId="77777777" w:rsidR="00572C03" w:rsidRDefault="00572C03" w:rsidP="00572C03"/>
    <w:p w14:paraId="1183365B" w14:textId="781837BB" w:rsidR="00572C03" w:rsidRDefault="00572C03" w:rsidP="00572C03">
      <w:r w:rsidRPr="00725D55">
        <w:t xml:space="preserve">District </w:t>
      </w:r>
      <w:r>
        <w:t>inspector</w:t>
      </w:r>
      <w:r w:rsidRPr="00725D55">
        <w:t xml:space="preserve">s must </w:t>
      </w:r>
      <w:r>
        <w:t xml:space="preserve">also provide </w:t>
      </w:r>
      <w:r w:rsidRPr="00725D55">
        <w:t>report</w:t>
      </w:r>
      <w:r>
        <w:t xml:space="preserve">s </w:t>
      </w:r>
      <w:r w:rsidRPr="00725D55">
        <w:t xml:space="preserve">within specific timeframes </w:t>
      </w:r>
      <w:r>
        <w:t xml:space="preserve">on </w:t>
      </w:r>
      <w:r w:rsidRPr="00725D55">
        <w:t>any visits to hospitals or services</w:t>
      </w:r>
      <w:r>
        <w:t>,</w:t>
      </w:r>
      <w:r w:rsidRPr="00725D55">
        <w:t xml:space="preserve"> and the outcome of any investigation and </w:t>
      </w:r>
      <w:r>
        <w:t>inquiries,</w:t>
      </w:r>
      <w:r w:rsidRPr="00725D55">
        <w:t xml:space="preserve"> to the</w:t>
      </w:r>
      <w:r>
        <w:t>ir local</w:t>
      </w:r>
      <w:r w:rsidRPr="00725D55">
        <w:t xml:space="preserve"> </w:t>
      </w:r>
      <w:r>
        <w:t xml:space="preserve">DAMHS, Area Director or the Director-General of Health, depending on the Act that they are functioning under. </w:t>
      </w:r>
    </w:p>
    <w:p w14:paraId="541EFDEA" w14:textId="77777777" w:rsidR="00572C03" w:rsidRDefault="00572C03" w:rsidP="00572C03"/>
    <w:p w14:paraId="71C9052A" w14:textId="43FFD2F3" w:rsidR="00572C03" w:rsidRDefault="00572C03" w:rsidP="00572C03">
      <w:r w:rsidRPr="00AD14F6">
        <w:t xml:space="preserve">It is expected that district inspectors have a strong working relationship </w:t>
      </w:r>
      <w:r>
        <w:t xml:space="preserve">with </w:t>
      </w:r>
      <w:r w:rsidRPr="00AD14F6">
        <w:t>their local DAMHS</w:t>
      </w:r>
      <w:r>
        <w:t>, Area Director or Care Coordinator, depending on the Act they are functioning under</w:t>
      </w:r>
      <w:r w:rsidRPr="00AD14F6">
        <w:t xml:space="preserve">. </w:t>
      </w:r>
      <w:r w:rsidRPr="00F94501">
        <w:rPr>
          <w:i/>
          <w:iCs/>
        </w:rPr>
        <w:t>Patient</w:t>
      </w:r>
      <w:r w:rsidRPr="00AD14F6">
        <w:t xml:space="preserve"> </w:t>
      </w:r>
      <w:r>
        <w:t xml:space="preserve">or </w:t>
      </w:r>
      <w:r w:rsidRPr="00F94501">
        <w:rPr>
          <w:i/>
          <w:iCs/>
        </w:rPr>
        <w:t>care recipient</w:t>
      </w:r>
      <w:r>
        <w:t xml:space="preserve"> </w:t>
      </w:r>
      <w:r w:rsidRPr="00AD14F6">
        <w:t>complaints or service concerns that the district inspector has warranted as having substance must be reported to the DAMHS</w:t>
      </w:r>
      <w:r>
        <w:t>, Area Director or Care Coordinator</w:t>
      </w:r>
      <w:r w:rsidRPr="00AD14F6">
        <w:t xml:space="preserve">, </w:t>
      </w:r>
      <w:r>
        <w:t>alongside</w:t>
      </w:r>
      <w:r w:rsidRPr="00AD14F6">
        <w:t xml:space="preserve"> recommendations that the district inspector think</w:t>
      </w:r>
      <w:r>
        <w:t>s</w:t>
      </w:r>
      <w:r w:rsidRPr="00AD14F6">
        <w:t xml:space="preserve"> fit. In response to this, it is a statutory requirement that the DAMHS</w:t>
      </w:r>
      <w:r>
        <w:t>, Area Director or Care Coordinator</w:t>
      </w:r>
      <w:r w:rsidRPr="00AD14F6">
        <w:t xml:space="preserve"> take</w:t>
      </w:r>
      <w:r>
        <w:t>s</w:t>
      </w:r>
      <w:r w:rsidRPr="00AD14F6">
        <w:t xml:space="preserve"> all such steps that</w:t>
      </w:r>
      <w:r>
        <w:t xml:space="preserve"> are</w:t>
      </w:r>
      <w:r w:rsidRPr="00AD14F6">
        <w:t xml:space="preserve"> necessary to rectify and address the matters raised.</w:t>
      </w:r>
      <w:r>
        <w:t xml:space="preserve"> </w:t>
      </w:r>
    </w:p>
    <w:p w14:paraId="484C7F0E" w14:textId="77777777" w:rsidR="00572C03" w:rsidRDefault="00572C03" w:rsidP="00572C03"/>
    <w:p w14:paraId="47D820BB" w14:textId="1E6475B7" w:rsidR="00572C03" w:rsidRDefault="00572C03" w:rsidP="00572C03">
      <w:r>
        <w:t xml:space="preserve">Conflicts of interest may arise on occasion for district inspectors. District inspectors should have regard to the potential impact of activities, interests and associations in their private or professional lives on the impartial and efficient performance of their district inspector roles, and not accept gifts of any kind where this could reasonably be perceived to compromise their impartiality. </w:t>
      </w:r>
      <w:r w:rsidR="002A4CA6">
        <w:t xml:space="preserve">Where there is an existing relationship that may give rise to conflict of interest or perceived conflict of interest, </w:t>
      </w:r>
      <w:r w:rsidR="2B646A1D">
        <w:t xml:space="preserve">either ask a different district inspector to take over or </w:t>
      </w:r>
      <w:r w:rsidR="008342DA">
        <w:t xml:space="preserve">seek advice from the Director. </w:t>
      </w:r>
    </w:p>
    <w:p w14:paraId="496C852B" w14:textId="77777777" w:rsidR="00572C03" w:rsidRDefault="00572C03" w:rsidP="00191D52">
      <w:pPr>
        <w:pStyle w:val="Heading2-numbered"/>
      </w:pPr>
      <w:bookmarkStart w:id="47" w:name="_Toc200199235"/>
      <w:bookmarkStart w:id="48" w:name="_Toc207353877"/>
      <w:bookmarkStart w:id="49" w:name="_Ref141774145"/>
      <w:r>
        <w:lastRenderedPageBreak/>
        <w:t>Optional Protocol to the Convention against Torture</w:t>
      </w:r>
      <w:bookmarkEnd w:id="47"/>
      <w:bookmarkEnd w:id="48"/>
      <w:r>
        <w:t xml:space="preserve"> </w:t>
      </w:r>
      <w:bookmarkEnd w:id="49"/>
    </w:p>
    <w:p w14:paraId="633D974A" w14:textId="0FF062B3" w:rsidR="00572C03" w:rsidRDefault="00572C03" w:rsidP="00572C03">
      <w:pPr>
        <w:rPr>
          <w:rFonts w:eastAsia="Segoe UI"/>
        </w:rPr>
      </w:pPr>
      <w:r>
        <w:rPr>
          <w:rFonts w:eastAsia="Segoe UI"/>
        </w:rPr>
        <w:t>In 1989, New Zealand</w:t>
      </w:r>
      <w:r w:rsidRPr="4801DE6A">
        <w:rPr>
          <w:rFonts w:eastAsia="Segoe UI"/>
        </w:rPr>
        <w:t xml:space="preserve"> ratified the U</w:t>
      </w:r>
      <w:r>
        <w:rPr>
          <w:rFonts w:eastAsia="Segoe UI"/>
        </w:rPr>
        <w:t xml:space="preserve">nited </w:t>
      </w:r>
      <w:r w:rsidRPr="4801DE6A">
        <w:rPr>
          <w:rFonts w:eastAsia="Segoe UI"/>
        </w:rPr>
        <w:t>N</w:t>
      </w:r>
      <w:r>
        <w:rPr>
          <w:rFonts w:eastAsia="Segoe UI"/>
        </w:rPr>
        <w:t>ations</w:t>
      </w:r>
      <w:r w:rsidRPr="4801DE6A">
        <w:rPr>
          <w:rFonts w:eastAsia="Segoe UI"/>
        </w:rPr>
        <w:t xml:space="preserve"> </w:t>
      </w:r>
      <w:r>
        <w:rPr>
          <w:rFonts w:eastAsia="Segoe UI"/>
        </w:rPr>
        <w:t xml:space="preserve">Optional Protocol to the </w:t>
      </w:r>
      <w:r w:rsidRPr="4801DE6A">
        <w:rPr>
          <w:rFonts w:eastAsia="Segoe UI"/>
        </w:rPr>
        <w:t xml:space="preserve">Convention against Torture </w:t>
      </w:r>
      <w:r>
        <w:rPr>
          <w:rFonts w:eastAsia="Segoe UI"/>
        </w:rPr>
        <w:t>and</w:t>
      </w:r>
      <w:r w:rsidRPr="4801DE6A">
        <w:rPr>
          <w:rFonts w:eastAsia="Segoe UI"/>
        </w:rPr>
        <w:t xml:space="preserve"> Other Cruel, Inhuman or Degrading Treatment or Punishment</w:t>
      </w:r>
      <w:r>
        <w:rPr>
          <w:rFonts w:eastAsia="Segoe UI"/>
        </w:rPr>
        <w:t xml:space="preserve"> (OPCAT)</w:t>
      </w:r>
      <w:r w:rsidRPr="4801DE6A">
        <w:rPr>
          <w:rFonts w:eastAsia="Segoe UI"/>
        </w:rPr>
        <w:t>.</w:t>
      </w:r>
      <w:r>
        <w:rPr>
          <w:rFonts w:eastAsia="Segoe UI"/>
        </w:rPr>
        <w:t xml:space="preserve"> </w:t>
      </w:r>
      <w:r w:rsidRPr="4801DE6A">
        <w:rPr>
          <w:rFonts w:eastAsia="Segoe UI"/>
        </w:rPr>
        <w:t>The Crimes of Torture Act 1989</w:t>
      </w:r>
      <w:r>
        <w:rPr>
          <w:rFonts w:eastAsia="Segoe UI"/>
        </w:rPr>
        <w:t xml:space="preserve"> </w:t>
      </w:r>
      <w:r w:rsidRPr="4801DE6A">
        <w:rPr>
          <w:rFonts w:eastAsia="Segoe UI"/>
        </w:rPr>
        <w:t xml:space="preserve">implements </w:t>
      </w:r>
      <w:r>
        <w:rPr>
          <w:rFonts w:eastAsia="Segoe UI"/>
        </w:rPr>
        <w:t>New Zealand’s</w:t>
      </w:r>
      <w:r w:rsidRPr="4801DE6A">
        <w:rPr>
          <w:rFonts w:eastAsia="Segoe UI"/>
        </w:rPr>
        <w:t xml:space="preserve"> obligations under the Convention Against Torture and the </w:t>
      </w:r>
      <w:r>
        <w:rPr>
          <w:rFonts w:eastAsia="Segoe UI"/>
        </w:rPr>
        <w:t>OPCAT</w:t>
      </w:r>
      <w:r w:rsidRPr="4801DE6A">
        <w:rPr>
          <w:rFonts w:eastAsia="Segoe UI"/>
        </w:rPr>
        <w:t xml:space="preserve">. It prohibits acts of torture and provides for a National Preventive Mechanism (NPM) to inspect and monitor places of detention. </w:t>
      </w:r>
    </w:p>
    <w:p w14:paraId="1407211B" w14:textId="77777777" w:rsidR="00572C03" w:rsidRPr="0036241F" w:rsidRDefault="00572C03" w:rsidP="00572C03">
      <w:pPr>
        <w:rPr>
          <w:rFonts w:eastAsia="Segoe UI"/>
        </w:rPr>
      </w:pPr>
    </w:p>
    <w:p w14:paraId="4CE1D576" w14:textId="708DC57F" w:rsidR="00572C03" w:rsidRDefault="00572C03" w:rsidP="00572C03">
      <w:pPr>
        <w:rPr>
          <w:rFonts w:eastAsia="Segoe UI"/>
        </w:rPr>
      </w:pPr>
      <w:r w:rsidRPr="4801DE6A">
        <w:rPr>
          <w:rFonts w:eastAsia="Segoe UI"/>
        </w:rPr>
        <w:t>The NPMs have a mandate to independently monitor places where people are deprived of their liberty</w:t>
      </w:r>
      <w:r>
        <w:rPr>
          <w:rFonts w:eastAsia="Segoe UI"/>
        </w:rPr>
        <w:t>. Their purpose is</w:t>
      </w:r>
      <w:r w:rsidRPr="4801DE6A">
        <w:rPr>
          <w:rFonts w:eastAsia="Segoe UI"/>
        </w:rPr>
        <w:t xml:space="preserve"> to prevent torture and other cruel, inhuman or degrading treatment or punishment (ill-treatment). </w:t>
      </w:r>
    </w:p>
    <w:p w14:paraId="09DE9E4A" w14:textId="77777777" w:rsidR="00572C03" w:rsidRPr="0036241F" w:rsidRDefault="00572C03" w:rsidP="00572C03">
      <w:pPr>
        <w:rPr>
          <w:rFonts w:eastAsia="Segoe UI"/>
        </w:rPr>
      </w:pPr>
    </w:p>
    <w:p w14:paraId="0EC6F912" w14:textId="77777777" w:rsidR="00572C03" w:rsidRDefault="00572C03" w:rsidP="00572C03">
      <w:pPr>
        <w:rPr>
          <w:rFonts w:eastAsia="Segoe UI"/>
        </w:rPr>
      </w:pPr>
      <w:r>
        <w:rPr>
          <w:rFonts w:eastAsia="Segoe UI"/>
        </w:rPr>
        <w:t>New Zealand’s</w:t>
      </w:r>
      <w:r w:rsidRPr="4801DE6A">
        <w:rPr>
          <w:rFonts w:eastAsia="Segoe UI"/>
        </w:rPr>
        <w:t xml:space="preserve"> NPM is made up of </w:t>
      </w:r>
      <w:r>
        <w:rPr>
          <w:rFonts w:eastAsia="Segoe UI"/>
        </w:rPr>
        <w:t>five</w:t>
      </w:r>
      <w:r w:rsidRPr="4801DE6A">
        <w:rPr>
          <w:rFonts w:eastAsia="Segoe UI"/>
        </w:rPr>
        <w:t xml:space="preserve"> organisations: </w:t>
      </w:r>
    </w:p>
    <w:p w14:paraId="024DDBEB" w14:textId="77777777" w:rsidR="00572C03" w:rsidRPr="00572C03" w:rsidRDefault="00572C03" w:rsidP="00572C03">
      <w:pPr>
        <w:pStyle w:val="Bullet"/>
      </w:pPr>
      <w:r w:rsidRPr="00572C03">
        <w:t>the Human Rights Commission</w:t>
      </w:r>
    </w:p>
    <w:p w14:paraId="7FFA7892" w14:textId="77777777" w:rsidR="00572C03" w:rsidRPr="00572C03" w:rsidRDefault="00572C03" w:rsidP="00572C03">
      <w:pPr>
        <w:pStyle w:val="Bullet"/>
      </w:pPr>
      <w:r w:rsidRPr="00572C03">
        <w:t>Office of the Ombudsman</w:t>
      </w:r>
    </w:p>
    <w:p w14:paraId="46F06DB4" w14:textId="77777777" w:rsidR="00572C03" w:rsidRPr="00572C03" w:rsidRDefault="00572C03" w:rsidP="00572C03">
      <w:pPr>
        <w:pStyle w:val="Bullet"/>
      </w:pPr>
      <w:r w:rsidRPr="00572C03">
        <w:t>Independent Police Conduct Authority</w:t>
      </w:r>
    </w:p>
    <w:p w14:paraId="10AD7C1E" w14:textId="77777777" w:rsidR="00572C03" w:rsidRPr="00572C03" w:rsidRDefault="00572C03" w:rsidP="00572C03">
      <w:pPr>
        <w:pStyle w:val="Bullet"/>
      </w:pPr>
      <w:r w:rsidRPr="00572C03">
        <w:t>the Children’s Commissioner</w:t>
      </w:r>
    </w:p>
    <w:p w14:paraId="6A7F49B0" w14:textId="77777777" w:rsidR="00572C03" w:rsidRPr="00572C03" w:rsidRDefault="00572C03" w:rsidP="00572C03">
      <w:pPr>
        <w:pStyle w:val="Bullet"/>
      </w:pPr>
      <w:r w:rsidRPr="00572C03">
        <w:t xml:space="preserve">the Inspector of Service Penal Establishments. </w:t>
      </w:r>
    </w:p>
    <w:p w14:paraId="75E359D5" w14:textId="77777777" w:rsidR="00572C03" w:rsidRDefault="00572C03" w:rsidP="0056181F">
      <w:pPr>
        <w:rPr>
          <w:rFonts w:eastAsia="Segoe UI"/>
        </w:rPr>
      </w:pPr>
    </w:p>
    <w:p w14:paraId="303AC705" w14:textId="2DFA4993" w:rsidR="00572C03" w:rsidRDefault="00572C03" w:rsidP="00572C03">
      <w:pPr>
        <w:rPr>
          <w:rFonts w:eastAsia="Segoe UI"/>
        </w:rPr>
      </w:pPr>
      <w:r w:rsidRPr="7362CCE2">
        <w:rPr>
          <w:rFonts w:eastAsia="Segoe UI"/>
        </w:rPr>
        <w:t xml:space="preserve">In terms of health and disability places of detention, the Ombudsman is responsible for monitoring adult mental health </w:t>
      </w:r>
      <w:r>
        <w:rPr>
          <w:rFonts w:eastAsia="Segoe UI"/>
        </w:rPr>
        <w:t xml:space="preserve">and addiction </w:t>
      </w:r>
      <w:r w:rsidRPr="7362CCE2">
        <w:rPr>
          <w:rFonts w:eastAsia="Segoe UI"/>
        </w:rPr>
        <w:t>inpatient</w:t>
      </w:r>
      <w:r>
        <w:rPr>
          <w:rFonts w:eastAsia="Segoe UI"/>
        </w:rPr>
        <w:t xml:space="preserve"> services, </w:t>
      </w:r>
      <w:r w:rsidRPr="7362CCE2">
        <w:rPr>
          <w:rFonts w:eastAsia="Segoe UI"/>
        </w:rPr>
        <w:t xml:space="preserve">secure intellectual disability facilities and aged care facilities. The </w:t>
      </w:r>
      <w:r>
        <w:rPr>
          <w:rFonts w:eastAsia="Segoe UI"/>
        </w:rPr>
        <w:t>Children’s Commissioner</w:t>
      </w:r>
      <w:r w:rsidRPr="7362CCE2">
        <w:rPr>
          <w:rFonts w:eastAsia="Segoe UI"/>
        </w:rPr>
        <w:t xml:space="preserve"> is responsible for child and youth mental health and intellectual disability facilities. </w:t>
      </w:r>
    </w:p>
    <w:p w14:paraId="75E5565B" w14:textId="77777777" w:rsidR="00572C03" w:rsidRDefault="00572C03" w:rsidP="00572C03">
      <w:pPr>
        <w:rPr>
          <w:rFonts w:eastAsia="Segoe UI"/>
        </w:rPr>
      </w:pPr>
    </w:p>
    <w:p w14:paraId="59F1DBBD" w14:textId="7A2EC59C" w:rsidR="00572C03" w:rsidRDefault="00572C03" w:rsidP="00572C03">
      <w:pPr>
        <w:rPr>
          <w:rFonts w:eastAsia="Segoe UI"/>
        </w:rPr>
      </w:pPr>
      <w:r w:rsidRPr="7362CCE2">
        <w:rPr>
          <w:rFonts w:eastAsia="Segoe UI"/>
        </w:rPr>
        <w:t>The NPMs appoint inspectors who regularly visit places of detention.</w:t>
      </w:r>
      <w:r>
        <w:rPr>
          <w:rFonts w:eastAsia="Segoe UI"/>
        </w:rPr>
        <w:t xml:space="preserve"> </w:t>
      </w:r>
      <w:r w:rsidRPr="4801DE6A">
        <w:rPr>
          <w:rFonts w:eastAsia="Segoe UI"/>
        </w:rPr>
        <w:t xml:space="preserve">The OPCAT inspectors can make announced or unannounced visits to facilities and have unrestricted access to these locations. They also have unrestricted access to information about the number and treatment of detainees and conditions of detention and can interview any person in a place of detention, or who can provide relevant information. </w:t>
      </w:r>
    </w:p>
    <w:p w14:paraId="6F5FE8E1" w14:textId="77777777" w:rsidR="00572C03" w:rsidRPr="006C0C81" w:rsidRDefault="00572C03" w:rsidP="00572C03">
      <w:pPr>
        <w:rPr>
          <w:rFonts w:eastAsia="Segoe UI"/>
        </w:rPr>
      </w:pPr>
    </w:p>
    <w:p w14:paraId="2E87C218" w14:textId="3627A668" w:rsidR="00572C03" w:rsidRDefault="00572C03" w:rsidP="00572C03">
      <w:pPr>
        <w:rPr>
          <w:rFonts w:eastAsia="Segoe UI"/>
        </w:rPr>
      </w:pPr>
      <w:r w:rsidRPr="4801DE6A">
        <w:rPr>
          <w:rFonts w:eastAsia="Segoe UI"/>
        </w:rPr>
        <w:t xml:space="preserve">District inspectors are asked to cooperate fully with these visits and may be invited to </w:t>
      </w:r>
      <w:r>
        <w:rPr>
          <w:rFonts w:eastAsia="Segoe UI"/>
        </w:rPr>
        <w:t>meet with</w:t>
      </w:r>
      <w:r w:rsidRPr="4801DE6A">
        <w:rPr>
          <w:rFonts w:eastAsia="Segoe UI"/>
        </w:rPr>
        <w:t xml:space="preserve"> the Ombudsman</w:t>
      </w:r>
      <w:r>
        <w:rPr>
          <w:rFonts w:eastAsia="Segoe UI"/>
        </w:rPr>
        <w:t xml:space="preserve">, </w:t>
      </w:r>
      <w:r w:rsidRPr="4801DE6A">
        <w:rPr>
          <w:rFonts w:eastAsia="Segoe UI"/>
        </w:rPr>
        <w:t xml:space="preserve">the </w:t>
      </w:r>
      <w:r>
        <w:rPr>
          <w:rFonts w:eastAsia="Segoe UI"/>
        </w:rPr>
        <w:t>Mana Mokopuna – the Children and Young People’s Commission,</w:t>
      </w:r>
      <w:r w:rsidRPr="4801DE6A">
        <w:rPr>
          <w:rFonts w:eastAsia="Segoe UI"/>
        </w:rPr>
        <w:t xml:space="preserve"> or their delegates, if </w:t>
      </w:r>
      <w:r>
        <w:rPr>
          <w:rFonts w:eastAsia="Segoe UI"/>
        </w:rPr>
        <w:t xml:space="preserve">they are </w:t>
      </w:r>
      <w:r w:rsidRPr="4801DE6A">
        <w:rPr>
          <w:rFonts w:eastAsia="Segoe UI"/>
        </w:rPr>
        <w:t>available to do so.</w:t>
      </w:r>
    </w:p>
    <w:p w14:paraId="2A27AC63" w14:textId="77777777" w:rsidR="00572C03" w:rsidRPr="0036241F" w:rsidRDefault="00572C03" w:rsidP="00572C03">
      <w:pPr>
        <w:rPr>
          <w:rFonts w:eastAsia="Segoe UI"/>
        </w:rPr>
      </w:pPr>
    </w:p>
    <w:p w14:paraId="292DE3CB" w14:textId="4D75FFA4" w:rsidR="00572C03" w:rsidRDefault="00572C03" w:rsidP="00572C03">
      <w:pPr>
        <w:rPr>
          <w:rFonts w:eastAsia="Segoe UI"/>
        </w:rPr>
      </w:pPr>
      <w:r w:rsidRPr="4801DE6A">
        <w:rPr>
          <w:rFonts w:eastAsia="Segoe UI"/>
        </w:rPr>
        <w:t xml:space="preserve">District inspectors may also be asked to provide reports to the Ombudsman to review for the purpose of these visits. The position of </w:t>
      </w:r>
      <w:r>
        <w:rPr>
          <w:rFonts w:eastAsia="Segoe UI"/>
        </w:rPr>
        <w:t>the Ministry</w:t>
      </w:r>
      <w:r w:rsidRPr="4801DE6A">
        <w:rPr>
          <w:rFonts w:eastAsia="Segoe UI"/>
        </w:rPr>
        <w:t xml:space="preserve"> is that the information can be provided in these circumstances. The reports are within the scope of section 28 of the Crimes of Torture Act 1989</w:t>
      </w:r>
      <w:r>
        <w:rPr>
          <w:rFonts w:eastAsia="Segoe UI"/>
        </w:rPr>
        <w:t>,</w:t>
      </w:r>
      <w:r w:rsidRPr="4801DE6A">
        <w:rPr>
          <w:rFonts w:eastAsia="Segoe UI"/>
        </w:rPr>
        <w:t xml:space="preserve"> as information about the treatment of detainees in places of detention or the conditions of detention applying to detainees in places of detention</w:t>
      </w:r>
      <w:r>
        <w:rPr>
          <w:rFonts w:eastAsia="Segoe UI"/>
        </w:rPr>
        <w:t>.</w:t>
      </w:r>
    </w:p>
    <w:p w14:paraId="42DD12D1" w14:textId="77777777" w:rsidR="00572C03" w:rsidRDefault="00572C03" w:rsidP="00572C03">
      <w:pPr>
        <w:rPr>
          <w:rFonts w:eastAsia="Segoe UI"/>
        </w:rPr>
      </w:pPr>
    </w:p>
    <w:p w14:paraId="6088AAC0" w14:textId="5247A2DC" w:rsidR="00572C03" w:rsidRDefault="00572C03" w:rsidP="00572C03">
      <w:r>
        <w:t xml:space="preserve">In addition, district inspectors should review and regularly report to the Director on the implementation and progress of recommendations set out in OPCAT reports. The focus of this will depend on the nature of the recommendations outlined and how these </w:t>
      </w:r>
      <w:r>
        <w:lastRenderedPageBreak/>
        <w:t xml:space="preserve">relate to </w:t>
      </w:r>
      <w:r w:rsidRPr="0B494002">
        <w:rPr>
          <w:rFonts w:eastAsia="Segoe UI" w:cs="Segoe UI"/>
        </w:rPr>
        <w:t>tāngata whai ora or family and whānau rights</w:t>
      </w:r>
      <w:r>
        <w:t xml:space="preserve">. </w:t>
      </w:r>
      <w:r w:rsidRPr="006333E5">
        <w:t>It would be useful for district inspectors to be aware of the Ombudsman</w:t>
      </w:r>
      <w:r>
        <w:t>’s</w:t>
      </w:r>
      <w:r w:rsidRPr="006333E5">
        <w:t xml:space="preserve"> expectations</w:t>
      </w:r>
      <w:r>
        <w:t xml:space="preserve"> under OPCAT (Office of the Ombudsman 2024).</w:t>
      </w:r>
      <w:r w:rsidR="008214EF">
        <w:rPr>
          <w:rStyle w:val="FootnoteReference"/>
        </w:rPr>
        <w:t xml:space="preserve"> </w:t>
      </w:r>
      <w:r>
        <w:t xml:space="preserve">The statutory relationship between district inspectors and DAMHS or Care Coordinators requires any comments to be first directed to the service before escalation. </w:t>
      </w:r>
    </w:p>
    <w:p w14:paraId="760B76F1" w14:textId="77777777" w:rsidR="00572C03" w:rsidRDefault="00572C03" w:rsidP="00191D52">
      <w:pPr>
        <w:pStyle w:val="Heading2-numbered"/>
      </w:pPr>
      <w:bookmarkStart w:id="50" w:name="_Toc200199236"/>
      <w:bookmarkStart w:id="51" w:name="_Toc207353878"/>
      <w:r>
        <w:t>Working with rangatahi</w:t>
      </w:r>
      <w:bookmarkEnd w:id="46"/>
      <w:bookmarkEnd w:id="50"/>
      <w:bookmarkEnd w:id="51"/>
    </w:p>
    <w:p w14:paraId="30DEEAAC" w14:textId="24ECB6CA" w:rsidR="00572C03" w:rsidRDefault="00572C03" w:rsidP="00572C03">
      <w:pPr>
        <w:rPr>
          <w:rFonts w:cs="Arial"/>
        </w:rPr>
      </w:pPr>
      <w:r w:rsidRPr="516C99AA">
        <w:rPr>
          <w:rFonts w:cs="Arial"/>
        </w:rPr>
        <w:t xml:space="preserve">A key role for a district inspector working with </w:t>
      </w:r>
      <w:r>
        <w:rPr>
          <w:rFonts w:cs="Arial"/>
        </w:rPr>
        <w:t>rangatahi</w:t>
      </w:r>
      <w:r w:rsidRPr="516C99AA">
        <w:rPr>
          <w:rFonts w:cs="Arial"/>
        </w:rPr>
        <w:t xml:space="preserve"> and their</w:t>
      </w:r>
      <w:r>
        <w:rPr>
          <w:rFonts w:cs="Arial"/>
        </w:rPr>
        <w:t xml:space="preserve"> family and</w:t>
      </w:r>
      <w:r w:rsidRPr="516C99AA" w:rsidDel="00867374">
        <w:rPr>
          <w:rFonts w:cs="Arial"/>
        </w:rPr>
        <w:t xml:space="preserve"> </w:t>
      </w:r>
      <w:r w:rsidRPr="516C99AA">
        <w:rPr>
          <w:rFonts w:cs="Arial"/>
        </w:rPr>
        <w:t xml:space="preserve">whānau is to be an effective and appropriate communicator with a full understanding of their rights and obligations under </w:t>
      </w:r>
      <w:r>
        <w:rPr>
          <w:rFonts w:cs="Arial"/>
        </w:rPr>
        <w:t>whichever</w:t>
      </w:r>
      <w:r w:rsidRPr="516C99AA">
        <w:rPr>
          <w:rFonts w:cs="Arial"/>
        </w:rPr>
        <w:t xml:space="preserve"> of the </w:t>
      </w:r>
      <w:r>
        <w:rPr>
          <w:rFonts w:cs="Arial"/>
        </w:rPr>
        <w:t xml:space="preserve">three </w:t>
      </w:r>
      <w:r w:rsidRPr="516C99AA">
        <w:rPr>
          <w:rFonts w:cs="Arial"/>
        </w:rPr>
        <w:t xml:space="preserve">Acts </w:t>
      </w:r>
      <w:r>
        <w:rPr>
          <w:rFonts w:cs="Arial"/>
        </w:rPr>
        <w:t xml:space="preserve">outlined </w:t>
      </w:r>
      <w:r w:rsidRPr="516C99AA">
        <w:rPr>
          <w:rFonts w:cs="Arial"/>
        </w:rPr>
        <w:t>in these guidelines</w:t>
      </w:r>
      <w:r>
        <w:rPr>
          <w:rFonts w:cs="Arial"/>
        </w:rPr>
        <w:t xml:space="preserve"> apply to them</w:t>
      </w:r>
      <w:r w:rsidRPr="516C99AA">
        <w:rPr>
          <w:rFonts w:cs="Arial"/>
        </w:rPr>
        <w:t xml:space="preserve">. </w:t>
      </w:r>
      <w:r w:rsidRPr="00245127">
        <w:rPr>
          <w:rFonts w:cs="Arial"/>
        </w:rPr>
        <w:t>This includes being able to communica</w:t>
      </w:r>
      <w:r>
        <w:rPr>
          <w:rFonts w:cs="Arial"/>
        </w:rPr>
        <w:t>te</w:t>
      </w:r>
      <w:r w:rsidRPr="00245127">
        <w:rPr>
          <w:rFonts w:cs="Arial"/>
        </w:rPr>
        <w:t xml:space="preserve"> in terms that are well matched to the age and developmental stage of the </w:t>
      </w:r>
      <w:r>
        <w:rPr>
          <w:rFonts w:cs="Arial"/>
        </w:rPr>
        <w:t>rangatahi.</w:t>
      </w:r>
      <w:r>
        <w:rPr>
          <w:rStyle w:val="FootnoteReference"/>
          <w:rFonts w:cs="Arial"/>
        </w:rPr>
        <w:footnoteReference w:id="9"/>
      </w:r>
      <w:r>
        <w:rPr>
          <w:rFonts w:cs="Arial"/>
        </w:rPr>
        <w:t xml:space="preserve"> </w:t>
      </w:r>
    </w:p>
    <w:p w14:paraId="282D1F54" w14:textId="77777777" w:rsidR="00572C03" w:rsidRPr="002F47A1" w:rsidRDefault="00572C03" w:rsidP="00572C03">
      <w:pPr>
        <w:rPr>
          <w:lang w:eastAsia="en-US"/>
        </w:rPr>
      </w:pPr>
    </w:p>
    <w:p w14:paraId="72DD8A58" w14:textId="77777777" w:rsidR="00572C03" w:rsidRDefault="00572C03" w:rsidP="00572C03">
      <w:pPr>
        <w:rPr>
          <w:rFonts w:cs="Arial"/>
        </w:rPr>
      </w:pPr>
      <w:r w:rsidRPr="003C2B43">
        <w:rPr>
          <w:rFonts w:cs="Arial"/>
        </w:rPr>
        <w:t>D</w:t>
      </w:r>
      <w:r>
        <w:rPr>
          <w:rFonts w:cs="Arial"/>
        </w:rPr>
        <w:t xml:space="preserve">istrict inspectors </w:t>
      </w:r>
      <w:r w:rsidRPr="003C2B43">
        <w:rPr>
          <w:rFonts w:cs="Arial"/>
        </w:rPr>
        <w:t xml:space="preserve">should </w:t>
      </w:r>
      <w:r>
        <w:rPr>
          <w:rFonts w:cs="Arial"/>
        </w:rPr>
        <w:t>understand</w:t>
      </w:r>
      <w:r w:rsidRPr="003C2B43">
        <w:rPr>
          <w:rFonts w:cs="Arial"/>
        </w:rPr>
        <w:t xml:space="preserve"> that </w:t>
      </w:r>
      <w:r>
        <w:rPr>
          <w:rFonts w:cs="Arial"/>
        </w:rPr>
        <w:t>rangatahi</w:t>
      </w:r>
      <w:r w:rsidRPr="003C2B43">
        <w:rPr>
          <w:rFonts w:cs="Arial"/>
        </w:rPr>
        <w:t xml:space="preserve"> have a range of unique needs</w:t>
      </w:r>
      <w:r>
        <w:rPr>
          <w:rFonts w:cs="Arial"/>
        </w:rPr>
        <w:t xml:space="preserve"> </w:t>
      </w:r>
      <w:r w:rsidRPr="003C2B43">
        <w:rPr>
          <w:rFonts w:cs="Arial"/>
        </w:rPr>
        <w:t xml:space="preserve">that </w:t>
      </w:r>
      <w:r>
        <w:rPr>
          <w:rFonts w:cs="Arial"/>
        </w:rPr>
        <w:t>must</w:t>
      </w:r>
      <w:r w:rsidRPr="003C2B43">
        <w:rPr>
          <w:rFonts w:cs="Arial"/>
        </w:rPr>
        <w:t xml:space="preserve"> be considered when planning and providing care, including in environments where restrictive practices may be used.</w:t>
      </w:r>
      <w:r>
        <w:rPr>
          <w:rFonts w:cs="Arial"/>
        </w:rPr>
        <w:t xml:space="preserve"> </w:t>
      </w:r>
      <w:r w:rsidRPr="00C44538">
        <w:rPr>
          <w:rFonts w:cs="Arial"/>
        </w:rPr>
        <w:t xml:space="preserve">Article 12 of the </w:t>
      </w:r>
      <w:r>
        <w:rPr>
          <w:rFonts w:cs="Arial"/>
        </w:rPr>
        <w:t xml:space="preserve">Convention on the Rights of the Child </w:t>
      </w:r>
      <w:r w:rsidRPr="00C44538">
        <w:rPr>
          <w:rFonts w:cs="Arial"/>
        </w:rPr>
        <w:t>outlines that the views of the child must be given due weight in accordance with the age and maturity of the child.</w:t>
      </w:r>
      <w:r>
        <w:rPr>
          <w:rFonts w:cs="Arial"/>
        </w:rPr>
        <w:t xml:space="preserve"> District inspectors should have knowledge of childhood development and neurodiversity, alongside the impacts of trauma and trauma-informed practice philosophy as it relates to children and young people. </w:t>
      </w:r>
    </w:p>
    <w:p w14:paraId="38114536" w14:textId="77777777" w:rsidR="00572C03" w:rsidRPr="007F1992" w:rsidRDefault="00572C03" w:rsidP="00572C03">
      <w:r>
        <w:t>District inspectors</w:t>
      </w:r>
      <w:r w:rsidRPr="007F1992">
        <w:t xml:space="preserve"> should recognise that </w:t>
      </w:r>
      <w:r>
        <w:t>rangatahi</w:t>
      </w:r>
      <w:r w:rsidRPr="007F1992">
        <w:t>:</w:t>
      </w:r>
    </w:p>
    <w:p w14:paraId="0998EA2F" w14:textId="77777777" w:rsidR="00572C03" w:rsidRPr="00572C03" w:rsidRDefault="00572C03" w:rsidP="00572C03">
      <w:pPr>
        <w:pStyle w:val="Bullet"/>
      </w:pPr>
      <w:r w:rsidRPr="00572C03">
        <w:t>are developing autonomy</w:t>
      </w:r>
    </w:p>
    <w:p w14:paraId="4A5CBE14" w14:textId="7861DB81" w:rsidR="00572C03" w:rsidRPr="00572C03" w:rsidRDefault="00572C03" w:rsidP="00572C03">
      <w:pPr>
        <w:pStyle w:val="Bullet"/>
      </w:pPr>
      <w:r w:rsidRPr="00572C03">
        <w:t>may experience an increase in risk-taking behaviour that is related to and normal for their age</w:t>
      </w:r>
      <w:r w:rsidR="008214EF">
        <w:t xml:space="preserve"> </w:t>
      </w:r>
    </w:p>
    <w:p w14:paraId="62F4D729" w14:textId="77777777" w:rsidR="00572C03" w:rsidRPr="00572C03" w:rsidRDefault="00572C03" w:rsidP="00572C03">
      <w:pPr>
        <w:pStyle w:val="Bullet"/>
      </w:pPr>
      <w:r w:rsidRPr="00572C03">
        <w:t>may have varying emotional control and reasoning ability</w:t>
      </w:r>
    </w:p>
    <w:p w14:paraId="65EF2E30" w14:textId="77777777" w:rsidR="00572C03" w:rsidRPr="00572C03" w:rsidRDefault="00572C03" w:rsidP="00572C03">
      <w:pPr>
        <w:pStyle w:val="Bullet"/>
      </w:pPr>
      <w:r w:rsidRPr="00572C03">
        <w:t>may experience a heightened power imbalance with adults (Christie and Viner 2005)</w:t>
      </w:r>
    </w:p>
    <w:p w14:paraId="23CBCFAA" w14:textId="77777777" w:rsidR="00572C03" w:rsidRPr="00572C03" w:rsidRDefault="00572C03" w:rsidP="00572C03">
      <w:pPr>
        <w:pStyle w:val="Bullet"/>
      </w:pPr>
      <w:r w:rsidRPr="00572C03">
        <w:t>may have experienced trauma, which requires an appropriate and understanding response from adults around them</w:t>
      </w:r>
    </w:p>
    <w:p w14:paraId="5CEA79A2" w14:textId="77777777" w:rsidR="00572C03" w:rsidRPr="00572C03" w:rsidRDefault="00572C03" w:rsidP="00572C03">
      <w:pPr>
        <w:pStyle w:val="Bullet"/>
      </w:pPr>
      <w:r w:rsidRPr="00572C03">
        <w:t>sit within a broader family, whānau, hapū, iwi and cultural context.</w:t>
      </w:r>
    </w:p>
    <w:p w14:paraId="2A4923A1" w14:textId="77777777" w:rsidR="00572C03" w:rsidRDefault="00572C03" w:rsidP="00C344A2">
      <w:pPr>
        <w:pStyle w:val="Heading3-numbered"/>
      </w:pPr>
      <w:r>
        <w:t>Provisions for rangatahi under the Mental Health Act</w:t>
      </w:r>
    </w:p>
    <w:p w14:paraId="52E8A0EB" w14:textId="661798FA" w:rsidR="00572C03" w:rsidRDefault="00572C03" w:rsidP="00572C03">
      <w:r>
        <w:t xml:space="preserve">Section 86 of the Mental Health Act states that, wherever practicable, assessment and examination of a person who is under the age of 17 years shall be conducted by a psychiatrist practising in the field of child psychiatry. It may also be appropriate for a child psychiatrist to assess people aged over 17 years; staff should consider this on an individual basis. </w:t>
      </w:r>
    </w:p>
    <w:p w14:paraId="3254A941" w14:textId="77777777" w:rsidR="00572C03" w:rsidRDefault="00572C03" w:rsidP="00572C03"/>
    <w:p w14:paraId="41723183" w14:textId="77777777" w:rsidR="00572C03" w:rsidRDefault="00572C03" w:rsidP="00572C03">
      <w:r>
        <w:t>W</w:t>
      </w:r>
      <w:r w:rsidRPr="00AA4E80">
        <w:t>hile the M</w:t>
      </w:r>
      <w:r>
        <w:t xml:space="preserve">ental Health </w:t>
      </w:r>
      <w:r w:rsidRPr="00AA4E80">
        <w:t>A</w:t>
      </w:r>
      <w:r>
        <w:t>ct</w:t>
      </w:r>
      <w:r w:rsidRPr="00AA4E80">
        <w:t xml:space="preserve"> does</w:t>
      </w:r>
      <w:r>
        <w:t xml:space="preserve"> </w:t>
      </w:r>
      <w:r w:rsidRPr="00AA4E80">
        <w:t>n</w:t>
      </w:r>
      <w:r>
        <w:t>o</w:t>
      </w:r>
      <w:r w:rsidRPr="00AA4E80">
        <w:t>t explicitly entitle a young person to have an adult present</w:t>
      </w:r>
      <w:r>
        <w:t xml:space="preserve"> when being assessed</w:t>
      </w:r>
      <w:r w:rsidRPr="00AA4E80">
        <w:t>, best practice supports this.</w:t>
      </w:r>
    </w:p>
    <w:p w14:paraId="54E235C5" w14:textId="77777777" w:rsidR="00572C03" w:rsidRDefault="00572C03" w:rsidP="00C344A2">
      <w:pPr>
        <w:pStyle w:val="Heading3-numbered"/>
      </w:pPr>
      <w:r>
        <w:lastRenderedPageBreak/>
        <w:t>Provisions for rangatahi under the Substance Addiction Act</w:t>
      </w:r>
    </w:p>
    <w:p w14:paraId="0535B5D7" w14:textId="74EDF4CF" w:rsidR="00572C03" w:rsidRDefault="00572C03" w:rsidP="00572C03">
      <w:r>
        <w:t xml:space="preserve">Section 13 of the Substance Addiction Act provides a set of principles that apply to the exercise of powers over children or young people. These principles, in addition to the general principles in section 12 of the Substance Addiction Act, affirm the need to regard the child or young person within the context of their family, whānau, hapū, iwi and family group and to act with understanding of the age, culture and maturity of the child or young person. </w:t>
      </w:r>
    </w:p>
    <w:p w14:paraId="67D58D00" w14:textId="77777777" w:rsidR="00572C03" w:rsidRDefault="00572C03" w:rsidP="00572C03"/>
    <w:p w14:paraId="788DA276" w14:textId="068F371C" w:rsidR="00572C03" w:rsidRDefault="00572C03" w:rsidP="00572C03">
      <w:r>
        <w:t>Section 65 of the Substance Addiction Act provides that every child or young person who is examined by a medical practitioner under section 17, assessed by an Approved Specialist or interviewed by a judge is entitled to have an adult present. That adult may be nominated for that purpose by the child or young person; or if it is impracticable for the child or young person to do so, by the Area Director or an authorised officer.</w:t>
      </w:r>
    </w:p>
    <w:p w14:paraId="3F41D52F" w14:textId="77777777" w:rsidR="00572C03" w:rsidRDefault="00572C03" w:rsidP="00572C03"/>
    <w:p w14:paraId="6C9E9342" w14:textId="77777777" w:rsidR="00572C03" w:rsidRDefault="00572C03" w:rsidP="00572C03">
      <w:r>
        <w:t xml:space="preserve">More guidance on the treatment of young people under this Act can be found in the </w:t>
      </w:r>
      <w:r w:rsidRPr="000D7BA4">
        <w:rPr>
          <w:i/>
        </w:rPr>
        <w:t>Introductory Guideline to the Substance Addiction (Compulsory Assessment and Treatment) Act 2017</w:t>
      </w:r>
      <w:r w:rsidRPr="00B30B86">
        <w:t xml:space="preserve"> </w:t>
      </w:r>
      <w:r w:rsidRPr="00E428B1">
        <w:rPr>
          <w:iCs/>
        </w:rPr>
        <w:t>(Ministry of Health 2017)</w:t>
      </w:r>
      <w:r w:rsidRPr="00B30B86">
        <w:rPr>
          <w:iCs/>
        </w:rPr>
        <w:t>.</w:t>
      </w:r>
      <w:r w:rsidDel="00B30B86">
        <w:rPr>
          <w:rStyle w:val="FootnoteReference"/>
        </w:rPr>
        <w:t xml:space="preserve"> </w:t>
      </w:r>
    </w:p>
    <w:p w14:paraId="1A8437B3" w14:textId="0D1A9376" w:rsidR="00572C03" w:rsidRDefault="00572C03" w:rsidP="00C344A2">
      <w:pPr>
        <w:pStyle w:val="Heading3-numbered"/>
      </w:pPr>
      <w:r>
        <w:t xml:space="preserve">Provisions for rangatahi under the </w:t>
      </w:r>
      <w:r w:rsidR="00E27AEB">
        <w:t>Intellectual Disability Act</w:t>
      </w:r>
    </w:p>
    <w:p w14:paraId="5D599715" w14:textId="4F97DC12" w:rsidR="00572C03" w:rsidRDefault="00572C03" w:rsidP="00572C03">
      <w:r>
        <w:t xml:space="preserve">Section 12 of the </w:t>
      </w:r>
      <w:r w:rsidR="00E27AEB">
        <w:t>Intellectual Disability Act</w:t>
      </w:r>
      <w:r>
        <w:t xml:space="preserve"> provides a set of principles that govern the exercise of powers over children or young people. These principles outline the need to, wherever possible, involve the family, whānau, hapū, iwi and family group of the child or young person in decision-making and maintain regard to strengthening their links to the child or young person. These principles ensure that decisions impacting the child or young person are made with their welfare and wishes in mind and seek to contribute to the stability of the family, whānau, hapū, iwi and family group. Consideration of the age, culture and maturity of the child or young person must be demonstrated. </w:t>
      </w:r>
    </w:p>
    <w:p w14:paraId="152D33F1" w14:textId="77777777" w:rsidR="00572C03" w:rsidRDefault="00572C03" w:rsidP="00572C03"/>
    <w:p w14:paraId="5105DE4A" w14:textId="0FE27853" w:rsidR="00572C03" w:rsidRDefault="00572C03" w:rsidP="00572C03">
      <w:r>
        <w:t xml:space="preserve">Section 33 of the </w:t>
      </w:r>
      <w:r w:rsidR="00E27AEB">
        <w:t>Intellectual Disability Act</w:t>
      </w:r>
      <w:r>
        <w:t xml:space="preserve"> states that w</w:t>
      </w:r>
      <w:r w:rsidRPr="00C9309A">
        <w:t>henever practicable, a specialist assessor who practises in the field of child and adolescent disability must be involved in the assessment of a child or young person.</w:t>
      </w:r>
    </w:p>
    <w:p w14:paraId="481EC8C4" w14:textId="77777777" w:rsidR="00572C03" w:rsidRDefault="00572C03" w:rsidP="002B3F7F">
      <w:pPr>
        <w:rPr>
          <w:rFonts w:eastAsia="Segoe UI" w:cs="Segoe UI"/>
        </w:rPr>
        <w:sectPr w:rsidR="00572C03" w:rsidSect="00191D52">
          <w:pgSz w:w="11907" w:h="16840" w:code="9"/>
          <w:pgMar w:top="1418" w:right="1701" w:bottom="1134" w:left="1843" w:header="284" w:footer="425" w:gutter="284"/>
          <w:cols w:space="720"/>
        </w:sectPr>
      </w:pPr>
    </w:p>
    <w:p w14:paraId="71794626" w14:textId="77777777" w:rsidR="00BE2EA6" w:rsidRDefault="00BE2EA6" w:rsidP="00BE2EA6">
      <w:pPr>
        <w:pStyle w:val="Heading1-numbered"/>
      </w:pPr>
      <w:bookmarkStart w:id="52" w:name="_Toc200199237"/>
      <w:bookmarkStart w:id="53" w:name="_Toc207353879"/>
      <w:r>
        <w:lastRenderedPageBreak/>
        <w:t>Appointment of district inspectors and deputy district inspectors</w:t>
      </w:r>
      <w:bookmarkEnd w:id="52"/>
      <w:bookmarkEnd w:id="53"/>
    </w:p>
    <w:p w14:paraId="54851391" w14:textId="5D47659E" w:rsidR="00BE2EA6" w:rsidRDefault="00BE2EA6" w:rsidP="00BE2EA6">
      <w:r w:rsidRPr="00220EEC">
        <w:t xml:space="preserve">The Minister of Health appoints </w:t>
      </w:r>
      <w:r>
        <w:t>d</w:t>
      </w:r>
      <w:r w:rsidRPr="00220EEC">
        <w:t xml:space="preserve">istrict </w:t>
      </w:r>
      <w:r>
        <w:t>inspector</w:t>
      </w:r>
      <w:r w:rsidRPr="00220EEC">
        <w:t xml:space="preserve">s and </w:t>
      </w:r>
      <w:r>
        <w:t>deputy district inspectors</w:t>
      </w:r>
      <w:r w:rsidDel="00932472">
        <w:t xml:space="preserve"> under </w:t>
      </w:r>
      <w:r>
        <w:t xml:space="preserve">section 94 of </w:t>
      </w:r>
      <w:r w:rsidDel="00932472">
        <w:t xml:space="preserve">the Mental Health Act </w:t>
      </w:r>
      <w:r>
        <w:t>and</w:t>
      </w:r>
      <w:r w:rsidDel="00932472">
        <w:t xml:space="preserve"> </w:t>
      </w:r>
      <w:r>
        <w:t xml:space="preserve">section 90 of the </w:t>
      </w:r>
      <w:r w:rsidDel="00932472">
        <w:t xml:space="preserve">Substance Addiction Act </w:t>
      </w:r>
      <w:r>
        <w:t>in specified locations</w:t>
      </w:r>
      <w:r w:rsidRPr="00220EEC">
        <w:t>.</w:t>
      </w:r>
      <w:r>
        <w:t xml:space="preserve"> </w:t>
      </w:r>
    </w:p>
    <w:p w14:paraId="17124E8F" w14:textId="77777777" w:rsidR="00BE2EA6" w:rsidRDefault="00BE2EA6" w:rsidP="00BE2EA6"/>
    <w:p w14:paraId="104C93F2" w14:textId="1227A689" w:rsidR="00BE2EA6" w:rsidRDefault="00BE2EA6" w:rsidP="00BE2EA6">
      <w:r>
        <w:t xml:space="preserve">The Director-General of Health designates district inspectors and deputy district inspectors under section 144 of the </w:t>
      </w:r>
      <w:r w:rsidR="00E27AEB">
        <w:t>Intellectual Disability Act</w:t>
      </w:r>
      <w:r>
        <w:t xml:space="preserve">. Such district inspectors must be currently appointed as district inspectors under the Mental Health Act. </w:t>
      </w:r>
    </w:p>
    <w:p w14:paraId="5D581FFF" w14:textId="77777777" w:rsidR="00BE2EA6" w:rsidRDefault="00BE2EA6" w:rsidP="00BE2EA6"/>
    <w:p w14:paraId="64D45E76" w14:textId="18D0677C" w:rsidR="00BE2EA6" w:rsidRDefault="00BE2EA6" w:rsidP="00BE2EA6">
      <w:r w:rsidRPr="00220EEC">
        <w:t xml:space="preserve">Only barristers or solicitors may be appointed </w:t>
      </w:r>
      <w:r>
        <w:t>to these roles</w:t>
      </w:r>
      <w:r w:rsidRPr="00220EEC">
        <w:t>.</w:t>
      </w:r>
      <w:r>
        <w:t xml:space="preserve"> </w:t>
      </w:r>
    </w:p>
    <w:p w14:paraId="0E1EBE77" w14:textId="77777777" w:rsidR="00BE2EA6" w:rsidRDefault="00BE2EA6" w:rsidP="00BE2EA6"/>
    <w:p w14:paraId="4238D3DF" w14:textId="162C831B" w:rsidR="00BE2EA6" w:rsidRDefault="00BE2EA6" w:rsidP="00BE2EA6">
      <w:r>
        <w:t xml:space="preserve">District inspectors can be appointed under more than one Act, if they meet the appointment criteria required for the position. The specific functions and requirements of district inspectors under each of these Acts can be found in these guidelines under </w:t>
      </w:r>
      <w:hyperlink w:anchor="_The_district_inspector" w:history="1">
        <w:r w:rsidRPr="00AD3BB2">
          <w:rPr>
            <w:rStyle w:val="Hyperlink"/>
          </w:rPr>
          <w:t>1</w:t>
        </w:r>
        <w:r>
          <w:rPr>
            <w:rStyle w:val="Hyperlink"/>
          </w:rPr>
          <w:t>.</w:t>
        </w:r>
        <w:r w:rsidRPr="00AD3BB2">
          <w:rPr>
            <w:rStyle w:val="Hyperlink"/>
          </w:rPr>
          <w:t xml:space="preserve"> The district inspector role</w:t>
        </w:r>
      </w:hyperlink>
      <w:r>
        <w:t xml:space="preserve"> and </w:t>
      </w:r>
      <w:hyperlink w:anchor="_District_inspector_duties" w:history="1">
        <w:r w:rsidRPr="00AD3BB2">
          <w:rPr>
            <w:rStyle w:val="Hyperlink"/>
          </w:rPr>
          <w:t>2</w:t>
        </w:r>
        <w:r>
          <w:rPr>
            <w:rStyle w:val="Hyperlink"/>
          </w:rPr>
          <w:t>.</w:t>
        </w:r>
        <w:r w:rsidRPr="00AD3BB2">
          <w:rPr>
            <w:rStyle w:val="Hyperlink"/>
          </w:rPr>
          <w:t xml:space="preserve"> District inspector duties</w:t>
        </w:r>
      </w:hyperlink>
      <w:r>
        <w:t xml:space="preserve">. The Director-General of Health appoints district inspectors under the </w:t>
      </w:r>
      <w:r w:rsidR="00E27AEB">
        <w:t>Intellectual Disability Act</w:t>
      </w:r>
      <w:r>
        <w:t>.</w:t>
      </w:r>
    </w:p>
    <w:p w14:paraId="099BD320" w14:textId="77777777" w:rsidR="00BE2EA6" w:rsidRDefault="00BE2EA6" w:rsidP="00BE2EA6"/>
    <w:p w14:paraId="1924E748" w14:textId="39FF2AD2" w:rsidR="00BE2EA6" w:rsidRDefault="00BE2EA6" w:rsidP="00BE2EA6">
      <w:r>
        <w:t xml:space="preserve">District inspectors are appointed for a term of three years, and deputy district inspectors are appointed for a specified period of up to three years. District inspectors and deputy district inspectors are eligible for reappointment at the expiry of their term and may also be replaced from time to time. </w:t>
      </w:r>
    </w:p>
    <w:p w14:paraId="0D1A9CF9" w14:textId="77777777" w:rsidR="00BE2EA6" w:rsidDel="00AD3BB2" w:rsidRDefault="00BE2EA6" w:rsidP="00BE2EA6"/>
    <w:p w14:paraId="37C983C2" w14:textId="5104B866" w:rsidR="00BE2EA6" w:rsidRDefault="00BE2EA6" w:rsidP="00BE2EA6">
      <w:r>
        <w:t>All three Acts authorise reappointment of incumbents to allow continuity and enable recently appointed incumbents to consolidate their experience in the district inspector role.</w:t>
      </w:r>
    </w:p>
    <w:p w14:paraId="3D2306E2" w14:textId="77777777" w:rsidR="00BE2EA6" w:rsidDel="00AD3BB2" w:rsidRDefault="00BE2EA6" w:rsidP="00BE2EA6"/>
    <w:p w14:paraId="48D071B5" w14:textId="6A355A67" w:rsidR="00BE2EA6" w:rsidRDefault="00BE2EA6" w:rsidP="00BE2EA6">
      <w:r>
        <w:t xml:space="preserve">It is expected that their duties as district inspectors will be conducted in addition to work as part of their normal law practice. District inspector duties under the Mental Health Act are expected to comprise no more than </w:t>
      </w:r>
      <w:r w:rsidR="10388F83">
        <w:t>one-third</w:t>
      </w:r>
      <w:r>
        <w:t xml:space="preserve"> of their normal workload (including pro bono work), while the percentage of time required to fulfil duties under the Substance Addiction Act or </w:t>
      </w:r>
      <w:r w:rsidR="00E27AEB">
        <w:t>Intellectual Disability Act</w:t>
      </w:r>
      <w:r>
        <w:t xml:space="preserve"> is expected to be substantially lower.</w:t>
      </w:r>
      <w:r w:rsidR="008214EF">
        <w:t xml:space="preserve"> </w:t>
      </w:r>
      <w:r w:rsidR="00695E3A">
        <w:t>It is im</w:t>
      </w:r>
      <w:r w:rsidR="00BC08B3">
        <w:t xml:space="preserve">portant </w:t>
      </w:r>
      <w:r w:rsidR="00234C2A">
        <w:t xml:space="preserve">that they </w:t>
      </w:r>
      <w:r w:rsidR="00BC08B3">
        <w:t xml:space="preserve">maintain </w:t>
      </w:r>
      <w:r w:rsidR="00695E3A">
        <w:t>their</w:t>
      </w:r>
      <w:r w:rsidR="00BC08B3">
        <w:t xml:space="preserve"> role as practicing lawyer</w:t>
      </w:r>
      <w:r w:rsidR="00695E3A">
        <w:t>s</w:t>
      </w:r>
      <w:r w:rsidR="00234C2A">
        <w:t xml:space="preserve"> and therefore the district inspector role should not </w:t>
      </w:r>
      <w:r w:rsidR="00C15C99">
        <w:t>take up more than one-third of their time.</w:t>
      </w:r>
    </w:p>
    <w:p w14:paraId="72502A83" w14:textId="77777777" w:rsidR="00BE2EA6" w:rsidRDefault="00BE2EA6" w:rsidP="00BE2EA6"/>
    <w:p w14:paraId="464A402A" w14:textId="77777777" w:rsidR="00BE2EA6" w:rsidRPr="00177CBF" w:rsidRDefault="00BE2EA6" w:rsidP="00191D52">
      <w:pPr>
        <w:pStyle w:val="Heading2-numbered"/>
      </w:pPr>
      <w:bookmarkStart w:id="54" w:name="_Toc199945548"/>
      <w:bookmarkStart w:id="55" w:name="_Toc200199238"/>
      <w:bookmarkStart w:id="56" w:name="_Toc207353880"/>
      <w:bookmarkEnd w:id="54"/>
      <w:r>
        <w:lastRenderedPageBreak/>
        <w:t>The appointment processes</w:t>
      </w:r>
      <w:bookmarkEnd w:id="55"/>
      <w:bookmarkEnd w:id="56"/>
      <w:r>
        <w:t xml:space="preserve"> </w:t>
      </w:r>
    </w:p>
    <w:p w14:paraId="298C74AF" w14:textId="77777777" w:rsidR="00BE2EA6" w:rsidRDefault="00BE2EA6" w:rsidP="00BE2EA6">
      <w:r>
        <w:t>It is recommended that the appointment process of district inspectors under all three Acts comprises the following steps.</w:t>
      </w:r>
    </w:p>
    <w:p w14:paraId="0C6526DC" w14:textId="77777777" w:rsidR="00BE2EA6" w:rsidRDefault="00BE2EA6" w:rsidP="00BE2EA6">
      <w:pPr>
        <w:pStyle w:val="ListNumber"/>
        <w:numPr>
          <w:ilvl w:val="0"/>
          <w:numId w:val="16"/>
        </w:numPr>
        <w:spacing w:before="90" w:after="0"/>
        <w:ind w:left="357" w:hanging="357"/>
        <w:contextualSpacing w:val="0"/>
      </w:pPr>
      <w:r w:rsidRPr="00220EEC">
        <w:t xml:space="preserve">Positions are advertised </w:t>
      </w:r>
      <w:r>
        <w:t>publicly</w:t>
      </w:r>
      <w:r w:rsidRPr="00220EEC">
        <w:t>.</w:t>
      </w:r>
      <w:r>
        <w:t xml:space="preserve"> </w:t>
      </w:r>
      <w:r w:rsidRPr="00220EEC">
        <w:t>All applications, including curricula vitae and written references, are checked against criteria that reflect the skill base required for the position</w:t>
      </w:r>
      <w:r>
        <w:t xml:space="preserve"> applied for under each Act, as outlined under </w:t>
      </w:r>
      <w:hyperlink w:anchor="_Toc5897707" w:history="1">
        <w:r w:rsidRPr="00EF144D">
          <w:rPr>
            <w:rStyle w:val="Hyperlink"/>
          </w:rPr>
          <w:t>1. The district inspector role</w:t>
        </w:r>
      </w:hyperlink>
      <w:r>
        <w:t xml:space="preserve"> in these guidelines</w:t>
      </w:r>
      <w:r w:rsidRPr="00220EEC">
        <w:t>.</w:t>
      </w:r>
      <w:r>
        <w:t xml:space="preserve"> </w:t>
      </w:r>
      <w:r w:rsidRPr="00220EEC">
        <w:t xml:space="preserve">Those </w:t>
      </w:r>
      <w:r>
        <w:t xml:space="preserve">applicants </w:t>
      </w:r>
      <w:r w:rsidRPr="00220EEC">
        <w:t xml:space="preserve">who best demonstrate the criteria are shortlisted, whether they are existing </w:t>
      </w:r>
      <w:r>
        <w:t>d</w:t>
      </w:r>
      <w:r w:rsidRPr="00220EEC">
        <w:t xml:space="preserve">istrict </w:t>
      </w:r>
      <w:r>
        <w:t>inspector</w:t>
      </w:r>
      <w:r w:rsidRPr="00220EEC">
        <w:t>s or new applicants.</w:t>
      </w:r>
    </w:p>
    <w:p w14:paraId="1F906BC3" w14:textId="77777777" w:rsidR="00BE2EA6" w:rsidRPr="00220EEC" w:rsidRDefault="00BE2EA6" w:rsidP="00BE2EA6">
      <w:pPr>
        <w:pStyle w:val="ListNumber"/>
        <w:spacing w:before="90" w:after="0"/>
        <w:ind w:left="357" w:hanging="357"/>
        <w:contextualSpacing w:val="0"/>
      </w:pPr>
      <w:r>
        <w:t>The applicants are</w:t>
      </w:r>
      <w:r w:rsidRPr="00220EEC">
        <w:t xml:space="preserve"> shortlisted </w:t>
      </w:r>
      <w:r>
        <w:t>and</w:t>
      </w:r>
      <w:r w:rsidRPr="00220EEC">
        <w:t xml:space="preserve"> interviewed by a panel comprising:</w:t>
      </w:r>
    </w:p>
    <w:p w14:paraId="0282E745" w14:textId="77777777" w:rsidR="00BE2EA6" w:rsidRPr="00BE2EA6" w:rsidRDefault="00BE2EA6" w:rsidP="0027724B">
      <w:pPr>
        <w:pStyle w:val="Letter"/>
        <w:numPr>
          <w:ilvl w:val="1"/>
          <w:numId w:val="17"/>
        </w:numPr>
        <w:spacing w:before="90"/>
        <w:ind w:left="850" w:hanging="425"/>
      </w:pPr>
      <w:r w:rsidRPr="00BE2EA6">
        <w:t>the Director or Deputy Director of Mental Health (or the Director of Addiction Services if the position is related to the Substance Addiction Act)</w:t>
      </w:r>
    </w:p>
    <w:p w14:paraId="72EEE3DB" w14:textId="77777777" w:rsidR="00BE2EA6" w:rsidRPr="00BE2EA6" w:rsidRDefault="00BE2EA6" w:rsidP="0027724B">
      <w:pPr>
        <w:pStyle w:val="Letter"/>
        <w:numPr>
          <w:ilvl w:val="1"/>
          <w:numId w:val="17"/>
        </w:numPr>
        <w:spacing w:before="90"/>
        <w:ind w:left="850" w:hanging="425"/>
      </w:pPr>
      <w:r w:rsidRPr="00BE2EA6">
        <w:t>a senior solicitor with knowledge of the district inspector role</w:t>
      </w:r>
    </w:p>
    <w:p w14:paraId="51A845B1" w14:textId="16746E89" w:rsidR="00BE2EA6" w:rsidRPr="00BE2EA6" w:rsidRDefault="00BE2EA6" w:rsidP="0027724B">
      <w:pPr>
        <w:pStyle w:val="Letter"/>
        <w:numPr>
          <w:ilvl w:val="1"/>
          <w:numId w:val="17"/>
        </w:numPr>
        <w:spacing w:before="90"/>
        <w:ind w:left="850" w:hanging="425"/>
      </w:pPr>
      <w:r w:rsidRPr="00BE2EA6">
        <w:t>an advisor with lived experience of relevant services and the Act(s)</w:t>
      </w:r>
      <w:r w:rsidR="008214EF">
        <w:t xml:space="preserve"> </w:t>
      </w:r>
    </w:p>
    <w:p w14:paraId="3F866EE4" w14:textId="77777777" w:rsidR="00BE2EA6" w:rsidRPr="00BE2EA6" w:rsidRDefault="00BE2EA6" w:rsidP="0027724B">
      <w:pPr>
        <w:pStyle w:val="Letter"/>
        <w:numPr>
          <w:ilvl w:val="1"/>
          <w:numId w:val="17"/>
        </w:numPr>
        <w:spacing w:before="90"/>
        <w:ind w:left="850" w:hanging="425"/>
      </w:pPr>
      <w:r w:rsidRPr="00BE2EA6">
        <w:t>a Māori cultural advisor.</w:t>
      </w:r>
    </w:p>
    <w:p w14:paraId="65932C6E" w14:textId="77777777" w:rsidR="0027724B" w:rsidRDefault="0027724B" w:rsidP="0027724B"/>
    <w:p w14:paraId="235907A2" w14:textId="48881416" w:rsidR="00BE2EA6" w:rsidRDefault="00BE2EA6" w:rsidP="0027724B">
      <w:r w:rsidRPr="00220EEC">
        <w:t xml:space="preserve">The purpose of the interviews is to assess the interpersonal skills </w:t>
      </w:r>
      <w:r>
        <w:t xml:space="preserve">and attitudes </w:t>
      </w:r>
      <w:r w:rsidRPr="00220EEC">
        <w:t xml:space="preserve">of the applicants and how they may relate to </w:t>
      </w:r>
      <w:r>
        <w:t>tāngata whai ora, tāngata whaikaha</w:t>
      </w:r>
      <w:r w:rsidRPr="00220EEC">
        <w:t xml:space="preserve"> and others</w:t>
      </w:r>
      <w:r>
        <w:t>,</w:t>
      </w:r>
      <w:r w:rsidRPr="00220EEC">
        <w:t xml:space="preserve"> and to examine their knowledge and understanding of the district </w:t>
      </w:r>
      <w:r>
        <w:t>inspector</w:t>
      </w:r>
      <w:r w:rsidRPr="00220EEC">
        <w:t xml:space="preserve"> role.</w:t>
      </w:r>
      <w:r>
        <w:t xml:space="preserve"> Specific interview questions will apply to individuals applying for district inspector appointment under the Substance Addiction Act or the </w:t>
      </w:r>
      <w:r w:rsidR="00E27AEB">
        <w:t>Intellectual Disability Act</w:t>
      </w:r>
      <w:r>
        <w:t>, or as a senior advisory district inspector.</w:t>
      </w:r>
    </w:p>
    <w:p w14:paraId="29868D6C" w14:textId="77777777" w:rsidR="00BE2EA6" w:rsidRPr="00177CBF" w:rsidRDefault="00BE2EA6" w:rsidP="00191D52">
      <w:pPr>
        <w:pStyle w:val="Heading2-numbered"/>
      </w:pPr>
      <w:bookmarkStart w:id="57" w:name="_Toc200199239"/>
      <w:bookmarkStart w:id="58" w:name="_Toc207353881"/>
      <w:r>
        <w:t>Senior advisory district inspector appointment</w:t>
      </w:r>
      <w:bookmarkEnd w:id="57"/>
      <w:bookmarkEnd w:id="58"/>
      <w:r>
        <w:t xml:space="preserve"> </w:t>
      </w:r>
    </w:p>
    <w:p w14:paraId="29EC2B39" w14:textId="5A1C54CC" w:rsidR="00BE2EA6" w:rsidRDefault="00BE2EA6" w:rsidP="00BE2EA6">
      <w:r>
        <w:t>District inspectors may also be appointed as a senior advisory district inspector. This role was established in 1999 by the Minister of Health,</w:t>
      </w:r>
      <w:r w:rsidRPr="00424D64">
        <w:t xml:space="preserve"> although with no requirement that it be filled.</w:t>
      </w:r>
      <w:r>
        <w:t>. The purpose of the role is primarily to provide leadership and advice to other district inspectors.</w:t>
      </w:r>
    </w:p>
    <w:p w14:paraId="0BEDF1FA" w14:textId="77777777" w:rsidR="0027724B" w:rsidRDefault="0027724B" w:rsidP="00BE2EA6"/>
    <w:p w14:paraId="6442EC04" w14:textId="77777777" w:rsidR="00BE2EA6" w:rsidRDefault="00BE2EA6" w:rsidP="00BE2EA6">
      <w:r w:rsidRPr="30719067">
        <w:t>The senior advisory district inspector works in the following capacities:</w:t>
      </w:r>
    </w:p>
    <w:p w14:paraId="76654C23" w14:textId="77777777" w:rsidR="00BE2EA6" w:rsidRPr="008020B7" w:rsidRDefault="00BE2EA6" w:rsidP="0027724B">
      <w:pPr>
        <w:pStyle w:val="Bullet"/>
      </w:pPr>
      <w:r>
        <w:t>acts as an advisor to all district inspectors on mental health le</w:t>
      </w:r>
      <w:r w:rsidRPr="008020B7">
        <w:t>gislation or any aspect of their role</w:t>
      </w:r>
    </w:p>
    <w:p w14:paraId="2726D021" w14:textId="77777777" w:rsidR="00BE2EA6" w:rsidRPr="008020B7" w:rsidRDefault="00BE2EA6" w:rsidP="0027724B">
      <w:pPr>
        <w:pStyle w:val="Bullet"/>
      </w:pPr>
      <w:r w:rsidRPr="008020B7">
        <w:t xml:space="preserve">assists the Ministry in ensuring that there is consistent practice nationally </w:t>
      </w:r>
    </w:p>
    <w:p w14:paraId="170B4DBE" w14:textId="77777777" w:rsidR="00BE2EA6" w:rsidRPr="008020B7" w:rsidRDefault="00BE2EA6" w:rsidP="0027724B">
      <w:pPr>
        <w:pStyle w:val="Bullet"/>
      </w:pPr>
      <w:r w:rsidRPr="008020B7">
        <w:t>conducts investigations and inquiries of a particularly complex or sensitive nature</w:t>
      </w:r>
    </w:p>
    <w:p w14:paraId="27B23E01" w14:textId="77777777" w:rsidR="00BE2EA6" w:rsidRDefault="00BE2EA6" w:rsidP="0027724B">
      <w:pPr>
        <w:pStyle w:val="Bullet"/>
      </w:pPr>
      <w:r w:rsidRPr="008020B7">
        <w:t>undertakes other special duties as directed by the Directo</w:t>
      </w:r>
      <w:r>
        <w:t xml:space="preserve">r </w:t>
      </w:r>
    </w:p>
    <w:p w14:paraId="7C0166E1" w14:textId="77777777" w:rsidR="00BE2EA6" w:rsidRPr="0040388F" w:rsidRDefault="00BE2EA6" w:rsidP="0027724B">
      <w:pPr>
        <w:pStyle w:val="Bullet"/>
        <w:rPr>
          <w:rFonts w:cs="Segoe UI"/>
          <w:szCs w:val="21"/>
        </w:rPr>
      </w:pPr>
      <w:r>
        <w:t xml:space="preserve">attends and speaks at professional group seminars and training events with a view to educating about the role of district inspector and maintaining good interfaces with other agencies involved in protecting </w:t>
      </w:r>
      <w:r w:rsidRPr="516C99AA">
        <w:rPr>
          <w:i/>
          <w:iCs/>
        </w:rPr>
        <w:t xml:space="preserve">patient </w:t>
      </w:r>
      <w:r>
        <w:t>rights.</w:t>
      </w:r>
    </w:p>
    <w:p w14:paraId="76C4480E" w14:textId="022E5FD3" w:rsidR="002B3F7F" w:rsidRDefault="002B3F7F" w:rsidP="002B3F7F">
      <w:pPr>
        <w:rPr>
          <w:rFonts w:eastAsia="Segoe UI" w:cs="Segoe UI"/>
        </w:rPr>
      </w:pPr>
    </w:p>
    <w:p w14:paraId="0BD6E4EE" w14:textId="77777777" w:rsidR="002B3F7F" w:rsidRPr="002B3F7F" w:rsidRDefault="002B3F7F" w:rsidP="002B3F7F"/>
    <w:p w14:paraId="2721E2EC" w14:textId="77777777" w:rsidR="0027724B" w:rsidRDefault="0027724B" w:rsidP="00926083">
      <w:pPr>
        <w:rPr>
          <w:w w:val="105"/>
        </w:rPr>
        <w:sectPr w:rsidR="0027724B" w:rsidSect="00BE2EA6">
          <w:pgSz w:w="11907" w:h="16840" w:code="9"/>
          <w:pgMar w:top="1418" w:right="1701" w:bottom="1134" w:left="1843" w:header="284" w:footer="425" w:gutter="284"/>
          <w:cols w:space="720"/>
        </w:sectPr>
      </w:pPr>
    </w:p>
    <w:p w14:paraId="352BBCCF" w14:textId="77777777" w:rsidR="0027724B" w:rsidRDefault="0027724B" w:rsidP="0027724B">
      <w:pPr>
        <w:pStyle w:val="Heading1-numbered"/>
      </w:pPr>
      <w:bookmarkStart w:id="59" w:name="_Toc200199240"/>
      <w:bookmarkStart w:id="60" w:name="_Toc207353882"/>
      <w:r>
        <w:lastRenderedPageBreak/>
        <w:t>Complaints about district inspectors</w:t>
      </w:r>
      <w:bookmarkEnd w:id="59"/>
      <w:bookmarkEnd w:id="60"/>
    </w:p>
    <w:p w14:paraId="69F71EBF" w14:textId="77777777" w:rsidR="0027724B" w:rsidRDefault="0027724B" w:rsidP="0027724B">
      <w:r>
        <w:t>Occasionally the Minister of Health or the Director may receive complaints from the public about district inspectors. Whenever a complaint is made to the Minister of Health about a district inspector, the complaint will be forwarded to the Director. The Director will try to resolve the complaint as soon as practicable.</w:t>
      </w:r>
      <w:r w:rsidRPr="00430D32">
        <w:t xml:space="preserve"> </w:t>
      </w:r>
      <w:r>
        <w:t xml:space="preserve">All complaints about district inspectors will be fully examined in accordance with principles of natural justice. </w:t>
      </w:r>
    </w:p>
    <w:p w14:paraId="48638584" w14:textId="45BDAAFD" w:rsidR="0027724B" w:rsidRDefault="0027724B" w:rsidP="0027724B">
      <w:r>
        <w:t xml:space="preserve">The process for investigating complaints about district inspectors appointed under the Mental Health Act, Substance Addiction Act and </w:t>
      </w:r>
      <w:r w:rsidR="00E27AEB">
        <w:t>Intellectual Disability Act</w:t>
      </w:r>
      <w:r>
        <w:t xml:space="preserve"> is outlined in </w:t>
      </w:r>
      <w:hyperlink w:anchor="_Complaints_about_district" w:history="1">
        <w:r w:rsidRPr="00DA4AFD">
          <w:rPr>
            <w:rStyle w:val="Hyperlink"/>
          </w:rPr>
          <w:t>Appendix 1</w:t>
        </w:r>
      </w:hyperlink>
      <w:r>
        <w:t>.</w:t>
      </w:r>
    </w:p>
    <w:p w14:paraId="22BB600B" w14:textId="77777777" w:rsidR="0027724B" w:rsidRDefault="0027724B" w:rsidP="0027724B"/>
    <w:p w14:paraId="2D05E3A8" w14:textId="5507AE6D" w:rsidR="0027724B" w:rsidRPr="00220EEC" w:rsidRDefault="0027724B" w:rsidP="0027724B">
      <w:r w:rsidRPr="00220EEC">
        <w:t>Pursuant to section 94(7)(c)</w:t>
      </w:r>
      <w:r>
        <w:t xml:space="preserve"> of the Mental Health Act and section </w:t>
      </w:r>
      <w:r w:rsidRPr="00220EEC">
        <w:t>9</w:t>
      </w:r>
      <w:r>
        <w:t>0</w:t>
      </w:r>
      <w:r w:rsidRPr="00220EEC">
        <w:t>(</w:t>
      </w:r>
      <w:r>
        <w:t>5</w:t>
      </w:r>
      <w:r w:rsidRPr="00220EEC">
        <w:t>)(</w:t>
      </w:r>
      <w:r>
        <w:t>b</w:t>
      </w:r>
      <w:r w:rsidRPr="00220EEC">
        <w:t>)</w:t>
      </w:r>
      <w:r>
        <w:t xml:space="preserve"> of the Substance Addiction Act</w:t>
      </w:r>
      <w:r w:rsidRPr="00220EEC">
        <w:t xml:space="preserve">, </w:t>
      </w:r>
      <w:r>
        <w:t>a</w:t>
      </w:r>
      <w:r w:rsidRPr="00220EEC">
        <w:t xml:space="preserve"> </w:t>
      </w:r>
      <w:r>
        <w:t>d</w:t>
      </w:r>
      <w:r w:rsidRPr="00220EEC">
        <w:t xml:space="preserve">istrict </w:t>
      </w:r>
      <w:r>
        <w:t>inspector</w:t>
      </w:r>
      <w:r w:rsidRPr="00220EEC">
        <w:t xml:space="preserve"> or </w:t>
      </w:r>
      <w:r>
        <w:t>deputy district inspector</w:t>
      </w:r>
      <w:r w:rsidRPr="00220EEC">
        <w:t xml:space="preserve"> may be suspended or removed from office at any time by the Minister </w:t>
      </w:r>
      <w:r>
        <w:t xml:space="preserve">of Health </w:t>
      </w:r>
      <w:r w:rsidRPr="00220EEC">
        <w:t>for any of the following reasons if they are proved to the Minister</w:t>
      </w:r>
      <w:r>
        <w:t xml:space="preserve"> of Health’</w:t>
      </w:r>
      <w:r w:rsidRPr="00220EEC">
        <w:t>s satisfaction:</w:t>
      </w:r>
    </w:p>
    <w:p w14:paraId="55FB818A" w14:textId="77777777" w:rsidR="0027724B" w:rsidRPr="0027724B" w:rsidRDefault="0027724B" w:rsidP="0027724B">
      <w:pPr>
        <w:pStyle w:val="Bullet"/>
      </w:pPr>
      <w:r w:rsidRPr="0027724B">
        <w:t>failure to adequately perform the duties of the office</w:t>
      </w:r>
    </w:p>
    <w:p w14:paraId="2CA57F59" w14:textId="77777777" w:rsidR="0027724B" w:rsidRPr="0027724B" w:rsidRDefault="0027724B" w:rsidP="0027724B">
      <w:pPr>
        <w:pStyle w:val="Bullet"/>
      </w:pPr>
      <w:r w:rsidRPr="0027724B">
        <w:t>neglect of duty</w:t>
      </w:r>
    </w:p>
    <w:p w14:paraId="6413489B" w14:textId="77777777" w:rsidR="0027724B" w:rsidRPr="0027724B" w:rsidRDefault="0027724B" w:rsidP="0027724B">
      <w:pPr>
        <w:pStyle w:val="Bullet"/>
      </w:pPr>
      <w:r w:rsidRPr="0027724B">
        <w:t>misconduct</w:t>
      </w:r>
    </w:p>
    <w:p w14:paraId="52D542E4" w14:textId="77777777" w:rsidR="0027724B" w:rsidRPr="0027724B" w:rsidRDefault="0027724B" w:rsidP="0027724B">
      <w:pPr>
        <w:pStyle w:val="Bullet"/>
      </w:pPr>
      <w:r w:rsidRPr="0027724B">
        <w:t>inability to perform the duties of the office.</w:t>
      </w:r>
    </w:p>
    <w:p w14:paraId="4F9D19AF" w14:textId="77777777" w:rsidR="0027724B" w:rsidRDefault="0027724B" w:rsidP="0027724B"/>
    <w:p w14:paraId="5A7403D6" w14:textId="58EF2830" w:rsidR="0027724B" w:rsidRDefault="0027724B" w:rsidP="0027724B">
      <w:r>
        <w:t>If a complaint involves any of these concerns, the Director will initially consider representation from the complainant and the district inspector regarding the nature of the concerns presented. The district inspector concerned will have the opportunity to provide a response to the Director regarding the complaint.</w:t>
      </w:r>
    </w:p>
    <w:p w14:paraId="69E59C91" w14:textId="77777777" w:rsidR="0027724B" w:rsidRDefault="0027724B" w:rsidP="0027724B"/>
    <w:p w14:paraId="27E4E510" w14:textId="111A4691" w:rsidR="0027724B" w:rsidRDefault="0027724B" w:rsidP="0027724B">
      <w:r>
        <w:t xml:space="preserve">If the matter cannot be resolved at this level, and the Director believes the matter warrants it, they will request an investigation. The scope of an investigation will depend on the nature and seriousness of the complaint. The investigation will be undertaken by </w:t>
      </w:r>
      <w:r w:rsidRPr="009B2F01">
        <w:t>a lawyer and a health professional, each with appropriate qualifications, as chosen by the Director</w:t>
      </w:r>
      <w:r>
        <w:t>.</w:t>
      </w:r>
      <w:r w:rsidR="008214EF">
        <w:t xml:space="preserve"> </w:t>
      </w:r>
    </w:p>
    <w:p w14:paraId="2FC40EDF" w14:textId="28B44C6E" w:rsidR="0027724B" w:rsidRDefault="0027724B" w:rsidP="0027724B">
      <w:r>
        <w:t xml:space="preserve"> </w:t>
      </w:r>
    </w:p>
    <w:p w14:paraId="0F7B4A98" w14:textId="13346D22" w:rsidR="0027724B" w:rsidRDefault="0027724B" w:rsidP="0027724B">
      <w:r>
        <w:t>The findings of the investigation will be reported to the Director, who will convene an internal panel to evaluate all the information. T</w:t>
      </w:r>
      <w:r w:rsidRPr="00F27F48">
        <w:t xml:space="preserve">he Director will </w:t>
      </w:r>
      <w:r>
        <w:t xml:space="preserve">then </w:t>
      </w:r>
      <w:r w:rsidRPr="00F27F48">
        <w:t>assess the evidence and consider the most appropriate response.</w:t>
      </w:r>
      <w:r>
        <w:t xml:space="preserve"> </w:t>
      </w:r>
    </w:p>
    <w:p w14:paraId="5D4B6E6B" w14:textId="77777777" w:rsidR="0027724B" w:rsidRDefault="0027724B" w:rsidP="0027724B"/>
    <w:p w14:paraId="07E96AEF" w14:textId="77777777" w:rsidR="0027724B" w:rsidRDefault="0027724B" w:rsidP="0027724B">
      <w:r w:rsidRPr="00F27F48">
        <w:t xml:space="preserve">Depending on the circumstances, </w:t>
      </w:r>
      <w:r>
        <w:t>the Director may decide to:</w:t>
      </w:r>
    </w:p>
    <w:p w14:paraId="20B811C4" w14:textId="77777777" w:rsidR="0027724B" w:rsidRPr="0027724B" w:rsidRDefault="0027724B" w:rsidP="0027724B">
      <w:pPr>
        <w:pStyle w:val="Bullet"/>
      </w:pPr>
      <w:r w:rsidRPr="0027724B">
        <w:t>attempt to remedy the situation; this may involve addressing the issue directly with the district inspector in a constructive way or offering additional training to the district inspector, in order to prevent future occurrence</w:t>
      </w:r>
    </w:p>
    <w:p w14:paraId="508E55DB" w14:textId="77777777" w:rsidR="0027724B" w:rsidRPr="0027724B" w:rsidRDefault="0027724B" w:rsidP="0027724B">
      <w:pPr>
        <w:pStyle w:val="Bullet"/>
      </w:pPr>
      <w:r w:rsidRPr="0027724B">
        <w:t>dismiss the complaint, or</w:t>
      </w:r>
    </w:p>
    <w:p w14:paraId="7F80A199" w14:textId="77777777" w:rsidR="0027724B" w:rsidRPr="0027724B" w:rsidRDefault="0027724B" w:rsidP="0027724B">
      <w:pPr>
        <w:pStyle w:val="Bullet"/>
      </w:pPr>
      <w:r w:rsidRPr="0027724B">
        <w:lastRenderedPageBreak/>
        <w:t>ask the Minister of Health to suspend or revoke the district inspector’s appointment pursuant to section 94(7)(c) of the Mental Health Act or section 90(5)(b) of the Substance Addiction Act.</w:t>
      </w:r>
    </w:p>
    <w:p w14:paraId="40D82D55" w14:textId="77777777" w:rsidR="0027724B" w:rsidRDefault="0027724B" w:rsidP="0027724B"/>
    <w:p w14:paraId="04C47222" w14:textId="404FEDB2" w:rsidR="0027724B" w:rsidRDefault="0027724B" w:rsidP="0027724B">
      <w:r>
        <w:t>Once the Director has considered the best course of action regarding a complaint, the relevant parties (ie, the district inspector, the complainant and/or the Minister of Health) will be informed of the Director’s decision and/or the outcome. The outcome will be fully explained to the complainant, subject to privacy interests on the part of the district inspector and any other parties concerned. Investigations into complaints about district inspectors will be documented in accordance with section 17(1) of the Public Records Act 2005.</w:t>
      </w:r>
    </w:p>
    <w:p w14:paraId="555E9B02" w14:textId="77777777" w:rsidR="0027724B" w:rsidRDefault="0027724B" w:rsidP="0027724B"/>
    <w:p w14:paraId="7F5B2617" w14:textId="1FD8BA1C" w:rsidR="0027724B" w:rsidRDefault="0027724B" w:rsidP="0027724B">
      <w:r>
        <w:t>T</w:t>
      </w:r>
      <w:r w:rsidRPr="00C0285E">
        <w:t xml:space="preserve">he </w:t>
      </w:r>
      <w:r>
        <w:t>D</w:t>
      </w:r>
      <w:r w:rsidRPr="00C0285E">
        <w:t xml:space="preserve">irector </w:t>
      </w:r>
      <w:r>
        <w:t xml:space="preserve">may also consider </w:t>
      </w:r>
      <w:r w:rsidRPr="00C0285E">
        <w:t>refer</w:t>
      </w:r>
      <w:r>
        <w:t>ring</w:t>
      </w:r>
      <w:r w:rsidRPr="00C0285E">
        <w:t xml:space="preserve"> the complaint to an appropriate agency (eg, the </w:t>
      </w:r>
      <w:r>
        <w:t>O</w:t>
      </w:r>
      <w:r w:rsidRPr="00C0285E">
        <w:t xml:space="preserve">ffice of the </w:t>
      </w:r>
      <w:r>
        <w:t>O</w:t>
      </w:r>
      <w:r w:rsidRPr="00C0285E">
        <w:t>mbudsman</w:t>
      </w:r>
      <w:r>
        <w:t xml:space="preserve"> or the Health and Disability Commissioner</w:t>
      </w:r>
      <w:r w:rsidRPr="00C0285E">
        <w:t>)</w:t>
      </w:r>
      <w:r>
        <w:t xml:space="preserve"> to be further investigated.</w:t>
      </w:r>
      <w:r w:rsidR="008214EF">
        <w:t xml:space="preserve"> </w:t>
      </w:r>
    </w:p>
    <w:p w14:paraId="66D132D8" w14:textId="77777777" w:rsidR="0027724B" w:rsidRDefault="0027724B" w:rsidP="00191D52">
      <w:pPr>
        <w:pStyle w:val="Heading2-numbered"/>
      </w:pPr>
      <w:bookmarkStart w:id="61" w:name="_Toc200199241"/>
      <w:bookmarkStart w:id="62" w:name="_Toc207353883"/>
      <w:r>
        <w:t>District inspector civil immunity and rights</w:t>
      </w:r>
      <w:bookmarkEnd w:id="61"/>
      <w:bookmarkEnd w:id="62"/>
    </w:p>
    <w:p w14:paraId="0298774B" w14:textId="2517F405" w:rsidR="0027724B" w:rsidRDefault="0027724B" w:rsidP="0027724B">
      <w:r w:rsidRPr="00725D55">
        <w:t xml:space="preserve">District </w:t>
      </w:r>
      <w:r>
        <w:t>inspector</w:t>
      </w:r>
      <w:r w:rsidRPr="00725D55">
        <w:t>s are granted civil immunity under section 99</w:t>
      </w:r>
      <w:r>
        <w:t>A</w:t>
      </w:r>
      <w:r w:rsidRPr="00725D55">
        <w:t>(1)</w:t>
      </w:r>
      <w:r>
        <w:t xml:space="preserve"> of the Mental Health Act, section 103 of the Substance Addiction Act and section 145 of the </w:t>
      </w:r>
      <w:r w:rsidR="00E27AEB">
        <w:t>Intellectual Disability Act</w:t>
      </w:r>
      <w:r>
        <w:t xml:space="preserve">. </w:t>
      </w:r>
    </w:p>
    <w:p w14:paraId="66A034B8" w14:textId="77777777" w:rsidR="0027724B" w:rsidRDefault="0027724B" w:rsidP="0027724B"/>
    <w:p w14:paraId="2E251E29" w14:textId="2B1354F5" w:rsidR="0027724B" w:rsidRDefault="0027724B" w:rsidP="0027724B">
      <w:r>
        <w:t xml:space="preserve">This protects district inspectors against any civil proceedings so </w:t>
      </w:r>
      <w:r w:rsidRPr="00725D55">
        <w:t>that they may function effectively without being hampered by litigation or threats of litigation.</w:t>
      </w:r>
      <w:r>
        <w:t xml:space="preserve"> </w:t>
      </w:r>
      <w:r w:rsidRPr="00725D55">
        <w:t xml:space="preserve">No civil proceedings may be brought against </w:t>
      </w:r>
      <w:r>
        <w:t>d</w:t>
      </w:r>
      <w:r w:rsidRPr="00725D55">
        <w:t xml:space="preserve">istrict </w:t>
      </w:r>
      <w:r>
        <w:t>inspector</w:t>
      </w:r>
      <w:r w:rsidRPr="00725D55">
        <w:t>s for anything they may say, do or report while exercising their powers, duties or functions unless it is shown that they acted in bad faith.</w:t>
      </w:r>
      <w:r>
        <w:t xml:space="preserve"> </w:t>
      </w:r>
      <w:r w:rsidRPr="00725D55">
        <w:t xml:space="preserve">However, this does not affect the right of any person or organisation to apply for judicial review of a </w:t>
      </w:r>
      <w:r>
        <w:t>d</w:t>
      </w:r>
      <w:r w:rsidRPr="00725D55">
        <w:t xml:space="preserve">istrict </w:t>
      </w:r>
      <w:r>
        <w:t>inspector’</w:t>
      </w:r>
      <w:r w:rsidRPr="00725D55">
        <w:t>s powers, duties or functions</w:t>
      </w:r>
      <w:r>
        <w:t xml:space="preserve">. </w:t>
      </w:r>
    </w:p>
    <w:p w14:paraId="1FAEF3E0" w14:textId="77777777" w:rsidR="0027724B" w:rsidRDefault="0027724B" w:rsidP="0027724B"/>
    <w:p w14:paraId="6102E14A" w14:textId="77777777" w:rsidR="0027724B" w:rsidRPr="00725D55" w:rsidRDefault="0027724B" w:rsidP="0027724B">
      <w:r w:rsidRPr="00725D55">
        <w:t xml:space="preserve">The obstruction of a </w:t>
      </w:r>
      <w:r>
        <w:t>d</w:t>
      </w:r>
      <w:r w:rsidRPr="00725D55">
        <w:t xml:space="preserve">istrict </w:t>
      </w:r>
      <w:r>
        <w:t>inspector</w:t>
      </w:r>
      <w:r w:rsidRPr="00725D55">
        <w:t xml:space="preserve"> performing official duties is punishable by a fine of up to $2</w:t>
      </w:r>
      <w:r>
        <w:t>,</w:t>
      </w:r>
      <w:r w:rsidRPr="00725D55">
        <w:t xml:space="preserve">000 under section 117 </w:t>
      </w:r>
      <w:r>
        <w:t xml:space="preserve">of the Mental Health Act and </w:t>
      </w:r>
      <w:r w:rsidRPr="00725D55">
        <w:t>section 11</w:t>
      </w:r>
      <w:r>
        <w:t>2</w:t>
      </w:r>
      <w:r w:rsidRPr="00725D55">
        <w:t xml:space="preserve"> </w:t>
      </w:r>
      <w:r>
        <w:t>of the Substance Addiction Act</w:t>
      </w:r>
      <w:r w:rsidRPr="00725D55">
        <w:t>.</w:t>
      </w:r>
      <w:r>
        <w:t xml:space="preserve"> </w:t>
      </w:r>
      <w:r w:rsidRPr="00725D55">
        <w:t xml:space="preserve">A </w:t>
      </w:r>
      <w:r>
        <w:t>DAMHS</w:t>
      </w:r>
      <w:r w:rsidRPr="00725D55">
        <w:t>, responsible clinician</w:t>
      </w:r>
      <w:r>
        <w:t>,</w:t>
      </w:r>
      <w:r w:rsidRPr="00BF19B1">
        <w:t xml:space="preserve"> </w:t>
      </w:r>
      <w:r>
        <w:t>manager of the treatment centre,</w:t>
      </w:r>
      <w:r w:rsidRPr="00725D55">
        <w:t xml:space="preserve"> or an employee in any hospital or service being visited by a </w:t>
      </w:r>
      <w:r>
        <w:t>d</w:t>
      </w:r>
      <w:r w:rsidRPr="00725D55">
        <w:t xml:space="preserve">istrict </w:t>
      </w:r>
      <w:r>
        <w:t>inspector</w:t>
      </w:r>
      <w:r w:rsidRPr="00725D55">
        <w:t xml:space="preserve"> may be charged with obstruction if it is shown that </w:t>
      </w:r>
      <w:r>
        <w:t>they have</w:t>
      </w:r>
      <w:r w:rsidRPr="00725D55">
        <w:t>:</w:t>
      </w:r>
    </w:p>
    <w:p w14:paraId="4689AEEC" w14:textId="77777777" w:rsidR="0027724B" w:rsidRPr="0027724B" w:rsidRDefault="0027724B" w:rsidP="0027724B">
      <w:pPr>
        <w:pStyle w:val="Bullet"/>
      </w:pPr>
      <w:r w:rsidRPr="0027724B">
        <w:t>concealed or attempted to conceal from the district inspector any part of the hospital or service or any person being detained or treated in it</w:t>
      </w:r>
    </w:p>
    <w:p w14:paraId="2B0861D0" w14:textId="77777777" w:rsidR="0027724B" w:rsidRPr="0027724B" w:rsidRDefault="0027724B" w:rsidP="0027724B">
      <w:pPr>
        <w:pStyle w:val="Bullet"/>
      </w:pPr>
      <w:r w:rsidRPr="0027724B">
        <w:t>refused or wilfully neglected to show to the district inspector any part of the hospital or service or any person detained or being treated in it</w:t>
      </w:r>
    </w:p>
    <w:p w14:paraId="7B9D2660" w14:textId="77777777" w:rsidR="0027724B" w:rsidRPr="0027724B" w:rsidRDefault="0027724B" w:rsidP="0027724B">
      <w:pPr>
        <w:pStyle w:val="Bullet"/>
      </w:pPr>
      <w:r w:rsidRPr="0027724B">
        <w:t>in any other manner wilfully obstructed or attempted to obstruct the district inspector in conducting official duties.</w:t>
      </w:r>
    </w:p>
    <w:p w14:paraId="34D16294" w14:textId="77777777" w:rsidR="0027724B" w:rsidRDefault="0027724B" w:rsidP="0027724B"/>
    <w:p w14:paraId="56D62B75" w14:textId="49F0DF0E" w:rsidR="0027724B" w:rsidRDefault="0027724B" w:rsidP="0027724B">
      <w:r w:rsidRPr="00970C2D">
        <w:t xml:space="preserve">A district inspector who visits a facility for the purposes of </w:t>
      </w:r>
      <w:r>
        <w:t xml:space="preserve">the </w:t>
      </w:r>
      <w:r w:rsidR="00E27AEB">
        <w:t>Intellectual Disability Act</w:t>
      </w:r>
      <w:r w:rsidRPr="00970C2D">
        <w:t xml:space="preserve"> must be given access to every part of the facility and to every person in it, whether that person is a </w:t>
      </w:r>
      <w:r w:rsidRPr="001924CA">
        <w:rPr>
          <w:i/>
          <w:iCs/>
        </w:rPr>
        <w:t xml:space="preserve">care recipient </w:t>
      </w:r>
      <w:r w:rsidRPr="00970C2D">
        <w:t xml:space="preserve">under </w:t>
      </w:r>
      <w:r>
        <w:t>the</w:t>
      </w:r>
      <w:r w:rsidRPr="00970C2D">
        <w:t xml:space="preserve"> Act</w:t>
      </w:r>
      <w:r>
        <w:t xml:space="preserve"> or not. </w:t>
      </w:r>
      <w:r w:rsidRPr="00B72355">
        <w:t>The care manager must present to the district inspector the following documents:</w:t>
      </w:r>
    </w:p>
    <w:p w14:paraId="714E07A2" w14:textId="77777777" w:rsidR="0027724B" w:rsidRPr="0027724B" w:rsidRDefault="0027724B" w:rsidP="0027724B">
      <w:pPr>
        <w:pStyle w:val="Bullet"/>
      </w:pPr>
      <w:r w:rsidRPr="0027724B">
        <w:lastRenderedPageBreak/>
        <w:t>every record relating to a care recipient, including the care recipient’s court order and care and rehabilitation plan</w:t>
      </w:r>
    </w:p>
    <w:p w14:paraId="5987D3C7" w14:textId="38A9F494" w:rsidR="0027724B" w:rsidRPr="0027724B" w:rsidRDefault="0027724B" w:rsidP="0027724B">
      <w:pPr>
        <w:pStyle w:val="Bullet"/>
      </w:pPr>
      <w:r w:rsidRPr="0027724B">
        <w:t xml:space="preserve">every communication or item withheld by the care manager under section 57 of the </w:t>
      </w:r>
      <w:r w:rsidR="00E27AEB">
        <w:t>Intellectual Disability Act</w:t>
      </w:r>
      <w:r w:rsidRPr="0027724B">
        <w:t>.</w:t>
      </w:r>
    </w:p>
    <w:p w14:paraId="523510AF" w14:textId="77777777" w:rsidR="0027724B" w:rsidRDefault="0027724B" w:rsidP="0027724B"/>
    <w:p w14:paraId="3891EADE" w14:textId="5FBF8A9A" w:rsidR="002B3F7F" w:rsidRDefault="0027724B" w:rsidP="0027724B">
      <w:pPr>
        <w:rPr>
          <w:w w:val="105"/>
        </w:rPr>
        <w:sectPr w:rsidR="002B3F7F" w:rsidSect="00BE2EA6">
          <w:pgSz w:w="11907" w:h="16840" w:code="9"/>
          <w:pgMar w:top="1418" w:right="1701" w:bottom="1134" w:left="1843" w:header="284" w:footer="425" w:gutter="284"/>
          <w:cols w:space="720"/>
        </w:sectPr>
      </w:pPr>
      <w:r w:rsidRPr="00725D55">
        <w:t xml:space="preserve">To date there </w:t>
      </w:r>
      <w:r>
        <w:t>has been no</w:t>
      </w:r>
      <w:r w:rsidRPr="00725D55">
        <w:t xml:space="preserve"> prosecution of anyone </w:t>
      </w:r>
      <w:r>
        <w:t>under</w:t>
      </w:r>
      <w:r w:rsidRPr="00725D55">
        <w:t xml:space="preserve"> </w:t>
      </w:r>
      <w:r>
        <w:t>these</w:t>
      </w:r>
      <w:r w:rsidRPr="00725D55">
        <w:t xml:space="preserve"> provision</w:t>
      </w:r>
      <w:r>
        <w:t>s. A</w:t>
      </w:r>
      <w:r w:rsidRPr="00725D55">
        <w:t xml:space="preserve">ny </w:t>
      </w:r>
      <w:r>
        <w:t>d</w:t>
      </w:r>
      <w:r w:rsidRPr="00725D55">
        <w:t xml:space="preserve">istrict </w:t>
      </w:r>
      <w:r>
        <w:t>inspector</w:t>
      </w:r>
      <w:r w:rsidRPr="00725D55">
        <w:t xml:space="preserve"> </w:t>
      </w:r>
      <w:r>
        <w:t>who believes they have</w:t>
      </w:r>
      <w:r w:rsidRPr="00725D55">
        <w:t xml:space="preserve"> been obstructed </w:t>
      </w:r>
      <w:r>
        <w:t xml:space="preserve">while performing official duties </w:t>
      </w:r>
      <w:r w:rsidRPr="00725D55">
        <w:t>should discuss the situation with the Director.</w:t>
      </w:r>
    </w:p>
    <w:p w14:paraId="7F16C8D4" w14:textId="77777777" w:rsidR="009A42D5" w:rsidRPr="00CF60ED" w:rsidRDefault="009A42D5" w:rsidP="00553165">
      <w:pPr>
        <w:pStyle w:val="Heading1"/>
        <w:pageBreakBefore/>
        <w:spacing w:before="0"/>
      </w:pPr>
      <w:bookmarkStart w:id="63" w:name="_bookmark70"/>
      <w:bookmarkStart w:id="64" w:name="_Toc207353884"/>
      <w:bookmarkEnd w:id="63"/>
      <w:r w:rsidRPr="00CF60ED">
        <w:lastRenderedPageBreak/>
        <w:t>References</w:t>
      </w:r>
      <w:bookmarkEnd w:id="64"/>
    </w:p>
    <w:p w14:paraId="0FD8D46B" w14:textId="77777777" w:rsidR="0027724B" w:rsidRPr="00E428B1" w:rsidRDefault="0027724B" w:rsidP="0027724B">
      <w:pPr>
        <w:pStyle w:val="References"/>
        <w:rPr>
          <w:rFonts w:ascii="Arial" w:hAnsi="Arial" w:cs="Arial"/>
          <w:lang w:eastAsia="en-NZ"/>
        </w:rPr>
      </w:pPr>
      <w:r w:rsidRPr="00E428B1">
        <w:rPr>
          <w:lang w:eastAsia="en-NZ"/>
        </w:rPr>
        <w:t>Abuse in Care – Royal Commission of Inquiry. (2023</w:t>
      </w:r>
      <w:r>
        <w:rPr>
          <w:lang w:eastAsia="en-NZ"/>
        </w:rPr>
        <w:t>a</w:t>
      </w:r>
      <w:r w:rsidRPr="00E428B1">
        <w:rPr>
          <w:lang w:eastAsia="en-NZ"/>
        </w:rPr>
        <w:t>). </w:t>
      </w:r>
      <w:r w:rsidRPr="00E428B1">
        <w:rPr>
          <w:i/>
          <w:iCs/>
          <w:lang w:eastAsia="en-NZ"/>
        </w:rPr>
        <w:t>Whanaketia: Through pain and trauma, from darkness to light</w:t>
      </w:r>
      <w:r w:rsidRPr="00E428B1">
        <w:rPr>
          <w:lang w:eastAsia="en-NZ"/>
        </w:rPr>
        <w:t>. https://www.abuseincare.org.nz/reports/whanaketia</w:t>
      </w:r>
    </w:p>
    <w:p w14:paraId="0C59CEF6" w14:textId="5B1BCCEA" w:rsidR="0027724B" w:rsidRPr="00E428B1" w:rsidRDefault="0027724B" w:rsidP="0027724B">
      <w:pPr>
        <w:pStyle w:val="References"/>
        <w:rPr>
          <w:rFonts w:ascii="Arial" w:hAnsi="Arial" w:cs="Arial"/>
          <w:lang w:eastAsia="en-NZ"/>
        </w:rPr>
      </w:pPr>
      <w:r w:rsidRPr="00E428B1">
        <w:rPr>
          <w:lang w:eastAsia="en-NZ"/>
        </w:rPr>
        <w:t>Abuse in Care – Royal Commission of Inquiry. (2023</w:t>
      </w:r>
      <w:r>
        <w:rPr>
          <w:lang w:eastAsia="en-NZ"/>
        </w:rPr>
        <w:t>b</w:t>
      </w:r>
      <w:r w:rsidRPr="00E428B1">
        <w:rPr>
          <w:lang w:eastAsia="en-NZ"/>
        </w:rPr>
        <w:t>). </w:t>
      </w:r>
      <w:r w:rsidRPr="00E428B1">
        <w:rPr>
          <w:i/>
          <w:iCs/>
          <w:lang w:eastAsia="en-NZ"/>
        </w:rPr>
        <w:t>Beautiful children: Inquiry into the Lake Alice Child and Adolescent Unit</w:t>
      </w:r>
      <w:r w:rsidRPr="00E428B1">
        <w:rPr>
          <w:lang w:eastAsia="en-NZ"/>
        </w:rPr>
        <w:t> (ISBN 978-0-473-66484-8). </w:t>
      </w:r>
      <w:hyperlink r:id="rId35" w:history="1">
        <w:r w:rsidRPr="006459A7">
          <w:rPr>
            <w:rStyle w:val="Hyperlink"/>
            <w:lang w:eastAsia="en-NZ"/>
          </w:rPr>
          <w:t>https://www.abuseincare.org.nz/__data/assets/pdf_file/0024/23847/beautiful-children-full-report-pdf-v2.pdf</w:t>
        </w:r>
      </w:hyperlink>
      <w:r>
        <w:rPr>
          <w:lang w:eastAsia="en-NZ"/>
        </w:rPr>
        <w:t xml:space="preserve"> </w:t>
      </w:r>
    </w:p>
    <w:p w14:paraId="6C656EC8" w14:textId="54911EF9" w:rsidR="0027724B" w:rsidRDefault="0027724B" w:rsidP="0027724B">
      <w:pPr>
        <w:pStyle w:val="References"/>
        <w:rPr>
          <w:shd w:val="clear" w:color="auto" w:fill="FFFFFF"/>
        </w:rPr>
      </w:pPr>
      <w:r w:rsidRPr="00D72DC8">
        <w:rPr>
          <w:shd w:val="clear" w:color="auto" w:fill="FFFFFF"/>
        </w:rPr>
        <w:t>Christie D, Viner R. 2005. Adolescent development. </w:t>
      </w:r>
      <w:r w:rsidRPr="00D72DC8">
        <w:rPr>
          <w:i/>
          <w:shd w:val="clear" w:color="auto" w:fill="FFFFFF"/>
        </w:rPr>
        <w:t>BMJ (Clinical research ed)</w:t>
      </w:r>
      <w:r w:rsidRPr="00D72DC8">
        <w:rPr>
          <w:shd w:val="clear" w:color="auto" w:fill="FFFFFF"/>
        </w:rPr>
        <w:t> </w:t>
      </w:r>
      <w:r w:rsidRPr="007F15D3">
        <w:rPr>
          <w:iCs/>
          <w:shd w:val="clear" w:color="auto" w:fill="FFFFFF"/>
        </w:rPr>
        <w:t>330</w:t>
      </w:r>
      <w:r w:rsidRPr="00D72DC8">
        <w:rPr>
          <w:shd w:val="clear" w:color="auto" w:fill="FFFFFF"/>
        </w:rPr>
        <w:t>(7486)</w:t>
      </w:r>
      <w:r>
        <w:rPr>
          <w:shd w:val="clear" w:color="auto" w:fill="FFFFFF"/>
        </w:rPr>
        <w:t>:</w:t>
      </w:r>
      <w:r w:rsidRPr="00D72DC8">
        <w:rPr>
          <w:shd w:val="clear" w:color="auto" w:fill="FFFFFF"/>
        </w:rPr>
        <w:t xml:space="preserve"> 301–4.</w:t>
      </w:r>
    </w:p>
    <w:p w14:paraId="0A57F070" w14:textId="77777777" w:rsidR="0027724B" w:rsidRPr="00E428B1" w:rsidRDefault="0027724B" w:rsidP="0027724B">
      <w:pPr>
        <w:pStyle w:val="References"/>
      </w:pPr>
      <w:r w:rsidRPr="005310F8">
        <w:t xml:space="preserve">Crown Law. 2019. </w:t>
      </w:r>
      <w:r w:rsidRPr="0027724B">
        <w:rPr>
          <w:i/>
          <w:iCs/>
        </w:rPr>
        <w:t xml:space="preserve">Te Pouārahi – The Judge over Your Shoulder: </w:t>
      </w:r>
      <w:r w:rsidRPr="0027724B">
        <w:rPr>
          <w:rFonts w:eastAsia="Calibri"/>
          <w:i/>
          <w:iCs/>
        </w:rPr>
        <w:t>He aratohu mō te tuku whakatau pai me te ture i Aotearoa – A</w:t>
      </w:r>
      <w:r w:rsidRPr="0027724B">
        <w:rPr>
          <w:i/>
          <w:iCs/>
        </w:rPr>
        <w:t xml:space="preserve"> guide to good decision-making and the law in New Zealand</w:t>
      </w:r>
      <w:r w:rsidRPr="005310F8">
        <w:t>. Wellington: Crown Law.</w:t>
      </w:r>
      <w:r>
        <w:t xml:space="preserve"> URL: </w:t>
      </w:r>
      <w:hyperlink r:id="rId36">
        <w:r w:rsidRPr="07D3D206">
          <w:rPr>
            <w:rStyle w:val="Hyperlink"/>
            <w:rFonts w:cs="Segoe UI"/>
            <w:szCs w:val="21"/>
          </w:rPr>
          <w:t>crownlaw.govt.nz/assets/Uploads/JOYS-for-web.pdf</w:t>
        </w:r>
      </w:hyperlink>
      <w:r>
        <w:t xml:space="preserve"> (accessed 27 May 2025).</w:t>
      </w:r>
    </w:p>
    <w:p w14:paraId="6AAF9CE0" w14:textId="77777777" w:rsidR="0027724B" w:rsidRDefault="0027724B" w:rsidP="0027724B">
      <w:pPr>
        <w:pStyle w:val="References"/>
        <w:rPr>
          <w:rFonts w:cs="Arial"/>
        </w:rPr>
      </w:pPr>
      <w:r>
        <w:rPr>
          <w:rFonts w:cs="Arial"/>
        </w:rPr>
        <w:t xml:space="preserve">Enabling Good Lives. (nd). About Enabling Good Lives. URL: </w:t>
      </w:r>
      <w:hyperlink r:id="rId37" w:history="1">
        <w:r w:rsidRPr="00BB7A1A">
          <w:rPr>
            <w:rStyle w:val="Hyperlink"/>
            <w:rFonts w:cs="Arial"/>
          </w:rPr>
          <w:t>enablinggoodlives.co.nz/about-egl/</w:t>
        </w:r>
      </w:hyperlink>
      <w:r>
        <w:rPr>
          <w:rFonts w:cs="Arial"/>
        </w:rPr>
        <w:t xml:space="preserve"> </w:t>
      </w:r>
      <w:r>
        <w:t>(accessed 27 May 2025).</w:t>
      </w:r>
    </w:p>
    <w:p w14:paraId="6E22334F" w14:textId="77777777" w:rsidR="0027724B" w:rsidRPr="00090A13" w:rsidRDefault="0027724B" w:rsidP="0027724B">
      <w:pPr>
        <w:pStyle w:val="References"/>
        <w:rPr>
          <w:rFonts w:cs="Arial"/>
          <w:szCs w:val="21"/>
        </w:rPr>
      </w:pPr>
      <w:r w:rsidRPr="07D3D206">
        <w:rPr>
          <w:rFonts w:cs="Arial"/>
        </w:rPr>
        <w:t>Government Inquiry into Mental Health and Addiction. 2018.</w:t>
      </w:r>
      <w:r>
        <w:rPr>
          <w:rFonts w:cs="Arial"/>
        </w:rPr>
        <w:t xml:space="preserve"> </w:t>
      </w:r>
      <w:r w:rsidRPr="00E428B1">
        <w:rPr>
          <w:rFonts w:cs="Arial"/>
          <w:i/>
          <w:iCs/>
        </w:rPr>
        <w:t>He Ara Oranga: Report of the Government Inquiry into Mental Health and Addiction</w:t>
      </w:r>
      <w:r w:rsidRPr="07D3D206">
        <w:rPr>
          <w:rFonts w:cs="Arial"/>
        </w:rPr>
        <w:t xml:space="preserve">. </w:t>
      </w:r>
      <w:r>
        <w:rPr>
          <w:rFonts w:cs="Arial"/>
        </w:rPr>
        <w:t xml:space="preserve">URL: </w:t>
      </w:r>
      <w:hyperlink r:id="rId38" w:history="1">
        <w:r w:rsidRPr="002C287C">
          <w:rPr>
            <w:rStyle w:val="Hyperlink"/>
            <w:rFonts w:cs="Arial"/>
          </w:rPr>
          <w:t>mentalhealth.inquiry.govt.nz/inquiry-report/he-ara-oranga</w:t>
        </w:r>
      </w:hyperlink>
      <w:r>
        <w:rPr>
          <w:rFonts w:cs="Arial"/>
        </w:rPr>
        <w:t xml:space="preserve"> </w:t>
      </w:r>
      <w:r>
        <w:t>(accessed 27 May 2025).</w:t>
      </w:r>
    </w:p>
    <w:p w14:paraId="31175A28" w14:textId="77777777" w:rsidR="0027724B" w:rsidRDefault="0027724B" w:rsidP="0027724B">
      <w:pPr>
        <w:pStyle w:val="References"/>
        <w:rPr>
          <w:rFonts w:cs="Arial"/>
        </w:rPr>
      </w:pPr>
      <w:r w:rsidRPr="0027724B">
        <w:rPr>
          <w:rFonts w:cs="Arial"/>
        </w:rPr>
        <w:t>Huriwai</w:t>
      </w:r>
      <w:r w:rsidRPr="07D3D206">
        <w:rPr>
          <w:rFonts w:eastAsia="Segoe UI" w:cs="Segoe UI"/>
          <w:color w:val="000000" w:themeColor="text1"/>
          <w:szCs w:val="21"/>
        </w:rPr>
        <w:t xml:space="preserve"> T</w:t>
      </w:r>
      <w:r>
        <w:rPr>
          <w:rFonts w:eastAsia="Segoe UI" w:cs="Segoe UI"/>
          <w:color w:val="000000" w:themeColor="text1"/>
          <w:szCs w:val="21"/>
        </w:rPr>
        <w:t>,</w:t>
      </w:r>
      <w:r w:rsidRPr="07D3D206">
        <w:rPr>
          <w:rFonts w:eastAsia="Segoe UI" w:cs="Segoe UI"/>
          <w:color w:val="000000" w:themeColor="text1"/>
          <w:szCs w:val="21"/>
        </w:rPr>
        <w:t xml:space="preserve"> Baker M</w:t>
      </w:r>
      <w:r>
        <w:rPr>
          <w:rFonts w:eastAsia="Segoe UI" w:cs="Segoe UI"/>
          <w:color w:val="000000" w:themeColor="text1"/>
          <w:szCs w:val="21"/>
        </w:rPr>
        <w:t xml:space="preserve">. </w:t>
      </w:r>
      <w:r w:rsidRPr="07D3D206">
        <w:rPr>
          <w:rFonts w:eastAsia="Segoe UI" w:cs="Segoe UI"/>
          <w:color w:val="000000" w:themeColor="text1"/>
          <w:szCs w:val="21"/>
        </w:rPr>
        <w:t xml:space="preserve">2016. </w:t>
      </w:r>
      <w:r w:rsidRPr="00E428B1">
        <w:rPr>
          <w:rFonts w:eastAsia="Segoe UI" w:cs="Segoe UI"/>
          <w:i/>
          <w:iCs/>
          <w:color w:val="000000" w:themeColor="text1"/>
          <w:szCs w:val="21"/>
        </w:rPr>
        <w:t>Manaaki: Mana enhancing and Mana protecting practice</w:t>
      </w:r>
      <w:r w:rsidRPr="07D3D206">
        <w:rPr>
          <w:rFonts w:eastAsia="Segoe UI" w:cs="Segoe UI"/>
          <w:color w:val="000000" w:themeColor="text1"/>
          <w:szCs w:val="21"/>
        </w:rPr>
        <w:t>. Wellington: Te Rau Matatini.</w:t>
      </w:r>
      <w:r w:rsidRPr="07D3D206">
        <w:rPr>
          <w:rFonts w:eastAsia="Segoe UI" w:cs="Segoe UI"/>
          <w:szCs w:val="21"/>
        </w:rPr>
        <w:t xml:space="preserve"> </w:t>
      </w:r>
      <w:r>
        <w:rPr>
          <w:rFonts w:eastAsia="Segoe UI" w:cs="Segoe UI"/>
          <w:szCs w:val="21"/>
        </w:rPr>
        <w:t>URL:</w:t>
      </w:r>
      <w:r w:rsidRPr="07D3D206">
        <w:rPr>
          <w:rFonts w:cs="Arial"/>
        </w:rPr>
        <w:t xml:space="preserve"> </w:t>
      </w:r>
      <w:hyperlink r:id="rId39">
        <w:r>
          <w:rPr>
            <w:rStyle w:val="Hyperlink"/>
            <w:rFonts w:cs="Arial"/>
          </w:rPr>
          <w:t>terauora.com/manaaki-mana-enhancing-and-mana-protecting-practice/</w:t>
        </w:r>
      </w:hyperlink>
      <w:r>
        <w:rPr>
          <w:rFonts w:cs="Arial"/>
        </w:rPr>
        <w:t xml:space="preserve"> </w:t>
      </w:r>
      <w:r>
        <w:t>(accessed 30 May 2025).</w:t>
      </w:r>
    </w:p>
    <w:p w14:paraId="67EA7F21" w14:textId="77777777" w:rsidR="0027724B" w:rsidRPr="00317653" w:rsidRDefault="0027724B" w:rsidP="0027724B">
      <w:pPr>
        <w:pStyle w:val="References"/>
        <w:rPr>
          <w:rFonts w:cs="Arial"/>
          <w:color w:val="002639"/>
          <w:szCs w:val="24"/>
        </w:rPr>
      </w:pPr>
      <w:r w:rsidRPr="0027724B">
        <w:rPr>
          <w:rFonts w:cs="Arial"/>
        </w:rPr>
        <w:t>Ministry</w:t>
      </w:r>
      <w:r>
        <w:rPr>
          <w:rFonts w:cs="Arial"/>
          <w:szCs w:val="24"/>
        </w:rPr>
        <w:t xml:space="preserve"> of Health. 2004. </w:t>
      </w:r>
      <w:r w:rsidRPr="00E428B1">
        <w:rPr>
          <w:rFonts w:cs="Arial"/>
          <w:i/>
          <w:iCs/>
          <w:szCs w:val="24"/>
        </w:rPr>
        <w:t>A Guide to the Intellectual Disability (Compulsory Care and Rehabilitation) Act 2003</w:t>
      </w:r>
      <w:r>
        <w:rPr>
          <w:rFonts w:cs="Arial"/>
          <w:szCs w:val="24"/>
        </w:rPr>
        <w:t xml:space="preserve">. URL: </w:t>
      </w:r>
      <w:hyperlink r:id="rId40" w:history="1">
        <w:r w:rsidRPr="0057316A">
          <w:rPr>
            <w:rStyle w:val="Hyperlink"/>
            <w:rFonts w:cs="Arial"/>
            <w:szCs w:val="24"/>
          </w:rPr>
          <w:t>health.govt.nz/publications/a-guide-to-the-intellectual-disability-compulsory-care-and-rehabilitation-act-2003</w:t>
        </w:r>
      </w:hyperlink>
      <w:r>
        <w:rPr>
          <w:rFonts w:cs="Arial"/>
          <w:szCs w:val="24"/>
        </w:rPr>
        <w:t xml:space="preserve"> </w:t>
      </w:r>
      <w:r>
        <w:t>(accessed 2 June 2025).</w:t>
      </w:r>
    </w:p>
    <w:p w14:paraId="2A1C0396" w14:textId="77777777" w:rsidR="0027724B" w:rsidRDefault="0027724B" w:rsidP="0027724B">
      <w:pPr>
        <w:pStyle w:val="References"/>
      </w:pPr>
      <w:r w:rsidRPr="0027724B">
        <w:rPr>
          <w:rFonts w:cs="Arial"/>
        </w:rPr>
        <w:t>Ministry</w:t>
      </w:r>
      <w:r>
        <w:t xml:space="preserve"> of Health. 2017. </w:t>
      </w:r>
      <w:r w:rsidRPr="00E428B1">
        <w:rPr>
          <w:i/>
          <w:iCs/>
        </w:rPr>
        <w:t>Introductory Guideline to the Substance Addiction (Compulsory Assessment and Treatment) Act 2017</w:t>
      </w:r>
      <w:r>
        <w:t xml:space="preserve">. URL: </w:t>
      </w:r>
      <w:hyperlink r:id="rId41" w:history="1">
        <w:r w:rsidRPr="005D47A3">
          <w:rPr>
            <w:rStyle w:val="Hyperlink"/>
          </w:rPr>
          <w:t>health.govt.nz/system/files/2024-05/introductory-guideline-sacat-act-2017-nov17.pdf</w:t>
        </w:r>
      </w:hyperlink>
      <w:r>
        <w:t xml:space="preserve"> (accessed 30 May 2025).</w:t>
      </w:r>
    </w:p>
    <w:p w14:paraId="0FC248DE" w14:textId="77777777" w:rsidR="0027724B" w:rsidRDefault="0027724B" w:rsidP="0027724B">
      <w:pPr>
        <w:pStyle w:val="References"/>
      </w:pPr>
      <w:r w:rsidRPr="0027724B">
        <w:rPr>
          <w:rFonts w:cs="Arial"/>
        </w:rPr>
        <w:t>Ministry</w:t>
      </w:r>
      <w:r>
        <w:t xml:space="preserve"> of Health. 2020a. </w:t>
      </w:r>
      <w:r w:rsidRPr="00E428B1">
        <w:rPr>
          <w:i/>
          <w:iCs/>
        </w:rPr>
        <w:t>Human Rights and the Mental Health (Compulsory Assessment and Treatment) Act 1992</w:t>
      </w:r>
      <w:r>
        <w:t xml:space="preserve">. URL: </w:t>
      </w:r>
      <w:hyperlink r:id="rId42" w:history="1">
        <w:r w:rsidRPr="00F86952">
          <w:rPr>
            <w:rStyle w:val="Hyperlink"/>
          </w:rPr>
          <w:t>health.govt.nz/publications/human-rights-and-the-mental-health-compulsory-assessment-and-treatment-act-1992</w:t>
        </w:r>
      </w:hyperlink>
      <w:r>
        <w:t xml:space="preserve"> (accessed 29 May 2025).</w:t>
      </w:r>
    </w:p>
    <w:p w14:paraId="2B72290B" w14:textId="77777777" w:rsidR="0027724B" w:rsidRPr="009D29B4" w:rsidRDefault="0027724B" w:rsidP="0027724B">
      <w:pPr>
        <w:pStyle w:val="References"/>
        <w:rPr>
          <w:rFonts w:cs="Arial"/>
          <w:color w:val="002639"/>
          <w:szCs w:val="21"/>
        </w:rPr>
      </w:pPr>
      <w:r w:rsidRPr="0027724B">
        <w:rPr>
          <w:rFonts w:cs="Arial"/>
        </w:rPr>
        <w:t>Ministry</w:t>
      </w:r>
      <w:r>
        <w:rPr>
          <w:rFonts w:cs="Arial"/>
          <w:color w:val="002639"/>
          <w:szCs w:val="21"/>
        </w:rPr>
        <w:t xml:space="preserve"> of Health. 2020b. </w:t>
      </w:r>
      <w:r w:rsidRPr="00E428B1">
        <w:rPr>
          <w:rFonts w:cs="Arial"/>
          <w:i/>
          <w:iCs/>
          <w:color w:val="002639"/>
          <w:szCs w:val="21"/>
        </w:rPr>
        <w:t>Whakamaua: Māori Health Action Plan 2020</w:t>
      </w:r>
      <w:r>
        <w:rPr>
          <w:rFonts w:cs="Arial"/>
          <w:i/>
          <w:iCs/>
          <w:color w:val="002639"/>
          <w:szCs w:val="21"/>
        </w:rPr>
        <w:t>–</w:t>
      </w:r>
      <w:r w:rsidRPr="00E428B1">
        <w:rPr>
          <w:rFonts w:cs="Arial"/>
          <w:i/>
          <w:iCs/>
          <w:color w:val="002639"/>
          <w:szCs w:val="21"/>
        </w:rPr>
        <w:t>2025</w:t>
      </w:r>
      <w:r w:rsidRPr="000F2EE0">
        <w:rPr>
          <w:rFonts w:cs="Arial"/>
          <w:color w:val="002639"/>
          <w:szCs w:val="21"/>
        </w:rPr>
        <w:t xml:space="preserve">. </w:t>
      </w:r>
      <w:r>
        <w:rPr>
          <w:rFonts w:cs="Arial"/>
          <w:color w:val="002639"/>
          <w:szCs w:val="21"/>
        </w:rPr>
        <w:t xml:space="preserve">URL: </w:t>
      </w:r>
      <w:hyperlink r:id="rId43" w:history="1">
        <w:r w:rsidRPr="0057316A">
          <w:rPr>
            <w:rStyle w:val="Hyperlink"/>
          </w:rPr>
          <w:t>health.govt.nz/publications/whakamaua-maori-health-action-plan-2020-2025</w:t>
        </w:r>
      </w:hyperlink>
      <w:r>
        <w:t xml:space="preserve"> (accessed 2 June 2025).</w:t>
      </w:r>
    </w:p>
    <w:p w14:paraId="559D4DE8" w14:textId="77777777" w:rsidR="0027724B" w:rsidRDefault="0027724B" w:rsidP="0027724B">
      <w:pPr>
        <w:pStyle w:val="References"/>
      </w:pPr>
      <w:r w:rsidRPr="0027724B">
        <w:rPr>
          <w:rFonts w:cs="Arial"/>
        </w:rPr>
        <w:t>Ministry</w:t>
      </w:r>
      <w:r>
        <w:t xml:space="preserve"> of Health. 2021. </w:t>
      </w:r>
      <w:r w:rsidRPr="00E428B1">
        <w:rPr>
          <w:i/>
          <w:iCs/>
        </w:rPr>
        <w:t>Kia Manawanui Aotearoa: Long-term pathway to mental wellbeing</w:t>
      </w:r>
      <w:r>
        <w:t xml:space="preserve">. URL: </w:t>
      </w:r>
      <w:hyperlink r:id="rId44" w:history="1">
        <w:r w:rsidRPr="0057316A">
          <w:rPr>
            <w:rStyle w:val="Hyperlink"/>
          </w:rPr>
          <w:t>health.govt.nz/publications/kia-manawanui-aotearoa-long-term-pathway-to-mental-wellbeing</w:t>
        </w:r>
      </w:hyperlink>
      <w:r>
        <w:t xml:space="preserve"> (accessed 2 June 2025).</w:t>
      </w:r>
    </w:p>
    <w:p w14:paraId="0EC29EFE" w14:textId="77777777" w:rsidR="0027724B" w:rsidRDefault="0027724B" w:rsidP="0027724B">
      <w:pPr>
        <w:pStyle w:val="References"/>
      </w:pPr>
      <w:r w:rsidRPr="0027724B">
        <w:rPr>
          <w:rFonts w:cs="Arial"/>
        </w:rPr>
        <w:lastRenderedPageBreak/>
        <w:t>Ministry</w:t>
      </w:r>
      <w:r w:rsidRPr="009D77C9">
        <w:t xml:space="preserve"> of Health. 20</w:t>
      </w:r>
      <w:r>
        <w:t>22a</w:t>
      </w:r>
      <w:r w:rsidRPr="009D77C9">
        <w:t xml:space="preserve">. </w:t>
      </w:r>
      <w:r w:rsidRPr="00EF174A">
        <w:rPr>
          <w:i/>
          <w:iCs/>
        </w:rPr>
        <w:t>Guidelines for the Role and Function of Statutory Officers: Appointed under the Mental Health (Compulsory Assessment and Treatment) Act 1992</w:t>
      </w:r>
      <w:r>
        <w:rPr>
          <w:i/>
          <w:iCs/>
        </w:rPr>
        <w:t xml:space="preserve">. </w:t>
      </w:r>
      <w:r>
        <w:t xml:space="preserve">URL: </w:t>
      </w:r>
      <w:hyperlink r:id="rId45" w:history="1">
        <w:r w:rsidRPr="00F86952">
          <w:rPr>
            <w:rStyle w:val="Hyperlink"/>
          </w:rPr>
          <w:t>health.govt.nz/publications/guidelines-for-the-role-and-function-of-statutory-officers-appointed-under-the-mental-health</w:t>
        </w:r>
      </w:hyperlink>
      <w:r>
        <w:t xml:space="preserve"> (accessed 29 May 2025).</w:t>
      </w:r>
    </w:p>
    <w:p w14:paraId="5B5A245A" w14:textId="77777777" w:rsidR="0027724B" w:rsidRDefault="0027724B" w:rsidP="0027724B">
      <w:pPr>
        <w:pStyle w:val="References"/>
      </w:pPr>
      <w:r w:rsidRPr="0027724B">
        <w:rPr>
          <w:rFonts w:cs="Arial"/>
        </w:rPr>
        <w:t>Ministry</w:t>
      </w:r>
      <w:r w:rsidRPr="009D77C9">
        <w:t xml:space="preserve"> of Health. 20</w:t>
      </w:r>
      <w:r>
        <w:t>22b</w:t>
      </w:r>
      <w:r w:rsidRPr="009D77C9">
        <w:t xml:space="preserve">. </w:t>
      </w:r>
      <w:r w:rsidRPr="00E428B1">
        <w:rPr>
          <w:i/>
          <w:iCs/>
        </w:rPr>
        <w:t>Guidelines to the Mental Health (Compulsory Assessment and Treatment) Act 1992</w:t>
      </w:r>
      <w:r w:rsidRPr="009D77C9">
        <w:t xml:space="preserve">. </w:t>
      </w:r>
      <w:r>
        <w:t>URL:</w:t>
      </w:r>
      <w:r w:rsidRPr="009D77C9">
        <w:t xml:space="preserve"> </w:t>
      </w:r>
      <w:hyperlink r:id="rId46" w:history="1">
        <w:r w:rsidRPr="0057316A">
          <w:rPr>
            <w:rStyle w:val="Hyperlink"/>
          </w:rPr>
          <w:t>health.govt.nz/publications/guidelines-to-the-mental-health-compulsory-assessment-and-treatment-act-1992</w:t>
        </w:r>
      </w:hyperlink>
      <w:r>
        <w:t xml:space="preserve"> (accessed 2 June 2025).</w:t>
      </w:r>
    </w:p>
    <w:p w14:paraId="2C3185BC" w14:textId="77777777" w:rsidR="0027724B" w:rsidRDefault="0027724B" w:rsidP="0027724B">
      <w:pPr>
        <w:pStyle w:val="References"/>
        <w:rPr>
          <w:rStyle w:val="Hyperlink"/>
        </w:rPr>
      </w:pPr>
      <w:r w:rsidRPr="0027724B">
        <w:rPr>
          <w:rFonts w:cs="Arial"/>
        </w:rPr>
        <w:t>Ministry</w:t>
      </w:r>
      <w:r>
        <w:t xml:space="preserve"> of Health. 2022c.</w:t>
      </w:r>
      <w:r w:rsidRPr="00E44213">
        <w:rPr>
          <w:i/>
          <w:iCs/>
        </w:rPr>
        <w:t xml:space="preserve"> Office of the Director of Mental Health and Addiction Services Regulatory Report 1 July 2020 to 30 June 2021</w:t>
      </w:r>
      <w:r>
        <w:t xml:space="preserve">. URL: </w:t>
      </w:r>
      <w:hyperlink r:id="rId47" w:history="1">
        <w:r w:rsidRPr="00C22763">
          <w:rPr>
            <w:rStyle w:val="Hyperlink"/>
          </w:rPr>
          <w:t>health.govt.nz/publications/office-of-the-director-of-mental-health-and-addiction-services-regulatory-report-1-july-2020-to-30</w:t>
        </w:r>
      </w:hyperlink>
      <w:r>
        <w:t xml:space="preserve"> (accessed 27 May 2025).</w:t>
      </w:r>
    </w:p>
    <w:p w14:paraId="02E44C80" w14:textId="77777777" w:rsidR="0027724B" w:rsidRDefault="0027724B" w:rsidP="0027724B">
      <w:pPr>
        <w:pStyle w:val="References"/>
        <w:rPr>
          <w:b/>
          <w:bCs/>
        </w:rPr>
      </w:pPr>
      <w:r w:rsidRPr="0027724B">
        <w:rPr>
          <w:rFonts w:cs="Arial"/>
        </w:rPr>
        <w:t>Ministry</w:t>
      </w:r>
      <w:r>
        <w:t xml:space="preserve"> of Health. 2023a. </w:t>
      </w:r>
      <w:r w:rsidRPr="00E428B1">
        <w:rPr>
          <w:i/>
          <w:iCs/>
        </w:rPr>
        <w:t>Guidelines for Reducing and Eliminating Seclusion and Restraint Under the Mental Health (Compulsory Assessment and Treatment) Act 1992</w:t>
      </w:r>
      <w:r>
        <w:t xml:space="preserve">. URL: </w:t>
      </w:r>
      <w:hyperlink r:id="rId48" w:history="1">
        <w:r w:rsidRPr="0057316A">
          <w:rPr>
            <w:rStyle w:val="Hyperlink"/>
          </w:rPr>
          <w:t>health.govt.nz/publications/guidelines-for-reducing-and-eliminating-seclusion-and-restraint-under-the-mental-health-compulsory</w:t>
        </w:r>
      </w:hyperlink>
      <w:r>
        <w:rPr>
          <w:rFonts w:cs="Arial"/>
          <w:color w:val="002639"/>
          <w:szCs w:val="21"/>
        </w:rPr>
        <w:t xml:space="preserve"> </w:t>
      </w:r>
      <w:r>
        <w:t>(accessed 2 June 2025).</w:t>
      </w:r>
    </w:p>
    <w:p w14:paraId="0B577DC1" w14:textId="77777777" w:rsidR="0027724B" w:rsidRDefault="0027724B" w:rsidP="0027724B">
      <w:pPr>
        <w:pStyle w:val="References"/>
      </w:pPr>
      <w:r w:rsidRPr="0027724B">
        <w:rPr>
          <w:rFonts w:cs="Arial"/>
        </w:rPr>
        <w:t>Ministry</w:t>
      </w:r>
      <w:r w:rsidRPr="009D29B4">
        <w:rPr>
          <w:rFonts w:cs="Arial"/>
          <w:color w:val="002639"/>
          <w:szCs w:val="21"/>
        </w:rPr>
        <w:t xml:space="preserve"> of</w:t>
      </w:r>
      <w:r>
        <w:rPr>
          <w:rFonts w:cs="Arial"/>
          <w:color w:val="002639"/>
          <w:szCs w:val="21"/>
        </w:rPr>
        <w:t xml:space="preserve"> Health. 2023b. </w:t>
      </w:r>
      <w:r w:rsidRPr="00E428B1">
        <w:rPr>
          <w:rFonts w:cs="Arial"/>
          <w:i/>
          <w:iCs/>
          <w:color w:val="002639"/>
          <w:szCs w:val="21"/>
        </w:rPr>
        <w:t>Pae Tū: Hauora Māori Strategy</w:t>
      </w:r>
      <w:r w:rsidRPr="00834FC4">
        <w:rPr>
          <w:rFonts w:cs="Arial"/>
          <w:color w:val="002639"/>
          <w:szCs w:val="21"/>
        </w:rPr>
        <w:t xml:space="preserve">. </w:t>
      </w:r>
      <w:r>
        <w:rPr>
          <w:rFonts w:cs="Arial"/>
          <w:color w:val="002639"/>
          <w:szCs w:val="21"/>
        </w:rPr>
        <w:t xml:space="preserve">URL: </w:t>
      </w:r>
      <w:hyperlink r:id="rId49" w:history="1">
        <w:r w:rsidRPr="0057316A">
          <w:rPr>
            <w:rStyle w:val="Hyperlink"/>
            <w:rFonts w:cs="Arial"/>
            <w:szCs w:val="21"/>
          </w:rPr>
          <w:t>health.govt.nz/publications/pae-tu-hauora-maori-strategy</w:t>
        </w:r>
      </w:hyperlink>
      <w:r>
        <w:rPr>
          <w:rFonts w:cs="Arial"/>
          <w:color w:val="002639"/>
          <w:szCs w:val="21"/>
        </w:rPr>
        <w:t xml:space="preserve"> </w:t>
      </w:r>
      <w:r>
        <w:t>(accessed 2 June 2025).</w:t>
      </w:r>
    </w:p>
    <w:p w14:paraId="368011E2" w14:textId="77777777" w:rsidR="0027724B" w:rsidRPr="00E428B1" w:rsidRDefault="0027724B" w:rsidP="0027724B">
      <w:pPr>
        <w:pStyle w:val="References"/>
        <w:rPr>
          <w:szCs w:val="21"/>
        </w:rPr>
      </w:pPr>
      <w:r w:rsidRPr="0027724B">
        <w:rPr>
          <w:rFonts w:cs="Arial"/>
        </w:rPr>
        <w:t>Ministry</w:t>
      </w:r>
      <w:r w:rsidRPr="00E428B1">
        <w:rPr>
          <w:szCs w:val="21"/>
        </w:rPr>
        <w:t xml:space="preserve"> of Justice. 2020. Constitutional issues and human rights. URL: </w:t>
      </w:r>
      <w:hyperlink r:id="rId50" w:history="1">
        <w:r w:rsidRPr="00E428B1">
          <w:rPr>
            <w:rStyle w:val="Hyperlink"/>
            <w:szCs w:val="21"/>
          </w:rPr>
          <w:t>justice.govt.nz/justice-sector-policy/constitutional-issues-and-human-rights/human-rights/</w:t>
        </w:r>
      </w:hyperlink>
      <w:r w:rsidRPr="00E428B1">
        <w:rPr>
          <w:szCs w:val="21"/>
        </w:rPr>
        <w:t xml:space="preserve"> (accessed 29 May 2025).</w:t>
      </w:r>
    </w:p>
    <w:p w14:paraId="6A3AE17B" w14:textId="77777777" w:rsidR="0027724B" w:rsidRPr="00E428B1" w:rsidRDefault="0027724B" w:rsidP="0027724B">
      <w:pPr>
        <w:pStyle w:val="References"/>
      </w:pPr>
      <w:r w:rsidRPr="07D3D206">
        <w:rPr>
          <w:rFonts w:cs="Arial"/>
        </w:rPr>
        <w:t xml:space="preserve">New Zealand Drug Foundation. 2022. </w:t>
      </w:r>
      <w:r w:rsidRPr="00E428B1">
        <w:rPr>
          <w:rFonts w:cs="Arial"/>
          <w:i/>
          <w:iCs/>
        </w:rPr>
        <w:t>State of the Nation 2022: A stocktake of how New Zealand is dealing with drug use and drug harm</w:t>
      </w:r>
      <w:r>
        <w:rPr>
          <w:rFonts w:cs="Arial"/>
        </w:rPr>
        <w:t>. URL:</w:t>
      </w:r>
      <w:r w:rsidRPr="07D3D206">
        <w:rPr>
          <w:rFonts w:cs="Arial"/>
        </w:rPr>
        <w:t xml:space="preserve"> </w:t>
      </w:r>
      <w:hyperlink r:id="rId51" w:history="1">
        <w:r w:rsidRPr="002C287C">
          <w:rPr>
            <w:rStyle w:val="Hyperlink"/>
            <w:rFonts w:cs="Arial"/>
          </w:rPr>
          <w:t>drugfoundation.org.nz/assets/Uploads/Submissions-and-reports/State-of-the-Nation-2022-web.pdf</w:t>
        </w:r>
      </w:hyperlink>
      <w:r>
        <w:t xml:space="preserve"> (accessed 27 May 2025).</w:t>
      </w:r>
    </w:p>
    <w:p w14:paraId="6FE92D28" w14:textId="77777777" w:rsidR="0027724B" w:rsidRDefault="0027724B" w:rsidP="0027724B">
      <w:pPr>
        <w:pStyle w:val="References"/>
        <w:rPr>
          <w:rStyle w:val="Hyperlink"/>
          <w:rFonts w:cs="Arial"/>
        </w:rPr>
      </w:pPr>
      <w:r w:rsidRPr="0027724B">
        <w:rPr>
          <w:rFonts w:cs="Arial"/>
        </w:rPr>
        <w:t>Office</w:t>
      </w:r>
      <w:r w:rsidRPr="009D29B4">
        <w:t xml:space="preserve"> of the Ombudsman. 2023. </w:t>
      </w:r>
      <w:r w:rsidRPr="00E428B1">
        <w:rPr>
          <w:i/>
          <w:iCs/>
        </w:rPr>
        <w:t xml:space="preserve">Removing </w:t>
      </w:r>
      <w:r w:rsidRPr="00715B5C">
        <w:rPr>
          <w:i/>
          <w:iCs/>
        </w:rPr>
        <w:t>Barriers</w:t>
      </w:r>
      <w:r w:rsidRPr="00E428B1">
        <w:rPr>
          <w:i/>
          <w:iCs/>
        </w:rPr>
        <w:t>: A guide for reasonable accommodation of disabled people in Aotearoa. Te turaki i ngā ripa tauārai: He aratohu mō te manaaki tōtika i te hunga hauā i Aotearoa.</w:t>
      </w:r>
      <w:r>
        <w:t xml:space="preserve"> URL: </w:t>
      </w:r>
      <w:hyperlink r:id="rId52" w:history="1">
        <w:r w:rsidRPr="009D29B4">
          <w:rPr>
            <w:rStyle w:val="Hyperlink"/>
            <w:rFonts w:cs="Arial"/>
          </w:rPr>
          <w:t>ombudsman.parliament.nz/sites/default/files/2023-02/Reasonable%20Accomodation%20Guide%202023.pdf</w:t>
        </w:r>
      </w:hyperlink>
      <w:r>
        <w:rPr>
          <w:rFonts w:cs="Arial"/>
          <w:color w:val="002639"/>
          <w:szCs w:val="21"/>
        </w:rPr>
        <w:t xml:space="preserve"> </w:t>
      </w:r>
      <w:r>
        <w:t>(accessed 2 June 2025).</w:t>
      </w:r>
    </w:p>
    <w:p w14:paraId="5F7652F0" w14:textId="77777777" w:rsidR="0027724B" w:rsidRPr="009D29B4" w:rsidRDefault="0027724B" w:rsidP="0027724B">
      <w:pPr>
        <w:pStyle w:val="References"/>
      </w:pPr>
      <w:r w:rsidRPr="0027724B">
        <w:rPr>
          <w:rFonts w:cs="Arial"/>
        </w:rPr>
        <w:t>Office</w:t>
      </w:r>
      <w:r w:rsidRPr="00BF5C20">
        <w:t xml:space="preserve"> of the Ombudsman. 202</w:t>
      </w:r>
      <w:r>
        <w:t xml:space="preserve">4. </w:t>
      </w:r>
      <w:r w:rsidRPr="00E428B1">
        <w:rPr>
          <w:i/>
          <w:iCs/>
        </w:rPr>
        <w:t>OPCAT – Expectations – Mental Health Services: Expectations for conditions and treatment of tāngata whai ora in health and disability places of detention under the Mental Health (Compulsory Assessment and Treatment) Act 1992.</w:t>
      </w:r>
      <w:r w:rsidRPr="00BF5C20">
        <w:t xml:space="preserve"> </w:t>
      </w:r>
      <w:r>
        <w:t xml:space="preserve">URL: </w:t>
      </w:r>
      <w:hyperlink r:id="rId53" w:history="1">
        <w:r w:rsidRPr="0057316A">
          <w:rPr>
            <w:rStyle w:val="Hyperlink"/>
            <w:rFonts w:cs="Arial"/>
          </w:rPr>
          <w:t>ombudsman.parliament.nz/resources/expectations-conditions-and-treatment-tangata-whai-ora-health-and-disability-places</w:t>
        </w:r>
      </w:hyperlink>
      <w:r>
        <w:rPr>
          <w:rStyle w:val="Hyperlink"/>
          <w:rFonts w:cs="Arial"/>
        </w:rPr>
        <w:t xml:space="preserve"> </w:t>
      </w:r>
      <w:r>
        <w:t>(accessed 3 June 2025).</w:t>
      </w:r>
    </w:p>
    <w:p w14:paraId="5958A152" w14:textId="77777777" w:rsidR="0027724B" w:rsidRPr="00E428B1" w:rsidRDefault="0027724B" w:rsidP="0027724B">
      <w:pPr>
        <w:pStyle w:val="References"/>
      </w:pPr>
      <w:r w:rsidRPr="0027724B">
        <w:rPr>
          <w:rFonts w:cs="Arial"/>
        </w:rPr>
        <w:t>Privacy</w:t>
      </w:r>
      <w:r w:rsidRPr="007B1050">
        <w:t xml:space="preserve"> Commissioner.</w:t>
      </w:r>
      <w:r>
        <w:t xml:space="preserve"> (nd-a).</w:t>
      </w:r>
      <w:r w:rsidRPr="007B1050">
        <w:t xml:space="preserve"> As a health professional, can I disclose health information about someone to their family?</w:t>
      </w:r>
      <w:r>
        <w:t xml:space="preserve"> URL: </w:t>
      </w:r>
      <w:hyperlink r:id="rId54" w:history="1">
        <w:r w:rsidRPr="00571763">
          <w:rPr>
            <w:rStyle w:val="Hyperlink"/>
          </w:rPr>
          <w:t>privacy.org.nz/tools/knowledge-base/view/72?t=1249826_1404942</w:t>
        </w:r>
      </w:hyperlink>
      <w:r>
        <w:rPr>
          <w:rStyle w:val="Hyperlink"/>
        </w:rPr>
        <w:t xml:space="preserve"> </w:t>
      </w:r>
      <w:r>
        <w:t>(accessed 30 May 2025).</w:t>
      </w:r>
    </w:p>
    <w:p w14:paraId="3831A25A" w14:textId="77777777" w:rsidR="0027724B" w:rsidRPr="007B1050" w:rsidRDefault="0027724B" w:rsidP="0027724B">
      <w:pPr>
        <w:pStyle w:val="References"/>
        <w:rPr>
          <w:rStyle w:val="Hyperlink"/>
        </w:rPr>
      </w:pPr>
      <w:r w:rsidRPr="0027724B">
        <w:rPr>
          <w:rFonts w:cs="Arial"/>
        </w:rPr>
        <w:t>Privacy</w:t>
      </w:r>
      <w:r w:rsidRPr="007B1050">
        <w:t xml:space="preserve"> Commissioner. </w:t>
      </w:r>
      <w:r>
        <w:t xml:space="preserve">(nd-b). </w:t>
      </w:r>
      <w:r w:rsidRPr="007B1050">
        <w:t>Can a patient’s mental health information be shared with family members?</w:t>
      </w:r>
      <w:r>
        <w:t xml:space="preserve"> URL: </w:t>
      </w:r>
      <w:hyperlink r:id="rId55" w:history="1">
        <w:r w:rsidRPr="005D47A3">
          <w:rPr>
            <w:rStyle w:val="Hyperlink"/>
          </w:rPr>
          <w:t>privacy.org.nz/tools/knowledge-base/view/525?t=1249826_1404942</w:t>
        </w:r>
      </w:hyperlink>
      <w:r>
        <w:rPr>
          <w:rStyle w:val="Hyperlink"/>
        </w:rPr>
        <w:t xml:space="preserve"> </w:t>
      </w:r>
      <w:r>
        <w:t>(accessed 30 May 2025).</w:t>
      </w:r>
    </w:p>
    <w:p w14:paraId="632E2F2F" w14:textId="77777777" w:rsidR="0027724B" w:rsidRDefault="0027724B" w:rsidP="0027724B">
      <w:pPr>
        <w:pStyle w:val="References"/>
      </w:pPr>
      <w:r>
        <w:t xml:space="preserve">Royal </w:t>
      </w:r>
      <w:r w:rsidRPr="0027724B">
        <w:rPr>
          <w:rFonts w:cs="Arial"/>
        </w:rPr>
        <w:t>Australian</w:t>
      </w:r>
      <w:r>
        <w:t xml:space="preserve"> &amp; New Zealand College of Psychiatrists. 2021. How to have the conversation: Information sharing with families/whānau/carers.</w:t>
      </w:r>
      <w:r w:rsidRPr="00CB302A">
        <w:t xml:space="preserve"> </w:t>
      </w:r>
      <w:r>
        <w:t xml:space="preserve">URL: </w:t>
      </w:r>
      <w:hyperlink r:id="rId56" w:history="1">
        <w:r w:rsidRPr="002F17E6">
          <w:rPr>
            <w:rStyle w:val="Hyperlink"/>
          </w:rPr>
          <w:t>ranzcp.org/getmedia/0ccb9dd0-85c5-423a-9329-3d20c9d7d485/2-how-to-have-the-conversation-infomation-sharing-fnl-dec-2021.pdf</w:t>
        </w:r>
      </w:hyperlink>
      <w:r>
        <w:t xml:space="preserve"> (accessed 4 June 2025).</w:t>
      </w:r>
    </w:p>
    <w:p w14:paraId="7DD50BC4" w14:textId="77777777" w:rsidR="0027724B" w:rsidRDefault="0027724B" w:rsidP="0027724B">
      <w:pPr>
        <w:pStyle w:val="References"/>
      </w:pPr>
      <w:r w:rsidRPr="0027724B">
        <w:rPr>
          <w:rFonts w:cs="Arial"/>
        </w:rPr>
        <w:t>Royal</w:t>
      </w:r>
      <w:r>
        <w:t xml:space="preserve"> Australian &amp; New Zealand College of Psychiatrists. 2021. Professional Practice Guideline 20: Information sharing with families/whānau/carers.</w:t>
      </w:r>
      <w:r w:rsidRPr="007B1050">
        <w:t xml:space="preserve"> </w:t>
      </w:r>
      <w:r>
        <w:t xml:space="preserve">URL: </w:t>
      </w:r>
      <w:hyperlink r:id="rId57" w:history="1">
        <w:r w:rsidRPr="002F17E6">
          <w:rPr>
            <w:rStyle w:val="Hyperlink"/>
          </w:rPr>
          <w:t>ranzcp.org/getmedia/8894fddc-ecd3-4366-813d-747391110284/ppg-20-information-sharing-fnl-dec-2021.pdf</w:t>
        </w:r>
      </w:hyperlink>
      <w:r>
        <w:t xml:space="preserve"> (accessed 4 June 2025).</w:t>
      </w:r>
    </w:p>
    <w:p w14:paraId="71315B68" w14:textId="77777777" w:rsidR="0027724B" w:rsidRPr="00E428B1" w:rsidRDefault="0027724B" w:rsidP="0027724B">
      <w:pPr>
        <w:pStyle w:val="References"/>
      </w:pPr>
      <w:r w:rsidRPr="0027724B">
        <w:rPr>
          <w:bCs/>
        </w:rPr>
        <w:t>Standards</w:t>
      </w:r>
      <w:r w:rsidRPr="0027724B">
        <w:rPr>
          <w:rStyle w:val="Hyperlink"/>
          <w:rFonts w:cs="Arial"/>
          <w:bCs/>
          <w:color w:val="auto"/>
        </w:rPr>
        <w:t xml:space="preserve"> </w:t>
      </w:r>
      <w:r w:rsidRPr="0027724B">
        <w:rPr>
          <w:rStyle w:val="Hyperlink"/>
          <w:rFonts w:cs="Arial"/>
          <w:b w:val="0"/>
          <w:color w:val="auto"/>
        </w:rPr>
        <w:t xml:space="preserve">New Zealand. 2021. </w:t>
      </w:r>
      <w:r w:rsidRPr="0027724B">
        <w:rPr>
          <w:rStyle w:val="Hyperlink"/>
          <w:rFonts w:cs="Arial"/>
          <w:b w:val="0"/>
          <w:i/>
          <w:iCs/>
          <w:color w:val="auto"/>
        </w:rPr>
        <w:t>Ngā Paerewa Health and Disability Services Standard</w:t>
      </w:r>
      <w:r w:rsidRPr="0027724B">
        <w:rPr>
          <w:rStyle w:val="Hyperlink"/>
          <w:rFonts w:cs="Arial"/>
          <w:b w:val="0"/>
          <w:color w:val="auto"/>
        </w:rPr>
        <w:t>.</w:t>
      </w:r>
      <w:r w:rsidRPr="0027724B">
        <w:rPr>
          <w:rStyle w:val="Hyperlink"/>
          <w:rFonts w:cs="Arial"/>
          <w:bCs/>
          <w:color w:val="auto"/>
        </w:rPr>
        <w:t xml:space="preserve"> </w:t>
      </w:r>
      <w:r>
        <w:rPr>
          <w:rStyle w:val="Hyperlink"/>
          <w:rFonts w:cs="Arial"/>
          <w:bCs/>
        </w:rPr>
        <w:t xml:space="preserve">URL: </w:t>
      </w:r>
      <w:hyperlink r:id="rId58" w:history="1">
        <w:r w:rsidRPr="00795F46">
          <w:rPr>
            <w:rStyle w:val="Hyperlink"/>
            <w:rFonts w:cs="Arial"/>
          </w:rPr>
          <w:t>standards.govt.nz/shop/nzs-81342021/</w:t>
        </w:r>
      </w:hyperlink>
      <w:r>
        <w:rPr>
          <w:rStyle w:val="Hyperlink"/>
          <w:rFonts w:cs="Arial"/>
        </w:rPr>
        <w:t xml:space="preserve"> </w:t>
      </w:r>
      <w:r>
        <w:t>(accessed 30 May 2025).</w:t>
      </w:r>
    </w:p>
    <w:p w14:paraId="0D8C92B4" w14:textId="77777777" w:rsidR="0027724B" w:rsidRPr="0027724B" w:rsidRDefault="0027724B" w:rsidP="0027724B">
      <w:pPr>
        <w:pStyle w:val="References"/>
        <w:rPr>
          <w:rStyle w:val="Hyperlink"/>
          <w:b w:val="0"/>
          <w:bCs/>
          <w:color w:val="auto"/>
        </w:rPr>
      </w:pPr>
      <w:r w:rsidRPr="0027724B">
        <w:rPr>
          <w:rStyle w:val="Hyperlink"/>
          <w:b w:val="0"/>
          <w:bCs/>
          <w:color w:val="auto"/>
        </w:rPr>
        <w:t xml:space="preserve">Te </w:t>
      </w:r>
      <w:r w:rsidRPr="0027724B">
        <w:t>Pou</w:t>
      </w:r>
      <w:r w:rsidRPr="0027724B">
        <w:rPr>
          <w:rStyle w:val="Hyperlink"/>
          <w:b w:val="0"/>
          <w:bCs/>
          <w:color w:val="auto"/>
        </w:rPr>
        <w:t xml:space="preserve"> o te Whakaaro Nui. 2020. </w:t>
      </w:r>
      <w:r w:rsidRPr="0027724B">
        <w:rPr>
          <w:rStyle w:val="Hyperlink"/>
          <w:b w:val="0"/>
          <w:bCs/>
          <w:i/>
          <w:iCs/>
          <w:color w:val="auto"/>
        </w:rPr>
        <w:t>Mental Health &amp; Addiction Consumer, Peer Support &amp; Lived Experience: Workforce development strategy 2020 to 2025</w:t>
      </w:r>
      <w:r w:rsidRPr="0027724B">
        <w:rPr>
          <w:rStyle w:val="Hyperlink"/>
          <w:b w:val="0"/>
          <w:bCs/>
          <w:color w:val="auto"/>
        </w:rPr>
        <w:t>. Auckland: Te Pou o te Whakaaro Nui.</w:t>
      </w:r>
    </w:p>
    <w:p w14:paraId="64E4C8D9" w14:textId="77777777" w:rsidR="0027724B" w:rsidRDefault="0027724B" w:rsidP="0027724B">
      <w:pPr>
        <w:pStyle w:val="References"/>
      </w:pPr>
      <w:r>
        <w:t xml:space="preserve">Te </w:t>
      </w:r>
      <w:r w:rsidRPr="0027724B">
        <w:t>Pou</w:t>
      </w:r>
      <w:r>
        <w:t xml:space="preserve"> and Ministry of Health. 2017. </w:t>
      </w:r>
      <w:r w:rsidRPr="00EF174A">
        <w:rPr>
          <w:i/>
          <w:iCs/>
        </w:rPr>
        <w:t xml:space="preserve">Let’s Get </w:t>
      </w:r>
      <w:r>
        <w:rPr>
          <w:i/>
          <w:iCs/>
        </w:rPr>
        <w:t>R</w:t>
      </w:r>
      <w:r w:rsidRPr="00EF174A">
        <w:rPr>
          <w:i/>
          <w:iCs/>
        </w:rPr>
        <w:t>eal: Disability</w:t>
      </w:r>
      <w:r>
        <w:t xml:space="preserve">. URL: </w:t>
      </w:r>
      <w:hyperlink r:id="rId59" w:history="1">
        <w:r w:rsidRPr="008B382A">
          <w:rPr>
            <w:rStyle w:val="Hyperlink"/>
          </w:rPr>
          <w:t>d2ew8vb2gktr0m.cloudfront.net/files/resources/lets-get-real-disability-framework-2.pdf</w:t>
        </w:r>
      </w:hyperlink>
      <w:r>
        <w:t xml:space="preserve"> (accessed 29 May 2025).</w:t>
      </w:r>
    </w:p>
    <w:p w14:paraId="37FA1548" w14:textId="77777777" w:rsidR="0027724B" w:rsidRDefault="0027724B" w:rsidP="0027724B">
      <w:pPr>
        <w:pStyle w:val="References"/>
        <w:rPr>
          <w:rFonts w:eastAsia="Segoe UI" w:cs="Segoe UI"/>
          <w:szCs w:val="21"/>
        </w:rPr>
      </w:pPr>
      <w:r w:rsidRPr="00FE5FCA">
        <w:rPr>
          <w:rFonts w:eastAsia="Segoe UI" w:cs="Segoe UI"/>
          <w:szCs w:val="21"/>
        </w:rPr>
        <w:t xml:space="preserve">Te </w:t>
      </w:r>
      <w:r w:rsidRPr="0027724B">
        <w:rPr>
          <w:rFonts w:cs="Arial"/>
        </w:rPr>
        <w:t>Pou</w:t>
      </w:r>
      <w:r w:rsidRPr="00FE5FCA">
        <w:rPr>
          <w:rFonts w:eastAsia="Segoe UI" w:cs="Segoe UI"/>
          <w:szCs w:val="21"/>
        </w:rPr>
        <w:t xml:space="preserve"> </w:t>
      </w:r>
      <w:r>
        <w:rPr>
          <w:rFonts w:eastAsia="Segoe UI" w:cs="Segoe UI"/>
          <w:szCs w:val="21"/>
        </w:rPr>
        <w:t>and</w:t>
      </w:r>
      <w:r w:rsidRPr="00FE5FCA">
        <w:rPr>
          <w:rFonts w:eastAsia="Segoe UI" w:cs="Segoe UI"/>
          <w:szCs w:val="21"/>
        </w:rPr>
        <w:t xml:space="preserve"> Ministry of Health. 2021. </w:t>
      </w:r>
      <w:r w:rsidRPr="00E428B1">
        <w:rPr>
          <w:rFonts w:eastAsia="Segoe UI" w:cs="Segoe UI"/>
          <w:i/>
          <w:iCs/>
          <w:szCs w:val="21"/>
        </w:rPr>
        <w:t>Let’s Get Real: Real Skills for working with people and whānau with mental health and addiction needs</w:t>
      </w:r>
      <w:r w:rsidRPr="00FE5FCA">
        <w:rPr>
          <w:rFonts w:eastAsia="Segoe UI" w:cs="Segoe UI"/>
          <w:szCs w:val="21"/>
        </w:rPr>
        <w:t>.</w:t>
      </w:r>
      <w:r>
        <w:rPr>
          <w:rFonts w:eastAsia="Segoe UI" w:cs="Segoe UI"/>
          <w:szCs w:val="21"/>
        </w:rPr>
        <w:t xml:space="preserve"> URL: </w:t>
      </w:r>
      <w:hyperlink r:id="rId60" w:history="1">
        <w:r w:rsidRPr="003D4159">
          <w:rPr>
            <w:rStyle w:val="Hyperlink"/>
            <w:rFonts w:eastAsia="Segoe UI" w:cs="Segoe UI"/>
            <w:szCs w:val="21"/>
          </w:rPr>
          <w:t>d2ew8vb2gktr0m.cloudfront.net/files/resources/TP-201216-Lets-get-real-framework-book-redesign-and-reprint_4_high-res.pdf</w:t>
        </w:r>
      </w:hyperlink>
      <w:r>
        <w:rPr>
          <w:rFonts w:eastAsia="Segoe UI" w:cs="Segoe UI"/>
          <w:szCs w:val="21"/>
        </w:rPr>
        <w:t xml:space="preserve"> </w:t>
      </w:r>
      <w:r>
        <w:t>(accessed 29 May 2025).</w:t>
      </w:r>
    </w:p>
    <w:p w14:paraId="100F4CF1" w14:textId="77777777" w:rsidR="0027724B" w:rsidRPr="00715B5C" w:rsidRDefault="0027724B" w:rsidP="0027724B">
      <w:pPr>
        <w:pStyle w:val="References"/>
        <w:rPr>
          <w:rFonts w:eastAsia="Segoe UI"/>
        </w:rPr>
      </w:pPr>
      <w:r w:rsidRPr="6F79FC4B">
        <w:rPr>
          <w:rFonts w:eastAsia="Segoe UI" w:cs="Segoe UI"/>
        </w:rPr>
        <w:t xml:space="preserve">Te </w:t>
      </w:r>
      <w:r w:rsidRPr="0027724B">
        <w:rPr>
          <w:rFonts w:cs="Arial"/>
        </w:rPr>
        <w:t>Pou</w:t>
      </w:r>
      <w:r w:rsidRPr="6F79FC4B">
        <w:rPr>
          <w:rFonts w:eastAsia="Segoe UI" w:cs="Segoe UI"/>
        </w:rPr>
        <w:t>. 2022a.</w:t>
      </w:r>
      <w:r w:rsidRPr="00E428B1">
        <w:rPr>
          <w:rFonts w:eastAsia="Segoe UI" w:cs="Segoe UI"/>
          <w:i/>
        </w:rPr>
        <w:t xml:space="preserve"> Equitable Access to Wellbeing</w:t>
      </w:r>
      <w:r w:rsidRPr="6F79FC4B">
        <w:rPr>
          <w:rFonts w:eastAsia="Segoe UI" w:cs="Segoe UI"/>
        </w:rPr>
        <w:t xml:space="preserve">. URL: </w:t>
      </w:r>
      <w:hyperlink r:id="rId61" w:history="1">
        <w:r w:rsidRPr="6F79FC4B">
          <w:rPr>
            <w:rStyle w:val="Hyperlink"/>
            <w:rFonts w:eastAsia="Segoe UI" w:cs="Segoe UI"/>
          </w:rPr>
          <w:t>tepou.co.nz/resources/equitable-access-to-wellbeing-framework-pdf</w:t>
        </w:r>
      </w:hyperlink>
      <w:r>
        <w:t xml:space="preserve"> (accessed 4 June 2025).</w:t>
      </w:r>
    </w:p>
    <w:p w14:paraId="36076E9A" w14:textId="77777777" w:rsidR="0027724B" w:rsidRDefault="0027724B" w:rsidP="0027724B">
      <w:pPr>
        <w:pStyle w:val="References"/>
        <w:rPr>
          <w:rStyle w:val="Hyperlink"/>
          <w:rFonts w:eastAsia="Segoe UI" w:cs="Segoe UI"/>
          <w:color w:val="000000" w:themeColor="text1"/>
          <w:szCs w:val="21"/>
        </w:rPr>
      </w:pPr>
      <w:r w:rsidRPr="07D3D206">
        <w:rPr>
          <w:rFonts w:eastAsia="Segoe UI" w:cs="Segoe UI"/>
          <w:szCs w:val="21"/>
        </w:rPr>
        <w:t xml:space="preserve">Te </w:t>
      </w:r>
      <w:r w:rsidRPr="0027724B">
        <w:rPr>
          <w:rFonts w:cs="Arial"/>
        </w:rPr>
        <w:t>Pou</w:t>
      </w:r>
      <w:r w:rsidRPr="07D3D206">
        <w:rPr>
          <w:rFonts w:eastAsia="Segoe UI" w:cs="Segoe UI"/>
          <w:szCs w:val="21"/>
        </w:rPr>
        <w:t>. 2022</w:t>
      </w:r>
      <w:r>
        <w:rPr>
          <w:rFonts w:eastAsia="Segoe UI" w:cs="Segoe UI"/>
          <w:szCs w:val="21"/>
        </w:rPr>
        <w:t>b</w:t>
      </w:r>
      <w:r w:rsidRPr="07D3D206">
        <w:rPr>
          <w:rFonts w:eastAsia="Segoe UI" w:cs="Segoe UI"/>
          <w:szCs w:val="21"/>
        </w:rPr>
        <w:t>.</w:t>
      </w:r>
      <w:r w:rsidRPr="00E428B1">
        <w:rPr>
          <w:rFonts w:eastAsia="Segoe UI" w:cs="Segoe UI"/>
          <w:i/>
          <w:iCs/>
          <w:szCs w:val="21"/>
        </w:rPr>
        <w:t xml:space="preserve"> Information for people being assessed and treated under the Mental Health Act</w:t>
      </w:r>
      <w:r w:rsidRPr="07D3D206">
        <w:rPr>
          <w:rFonts w:eastAsia="Segoe UI" w:cs="Segoe UI"/>
          <w:szCs w:val="21"/>
        </w:rPr>
        <w:t>.</w:t>
      </w:r>
      <w:r>
        <w:rPr>
          <w:rFonts w:eastAsia="Segoe UI" w:cs="Segoe UI"/>
          <w:szCs w:val="21"/>
        </w:rPr>
        <w:t xml:space="preserve"> URL: </w:t>
      </w:r>
      <w:hyperlink r:id="rId62">
        <w:r w:rsidRPr="0027724B">
          <w:rPr>
            <w:rStyle w:val="Hyperlink"/>
            <w:rFonts w:eastAsia="Segoe UI"/>
          </w:rPr>
          <w:t>d2ew8vb2gktr0m.cloudfront.net/files/resources/TP-220922_2-Mental-Health-Act-booklet-for-the-person-v7a_Print.pdf</w:t>
        </w:r>
      </w:hyperlink>
      <w:r>
        <w:rPr>
          <w:rStyle w:val="Hyperlink"/>
          <w:rFonts w:eastAsia="Segoe UI" w:cs="Segoe UI"/>
          <w:color w:val="000000" w:themeColor="text1"/>
          <w:szCs w:val="21"/>
        </w:rPr>
        <w:t xml:space="preserve"> </w:t>
      </w:r>
      <w:r>
        <w:t>(accessed 4 June 2025).</w:t>
      </w:r>
    </w:p>
    <w:p w14:paraId="562AD47F" w14:textId="77777777" w:rsidR="0027724B" w:rsidRDefault="0027724B" w:rsidP="0027724B">
      <w:pPr>
        <w:pStyle w:val="References"/>
      </w:pPr>
      <w:r w:rsidRPr="0027724B">
        <w:rPr>
          <w:rFonts w:cs="Arial"/>
          <w:bCs/>
        </w:rPr>
        <w:t>Te Pou. 2023. Mental Health Act e-learnings.</w:t>
      </w:r>
      <w:r>
        <w:rPr>
          <w:rStyle w:val="Hyperlink"/>
          <w:rFonts w:eastAsia="Segoe UI" w:cs="Segoe UI"/>
          <w:bCs/>
          <w:color w:val="000000" w:themeColor="text1"/>
          <w:szCs w:val="21"/>
        </w:rPr>
        <w:t xml:space="preserve"> </w:t>
      </w:r>
      <w:r>
        <w:rPr>
          <w:rFonts w:eastAsia="Segoe UI" w:cs="Segoe UI"/>
          <w:szCs w:val="21"/>
        </w:rPr>
        <w:t xml:space="preserve">URL: </w:t>
      </w:r>
      <w:hyperlink r:id="rId63" w:history="1">
        <w:r w:rsidRPr="0027724B">
          <w:rPr>
            <w:rStyle w:val="Hyperlink"/>
            <w:rFonts w:eastAsia="Segoe UI"/>
          </w:rPr>
          <w:t>tepou.co.nz/initiatives/mha/mental-health-act-e-learning</w:t>
        </w:r>
      </w:hyperlink>
      <w:r>
        <w:rPr>
          <w:rFonts w:eastAsia="Segoe UI" w:cs="Segoe UI"/>
          <w:szCs w:val="21"/>
        </w:rPr>
        <w:t xml:space="preserve"> </w:t>
      </w:r>
      <w:r>
        <w:t>(accessed 4 June 2025).</w:t>
      </w:r>
    </w:p>
    <w:p w14:paraId="44270213" w14:textId="77777777" w:rsidR="0027724B" w:rsidRPr="0088365E" w:rsidRDefault="0027724B" w:rsidP="0027724B">
      <w:pPr>
        <w:pStyle w:val="References"/>
        <w:rPr>
          <w:rFonts w:eastAsia="Segoe UI"/>
        </w:rPr>
      </w:pPr>
      <w:r w:rsidRPr="0027724B">
        <w:rPr>
          <w:rFonts w:cs="Arial"/>
        </w:rPr>
        <w:t>UNICEF</w:t>
      </w:r>
      <w:r>
        <w:t xml:space="preserve"> Europe and Central Asia Regional Office. 2018. </w:t>
      </w:r>
      <w:r w:rsidRPr="00004DA6">
        <w:rPr>
          <w:i/>
          <w:iCs/>
        </w:rPr>
        <w:t>Guidelines on Child-friendly Legal Aid</w:t>
      </w:r>
      <w:r>
        <w:t xml:space="preserve">. URL: </w:t>
      </w:r>
      <w:hyperlink r:id="rId64" w:history="1">
        <w:r w:rsidRPr="003B0AF4">
          <w:rPr>
            <w:rStyle w:val="Hyperlink"/>
          </w:rPr>
          <w:t>unicef.org/eca/media/5171/file</w:t>
        </w:r>
      </w:hyperlink>
      <w:r>
        <w:t xml:space="preserve"> (accessed 5 June 2025).</w:t>
      </w:r>
    </w:p>
    <w:p w14:paraId="278768FF" w14:textId="77777777" w:rsidR="0027724B" w:rsidRPr="00EF174A" w:rsidRDefault="0027724B" w:rsidP="0027724B">
      <w:pPr>
        <w:pStyle w:val="References"/>
      </w:pPr>
      <w:r w:rsidRPr="0027724B">
        <w:rPr>
          <w:rFonts w:cs="Arial"/>
        </w:rPr>
        <w:t>Whaikaha</w:t>
      </w:r>
      <w:r>
        <w:rPr>
          <w:rFonts w:cs="Arial"/>
          <w:color w:val="002639"/>
        </w:rPr>
        <w:t xml:space="preserve"> – </w:t>
      </w:r>
      <w:r w:rsidRPr="0027724B">
        <w:rPr>
          <w:rStyle w:val="Hyperlink"/>
          <w:rFonts w:cs="Arial"/>
          <w:b w:val="0"/>
          <w:color w:val="000000" w:themeColor="text1"/>
        </w:rPr>
        <w:t xml:space="preserve">Ministry of Disabled People. 2023. </w:t>
      </w:r>
      <w:r w:rsidRPr="0027724B">
        <w:rPr>
          <w:rStyle w:val="Hyperlink"/>
          <w:rFonts w:cs="Arial"/>
          <w:b w:val="0"/>
          <w:i/>
          <w:iCs/>
          <w:color w:val="000000" w:themeColor="text1"/>
        </w:rPr>
        <w:t>High and Complex Framework Strategic Statement 2023–2028</w:t>
      </w:r>
      <w:r w:rsidRPr="0027724B">
        <w:rPr>
          <w:rStyle w:val="Hyperlink"/>
          <w:rFonts w:cs="Arial"/>
          <w:b w:val="0"/>
          <w:color w:val="000000" w:themeColor="text1"/>
        </w:rPr>
        <w:t>. URL:</w:t>
      </w:r>
      <w:r>
        <w:rPr>
          <w:rStyle w:val="Hyperlink"/>
          <w:rFonts w:cs="Arial"/>
          <w:bCs/>
          <w:color w:val="000000" w:themeColor="text1"/>
        </w:rPr>
        <w:t xml:space="preserve"> </w:t>
      </w:r>
      <w:hyperlink r:id="rId65" w:history="1">
        <w:r w:rsidRPr="00F03B6C">
          <w:rPr>
            <w:rStyle w:val="Hyperlink"/>
            <w:rFonts w:cs="Arial"/>
          </w:rPr>
          <w:t>whaikaha.govt.nz/assets/About-us/HCF-Strategic-Statement-FINAL.pdf</w:t>
        </w:r>
      </w:hyperlink>
      <w:r w:rsidRPr="00F03B6C">
        <w:rPr>
          <w:rStyle w:val="Hyperlink"/>
          <w:rFonts w:cs="Arial"/>
          <w:color w:val="000000" w:themeColor="text1"/>
        </w:rPr>
        <w:t xml:space="preserve"> </w:t>
      </w:r>
      <w:r>
        <w:t>(accessed 29 May 2025).</w:t>
      </w:r>
    </w:p>
    <w:p w14:paraId="10D3CD2A" w14:textId="77777777" w:rsidR="0027724B" w:rsidRDefault="0027724B" w:rsidP="0027724B">
      <w:pPr>
        <w:pStyle w:val="References"/>
      </w:pPr>
      <w:r w:rsidRPr="0027724B">
        <w:rPr>
          <w:rFonts w:cs="Arial"/>
        </w:rPr>
        <w:t>World</w:t>
      </w:r>
      <w:r>
        <w:t xml:space="preserve"> Health Organization. 2023. </w:t>
      </w:r>
      <w:r w:rsidRPr="00EF174A">
        <w:rPr>
          <w:i/>
          <w:iCs/>
        </w:rPr>
        <w:t xml:space="preserve">Mental Health, Human Rights and Legislation: Guidance and </w:t>
      </w:r>
      <w:r>
        <w:rPr>
          <w:i/>
          <w:iCs/>
        </w:rPr>
        <w:t>p</w:t>
      </w:r>
      <w:r w:rsidRPr="00EF174A">
        <w:rPr>
          <w:i/>
          <w:iCs/>
        </w:rPr>
        <w:t>ractice</w:t>
      </w:r>
      <w:r>
        <w:t xml:space="preserve">. URL: </w:t>
      </w:r>
      <w:hyperlink r:id="rId66" w:history="1">
        <w:r w:rsidRPr="00F86952">
          <w:rPr>
            <w:rStyle w:val="Hyperlink"/>
          </w:rPr>
          <w:t>who.int/publications/i/item/9789240080737</w:t>
        </w:r>
      </w:hyperlink>
      <w:r>
        <w:t xml:space="preserve"> (accessed 29 June 2025).</w:t>
      </w:r>
    </w:p>
    <w:p w14:paraId="28728586" w14:textId="77777777" w:rsidR="0027724B" w:rsidRDefault="0027724B" w:rsidP="0027724B">
      <w:bookmarkStart w:id="65" w:name="morethan"/>
      <w:bookmarkEnd w:id="65"/>
    </w:p>
    <w:p w14:paraId="447D12F7" w14:textId="77777777" w:rsidR="00191D52" w:rsidRDefault="00191D52" w:rsidP="0027724B">
      <w:pPr>
        <w:pStyle w:val="References"/>
        <w:sectPr w:rsidR="00191D52" w:rsidSect="008C1116">
          <w:headerReference w:type="default" r:id="rId67"/>
          <w:footerReference w:type="even" r:id="rId68"/>
          <w:footerReference w:type="default" r:id="rId69"/>
          <w:pgSz w:w="11907" w:h="16834" w:code="9"/>
          <w:pgMar w:top="1418" w:right="1701" w:bottom="1134" w:left="1843" w:header="284" w:footer="425" w:gutter="284"/>
          <w:cols w:space="720"/>
        </w:sectPr>
      </w:pPr>
    </w:p>
    <w:p w14:paraId="5C6ED35F" w14:textId="77777777" w:rsidR="00191D52" w:rsidRPr="00191D52" w:rsidRDefault="00191D52" w:rsidP="00191D52">
      <w:pPr>
        <w:pStyle w:val="Heading1-nonumbering"/>
        <w:rPr>
          <w:sz w:val="36"/>
          <w:szCs w:val="8"/>
        </w:rPr>
      </w:pPr>
      <w:bookmarkStart w:id="66" w:name="_Toc200199243"/>
      <w:bookmarkStart w:id="67" w:name="_Toc207353885"/>
      <w:r w:rsidRPr="00191D52">
        <w:rPr>
          <w:sz w:val="36"/>
          <w:szCs w:val="8"/>
        </w:rPr>
        <w:lastRenderedPageBreak/>
        <w:t>Appendix 1: Process for complaints about district inspectors</w:t>
      </w:r>
      <w:bookmarkEnd w:id="66"/>
      <w:bookmarkEnd w:id="67"/>
    </w:p>
    <w:tbl>
      <w:tblPr>
        <w:tblW w:w="9180" w:type="dxa"/>
        <w:tblLook w:val="04A0" w:firstRow="1" w:lastRow="0" w:firstColumn="1" w:lastColumn="0" w:noHBand="0" w:noVBand="1"/>
      </w:tblPr>
      <w:tblGrid>
        <w:gridCol w:w="3397"/>
        <w:gridCol w:w="284"/>
        <w:gridCol w:w="5499"/>
      </w:tblGrid>
      <w:tr w:rsidR="00191D52" w:rsidRPr="00107CB4" w14:paraId="4BF16C81" w14:textId="77777777" w:rsidTr="00191D52">
        <w:trPr>
          <w:trHeight w:val="510"/>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22AFC3A6" w14:textId="77777777" w:rsidR="00191D52" w:rsidRPr="00107CB4" w:rsidRDefault="00191D52" w:rsidP="00191D52">
            <w:pPr>
              <w:ind w:left="-142"/>
              <w:jc w:val="center"/>
              <w:rPr>
                <w:rFonts w:ascii="Calibri" w:hAnsi="Calibri" w:cs="Calibri"/>
                <w:color w:val="000000"/>
                <w:lang w:eastAsia="en-NZ"/>
              </w:rPr>
            </w:pPr>
            <w:r w:rsidRPr="00107CB4">
              <w:rPr>
                <w:rFonts w:ascii="Calibri" w:hAnsi="Calibri" w:cs="Calibri"/>
                <w:color w:val="000000"/>
                <w:lang w:eastAsia="en-NZ"/>
              </w:rPr>
              <w:t>A complaint is received about a district inspector from the public or the Minister of Health</w:t>
            </w:r>
            <w:r>
              <w:rPr>
                <w:rFonts w:ascii="Calibri" w:hAnsi="Calibri" w:cs="Calibri"/>
                <w:color w:val="000000"/>
                <w:lang w:eastAsia="en-NZ"/>
              </w:rPr>
              <w:t>.</w:t>
            </w:r>
          </w:p>
        </w:tc>
      </w:tr>
      <w:tr w:rsidR="00191D52" w:rsidRPr="00107CB4" w14:paraId="57D64D77" w14:textId="77777777" w:rsidTr="00191D52">
        <w:trPr>
          <w:trHeight w:val="397"/>
        </w:trPr>
        <w:tc>
          <w:tcPr>
            <w:tcW w:w="3397" w:type="dxa"/>
            <w:tcBorders>
              <w:top w:val="single" w:sz="4" w:space="0" w:color="auto"/>
              <w:left w:val="nil"/>
              <w:bottom w:val="single" w:sz="4" w:space="0" w:color="auto"/>
              <w:right w:val="nil"/>
            </w:tcBorders>
            <w:vAlign w:val="center"/>
            <w:hideMark/>
          </w:tcPr>
          <w:p w14:paraId="07DC695B" w14:textId="77777777" w:rsidR="00191D52" w:rsidRPr="00107CB4" w:rsidRDefault="00191D52" w:rsidP="00191D52">
            <w:pPr>
              <w:ind w:left="-142"/>
              <w:rPr>
                <w:rFonts w:ascii="Calibri" w:hAnsi="Calibri" w:cs="Calibri"/>
                <w:color w:val="000000"/>
                <w:lang w:eastAsia="en-NZ"/>
              </w:rPr>
            </w:pPr>
          </w:p>
        </w:tc>
        <w:tc>
          <w:tcPr>
            <w:tcW w:w="284" w:type="dxa"/>
            <w:tcBorders>
              <w:top w:val="single" w:sz="4" w:space="0" w:color="auto"/>
              <w:left w:val="nil"/>
              <w:bottom w:val="single" w:sz="4" w:space="0" w:color="auto"/>
              <w:right w:val="nil"/>
            </w:tcBorders>
            <w:vAlign w:val="center"/>
            <w:hideMark/>
          </w:tcPr>
          <w:p w14:paraId="2DC28F64" w14:textId="77777777" w:rsidR="00191D52" w:rsidRPr="00107CB4" w:rsidRDefault="00191D52" w:rsidP="00191D52">
            <w:pPr>
              <w:ind w:left="-142"/>
              <w:jc w:val="center"/>
              <w:rPr>
                <w:rFonts w:ascii="Times New Roman" w:hAnsi="Times New Roman"/>
                <w:lang w:eastAsia="en-NZ"/>
              </w:rPr>
            </w:pPr>
          </w:p>
        </w:tc>
        <w:tc>
          <w:tcPr>
            <w:tcW w:w="5499" w:type="dxa"/>
            <w:tcBorders>
              <w:top w:val="single" w:sz="4" w:space="0" w:color="auto"/>
              <w:left w:val="nil"/>
              <w:bottom w:val="single" w:sz="4" w:space="0" w:color="auto"/>
              <w:right w:val="nil"/>
            </w:tcBorders>
            <w:vAlign w:val="center"/>
            <w:hideMark/>
          </w:tcPr>
          <w:p w14:paraId="1C03C62C" w14:textId="77777777" w:rsidR="00191D52" w:rsidRPr="00107CB4" w:rsidRDefault="00191D52" w:rsidP="00191D52">
            <w:pPr>
              <w:ind w:left="-142"/>
              <w:jc w:val="center"/>
              <w:rPr>
                <w:rFonts w:ascii="Times New Roman" w:hAnsi="Times New Roman"/>
                <w:lang w:eastAsia="en-NZ"/>
              </w:rPr>
            </w:pPr>
          </w:p>
        </w:tc>
      </w:tr>
      <w:tr w:rsidR="00191D52" w:rsidRPr="00107CB4" w14:paraId="25EE3955" w14:textId="77777777" w:rsidTr="00191D52">
        <w:trPr>
          <w:trHeight w:val="680"/>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5366B302" w14:textId="77777777" w:rsidR="00191D52" w:rsidRPr="00107CB4" w:rsidRDefault="00191D52" w:rsidP="00191D52">
            <w:pPr>
              <w:ind w:left="-142"/>
              <w:jc w:val="center"/>
              <w:rPr>
                <w:rFonts w:ascii="Calibri" w:hAnsi="Calibri" w:cs="Calibri"/>
                <w:color w:val="000000"/>
                <w:lang w:eastAsia="en-NZ"/>
              </w:rPr>
            </w:pPr>
            <w:r>
              <w:rPr>
                <w:rFonts w:ascii="Times New Roman" w:hAnsi="Times New Roman"/>
                <w:noProof/>
                <w:lang w:eastAsia="en-NZ"/>
              </w:rPr>
              <mc:AlternateContent>
                <mc:Choice Requires="wps">
                  <w:drawing>
                    <wp:anchor distT="0" distB="0" distL="114300" distR="114300" simplePos="0" relativeHeight="251658240" behindDoc="0" locked="0" layoutInCell="1" allowOverlap="1" wp14:anchorId="451E7ED0" wp14:editId="09FB3BED">
                      <wp:simplePos x="0" y="0"/>
                      <wp:positionH relativeFrom="margin">
                        <wp:align>center</wp:align>
                      </wp:positionH>
                      <wp:positionV relativeFrom="paragraph">
                        <wp:posOffset>-278765</wp:posOffset>
                      </wp:positionV>
                      <wp:extent cx="104775" cy="161925"/>
                      <wp:effectExtent l="19050" t="0" r="47625" b="47625"/>
                      <wp:wrapNone/>
                      <wp:docPr id="11" name="Arrow: Down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75" cy="1619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10AE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alt="&quot;&quot;" style="position:absolute;margin-left:0;margin-top:-21.95pt;width:8.25pt;height:12.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" adj="14612" fillcolor="black [3200]" strokecolor="black [1600]" strokeweight="2pt">
                      <w10:wrap anchorx="margin"/>
                    </v:shape>
                  </w:pict>
                </mc:Fallback>
              </mc:AlternateContent>
            </w:r>
            <w:r w:rsidRPr="00107CB4">
              <w:rPr>
                <w:rFonts w:ascii="Calibri" w:hAnsi="Calibri" w:cs="Calibri"/>
                <w:color w:val="000000"/>
                <w:lang w:eastAsia="en-NZ"/>
              </w:rPr>
              <w:t>A letter of acknowledgment is sent to the complainant and/or to the Minister outlining the complaints process</w:t>
            </w:r>
            <w:r>
              <w:rPr>
                <w:rFonts w:ascii="Calibri" w:hAnsi="Calibri" w:cs="Calibri"/>
                <w:color w:val="000000"/>
                <w:lang w:eastAsia="en-NZ"/>
              </w:rPr>
              <w:t>.</w:t>
            </w:r>
          </w:p>
        </w:tc>
      </w:tr>
      <w:tr w:rsidR="00191D52" w:rsidRPr="00107CB4" w14:paraId="0F60EE16" w14:textId="77777777" w:rsidTr="00191D52">
        <w:trPr>
          <w:trHeight w:val="397"/>
        </w:trPr>
        <w:tc>
          <w:tcPr>
            <w:tcW w:w="3397" w:type="dxa"/>
            <w:tcBorders>
              <w:top w:val="single" w:sz="4" w:space="0" w:color="auto"/>
              <w:left w:val="nil"/>
              <w:bottom w:val="single" w:sz="4" w:space="0" w:color="auto"/>
              <w:right w:val="nil"/>
            </w:tcBorders>
            <w:vAlign w:val="center"/>
            <w:hideMark/>
          </w:tcPr>
          <w:p w14:paraId="3F1A310B" w14:textId="77777777" w:rsidR="00191D52" w:rsidRPr="00107CB4" w:rsidRDefault="00191D52" w:rsidP="00191D52">
            <w:pPr>
              <w:ind w:left="-142"/>
              <w:jc w:val="center"/>
              <w:rPr>
                <w:rFonts w:ascii="Calibri" w:hAnsi="Calibri" w:cs="Calibri"/>
                <w:color w:val="000000"/>
                <w:lang w:eastAsia="en-NZ"/>
              </w:rPr>
            </w:pPr>
          </w:p>
        </w:tc>
        <w:tc>
          <w:tcPr>
            <w:tcW w:w="284" w:type="dxa"/>
            <w:tcBorders>
              <w:top w:val="single" w:sz="4" w:space="0" w:color="auto"/>
              <w:left w:val="nil"/>
              <w:bottom w:val="single" w:sz="4" w:space="0" w:color="auto"/>
              <w:right w:val="nil"/>
            </w:tcBorders>
            <w:vAlign w:val="center"/>
            <w:hideMark/>
          </w:tcPr>
          <w:p w14:paraId="6AD8518E" w14:textId="77777777" w:rsidR="00191D52" w:rsidRPr="00107CB4" w:rsidRDefault="00191D52" w:rsidP="00191D52">
            <w:pPr>
              <w:ind w:left="-142"/>
              <w:jc w:val="center"/>
              <w:rPr>
                <w:rFonts w:ascii="Times New Roman" w:hAnsi="Times New Roman"/>
                <w:lang w:eastAsia="en-NZ"/>
              </w:rPr>
            </w:pPr>
          </w:p>
        </w:tc>
        <w:tc>
          <w:tcPr>
            <w:tcW w:w="5499" w:type="dxa"/>
            <w:tcBorders>
              <w:top w:val="single" w:sz="4" w:space="0" w:color="auto"/>
              <w:left w:val="nil"/>
              <w:bottom w:val="single" w:sz="4" w:space="0" w:color="auto"/>
              <w:right w:val="nil"/>
            </w:tcBorders>
            <w:vAlign w:val="center"/>
            <w:hideMark/>
          </w:tcPr>
          <w:p w14:paraId="07BD9745" w14:textId="77777777" w:rsidR="00191D52" w:rsidRPr="00107CB4" w:rsidRDefault="00191D52" w:rsidP="00191D52">
            <w:pPr>
              <w:ind w:left="-142"/>
              <w:jc w:val="center"/>
              <w:rPr>
                <w:rFonts w:ascii="Times New Roman" w:hAnsi="Times New Roman"/>
                <w:lang w:eastAsia="en-NZ"/>
              </w:rPr>
            </w:pPr>
          </w:p>
        </w:tc>
      </w:tr>
      <w:tr w:rsidR="00191D52" w:rsidRPr="00107CB4" w14:paraId="07708D8D" w14:textId="77777777" w:rsidTr="00191D52">
        <w:trPr>
          <w:trHeight w:val="680"/>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149A886E" w14:textId="77777777" w:rsidR="00191D52" w:rsidRPr="00107CB4" w:rsidRDefault="00191D52" w:rsidP="00191D52">
            <w:pPr>
              <w:ind w:left="-142"/>
              <w:jc w:val="center"/>
              <w:rPr>
                <w:rFonts w:ascii="Calibri" w:hAnsi="Calibri" w:cs="Calibri"/>
                <w:color w:val="000000"/>
                <w:lang w:eastAsia="en-NZ"/>
              </w:rPr>
            </w:pPr>
            <w:r>
              <w:rPr>
                <w:rFonts w:ascii="Times New Roman" w:hAnsi="Times New Roman"/>
                <w:noProof/>
                <w:lang w:eastAsia="en-NZ"/>
              </w:rPr>
              <mc:AlternateContent>
                <mc:Choice Requires="wps">
                  <w:drawing>
                    <wp:anchor distT="0" distB="0" distL="114300" distR="114300" simplePos="0" relativeHeight="251658241" behindDoc="0" locked="0" layoutInCell="1" allowOverlap="1" wp14:anchorId="4A81BA9A" wp14:editId="0636AB99">
                      <wp:simplePos x="0" y="0"/>
                      <wp:positionH relativeFrom="margin">
                        <wp:align>center</wp:align>
                      </wp:positionH>
                      <wp:positionV relativeFrom="paragraph">
                        <wp:posOffset>-256540</wp:posOffset>
                      </wp:positionV>
                      <wp:extent cx="104775" cy="161925"/>
                      <wp:effectExtent l="19050" t="0" r="47625" b="47625"/>
                      <wp:wrapNone/>
                      <wp:docPr id="12" name="Arrow: Down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75" cy="1619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214E" id="Arrow: Down 12" o:spid="_x0000_s1026" type="#_x0000_t67" alt="&quot;&quot;" style="position:absolute;margin-left:0;margin-top:-20.2pt;width:8.25pt;height:12.7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" adj="14612" fillcolor="black [3200]" strokecolor="black [1600]" strokeweight="2pt">
                      <w10:wrap anchorx="margin"/>
                    </v:shape>
                  </w:pict>
                </mc:Fallback>
              </mc:AlternateContent>
            </w:r>
            <w:r w:rsidRPr="00107CB4">
              <w:rPr>
                <w:rFonts w:ascii="Calibri" w:hAnsi="Calibri" w:cs="Calibri"/>
                <w:color w:val="000000"/>
                <w:lang w:eastAsia="en-NZ"/>
              </w:rPr>
              <w:t>The relevant Director* will assess the complaint and may seek further information from the complainant</w:t>
            </w:r>
            <w:r>
              <w:rPr>
                <w:rFonts w:ascii="Calibri" w:hAnsi="Calibri" w:cs="Calibri"/>
                <w:color w:val="000000"/>
                <w:lang w:eastAsia="en-NZ"/>
              </w:rPr>
              <w:t>.</w:t>
            </w:r>
          </w:p>
        </w:tc>
      </w:tr>
      <w:tr w:rsidR="00191D52" w:rsidRPr="00107CB4" w14:paraId="3B3EF46E" w14:textId="77777777" w:rsidTr="00191D52">
        <w:trPr>
          <w:trHeight w:val="397"/>
        </w:trPr>
        <w:tc>
          <w:tcPr>
            <w:tcW w:w="3397" w:type="dxa"/>
            <w:tcBorders>
              <w:top w:val="single" w:sz="4" w:space="0" w:color="auto"/>
              <w:left w:val="nil"/>
              <w:bottom w:val="nil"/>
              <w:right w:val="nil"/>
            </w:tcBorders>
            <w:vAlign w:val="center"/>
            <w:hideMark/>
          </w:tcPr>
          <w:p w14:paraId="03F3066F" w14:textId="77777777" w:rsidR="00191D52" w:rsidRPr="00107CB4" w:rsidRDefault="00191D52" w:rsidP="00191D52">
            <w:pPr>
              <w:ind w:left="-142"/>
              <w:jc w:val="center"/>
              <w:rPr>
                <w:rFonts w:ascii="Calibri" w:hAnsi="Calibri" w:cs="Calibri"/>
                <w:color w:val="000000"/>
                <w:lang w:eastAsia="en-NZ"/>
              </w:rPr>
            </w:pPr>
          </w:p>
        </w:tc>
        <w:tc>
          <w:tcPr>
            <w:tcW w:w="284" w:type="dxa"/>
            <w:tcBorders>
              <w:top w:val="single" w:sz="4" w:space="0" w:color="auto"/>
              <w:left w:val="nil"/>
              <w:bottom w:val="nil"/>
              <w:right w:val="nil"/>
            </w:tcBorders>
            <w:vAlign w:val="center"/>
            <w:hideMark/>
          </w:tcPr>
          <w:p w14:paraId="1D4A8A3F" w14:textId="77777777" w:rsidR="00191D52" w:rsidRPr="00107CB4" w:rsidRDefault="00191D52" w:rsidP="00191D52">
            <w:pPr>
              <w:ind w:left="-142"/>
              <w:jc w:val="center"/>
              <w:rPr>
                <w:rFonts w:ascii="Times New Roman" w:hAnsi="Times New Roman"/>
                <w:lang w:eastAsia="en-NZ"/>
              </w:rPr>
            </w:pPr>
          </w:p>
        </w:tc>
        <w:tc>
          <w:tcPr>
            <w:tcW w:w="5499" w:type="dxa"/>
            <w:tcBorders>
              <w:top w:val="single" w:sz="4" w:space="0" w:color="auto"/>
              <w:left w:val="nil"/>
              <w:bottom w:val="nil"/>
              <w:right w:val="nil"/>
            </w:tcBorders>
            <w:vAlign w:val="center"/>
            <w:hideMark/>
          </w:tcPr>
          <w:p w14:paraId="4FA65606" w14:textId="77777777" w:rsidR="00191D52" w:rsidRPr="00107CB4" w:rsidRDefault="00191D52" w:rsidP="00191D52">
            <w:pPr>
              <w:ind w:left="-142"/>
              <w:jc w:val="center"/>
              <w:rPr>
                <w:rFonts w:ascii="Times New Roman" w:hAnsi="Times New Roman"/>
                <w:lang w:eastAsia="en-NZ"/>
              </w:rPr>
            </w:pPr>
          </w:p>
        </w:tc>
      </w:tr>
      <w:tr w:rsidR="00191D52" w:rsidRPr="00107CB4" w14:paraId="41ACE46B" w14:textId="77777777" w:rsidTr="00191D52">
        <w:trPr>
          <w:trHeight w:val="1541"/>
        </w:trPr>
        <w:tc>
          <w:tcPr>
            <w:tcW w:w="3397" w:type="dxa"/>
            <w:tcBorders>
              <w:top w:val="single" w:sz="4" w:space="0" w:color="auto"/>
              <w:left w:val="single" w:sz="4" w:space="0" w:color="auto"/>
              <w:bottom w:val="single" w:sz="4" w:space="0" w:color="auto"/>
              <w:right w:val="single" w:sz="4" w:space="0" w:color="auto"/>
            </w:tcBorders>
            <w:vAlign w:val="center"/>
            <w:hideMark/>
          </w:tcPr>
          <w:p w14:paraId="7933E80A" w14:textId="77777777" w:rsidR="00191D52" w:rsidRPr="00107CB4" w:rsidRDefault="00191D52" w:rsidP="00191D52">
            <w:pPr>
              <w:ind w:left="-142"/>
              <w:jc w:val="center"/>
              <w:rPr>
                <w:rFonts w:ascii="Calibri" w:hAnsi="Calibri" w:cs="Calibri"/>
                <w:color w:val="000000"/>
                <w:lang w:eastAsia="en-NZ"/>
              </w:rPr>
            </w:pPr>
            <w:r>
              <w:rPr>
                <w:rFonts w:ascii="Times New Roman" w:hAnsi="Times New Roman"/>
                <w:noProof/>
                <w:lang w:eastAsia="en-NZ"/>
              </w:rPr>
              <mc:AlternateContent>
                <mc:Choice Requires="wps">
                  <w:drawing>
                    <wp:anchor distT="0" distB="0" distL="114300" distR="114300" simplePos="0" relativeHeight="251658243" behindDoc="0" locked="0" layoutInCell="1" allowOverlap="1" wp14:anchorId="58A1730B" wp14:editId="7A61BE68">
                      <wp:simplePos x="0" y="0"/>
                      <wp:positionH relativeFrom="margin">
                        <wp:posOffset>947420</wp:posOffset>
                      </wp:positionH>
                      <wp:positionV relativeFrom="paragraph">
                        <wp:posOffset>-311785</wp:posOffset>
                      </wp:positionV>
                      <wp:extent cx="104775" cy="161925"/>
                      <wp:effectExtent l="19050" t="0" r="47625" b="47625"/>
                      <wp:wrapNone/>
                      <wp:docPr id="5" name="Arrow: Down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75" cy="1619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DC54D" id="Arrow: Down 5" o:spid="_x0000_s1026" type="#_x0000_t67" alt="&quot;&quot;" style="position:absolute;margin-left:74.6pt;margin-top:-24.55pt;width:8.25pt;height:12.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" adj="14612" fillcolor="black [3200]" strokecolor="black [1600]" strokeweight="2pt">
                      <w10:wrap anchorx="margin"/>
                    </v:shape>
                  </w:pict>
                </mc:Fallback>
              </mc:AlternateContent>
            </w:r>
            <w:r w:rsidRPr="00107CB4">
              <w:rPr>
                <w:rFonts w:ascii="Calibri" w:hAnsi="Calibri" w:cs="Calibri"/>
                <w:color w:val="000000"/>
                <w:lang w:eastAsia="en-NZ"/>
              </w:rPr>
              <w:t>If the complaint cannot be addressed by the Director, the complainant will be notified and may be directed to another agency, such as the Health and Disability Commission</w:t>
            </w:r>
            <w:r>
              <w:rPr>
                <w:rFonts w:ascii="Calibri" w:hAnsi="Calibri" w:cs="Calibri"/>
                <w:color w:val="000000"/>
                <w:lang w:eastAsia="en-NZ"/>
              </w:rPr>
              <w:t>er.</w:t>
            </w:r>
          </w:p>
        </w:tc>
        <w:tc>
          <w:tcPr>
            <w:tcW w:w="284" w:type="dxa"/>
            <w:tcBorders>
              <w:top w:val="nil"/>
              <w:left w:val="nil"/>
              <w:bottom w:val="nil"/>
              <w:right w:val="nil"/>
            </w:tcBorders>
            <w:vAlign w:val="center"/>
            <w:hideMark/>
          </w:tcPr>
          <w:p w14:paraId="5759BDCB" w14:textId="77777777" w:rsidR="00191D52" w:rsidRPr="00107CB4" w:rsidRDefault="00191D52" w:rsidP="00191D52">
            <w:pPr>
              <w:ind w:left="-142"/>
              <w:jc w:val="center"/>
              <w:rPr>
                <w:rFonts w:ascii="Calibri" w:hAnsi="Calibri" w:cs="Calibri"/>
                <w:color w:val="000000"/>
                <w:lang w:eastAsia="en-NZ"/>
              </w:rPr>
            </w:pPr>
          </w:p>
        </w:tc>
        <w:tc>
          <w:tcPr>
            <w:tcW w:w="5499" w:type="dxa"/>
            <w:tcBorders>
              <w:top w:val="single" w:sz="4" w:space="0" w:color="auto"/>
              <w:left w:val="single" w:sz="4" w:space="0" w:color="auto"/>
              <w:bottom w:val="single" w:sz="4" w:space="0" w:color="auto"/>
              <w:right w:val="single" w:sz="4" w:space="0" w:color="auto"/>
            </w:tcBorders>
            <w:vAlign w:val="center"/>
            <w:hideMark/>
          </w:tcPr>
          <w:p w14:paraId="28D2FFD2" w14:textId="77777777" w:rsidR="00191D52" w:rsidRPr="00107CB4" w:rsidRDefault="00191D52" w:rsidP="00191D52">
            <w:pPr>
              <w:ind w:left="-142"/>
              <w:jc w:val="center"/>
              <w:rPr>
                <w:rFonts w:ascii="Calibri" w:hAnsi="Calibri" w:cs="Calibri"/>
                <w:color w:val="000000"/>
                <w:lang w:eastAsia="en-NZ"/>
              </w:rPr>
            </w:pPr>
            <w:r>
              <w:rPr>
                <w:rFonts w:ascii="Times New Roman" w:hAnsi="Times New Roman"/>
                <w:noProof/>
                <w:lang w:eastAsia="en-NZ"/>
              </w:rPr>
              <mc:AlternateContent>
                <mc:Choice Requires="wps">
                  <w:drawing>
                    <wp:anchor distT="0" distB="0" distL="114300" distR="114300" simplePos="0" relativeHeight="251658242" behindDoc="0" locked="0" layoutInCell="1" allowOverlap="1" wp14:anchorId="2E903369" wp14:editId="12D293F8">
                      <wp:simplePos x="0" y="0"/>
                      <wp:positionH relativeFrom="margin">
                        <wp:posOffset>1532255</wp:posOffset>
                      </wp:positionH>
                      <wp:positionV relativeFrom="paragraph">
                        <wp:posOffset>-559435</wp:posOffset>
                      </wp:positionV>
                      <wp:extent cx="104775" cy="161925"/>
                      <wp:effectExtent l="19050" t="0" r="47625" b="47625"/>
                      <wp:wrapNone/>
                      <wp:docPr id="13" name="Arrow: Down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75" cy="1619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AC8AE" id="Arrow: Down 13" o:spid="_x0000_s1026" type="#_x0000_t67" alt="&quot;&quot;" style="position:absolute;margin-left:120.65pt;margin-top:-44.05pt;width:8.25pt;height:1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" adj="14612" fillcolor="black [3200]" strokecolor="black [1600]" strokeweight="2pt">
                      <w10:wrap anchorx="margin"/>
                    </v:shape>
                  </w:pict>
                </mc:Fallback>
              </mc:AlternateContent>
            </w:r>
            <w:r w:rsidRPr="00107CB4">
              <w:rPr>
                <w:rFonts w:ascii="Calibri" w:hAnsi="Calibri" w:cs="Calibri"/>
                <w:color w:val="000000"/>
                <w:lang w:eastAsia="en-NZ"/>
              </w:rPr>
              <w:t>The Director will contact the district inspector involved and request their response to the complaint</w:t>
            </w:r>
            <w:r>
              <w:rPr>
                <w:rFonts w:ascii="Calibri" w:hAnsi="Calibri" w:cs="Calibri"/>
                <w:color w:val="000000"/>
                <w:lang w:eastAsia="en-NZ"/>
              </w:rPr>
              <w:t>.</w:t>
            </w:r>
          </w:p>
        </w:tc>
      </w:tr>
      <w:tr w:rsidR="00191D52" w:rsidRPr="00107CB4" w14:paraId="5BAD1A5A" w14:textId="77777777" w:rsidTr="00191D52">
        <w:trPr>
          <w:trHeight w:val="397"/>
        </w:trPr>
        <w:tc>
          <w:tcPr>
            <w:tcW w:w="3397" w:type="dxa"/>
            <w:tcBorders>
              <w:top w:val="nil"/>
              <w:left w:val="nil"/>
              <w:bottom w:val="single" w:sz="4" w:space="0" w:color="auto"/>
              <w:right w:val="nil"/>
            </w:tcBorders>
            <w:vAlign w:val="center"/>
            <w:hideMark/>
          </w:tcPr>
          <w:p w14:paraId="20C3C181" w14:textId="77777777" w:rsidR="00191D52" w:rsidRPr="00107CB4" w:rsidRDefault="00191D52" w:rsidP="00191D52">
            <w:pPr>
              <w:ind w:left="-142"/>
              <w:jc w:val="center"/>
              <w:rPr>
                <w:rFonts w:ascii="Calibri" w:hAnsi="Calibri" w:cs="Calibri"/>
                <w:color w:val="000000"/>
                <w:lang w:eastAsia="en-NZ"/>
              </w:rPr>
            </w:pPr>
          </w:p>
        </w:tc>
        <w:tc>
          <w:tcPr>
            <w:tcW w:w="284" w:type="dxa"/>
            <w:tcBorders>
              <w:top w:val="nil"/>
              <w:left w:val="nil"/>
              <w:bottom w:val="single" w:sz="4" w:space="0" w:color="auto"/>
              <w:right w:val="nil"/>
            </w:tcBorders>
            <w:vAlign w:val="center"/>
            <w:hideMark/>
          </w:tcPr>
          <w:p w14:paraId="10E3232B" w14:textId="77777777" w:rsidR="00191D52" w:rsidRPr="00107CB4" w:rsidRDefault="00191D52" w:rsidP="00191D52">
            <w:pPr>
              <w:ind w:left="-142"/>
              <w:jc w:val="center"/>
              <w:rPr>
                <w:rFonts w:ascii="Times New Roman" w:hAnsi="Times New Roman"/>
                <w:lang w:eastAsia="en-NZ"/>
              </w:rPr>
            </w:pPr>
          </w:p>
        </w:tc>
        <w:tc>
          <w:tcPr>
            <w:tcW w:w="5499" w:type="dxa"/>
            <w:tcBorders>
              <w:top w:val="nil"/>
              <w:left w:val="nil"/>
              <w:bottom w:val="single" w:sz="4" w:space="0" w:color="auto"/>
              <w:right w:val="nil"/>
            </w:tcBorders>
            <w:vAlign w:val="center"/>
            <w:hideMark/>
          </w:tcPr>
          <w:p w14:paraId="74C8F006" w14:textId="77777777" w:rsidR="00191D52" w:rsidRPr="00107CB4" w:rsidRDefault="00191D52" w:rsidP="00191D52">
            <w:pPr>
              <w:ind w:left="-142"/>
              <w:jc w:val="center"/>
              <w:rPr>
                <w:rFonts w:ascii="Times New Roman" w:hAnsi="Times New Roman"/>
                <w:lang w:eastAsia="en-NZ"/>
              </w:rPr>
            </w:pPr>
            <w:r>
              <w:rPr>
                <w:rFonts w:ascii="Times New Roman" w:hAnsi="Times New Roman"/>
                <w:noProof/>
                <w:lang w:eastAsia="en-NZ"/>
              </w:rPr>
              <mc:AlternateContent>
                <mc:Choice Requires="wps">
                  <w:drawing>
                    <wp:anchor distT="0" distB="0" distL="114300" distR="114300" simplePos="0" relativeHeight="251658244" behindDoc="0" locked="0" layoutInCell="1" allowOverlap="1" wp14:anchorId="44F37CD2" wp14:editId="3383520F">
                      <wp:simplePos x="0" y="0"/>
                      <wp:positionH relativeFrom="margin">
                        <wp:posOffset>1534795</wp:posOffset>
                      </wp:positionH>
                      <wp:positionV relativeFrom="paragraph">
                        <wp:posOffset>23495</wp:posOffset>
                      </wp:positionV>
                      <wp:extent cx="104775" cy="161925"/>
                      <wp:effectExtent l="19050" t="0" r="47625" b="47625"/>
                      <wp:wrapNone/>
                      <wp:docPr id="15" name="Arrow: Down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75" cy="1619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2DC91" id="Arrow: Down 15" o:spid="_x0000_s1026" type="#_x0000_t67" alt="&quot;&quot;" style="position:absolute;margin-left:120.85pt;margin-top:1.85pt;width:8.25pt;height:12.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" adj="14612" fillcolor="black [3200]" strokecolor="black [1600]" strokeweight="2pt">
                      <w10:wrap anchorx="margin"/>
                    </v:shape>
                  </w:pict>
                </mc:Fallback>
              </mc:AlternateContent>
            </w:r>
          </w:p>
        </w:tc>
      </w:tr>
      <w:tr w:rsidR="00191D52" w:rsidRPr="00107CB4" w14:paraId="0BF36607" w14:textId="77777777" w:rsidTr="00191D52">
        <w:trPr>
          <w:trHeight w:val="510"/>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1AD8D86C" w14:textId="3DD3A9AC" w:rsidR="00191D52" w:rsidRPr="00107CB4" w:rsidRDefault="00191D52" w:rsidP="00191D52">
            <w:pPr>
              <w:ind w:left="-142"/>
              <w:jc w:val="center"/>
              <w:rPr>
                <w:rFonts w:ascii="Calibri" w:hAnsi="Calibri" w:cs="Calibri"/>
                <w:color w:val="000000"/>
                <w:lang w:eastAsia="en-NZ"/>
              </w:rPr>
            </w:pPr>
            <w:r w:rsidRPr="00107CB4">
              <w:rPr>
                <w:rFonts w:ascii="Calibri" w:hAnsi="Calibri" w:cs="Calibri"/>
                <w:color w:val="000000"/>
                <w:lang w:eastAsia="en-NZ"/>
              </w:rPr>
              <w:t>The Director will assess the evidence</w:t>
            </w:r>
            <w:r>
              <w:rPr>
                <w:rFonts w:ascii="Calibri" w:hAnsi="Calibri" w:cs="Calibri"/>
                <w:color w:val="000000"/>
                <w:lang w:eastAsia="en-NZ"/>
              </w:rPr>
              <w:t>. They will evaluate whether resolution is possible and, if it is, will issue their decision. If resolution is not possible, the Director will request an investigation.</w:t>
            </w:r>
            <w:r w:rsidR="008214EF">
              <w:rPr>
                <w:rFonts w:ascii="Calibri" w:hAnsi="Calibri" w:cs="Calibri"/>
                <w:color w:val="000000"/>
                <w:lang w:eastAsia="en-NZ"/>
              </w:rPr>
              <w:t xml:space="preserve"> </w:t>
            </w:r>
          </w:p>
        </w:tc>
      </w:tr>
      <w:tr w:rsidR="00191D52" w:rsidRPr="00107CB4" w14:paraId="761FA000" w14:textId="77777777" w:rsidTr="00191D52">
        <w:trPr>
          <w:trHeight w:val="397"/>
        </w:trPr>
        <w:tc>
          <w:tcPr>
            <w:tcW w:w="3397" w:type="dxa"/>
            <w:tcBorders>
              <w:top w:val="single" w:sz="4" w:space="0" w:color="auto"/>
              <w:left w:val="nil"/>
              <w:bottom w:val="single" w:sz="4" w:space="0" w:color="auto"/>
              <w:right w:val="nil"/>
            </w:tcBorders>
            <w:vAlign w:val="center"/>
            <w:hideMark/>
          </w:tcPr>
          <w:p w14:paraId="139DD644" w14:textId="77777777" w:rsidR="00191D52" w:rsidRPr="00107CB4" w:rsidRDefault="00191D52" w:rsidP="00191D52">
            <w:pPr>
              <w:ind w:left="-142"/>
              <w:jc w:val="center"/>
              <w:rPr>
                <w:rFonts w:ascii="Calibri" w:hAnsi="Calibri" w:cs="Calibri"/>
                <w:color w:val="000000"/>
                <w:lang w:eastAsia="en-NZ"/>
              </w:rPr>
            </w:pPr>
          </w:p>
        </w:tc>
        <w:tc>
          <w:tcPr>
            <w:tcW w:w="284" w:type="dxa"/>
            <w:tcBorders>
              <w:top w:val="single" w:sz="4" w:space="0" w:color="auto"/>
              <w:left w:val="nil"/>
              <w:bottom w:val="single" w:sz="4" w:space="0" w:color="auto"/>
              <w:right w:val="nil"/>
            </w:tcBorders>
            <w:vAlign w:val="center"/>
            <w:hideMark/>
          </w:tcPr>
          <w:p w14:paraId="29319944" w14:textId="77777777" w:rsidR="00191D52" w:rsidRPr="00107CB4" w:rsidRDefault="00191D52" w:rsidP="00191D52">
            <w:pPr>
              <w:ind w:left="-142"/>
              <w:jc w:val="center"/>
              <w:rPr>
                <w:rFonts w:ascii="Times New Roman" w:hAnsi="Times New Roman"/>
                <w:lang w:eastAsia="en-NZ"/>
              </w:rPr>
            </w:pPr>
          </w:p>
        </w:tc>
        <w:tc>
          <w:tcPr>
            <w:tcW w:w="5499" w:type="dxa"/>
            <w:tcBorders>
              <w:top w:val="single" w:sz="4" w:space="0" w:color="auto"/>
              <w:left w:val="nil"/>
              <w:bottom w:val="single" w:sz="4" w:space="0" w:color="auto"/>
              <w:right w:val="nil"/>
            </w:tcBorders>
            <w:vAlign w:val="center"/>
            <w:hideMark/>
          </w:tcPr>
          <w:p w14:paraId="6ED17FC5" w14:textId="77777777" w:rsidR="00191D52" w:rsidRPr="00107CB4" w:rsidRDefault="00191D52" w:rsidP="00191D52">
            <w:pPr>
              <w:ind w:left="-142"/>
              <w:jc w:val="center"/>
              <w:rPr>
                <w:rFonts w:ascii="Times New Roman" w:hAnsi="Times New Roman"/>
                <w:lang w:eastAsia="en-NZ"/>
              </w:rPr>
            </w:pPr>
          </w:p>
        </w:tc>
      </w:tr>
      <w:tr w:rsidR="00191D52" w:rsidRPr="00107CB4" w14:paraId="521BDB28" w14:textId="77777777" w:rsidTr="00191D52">
        <w:trPr>
          <w:trHeight w:val="2483"/>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364A0E85" w14:textId="77777777" w:rsidR="00191D52" w:rsidRPr="00107CB4" w:rsidRDefault="00191D52" w:rsidP="00191D52">
            <w:pPr>
              <w:ind w:left="-142"/>
              <w:jc w:val="center"/>
              <w:rPr>
                <w:rFonts w:ascii="Calibri" w:hAnsi="Calibri" w:cs="Calibri"/>
                <w:color w:val="000000"/>
                <w:lang w:eastAsia="en-NZ"/>
              </w:rPr>
            </w:pPr>
            <w:r>
              <w:rPr>
                <w:rFonts w:ascii="Times New Roman" w:hAnsi="Times New Roman"/>
                <w:noProof/>
                <w:lang w:eastAsia="en-NZ"/>
              </w:rPr>
              <mc:AlternateContent>
                <mc:Choice Requires="wps">
                  <w:drawing>
                    <wp:anchor distT="0" distB="0" distL="114300" distR="114300" simplePos="0" relativeHeight="251658245" behindDoc="0" locked="0" layoutInCell="1" allowOverlap="1" wp14:anchorId="79FE536A" wp14:editId="4FEFCF6E">
                      <wp:simplePos x="0" y="0"/>
                      <wp:positionH relativeFrom="margin">
                        <wp:posOffset>2783840</wp:posOffset>
                      </wp:positionH>
                      <wp:positionV relativeFrom="paragraph">
                        <wp:posOffset>-328930</wp:posOffset>
                      </wp:positionV>
                      <wp:extent cx="104775" cy="161925"/>
                      <wp:effectExtent l="19050" t="0" r="47625" b="47625"/>
                      <wp:wrapNone/>
                      <wp:docPr id="16" name="Arrow: Down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75" cy="1619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634B" id="Arrow: Down 16" o:spid="_x0000_s1026" type="#_x0000_t67" alt="&quot;&quot;" style="position:absolute;margin-left:219.2pt;margin-top:-25.9pt;width:8.25pt;height:12.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" adj="14612" fillcolor="black [3200]" strokecolor="black [1600]" strokeweight="2pt">
                      <w10:wrap anchorx="margin"/>
                    </v:shape>
                  </w:pict>
                </mc:Fallback>
              </mc:AlternateContent>
            </w:r>
            <w:r w:rsidRPr="00107CB4">
              <w:rPr>
                <w:rFonts w:ascii="Calibri" w:hAnsi="Calibri" w:cs="Calibri"/>
                <w:color w:val="000000"/>
                <w:lang w:eastAsia="en-NZ"/>
              </w:rPr>
              <w:t>The Director will order an investigation if the complaint raises procedural concerns about the district inspector</w:t>
            </w:r>
            <w:r w:rsidRPr="21BFEF7D">
              <w:rPr>
                <w:rFonts w:ascii="Calibri" w:hAnsi="Calibri" w:cs="Calibri"/>
                <w:color w:val="000000" w:themeColor="text1"/>
                <w:lang w:eastAsia="en-NZ"/>
              </w:rPr>
              <w:t>’</w:t>
            </w:r>
            <w:r w:rsidRPr="00107CB4">
              <w:rPr>
                <w:rFonts w:ascii="Calibri" w:hAnsi="Calibri" w:cs="Calibri"/>
                <w:color w:val="000000"/>
                <w:lang w:eastAsia="en-NZ"/>
              </w:rPr>
              <w:t>s investigation or involves any of the following concerns about the district inspector:</w:t>
            </w:r>
            <w:r w:rsidRPr="00107CB4">
              <w:rPr>
                <w:rFonts w:ascii="Calibri" w:hAnsi="Calibri" w:cs="Calibri"/>
                <w:color w:val="000000"/>
                <w:lang w:eastAsia="en-NZ"/>
              </w:rPr>
              <w:br/>
            </w:r>
            <w:r w:rsidRPr="21BFEF7D">
              <w:rPr>
                <w:rFonts w:cstheme="minorBidi"/>
                <w:color w:val="202124"/>
                <w:shd w:val="clear" w:color="auto" w:fill="FFFFFF"/>
              </w:rPr>
              <w:t>•</w:t>
            </w:r>
            <w:r>
              <w:rPr>
                <w:rFonts w:ascii="Calibri" w:hAnsi="Calibri" w:cs="Calibri"/>
                <w:color w:val="000000"/>
                <w:lang w:eastAsia="en-NZ"/>
              </w:rPr>
              <w:t xml:space="preserve"> </w:t>
            </w:r>
            <w:r w:rsidRPr="00107CB4">
              <w:rPr>
                <w:rFonts w:ascii="Calibri" w:hAnsi="Calibri" w:cs="Calibri"/>
                <w:color w:val="000000"/>
                <w:lang w:eastAsia="en-NZ"/>
              </w:rPr>
              <w:t>failure to perform</w:t>
            </w:r>
            <w:r w:rsidRPr="00107CB4">
              <w:rPr>
                <w:rFonts w:ascii="Calibri" w:hAnsi="Calibri" w:cs="Calibri"/>
                <w:color w:val="000000"/>
                <w:lang w:eastAsia="en-NZ"/>
              </w:rPr>
              <w:br/>
            </w:r>
            <w:r w:rsidRPr="21BFEF7D">
              <w:rPr>
                <w:rFonts w:cstheme="minorBidi"/>
                <w:color w:val="202124"/>
                <w:shd w:val="clear" w:color="auto" w:fill="FFFFFF"/>
              </w:rPr>
              <w:t>•</w:t>
            </w:r>
            <w:r>
              <w:rPr>
                <w:rFonts w:ascii="Calibri" w:hAnsi="Calibri" w:cs="Calibri"/>
                <w:color w:val="000000"/>
                <w:lang w:eastAsia="en-NZ"/>
              </w:rPr>
              <w:t xml:space="preserve"> </w:t>
            </w:r>
            <w:r w:rsidRPr="00107CB4">
              <w:rPr>
                <w:rFonts w:ascii="Calibri" w:hAnsi="Calibri" w:cs="Calibri"/>
                <w:color w:val="000000"/>
                <w:lang w:eastAsia="en-NZ"/>
              </w:rPr>
              <w:t>negligence of duty</w:t>
            </w:r>
            <w:r w:rsidRPr="00107CB4">
              <w:rPr>
                <w:rFonts w:ascii="Calibri" w:hAnsi="Calibri" w:cs="Calibri"/>
                <w:color w:val="000000"/>
                <w:lang w:eastAsia="en-NZ"/>
              </w:rPr>
              <w:br/>
            </w:r>
            <w:r w:rsidRPr="21BFEF7D">
              <w:rPr>
                <w:rFonts w:cstheme="minorBidi"/>
                <w:color w:val="202124"/>
                <w:shd w:val="clear" w:color="auto" w:fill="FFFFFF"/>
              </w:rPr>
              <w:t>•</w:t>
            </w:r>
            <w:r>
              <w:rPr>
                <w:rFonts w:ascii="Calibri" w:hAnsi="Calibri" w:cs="Calibri"/>
                <w:color w:val="000000"/>
                <w:lang w:eastAsia="en-NZ"/>
              </w:rPr>
              <w:t xml:space="preserve"> </w:t>
            </w:r>
            <w:r w:rsidRPr="00107CB4">
              <w:rPr>
                <w:rFonts w:ascii="Calibri" w:hAnsi="Calibri" w:cs="Calibri"/>
                <w:color w:val="000000"/>
                <w:lang w:eastAsia="en-NZ"/>
              </w:rPr>
              <w:t>misconduct</w:t>
            </w:r>
            <w:r w:rsidRPr="00107CB4">
              <w:rPr>
                <w:rFonts w:ascii="Calibri" w:hAnsi="Calibri" w:cs="Calibri"/>
                <w:color w:val="000000"/>
                <w:lang w:eastAsia="en-NZ"/>
              </w:rPr>
              <w:br/>
            </w:r>
            <w:r w:rsidRPr="21BFEF7D">
              <w:rPr>
                <w:rFonts w:cstheme="minorBidi"/>
                <w:color w:val="202124"/>
                <w:shd w:val="clear" w:color="auto" w:fill="FFFFFF"/>
              </w:rPr>
              <w:t>•</w:t>
            </w:r>
            <w:r>
              <w:rPr>
                <w:rFonts w:ascii="Calibri" w:hAnsi="Calibri" w:cs="Calibri"/>
                <w:color w:val="000000"/>
                <w:lang w:eastAsia="en-NZ"/>
              </w:rPr>
              <w:t xml:space="preserve"> </w:t>
            </w:r>
            <w:r w:rsidRPr="00107CB4">
              <w:rPr>
                <w:rFonts w:ascii="Calibri" w:hAnsi="Calibri" w:cs="Calibri"/>
                <w:color w:val="000000"/>
                <w:lang w:eastAsia="en-NZ"/>
              </w:rPr>
              <w:t>inability to perform.</w:t>
            </w:r>
            <w:r w:rsidRPr="00107CB4">
              <w:rPr>
                <w:rFonts w:ascii="Calibri" w:hAnsi="Calibri" w:cs="Calibri"/>
                <w:color w:val="000000"/>
                <w:lang w:eastAsia="en-NZ"/>
              </w:rPr>
              <w:br/>
              <w:t>The investigation will be carried out by a</w:t>
            </w:r>
            <w:r>
              <w:rPr>
                <w:rFonts w:ascii="Calibri" w:hAnsi="Calibri" w:cs="Calibri"/>
                <w:color w:val="000000"/>
                <w:lang w:eastAsia="en-NZ"/>
              </w:rPr>
              <w:t xml:space="preserve"> lawyer</w:t>
            </w:r>
            <w:r w:rsidRPr="00107CB4">
              <w:rPr>
                <w:rFonts w:ascii="Calibri" w:hAnsi="Calibri" w:cs="Calibri"/>
                <w:color w:val="000000"/>
                <w:lang w:eastAsia="en-NZ"/>
              </w:rPr>
              <w:t xml:space="preserve"> </w:t>
            </w:r>
            <w:r>
              <w:rPr>
                <w:rFonts w:ascii="Calibri" w:hAnsi="Calibri" w:cs="Calibri"/>
                <w:color w:val="000000"/>
                <w:lang w:eastAsia="en-NZ"/>
              </w:rPr>
              <w:t xml:space="preserve">and </w:t>
            </w:r>
            <w:r w:rsidRPr="00107CB4">
              <w:rPr>
                <w:rFonts w:ascii="Calibri" w:hAnsi="Calibri" w:cs="Calibri"/>
                <w:color w:val="000000"/>
                <w:lang w:eastAsia="en-NZ"/>
              </w:rPr>
              <w:t>health professional</w:t>
            </w:r>
            <w:r>
              <w:rPr>
                <w:rFonts w:ascii="Calibri" w:hAnsi="Calibri" w:cs="Calibri"/>
                <w:color w:val="000000"/>
                <w:lang w:eastAsia="en-NZ"/>
              </w:rPr>
              <w:t>, both with appropriate qualification</w:t>
            </w:r>
            <w:r w:rsidRPr="00107CB4">
              <w:rPr>
                <w:rFonts w:ascii="Calibri" w:hAnsi="Calibri" w:cs="Calibri"/>
                <w:color w:val="000000"/>
                <w:lang w:eastAsia="en-NZ"/>
              </w:rPr>
              <w:t xml:space="preserve"> chosen by the Director</w:t>
            </w:r>
            <w:r>
              <w:rPr>
                <w:rFonts w:ascii="Calibri" w:hAnsi="Calibri" w:cs="Calibri"/>
                <w:color w:val="000000"/>
                <w:lang w:eastAsia="en-NZ"/>
              </w:rPr>
              <w:t>.</w:t>
            </w:r>
          </w:p>
        </w:tc>
      </w:tr>
      <w:tr w:rsidR="00191D52" w:rsidRPr="00107CB4" w14:paraId="6F551E97" w14:textId="77777777" w:rsidTr="00191D52">
        <w:trPr>
          <w:trHeight w:val="397"/>
        </w:trPr>
        <w:tc>
          <w:tcPr>
            <w:tcW w:w="3397" w:type="dxa"/>
            <w:tcBorders>
              <w:top w:val="single" w:sz="4" w:space="0" w:color="auto"/>
              <w:left w:val="nil"/>
              <w:bottom w:val="nil"/>
              <w:right w:val="nil"/>
            </w:tcBorders>
            <w:vAlign w:val="center"/>
            <w:hideMark/>
          </w:tcPr>
          <w:p w14:paraId="11B37B61" w14:textId="77777777" w:rsidR="00191D52" w:rsidRPr="00107CB4" w:rsidRDefault="00191D52" w:rsidP="00191D52">
            <w:pPr>
              <w:ind w:left="-142"/>
              <w:jc w:val="center"/>
              <w:rPr>
                <w:rFonts w:ascii="Calibri" w:hAnsi="Calibri" w:cs="Calibri"/>
                <w:color w:val="000000"/>
                <w:lang w:eastAsia="en-NZ"/>
              </w:rPr>
            </w:pPr>
          </w:p>
        </w:tc>
        <w:tc>
          <w:tcPr>
            <w:tcW w:w="284" w:type="dxa"/>
            <w:tcBorders>
              <w:top w:val="single" w:sz="4" w:space="0" w:color="auto"/>
              <w:left w:val="nil"/>
              <w:bottom w:val="nil"/>
              <w:right w:val="nil"/>
            </w:tcBorders>
            <w:vAlign w:val="center"/>
            <w:hideMark/>
          </w:tcPr>
          <w:p w14:paraId="2D90F6A8" w14:textId="77777777" w:rsidR="00191D52" w:rsidRPr="00107CB4" w:rsidRDefault="00191D52" w:rsidP="00191D52">
            <w:pPr>
              <w:ind w:left="-142"/>
              <w:jc w:val="center"/>
              <w:rPr>
                <w:rFonts w:ascii="Times New Roman" w:hAnsi="Times New Roman"/>
                <w:lang w:eastAsia="en-NZ"/>
              </w:rPr>
            </w:pPr>
          </w:p>
        </w:tc>
        <w:tc>
          <w:tcPr>
            <w:tcW w:w="5499" w:type="dxa"/>
            <w:tcBorders>
              <w:top w:val="single" w:sz="4" w:space="0" w:color="auto"/>
              <w:left w:val="nil"/>
              <w:bottom w:val="nil"/>
              <w:right w:val="nil"/>
            </w:tcBorders>
            <w:vAlign w:val="center"/>
            <w:hideMark/>
          </w:tcPr>
          <w:p w14:paraId="2D534A46" w14:textId="77777777" w:rsidR="00191D52" w:rsidRPr="00107CB4" w:rsidRDefault="00191D52" w:rsidP="00191D52">
            <w:pPr>
              <w:ind w:left="-142"/>
              <w:jc w:val="center"/>
              <w:rPr>
                <w:rFonts w:ascii="Times New Roman" w:hAnsi="Times New Roman"/>
                <w:lang w:eastAsia="en-NZ"/>
              </w:rPr>
            </w:pPr>
          </w:p>
        </w:tc>
      </w:tr>
      <w:tr w:rsidR="00191D52" w:rsidRPr="00107CB4" w14:paraId="36F42773" w14:textId="77777777" w:rsidTr="00191D52">
        <w:trPr>
          <w:trHeight w:val="2550"/>
        </w:trPr>
        <w:tc>
          <w:tcPr>
            <w:tcW w:w="3397" w:type="dxa"/>
            <w:tcBorders>
              <w:top w:val="single" w:sz="4" w:space="0" w:color="auto"/>
              <w:left w:val="single" w:sz="4" w:space="0" w:color="auto"/>
              <w:bottom w:val="single" w:sz="4" w:space="0" w:color="auto"/>
              <w:right w:val="single" w:sz="4" w:space="0" w:color="auto"/>
            </w:tcBorders>
            <w:vAlign w:val="center"/>
            <w:hideMark/>
          </w:tcPr>
          <w:p w14:paraId="2F838BC8" w14:textId="77777777" w:rsidR="00191D52" w:rsidRPr="00107CB4" w:rsidRDefault="00191D52" w:rsidP="00191D52">
            <w:pPr>
              <w:ind w:left="-142"/>
              <w:jc w:val="center"/>
              <w:rPr>
                <w:rFonts w:ascii="Calibri" w:hAnsi="Calibri" w:cs="Calibri"/>
                <w:color w:val="000000"/>
                <w:lang w:eastAsia="en-NZ"/>
              </w:rPr>
            </w:pPr>
            <w:r>
              <w:rPr>
                <w:rFonts w:ascii="Times New Roman" w:hAnsi="Times New Roman"/>
                <w:noProof/>
                <w:lang w:eastAsia="en-NZ"/>
              </w:rPr>
              <mc:AlternateContent>
                <mc:Choice Requires="wps">
                  <w:drawing>
                    <wp:anchor distT="0" distB="0" distL="114300" distR="114300" simplePos="0" relativeHeight="251658247" behindDoc="0" locked="0" layoutInCell="1" allowOverlap="1" wp14:anchorId="3459BD32" wp14:editId="3DF5A1D4">
                      <wp:simplePos x="0" y="0"/>
                      <wp:positionH relativeFrom="margin">
                        <wp:posOffset>941070</wp:posOffset>
                      </wp:positionH>
                      <wp:positionV relativeFrom="paragraph">
                        <wp:posOffset>-695960</wp:posOffset>
                      </wp:positionV>
                      <wp:extent cx="104775" cy="161925"/>
                      <wp:effectExtent l="19050" t="0" r="47625" b="47625"/>
                      <wp:wrapNone/>
                      <wp:docPr id="18" name="Arrow: Down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75" cy="1619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EE85A" id="Arrow: Down 18" o:spid="_x0000_s1026" type="#_x0000_t67" alt="&quot;&quot;" style="position:absolute;margin-left:74.1pt;margin-top:-54.8pt;width:8.25pt;height:12.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" adj="14612" fillcolor="black [3200]" strokecolor="black [1600]" strokeweight="2pt">
                      <w10:wrap anchorx="margin"/>
                    </v:shape>
                  </w:pict>
                </mc:Fallback>
              </mc:AlternateContent>
            </w:r>
            <w:r w:rsidRPr="00107CB4">
              <w:rPr>
                <w:rFonts w:ascii="Calibri" w:hAnsi="Calibri" w:cs="Calibri"/>
                <w:color w:val="000000"/>
                <w:lang w:eastAsia="en-NZ"/>
              </w:rPr>
              <w:t>If the complaint cannot be addressed by the Director, the complainant will be notified and may be directed to another agency</w:t>
            </w:r>
            <w:r>
              <w:rPr>
                <w:rFonts w:ascii="Calibri" w:hAnsi="Calibri" w:cs="Calibri"/>
                <w:color w:val="000000"/>
                <w:lang w:eastAsia="en-NZ"/>
              </w:rPr>
              <w:t>.</w:t>
            </w:r>
          </w:p>
        </w:tc>
        <w:tc>
          <w:tcPr>
            <w:tcW w:w="284" w:type="dxa"/>
            <w:tcBorders>
              <w:top w:val="nil"/>
              <w:left w:val="nil"/>
              <w:bottom w:val="nil"/>
              <w:right w:val="nil"/>
            </w:tcBorders>
            <w:vAlign w:val="center"/>
            <w:hideMark/>
          </w:tcPr>
          <w:p w14:paraId="6496341F" w14:textId="77777777" w:rsidR="00191D52" w:rsidRPr="00107CB4" w:rsidRDefault="00191D52" w:rsidP="00191D52">
            <w:pPr>
              <w:ind w:left="-142"/>
              <w:jc w:val="center"/>
              <w:rPr>
                <w:rFonts w:ascii="Calibri" w:hAnsi="Calibri" w:cs="Calibri"/>
                <w:color w:val="000000"/>
                <w:lang w:eastAsia="en-NZ"/>
              </w:rPr>
            </w:pPr>
          </w:p>
        </w:tc>
        <w:tc>
          <w:tcPr>
            <w:tcW w:w="5499" w:type="dxa"/>
            <w:tcBorders>
              <w:top w:val="single" w:sz="4" w:space="0" w:color="auto"/>
              <w:left w:val="single" w:sz="4" w:space="0" w:color="auto"/>
              <w:bottom w:val="single" w:sz="4" w:space="0" w:color="auto"/>
              <w:right w:val="single" w:sz="4" w:space="0" w:color="auto"/>
            </w:tcBorders>
            <w:vAlign w:val="center"/>
            <w:hideMark/>
          </w:tcPr>
          <w:p w14:paraId="715A7980" w14:textId="77777777" w:rsidR="00191D52" w:rsidRPr="00107CB4" w:rsidRDefault="00191D52" w:rsidP="00191D52">
            <w:pPr>
              <w:ind w:left="-142"/>
              <w:jc w:val="center"/>
              <w:rPr>
                <w:rFonts w:ascii="Calibri" w:hAnsi="Calibri" w:cs="Calibri"/>
                <w:color w:val="000000"/>
                <w:lang w:eastAsia="en-NZ"/>
              </w:rPr>
            </w:pPr>
            <w:r>
              <w:rPr>
                <w:rFonts w:ascii="Times New Roman" w:hAnsi="Times New Roman"/>
                <w:noProof/>
                <w:lang w:eastAsia="en-NZ"/>
              </w:rPr>
              <mc:AlternateContent>
                <mc:Choice Requires="wps">
                  <w:drawing>
                    <wp:anchor distT="0" distB="0" distL="114300" distR="114300" simplePos="0" relativeHeight="251658246" behindDoc="0" locked="0" layoutInCell="1" allowOverlap="1" wp14:anchorId="54A4B35A" wp14:editId="134E06F4">
                      <wp:simplePos x="0" y="0"/>
                      <wp:positionH relativeFrom="margin">
                        <wp:posOffset>1717675</wp:posOffset>
                      </wp:positionH>
                      <wp:positionV relativeFrom="paragraph">
                        <wp:posOffset>-254000</wp:posOffset>
                      </wp:positionV>
                      <wp:extent cx="104775" cy="161925"/>
                      <wp:effectExtent l="19050" t="0" r="47625" b="47625"/>
                      <wp:wrapNone/>
                      <wp:docPr id="17" name="Arrow: Down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75" cy="1619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9F81D" id="Arrow: Down 17" o:spid="_x0000_s1026" type="#_x0000_t67" alt="&quot;&quot;" style="position:absolute;margin-left:135.25pt;margin-top:-20pt;width:8.25pt;height:12.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" adj="14612" fillcolor="black [3200]" strokecolor="black [1600]" strokeweight="2pt">
                      <w10:wrap anchorx="margin"/>
                    </v:shape>
                  </w:pict>
                </mc:Fallback>
              </mc:AlternateContent>
            </w:r>
            <w:r w:rsidRPr="00107CB4">
              <w:rPr>
                <w:rFonts w:ascii="Calibri" w:hAnsi="Calibri" w:cs="Calibri"/>
                <w:color w:val="000000"/>
                <w:lang w:eastAsia="en-NZ"/>
              </w:rPr>
              <w:t>Following the investigation, the Director will consider the most appropriate response</w:t>
            </w:r>
            <w:r>
              <w:rPr>
                <w:rFonts w:ascii="Calibri" w:hAnsi="Calibri" w:cs="Calibri"/>
                <w:color w:val="000000"/>
                <w:lang w:eastAsia="en-NZ"/>
              </w:rPr>
              <w:t xml:space="preserve"> and</w:t>
            </w:r>
            <w:r w:rsidRPr="00107CB4">
              <w:rPr>
                <w:rFonts w:ascii="Calibri" w:hAnsi="Calibri" w:cs="Calibri"/>
                <w:color w:val="000000"/>
                <w:lang w:eastAsia="en-NZ"/>
              </w:rPr>
              <w:t>, depending on the circumstances, the Director may decide to:</w:t>
            </w:r>
            <w:r w:rsidRPr="00107CB4">
              <w:rPr>
                <w:rFonts w:ascii="Calibri" w:hAnsi="Calibri" w:cs="Calibri"/>
                <w:color w:val="000000"/>
                <w:lang w:eastAsia="en-NZ"/>
              </w:rPr>
              <w:br/>
            </w:r>
            <w:r w:rsidRPr="00173FD6">
              <w:rPr>
                <w:rFonts w:cstheme="minorHAnsi"/>
                <w:color w:val="202124"/>
                <w:shd w:val="clear" w:color="auto" w:fill="FFFFFF"/>
              </w:rPr>
              <w:t>•</w:t>
            </w:r>
            <w:r>
              <w:rPr>
                <w:rFonts w:ascii="Calibri" w:hAnsi="Calibri" w:cs="Calibri"/>
                <w:color w:val="000000"/>
                <w:lang w:eastAsia="en-NZ"/>
              </w:rPr>
              <w:t xml:space="preserve"> </w:t>
            </w:r>
            <w:r w:rsidRPr="00107CB4">
              <w:rPr>
                <w:rFonts w:ascii="Calibri" w:hAnsi="Calibri" w:cs="Calibri"/>
                <w:color w:val="000000"/>
                <w:lang w:eastAsia="en-NZ"/>
              </w:rPr>
              <w:t>attempt to remedy the situation (eg, counselling the district inspector)</w:t>
            </w:r>
            <w:r w:rsidRPr="00107CB4">
              <w:rPr>
                <w:rFonts w:ascii="Calibri" w:hAnsi="Calibri" w:cs="Calibri"/>
                <w:color w:val="000000"/>
                <w:lang w:eastAsia="en-NZ"/>
              </w:rPr>
              <w:br/>
            </w:r>
            <w:r w:rsidRPr="00173FD6">
              <w:rPr>
                <w:rFonts w:cstheme="minorHAnsi"/>
                <w:color w:val="202124"/>
                <w:shd w:val="clear" w:color="auto" w:fill="FFFFFF"/>
              </w:rPr>
              <w:t>•</w:t>
            </w:r>
            <w:r>
              <w:rPr>
                <w:rFonts w:ascii="Calibri" w:hAnsi="Calibri" w:cs="Calibri"/>
                <w:color w:val="000000"/>
                <w:lang w:eastAsia="en-NZ"/>
              </w:rPr>
              <w:t xml:space="preserve"> </w:t>
            </w:r>
            <w:r w:rsidRPr="00107CB4">
              <w:rPr>
                <w:rFonts w:ascii="Calibri" w:hAnsi="Calibri" w:cs="Calibri"/>
                <w:color w:val="000000"/>
                <w:lang w:eastAsia="en-NZ"/>
              </w:rPr>
              <w:t>dismiss the complaint</w:t>
            </w:r>
            <w:r w:rsidRPr="00107CB4">
              <w:rPr>
                <w:rFonts w:ascii="Calibri" w:hAnsi="Calibri" w:cs="Calibri"/>
                <w:color w:val="000000"/>
                <w:lang w:eastAsia="en-NZ"/>
              </w:rPr>
              <w:br/>
            </w:r>
            <w:r w:rsidRPr="00173FD6">
              <w:rPr>
                <w:rFonts w:cstheme="minorHAnsi"/>
                <w:color w:val="202124"/>
                <w:shd w:val="clear" w:color="auto" w:fill="FFFFFF"/>
              </w:rPr>
              <w:t>•</w:t>
            </w:r>
            <w:r>
              <w:rPr>
                <w:rFonts w:ascii="Calibri" w:hAnsi="Calibri" w:cs="Calibri"/>
                <w:color w:val="000000"/>
                <w:lang w:eastAsia="en-NZ"/>
              </w:rPr>
              <w:t xml:space="preserve"> </w:t>
            </w:r>
            <w:r w:rsidRPr="00107CB4">
              <w:rPr>
                <w:rFonts w:ascii="Calibri" w:hAnsi="Calibri" w:cs="Calibri"/>
                <w:color w:val="000000"/>
                <w:lang w:eastAsia="en-NZ"/>
              </w:rPr>
              <w:t>ask the Minister of Health or Director-General of Health to suspend or remove the district inspector pursuant to the specific Act.</w:t>
            </w:r>
          </w:p>
        </w:tc>
      </w:tr>
      <w:tr w:rsidR="00191D52" w:rsidRPr="00107CB4" w14:paraId="37394161" w14:textId="77777777" w:rsidTr="00191D52">
        <w:trPr>
          <w:trHeight w:val="397"/>
        </w:trPr>
        <w:tc>
          <w:tcPr>
            <w:tcW w:w="3397" w:type="dxa"/>
            <w:tcBorders>
              <w:top w:val="nil"/>
              <w:left w:val="nil"/>
              <w:bottom w:val="single" w:sz="4" w:space="0" w:color="auto"/>
              <w:right w:val="nil"/>
            </w:tcBorders>
            <w:vAlign w:val="center"/>
            <w:hideMark/>
          </w:tcPr>
          <w:p w14:paraId="4F9A3BAC" w14:textId="77777777" w:rsidR="00191D52" w:rsidRPr="00107CB4" w:rsidRDefault="00191D52" w:rsidP="00191D52">
            <w:pPr>
              <w:ind w:left="-142"/>
              <w:jc w:val="center"/>
              <w:rPr>
                <w:rFonts w:ascii="Calibri" w:hAnsi="Calibri" w:cs="Calibri"/>
                <w:color w:val="000000"/>
                <w:lang w:eastAsia="en-NZ"/>
              </w:rPr>
            </w:pPr>
          </w:p>
        </w:tc>
        <w:tc>
          <w:tcPr>
            <w:tcW w:w="284" w:type="dxa"/>
            <w:tcBorders>
              <w:top w:val="nil"/>
              <w:left w:val="nil"/>
              <w:bottom w:val="single" w:sz="4" w:space="0" w:color="auto"/>
              <w:right w:val="nil"/>
            </w:tcBorders>
            <w:vAlign w:val="center"/>
            <w:hideMark/>
          </w:tcPr>
          <w:p w14:paraId="6AF0079A" w14:textId="77777777" w:rsidR="00191D52" w:rsidRPr="00107CB4" w:rsidRDefault="00191D52" w:rsidP="00191D52">
            <w:pPr>
              <w:ind w:left="-142"/>
              <w:jc w:val="center"/>
              <w:rPr>
                <w:rFonts w:ascii="Times New Roman" w:hAnsi="Times New Roman"/>
                <w:lang w:eastAsia="en-NZ"/>
              </w:rPr>
            </w:pPr>
          </w:p>
        </w:tc>
        <w:tc>
          <w:tcPr>
            <w:tcW w:w="5499" w:type="dxa"/>
            <w:tcBorders>
              <w:top w:val="nil"/>
              <w:left w:val="nil"/>
              <w:bottom w:val="single" w:sz="4" w:space="0" w:color="auto"/>
              <w:right w:val="nil"/>
            </w:tcBorders>
            <w:vAlign w:val="center"/>
            <w:hideMark/>
          </w:tcPr>
          <w:p w14:paraId="1560A226" w14:textId="77777777" w:rsidR="00191D52" w:rsidRPr="00107CB4" w:rsidRDefault="00191D52" w:rsidP="00191D52">
            <w:pPr>
              <w:ind w:left="-142"/>
              <w:jc w:val="center"/>
              <w:rPr>
                <w:rFonts w:ascii="Times New Roman" w:hAnsi="Times New Roman"/>
                <w:lang w:eastAsia="en-NZ"/>
              </w:rPr>
            </w:pPr>
          </w:p>
        </w:tc>
      </w:tr>
      <w:tr w:rsidR="00191D52" w:rsidRPr="00107CB4" w14:paraId="23EAF958" w14:textId="77777777" w:rsidTr="00191D52">
        <w:trPr>
          <w:trHeight w:val="510"/>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2A8DFB35" w14:textId="77777777" w:rsidR="00191D52" w:rsidRPr="00107CB4" w:rsidRDefault="00191D52" w:rsidP="00191D52">
            <w:pPr>
              <w:ind w:left="-142"/>
              <w:jc w:val="center"/>
              <w:rPr>
                <w:rFonts w:ascii="Calibri" w:hAnsi="Calibri" w:cs="Calibri"/>
                <w:color w:val="000000"/>
                <w:lang w:eastAsia="en-NZ"/>
              </w:rPr>
            </w:pPr>
            <w:r w:rsidRPr="00107CB4">
              <w:rPr>
                <w:rFonts w:ascii="Calibri" w:hAnsi="Calibri" w:cs="Calibri"/>
                <w:color w:val="000000"/>
                <w:lang w:eastAsia="en-NZ"/>
              </w:rPr>
              <w:t>The complainant will be advised of the outcome of their complaint.</w:t>
            </w:r>
          </w:p>
        </w:tc>
      </w:tr>
    </w:tbl>
    <w:p w14:paraId="28235804" w14:textId="67091744" w:rsidR="009A42D5" w:rsidRDefault="00191D52" w:rsidP="00191D52">
      <w:r>
        <w:rPr>
          <w:rFonts w:ascii="Times New Roman" w:hAnsi="Times New Roman"/>
          <w:noProof/>
          <w:lang w:eastAsia="en-NZ"/>
        </w:rPr>
        <mc:AlternateContent>
          <mc:Choice Requires="wps">
            <w:drawing>
              <wp:anchor distT="0" distB="0" distL="114300" distR="114300" simplePos="0" relativeHeight="251658248" behindDoc="0" locked="0" layoutInCell="1" allowOverlap="1" wp14:anchorId="7A57FB20" wp14:editId="336D7650">
                <wp:simplePos x="0" y="0"/>
                <wp:positionH relativeFrom="margin">
                  <wp:posOffset>3945255</wp:posOffset>
                </wp:positionH>
                <wp:positionV relativeFrom="paragraph">
                  <wp:posOffset>-532130</wp:posOffset>
                </wp:positionV>
                <wp:extent cx="104775" cy="161925"/>
                <wp:effectExtent l="19050" t="0" r="47625" b="47625"/>
                <wp:wrapNone/>
                <wp:docPr id="19" name="Arrow: Down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75" cy="1619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D9A1" id="Arrow: Down 19" o:spid="_x0000_s1026" type="#_x0000_t67" alt="&quot;&quot;" style="position:absolute;margin-left:310.65pt;margin-top:-41.9pt;width:8.25pt;height:12.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" adj="14612" fillcolor="black [3200]" strokecolor="black [1600]" strokeweight="2pt">
                <w10:wrap anchorx="margin"/>
              </v:shape>
            </w:pict>
          </mc:Fallback>
        </mc:AlternateContent>
      </w:r>
      <w:r w:rsidRPr="00B44140">
        <w:rPr>
          <w:rFonts w:asciiTheme="minorHAnsi" w:hAnsiTheme="minorHAnsi" w:cstheme="minorHAnsi"/>
        </w:rPr>
        <w:t>*</w:t>
      </w:r>
      <w:r>
        <w:rPr>
          <w:rFonts w:asciiTheme="minorHAnsi" w:hAnsiTheme="minorHAnsi" w:cstheme="minorHAnsi"/>
        </w:rPr>
        <w:t xml:space="preserve"> </w:t>
      </w:r>
      <w:r w:rsidRPr="00B44140">
        <w:rPr>
          <w:rFonts w:asciiTheme="minorHAnsi" w:hAnsiTheme="minorHAnsi" w:cstheme="minorHAnsi"/>
        </w:rPr>
        <w:t xml:space="preserve">This could be the Director of Mental Health, Director of Addiction Services or Director of Mental Health and Addiction depending </w:t>
      </w:r>
      <w:r>
        <w:rPr>
          <w:rFonts w:asciiTheme="minorHAnsi" w:hAnsiTheme="minorHAnsi" w:cstheme="minorHAnsi"/>
        </w:rPr>
        <w:t xml:space="preserve">on the Act </w:t>
      </w:r>
      <w:r w:rsidRPr="00B44140">
        <w:rPr>
          <w:rFonts w:asciiTheme="minorHAnsi" w:hAnsiTheme="minorHAnsi" w:cstheme="minorHAnsi"/>
        </w:rPr>
        <w:t>under which the complaint is made.</w:t>
      </w:r>
    </w:p>
    <w:sectPr w:rsidR="009A42D5" w:rsidSect="00191D52">
      <w:pgSz w:w="11906" w:h="16838"/>
      <w:pgMar w:top="1418" w:right="1701" w:bottom="1134" w:left="1843" w:header="709" w:footer="425"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1C17" w14:textId="77777777" w:rsidR="003307E0" w:rsidRDefault="003307E0">
      <w:r>
        <w:separator/>
      </w:r>
    </w:p>
    <w:p w14:paraId="2FDA58A7" w14:textId="77777777" w:rsidR="003307E0" w:rsidRDefault="003307E0"/>
  </w:endnote>
  <w:endnote w:type="continuationSeparator" w:id="0">
    <w:p w14:paraId="009BB22B" w14:textId="77777777" w:rsidR="003307E0" w:rsidRDefault="003307E0">
      <w:r>
        <w:continuationSeparator/>
      </w:r>
    </w:p>
    <w:p w14:paraId="700EBF36" w14:textId="77777777" w:rsidR="003307E0" w:rsidRDefault="00330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8357" w14:textId="1AB5D860" w:rsidR="00191D52" w:rsidRPr="00581136" w:rsidRDefault="00191D52" w:rsidP="005A79E5">
    <w:pPr>
      <w:pStyle w:val="Footer"/>
      <w:pBdr>
        <w:bottom w:val="single" w:sz="4" w:space="1" w:color="auto"/>
      </w:pBdr>
      <w:tabs>
        <w:tab w:val="right" w:pos="9639"/>
      </w:tabs>
      <w:rPr>
        <w:b/>
      </w:rPr>
    </w:pPr>
    <w:r w:rsidRPr="00581136">
      <w:rPr>
        <w:b/>
      </w:rPr>
      <w:t>Released 20</w:t>
    </w:r>
    <w:r>
      <w:rPr>
        <w:b/>
      </w:rPr>
      <w:t>25</w:t>
    </w:r>
    <w:r w:rsidRPr="00581136">
      <w:rPr>
        <w:b/>
      </w:rPr>
      <w:tab/>
      <w:t>health.govt.nz</w:t>
    </w:r>
  </w:p>
  <w:p w14:paraId="524869F6" w14:textId="77777777" w:rsidR="00191D52" w:rsidRPr="005A79E5" w:rsidRDefault="00191D52">
    <w:pPr>
      <w:pStyle w:val="Foote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191D52" w14:paraId="7E34FA6B" w14:textId="77777777" w:rsidTr="00D662F8">
      <w:trPr>
        <w:cantSplit/>
      </w:trPr>
      <w:tc>
        <w:tcPr>
          <w:tcW w:w="675" w:type="dxa"/>
          <w:vAlign w:val="center"/>
        </w:tcPr>
        <w:p w14:paraId="6281C317" w14:textId="77777777" w:rsidR="00191D52" w:rsidRPr="00931466" w:rsidRDefault="00191D52"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27262A64" w14:textId="5EEC854D" w:rsidR="00191D52" w:rsidRDefault="00191D52" w:rsidP="000D58DD">
          <w:pPr>
            <w:pStyle w:val="RectoFooter"/>
            <w:jc w:val="left"/>
          </w:pPr>
          <w:r w:rsidRPr="008C1116">
            <w:t>Guidelines for the Role and Function of District Inspectors</w:t>
          </w:r>
        </w:p>
      </w:tc>
    </w:tr>
  </w:tbl>
  <w:p w14:paraId="5177CEA2" w14:textId="77777777" w:rsidR="00191D52" w:rsidRPr="00571223" w:rsidRDefault="00191D52" w:rsidP="00571223">
    <w:pPr>
      <w:pStyle w:val="VersoFooter"/>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191D52" w14:paraId="47337729" w14:textId="77777777" w:rsidTr="00D662F8">
      <w:trPr>
        <w:cantSplit/>
      </w:trPr>
      <w:tc>
        <w:tcPr>
          <w:tcW w:w="8080" w:type="dxa"/>
          <w:vAlign w:val="center"/>
        </w:tcPr>
        <w:p w14:paraId="1A33CBD1" w14:textId="3A846868" w:rsidR="00191D52" w:rsidRDefault="00191D52" w:rsidP="00931466">
          <w:pPr>
            <w:pStyle w:val="RectoFooter"/>
          </w:pPr>
          <w:r w:rsidRPr="008C1116">
            <w:t>Guidelines for the Role and Function of District Inspectors</w:t>
          </w:r>
        </w:p>
      </w:tc>
      <w:tc>
        <w:tcPr>
          <w:tcW w:w="709" w:type="dxa"/>
          <w:vAlign w:val="center"/>
        </w:tcPr>
        <w:p w14:paraId="501EC334" w14:textId="77777777" w:rsidR="00191D52" w:rsidRPr="00931466" w:rsidRDefault="00191D52"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C6F2E7F" w14:textId="77777777" w:rsidR="00191D52" w:rsidRPr="00581EB8" w:rsidRDefault="00191D52" w:rsidP="00581EB8">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DA70" w14:textId="77777777" w:rsidR="00191D52" w:rsidRDefault="00191D52"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0E96" w14:textId="77777777" w:rsidR="00191D52" w:rsidRDefault="00191D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191D52" w14:paraId="288E3801" w14:textId="77777777" w:rsidTr="00B43C67">
      <w:trPr>
        <w:cantSplit/>
      </w:trPr>
      <w:tc>
        <w:tcPr>
          <w:tcW w:w="709" w:type="dxa"/>
          <w:vAlign w:val="center"/>
        </w:tcPr>
        <w:p w14:paraId="6BA76EF9" w14:textId="77777777" w:rsidR="00191D52" w:rsidRPr="00931466" w:rsidRDefault="00191D52" w:rsidP="008C1116">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viii</w:t>
          </w:r>
          <w:r w:rsidRPr="00931466">
            <w:rPr>
              <w:rStyle w:val="PageNumber"/>
            </w:rPr>
            <w:fldChar w:fldCharType="end"/>
          </w:r>
        </w:p>
      </w:tc>
      <w:tc>
        <w:tcPr>
          <w:tcW w:w="8080" w:type="dxa"/>
          <w:vAlign w:val="center"/>
        </w:tcPr>
        <w:p w14:paraId="115943E4" w14:textId="77777777" w:rsidR="00191D52" w:rsidRDefault="00191D52" w:rsidP="008C1116">
          <w:pPr>
            <w:pStyle w:val="RectoFooter"/>
            <w:jc w:val="left"/>
          </w:pPr>
          <w:r w:rsidRPr="008C1116">
            <w:t>Guidelines for the Role and Function of District Inspectors</w:t>
          </w:r>
        </w:p>
      </w:tc>
    </w:tr>
  </w:tbl>
  <w:p w14:paraId="3139C60B" w14:textId="77777777" w:rsidR="00191D52" w:rsidRPr="00571223" w:rsidRDefault="00191D52"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191D52" w14:paraId="2B547F5C" w14:textId="77777777" w:rsidTr="00B43C67">
      <w:trPr>
        <w:cantSplit/>
      </w:trPr>
      <w:tc>
        <w:tcPr>
          <w:tcW w:w="8080" w:type="dxa"/>
          <w:vAlign w:val="center"/>
        </w:tcPr>
        <w:p w14:paraId="759DC900" w14:textId="77777777" w:rsidR="00191D52" w:rsidRDefault="00191D52" w:rsidP="008C1116">
          <w:pPr>
            <w:pStyle w:val="RectoFooter"/>
          </w:pPr>
          <w:r w:rsidRPr="008C1116">
            <w:t>Guidelines for the Role and Function of District Inspectors</w:t>
          </w:r>
        </w:p>
      </w:tc>
      <w:tc>
        <w:tcPr>
          <w:tcW w:w="709" w:type="dxa"/>
          <w:vAlign w:val="center"/>
        </w:tcPr>
        <w:p w14:paraId="41350D85" w14:textId="77777777" w:rsidR="00191D52" w:rsidRPr="00931466" w:rsidRDefault="00191D52" w:rsidP="008C111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25CFC608" w14:textId="77777777" w:rsidR="00191D52" w:rsidRPr="00581EB8" w:rsidRDefault="00191D52"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191D52" w14:paraId="444301DE" w14:textId="77777777" w:rsidTr="00B43C67">
      <w:trPr>
        <w:cantSplit/>
      </w:trPr>
      <w:tc>
        <w:tcPr>
          <w:tcW w:w="709" w:type="dxa"/>
          <w:vAlign w:val="center"/>
        </w:tcPr>
        <w:p w14:paraId="3D13B4E4" w14:textId="77777777" w:rsidR="00191D52" w:rsidRPr="00931466" w:rsidRDefault="00191D52" w:rsidP="008C1116">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viii</w:t>
          </w:r>
          <w:r w:rsidRPr="00931466">
            <w:rPr>
              <w:rStyle w:val="PageNumber"/>
            </w:rPr>
            <w:fldChar w:fldCharType="end"/>
          </w:r>
        </w:p>
      </w:tc>
      <w:tc>
        <w:tcPr>
          <w:tcW w:w="8080" w:type="dxa"/>
          <w:vAlign w:val="center"/>
        </w:tcPr>
        <w:p w14:paraId="380F7688" w14:textId="77777777" w:rsidR="00191D52" w:rsidRDefault="00191D52" w:rsidP="008C1116">
          <w:pPr>
            <w:pStyle w:val="RectoFooter"/>
            <w:jc w:val="left"/>
          </w:pPr>
          <w:r w:rsidRPr="008C1116">
            <w:t>Guidelines for the Role and Function of District Inspectors</w:t>
          </w:r>
        </w:p>
      </w:tc>
    </w:tr>
  </w:tbl>
  <w:p w14:paraId="711B5D80" w14:textId="77777777" w:rsidR="00191D52" w:rsidRPr="00571223" w:rsidRDefault="00191D52"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191D52" w14:paraId="58AAB149" w14:textId="77777777" w:rsidTr="00D662F8">
      <w:trPr>
        <w:cantSplit/>
      </w:trPr>
      <w:tc>
        <w:tcPr>
          <w:tcW w:w="8080" w:type="dxa"/>
          <w:vAlign w:val="center"/>
        </w:tcPr>
        <w:p w14:paraId="20E2F0CC" w14:textId="261D8FA2" w:rsidR="00191D52" w:rsidRDefault="00191D52" w:rsidP="00926083">
          <w:pPr>
            <w:pStyle w:val="RectoFooter"/>
          </w:pPr>
          <w:r w:rsidRPr="008C1116">
            <w:t>Guidelines for the Role and Function of District Inspectors</w:t>
          </w:r>
        </w:p>
      </w:tc>
      <w:tc>
        <w:tcPr>
          <w:tcW w:w="709" w:type="dxa"/>
          <w:vAlign w:val="center"/>
        </w:tcPr>
        <w:p w14:paraId="3D3C9847" w14:textId="77777777" w:rsidR="00191D52" w:rsidRPr="00931466" w:rsidRDefault="00191D52"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27602107" w14:textId="77777777" w:rsidR="00191D52" w:rsidRPr="00581EB8" w:rsidRDefault="00191D52" w:rsidP="00581EB8">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191D52" w14:paraId="7DB74E0B" w14:textId="77777777" w:rsidTr="00D662F8">
      <w:trPr>
        <w:cantSplit/>
      </w:trPr>
      <w:tc>
        <w:tcPr>
          <w:tcW w:w="709" w:type="dxa"/>
          <w:vAlign w:val="center"/>
        </w:tcPr>
        <w:p w14:paraId="7FB9EB7B" w14:textId="77777777" w:rsidR="00191D52" w:rsidRPr="00931466" w:rsidRDefault="00191D52"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viii</w:t>
          </w:r>
          <w:r w:rsidRPr="00931466">
            <w:rPr>
              <w:rStyle w:val="PageNumber"/>
            </w:rPr>
            <w:fldChar w:fldCharType="end"/>
          </w:r>
        </w:p>
      </w:tc>
      <w:tc>
        <w:tcPr>
          <w:tcW w:w="8080" w:type="dxa"/>
          <w:vAlign w:val="center"/>
        </w:tcPr>
        <w:p w14:paraId="1A8BBBFB" w14:textId="2F376690" w:rsidR="00191D52" w:rsidRDefault="00191D52" w:rsidP="00926083">
          <w:pPr>
            <w:pStyle w:val="RectoFooter"/>
            <w:jc w:val="left"/>
          </w:pPr>
          <w:r w:rsidRPr="008C1116">
            <w:t>Guidelines for the Role and Function of District Inspectors</w:t>
          </w:r>
        </w:p>
      </w:tc>
    </w:tr>
  </w:tbl>
  <w:p w14:paraId="7C39EF3C" w14:textId="77777777" w:rsidR="00191D52" w:rsidRPr="00571223" w:rsidRDefault="00191D52" w:rsidP="00571223">
    <w:pPr>
      <w:pStyle w:val="Verso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191D52" w14:paraId="423138CB" w14:textId="77777777" w:rsidTr="00D662F8">
      <w:trPr>
        <w:cantSplit/>
      </w:trPr>
      <w:tc>
        <w:tcPr>
          <w:tcW w:w="8080" w:type="dxa"/>
          <w:vAlign w:val="center"/>
        </w:tcPr>
        <w:p w14:paraId="520A68A6" w14:textId="29164C1E" w:rsidR="00191D52" w:rsidRDefault="00191D52" w:rsidP="00926083">
          <w:pPr>
            <w:pStyle w:val="RectoFooter"/>
          </w:pPr>
          <w:r w:rsidRPr="008C1116">
            <w:t>Guidelines for the Role and Function of District Inspectors</w:t>
          </w:r>
        </w:p>
      </w:tc>
      <w:tc>
        <w:tcPr>
          <w:tcW w:w="709" w:type="dxa"/>
          <w:vAlign w:val="center"/>
        </w:tcPr>
        <w:p w14:paraId="745D812B" w14:textId="77777777" w:rsidR="00191D52" w:rsidRPr="00931466" w:rsidRDefault="00191D52"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vii</w:t>
          </w:r>
          <w:r w:rsidRPr="00931466">
            <w:rPr>
              <w:rStyle w:val="PageNumber"/>
            </w:rPr>
            <w:fldChar w:fldCharType="end"/>
          </w:r>
        </w:p>
      </w:tc>
    </w:tr>
  </w:tbl>
  <w:p w14:paraId="755CAC6B" w14:textId="77777777" w:rsidR="00191D52" w:rsidRPr="00581EB8" w:rsidRDefault="00191D52"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72F6" w14:textId="77777777" w:rsidR="003307E0" w:rsidRPr="00A26E6B" w:rsidRDefault="003307E0" w:rsidP="00A26E6B"/>
  </w:footnote>
  <w:footnote w:type="continuationSeparator" w:id="0">
    <w:p w14:paraId="540F6F1D" w14:textId="77777777" w:rsidR="003307E0" w:rsidRDefault="003307E0">
      <w:r>
        <w:continuationSeparator/>
      </w:r>
    </w:p>
    <w:p w14:paraId="6F268645" w14:textId="77777777" w:rsidR="003307E0" w:rsidRDefault="003307E0"/>
  </w:footnote>
  <w:footnote w:id="1">
    <w:p w14:paraId="4FB71E7C" w14:textId="77777777" w:rsidR="00191D52" w:rsidRDefault="00191D52" w:rsidP="008C1116">
      <w:pPr>
        <w:pStyle w:val="FootnoteText"/>
      </w:pPr>
      <w:r>
        <w:rPr>
          <w:rStyle w:val="FootnoteReference"/>
        </w:rPr>
        <w:footnoteRef/>
      </w:r>
      <w:r>
        <w:t xml:space="preserve"> The terms </w:t>
      </w:r>
      <w:r w:rsidRPr="00A47986">
        <w:rPr>
          <w:i/>
          <w:iCs/>
        </w:rPr>
        <w:t>care recipient, proposed care recipient, patient</w:t>
      </w:r>
      <w:r>
        <w:t xml:space="preserve"> and </w:t>
      </w:r>
      <w:r w:rsidRPr="00A47986">
        <w:rPr>
          <w:i/>
          <w:iCs/>
        </w:rPr>
        <w:t>proposed patient</w:t>
      </w:r>
      <w:r>
        <w:t xml:space="preserve"> </w:t>
      </w:r>
      <w:r w:rsidRPr="00A47986">
        <w:t>have</w:t>
      </w:r>
      <w:r>
        <w:t xml:space="preserve"> been</w:t>
      </w:r>
      <w:r w:rsidRPr="00A47986">
        <w:t xml:space="preserve"> italicised </w:t>
      </w:r>
      <w:r>
        <w:t xml:space="preserve">throughout these guidelines </w:t>
      </w:r>
      <w:r w:rsidRPr="00A47986">
        <w:t>to denote their statute-specific meaning.</w:t>
      </w:r>
      <w:r>
        <w:t xml:space="preserve"> </w:t>
      </w:r>
    </w:p>
  </w:footnote>
  <w:footnote w:id="2">
    <w:p w14:paraId="59C5FF6F" w14:textId="542602AF" w:rsidR="00191D52" w:rsidRPr="002B3F7F" w:rsidRDefault="00191D52" w:rsidP="002B3F7F">
      <w:pPr>
        <w:pStyle w:val="pf0"/>
        <w:spacing w:before="0" w:beforeAutospacing="0" w:after="0" w:afterAutospacing="0"/>
        <w:rPr>
          <w:rFonts w:ascii="Segoe UI" w:hAnsi="Segoe UI" w:cs="Segoe UI"/>
          <w:sz w:val="17"/>
          <w:szCs w:val="17"/>
        </w:rPr>
      </w:pPr>
      <w:r w:rsidRPr="002B3F7F">
        <w:rPr>
          <w:rStyle w:val="FootnoteReference"/>
          <w:rFonts w:ascii="Segoe UI" w:hAnsi="Segoe UI" w:cs="Segoe UI"/>
          <w:sz w:val="17"/>
          <w:szCs w:val="17"/>
        </w:rPr>
        <w:footnoteRef/>
      </w:r>
      <w:r w:rsidRPr="002B3F7F">
        <w:rPr>
          <w:rFonts w:ascii="Segoe UI" w:hAnsi="Segoe UI" w:cs="Segoe UI"/>
          <w:sz w:val="17"/>
          <w:szCs w:val="17"/>
        </w:rPr>
        <w:t xml:space="preserve"> </w:t>
      </w:r>
      <w:hyperlink r:id="rId1" w:history="1">
        <w:r w:rsidRPr="002B3F7F">
          <w:rPr>
            <w:rStyle w:val="FootnoteTextChar"/>
            <w:b/>
            <w:bCs/>
            <w:color w:val="595959" w:themeColor="text1" w:themeTint="A6"/>
          </w:rPr>
          <w:t>https://www.mhwc.govt.nz/news-and-resources/he-ara-awhina-framework/</w:t>
        </w:r>
      </w:hyperlink>
    </w:p>
  </w:footnote>
  <w:footnote w:id="3">
    <w:p w14:paraId="2E9334BB" w14:textId="77777777" w:rsidR="00941EAB" w:rsidRDefault="00941EAB" w:rsidP="00941EAB">
      <w:pPr>
        <w:pStyle w:val="FootnoteText"/>
      </w:pPr>
      <w:r>
        <w:rPr>
          <w:rStyle w:val="FootnoteReference"/>
        </w:rPr>
        <w:footnoteRef/>
      </w:r>
      <w:r>
        <w:t xml:space="preserve"> The guidelines for the Mental Health Act, Substance Addiction Act and Intellectual Disability Act may be subject to review in the future. District inspectors should refer to the most current publications as these are made available on the Ministry of Health’s website, </w:t>
      </w:r>
      <w:hyperlink r:id="rId2" w:history="1">
        <w:r w:rsidRPr="00B43E3B">
          <w:rPr>
            <w:rStyle w:val="Hyperlink"/>
          </w:rPr>
          <w:t>health.govt.nz</w:t>
        </w:r>
      </w:hyperlink>
      <w:r>
        <w:t xml:space="preserve">. </w:t>
      </w:r>
    </w:p>
  </w:footnote>
  <w:footnote w:id="4">
    <w:p w14:paraId="54EB1D64" w14:textId="77777777" w:rsidR="00191D52" w:rsidRPr="00E428B1" w:rsidRDefault="00191D52" w:rsidP="004048ED">
      <w:pPr>
        <w:pStyle w:val="FootnoteText"/>
        <w:rPr>
          <w:lang w:val="mi-NZ"/>
        </w:rPr>
      </w:pPr>
      <w:r>
        <w:rPr>
          <w:rStyle w:val="FootnoteReference"/>
        </w:rPr>
        <w:footnoteRef/>
      </w:r>
      <w:r>
        <w:t xml:space="preserve"> T</w:t>
      </w:r>
      <w:r w:rsidRPr="00E812B9">
        <w:t>e ao Māori</w:t>
      </w:r>
      <w:r>
        <w:t xml:space="preserve"> </w:t>
      </w:r>
      <w:r w:rsidRPr="00E812B9">
        <w:t>meaning "the Māori world," is a holistic worldview that emphasizes interconnections between people, nature, and the spiritual realm. It encompasses Māori values, traditions, knowledge, and language, reflecting a deep respect for the natural world and a commitment to collective well-being.</w:t>
      </w:r>
    </w:p>
  </w:footnote>
  <w:footnote w:id="5">
    <w:p w14:paraId="5AD35606" w14:textId="77777777" w:rsidR="00191D52" w:rsidRDefault="00191D52" w:rsidP="004048ED">
      <w:pPr>
        <w:pStyle w:val="FootnoteText"/>
      </w:pPr>
      <w:r w:rsidRPr="00CE18A1">
        <w:rPr>
          <w:rStyle w:val="FootnoteReference"/>
        </w:rPr>
        <w:footnoteRef/>
      </w:r>
      <w:r>
        <w:tab/>
      </w:r>
      <w:r w:rsidRPr="00F27F48">
        <w:rPr>
          <w:i/>
        </w:rPr>
        <w:t>W v Shortland</w:t>
      </w:r>
      <w:r w:rsidRPr="00F27F48">
        <w:t>, 22 December 2003, Paterson J, HC Hamilton (CIV2003-419-816)</w:t>
      </w:r>
      <w:r>
        <w:t>.</w:t>
      </w:r>
    </w:p>
  </w:footnote>
  <w:footnote w:id="6">
    <w:p w14:paraId="7D109811" w14:textId="49FEB632" w:rsidR="00191D52" w:rsidRDefault="00191D52" w:rsidP="00B43C67">
      <w:pPr>
        <w:pStyle w:val="FootnoteText"/>
      </w:pPr>
      <w:r>
        <w:rPr>
          <w:rStyle w:val="FootnoteReference"/>
        </w:rPr>
        <w:footnoteRef/>
      </w:r>
      <w:r>
        <w:t xml:space="preserve"> </w:t>
      </w:r>
      <w:r w:rsidRPr="00103926">
        <w:t xml:space="preserve">Care managers are designated by the coordinator (section 141 of the </w:t>
      </w:r>
      <w:r w:rsidR="00E27AEB">
        <w:t>Intellectual Disability Act</w:t>
      </w:r>
      <w:r w:rsidRPr="00103926">
        <w:t xml:space="preserve">) for each individual under the </w:t>
      </w:r>
      <w:r w:rsidR="00E27AEB">
        <w:t>Intellectual Disability Act</w:t>
      </w:r>
      <w:r>
        <w:t>. They</w:t>
      </w:r>
      <w:r w:rsidRPr="00103926">
        <w:t xml:space="preserve"> are legally entrusted with the care and rehabilitation of individual care recipients and are responsible for developing and implementing an individual’s care and rehabilitation plan and for ensuring regular clinical reviews of the care recipient’s condition take place (section 77 of the </w:t>
      </w:r>
      <w:r w:rsidR="00E27AEB">
        <w:t>Intellectual Disability Act</w:t>
      </w:r>
      <w:r w:rsidRPr="00103926">
        <w:t>).</w:t>
      </w:r>
    </w:p>
  </w:footnote>
  <w:footnote w:id="7">
    <w:p w14:paraId="00A6B240" w14:textId="77777777" w:rsidR="00191D52" w:rsidRDefault="00191D52" w:rsidP="00B43C67">
      <w:pPr>
        <w:pStyle w:val="FootnoteText"/>
      </w:pPr>
      <w:r>
        <w:rPr>
          <w:rStyle w:val="FootnoteReference"/>
        </w:rPr>
        <w:footnoteRef/>
      </w:r>
      <w:r>
        <w:t xml:space="preserve"> Section 4 of the Substance Addiction Act </w:t>
      </w:r>
      <w:r w:rsidRPr="002C4FFA">
        <w:t>defines the</w:t>
      </w:r>
      <w:r>
        <w:t xml:space="preserve"> following </w:t>
      </w:r>
      <w:r w:rsidRPr="002C4FFA">
        <w:t>terms</w:t>
      </w:r>
      <w:r>
        <w:t xml:space="preserve">. </w:t>
      </w:r>
    </w:p>
    <w:p w14:paraId="1610EE49" w14:textId="77777777" w:rsidR="00191D52" w:rsidRDefault="00191D52" w:rsidP="00B43C67">
      <w:pPr>
        <w:pStyle w:val="FootnoteText"/>
        <w:ind w:hanging="142"/>
      </w:pPr>
      <w:r w:rsidRPr="003F37FD">
        <w:rPr>
          <w:b/>
          <w:bCs/>
        </w:rPr>
        <w:t>Treatment</w:t>
      </w:r>
      <w:r>
        <w:t xml:space="preserve"> </w:t>
      </w:r>
      <w:r w:rsidRPr="00320CB2">
        <w:t>includes detoxification, care, counselling, rehabilitation and interventions to alleviate or prevent the worsening of the symptoms or manifestations of severe substance addiction</w:t>
      </w:r>
      <w:r>
        <w:t>.</w:t>
      </w:r>
    </w:p>
    <w:p w14:paraId="2292205E" w14:textId="77777777" w:rsidR="00191D52" w:rsidRDefault="00191D52" w:rsidP="00B43C67">
      <w:pPr>
        <w:pStyle w:val="FootnoteText"/>
        <w:ind w:hanging="142"/>
      </w:pPr>
      <w:r w:rsidRPr="003F37FD">
        <w:rPr>
          <w:b/>
          <w:bCs/>
        </w:rPr>
        <w:t>Treatment centre</w:t>
      </w:r>
      <w:r>
        <w:t xml:space="preserve"> </w:t>
      </w:r>
      <w:r w:rsidRPr="00320CB2">
        <w:t>means a place, or part of a place, that is operated by an approved provider for the purposes of this Act, whether or not any other hospital care (within the meaning of the Health and Disability Services (Safety) Act 2001) is provided in that place</w:t>
      </w:r>
      <w:r>
        <w:t>.</w:t>
      </w:r>
    </w:p>
  </w:footnote>
  <w:footnote w:id="8">
    <w:p w14:paraId="5AF07DD1" w14:textId="77777777" w:rsidR="00191D52" w:rsidRDefault="00191D52" w:rsidP="00B43C67">
      <w:pPr>
        <w:pStyle w:val="FootnoteText"/>
      </w:pPr>
      <w:r>
        <w:rPr>
          <w:rStyle w:val="FootnoteReference"/>
        </w:rPr>
        <w:footnoteRef/>
      </w:r>
      <w:r>
        <w:t xml:space="preserve"> For further information on reasonable accommodation, district inspectors should refer to </w:t>
      </w:r>
      <w:r w:rsidRPr="009D29B4">
        <w:rPr>
          <w:i/>
          <w:iCs/>
        </w:rPr>
        <w:t xml:space="preserve">Removing </w:t>
      </w:r>
      <w:r>
        <w:rPr>
          <w:i/>
          <w:iCs/>
        </w:rPr>
        <w:t>B</w:t>
      </w:r>
      <w:r w:rsidRPr="009D29B4">
        <w:rPr>
          <w:i/>
          <w:iCs/>
        </w:rPr>
        <w:t>arriers: A guide for reasonable accommodation of disabled people in Aotearoa</w:t>
      </w:r>
      <w:r>
        <w:t xml:space="preserve"> (Office of the Ombudsman 2023)</w:t>
      </w:r>
      <w:r>
        <w:rPr>
          <w:i/>
          <w:iCs/>
        </w:rPr>
        <w:t>.</w:t>
      </w:r>
    </w:p>
  </w:footnote>
  <w:footnote w:id="9">
    <w:p w14:paraId="692D98AB" w14:textId="77777777" w:rsidR="00191D52" w:rsidRDefault="00191D52" w:rsidP="00572C03">
      <w:pPr>
        <w:pStyle w:val="FootnoteText"/>
      </w:pPr>
      <w:r>
        <w:rPr>
          <w:rStyle w:val="FootnoteReference"/>
        </w:rPr>
        <w:footnoteRef/>
      </w:r>
      <w:r>
        <w:t xml:space="preserve"> </w:t>
      </w:r>
      <w:r w:rsidRPr="00645176">
        <w:t>D</w:t>
      </w:r>
      <w:r>
        <w:t>istrict inspectors</w:t>
      </w:r>
      <w:r w:rsidRPr="00645176">
        <w:t xml:space="preserve"> may </w:t>
      </w:r>
      <w:r>
        <w:t>wish</w:t>
      </w:r>
      <w:r w:rsidRPr="00645176">
        <w:t xml:space="preserve"> to consider the </w:t>
      </w:r>
      <w:r>
        <w:t xml:space="preserve">advice under Guideline 5: Child-sensitive communication in </w:t>
      </w:r>
      <w:r w:rsidRPr="00E428B1">
        <w:rPr>
          <w:i/>
          <w:iCs/>
        </w:rPr>
        <w:t>Guidelines on Child-</w:t>
      </w:r>
      <w:r>
        <w:rPr>
          <w:i/>
          <w:iCs/>
        </w:rPr>
        <w:t>f</w:t>
      </w:r>
      <w:r w:rsidRPr="00E428B1">
        <w:rPr>
          <w:i/>
          <w:iCs/>
        </w:rPr>
        <w:t xml:space="preserve">riendly Legal Aid </w:t>
      </w:r>
      <w:r>
        <w:t>(UNICEF Europe and Central Asia Regional Office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191D52" w14:paraId="11530A0D" w14:textId="77777777" w:rsidTr="008F2B72">
      <w:trPr>
        <w:cantSplit/>
      </w:trPr>
      <w:tc>
        <w:tcPr>
          <w:tcW w:w="5210" w:type="dxa"/>
          <w:vAlign w:val="center"/>
        </w:tcPr>
        <w:p w14:paraId="2BDE3162" w14:textId="3BA1B542" w:rsidR="00191D52" w:rsidRDefault="00191D52" w:rsidP="00B26F0F">
          <w:pPr>
            <w:pStyle w:val="Header"/>
          </w:pPr>
        </w:p>
      </w:tc>
      <w:tc>
        <w:tcPr>
          <w:tcW w:w="4429" w:type="dxa"/>
          <w:vAlign w:val="center"/>
        </w:tcPr>
        <w:p w14:paraId="06193D58" w14:textId="562450F6" w:rsidR="00191D52" w:rsidRDefault="00191D52" w:rsidP="00B43C67">
          <w:pPr>
            <w:pStyle w:val="Header"/>
            <w:jc w:val="right"/>
          </w:pPr>
        </w:p>
      </w:tc>
    </w:tr>
  </w:tbl>
  <w:p w14:paraId="4AC8EC99" w14:textId="1B35D83E" w:rsidR="00191D52" w:rsidRDefault="00191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8794" w14:textId="77777777" w:rsidR="00191D52" w:rsidRDefault="00191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2E4F" w14:textId="77777777" w:rsidR="00191D52" w:rsidRDefault="00191D52" w:rsidP="00533B9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17B0" w14:textId="77777777" w:rsidR="00191D52" w:rsidRDefault="00191D52" w:rsidP="009001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EC00" w14:textId="77777777" w:rsidR="00191D52" w:rsidRDefault="00191D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30C090"/>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FFFFFF89"/>
    <w:multiLevelType w:val="singleLevel"/>
    <w:tmpl w:val="3BEAE73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817C7"/>
    <w:multiLevelType w:val="multilevel"/>
    <w:tmpl w:val="BA8AC590"/>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suff w:val="nothing"/>
      <w:lvlText w:val="%3"/>
      <w:lvlJc w:val="left"/>
      <w:pPr>
        <w:ind w:left="0"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4" w15:restartNumberingAfterBreak="0">
    <w:nsid w:val="0A214C4E"/>
    <w:multiLevelType w:val="hybridMultilevel"/>
    <w:tmpl w:val="332C77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01418A"/>
    <w:multiLevelType w:val="hybridMultilevel"/>
    <w:tmpl w:val="B3649E3A"/>
    <w:lvl w:ilvl="0" w:tplc="A9EE85A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4E848FA"/>
    <w:multiLevelType w:val="hybridMultilevel"/>
    <w:tmpl w:val="B35664A6"/>
    <w:lvl w:ilvl="0" w:tplc="A1FA6BF2">
      <w:start w:val="1"/>
      <w:numFmt w:val="bullet"/>
      <w:lvlText w:val=""/>
      <w:lvlJc w:val="left"/>
      <w:pPr>
        <w:ind w:left="720" w:hanging="360"/>
      </w:pPr>
      <w:rPr>
        <w:rFonts w:ascii="Symbol" w:hAnsi="Symbol"/>
      </w:rPr>
    </w:lvl>
    <w:lvl w:ilvl="1" w:tplc="AF280DB8">
      <w:start w:val="1"/>
      <w:numFmt w:val="bullet"/>
      <w:lvlText w:val=""/>
      <w:lvlJc w:val="left"/>
      <w:pPr>
        <w:ind w:left="720" w:hanging="360"/>
      </w:pPr>
      <w:rPr>
        <w:rFonts w:ascii="Symbol" w:hAnsi="Symbol"/>
      </w:rPr>
    </w:lvl>
    <w:lvl w:ilvl="2" w:tplc="CBBA41EC">
      <w:start w:val="1"/>
      <w:numFmt w:val="bullet"/>
      <w:lvlText w:val=""/>
      <w:lvlJc w:val="left"/>
      <w:pPr>
        <w:ind w:left="720" w:hanging="360"/>
      </w:pPr>
      <w:rPr>
        <w:rFonts w:ascii="Symbol" w:hAnsi="Symbol"/>
      </w:rPr>
    </w:lvl>
    <w:lvl w:ilvl="3" w:tplc="4C1AF55E">
      <w:start w:val="1"/>
      <w:numFmt w:val="bullet"/>
      <w:lvlText w:val=""/>
      <w:lvlJc w:val="left"/>
      <w:pPr>
        <w:ind w:left="720" w:hanging="360"/>
      </w:pPr>
      <w:rPr>
        <w:rFonts w:ascii="Symbol" w:hAnsi="Symbol"/>
      </w:rPr>
    </w:lvl>
    <w:lvl w:ilvl="4" w:tplc="D360C010">
      <w:start w:val="1"/>
      <w:numFmt w:val="bullet"/>
      <w:lvlText w:val=""/>
      <w:lvlJc w:val="left"/>
      <w:pPr>
        <w:ind w:left="720" w:hanging="360"/>
      </w:pPr>
      <w:rPr>
        <w:rFonts w:ascii="Symbol" w:hAnsi="Symbol"/>
      </w:rPr>
    </w:lvl>
    <w:lvl w:ilvl="5" w:tplc="9CACF272">
      <w:start w:val="1"/>
      <w:numFmt w:val="bullet"/>
      <w:lvlText w:val=""/>
      <w:lvlJc w:val="left"/>
      <w:pPr>
        <w:ind w:left="720" w:hanging="360"/>
      </w:pPr>
      <w:rPr>
        <w:rFonts w:ascii="Symbol" w:hAnsi="Symbol"/>
      </w:rPr>
    </w:lvl>
    <w:lvl w:ilvl="6" w:tplc="9954B2C2">
      <w:start w:val="1"/>
      <w:numFmt w:val="bullet"/>
      <w:lvlText w:val=""/>
      <w:lvlJc w:val="left"/>
      <w:pPr>
        <w:ind w:left="720" w:hanging="360"/>
      </w:pPr>
      <w:rPr>
        <w:rFonts w:ascii="Symbol" w:hAnsi="Symbol"/>
      </w:rPr>
    </w:lvl>
    <w:lvl w:ilvl="7" w:tplc="59DCD790">
      <w:start w:val="1"/>
      <w:numFmt w:val="bullet"/>
      <w:lvlText w:val=""/>
      <w:lvlJc w:val="left"/>
      <w:pPr>
        <w:ind w:left="720" w:hanging="360"/>
      </w:pPr>
      <w:rPr>
        <w:rFonts w:ascii="Symbol" w:hAnsi="Symbol"/>
      </w:rPr>
    </w:lvl>
    <w:lvl w:ilvl="8" w:tplc="6624CD5E">
      <w:start w:val="1"/>
      <w:numFmt w:val="bullet"/>
      <w:lvlText w:val=""/>
      <w:lvlJc w:val="left"/>
      <w:pPr>
        <w:ind w:left="720" w:hanging="360"/>
      </w:pPr>
      <w:rPr>
        <w:rFonts w:ascii="Symbol" w:hAnsi="Symbol"/>
      </w:rPr>
    </w:lvl>
  </w:abstractNum>
  <w:abstractNum w:abstractNumId="7"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1411B0"/>
    <w:multiLevelType w:val="hybridMultilevel"/>
    <w:tmpl w:val="962ED3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8881D94"/>
    <w:multiLevelType w:val="multilevel"/>
    <w:tmpl w:val="7152BC66"/>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92" w:hanging="432"/>
      </w:pPr>
      <w:rPr>
        <w:rFonts w:hint="default"/>
      </w:rPr>
    </w:lvl>
    <w:lvl w:ilvl="2">
      <w:start w:val="1"/>
      <w:numFmt w:val="decimal"/>
      <w:pStyle w:val="Heading3-numbered"/>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7C40CE"/>
    <w:multiLevelType w:val="hybridMultilevel"/>
    <w:tmpl w:val="BAD89E40"/>
    <w:lvl w:ilvl="0" w:tplc="60E4644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DFB25B4"/>
    <w:multiLevelType w:val="hybridMultilevel"/>
    <w:tmpl w:val="526685A6"/>
    <w:lvl w:ilvl="0" w:tplc="F39E8A4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1A75A4"/>
    <w:multiLevelType w:val="hybridMultilevel"/>
    <w:tmpl w:val="C0A62196"/>
    <w:lvl w:ilvl="0" w:tplc="404E7EC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6730C0E"/>
    <w:multiLevelType w:val="hybridMultilevel"/>
    <w:tmpl w:val="2CD8C542"/>
    <w:lvl w:ilvl="0" w:tplc="2212783C">
      <w:start w:val="1"/>
      <w:numFmt w:val="bullet"/>
      <w:lvlText w:val=""/>
      <w:lvlJc w:val="left"/>
      <w:pPr>
        <w:ind w:left="1080" w:hanging="360"/>
      </w:pPr>
      <w:rPr>
        <w:rFonts w:ascii="Symbol" w:hAnsi="Symbol"/>
      </w:rPr>
    </w:lvl>
    <w:lvl w:ilvl="1" w:tplc="072A389A">
      <w:start w:val="1"/>
      <w:numFmt w:val="bullet"/>
      <w:lvlText w:val=""/>
      <w:lvlJc w:val="left"/>
      <w:pPr>
        <w:ind w:left="1080" w:hanging="360"/>
      </w:pPr>
      <w:rPr>
        <w:rFonts w:ascii="Symbol" w:hAnsi="Symbol"/>
      </w:rPr>
    </w:lvl>
    <w:lvl w:ilvl="2" w:tplc="EC3C3D30">
      <w:start w:val="1"/>
      <w:numFmt w:val="bullet"/>
      <w:lvlText w:val=""/>
      <w:lvlJc w:val="left"/>
      <w:pPr>
        <w:ind w:left="1080" w:hanging="360"/>
      </w:pPr>
      <w:rPr>
        <w:rFonts w:ascii="Symbol" w:hAnsi="Symbol"/>
      </w:rPr>
    </w:lvl>
    <w:lvl w:ilvl="3" w:tplc="A94AF7CA">
      <w:start w:val="1"/>
      <w:numFmt w:val="bullet"/>
      <w:lvlText w:val=""/>
      <w:lvlJc w:val="left"/>
      <w:pPr>
        <w:ind w:left="1080" w:hanging="360"/>
      </w:pPr>
      <w:rPr>
        <w:rFonts w:ascii="Symbol" w:hAnsi="Symbol"/>
      </w:rPr>
    </w:lvl>
    <w:lvl w:ilvl="4" w:tplc="8A0E9E6C">
      <w:start w:val="1"/>
      <w:numFmt w:val="bullet"/>
      <w:lvlText w:val=""/>
      <w:lvlJc w:val="left"/>
      <w:pPr>
        <w:ind w:left="1080" w:hanging="360"/>
      </w:pPr>
      <w:rPr>
        <w:rFonts w:ascii="Symbol" w:hAnsi="Symbol"/>
      </w:rPr>
    </w:lvl>
    <w:lvl w:ilvl="5" w:tplc="34B6AB5A">
      <w:start w:val="1"/>
      <w:numFmt w:val="bullet"/>
      <w:lvlText w:val=""/>
      <w:lvlJc w:val="left"/>
      <w:pPr>
        <w:ind w:left="1080" w:hanging="360"/>
      </w:pPr>
      <w:rPr>
        <w:rFonts w:ascii="Symbol" w:hAnsi="Symbol"/>
      </w:rPr>
    </w:lvl>
    <w:lvl w:ilvl="6" w:tplc="4A74C714">
      <w:start w:val="1"/>
      <w:numFmt w:val="bullet"/>
      <w:lvlText w:val=""/>
      <w:lvlJc w:val="left"/>
      <w:pPr>
        <w:ind w:left="1080" w:hanging="360"/>
      </w:pPr>
      <w:rPr>
        <w:rFonts w:ascii="Symbol" w:hAnsi="Symbol"/>
      </w:rPr>
    </w:lvl>
    <w:lvl w:ilvl="7" w:tplc="DF5087B6">
      <w:start w:val="1"/>
      <w:numFmt w:val="bullet"/>
      <w:lvlText w:val=""/>
      <w:lvlJc w:val="left"/>
      <w:pPr>
        <w:ind w:left="1080" w:hanging="360"/>
      </w:pPr>
      <w:rPr>
        <w:rFonts w:ascii="Symbol" w:hAnsi="Symbol"/>
      </w:rPr>
    </w:lvl>
    <w:lvl w:ilvl="8" w:tplc="DE1438F6">
      <w:start w:val="1"/>
      <w:numFmt w:val="bullet"/>
      <w:lvlText w:val=""/>
      <w:lvlJc w:val="left"/>
      <w:pPr>
        <w:ind w:left="1080" w:hanging="360"/>
      </w:pPr>
      <w:rPr>
        <w:rFonts w:ascii="Symbol" w:hAnsi="Symbol"/>
      </w:rPr>
    </w:lvl>
  </w:abstractNum>
  <w:abstractNum w:abstractNumId="14"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6C012A"/>
    <w:multiLevelType w:val="hybridMultilevel"/>
    <w:tmpl w:val="9FDEA2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16cid:durableId="1537893128">
    <w:abstractNumId w:val="17"/>
  </w:num>
  <w:num w:numId="2" w16cid:durableId="86512018">
    <w:abstractNumId w:val="14"/>
  </w:num>
  <w:num w:numId="3" w16cid:durableId="872304602">
    <w:abstractNumId w:val="15"/>
  </w:num>
  <w:num w:numId="4" w16cid:durableId="18437372">
    <w:abstractNumId w:val="3"/>
  </w:num>
  <w:num w:numId="5" w16cid:durableId="1178423090">
    <w:abstractNumId w:val="7"/>
  </w:num>
  <w:num w:numId="6" w16cid:durableId="625279502">
    <w:abstractNumId w:val="10"/>
  </w:num>
  <w:num w:numId="7" w16cid:durableId="1148284730">
    <w:abstractNumId w:val="5"/>
  </w:num>
  <w:num w:numId="8" w16cid:durableId="738795531">
    <w:abstractNumId w:val="11"/>
  </w:num>
  <w:num w:numId="9" w16cid:durableId="941886458">
    <w:abstractNumId w:val="12"/>
  </w:num>
  <w:num w:numId="10" w16cid:durableId="17171968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5905062">
    <w:abstractNumId w:val="1"/>
  </w:num>
  <w:num w:numId="12" w16cid:durableId="1259871880">
    <w:abstractNumId w:val="9"/>
  </w:num>
  <w:num w:numId="13" w16cid:durableId="1305549867">
    <w:abstractNumId w:val="9"/>
    <w:lvlOverride w:ilvl="0">
      <w:lvl w:ilvl="0">
        <w:start w:val="1"/>
        <w:numFmt w:val="decimal"/>
        <w:pStyle w:val="Heading1-numbered"/>
        <w:lvlText w:val="%1"/>
        <w:lvlJc w:val="left"/>
        <w:pPr>
          <w:ind w:left="360" w:hanging="360"/>
        </w:pPr>
        <w:rPr>
          <w:rFonts w:hint="default"/>
        </w:rPr>
      </w:lvl>
    </w:lvlOverride>
    <w:lvlOverride w:ilvl="1">
      <w:lvl w:ilvl="1">
        <w:start w:val="1"/>
        <w:numFmt w:val="decimal"/>
        <w:pStyle w:val="Heading2-numbered"/>
        <w:lvlText w:val="%1.%2"/>
        <w:lvlJc w:val="left"/>
        <w:pPr>
          <w:ind w:left="792" w:hanging="432"/>
        </w:pPr>
        <w:rPr>
          <w:rFonts w:hint="default"/>
        </w:rPr>
      </w:lvl>
    </w:lvlOverride>
    <w:lvlOverride w:ilvl="2">
      <w:lvl w:ilvl="2">
        <w:start w:val="1"/>
        <w:numFmt w:val="decimal"/>
        <w:pStyle w:val="Heading3-numbered"/>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923227470">
    <w:abstractNumId w:val="0"/>
  </w:num>
  <w:num w:numId="15" w16cid:durableId="1037894381">
    <w:abstractNumId w:val="2"/>
  </w:num>
  <w:num w:numId="16" w16cid:durableId="1382946209">
    <w:abstractNumId w:val="0"/>
    <w:lvlOverride w:ilvl="0">
      <w:startOverride w:val="1"/>
    </w:lvlOverride>
  </w:num>
  <w:num w:numId="17" w16cid:durableId="1444107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0894206">
    <w:abstractNumId w:val="17"/>
  </w:num>
  <w:num w:numId="19" w16cid:durableId="1592353969">
    <w:abstractNumId w:val="17"/>
  </w:num>
  <w:num w:numId="20" w16cid:durableId="777410633">
    <w:abstractNumId w:val="17"/>
  </w:num>
  <w:num w:numId="21" w16cid:durableId="1822695071">
    <w:abstractNumId w:val="17"/>
  </w:num>
  <w:num w:numId="22" w16cid:durableId="527597051">
    <w:abstractNumId w:val="16"/>
  </w:num>
  <w:num w:numId="23" w16cid:durableId="290088188">
    <w:abstractNumId w:val="7"/>
  </w:num>
  <w:num w:numId="24" w16cid:durableId="205025561">
    <w:abstractNumId w:val="17"/>
  </w:num>
  <w:num w:numId="25" w16cid:durableId="146750299">
    <w:abstractNumId w:val="17"/>
  </w:num>
  <w:num w:numId="26" w16cid:durableId="795946801">
    <w:abstractNumId w:val="8"/>
  </w:num>
  <w:num w:numId="27" w16cid:durableId="117843388">
    <w:abstractNumId w:val="6"/>
  </w:num>
  <w:num w:numId="28" w16cid:durableId="1475177241">
    <w:abstractNumId w:val="13"/>
  </w:num>
  <w:num w:numId="29" w16cid:durableId="512914136">
    <w:abstractNumId w:val="4"/>
  </w:num>
  <w:num w:numId="30" w16cid:durableId="114985978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10553"/>
    <w:rsid w:val="00025A6F"/>
    <w:rsid w:val="0002618D"/>
    <w:rsid w:val="00030B26"/>
    <w:rsid w:val="00030E84"/>
    <w:rsid w:val="0003239A"/>
    <w:rsid w:val="00032C0A"/>
    <w:rsid w:val="00035257"/>
    <w:rsid w:val="00035D68"/>
    <w:rsid w:val="000424B6"/>
    <w:rsid w:val="00054B44"/>
    <w:rsid w:val="00056694"/>
    <w:rsid w:val="000579A8"/>
    <w:rsid w:val="0006228D"/>
    <w:rsid w:val="000647CA"/>
    <w:rsid w:val="000670E3"/>
    <w:rsid w:val="00072BD6"/>
    <w:rsid w:val="00075B78"/>
    <w:rsid w:val="000763E9"/>
    <w:rsid w:val="00080F3E"/>
    <w:rsid w:val="00082CD6"/>
    <w:rsid w:val="0008437D"/>
    <w:rsid w:val="00085AFE"/>
    <w:rsid w:val="00086234"/>
    <w:rsid w:val="00092224"/>
    <w:rsid w:val="00094800"/>
    <w:rsid w:val="000A41ED"/>
    <w:rsid w:val="000B0730"/>
    <w:rsid w:val="000B1B72"/>
    <w:rsid w:val="000C615D"/>
    <w:rsid w:val="000D19F4"/>
    <w:rsid w:val="000D58DD"/>
    <w:rsid w:val="000E3D41"/>
    <w:rsid w:val="000E41ED"/>
    <w:rsid w:val="000E6509"/>
    <w:rsid w:val="000E7D84"/>
    <w:rsid w:val="000F13D3"/>
    <w:rsid w:val="000F2437"/>
    <w:rsid w:val="000F2AE2"/>
    <w:rsid w:val="000F2BFF"/>
    <w:rsid w:val="000F599A"/>
    <w:rsid w:val="00102063"/>
    <w:rsid w:val="0010541C"/>
    <w:rsid w:val="00106C98"/>
    <w:rsid w:val="00106F93"/>
    <w:rsid w:val="00111D50"/>
    <w:rsid w:val="00113B8E"/>
    <w:rsid w:val="00114C32"/>
    <w:rsid w:val="001173A2"/>
    <w:rsid w:val="0012053C"/>
    <w:rsid w:val="00122363"/>
    <w:rsid w:val="00125826"/>
    <w:rsid w:val="00127A6A"/>
    <w:rsid w:val="001324DE"/>
    <w:rsid w:val="00132731"/>
    <w:rsid w:val="001342C7"/>
    <w:rsid w:val="0013585C"/>
    <w:rsid w:val="00142261"/>
    <w:rsid w:val="00142954"/>
    <w:rsid w:val="00145DB0"/>
    <w:rsid w:val="001460E0"/>
    <w:rsid w:val="001472F0"/>
    <w:rsid w:val="00147F71"/>
    <w:rsid w:val="00150944"/>
    <w:rsid w:val="00150A6E"/>
    <w:rsid w:val="001545C6"/>
    <w:rsid w:val="00156B24"/>
    <w:rsid w:val="00157AB2"/>
    <w:rsid w:val="0016304B"/>
    <w:rsid w:val="0016468A"/>
    <w:rsid w:val="001670FD"/>
    <w:rsid w:val="00174A81"/>
    <w:rsid w:val="00174C1E"/>
    <w:rsid w:val="0018148A"/>
    <w:rsid w:val="00181E18"/>
    <w:rsid w:val="00185E5E"/>
    <w:rsid w:val="0018662D"/>
    <w:rsid w:val="00191D52"/>
    <w:rsid w:val="001927C9"/>
    <w:rsid w:val="00194957"/>
    <w:rsid w:val="00195D85"/>
    <w:rsid w:val="00197427"/>
    <w:rsid w:val="001A04A3"/>
    <w:rsid w:val="001A21B4"/>
    <w:rsid w:val="001A5CF5"/>
    <w:rsid w:val="001A7783"/>
    <w:rsid w:val="001B39D2"/>
    <w:rsid w:val="001B4BF8"/>
    <w:rsid w:val="001C0D13"/>
    <w:rsid w:val="001C4326"/>
    <w:rsid w:val="001C665E"/>
    <w:rsid w:val="001D3541"/>
    <w:rsid w:val="001D3E4E"/>
    <w:rsid w:val="001D7644"/>
    <w:rsid w:val="001E254A"/>
    <w:rsid w:val="001E7386"/>
    <w:rsid w:val="001F45A7"/>
    <w:rsid w:val="00201A01"/>
    <w:rsid w:val="002025A3"/>
    <w:rsid w:val="0020754B"/>
    <w:rsid w:val="002104D3"/>
    <w:rsid w:val="00213A33"/>
    <w:rsid w:val="00213BFC"/>
    <w:rsid w:val="0021763B"/>
    <w:rsid w:val="00217C09"/>
    <w:rsid w:val="002231AD"/>
    <w:rsid w:val="00234C2A"/>
    <w:rsid w:val="00246DB1"/>
    <w:rsid w:val="002476B5"/>
    <w:rsid w:val="002509EC"/>
    <w:rsid w:val="002520CC"/>
    <w:rsid w:val="00253ECF"/>
    <w:rsid w:val="002546A1"/>
    <w:rsid w:val="002628F4"/>
    <w:rsid w:val="00271EC6"/>
    <w:rsid w:val="002742C8"/>
    <w:rsid w:val="00275D08"/>
    <w:rsid w:val="0027724B"/>
    <w:rsid w:val="0028241A"/>
    <w:rsid w:val="00282CF9"/>
    <w:rsid w:val="002858E3"/>
    <w:rsid w:val="00286A2A"/>
    <w:rsid w:val="0029190A"/>
    <w:rsid w:val="00292C5A"/>
    <w:rsid w:val="00295241"/>
    <w:rsid w:val="002962EE"/>
    <w:rsid w:val="002A4CA6"/>
    <w:rsid w:val="002A4DFC"/>
    <w:rsid w:val="002A7364"/>
    <w:rsid w:val="002B047D"/>
    <w:rsid w:val="002B3E6F"/>
    <w:rsid w:val="002B3E99"/>
    <w:rsid w:val="002B3F7F"/>
    <w:rsid w:val="002B732B"/>
    <w:rsid w:val="002B76A7"/>
    <w:rsid w:val="002C1D2F"/>
    <w:rsid w:val="002C2219"/>
    <w:rsid w:val="002C2552"/>
    <w:rsid w:val="002C380A"/>
    <w:rsid w:val="002C47FC"/>
    <w:rsid w:val="002C7AA6"/>
    <w:rsid w:val="002D0DF2"/>
    <w:rsid w:val="002D23BD"/>
    <w:rsid w:val="002D4783"/>
    <w:rsid w:val="002D7D76"/>
    <w:rsid w:val="002E0B47"/>
    <w:rsid w:val="002E74E4"/>
    <w:rsid w:val="002F120C"/>
    <w:rsid w:val="002F4685"/>
    <w:rsid w:val="002F7213"/>
    <w:rsid w:val="00303458"/>
    <w:rsid w:val="0030382F"/>
    <w:rsid w:val="0030408D"/>
    <w:rsid w:val="003060E4"/>
    <w:rsid w:val="003160E7"/>
    <w:rsid w:val="0031739E"/>
    <w:rsid w:val="00321682"/>
    <w:rsid w:val="00322EC7"/>
    <w:rsid w:val="003250A5"/>
    <w:rsid w:val="003307E0"/>
    <w:rsid w:val="003309CA"/>
    <w:rsid w:val="003313DD"/>
    <w:rsid w:val="0033189D"/>
    <w:rsid w:val="003325AB"/>
    <w:rsid w:val="0033261B"/>
    <w:rsid w:val="003332D1"/>
    <w:rsid w:val="0033412B"/>
    <w:rsid w:val="00341161"/>
    <w:rsid w:val="00343365"/>
    <w:rsid w:val="003445F4"/>
    <w:rsid w:val="00353501"/>
    <w:rsid w:val="00353734"/>
    <w:rsid w:val="00353B6D"/>
    <w:rsid w:val="00354403"/>
    <w:rsid w:val="003606F8"/>
    <w:rsid w:val="003607A4"/>
    <w:rsid w:val="00361FF3"/>
    <w:rsid w:val="00363FE9"/>
    <w:rsid w:val="003648EF"/>
    <w:rsid w:val="003673E6"/>
    <w:rsid w:val="0037261D"/>
    <w:rsid w:val="00377264"/>
    <w:rsid w:val="003779D2"/>
    <w:rsid w:val="00385E38"/>
    <w:rsid w:val="003A26A5"/>
    <w:rsid w:val="003A3761"/>
    <w:rsid w:val="003A512D"/>
    <w:rsid w:val="003A5FEA"/>
    <w:rsid w:val="003A7EFE"/>
    <w:rsid w:val="003B1D10"/>
    <w:rsid w:val="003C76D4"/>
    <w:rsid w:val="003D137D"/>
    <w:rsid w:val="003D2CC5"/>
    <w:rsid w:val="003D7765"/>
    <w:rsid w:val="003E04C1"/>
    <w:rsid w:val="003E0887"/>
    <w:rsid w:val="003E74C8"/>
    <w:rsid w:val="003E7C46"/>
    <w:rsid w:val="003F2106"/>
    <w:rsid w:val="003F34E5"/>
    <w:rsid w:val="003F4341"/>
    <w:rsid w:val="003F52A7"/>
    <w:rsid w:val="003F7013"/>
    <w:rsid w:val="004000F9"/>
    <w:rsid w:val="0040240C"/>
    <w:rsid w:val="004048ED"/>
    <w:rsid w:val="00405B68"/>
    <w:rsid w:val="00413021"/>
    <w:rsid w:val="00413C85"/>
    <w:rsid w:val="004301C6"/>
    <w:rsid w:val="0043478F"/>
    <w:rsid w:val="0043602B"/>
    <w:rsid w:val="00440BE0"/>
    <w:rsid w:val="00442C1C"/>
    <w:rsid w:val="0044330B"/>
    <w:rsid w:val="0044584B"/>
    <w:rsid w:val="00447CB7"/>
    <w:rsid w:val="004534D7"/>
    <w:rsid w:val="00453846"/>
    <w:rsid w:val="00455CC9"/>
    <w:rsid w:val="004565E1"/>
    <w:rsid w:val="00460826"/>
    <w:rsid w:val="00460EA7"/>
    <w:rsid w:val="0046195B"/>
    <w:rsid w:val="00461C5A"/>
    <w:rsid w:val="00461C6A"/>
    <w:rsid w:val="0046362D"/>
    <w:rsid w:val="0046596D"/>
    <w:rsid w:val="00475A84"/>
    <w:rsid w:val="004834C6"/>
    <w:rsid w:val="00487C04"/>
    <w:rsid w:val="004907E1"/>
    <w:rsid w:val="004A035B"/>
    <w:rsid w:val="004A2108"/>
    <w:rsid w:val="004A3638"/>
    <w:rsid w:val="004A38D7"/>
    <w:rsid w:val="004A778C"/>
    <w:rsid w:val="004B2DB5"/>
    <w:rsid w:val="004B43AB"/>
    <w:rsid w:val="004B47F8"/>
    <w:rsid w:val="004B48C7"/>
    <w:rsid w:val="004C2E6A"/>
    <w:rsid w:val="004C64B8"/>
    <w:rsid w:val="004D2A2D"/>
    <w:rsid w:val="004D434F"/>
    <w:rsid w:val="004D479F"/>
    <w:rsid w:val="004D4D04"/>
    <w:rsid w:val="004D6689"/>
    <w:rsid w:val="004E1D1D"/>
    <w:rsid w:val="004E39D3"/>
    <w:rsid w:val="004E7AC8"/>
    <w:rsid w:val="004F0C94"/>
    <w:rsid w:val="005019AE"/>
    <w:rsid w:val="00502695"/>
    <w:rsid w:val="00503749"/>
    <w:rsid w:val="00504CF4"/>
    <w:rsid w:val="0050635B"/>
    <w:rsid w:val="005134AE"/>
    <w:rsid w:val="005151C2"/>
    <w:rsid w:val="00523324"/>
    <w:rsid w:val="00523DB7"/>
    <w:rsid w:val="0053199F"/>
    <w:rsid w:val="00531E12"/>
    <w:rsid w:val="00532223"/>
    <w:rsid w:val="00533B90"/>
    <w:rsid w:val="00540E4C"/>
    <w:rsid w:val="00540ECB"/>
    <w:rsid w:val="005410F8"/>
    <w:rsid w:val="00542F81"/>
    <w:rsid w:val="005448EC"/>
    <w:rsid w:val="00545963"/>
    <w:rsid w:val="00550256"/>
    <w:rsid w:val="00553165"/>
    <w:rsid w:val="00553958"/>
    <w:rsid w:val="00556BB7"/>
    <w:rsid w:val="0055763D"/>
    <w:rsid w:val="00561516"/>
    <w:rsid w:val="0056181F"/>
    <w:rsid w:val="005621F2"/>
    <w:rsid w:val="005665FD"/>
    <w:rsid w:val="005669AB"/>
    <w:rsid w:val="00567B58"/>
    <w:rsid w:val="00571223"/>
    <w:rsid w:val="00572C03"/>
    <w:rsid w:val="005763E0"/>
    <w:rsid w:val="00581136"/>
    <w:rsid w:val="00581EB8"/>
    <w:rsid w:val="005938BF"/>
    <w:rsid w:val="00595693"/>
    <w:rsid w:val="005A27CA"/>
    <w:rsid w:val="005A43BD"/>
    <w:rsid w:val="005A79E5"/>
    <w:rsid w:val="005C27B3"/>
    <w:rsid w:val="005C4B56"/>
    <w:rsid w:val="005C6BE6"/>
    <w:rsid w:val="005D034C"/>
    <w:rsid w:val="005D3CB3"/>
    <w:rsid w:val="005D3CFE"/>
    <w:rsid w:val="005D45C2"/>
    <w:rsid w:val="005E226E"/>
    <w:rsid w:val="005E2636"/>
    <w:rsid w:val="005F77FC"/>
    <w:rsid w:val="006015D7"/>
    <w:rsid w:val="00601B21"/>
    <w:rsid w:val="00601F57"/>
    <w:rsid w:val="006041F0"/>
    <w:rsid w:val="00605C6D"/>
    <w:rsid w:val="00611881"/>
    <w:rsid w:val="006120CA"/>
    <w:rsid w:val="0061569F"/>
    <w:rsid w:val="00624174"/>
    <w:rsid w:val="00626CF8"/>
    <w:rsid w:val="006314AF"/>
    <w:rsid w:val="00632BD1"/>
    <w:rsid w:val="00634ED8"/>
    <w:rsid w:val="00636D7D"/>
    <w:rsid w:val="00637408"/>
    <w:rsid w:val="00642868"/>
    <w:rsid w:val="00642C79"/>
    <w:rsid w:val="006464FF"/>
    <w:rsid w:val="00647AFE"/>
    <w:rsid w:val="006512BC"/>
    <w:rsid w:val="00651CC6"/>
    <w:rsid w:val="00653A5A"/>
    <w:rsid w:val="006554AC"/>
    <w:rsid w:val="0065647D"/>
    <w:rsid w:val="006575F4"/>
    <w:rsid w:val="006579E6"/>
    <w:rsid w:val="00660682"/>
    <w:rsid w:val="00660F74"/>
    <w:rsid w:val="00663EDC"/>
    <w:rsid w:val="00667E20"/>
    <w:rsid w:val="00671078"/>
    <w:rsid w:val="00671AD3"/>
    <w:rsid w:val="006758CA"/>
    <w:rsid w:val="0067720E"/>
    <w:rsid w:val="00680A04"/>
    <w:rsid w:val="00686D80"/>
    <w:rsid w:val="00690720"/>
    <w:rsid w:val="00692F8F"/>
    <w:rsid w:val="00694895"/>
    <w:rsid w:val="00695E3A"/>
    <w:rsid w:val="00697E2E"/>
    <w:rsid w:val="006A25A2"/>
    <w:rsid w:val="006A3B87"/>
    <w:rsid w:val="006B0E73"/>
    <w:rsid w:val="006B1B4F"/>
    <w:rsid w:val="006B1E3D"/>
    <w:rsid w:val="006B3326"/>
    <w:rsid w:val="006B3E24"/>
    <w:rsid w:val="006B46B0"/>
    <w:rsid w:val="006B4A4D"/>
    <w:rsid w:val="006B5111"/>
    <w:rsid w:val="006B5695"/>
    <w:rsid w:val="006B7B2E"/>
    <w:rsid w:val="006C02A9"/>
    <w:rsid w:val="006C3035"/>
    <w:rsid w:val="006C4913"/>
    <w:rsid w:val="006C6854"/>
    <w:rsid w:val="006C78EB"/>
    <w:rsid w:val="006D1660"/>
    <w:rsid w:val="006D1FCA"/>
    <w:rsid w:val="006D63E5"/>
    <w:rsid w:val="006E1753"/>
    <w:rsid w:val="006E3911"/>
    <w:rsid w:val="006F1B67"/>
    <w:rsid w:val="006F4D9C"/>
    <w:rsid w:val="0070021D"/>
    <w:rsid w:val="0070091D"/>
    <w:rsid w:val="00702854"/>
    <w:rsid w:val="00716F8D"/>
    <w:rsid w:val="0071741C"/>
    <w:rsid w:val="007212CE"/>
    <w:rsid w:val="0072408E"/>
    <w:rsid w:val="00742B90"/>
    <w:rsid w:val="0074434D"/>
    <w:rsid w:val="00755E96"/>
    <w:rsid w:val="007570C4"/>
    <w:rsid w:val="007605B8"/>
    <w:rsid w:val="00767141"/>
    <w:rsid w:val="00771B1E"/>
    <w:rsid w:val="00773C95"/>
    <w:rsid w:val="00774762"/>
    <w:rsid w:val="00776BE8"/>
    <w:rsid w:val="00777F93"/>
    <w:rsid w:val="0078038E"/>
    <w:rsid w:val="00781696"/>
    <w:rsid w:val="0078171E"/>
    <w:rsid w:val="007829AC"/>
    <w:rsid w:val="0078658E"/>
    <w:rsid w:val="007920E2"/>
    <w:rsid w:val="0079566E"/>
    <w:rsid w:val="00795B34"/>
    <w:rsid w:val="007A067F"/>
    <w:rsid w:val="007A4F37"/>
    <w:rsid w:val="007A684A"/>
    <w:rsid w:val="007B1770"/>
    <w:rsid w:val="007B4D3E"/>
    <w:rsid w:val="007B7C70"/>
    <w:rsid w:val="007B7DEB"/>
    <w:rsid w:val="007C0449"/>
    <w:rsid w:val="007C081D"/>
    <w:rsid w:val="007D2151"/>
    <w:rsid w:val="007D3B90"/>
    <w:rsid w:val="007D42CC"/>
    <w:rsid w:val="007D5C88"/>
    <w:rsid w:val="007D5DE4"/>
    <w:rsid w:val="007D7C3A"/>
    <w:rsid w:val="007E0777"/>
    <w:rsid w:val="007E1341"/>
    <w:rsid w:val="007E1B41"/>
    <w:rsid w:val="007E1EC4"/>
    <w:rsid w:val="007E30B9"/>
    <w:rsid w:val="007E6BEE"/>
    <w:rsid w:val="007E74F1"/>
    <w:rsid w:val="007F0F0C"/>
    <w:rsid w:val="007F1288"/>
    <w:rsid w:val="00800A8A"/>
    <w:rsid w:val="0080155C"/>
    <w:rsid w:val="0080485D"/>
    <w:rsid w:val="008052E1"/>
    <w:rsid w:val="00815765"/>
    <w:rsid w:val="00816A8E"/>
    <w:rsid w:val="00816F8C"/>
    <w:rsid w:val="008170AC"/>
    <w:rsid w:val="00820A3E"/>
    <w:rsid w:val="00821491"/>
    <w:rsid w:val="008214EF"/>
    <w:rsid w:val="00822F2C"/>
    <w:rsid w:val="00823DEE"/>
    <w:rsid w:val="00825FB4"/>
    <w:rsid w:val="008305E8"/>
    <w:rsid w:val="008342DA"/>
    <w:rsid w:val="00836165"/>
    <w:rsid w:val="0084640C"/>
    <w:rsid w:val="00856088"/>
    <w:rsid w:val="00860826"/>
    <w:rsid w:val="00860E21"/>
    <w:rsid w:val="00861072"/>
    <w:rsid w:val="00861761"/>
    <w:rsid w:val="00863117"/>
    <w:rsid w:val="0086388B"/>
    <w:rsid w:val="00863AF6"/>
    <w:rsid w:val="008642E5"/>
    <w:rsid w:val="00864488"/>
    <w:rsid w:val="00870A36"/>
    <w:rsid w:val="00872D93"/>
    <w:rsid w:val="00880470"/>
    <w:rsid w:val="00880D94"/>
    <w:rsid w:val="00886F64"/>
    <w:rsid w:val="008924DE"/>
    <w:rsid w:val="00892D87"/>
    <w:rsid w:val="00893C74"/>
    <w:rsid w:val="008A3755"/>
    <w:rsid w:val="008A5D4C"/>
    <w:rsid w:val="008B19DC"/>
    <w:rsid w:val="008B264F"/>
    <w:rsid w:val="008B6F83"/>
    <w:rsid w:val="008B7FD8"/>
    <w:rsid w:val="008C1108"/>
    <w:rsid w:val="008C1116"/>
    <w:rsid w:val="008C2973"/>
    <w:rsid w:val="008C6324"/>
    <w:rsid w:val="008C64C4"/>
    <w:rsid w:val="008D1DDD"/>
    <w:rsid w:val="008D2CDD"/>
    <w:rsid w:val="008D74D5"/>
    <w:rsid w:val="008E0ED1"/>
    <w:rsid w:val="008E3A07"/>
    <w:rsid w:val="008E537B"/>
    <w:rsid w:val="008E67A6"/>
    <w:rsid w:val="008F04B6"/>
    <w:rsid w:val="008F29BE"/>
    <w:rsid w:val="008F2B72"/>
    <w:rsid w:val="008F4AE5"/>
    <w:rsid w:val="008F51EB"/>
    <w:rsid w:val="00900197"/>
    <w:rsid w:val="00901676"/>
    <w:rsid w:val="00902F55"/>
    <w:rsid w:val="0090461A"/>
    <w:rsid w:val="0090582B"/>
    <w:rsid w:val="009060C0"/>
    <w:rsid w:val="009114A2"/>
    <w:rsid w:val="009133F5"/>
    <w:rsid w:val="0091756F"/>
    <w:rsid w:val="00920A27"/>
    <w:rsid w:val="00921216"/>
    <w:rsid w:val="009216CC"/>
    <w:rsid w:val="00926083"/>
    <w:rsid w:val="009268DB"/>
    <w:rsid w:val="00930D08"/>
    <w:rsid w:val="00931466"/>
    <w:rsid w:val="00932D69"/>
    <w:rsid w:val="00934E37"/>
    <w:rsid w:val="00935589"/>
    <w:rsid w:val="00936CAD"/>
    <w:rsid w:val="00940BEA"/>
    <w:rsid w:val="00941EAB"/>
    <w:rsid w:val="00944647"/>
    <w:rsid w:val="00945739"/>
    <w:rsid w:val="0094648C"/>
    <w:rsid w:val="009465D6"/>
    <w:rsid w:val="009472D5"/>
    <w:rsid w:val="0095565C"/>
    <w:rsid w:val="00964AB6"/>
    <w:rsid w:val="00966F9A"/>
    <w:rsid w:val="00977B8A"/>
    <w:rsid w:val="00982971"/>
    <w:rsid w:val="00982CED"/>
    <w:rsid w:val="009845AD"/>
    <w:rsid w:val="00984835"/>
    <w:rsid w:val="0098639B"/>
    <w:rsid w:val="009933EF"/>
    <w:rsid w:val="00995BA0"/>
    <w:rsid w:val="00997F0A"/>
    <w:rsid w:val="009A093D"/>
    <w:rsid w:val="009A197A"/>
    <w:rsid w:val="009A396D"/>
    <w:rsid w:val="009A418B"/>
    <w:rsid w:val="009A426F"/>
    <w:rsid w:val="009A42D5"/>
    <w:rsid w:val="009A4473"/>
    <w:rsid w:val="009A5319"/>
    <w:rsid w:val="009B05C9"/>
    <w:rsid w:val="009B286C"/>
    <w:rsid w:val="009B6FFE"/>
    <w:rsid w:val="009C151C"/>
    <w:rsid w:val="009C2E11"/>
    <w:rsid w:val="009C440A"/>
    <w:rsid w:val="009D2C81"/>
    <w:rsid w:val="009D5125"/>
    <w:rsid w:val="009D60B8"/>
    <w:rsid w:val="009D7D4B"/>
    <w:rsid w:val="009E36ED"/>
    <w:rsid w:val="009E3C8C"/>
    <w:rsid w:val="009E4913"/>
    <w:rsid w:val="009E67F5"/>
    <w:rsid w:val="009E6B77"/>
    <w:rsid w:val="009E6B8A"/>
    <w:rsid w:val="009F460A"/>
    <w:rsid w:val="00A0253B"/>
    <w:rsid w:val="00A043FB"/>
    <w:rsid w:val="00A06BE4"/>
    <w:rsid w:val="00A0729C"/>
    <w:rsid w:val="00A07779"/>
    <w:rsid w:val="00A1166A"/>
    <w:rsid w:val="00A13A3F"/>
    <w:rsid w:val="00A20B2E"/>
    <w:rsid w:val="00A22A01"/>
    <w:rsid w:val="00A24F33"/>
    <w:rsid w:val="00A25069"/>
    <w:rsid w:val="00A2567C"/>
    <w:rsid w:val="00A26E6B"/>
    <w:rsid w:val="00A3068F"/>
    <w:rsid w:val="00A3145B"/>
    <w:rsid w:val="00A339D0"/>
    <w:rsid w:val="00A357FF"/>
    <w:rsid w:val="00A41002"/>
    <w:rsid w:val="00A4201A"/>
    <w:rsid w:val="00A42BC0"/>
    <w:rsid w:val="00A507B9"/>
    <w:rsid w:val="00A50D72"/>
    <w:rsid w:val="00A514A2"/>
    <w:rsid w:val="00A53969"/>
    <w:rsid w:val="00A5465D"/>
    <w:rsid w:val="00A54E82"/>
    <w:rsid w:val="00A553CE"/>
    <w:rsid w:val="00A5677A"/>
    <w:rsid w:val="00A56DCC"/>
    <w:rsid w:val="00A60576"/>
    <w:rsid w:val="00A625E8"/>
    <w:rsid w:val="00A62B5A"/>
    <w:rsid w:val="00A63DFF"/>
    <w:rsid w:val="00A6490D"/>
    <w:rsid w:val="00A663B6"/>
    <w:rsid w:val="00A7190F"/>
    <w:rsid w:val="00A7415D"/>
    <w:rsid w:val="00A753E6"/>
    <w:rsid w:val="00A80363"/>
    <w:rsid w:val="00A80939"/>
    <w:rsid w:val="00A8238E"/>
    <w:rsid w:val="00A83E9D"/>
    <w:rsid w:val="00A87C05"/>
    <w:rsid w:val="00A9169D"/>
    <w:rsid w:val="00A94349"/>
    <w:rsid w:val="00AA240C"/>
    <w:rsid w:val="00AA4317"/>
    <w:rsid w:val="00AB5ECD"/>
    <w:rsid w:val="00AB7A82"/>
    <w:rsid w:val="00AC101C"/>
    <w:rsid w:val="00AD1204"/>
    <w:rsid w:val="00AD1407"/>
    <w:rsid w:val="00AD2673"/>
    <w:rsid w:val="00AD4CF1"/>
    <w:rsid w:val="00AD5988"/>
    <w:rsid w:val="00AD6293"/>
    <w:rsid w:val="00AE35B4"/>
    <w:rsid w:val="00AE3E7C"/>
    <w:rsid w:val="00AF1BA8"/>
    <w:rsid w:val="00AF7800"/>
    <w:rsid w:val="00B00CF5"/>
    <w:rsid w:val="00B0153B"/>
    <w:rsid w:val="00B01B4B"/>
    <w:rsid w:val="00B072E0"/>
    <w:rsid w:val="00B1007E"/>
    <w:rsid w:val="00B13D88"/>
    <w:rsid w:val="00B23CBC"/>
    <w:rsid w:val="00B253F6"/>
    <w:rsid w:val="00B26675"/>
    <w:rsid w:val="00B26F0F"/>
    <w:rsid w:val="00B305DB"/>
    <w:rsid w:val="00B332F8"/>
    <w:rsid w:val="00B3492B"/>
    <w:rsid w:val="00B36851"/>
    <w:rsid w:val="00B43C67"/>
    <w:rsid w:val="00B4646F"/>
    <w:rsid w:val="00B51B53"/>
    <w:rsid w:val="00B547F9"/>
    <w:rsid w:val="00B55C7D"/>
    <w:rsid w:val="00B5766A"/>
    <w:rsid w:val="00B60755"/>
    <w:rsid w:val="00B63038"/>
    <w:rsid w:val="00B64BD8"/>
    <w:rsid w:val="00B701D1"/>
    <w:rsid w:val="00B73AF2"/>
    <w:rsid w:val="00B7551A"/>
    <w:rsid w:val="00B75FBA"/>
    <w:rsid w:val="00B773F1"/>
    <w:rsid w:val="00B80422"/>
    <w:rsid w:val="00B86AB1"/>
    <w:rsid w:val="00B9161A"/>
    <w:rsid w:val="00B95B0B"/>
    <w:rsid w:val="00B97F07"/>
    <w:rsid w:val="00BA39F4"/>
    <w:rsid w:val="00BA7EBA"/>
    <w:rsid w:val="00BB2A06"/>
    <w:rsid w:val="00BB2CBB"/>
    <w:rsid w:val="00BB4198"/>
    <w:rsid w:val="00BC03EE"/>
    <w:rsid w:val="00BC08B3"/>
    <w:rsid w:val="00BC59F1"/>
    <w:rsid w:val="00BC6495"/>
    <w:rsid w:val="00BD4865"/>
    <w:rsid w:val="00BE17FC"/>
    <w:rsid w:val="00BE2EA6"/>
    <w:rsid w:val="00BE5F6B"/>
    <w:rsid w:val="00BF0563"/>
    <w:rsid w:val="00BF3DE1"/>
    <w:rsid w:val="00BF4843"/>
    <w:rsid w:val="00BF5205"/>
    <w:rsid w:val="00BF7CBD"/>
    <w:rsid w:val="00C05132"/>
    <w:rsid w:val="00C12508"/>
    <w:rsid w:val="00C15C99"/>
    <w:rsid w:val="00C23728"/>
    <w:rsid w:val="00C3026C"/>
    <w:rsid w:val="00C313A9"/>
    <w:rsid w:val="00C344A2"/>
    <w:rsid w:val="00C441CF"/>
    <w:rsid w:val="00C45975"/>
    <w:rsid w:val="00C45AA2"/>
    <w:rsid w:val="00C4792C"/>
    <w:rsid w:val="00C55BEF"/>
    <w:rsid w:val="00C601AF"/>
    <w:rsid w:val="00C61A63"/>
    <w:rsid w:val="00C61EEB"/>
    <w:rsid w:val="00C66296"/>
    <w:rsid w:val="00C732C1"/>
    <w:rsid w:val="00C7394D"/>
    <w:rsid w:val="00C742C9"/>
    <w:rsid w:val="00C77282"/>
    <w:rsid w:val="00C80213"/>
    <w:rsid w:val="00C84DE5"/>
    <w:rsid w:val="00C86248"/>
    <w:rsid w:val="00C87D24"/>
    <w:rsid w:val="00C90B31"/>
    <w:rsid w:val="00C95C2B"/>
    <w:rsid w:val="00CA00D6"/>
    <w:rsid w:val="00CA0D6F"/>
    <w:rsid w:val="00CA4C33"/>
    <w:rsid w:val="00CA4E39"/>
    <w:rsid w:val="00CA5513"/>
    <w:rsid w:val="00CA6F4A"/>
    <w:rsid w:val="00CB6427"/>
    <w:rsid w:val="00CC0FBE"/>
    <w:rsid w:val="00CC1560"/>
    <w:rsid w:val="00CC7071"/>
    <w:rsid w:val="00CD2119"/>
    <w:rsid w:val="00CD237A"/>
    <w:rsid w:val="00CD2588"/>
    <w:rsid w:val="00CD28E8"/>
    <w:rsid w:val="00CD36AC"/>
    <w:rsid w:val="00CE0D83"/>
    <w:rsid w:val="00CE13A3"/>
    <w:rsid w:val="00CE36BC"/>
    <w:rsid w:val="00CF1747"/>
    <w:rsid w:val="00CF4E78"/>
    <w:rsid w:val="00CF5B3C"/>
    <w:rsid w:val="00CF60ED"/>
    <w:rsid w:val="00D014C0"/>
    <w:rsid w:val="00D05D74"/>
    <w:rsid w:val="00D20C59"/>
    <w:rsid w:val="00D23323"/>
    <w:rsid w:val="00D2392A"/>
    <w:rsid w:val="00D23EE4"/>
    <w:rsid w:val="00D25FFE"/>
    <w:rsid w:val="00D364DE"/>
    <w:rsid w:val="00D37D80"/>
    <w:rsid w:val="00D4476F"/>
    <w:rsid w:val="00D47B96"/>
    <w:rsid w:val="00D50573"/>
    <w:rsid w:val="00D52785"/>
    <w:rsid w:val="00D5401C"/>
    <w:rsid w:val="00D54D50"/>
    <w:rsid w:val="00D560B4"/>
    <w:rsid w:val="00D624B8"/>
    <w:rsid w:val="00D662F8"/>
    <w:rsid w:val="00D66797"/>
    <w:rsid w:val="00D7074B"/>
    <w:rsid w:val="00D7087C"/>
    <w:rsid w:val="00D70C3C"/>
    <w:rsid w:val="00D71DF7"/>
    <w:rsid w:val="00D72BE5"/>
    <w:rsid w:val="00D73EC9"/>
    <w:rsid w:val="00D76AAA"/>
    <w:rsid w:val="00D81462"/>
    <w:rsid w:val="00D82F26"/>
    <w:rsid w:val="00D863D0"/>
    <w:rsid w:val="00D86B00"/>
    <w:rsid w:val="00D86FB9"/>
    <w:rsid w:val="00D87C87"/>
    <w:rsid w:val="00D90BB4"/>
    <w:rsid w:val="00D90E07"/>
    <w:rsid w:val="00D932C2"/>
    <w:rsid w:val="00D96E9D"/>
    <w:rsid w:val="00DA12EF"/>
    <w:rsid w:val="00DB08FB"/>
    <w:rsid w:val="00DB39CF"/>
    <w:rsid w:val="00DB5F92"/>
    <w:rsid w:val="00DB7256"/>
    <w:rsid w:val="00DC0401"/>
    <w:rsid w:val="00DC20BD"/>
    <w:rsid w:val="00DC2DA6"/>
    <w:rsid w:val="00DD0BCD"/>
    <w:rsid w:val="00DD1095"/>
    <w:rsid w:val="00DD447A"/>
    <w:rsid w:val="00DD59B4"/>
    <w:rsid w:val="00DE1856"/>
    <w:rsid w:val="00DE3709"/>
    <w:rsid w:val="00DE3B20"/>
    <w:rsid w:val="00DE6C94"/>
    <w:rsid w:val="00DE6FD7"/>
    <w:rsid w:val="00E11893"/>
    <w:rsid w:val="00E1560F"/>
    <w:rsid w:val="00E224E4"/>
    <w:rsid w:val="00E23271"/>
    <w:rsid w:val="00E24F80"/>
    <w:rsid w:val="00E259F3"/>
    <w:rsid w:val="00E27AEB"/>
    <w:rsid w:val="00E30985"/>
    <w:rsid w:val="00E3123A"/>
    <w:rsid w:val="00E331BB"/>
    <w:rsid w:val="00E33238"/>
    <w:rsid w:val="00E33FA5"/>
    <w:rsid w:val="00E376B7"/>
    <w:rsid w:val="00E42F5D"/>
    <w:rsid w:val="00E4486C"/>
    <w:rsid w:val="00E460B6"/>
    <w:rsid w:val="00E47C33"/>
    <w:rsid w:val="00E511D5"/>
    <w:rsid w:val="00E53A9F"/>
    <w:rsid w:val="00E548A1"/>
    <w:rsid w:val="00E60249"/>
    <w:rsid w:val="00E621A3"/>
    <w:rsid w:val="00E65269"/>
    <w:rsid w:val="00E7308C"/>
    <w:rsid w:val="00E76D66"/>
    <w:rsid w:val="00E80926"/>
    <w:rsid w:val="00E8173D"/>
    <w:rsid w:val="00E94DBD"/>
    <w:rsid w:val="00EA2638"/>
    <w:rsid w:val="00EA608C"/>
    <w:rsid w:val="00EA73CC"/>
    <w:rsid w:val="00EA796A"/>
    <w:rsid w:val="00EB1856"/>
    <w:rsid w:val="00EC30E3"/>
    <w:rsid w:val="00EC50CE"/>
    <w:rsid w:val="00EC5B34"/>
    <w:rsid w:val="00EC6799"/>
    <w:rsid w:val="00ED021E"/>
    <w:rsid w:val="00ED3076"/>
    <w:rsid w:val="00ED323C"/>
    <w:rsid w:val="00EE1FD7"/>
    <w:rsid w:val="00EE2D5C"/>
    <w:rsid w:val="00EE4ADE"/>
    <w:rsid w:val="00EE4DE8"/>
    <w:rsid w:val="00EE5CB7"/>
    <w:rsid w:val="00F024FE"/>
    <w:rsid w:val="00F03135"/>
    <w:rsid w:val="00F04B83"/>
    <w:rsid w:val="00F05AD4"/>
    <w:rsid w:val="00F10EB6"/>
    <w:rsid w:val="00F13F07"/>
    <w:rsid w:val="00F140B2"/>
    <w:rsid w:val="00F257BD"/>
    <w:rsid w:val="00F25970"/>
    <w:rsid w:val="00F311A9"/>
    <w:rsid w:val="00F31D57"/>
    <w:rsid w:val="00F46F36"/>
    <w:rsid w:val="00F47BC9"/>
    <w:rsid w:val="00F5180D"/>
    <w:rsid w:val="00F61F2A"/>
    <w:rsid w:val="00F63781"/>
    <w:rsid w:val="00F63A43"/>
    <w:rsid w:val="00F67496"/>
    <w:rsid w:val="00F801BA"/>
    <w:rsid w:val="00F84CB5"/>
    <w:rsid w:val="00F91EF4"/>
    <w:rsid w:val="00F9366A"/>
    <w:rsid w:val="00F946C9"/>
    <w:rsid w:val="00FA0EA5"/>
    <w:rsid w:val="00FA6E92"/>
    <w:rsid w:val="00FA74EE"/>
    <w:rsid w:val="00FC1394"/>
    <w:rsid w:val="00FC165B"/>
    <w:rsid w:val="00FC3711"/>
    <w:rsid w:val="00FC46E7"/>
    <w:rsid w:val="00FC5D25"/>
    <w:rsid w:val="00FD0D7E"/>
    <w:rsid w:val="00FD4CA0"/>
    <w:rsid w:val="00FD4FFB"/>
    <w:rsid w:val="00FE6E13"/>
    <w:rsid w:val="00FE76D6"/>
    <w:rsid w:val="00FF15F6"/>
    <w:rsid w:val="00FF527C"/>
    <w:rsid w:val="00FF65CD"/>
    <w:rsid w:val="10388F83"/>
    <w:rsid w:val="11C5E515"/>
    <w:rsid w:val="1B3D9D7D"/>
    <w:rsid w:val="2B646A1D"/>
    <w:rsid w:val="3FF1C422"/>
    <w:rsid w:val="452A222A"/>
    <w:rsid w:val="5F5A3FE0"/>
    <w:rsid w:val="67FE61AC"/>
    <w:rsid w:val="6950232A"/>
    <w:rsid w:val="738BB9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EE3337E-0419-4138-A320-E2B0E99D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9"/>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9"/>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uiPriority w:val="9"/>
    <w:qFormat/>
    <w:rsid w:val="00B00CF5"/>
    <w:pPr>
      <w:keepNext/>
      <w:spacing w:before="120" w:after="120"/>
      <w:outlineLvl w:val="4"/>
    </w:pPr>
    <w:rPr>
      <w:color w:val="0A6AB4"/>
      <w:sz w:val="24"/>
    </w:rPr>
  </w:style>
  <w:style w:type="paragraph" w:styleId="Heading6">
    <w:name w:val="heading 6"/>
    <w:basedOn w:val="Normal"/>
    <w:next w:val="Normal"/>
    <w:link w:val="Heading6Char"/>
    <w:uiPriority w:val="9"/>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9"/>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9"/>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9"/>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C344A2"/>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qFormat/>
    <w:rsid w:val="002B76A7"/>
    <w:pPr>
      <w:tabs>
        <w:tab w:val="right" w:pos="8080"/>
      </w:tabs>
      <w:spacing w:before="120"/>
      <w:ind w:left="1276" w:right="567" w:hanging="1276"/>
    </w:pPr>
  </w:style>
  <w:style w:type="paragraph" w:customStyle="1" w:styleId="Bullet">
    <w:name w:val="Bullet"/>
    <w:basedOn w:val="Normal"/>
    <w:link w:val="BulletChar"/>
    <w:qFormat/>
    <w:rsid w:val="00FA0EA5"/>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sz w:val="20"/>
    </w:rPr>
  </w:style>
  <w:style w:type="character" w:styleId="FootnoteReference">
    <w:name w:val="footnote reference"/>
    <w:uiPriority w:val="99"/>
    <w:rPr>
      <w:vertAlign w:val="superscript"/>
    </w:rPr>
  </w:style>
  <w:style w:type="paragraph" w:customStyle="1" w:styleId="Table">
    <w:name w:val="Table"/>
    <w:basedOn w:val="Figure"/>
    <w:link w:val="TableChar"/>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link w:val="TableTextChar"/>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9"/>
    <w:rsid w:val="00030E84"/>
    <w:rPr>
      <w:rFonts w:ascii="Segoe UI" w:hAnsi="Segoe UI"/>
      <w:b/>
      <w:color w:val="0A6AB4"/>
      <w:spacing w:val="-5"/>
      <w:sz w:val="48"/>
      <w:lang w:eastAsia="en-GB"/>
    </w:rPr>
  </w:style>
  <w:style w:type="character" w:customStyle="1" w:styleId="Heading3Char">
    <w:name w:val="Heading 3 Char"/>
    <w:link w:val="Heading3"/>
    <w:uiPriority w:val="9"/>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uiPriority w:val="9"/>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uiPriority w:val="9"/>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9"/>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uiPriority w:val="9"/>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character" w:customStyle="1" w:styleId="BulletChar">
    <w:name w:val="Bullet Char"/>
    <w:link w:val="Bullet"/>
    <w:locked/>
    <w:rsid w:val="008C1116"/>
    <w:rPr>
      <w:rFonts w:ascii="Segoe UI" w:hAnsi="Segoe UI"/>
      <w:sz w:val="21"/>
      <w:lang w:eastAsia="en-GB"/>
    </w:rPr>
  </w:style>
  <w:style w:type="paragraph" w:styleId="ListParagraph">
    <w:name w:val="List Paragraph"/>
    <w:basedOn w:val="Normal"/>
    <w:uiPriority w:val="34"/>
    <w:qFormat/>
    <w:rsid w:val="008C1116"/>
    <w:pPr>
      <w:spacing w:after="180"/>
      <w:ind w:left="720"/>
      <w:contextualSpacing/>
    </w:pPr>
  </w:style>
  <w:style w:type="paragraph" w:customStyle="1" w:styleId="Heading3-nonumbering">
    <w:name w:val="Heading 3 - no numbering"/>
    <w:basedOn w:val="Heading3"/>
    <w:qFormat/>
    <w:rsid w:val="002B3F7F"/>
  </w:style>
  <w:style w:type="paragraph" w:styleId="ListBullet">
    <w:name w:val="List Bullet"/>
    <w:basedOn w:val="Normal"/>
    <w:uiPriority w:val="99"/>
    <w:unhideWhenUsed/>
    <w:rsid w:val="002B3F7F"/>
    <w:pPr>
      <w:numPr>
        <w:numId w:val="11"/>
      </w:numPr>
      <w:spacing w:after="180"/>
      <w:contextualSpacing/>
    </w:pPr>
  </w:style>
  <w:style w:type="paragraph" w:customStyle="1" w:styleId="pf0">
    <w:name w:val="pf0"/>
    <w:basedOn w:val="Normal"/>
    <w:rsid w:val="002B3F7F"/>
    <w:pPr>
      <w:spacing w:before="100" w:beforeAutospacing="1" w:after="100" w:afterAutospacing="1"/>
    </w:pPr>
    <w:rPr>
      <w:rFonts w:ascii="Times New Roman" w:hAnsi="Times New Roman"/>
      <w:sz w:val="24"/>
      <w:szCs w:val="24"/>
      <w:lang w:eastAsia="en-NZ"/>
    </w:rPr>
  </w:style>
  <w:style w:type="paragraph" w:customStyle="1" w:styleId="Heading1-numbered">
    <w:name w:val="Heading 1 - numbered"/>
    <w:basedOn w:val="Heading1"/>
    <w:qFormat/>
    <w:rsid w:val="00B43C67"/>
    <w:pPr>
      <w:numPr>
        <w:numId w:val="12"/>
      </w:numPr>
      <w:spacing w:before="0"/>
      <w:ind w:left="993" w:hanging="993"/>
    </w:pPr>
    <w:rPr>
      <w:rFonts w:eastAsiaTheme="majorEastAsia"/>
    </w:rPr>
  </w:style>
  <w:style w:type="paragraph" w:customStyle="1" w:styleId="Heading2-numbered">
    <w:name w:val="Heading 2 - numbered"/>
    <w:basedOn w:val="Heading1-numbered"/>
    <w:qFormat/>
    <w:rsid w:val="00191D52"/>
    <w:pPr>
      <w:numPr>
        <w:ilvl w:val="1"/>
        <w:numId w:val="13"/>
      </w:numPr>
      <w:spacing w:before="480" w:after="180"/>
      <w:ind w:left="993" w:hanging="993"/>
      <w:outlineLvl w:val="1"/>
    </w:pPr>
    <w:rPr>
      <w:color w:val="0A6AB4"/>
      <w:sz w:val="48"/>
      <w:szCs w:val="48"/>
    </w:rPr>
  </w:style>
  <w:style w:type="paragraph" w:customStyle="1" w:styleId="Heading3-numbered">
    <w:name w:val="Heading 3 - numbered"/>
    <w:basedOn w:val="Heading2-numbered"/>
    <w:qFormat/>
    <w:rsid w:val="00C344A2"/>
    <w:pPr>
      <w:numPr>
        <w:ilvl w:val="2"/>
      </w:numPr>
      <w:spacing w:before="360"/>
      <w:ind w:left="992" w:hanging="1083"/>
      <w:outlineLvl w:val="9"/>
    </w:pPr>
    <w:rPr>
      <w:b w:val="0"/>
      <w:bCs/>
      <w:sz w:val="36"/>
      <w:szCs w:val="36"/>
    </w:rPr>
  </w:style>
  <w:style w:type="character" w:customStyle="1" w:styleId="FigureChar">
    <w:name w:val="Figure Char"/>
    <w:link w:val="Figure"/>
    <w:locked/>
    <w:rsid w:val="00B43C67"/>
    <w:rPr>
      <w:rFonts w:ascii="Segoe UI" w:hAnsi="Segoe UI"/>
      <w:b/>
      <w:lang w:eastAsia="en-GB"/>
    </w:rPr>
  </w:style>
  <w:style w:type="character" w:customStyle="1" w:styleId="TableChar">
    <w:name w:val="Table Char"/>
    <w:link w:val="Table"/>
    <w:locked/>
    <w:rsid w:val="00B43C67"/>
    <w:rPr>
      <w:rFonts w:ascii="Segoe UI" w:hAnsi="Segoe UI"/>
      <w:b/>
      <w:lang w:eastAsia="en-GB"/>
    </w:rPr>
  </w:style>
  <w:style w:type="paragraph" w:styleId="Caption">
    <w:name w:val="caption"/>
    <w:basedOn w:val="Normal"/>
    <w:next w:val="Normal"/>
    <w:uiPriority w:val="35"/>
    <w:unhideWhenUsed/>
    <w:qFormat/>
    <w:rsid w:val="00B43C67"/>
    <w:pPr>
      <w:keepNext/>
      <w:spacing w:after="200"/>
    </w:pPr>
    <w:rPr>
      <w:b/>
      <w:bCs/>
      <w:sz w:val="20"/>
    </w:rPr>
  </w:style>
  <w:style w:type="paragraph" w:customStyle="1" w:styleId="Heading1-nonumbering">
    <w:name w:val="Heading 1 - no numbering"/>
    <w:basedOn w:val="Heading1"/>
    <w:next w:val="Normal"/>
    <w:qFormat/>
    <w:rsid w:val="00B43C67"/>
    <w:pPr>
      <w:keepNext w:val="0"/>
      <w:pageBreakBefore/>
      <w:spacing w:before="0" w:line="228" w:lineRule="auto"/>
    </w:pPr>
  </w:style>
  <w:style w:type="paragraph" w:styleId="BalloonText">
    <w:name w:val="Balloon Text"/>
    <w:basedOn w:val="Normal"/>
    <w:link w:val="BalloonTextChar"/>
    <w:uiPriority w:val="99"/>
    <w:semiHidden/>
    <w:unhideWhenUsed/>
    <w:rsid w:val="00B43C67"/>
    <w:pPr>
      <w:spacing w:after="180"/>
    </w:pPr>
    <w:rPr>
      <w:rFonts w:cs="Segoe UI"/>
      <w:sz w:val="18"/>
      <w:szCs w:val="18"/>
    </w:rPr>
  </w:style>
  <w:style w:type="character" w:customStyle="1" w:styleId="BalloonTextChar">
    <w:name w:val="Balloon Text Char"/>
    <w:basedOn w:val="DefaultParagraphFont"/>
    <w:link w:val="BalloonText"/>
    <w:uiPriority w:val="99"/>
    <w:semiHidden/>
    <w:rsid w:val="00B43C67"/>
    <w:rPr>
      <w:rFonts w:ascii="Segoe UI" w:hAnsi="Segoe UI" w:cs="Segoe UI"/>
      <w:sz w:val="18"/>
      <w:szCs w:val="18"/>
      <w:lang w:eastAsia="en-GB"/>
    </w:rPr>
  </w:style>
  <w:style w:type="character" w:styleId="CommentReference">
    <w:name w:val="annotation reference"/>
    <w:basedOn w:val="DefaultParagraphFont"/>
    <w:uiPriority w:val="99"/>
    <w:unhideWhenUsed/>
    <w:rsid w:val="00B43C67"/>
    <w:rPr>
      <w:sz w:val="16"/>
      <w:szCs w:val="16"/>
    </w:rPr>
  </w:style>
  <w:style w:type="paragraph" w:styleId="CommentText">
    <w:name w:val="annotation text"/>
    <w:basedOn w:val="Normal"/>
    <w:link w:val="CommentTextChar"/>
    <w:uiPriority w:val="99"/>
    <w:unhideWhenUsed/>
    <w:rsid w:val="00B43C67"/>
    <w:pPr>
      <w:spacing w:after="180"/>
    </w:pPr>
    <w:rPr>
      <w:sz w:val="20"/>
    </w:rPr>
  </w:style>
  <w:style w:type="character" w:customStyle="1" w:styleId="CommentTextChar">
    <w:name w:val="Comment Text Char"/>
    <w:basedOn w:val="DefaultParagraphFont"/>
    <w:link w:val="CommentText"/>
    <w:uiPriority w:val="99"/>
    <w:rsid w:val="00B43C67"/>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B43C67"/>
    <w:rPr>
      <w:b/>
      <w:bCs/>
    </w:rPr>
  </w:style>
  <w:style w:type="character" w:customStyle="1" w:styleId="CommentSubjectChar">
    <w:name w:val="Comment Subject Char"/>
    <w:basedOn w:val="CommentTextChar"/>
    <w:link w:val="CommentSubject"/>
    <w:uiPriority w:val="99"/>
    <w:semiHidden/>
    <w:rsid w:val="00B43C67"/>
    <w:rPr>
      <w:rFonts w:ascii="Segoe UI" w:hAnsi="Segoe UI"/>
      <w:b/>
      <w:bCs/>
      <w:lang w:eastAsia="en-GB"/>
    </w:rPr>
  </w:style>
  <w:style w:type="character" w:customStyle="1" w:styleId="UnresolvedMention1">
    <w:name w:val="Unresolved Mention1"/>
    <w:basedOn w:val="DefaultParagraphFont"/>
    <w:uiPriority w:val="99"/>
    <w:semiHidden/>
    <w:unhideWhenUsed/>
    <w:rsid w:val="00B43C67"/>
    <w:rPr>
      <w:color w:val="605E5C"/>
      <w:shd w:val="clear" w:color="auto" w:fill="E1DFDD"/>
    </w:rPr>
  </w:style>
  <w:style w:type="paragraph" w:styleId="TOCHeading">
    <w:name w:val="TOC Heading"/>
    <w:basedOn w:val="Heading1"/>
    <w:next w:val="Normal"/>
    <w:uiPriority w:val="39"/>
    <w:unhideWhenUsed/>
    <w:qFormat/>
    <w:rsid w:val="00B43C67"/>
    <w:pPr>
      <w:keepLines/>
      <w:spacing w:before="240" w:after="0" w:line="259" w:lineRule="auto"/>
      <w:outlineLvl w:val="9"/>
    </w:pPr>
    <w:rPr>
      <w:rFonts w:asciiTheme="majorHAnsi" w:eastAsiaTheme="majorEastAsia" w:hAnsiTheme="majorHAnsi" w:cstheme="majorBidi"/>
      <w:b w:val="0"/>
      <w:color w:val="365F91" w:themeColor="accent1" w:themeShade="BF"/>
      <w:spacing w:val="0"/>
      <w:sz w:val="32"/>
      <w:szCs w:val="32"/>
      <w:lang w:val="en-US" w:eastAsia="en-US"/>
    </w:rPr>
  </w:style>
  <w:style w:type="paragraph" w:styleId="TableofFigures">
    <w:name w:val="table of figures"/>
    <w:basedOn w:val="Normal"/>
    <w:next w:val="Normal"/>
    <w:uiPriority w:val="99"/>
    <w:unhideWhenUsed/>
    <w:qFormat/>
    <w:rsid w:val="00B43C67"/>
    <w:pPr>
      <w:spacing w:before="120" w:after="180"/>
      <w:ind w:left="340" w:hanging="340"/>
    </w:pPr>
  </w:style>
  <w:style w:type="character" w:styleId="FollowedHyperlink">
    <w:name w:val="FollowedHyperlink"/>
    <w:basedOn w:val="DefaultParagraphFont"/>
    <w:semiHidden/>
    <w:unhideWhenUsed/>
    <w:rsid w:val="00B43C67"/>
    <w:rPr>
      <w:color w:val="800080" w:themeColor="followedHyperlink"/>
      <w:u w:val="single"/>
    </w:rPr>
  </w:style>
  <w:style w:type="table" w:customStyle="1" w:styleId="TableGrid1">
    <w:name w:val="Table Grid1"/>
    <w:basedOn w:val="TableNormal"/>
    <w:next w:val="TableGrid"/>
    <w:uiPriority w:val="59"/>
    <w:rsid w:val="00B43C67"/>
    <w:pPr>
      <w:tabs>
        <w:tab w:val="left" w:pos="1134"/>
        <w:tab w:val="left" w:pos="2268"/>
        <w:tab w:val="left" w:pos="3402"/>
        <w:tab w:val="left" w:pos="4536"/>
        <w:tab w:val="left" w:pos="5670"/>
        <w:tab w:val="left" w:pos="6804"/>
        <w:tab w:val="left" w:pos="7938"/>
        <w:tab w:val="right" w:pos="9639"/>
      </w:tabs>
      <w:spacing w:after="200" w:line="276" w:lineRule="auto"/>
      <w:jc w:val="both"/>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numbering">
    <w:name w:val="Heading 2 - no numbering"/>
    <w:basedOn w:val="Heading2"/>
    <w:qFormat/>
    <w:rsid w:val="00B43C67"/>
  </w:style>
  <w:style w:type="paragraph" w:customStyle="1" w:styleId="DistrictGroupStyle">
    <w:name w:val="DistrictGroupStyle"/>
    <w:rsid w:val="00B43C67"/>
    <w:pPr>
      <w:spacing w:after="150" w:line="276" w:lineRule="auto"/>
    </w:pPr>
    <w:rPr>
      <w:rFonts w:asciiTheme="minorHAnsi" w:hAnsiTheme="minorHAnsi" w:cs="Calibri"/>
      <w:b/>
      <w:color w:val="000000"/>
      <w:sz w:val="30"/>
      <w:lang w:val="en-US" w:eastAsia="en-US"/>
    </w:rPr>
  </w:style>
  <w:style w:type="paragraph" w:customStyle="1" w:styleId="GroupStyle">
    <w:name w:val="GroupStyle"/>
    <w:rsid w:val="00B43C67"/>
    <w:pPr>
      <w:spacing w:after="150" w:line="276" w:lineRule="auto"/>
    </w:pPr>
    <w:rPr>
      <w:rFonts w:asciiTheme="minorHAnsi" w:hAnsiTheme="minorHAnsi" w:cs="Calibri"/>
      <w:b/>
      <w:color w:val="000000"/>
      <w:sz w:val="22"/>
      <w:lang w:eastAsia="en-US"/>
    </w:rPr>
  </w:style>
  <w:style w:type="paragraph" w:customStyle="1" w:styleId="SectionStyle">
    <w:name w:val="SectionStyle"/>
    <w:rsid w:val="00B43C67"/>
    <w:pPr>
      <w:spacing w:before="150" w:after="150" w:line="276" w:lineRule="auto"/>
    </w:pPr>
    <w:rPr>
      <w:rFonts w:asciiTheme="minorHAnsi" w:hAnsiTheme="minorHAnsi" w:cs="Calibri"/>
      <w:b/>
      <w:color w:val="000000"/>
      <w:sz w:val="22"/>
      <w:shd w:val="clear" w:color="auto" w:fill="EBF5F5"/>
      <w:lang w:eastAsia="en-US"/>
    </w:rPr>
  </w:style>
  <w:style w:type="paragraph" w:styleId="TOC4">
    <w:name w:val="toc 4"/>
    <w:basedOn w:val="Normal"/>
    <w:next w:val="Normal"/>
    <w:autoRedefine/>
    <w:uiPriority w:val="39"/>
    <w:unhideWhenUsed/>
    <w:rsid w:val="00B43C67"/>
    <w:pPr>
      <w:spacing w:after="180" w:line="259" w:lineRule="auto"/>
      <w:ind w:left="660"/>
    </w:pPr>
    <w:rPr>
      <w:rFonts w:asciiTheme="minorHAnsi" w:eastAsiaTheme="minorHAnsi" w:hAnsiTheme="minorHAnsi" w:cstheme="minorBidi"/>
      <w:sz w:val="18"/>
      <w:szCs w:val="18"/>
      <w:lang w:eastAsia="en-US"/>
    </w:rPr>
  </w:style>
  <w:style w:type="paragraph" w:styleId="TOC5">
    <w:name w:val="toc 5"/>
    <w:basedOn w:val="Normal"/>
    <w:next w:val="Normal"/>
    <w:autoRedefine/>
    <w:uiPriority w:val="39"/>
    <w:unhideWhenUsed/>
    <w:rsid w:val="00B43C67"/>
    <w:pPr>
      <w:spacing w:after="180" w:line="259" w:lineRule="auto"/>
      <w:ind w:left="880"/>
    </w:pPr>
    <w:rPr>
      <w:rFonts w:asciiTheme="minorHAnsi" w:eastAsiaTheme="minorHAnsi" w:hAnsiTheme="minorHAnsi" w:cstheme="minorBidi"/>
      <w:sz w:val="18"/>
      <w:szCs w:val="18"/>
      <w:lang w:eastAsia="en-US"/>
    </w:rPr>
  </w:style>
  <w:style w:type="paragraph" w:styleId="TOC6">
    <w:name w:val="toc 6"/>
    <w:basedOn w:val="Normal"/>
    <w:next w:val="Normal"/>
    <w:autoRedefine/>
    <w:uiPriority w:val="39"/>
    <w:unhideWhenUsed/>
    <w:rsid w:val="00B43C67"/>
    <w:pPr>
      <w:spacing w:after="180" w:line="259" w:lineRule="auto"/>
      <w:ind w:left="1100"/>
    </w:pPr>
    <w:rPr>
      <w:rFonts w:asciiTheme="minorHAnsi" w:eastAsiaTheme="minorHAnsi" w:hAnsiTheme="minorHAnsi" w:cstheme="minorBidi"/>
      <w:sz w:val="18"/>
      <w:szCs w:val="18"/>
      <w:lang w:eastAsia="en-US"/>
    </w:rPr>
  </w:style>
  <w:style w:type="paragraph" w:styleId="TOC7">
    <w:name w:val="toc 7"/>
    <w:basedOn w:val="Normal"/>
    <w:next w:val="Normal"/>
    <w:autoRedefine/>
    <w:uiPriority w:val="39"/>
    <w:unhideWhenUsed/>
    <w:rsid w:val="00B43C67"/>
    <w:pPr>
      <w:spacing w:after="180" w:line="259" w:lineRule="auto"/>
      <w:ind w:left="1320"/>
    </w:pPr>
    <w:rPr>
      <w:rFonts w:asciiTheme="minorHAnsi" w:eastAsiaTheme="minorHAnsi" w:hAnsiTheme="minorHAnsi" w:cstheme="minorBidi"/>
      <w:sz w:val="18"/>
      <w:szCs w:val="18"/>
      <w:lang w:eastAsia="en-US"/>
    </w:rPr>
  </w:style>
  <w:style w:type="paragraph" w:styleId="TOC8">
    <w:name w:val="toc 8"/>
    <w:basedOn w:val="Normal"/>
    <w:next w:val="Normal"/>
    <w:autoRedefine/>
    <w:uiPriority w:val="39"/>
    <w:unhideWhenUsed/>
    <w:rsid w:val="00B43C67"/>
    <w:pPr>
      <w:spacing w:after="180" w:line="259" w:lineRule="auto"/>
      <w:ind w:left="1540"/>
    </w:pPr>
    <w:rPr>
      <w:rFonts w:asciiTheme="minorHAnsi" w:eastAsiaTheme="minorHAnsi" w:hAnsiTheme="minorHAnsi" w:cstheme="minorBidi"/>
      <w:sz w:val="18"/>
      <w:szCs w:val="18"/>
      <w:lang w:eastAsia="en-US"/>
    </w:rPr>
  </w:style>
  <w:style w:type="paragraph" w:styleId="TOC9">
    <w:name w:val="toc 9"/>
    <w:basedOn w:val="Normal"/>
    <w:next w:val="Normal"/>
    <w:autoRedefine/>
    <w:uiPriority w:val="39"/>
    <w:unhideWhenUsed/>
    <w:rsid w:val="00B43C67"/>
    <w:pPr>
      <w:spacing w:after="180" w:line="259" w:lineRule="auto"/>
      <w:ind w:left="1760"/>
    </w:pPr>
    <w:rPr>
      <w:rFonts w:asciiTheme="minorHAnsi" w:eastAsiaTheme="minorHAnsi" w:hAnsiTheme="minorHAnsi" w:cstheme="minorBidi"/>
      <w:sz w:val="18"/>
      <w:szCs w:val="18"/>
      <w:lang w:eastAsia="en-US"/>
    </w:rPr>
  </w:style>
  <w:style w:type="character" w:customStyle="1" w:styleId="UnresolvedMention2">
    <w:name w:val="Unresolved Mention2"/>
    <w:basedOn w:val="DefaultParagraphFont"/>
    <w:uiPriority w:val="99"/>
    <w:unhideWhenUsed/>
    <w:rsid w:val="00B43C67"/>
    <w:rPr>
      <w:color w:val="605E5C"/>
      <w:shd w:val="clear" w:color="auto" w:fill="E1DFDD"/>
    </w:rPr>
  </w:style>
  <w:style w:type="paragraph" w:styleId="BodyText">
    <w:name w:val="Body Text"/>
    <w:basedOn w:val="Normal"/>
    <w:link w:val="BodyTextChar"/>
    <w:uiPriority w:val="1"/>
    <w:qFormat/>
    <w:rsid w:val="00B43C67"/>
    <w:pPr>
      <w:widowControl w:val="0"/>
      <w:autoSpaceDE w:val="0"/>
      <w:autoSpaceDN w:val="0"/>
      <w:spacing w:after="180"/>
    </w:pPr>
    <w:rPr>
      <w:rFonts w:ascii="Times New Roman" w:hAnsi="Times New Roman"/>
      <w:sz w:val="22"/>
      <w:szCs w:val="22"/>
      <w:lang w:val="en-US" w:eastAsia="en-US"/>
    </w:rPr>
  </w:style>
  <w:style w:type="character" w:customStyle="1" w:styleId="BodyTextChar">
    <w:name w:val="Body Text Char"/>
    <w:basedOn w:val="DefaultParagraphFont"/>
    <w:link w:val="BodyText"/>
    <w:uiPriority w:val="1"/>
    <w:rsid w:val="00B43C67"/>
    <w:rPr>
      <w:sz w:val="22"/>
      <w:szCs w:val="22"/>
      <w:lang w:val="en-US" w:eastAsia="en-US"/>
    </w:rPr>
  </w:style>
  <w:style w:type="paragraph" w:customStyle="1" w:styleId="TableParagraph">
    <w:name w:val="Table Paragraph"/>
    <w:basedOn w:val="Normal"/>
    <w:uiPriority w:val="1"/>
    <w:qFormat/>
    <w:rsid w:val="00B43C67"/>
    <w:pPr>
      <w:widowControl w:val="0"/>
      <w:autoSpaceDE w:val="0"/>
      <w:autoSpaceDN w:val="0"/>
      <w:spacing w:before="74" w:after="180"/>
      <w:ind w:left="392"/>
    </w:pPr>
    <w:rPr>
      <w:rFonts w:ascii="Arial" w:eastAsia="Arial" w:hAnsi="Arial" w:cs="Arial"/>
      <w:sz w:val="22"/>
      <w:szCs w:val="22"/>
      <w:lang w:val="en-US" w:eastAsia="en-US"/>
    </w:rPr>
  </w:style>
  <w:style w:type="paragraph" w:customStyle="1" w:styleId="text">
    <w:name w:val="text"/>
    <w:basedOn w:val="Normal"/>
    <w:rsid w:val="00B43C67"/>
    <w:pPr>
      <w:spacing w:before="100" w:beforeAutospacing="1" w:after="100" w:afterAutospacing="1"/>
    </w:pPr>
    <w:rPr>
      <w:rFonts w:ascii="Times New Roman" w:hAnsi="Times New Roman"/>
      <w:sz w:val="24"/>
      <w:szCs w:val="24"/>
      <w:lang w:eastAsia="en-NZ"/>
    </w:rPr>
  </w:style>
  <w:style w:type="character" w:customStyle="1" w:styleId="label">
    <w:name w:val="label"/>
    <w:basedOn w:val="DefaultParagraphFont"/>
    <w:rsid w:val="00B43C67"/>
  </w:style>
  <w:style w:type="character" w:customStyle="1" w:styleId="amending-leg">
    <w:name w:val="amending-leg"/>
    <w:basedOn w:val="DefaultParagraphFont"/>
    <w:rsid w:val="00B43C67"/>
  </w:style>
  <w:style w:type="paragraph" w:customStyle="1" w:styleId="subprov">
    <w:name w:val="subprov"/>
    <w:basedOn w:val="Normal"/>
    <w:rsid w:val="00B43C67"/>
    <w:pPr>
      <w:spacing w:before="100" w:beforeAutospacing="1" w:after="100" w:afterAutospacing="1"/>
    </w:pPr>
    <w:rPr>
      <w:rFonts w:ascii="Times New Roman" w:hAnsi="Times New Roman"/>
      <w:sz w:val="24"/>
      <w:szCs w:val="24"/>
      <w:lang w:eastAsia="en-NZ"/>
    </w:rPr>
  </w:style>
  <w:style w:type="character" w:customStyle="1" w:styleId="insertwords">
    <w:name w:val="insertwords"/>
    <w:basedOn w:val="DefaultParagraphFont"/>
    <w:rsid w:val="00B43C67"/>
  </w:style>
  <w:style w:type="character" w:styleId="Emphasis">
    <w:name w:val="Emphasis"/>
    <w:basedOn w:val="DefaultParagraphFont"/>
    <w:uiPriority w:val="20"/>
    <w:qFormat/>
    <w:rsid w:val="00B43C67"/>
    <w:rPr>
      <w:i/>
      <w:iCs/>
    </w:rPr>
  </w:style>
  <w:style w:type="paragraph" w:customStyle="1" w:styleId="Default">
    <w:name w:val="Default"/>
    <w:rsid w:val="00B43C67"/>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B43C67"/>
    <w:pPr>
      <w:spacing w:after="160" w:line="259" w:lineRule="auto"/>
    </w:pPr>
    <w:rPr>
      <w:rFonts w:ascii="Times New Roman" w:eastAsiaTheme="minorHAnsi" w:hAnsi="Times New Roman"/>
      <w:sz w:val="24"/>
      <w:szCs w:val="24"/>
      <w:lang w:eastAsia="en-US"/>
    </w:rPr>
  </w:style>
  <w:style w:type="paragraph" w:customStyle="1" w:styleId="Subnumber">
    <w:name w:val="Subnumber"/>
    <w:basedOn w:val="Number"/>
    <w:rsid w:val="00B43C67"/>
    <w:pPr>
      <w:numPr>
        <w:numId w:val="0"/>
      </w:numPr>
      <w:tabs>
        <w:tab w:val="num" w:pos="1418"/>
      </w:tabs>
      <w:spacing w:after="180"/>
      <w:ind w:left="1418" w:hanging="851"/>
    </w:pPr>
    <w:rPr>
      <w:rFonts w:ascii="Arial" w:hAnsi="Arial"/>
      <w:sz w:val="24"/>
      <w:szCs w:val="20"/>
    </w:rPr>
  </w:style>
  <w:style w:type="character" w:customStyle="1" w:styleId="TableTextChar">
    <w:name w:val="TableText Char"/>
    <w:link w:val="TableText"/>
    <w:rsid w:val="00B43C67"/>
    <w:rPr>
      <w:rFonts w:ascii="Segoe UI" w:hAnsi="Segoe UI"/>
      <w:sz w:val="18"/>
      <w:lang w:eastAsia="en-GB"/>
    </w:rPr>
  </w:style>
  <w:style w:type="character" w:customStyle="1" w:styleId="normaltextrun">
    <w:name w:val="normaltextrun"/>
    <w:basedOn w:val="DefaultParagraphFont"/>
    <w:rsid w:val="00B43C67"/>
  </w:style>
  <w:style w:type="character" w:customStyle="1" w:styleId="Mention1">
    <w:name w:val="Mention1"/>
    <w:basedOn w:val="DefaultParagraphFont"/>
    <w:uiPriority w:val="99"/>
    <w:unhideWhenUsed/>
    <w:rsid w:val="00B43C67"/>
    <w:rPr>
      <w:color w:val="2B579A"/>
      <w:shd w:val="clear" w:color="auto" w:fill="E6E6E6"/>
    </w:rPr>
  </w:style>
  <w:style w:type="paragraph" w:styleId="EndnoteText">
    <w:name w:val="endnote text"/>
    <w:basedOn w:val="Normal"/>
    <w:link w:val="EndnoteTextChar"/>
    <w:semiHidden/>
    <w:unhideWhenUsed/>
    <w:rsid w:val="00B43C67"/>
    <w:pPr>
      <w:spacing w:after="180"/>
    </w:pPr>
    <w:rPr>
      <w:sz w:val="20"/>
    </w:rPr>
  </w:style>
  <w:style w:type="character" w:customStyle="1" w:styleId="EndnoteTextChar">
    <w:name w:val="Endnote Text Char"/>
    <w:basedOn w:val="DefaultParagraphFont"/>
    <w:link w:val="EndnoteText"/>
    <w:semiHidden/>
    <w:rsid w:val="00B43C67"/>
    <w:rPr>
      <w:rFonts w:ascii="Segoe UI" w:hAnsi="Segoe UI"/>
      <w:lang w:eastAsia="en-GB"/>
    </w:rPr>
  </w:style>
  <w:style w:type="character" w:styleId="EndnoteReference">
    <w:name w:val="endnote reference"/>
    <w:basedOn w:val="DefaultParagraphFont"/>
    <w:semiHidden/>
    <w:unhideWhenUsed/>
    <w:rsid w:val="00B43C67"/>
    <w:rPr>
      <w:vertAlign w:val="superscript"/>
    </w:rPr>
  </w:style>
  <w:style w:type="character" w:styleId="UnresolvedMention">
    <w:name w:val="Unresolved Mention"/>
    <w:basedOn w:val="DefaultParagraphFont"/>
    <w:uiPriority w:val="99"/>
    <w:unhideWhenUsed/>
    <w:rsid w:val="00B43C67"/>
    <w:rPr>
      <w:color w:val="605E5C"/>
      <w:shd w:val="clear" w:color="auto" w:fill="E1DFDD"/>
    </w:rPr>
  </w:style>
  <w:style w:type="character" w:styleId="Mention">
    <w:name w:val="Mention"/>
    <w:basedOn w:val="DefaultParagraphFont"/>
    <w:uiPriority w:val="99"/>
    <w:unhideWhenUsed/>
    <w:rsid w:val="00B43C67"/>
    <w:rPr>
      <w:color w:val="2B579A"/>
      <w:shd w:val="clear" w:color="auto" w:fill="E6E6E6"/>
    </w:rPr>
  </w:style>
  <w:style w:type="character" w:customStyle="1" w:styleId="cf01">
    <w:name w:val="cf01"/>
    <w:basedOn w:val="DefaultParagraphFont"/>
    <w:rsid w:val="00B43C67"/>
    <w:rPr>
      <w:rFonts w:ascii="Segoe UI" w:hAnsi="Segoe UI" w:cs="Segoe UI" w:hint="default"/>
      <w:sz w:val="18"/>
      <w:szCs w:val="18"/>
    </w:rPr>
  </w:style>
  <w:style w:type="paragraph" w:styleId="List">
    <w:name w:val="List"/>
    <w:basedOn w:val="Normal"/>
    <w:unhideWhenUsed/>
    <w:rsid w:val="00B43C67"/>
    <w:pPr>
      <w:spacing w:after="180"/>
      <w:ind w:left="283" w:hanging="283"/>
      <w:contextualSpacing/>
    </w:pPr>
  </w:style>
  <w:style w:type="paragraph" w:styleId="ListNumber">
    <w:name w:val="List Number"/>
    <w:basedOn w:val="Normal"/>
    <w:unhideWhenUsed/>
    <w:rsid w:val="00B43C67"/>
    <w:pPr>
      <w:numPr>
        <w:numId w:val="14"/>
      </w:numPr>
      <w:spacing w:after="180"/>
      <w:contextualSpacing/>
    </w:pPr>
  </w:style>
  <w:style w:type="character" w:customStyle="1" w:styleId="cf11">
    <w:name w:val="cf11"/>
    <w:basedOn w:val="DefaultParagraphFont"/>
    <w:rsid w:val="00B43C67"/>
    <w:rPr>
      <w:rFonts w:ascii="Segoe UI" w:hAnsi="Segoe UI" w:cs="Segoe UI" w:hint="default"/>
      <w:sz w:val="18"/>
      <w:szCs w:val="18"/>
    </w:rPr>
  </w:style>
  <w:style w:type="character" w:customStyle="1" w:styleId="cf21">
    <w:name w:val="cf21"/>
    <w:basedOn w:val="DefaultParagraphFont"/>
    <w:rsid w:val="00B43C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19132">
      <w:bodyDiv w:val="1"/>
      <w:marLeft w:val="0"/>
      <w:marRight w:val="0"/>
      <w:marTop w:val="0"/>
      <w:marBottom w:val="0"/>
      <w:divBdr>
        <w:top w:val="none" w:sz="0" w:space="0" w:color="auto"/>
        <w:left w:val="none" w:sz="0" w:space="0" w:color="auto"/>
        <w:bottom w:val="none" w:sz="0" w:space="0" w:color="auto"/>
        <w:right w:val="none" w:sz="0" w:space="0" w:color="auto"/>
      </w:divBdr>
      <w:divsChild>
        <w:div w:id="354384688">
          <w:marLeft w:val="547"/>
          <w:marRight w:val="0"/>
          <w:marTop w:val="200"/>
          <w:marBottom w:val="0"/>
          <w:divBdr>
            <w:top w:val="none" w:sz="0" w:space="0" w:color="auto"/>
            <w:left w:val="none" w:sz="0" w:space="0" w:color="auto"/>
            <w:bottom w:val="none" w:sz="0" w:space="0" w:color="auto"/>
            <w:right w:val="none" w:sz="0" w:space="0" w:color="auto"/>
          </w:divBdr>
        </w:div>
      </w:divsChild>
    </w:div>
    <w:div w:id="965888237">
      <w:bodyDiv w:val="1"/>
      <w:marLeft w:val="0"/>
      <w:marRight w:val="0"/>
      <w:marTop w:val="0"/>
      <w:marBottom w:val="0"/>
      <w:divBdr>
        <w:top w:val="none" w:sz="0" w:space="0" w:color="auto"/>
        <w:left w:val="none" w:sz="0" w:space="0" w:color="auto"/>
        <w:bottom w:val="none" w:sz="0" w:space="0" w:color="auto"/>
        <w:right w:val="none" w:sz="0" w:space="0" w:color="auto"/>
      </w:divBdr>
    </w:div>
    <w:div w:id="1322195951">
      <w:bodyDiv w:val="1"/>
      <w:marLeft w:val="0"/>
      <w:marRight w:val="0"/>
      <w:marTop w:val="0"/>
      <w:marBottom w:val="0"/>
      <w:divBdr>
        <w:top w:val="none" w:sz="0" w:space="0" w:color="auto"/>
        <w:left w:val="none" w:sz="0" w:space="0" w:color="auto"/>
        <w:bottom w:val="none" w:sz="0" w:space="0" w:color="auto"/>
        <w:right w:val="none" w:sz="0" w:space="0" w:color="auto"/>
      </w:divBdr>
      <w:divsChild>
        <w:div w:id="479426020">
          <w:marLeft w:val="547"/>
          <w:marRight w:val="0"/>
          <w:marTop w:val="200"/>
          <w:marBottom w:val="0"/>
          <w:divBdr>
            <w:top w:val="none" w:sz="0" w:space="0" w:color="auto"/>
            <w:left w:val="none" w:sz="0" w:space="0" w:color="auto"/>
            <w:bottom w:val="none" w:sz="0" w:space="0" w:color="auto"/>
            <w:right w:val="none" w:sz="0" w:space="0" w:color="auto"/>
          </w:divBdr>
        </w:div>
      </w:divsChild>
    </w:div>
    <w:div w:id="1577595667">
      <w:bodyDiv w:val="1"/>
      <w:marLeft w:val="0"/>
      <w:marRight w:val="0"/>
      <w:marTop w:val="0"/>
      <w:marBottom w:val="0"/>
      <w:divBdr>
        <w:top w:val="none" w:sz="0" w:space="0" w:color="auto"/>
        <w:left w:val="none" w:sz="0" w:space="0" w:color="auto"/>
        <w:bottom w:val="none" w:sz="0" w:space="0" w:color="auto"/>
        <w:right w:val="none" w:sz="0" w:space="0" w:color="auto"/>
      </w:divBdr>
      <w:divsChild>
        <w:div w:id="2080900959">
          <w:marLeft w:val="1166"/>
          <w:marRight w:val="0"/>
          <w:marTop w:val="200"/>
          <w:marBottom w:val="0"/>
          <w:divBdr>
            <w:top w:val="none" w:sz="0" w:space="0" w:color="auto"/>
            <w:left w:val="none" w:sz="0" w:space="0" w:color="auto"/>
            <w:bottom w:val="none" w:sz="0" w:space="0" w:color="auto"/>
            <w:right w:val="none" w:sz="0" w:space="0" w:color="auto"/>
          </w:divBdr>
        </w:div>
      </w:divsChild>
    </w:div>
    <w:div w:id="1741169799">
      <w:bodyDiv w:val="1"/>
      <w:marLeft w:val="0"/>
      <w:marRight w:val="0"/>
      <w:marTop w:val="0"/>
      <w:marBottom w:val="0"/>
      <w:divBdr>
        <w:top w:val="none" w:sz="0" w:space="0" w:color="auto"/>
        <w:left w:val="none" w:sz="0" w:space="0" w:color="auto"/>
        <w:bottom w:val="none" w:sz="0" w:space="0" w:color="auto"/>
        <w:right w:val="none" w:sz="0" w:space="0" w:color="auto"/>
      </w:divBdr>
      <w:divsChild>
        <w:div w:id="170802461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oter" Target="footer8.xml"/><Relationship Id="rId39" Type="http://schemas.openxmlformats.org/officeDocument/2006/relationships/hyperlink" Target="https://terauora.com/manaaki-mana-enhancing-and-mana-protecting-practice/" TargetMode="External"/><Relationship Id="rId21" Type="http://schemas.openxmlformats.org/officeDocument/2006/relationships/header" Target="header3.xml"/><Relationship Id="rId34" Type="http://schemas.openxmlformats.org/officeDocument/2006/relationships/hyperlink" Target="https://www.health.govt.nz/publications/guidelines-for-the-role-and-function-of-district-inspectors" TargetMode="External"/><Relationship Id="rId42" Type="http://schemas.openxmlformats.org/officeDocument/2006/relationships/hyperlink" Target="https://www.health.govt.nz/publications/human-rights-and-the-mental-health-compulsory-assessment-and-treatment-act-1992" TargetMode="External"/><Relationship Id="rId47" Type="http://schemas.openxmlformats.org/officeDocument/2006/relationships/hyperlink" Target="http://www.health.govt.nz/publications/office-of-the-director-of-mental-health-and-addiction-services-regulatory-report-1-july-2020-to-30" TargetMode="External"/><Relationship Id="rId50" Type="http://schemas.openxmlformats.org/officeDocument/2006/relationships/hyperlink" Target="https://www.justice.govt.nz/justice-sector-policy/constitutional-issues-and-human-rights/human-rights/" TargetMode="External"/><Relationship Id="rId55" Type="http://schemas.openxmlformats.org/officeDocument/2006/relationships/hyperlink" Target="https://www.privacy.org.nz/tools/knowledge-base/view/525?t=1249826_1404942" TargetMode="External"/><Relationship Id="rId63" Type="http://schemas.openxmlformats.org/officeDocument/2006/relationships/hyperlink" Target="https://www.tepou.co.nz/initiatives/mha/mental-health-act-e-learning" TargetMode="External"/><Relationship Id="rId68" Type="http://schemas.openxmlformats.org/officeDocument/2006/relationships/footer" Target="footer10.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legislation.govt.nz/act/public/2003/0116/latest/link.aspx?search=sw_096be8ed81642069_district+inspector_25_se&amp;p=1&amp;id=DLM22547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hyperlink" Target="https://www.legislation.govt.nz/act/public/2003/0116/latest/link.aspx?search=sw_096be8ed81642069_district+inspector_25_se&amp;p=1&amp;id=DLM225939" TargetMode="External"/><Relationship Id="rId37" Type="http://schemas.openxmlformats.org/officeDocument/2006/relationships/hyperlink" Target="http://www.enablinggoodlives.co.nz/about-egl/" TargetMode="External"/><Relationship Id="rId40" Type="http://schemas.openxmlformats.org/officeDocument/2006/relationships/hyperlink" Target="https://www.health.govt.nz/publications/a-guide-to-the-intellectual-disability-compulsory-care-and-rehabilitation-act-2003" TargetMode="External"/><Relationship Id="rId45" Type="http://schemas.openxmlformats.org/officeDocument/2006/relationships/hyperlink" Target="https://www.health.govt.nz/publications/guidelines-for-the-role-and-function-of-statutory-officers-appointed-under-the-mental-health" TargetMode="External"/><Relationship Id="rId53" Type="http://schemas.openxmlformats.org/officeDocument/2006/relationships/hyperlink" Target="https://www.ombudsman.parliament.nz/resources/expectations-conditions-and-treatment-tangata-whai-ora-health-and-disability-places" TargetMode="External"/><Relationship Id="rId58" Type="http://schemas.openxmlformats.org/officeDocument/2006/relationships/hyperlink" Target="https://www.standards.govt.nz/shop/nzs-81342021/" TargetMode="External"/><Relationship Id="rId66" Type="http://schemas.openxmlformats.org/officeDocument/2006/relationships/hyperlink" Target="https://www.who.int/publications/i/item/9789240080737"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6.xml"/><Relationship Id="rId28" Type="http://schemas.openxmlformats.org/officeDocument/2006/relationships/hyperlink" Target="http://www.justice.govt.nz" TargetMode="External"/><Relationship Id="rId36" Type="http://schemas.openxmlformats.org/officeDocument/2006/relationships/hyperlink" Target="https://www.crownlaw.govt.nz/assets/Uploads/JOYS-for-web.pdf" TargetMode="External"/><Relationship Id="rId49" Type="http://schemas.openxmlformats.org/officeDocument/2006/relationships/hyperlink" Target="https://www.health.govt.nz/publications/pae-tu-hauora-maori-strategy" TargetMode="External"/><Relationship Id="rId57" Type="http://schemas.openxmlformats.org/officeDocument/2006/relationships/hyperlink" Target="https://www.ranzcp.org/getmedia/8894fddc-ecd3-4366-813d-747391110284/ppg-20-information-sharing-fnl-dec-2021.pdf" TargetMode="External"/><Relationship Id="rId61" Type="http://schemas.openxmlformats.org/officeDocument/2006/relationships/hyperlink" Target="https://www.tepou.co.nz/resources/equitable-access-to-wellbeing-framework-pdf"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legislation.govt.nz/act/public/2003/0116/latest/link.aspx?search=sw_096be8ed81642069_district+inspector_25_se&amp;p=1&amp;id=DLM225934" TargetMode="External"/><Relationship Id="rId44" Type="http://schemas.openxmlformats.org/officeDocument/2006/relationships/hyperlink" Target="https://www.health.govt.nz/publications/kia-manawanui-aotearoa-long-term-pathway-to-mental-wellbeing" TargetMode="External"/><Relationship Id="rId52" Type="http://schemas.openxmlformats.org/officeDocument/2006/relationships/hyperlink" Target="https://www.ombudsman.parliament.nz/sites/default/files/2023-02/Reasonable%20Accomodation%20Guide%202023.pdf" TargetMode="External"/><Relationship Id="rId60" Type="http://schemas.openxmlformats.org/officeDocument/2006/relationships/hyperlink" Target="https://d2ew8vb2gktr0m.cloudfront.net/files/resources/TP-201216-Lets-get-real-framework-book-redesign-and-reprint_4_high-res.pdf" TargetMode="External"/><Relationship Id="rId65" Type="http://schemas.openxmlformats.org/officeDocument/2006/relationships/hyperlink" Target="https://www.whaikaha.govt.nz/assets/About-us/HCF-Strategic-Statement-FINAL.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hyperlink" Target="https://www.privacy.org.nz/your-rights/making-a-complaint-to-the-privacy-commissioner/" TargetMode="External"/><Relationship Id="rId35" Type="http://schemas.openxmlformats.org/officeDocument/2006/relationships/hyperlink" Target="https://www.abuseincare.org.nz/__data/assets/pdf_file/0024/23847/beautiful-children-full-report-pdf-v2.pdf" TargetMode="External"/><Relationship Id="rId43" Type="http://schemas.openxmlformats.org/officeDocument/2006/relationships/hyperlink" Target="https://www.health.govt.nz/publications/whakamaua-maori-health-action-plan-2020-2025" TargetMode="External"/><Relationship Id="rId48" Type="http://schemas.openxmlformats.org/officeDocument/2006/relationships/hyperlink" Target="https://www.health.govt.nz/publications/guidelines-for-reducing-and-eliminating-seclusion-and-restraint-under-the-mental-health-compulsory" TargetMode="External"/><Relationship Id="rId56" Type="http://schemas.openxmlformats.org/officeDocument/2006/relationships/hyperlink" Target="https://www.ranzcp.org/getmedia/0ccb9dd0-85c5-423a-9329-3d20c9d7d485/2-how-to-have-the-conversation-infomation-sharing-fnl-dec-2021.pdf" TargetMode="External"/><Relationship Id="rId64" Type="http://schemas.openxmlformats.org/officeDocument/2006/relationships/hyperlink" Target="https://www.unicef.org/eca/media/5171/file" TargetMode="External"/><Relationship Id="rId69" Type="http://schemas.openxmlformats.org/officeDocument/2006/relationships/footer" Target="footer11.xml"/><Relationship Id="rId8" Type="http://schemas.openxmlformats.org/officeDocument/2006/relationships/settings" Target="settings.xml"/><Relationship Id="rId51" Type="http://schemas.openxmlformats.org/officeDocument/2006/relationships/hyperlink" Target="https://drugfoundation.org.nz/assets/Uploads/Submissions-and-reports/State-of-the-Nation-2022-web.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health.govt.nz/" TargetMode="External"/><Relationship Id="rId33" Type="http://schemas.openxmlformats.org/officeDocument/2006/relationships/hyperlink" Target="https://www.legislation.govt.nz/act/public/2003/0116/latest/link.aspx?search=sw_096be8ed81642069_district+inspector_25_se&amp;p=1&amp;id=DLM139130" TargetMode="External"/><Relationship Id="rId38" Type="http://schemas.openxmlformats.org/officeDocument/2006/relationships/hyperlink" Target="https://mentalhealth.inquiry.govt.nz/inquiry-report/he-ara-oranga" TargetMode="External"/><Relationship Id="rId46" Type="http://schemas.openxmlformats.org/officeDocument/2006/relationships/hyperlink" Target="https://www.health.govt.nz/publications/guidelines-to-the-mental-health-compulsory-assessment-and-treatment-act-1992" TargetMode="External"/><Relationship Id="rId59" Type="http://schemas.openxmlformats.org/officeDocument/2006/relationships/hyperlink" Target="https://d2ew8vb2gktr0m.cloudfront.net/files/resources/lets-get-real-disability-framework-2.pdf" TargetMode="External"/><Relationship Id="rId67" Type="http://schemas.openxmlformats.org/officeDocument/2006/relationships/header" Target="header5.xml"/><Relationship Id="rId20" Type="http://schemas.openxmlformats.org/officeDocument/2006/relationships/footer" Target="footer5.xml"/><Relationship Id="rId41" Type="http://schemas.openxmlformats.org/officeDocument/2006/relationships/hyperlink" Target="https://www.health.govt.nz/system/files/2024-05/introductory-guideline-sacat-act-2017-nov17.pdf" TargetMode="External"/><Relationship Id="rId54" Type="http://schemas.openxmlformats.org/officeDocument/2006/relationships/hyperlink" Target="https://www.privacy.org.nz/tools/knowledge-base/view/72?t=1249826_1404942" TargetMode="External"/><Relationship Id="rId62" Type="http://schemas.openxmlformats.org/officeDocument/2006/relationships/hyperlink" Target="https://d2ew8vb2gktr0m.cloudfront.net/files/resources/TP-220922_2-Mental-Health-Act-booklet-for-the-person-v7a_Print.pdf"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health.govt.nz" TargetMode="External"/><Relationship Id="rId1" Type="http://schemas.openxmlformats.org/officeDocument/2006/relationships/hyperlink" Target="https://www.mhwc.govt.nz/news-and-resources/he-ara-awhina-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209" ma:contentTypeDescription="Create a new document." ma:contentTypeScope="" ma:versionID="8b2f6d72786e81527d20e459848850a8">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54904628-6268-4ac5-9416-97794f1d508d" targetNamespace="http://schemas.microsoft.com/office/2006/metadata/properties" ma:root="true" ma:fieldsID="0589f7bc2669c9598a4fa6a0edda6b3d" ns2:_="" ns3:_="" ns4:_="" ns5:_="" ns6:_="" ns7:_="" ns8:_="" ns9:_="" ns10: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10:MediaServiceMetadata" minOccurs="0"/>
                <xsd:element ref="ns10:MediaServiceFastMetadata" minOccurs="0"/>
                <xsd:element ref="ns3:Case" minOccurs="0"/>
                <xsd:element ref="ns10:lcf76f155ced4ddcb4097134ff3c332f" minOccurs="0"/>
                <xsd:element ref="ns2:TaxCatchAll" minOccurs="0"/>
                <xsd:element ref="ns10:MediaServiceOCR" minOccurs="0"/>
                <xsd:element ref="ns10:MediaServiceGenerationTime" minOccurs="0"/>
                <xsd:element ref="ns10:MediaServiceEventHashCode" minOccurs="0"/>
                <xsd:element ref="ns2:SharedWithUsers" minOccurs="0"/>
                <xsd:element ref="ns2:SharedWithDetails" minOccurs="0"/>
                <xsd:element ref="ns10:MediaServiceDateTaken" minOccurs="0"/>
                <xsd:element ref="ns10:MediaServiceObjectDetectorVersions" minOccurs="0"/>
                <xsd:element ref="ns10:MediaLengthInSeconds" minOccurs="0"/>
                <xsd:element ref="ns10:MediaServiceSearchProperties" minOccurs="0"/>
                <xsd:element ref="ns10: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6" nillable="true" ma:displayName="Taxonomy Catch All Column" ma:hidden="true" ma:list="{819a04ce-19f6-499f-abc2-68ba6183a913}"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element name="SharedWithUsers" ma:index="6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3" nillable="true" ma:displayName="Case" ma:default="Mental Health, Addiction and Suicide Prevention"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Mental Health, Addiction and Suicide Prevention"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Del02M" ma:hidden="true" ma:indexed="true" ma:internalName="SetLabel">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5"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57" nillable="true" ma:displayName="Extracted Text" ma:internalName="MediaServiceOCR" ma:readOnly="true">
      <xsd:simpleType>
        <xsd:restriction base="dms:Note">
          <xsd:maxLength value="255"/>
        </xsd:restriction>
      </xsd:simple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DateTaken" ma:index="62" nillable="true" ma:displayName="MediaServiceDateTaken" ma:internalName="MediaServiceDateTaken" ma:readOnly="true">
      <xsd:simpleType>
        <xsd:restriction base="dms:Text"/>
      </xsd:simpleType>
    </xsd:element>
    <xsd:element name="MediaServiceObjectDetectorVersions" ma:index="63" nillable="true" ma:displayName="MediaServiceObjectDetectorVersions" ma:hidden="true" ma:indexed="true" ma:internalName="MediaServiceObjectDetectorVersions" ma:readOnly="true">
      <xsd:simpleType>
        <xsd:restriction base="dms:Text"/>
      </xsd:simpleType>
    </xsd:element>
    <xsd:element name="MediaLengthInSeconds" ma:index="64" nillable="true" ma:displayName="MediaLengthInSeconds" ma:hidden="true" ma:internalName="MediaLengthInSeconds" ma:readOnly="true">
      <xsd:simpleType>
        <xsd:restriction base="dms:Unknown"/>
      </xsd:simpleType>
    </xsd:element>
    <xsd:element name="MediaServiceSearchProperties" ma:index="65" nillable="true" ma:displayName="MediaServiceSearchProperties" ma:hidden="true" ma:internalName="MediaServiceSearchProperties" ma:readOnly="true">
      <xsd:simpleType>
        <xsd:restriction base="dms:Note"/>
      </xsd:simpleType>
    </xsd:element>
    <xsd:element name="MediaServiceLocation" ma:index="6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District Inspector Guidelines</CategoryValue>
    <PRADate2 xmlns="4f9c820c-e7e2-444d-97ee-45f2b3485c1d" xsi:nil="true"/>
    <zLegacyJSON xmlns="184c05c4-c568-455d-94a4-7e009b164348" xsi:nil="true"/>
    <Case xmlns="4f9c820c-e7e2-444d-97ee-45f2b3485c1d">Mental Health, Addiction and Suicide Prevention</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Mental Health, Addiction and Suicide Prevention</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Del02M</SetLabel>
    <RelatedPeople xmlns="4f9c820c-e7e2-444d-97ee-45f2b3485c1d">
      <UserInfo>
        <DisplayName/>
        <AccountId xsi:nil="true"/>
        <AccountType/>
      </UserInfo>
    </RelatedPeople>
    <AggregationNarrative xmlns="725c79e5-42ce-4aa0-ac78-b6418001f0d2" xsi:nil="true"/>
    <Channel xmlns="c91a514c-9034-4fa3-897a-8352025b26ed">Office of the Director of Mental Health</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Guidelines</CategoryName>
    <PRADateTrigger xmlns="4f9c820c-e7e2-444d-97ee-45f2b3485c1d" xsi:nil="true"/>
    <PRAText2 xmlns="4f9c820c-e7e2-444d-97ee-45f2b3485c1d" xsi:nil="true"/>
    <zLegacyID xmlns="184c05c4-c568-455d-94a4-7e009b164348" xsi:nil="true"/>
    <TaxCatchAll xmlns="c5b47098-0215-444c-9096-523bda4ac5c6" xsi:nil="true"/>
    <lcf76f155ced4ddcb4097134ff3c332f xmlns="54904628-6268-4ac5-9416-97794f1d508d">
      <Terms xmlns="http://schemas.microsoft.com/office/infopath/2007/PartnerControls"/>
    </lcf76f155ced4ddcb4097134ff3c332f>
    <_dlc_DocId xmlns="c5b47098-0215-444c-9096-523bda4ac5c6">MOHECM-1473024171-26161</_dlc_DocId>
    <_dlc_DocIdUrl xmlns="c5b47098-0215-444c-9096-523bda4ac5c6">
      <Url>https://mohgovtnz.sharepoint.com/sites/moh-ecm-GrpMHA/_layouts/15/DocIdRedir.aspx?ID=MOHECM-1473024171-26161</Url>
      <Description>MOHECM-1473024171-26161</Description>
    </_dlc_DocIdUrl>
    <TeamAdministration xmlns="010488e4-b9d5-423b-986c-ca7bae9bcc0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2.xml><?xml version="1.0" encoding="utf-8"?>
<ds:datastoreItem xmlns:ds="http://schemas.openxmlformats.org/officeDocument/2006/customXml" ds:itemID="{ED78207A-43D6-4494-95CA-F35F1B9E1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47098-0215-444c-9096-523bda4ac5c6"/>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54904628-6268-4ac5-9416-97794f1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c5b47098-0215-444c-9096-523bda4ac5c6"/>
    <ds:schemaRef ds:uri="54904628-6268-4ac5-9416-97794f1d508d"/>
    <ds:schemaRef ds:uri="010488e4-b9d5-423b-986c-ca7bae9bcc03"/>
  </ds:schemaRefs>
</ds:datastoreItem>
</file>

<file path=customXml/itemProps4.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5.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5</TotalTime>
  <Pages>55</Pages>
  <Words>20756</Words>
  <Characters>118315</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Guidelines for the Role and Function of District Inspectors</vt:lpstr>
    </vt:vector>
  </TitlesOfParts>
  <Company>Microsoft</Company>
  <LinksUpToDate>false</LinksUpToDate>
  <CharactersWithSpaces>138794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Role and Function of District Inspectors</dc:title>
  <dc:subject/>
  <dc:creator>Ministry of Health</dc:creator>
  <cp:keywords/>
  <cp:lastModifiedBy>Ministry of Health</cp:lastModifiedBy>
  <cp:revision>4</cp:revision>
  <cp:lastPrinted>2025-10-09T01:27:00Z</cp:lastPrinted>
  <dcterms:created xsi:type="dcterms:W3CDTF">2025-10-09T01:22:00Z</dcterms:created>
  <dcterms:modified xsi:type="dcterms:W3CDTF">2025-10-09T01:27:00Z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_dlc_DocIdItemGuid">
    <vt:lpwstr>4ee94bdd-16b7-441a-9da4-75ad6664f3d3</vt:lpwstr>
  </property>
  <property fmtid="{D5CDD505-2E9C-101B-9397-08002B2CF9AE}" pid="4" name="MediaServiceImageTags">
    <vt:lpwstr/>
  </property>
</Properties>
</file>