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00056756" w:rsidR="00C86248" w:rsidRPr="00926083" w:rsidRDefault="00835945" w:rsidP="002B32BD">
      <w:pPr>
        <w:pStyle w:val="Title"/>
        <w:ind w:right="2835"/>
      </w:pPr>
      <w:bookmarkStart w:id="0" w:name="_Hlk174998204"/>
      <w:bookmarkEnd w:id="0"/>
      <w:r w:rsidRPr="00835945">
        <w:t>Strategy to Prevent and Minimise Gambling Harm 2025/26 to 2027/28</w:t>
      </w:r>
    </w:p>
    <w:p w14:paraId="5C1CCC9F" w14:textId="77777777" w:rsidR="00C05132" w:rsidRDefault="00C05132" w:rsidP="00A06BE4"/>
    <w:p w14:paraId="09D3E471" w14:textId="77777777" w:rsidR="00142954" w:rsidRDefault="00142954" w:rsidP="00142954"/>
    <w:p w14:paraId="200B1832" w14:textId="77777777" w:rsidR="00C70F69" w:rsidRDefault="00C70F69" w:rsidP="00142954"/>
    <w:p w14:paraId="57E2CB79" w14:textId="39AAFCD9" w:rsidR="00142954" w:rsidRPr="006F79DA" w:rsidRDefault="00142954" w:rsidP="00142954">
      <w:pPr>
        <w:rPr>
          <w:i/>
          <w:sz w:val="40"/>
          <w:szCs w:val="40"/>
        </w:rPr>
        <w:sectPr w:rsidR="00142954" w:rsidRPr="006F79DA" w:rsidSect="004825BB">
          <w:headerReference w:type="default" r:id="rId12"/>
          <w:footerReference w:type="default" r:id="rId13"/>
          <w:pgSz w:w="11907" w:h="16834" w:code="9"/>
          <w:pgMar w:top="5670" w:right="1134" w:bottom="1134" w:left="1134" w:header="567" w:footer="851" w:gutter="0"/>
          <w:pgNumType w:start="1"/>
          <w:cols w:space="720"/>
        </w:sectPr>
      </w:pPr>
    </w:p>
    <w:p w14:paraId="358CE3BA" w14:textId="349A392F"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 xml:space="preserve">Ministry of Health. </w:t>
      </w:r>
      <w:r w:rsidR="004417B6">
        <w:rPr>
          <w:rFonts w:cs="Segoe UI"/>
        </w:rPr>
        <w:t>2025</w:t>
      </w:r>
      <w:r w:rsidR="00835945">
        <w:rPr>
          <w:rFonts w:cs="Segoe UI"/>
        </w:rPr>
        <w:t>.</w:t>
      </w:r>
      <w:r w:rsidR="00442C1C" w:rsidRPr="00C05132">
        <w:rPr>
          <w:rFonts w:cs="Segoe UI"/>
        </w:rPr>
        <w:t xml:space="preserve"> </w:t>
      </w:r>
      <w:r w:rsidR="00835945" w:rsidRPr="00835945">
        <w:rPr>
          <w:rFonts w:cs="Segoe UI"/>
          <w:i/>
        </w:rPr>
        <w:t>Strategy to Prevent and Minimise Gambling Harm 2025/26 to 2027/</w:t>
      </w:r>
      <w:r w:rsidR="018901C8" w:rsidRPr="34DFD688">
        <w:rPr>
          <w:rFonts w:cs="Segoe UI"/>
        </w:rPr>
        <w:t>28.</w:t>
      </w:r>
      <w:r w:rsidR="00442C1C" w:rsidRPr="00C05132">
        <w:rPr>
          <w:rFonts w:cs="Segoe UI"/>
        </w:rPr>
        <w:t xml:space="preserve"> Wellington: Ministry of Health.</w:t>
      </w:r>
    </w:p>
    <w:p w14:paraId="7909192E" w14:textId="369F7E09" w:rsidR="00C86248" w:rsidRDefault="00C86248">
      <w:pPr>
        <w:pStyle w:val="Imprint"/>
      </w:pPr>
      <w:r>
        <w:t xml:space="preserve">Published in </w:t>
      </w:r>
      <w:r w:rsidR="00125CA9">
        <w:t>May 2025</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713EBBC5" w:rsidR="00082CD6" w:rsidRPr="00AB2BAA" w:rsidRDefault="000D0143" w:rsidP="00082CD6">
      <w:pPr>
        <w:pStyle w:val="Imprint"/>
        <w:rPr>
          <w:color w:val="000000"/>
        </w:rPr>
      </w:pPr>
      <w:r>
        <w:t xml:space="preserve">ISBN </w:t>
      </w:r>
      <w:r w:rsidR="00C21F0D" w:rsidRPr="00C21F0D">
        <w:t>978-1-991324-47-4</w:t>
      </w:r>
      <w:r w:rsidR="00C21F0D">
        <w:t xml:space="preserve"> (print)</w:t>
      </w:r>
      <w:r>
        <w:br/>
      </w:r>
      <w:r w:rsidR="009A42D5" w:rsidRPr="00C448DF">
        <w:t>ISBN</w:t>
      </w:r>
      <w:r w:rsidR="00B20765" w:rsidRPr="00C448DF">
        <w:t xml:space="preserve"> </w:t>
      </w:r>
      <w:r w:rsidR="002C018E" w:rsidRPr="002C018E">
        <w:rPr>
          <w:color w:val="000000"/>
        </w:rPr>
        <w:t>978-1-991324-31-3</w:t>
      </w:r>
      <w:r w:rsidR="001E3AFC" w:rsidRPr="00C448DF">
        <w:rPr>
          <w:color w:val="000000"/>
        </w:rPr>
        <w:t xml:space="preserve"> (online)</w:t>
      </w:r>
      <w:r w:rsidR="001E3AFC" w:rsidRPr="00C448DF">
        <w:rPr>
          <w:color w:val="000000"/>
        </w:rPr>
        <w:br/>
      </w:r>
      <w:r w:rsidR="002D178B" w:rsidRPr="00C448DF">
        <w:rPr>
          <w:color w:val="000000"/>
        </w:rPr>
        <w:t xml:space="preserve">HP </w:t>
      </w:r>
      <w:r w:rsidR="003016BD">
        <w:rPr>
          <w:color w:val="000000"/>
        </w:rPr>
        <w:t>9126</w:t>
      </w:r>
    </w:p>
    <w:p w14:paraId="48DBDA36" w14:textId="0F9B46E4" w:rsidR="00C86248" w:rsidRDefault="00517395" w:rsidP="00A63DFF">
      <w:r w:rsidRPr="003D7765">
        <w:rPr>
          <w:noProof/>
        </w:rPr>
        <w:drawing>
          <wp:inline distT="0" distB="0" distL="0" distR="0" wp14:anchorId="52FB6481" wp14:editId="114B943D">
            <wp:extent cx="1216800" cy="494305"/>
            <wp:effectExtent l="0" t="0" r="2540" b="1270"/>
            <wp:docPr id="1472750415" name="Picture 14727504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10;&#10;Description automatically generated"/>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36744758" w:rsidR="00A63DFF" w:rsidRDefault="00A63DFF" w:rsidP="00A63DFF">
      <w:pPr>
        <w:pStyle w:val="Imprint"/>
        <w:spacing w:before="240" w:after="480"/>
      </w:pPr>
      <w:r>
        <w:t xml:space="preserve">This document is available at </w:t>
      </w:r>
      <w:proofErr w:type="gramStart"/>
      <w:r>
        <w:t>health.govt.nz</w:t>
      </w:r>
      <w:proofErr w:type="gramEnd"/>
      <w:r w:rsidR="00B2076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258CE2FF"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r w:rsidR="00195750" w:rsidRPr="00A63DFF">
              <w:rPr>
                <w:rFonts w:cs="Segoe UI"/>
                <w:sz w:val="15"/>
                <w:szCs w:val="15"/>
              </w:rPr>
              <w:t>i.e.</w:t>
            </w:r>
            <w:r w:rsidRPr="00A63DFF">
              <w:rPr>
                <w:rFonts w:cs="Segoe UI"/>
                <w:sz w:val="15"/>
                <w:szCs w:val="15"/>
              </w:rPr>
              <w:t xml:space="preserve">, copy and redistribute the material in any medium or format; adapt </w:t>
            </w:r>
            <w:r w:rsidR="00195750" w:rsidRPr="00A63DFF">
              <w:rPr>
                <w:rFonts w:cs="Segoe UI"/>
                <w:sz w:val="15"/>
                <w:szCs w:val="15"/>
              </w:rPr>
              <w:t>i.e.</w:t>
            </w:r>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77777777" w:rsidR="007E74F1" w:rsidRPr="001F45A7" w:rsidRDefault="007E74F1" w:rsidP="00A63DFF"/>
    <w:p w14:paraId="2113CC0B" w14:textId="77777777" w:rsidR="00C86248" w:rsidRDefault="00C86248">
      <w:pPr>
        <w:jc w:val="center"/>
        <w:sectPr w:rsidR="00C86248" w:rsidSect="004825BB">
          <w:footerReference w:type="even" r:id="rId16"/>
          <w:footerReference w:type="default" r:id="rId17"/>
          <w:pgSz w:w="11907" w:h="16834" w:code="9"/>
          <w:pgMar w:top="1701" w:right="2268" w:bottom="1134" w:left="2268" w:header="0" w:footer="0" w:gutter="0"/>
          <w:cols w:space="720"/>
          <w:vAlign w:val="bottom"/>
        </w:sectPr>
      </w:pPr>
    </w:p>
    <w:p w14:paraId="648D4F84" w14:textId="4A32FE51" w:rsidR="00C86248" w:rsidRPr="00517395" w:rsidRDefault="00C86248" w:rsidP="00517395">
      <w:pPr>
        <w:pStyle w:val="IntroHead"/>
      </w:pPr>
      <w:bookmarkStart w:id="1" w:name="_Toc405792991"/>
      <w:bookmarkStart w:id="2" w:name="_Toc405793224"/>
      <w:r w:rsidRPr="00517395">
        <w:lastRenderedPageBreak/>
        <w:t>Contents</w:t>
      </w:r>
      <w:bookmarkEnd w:id="1"/>
      <w:bookmarkEnd w:id="2"/>
    </w:p>
    <w:p w14:paraId="0D3F5888" w14:textId="2699CB5B" w:rsidR="00C01F90" w:rsidRDefault="00AB2BAA">
      <w:pPr>
        <w:pStyle w:val="TOC1"/>
        <w:rPr>
          <w:rFonts w:asciiTheme="minorHAnsi" w:eastAsiaTheme="minorEastAsia" w:hAnsiTheme="minorHAnsi" w:cstheme="minorBidi"/>
          <w:noProof/>
          <w:sz w:val="22"/>
          <w:szCs w:val="22"/>
          <w:lang w:val="en-AU" w:eastAsia="en-AU"/>
        </w:rPr>
      </w:pPr>
      <w:r>
        <w:rPr>
          <w:b/>
        </w:rPr>
        <w:fldChar w:fldCharType="begin"/>
      </w:r>
      <w:r>
        <w:rPr>
          <w:b/>
        </w:rPr>
        <w:instrText xml:space="preserve"> TOC \o "1-2" \h \z </w:instrText>
      </w:r>
      <w:r>
        <w:rPr>
          <w:b/>
        </w:rPr>
        <w:fldChar w:fldCharType="separate"/>
      </w:r>
      <w:hyperlink w:anchor="_Toc197527572" w:history="1">
        <w:r w:rsidR="00C01F90" w:rsidRPr="00CD773D">
          <w:rPr>
            <w:rStyle w:val="Hyperlink"/>
            <w:noProof/>
          </w:rPr>
          <w:t>Foreword from the Minister for Mental Health</w:t>
        </w:r>
        <w:r w:rsidR="00C01F90">
          <w:rPr>
            <w:noProof/>
            <w:webHidden/>
          </w:rPr>
          <w:tab/>
        </w:r>
        <w:r w:rsidR="00C01F90">
          <w:rPr>
            <w:noProof/>
            <w:webHidden/>
          </w:rPr>
          <w:fldChar w:fldCharType="begin"/>
        </w:r>
        <w:r w:rsidR="00C01F90">
          <w:rPr>
            <w:noProof/>
            <w:webHidden/>
          </w:rPr>
          <w:instrText xml:space="preserve"> PAGEREF _Toc197527572 \h </w:instrText>
        </w:r>
        <w:r w:rsidR="00C01F90">
          <w:rPr>
            <w:noProof/>
            <w:webHidden/>
          </w:rPr>
        </w:r>
        <w:r w:rsidR="00C01F90">
          <w:rPr>
            <w:noProof/>
            <w:webHidden/>
          </w:rPr>
          <w:fldChar w:fldCharType="separate"/>
        </w:r>
        <w:r w:rsidR="00066AB5">
          <w:rPr>
            <w:noProof/>
            <w:webHidden/>
          </w:rPr>
          <w:t>v</w:t>
        </w:r>
        <w:r w:rsidR="00C01F90">
          <w:rPr>
            <w:noProof/>
            <w:webHidden/>
          </w:rPr>
          <w:fldChar w:fldCharType="end"/>
        </w:r>
      </w:hyperlink>
    </w:p>
    <w:p w14:paraId="52340982" w14:textId="3F82735E" w:rsidR="00C01F90" w:rsidRDefault="00066AB5">
      <w:pPr>
        <w:pStyle w:val="TOC1"/>
        <w:rPr>
          <w:rFonts w:asciiTheme="minorHAnsi" w:eastAsiaTheme="minorEastAsia" w:hAnsiTheme="minorHAnsi" w:cstheme="minorBidi"/>
          <w:noProof/>
          <w:sz w:val="22"/>
          <w:szCs w:val="22"/>
          <w:lang w:val="en-AU" w:eastAsia="en-AU"/>
        </w:rPr>
      </w:pPr>
      <w:hyperlink w:anchor="_Toc197527573" w:history="1">
        <w:r w:rsidR="00C01F90" w:rsidRPr="00CD773D">
          <w:rPr>
            <w:rStyle w:val="Hyperlink"/>
            <w:noProof/>
          </w:rPr>
          <w:t>Executive summary</w:t>
        </w:r>
        <w:r w:rsidR="00C01F90">
          <w:rPr>
            <w:noProof/>
            <w:webHidden/>
          </w:rPr>
          <w:tab/>
        </w:r>
        <w:r w:rsidR="00C01F90">
          <w:rPr>
            <w:noProof/>
            <w:webHidden/>
          </w:rPr>
          <w:fldChar w:fldCharType="begin"/>
        </w:r>
        <w:r w:rsidR="00C01F90">
          <w:rPr>
            <w:noProof/>
            <w:webHidden/>
          </w:rPr>
          <w:instrText xml:space="preserve"> PAGEREF _Toc197527573 \h </w:instrText>
        </w:r>
        <w:r w:rsidR="00C01F90">
          <w:rPr>
            <w:noProof/>
            <w:webHidden/>
          </w:rPr>
        </w:r>
        <w:r w:rsidR="00C01F90">
          <w:rPr>
            <w:noProof/>
            <w:webHidden/>
          </w:rPr>
          <w:fldChar w:fldCharType="separate"/>
        </w:r>
        <w:r>
          <w:rPr>
            <w:noProof/>
            <w:webHidden/>
          </w:rPr>
          <w:t>vii</w:t>
        </w:r>
        <w:r w:rsidR="00C01F90">
          <w:rPr>
            <w:noProof/>
            <w:webHidden/>
          </w:rPr>
          <w:fldChar w:fldCharType="end"/>
        </w:r>
      </w:hyperlink>
    </w:p>
    <w:p w14:paraId="315DB198" w14:textId="6E78062E" w:rsidR="00C01F90" w:rsidRDefault="00066AB5">
      <w:pPr>
        <w:pStyle w:val="TOC1"/>
        <w:rPr>
          <w:rFonts w:asciiTheme="minorHAnsi" w:eastAsiaTheme="minorEastAsia" w:hAnsiTheme="minorHAnsi" w:cstheme="minorBidi"/>
          <w:noProof/>
          <w:sz w:val="22"/>
          <w:szCs w:val="22"/>
          <w:lang w:val="en-AU" w:eastAsia="en-AU"/>
        </w:rPr>
      </w:pPr>
      <w:hyperlink w:anchor="_Toc197527574" w:history="1">
        <w:r w:rsidR="00C01F90" w:rsidRPr="00CD773D">
          <w:rPr>
            <w:rStyle w:val="Hyperlink"/>
            <w:noProof/>
          </w:rPr>
          <w:t>Introduction</w:t>
        </w:r>
        <w:r w:rsidR="00C01F90">
          <w:rPr>
            <w:noProof/>
            <w:webHidden/>
          </w:rPr>
          <w:tab/>
        </w:r>
        <w:r w:rsidR="00C01F90">
          <w:rPr>
            <w:noProof/>
            <w:webHidden/>
          </w:rPr>
          <w:fldChar w:fldCharType="begin"/>
        </w:r>
        <w:r w:rsidR="00C01F90">
          <w:rPr>
            <w:noProof/>
            <w:webHidden/>
          </w:rPr>
          <w:instrText xml:space="preserve"> PAGEREF _Toc197527574 \h </w:instrText>
        </w:r>
        <w:r w:rsidR="00C01F90">
          <w:rPr>
            <w:noProof/>
            <w:webHidden/>
          </w:rPr>
        </w:r>
        <w:r w:rsidR="00C01F90">
          <w:rPr>
            <w:noProof/>
            <w:webHidden/>
          </w:rPr>
          <w:fldChar w:fldCharType="separate"/>
        </w:r>
        <w:r>
          <w:rPr>
            <w:noProof/>
            <w:webHidden/>
          </w:rPr>
          <w:t>1</w:t>
        </w:r>
        <w:r w:rsidR="00C01F90">
          <w:rPr>
            <w:noProof/>
            <w:webHidden/>
          </w:rPr>
          <w:fldChar w:fldCharType="end"/>
        </w:r>
      </w:hyperlink>
    </w:p>
    <w:p w14:paraId="7272E73D" w14:textId="37347508" w:rsidR="00C01F90" w:rsidRDefault="00066AB5">
      <w:pPr>
        <w:pStyle w:val="TOC2"/>
        <w:rPr>
          <w:rFonts w:asciiTheme="minorHAnsi" w:eastAsiaTheme="minorEastAsia" w:hAnsiTheme="minorHAnsi" w:cstheme="minorBidi"/>
          <w:noProof/>
          <w:szCs w:val="22"/>
          <w:lang w:val="en-AU" w:eastAsia="en-AU"/>
        </w:rPr>
      </w:pPr>
      <w:hyperlink w:anchor="_Toc197527575" w:history="1">
        <w:r w:rsidR="00C01F90" w:rsidRPr="00CD773D">
          <w:rPr>
            <w:rStyle w:val="Hyperlink"/>
            <w:noProof/>
          </w:rPr>
          <w:t>Structure of this document</w:t>
        </w:r>
        <w:r w:rsidR="00C01F90">
          <w:rPr>
            <w:noProof/>
            <w:webHidden/>
          </w:rPr>
          <w:tab/>
        </w:r>
        <w:r w:rsidR="00C01F90">
          <w:rPr>
            <w:noProof/>
            <w:webHidden/>
          </w:rPr>
          <w:fldChar w:fldCharType="begin"/>
        </w:r>
        <w:r w:rsidR="00C01F90">
          <w:rPr>
            <w:noProof/>
            <w:webHidden/>
          </w:rPr>
          <w:instrText xml:space="preserve"> PAGEREF _Toc197527575 \h </w:instrText>
        </w:r>
        <w:r w:rsidR="00C01F90">
          <w:rPr>
            <w:noProof/>
            <w:webHidden/>
          </w:rPr>
        </w:r>
        <w:r w:rsidR="00C01F90">
          <w:rPr>
            <w:noProof/>
            <w:webHidden/>
          </w:rPr>
          <w:fldChar w:fldCharType="separate"/>
        </w:r>
        <w:r>
          <w:rPr>
            <w:noProof/>
            <w:webHidden/>
          </w:rPr>
          <w:t>2</w:t>
        </w:r>
        <w:r w:rsidR="00C01F90">
          <w:rPr>
            <w:noProof/>
            <w:webHidden/>
          </w:rPr>
          <w:fldChar w:fldCharType="end"/>
        </w:r>
      </w:hyperlink>
    </w:p>
    <w:p w14:paraId="3D1DF2E4" w14:textId="62DEC715" w:rsidR="00C01F90" w:rsidRDefault="00066AB5">
      <w:pPr>
        <w:pStyle w:val="TOC1"/>
        <w:rPr>
          <w:rFonts w:asciiTheme="minorHAnsi" w:eastAsiaTheme="minorEastAsia" w:hAnsiTheme="minorHAnsi" w:cstheme="minorBidi"/>
          <w:noProof/>
          <w:sz w:val="22"/>
          <w:szCs w:val="22"/>
          <w:lang w:val="en-AU" w:eastAsia="en-AU"/>
        </w:rPr>
      </w:pPr>
      <w:hyperlink w:anchor="_Toc197527576" w:history="1">
        <w:r w:rsidR="00C01F90" w:rsidRPr="00CD773D">
          <w:rPr>
            <w:rStyle w:val="Hyperlink"/>
            <w:noProof/>
          </w:rPr>
          <w:t>Strategic overview</w:t>
        </w:r>
        <w:r w:rsidR="00C01F90">
          <w:rPr>
            <w:noProof/>
            <w:webHidden/>
          </w:rPr>
          <w:tab/>
        </w:r>
        <w:r w:rsidR="00C01F90">
          <w:rPr>
            <w:noProof/>
            <w:webHidden/>
          </w:rPr>
          <w:fldChar w:fldCharType="begin"/>
        </w:r>
        <w:r w:rsidR="00C01F90">
          <w:rPr>
            <w:noProof/>
            <w:webHidden/>
          </w:rPr>
          <w:instrText xml:space="preserve"> PAGEREF _Toc197527576 \h </w:instrText>
        </w:r>
        <w:r w:rsidR="00C01F90">
          <w:rPr>
            <w:noProof/>
            <w:webHidden/>
          </w:rPr>
        </w:r>
        <w:r w:rsidR="00C01F90">
          <w:rPr>
            <w:noProof/>
            <w:webHidden/>
          </w:rPr>
          <w:fldChar w:fldCharType="separate"/>
        </w:r>
        <w:r>
          <w:rPr>
            <w:noProof/>
            <w:webHidden/>
          </w:rPr>
          <w:t>3</w:t>
        </w:r>
        <w:r w:rsidR="00C01F90">
          <w:rPr>
            <w:noProof/>
            <w:webHidden/>
          </w:rPr>
          <w:fldChar w:fldCharType="end"/>
        </w:r>
      </w:hyperlink>
    </w:p>
    <w:p w14:paraId="40FBE5AD" w14:textId="659A4CDD" w:rsidR="00C01F90" w:rsidRDefault="00066AB5">
      <w:pPr>
        <w:pStyle w:val="TOC2"/>
        <w:rPr>
          <w:rFonts w:asciiTheme="minorHAnsi" w:eastAsiaTheme="minorEastAsia" w:hAnsiTheme="minorHAnsi" w:cstheme="minorBidi"/>
          <w:noProof/>
          <w:szCs w:val="22"/>
          <w:lang w:val="en-AU" w:eastAsia="en-AU"/>
        </w:rPr>
      </w:pPr>
      <w:hyperlink w:anchor="_Toc197527577" w:history="1">
        <w:r w:rsidR="00C01F90" w:rsidRPr="00CD773D">
          <w:rPr>
            <w:rStyle w:val="Hyperlink"/>
            <w:noProof/>
          </w:rPr>
          <w:t>The gambling environment</w:t>
        </w:r>
        <w:r w:rsidR="00C01F90">
          <w:rPr>
            <w:noProof/>
            <w:webHidden/>
          </w:rPr>
          <w:tab/>
        </w:r>
        <w:r w:rsidR="00C01F90">
          <w:rPr>
            <w:noProof/>
            <w:webHidden/>
          </w:rPr>
          <w:fldChar w:fldCharType="begin"/>
        </w:r>
        <w:r w:rsidR="00C01F90">
          <w:rPr>
            <w:noProof/>
            <w:webHidden/>
          </w:rPr>
          <w:instrText xml:space="preserve"> PAGEREF _Toc197527577 \h </w:instrText>
        </w:r>
        <w:r w:rsidR="00C01F90">
          <w:rPr>
            <w:noProof/>
            <w:webHidden/>
          </w:rPr>
        </w:r>
        <w:r w:rsidR="00C01F90">
          <w:rPr>
            <w:noProof/>
            <w:webHidden/>
          </w:rPr>
          <w:fldChar w:fldCharType="separate"/>
        </w:r>
        <w:r>
          <w:rPr>
            <w:noProof/>
            <w:webHidden/>
          </w:rPr>
          <w:t>3</w:t>
        </w:r>
        <w:r w:rsidR="00C01F90">
          <w:rPr>
            <w:noProof/>
            <w:webHidden/>
          </w:rPr>
          <w:fldChar w:fldCharType="end"/>
        </w:r>
      </w:hyperlink>
    </w:p>
    <w:p w14:paraId="1AA6F751" w14:textId="3437C5E1" w:rsidR="00C01F90" w:rsidRDefault="00066AB5">
      <w:pPr>
        <w:pStyle w:val="TOC2"/>
        <w:rPr>
          <w:rFonts w:asciiTheme="minorHAnsi" w:eastAsiaTheme="minorEastAsia" w:hAnsiTheme="minorHAnsi" w:cstheme="minorBidi"/>
          <w:noProof/>
          <w:szCs w:val="22"/>
          <w:lang w:val="en-AU" w:eastAsia="en-AU"/>
        </w:rPr>
      </w:pPr>
      <w:hyperlink w:anchor="_Toc197527578" w:history="1">
        <w:r w:rsidR="00C01F90" w:rsidRPr="00CD773D">
          <w:rPr>
            <w:rStyle w:val="Hyperlink"/>
            <w:noProof/>
          </w:rPr>
          <w:t>Participation and expenditure</w:t>
        </w:r>
        <w:r w:rsidR="00C01F90">
          <w:rPr>
            <w:noProof/>
            <w:webHidden/>
          </w:rPr>
          <w:tab/>
        </w:r>
        <w:r w:rsidR="00C01F90">
          <w:rPr>
            <w:noProof/>
            <w:webHidden/>
          </w:rPr>
          <w:fldChar w:fldCharType="begin"/>
        </w:r>
        <w:r w:rsidR="00C01F90">
          <w:rPr>
            <w:noProof/>
            <w:webHidden/>
          </w:rPr>
          <w:instrText xml:space="preserve"> PAGEREF _Toc197527578 \h </w:instrText>
        </w:r>
        <w:r w:rsidR="00C01F90">
          <w:rPr>
            <w:noProof/>
            <w:webHidden/>
          </w:rPr>
        </w:r>
        <w:r w:rsidR="00C01F90">
          <w:rPr>
            <w:noProof/>
            <w:webHidden/>
          </w:rPr>
          <w:fldChar w:fldCharType="separate"/>
        </w:r>
        <w:r>
          <w:rPr>
            <w:noProof/>
            <w:webHidden/>
          </w:rPr>
          <w:t>4</w:t>
        </w:r>
        <w:r w:rsidR="00C01F90">
          <w:rPr>
            <w:noProof/>
            <w:webHidden/>
          </w:rPr>
          <w:fldChar w:fldCharType="end"/>
        </w:r>
      </w:hyperlink>
    </w:p>
    <w:p w14:paraId="126A8D42" w14:textId="0D104AF5" w:rsidR="00C01F90" w:rsidRDefault="00066AB5">
      <w:pPr>
        <w:pStyle w:val="TOC2"/>
        <w:rPr>
          <w:rFonts w:asciiTheme="minorHAnsi" w:eastAsiaTheme="minorEastAsia" w:hAnsiTheme="minorHAnsi" w:cstheme="minorBidi"/>
          <w:noProof/>
          <w:szCs w:val="22"/>
          <w:lang w:val="en-AU" w:eastAsia="en-AU"/>
        </w:rPr>
      </w:pPr>
      <w:hyperlink w:anchor="_Toc197527579" w:history="1">
        <w:r w:rsidR="00C01F90" w:rsidRPr="00CD773D">
          <w:rPr>
            <w:rStyle w:val="Hyperlink"/>
            <w:noProof/>
          </w:rPr>
          <w:t>Gambling harm</w:t>
        </w:r>
        <w:r w:rsidR="00C01F90">
          <w:rPr>
            <w:noProof/>
            <w:webHidden/>
          </w:rPr>
          <w:tab/>
        </w:r>
        <w:r w:rsidR="00C01F90">
          <w:rPr>
            <w:noProof/>
            <w:webHidden/>
          </w:rPr>
          <w:fldChar w:fldCharType="begin"/>
        </w:r>
        <w:r w:rsidR="00C01F90">
          <w:rPr>
            <w:noProof/>
            <w:webHidden/>
          </w:rPr>
          <w:instrText xml:space="preserve"> PAGEREF _Toc197527579 \h </w:instrText>
        </w:r>
        <w:r w:rsidR="00C01F90">
          <w:rPr>
            <w:noProof/>
            <w:webHidden/>
          </w:rPr>
        </w:r>
        <w:r w:rsidR="00C01F90">
          <w:rPr>
            <w:noProof/>
            <w:webHidden/>
          </w:rPr>
          <w:fldChar w:fldCharType="separate"/>
        </w:r>
        <w:r>
          <w:rPr>
            <w:noProof/>
            <w:webHidden/>
          </w:rPr>
          <w:t>5</w:t>
        </w:r>
        <w:r w:rsidR="00C01F90">
          <w:rPr>
            <w:noProof/>
            <w:webHidden/>
          </w:rPr>
          <w:fldChar w:fldCharType="end"/>
        </w:r>
      </w:hyperlink>
    </w:p>
    <w:p w14:paraId="1CB9E49C" w14:textId="4FFB9F33" w:rsidR="00C01F90" w:rsidRDefault="00066AB5">
      <w:pPr>
        <w:pStyle w:val="TOC2"/>
        <w:rPr>
          <w:rFonts w:asciiTheme="minorHAnsi" w:eastAsiaTheme="minorEastAsia" w:hAnsiTheme="minorHAnsi" w:cstheme="minorBidi"/>
          <w:noProof/>
          <w:szCs w:val="22"/>
          <w:lang w:val="en-AU" w:eastAsia="en-AU"/>
        </w:rPr>
      </w:pPr>
      <w:hyperlink w:anchor="_Toc197527580" w:history="1">
        <w:r w:rsidR="00C01F90" w:rsidRPr="00CD773D">
          <w:rPr>
            <w:rStyle w:val="Hyperlink"/>
            <w:noProof/>
          </w:rPr>
          <w:t>Government’s current responses</w:t>
        </w:r>
        <w:r w:rsidR="00C01F90">
          <w:rPr>
            <w:noProof/>
            <w:webHidden/>
          </w:rPr>
          <w:tab/>
        </w:r>
        <w:r w:rsidR="00C01F90">
          <w:rPr>
            <w:noProof/>
            <w:webHidden/>
          </w:rPr>
          <w:fldChar w:fldCharType="begin"/>
        </w:r>
        <w:r w:rsidR="00C01F90">
          <w:rPr>
            <w:noProof/>
            <w:webHidden/>
          </w:rPr>
          <w:instrText xml:space="preserve"> PAGEREF _Toc197527580 \h </w:instrText>
        </w:r>
        <w:r w:rsidR="00C01F90">
          <w:rPr>
            <w:noProof/>
            <w:webHidden/>
          </w:rPr>
        </w:r>
        <w:r w:rsidR="00C01F90">
          <w:rPr>
            <w:noProof/>
            <w:webHidden/>
          </w:rPr>
          <w:fldChar w:fldCharType="separate"/>
        </w:r>
        <w:r>
          <w:rPr>
            <w:noProof/>
            <w:webHidden/>
          </w:rPr>
          <w:t>6</w:t>
        </w:r>
        <w:r w:rsidR="00C01F90">
          <w:rPr>
            <w:noProof/>
            <w:webHidden/>
          </w:rPr>
          <w:fldChar w:fldCharType="end"/>
        </w:r>
      </w:hyperlink>
    </w:p>
    <w:p w14:paraId="22840107" w14:textId="3038ED8B" w:rsidR="00C01F90" w:rsidRDefault="00066AB5">
      <w:pPr>
        <w:pStyle w:val="TOC1"/>
        <w:rPr>
          <w:rFonts w:asciiTheme="minorHAnsi" w:eastAsiaTheme="minorEastAsia" w:hAnsiTheme="minorHAnsi" w:cstheme="minorBidi"/>
          <w:noProof/>
          <w:sz w:val="22"/>
          <w:szCs w:val="22"/>
          <w:lang w:val="en-AU" w:eastAsia="en-AU"/>
        </w:rPr>
      </w:pPr>
      <w:hyperlink w:anchor="_Toc197527581" w:history="1">
        <w:r w:rsidR="00C01F90" w:rsidRPr="00CD773D">
          <w:rPr>
            <w:rStyle w:val="Hyperlink"/>
            <w:noProof/>
          </w:rPr>
          <w:t>Strategic plan</w:t>
        </w:r>
        <w:r w:rsidR="00C01F90">
          <w:rPr>
            <w:noProof/>
            <w:webHidden/>
          </w:rPr>
          <w:tab/>
        </w:r>
        <w:r w:rsidR="00C01F90">
          <w:rPr>
            <w:noProof/>
            <w:webHidden/>
          </w:rPr>
          <w:fldChar w:fldCharType="begin"/>
        </w:r>
        <w:r w:rsidR="00C01F90">
          <w:rPr>
            <w:noProof/>
            <w:webHidden/>
          </w:rPr>
          <w:instrText xml:space="preserve"> PAGEREF _Toc197527581 \h </w:instrText>
        </w:r>
        <w:r w:rsidR="00C01F90">
          <w:rPr>
            <w:noProof/>
            <w:webHidden/>
          </w:rPr>
        </w:r>
        <w:r w:rsidR="00C01F90">
          <w:rPr>
            <w:noProof/>
            <w:webHidden/>
          </w:rPr>
          <w:fldChar w:fldCharType="separate"/>
        </w:r>
        <w:r>
          <w:rPr>
            <w:noProof/>
            <w:webHidden/>
          </w:rPr>
          <w:t>8</w:t>
        </w:r>
        <w:r w:rsidR="00C01F90">
          <w:rPr>
            <w:noProof/>
            <w:webHidden/>
          </w:rPr>
          <w:fldChar w:fldCharType="end"/>
        </w:r>
      </w:hyperlink>
    </w:p>
    <w:p w14:paraId="3D28208A" w14:textId="2AD56DF0" w:rsidR="00C01F90" w:rsidRDefault="00066AB5">
      <w:pPr>
        <w:pStyle w:val="TOC2"/>
        <w:rPr>
          <w:rFonts w:asciiTheme="minorHAnsi" w:eastAsiaTheme="minorEastAsia" w:hAnsiTheme="minorHAnsi" w:cstheme="minorBidi"/>
          <w:noProof/>
          <w:szCs w:val="22"/>
          <w:lang w:val="en-AU" w:eastAsia="en-AU"/>
        </w:rPr>
      </w:pPr>
      <w:hyperlink w:anchor="_Toc197527582" w:history="1">
        <w:r w:rsidR="00C01F90" w:rsidRPr="00CD773D">
          <w:rPr>
            <w:rStyle w:val="Hyperlink"/>
            <w:noProof/>
          </w:rPr>
          <w:t>Priorities for the mental health and addiction sector</w:t>
        </w:r>
        <w:r w:rsidR="00C01F90">
          <w:rPr>
            <w:noProof/>
            <w:webHidden/>
          </w:rPr>
          <w:tab/>
        </w:r>
        <w:r w:rsidR="00C01F90">
          <w:rPr>
            <w:noProof/>
            <w:webHidden/>
          </w:rPr>
          <w:fldChar w:fldCharType="begin"/>
        </w:r>
        <w:r w:rsidR="00C01F90">
          <w:rPr>
            <w:noProof/>
            <w:webHidden/>
          </w:rPr>
          <w:instrText xml:space="preserve"> PAGEREF _Toc197527582 \h </w:instrText>
        </w:r>
        <w:r w:rsidR="00C01F90">
          <w:rPr>
            <w:noProof/>
            <w:webHidden/>
          </w:rPr>
        </w:r>
        <w:r w:rsidR="00C01F90">
          <w:rPr>
            <w:noProof/>
            <w:webHidden/>
          </w:rPr>
          <w:fldChar w:fldCharType="separate"/>
        </w:r>
        <w:r>
          <w:rPr>
            <w:noProof/>
            <w:webHidden/>
          </w:rPr>
          <w:t>8</w:t>
        </w:r>
        <w:r w:rsidR="00C01F90">
          <w:rPr>
            <w:noProof/>
            <w:webHidden/>
          </w:rPr>
          <w:fldChar w:fldCharType="end"/>
        </w:r>
      </w:hyperlink>
    </w:p>
    <w:p w14:paraId="47753469" w14:textId="4020889F" w:rsidR="00C01F90" w:rsidRDefault="00066AB5">
      <w:pPr>
        <w:pStyle w:val="TOC2"/>
        <w:rPr>
          <w:rFonts w:asciiTheme="minorHAnsi" w:eastAsiaTheme="minorEastAsia" w:hAnsiTheme="minorHAnsi" w:cstheme="minorBidi"/>
          <w:noProof/>
          <w:szCs w:val="22"/>
          <w:lang w:val="en-AU" w:eastAsia="en-AU"/>
        </w:rPr>
      </w:pPr>
      <w:hyperlink w:anchor="_Toc197527583" w:history="1">
        <w:r w:rsidR="00C01F90" w:rsidRPr="00CD773D">
          <w:rPr>
            <w:rStyle w:val="Hyperlink"/>
            <w:noProof/>
          </w:rPr>
          <w:t>Strategic framework for preventing and minimising gambling harm</w:t>
        </w:r>
        <w:r w:rsidR="00C01F90">
          <w:rPr>
            <w:noProof/>
            <w:webHidden/>
          </w:rPr>
          <w:tab/>
        </w:r>
        <w:r w:rsidR="00C01F90">
          <w:rPr>
            <w:noProof/>
            <w:webHidden/>
          </w:rPr>
          <w:fldChar w:fldCharType="begin"/>
        </w:r>
        <w:r w:rsidR="00C01F90">
          <w:rPr>
            <w:noProof/>
            <w:webHidden/>
          </w:rPr>
          <w:instrText xml:space="preserve"> PAGEREF _Toc197527583 \h </w:instrText>
        </w:r>
        <w:r w:rsidR="00C01F90">
          <w:rPr>
            <w:noProof/>
            <w:webHidden/>
          </w:rPr>
        </w:r>
        <w:r w:rsidR="00C01F90">
          <w:rPr>
            <w:noProof/>
            <w:webHidden/>
          </w:rPr>
          <w:fldChar w:fldCharType="separate"/>
        </w:r>
        <w:r>
          <w:rPr>
            <w:noProof/>
            <w:webHidden/>
          </w:rPr>
          <w:t>8</w:t>
        </w:r>
        <w:r w:rsidR="00C01F90">
          <w:rPr>
            <w:noProof/>
            <w:webHidden/>
          </w:rPr>
          <w:fldChar w:fldCharType="end"/>
        </w:r>
      </w:hyperlink>
    </w:p>
    <w:p w14:paraId="766877A8" w14:textId="3EEC688F" w:rsidR="00C01F90" w:rsidRDefault="00066AB5">
      <w:pPr>
        <w:pStyle w:val="TOC2"/>
        <w:rPr>
          <w:rFonts w:asciiTheme="minorHAnsi" w:eastAsiaTheme="minorEastAsia" w:hAnsiTheme="minorHAnsi" w:cstheme="minorBidi"/>
          <w:noProof/>
          <w:szCs w:val="22"/>
          <w:lang w:val="en-AU" w:eastAsia="en-AU"/>
        </w:rPr>
      </w:pPr>
      <w:hyperlink w:anchor="_Toc197527584" w:history="1">
        <w:r w:rsidR="00C01F90" w:rsidRPr="00CD773D">
          <w:rPr>
            <w:rStyle w:val="Hyperlink"/>
            <w:noProof/>
          </w:rPr>
          <w:t>Priority populations</w:t>
        </w:r>
        <w:r w:rsidR="00C01F90">
          <w:rPr>
            <w:noProof/>
            <w:webHidden/>
          </w:rPr>
          <w:tab/>
        </w:r>
        <w:r w:rsidR="00C01F90">
          <w:rPr>
            <w:noProof/>
            <w:webHidden/>
          </w:rPr>
          <w:fldChar w:fldCharType="begin"/>
        </w:r>
        <w:r w:rsidR="00C01F90">
          <w:rPr>
            <w:noProof/>
            <w:webHidden/>
          </w:rPr>
          <w:instrText xml:space="preserve"> PAGEREF _Toc197527584 \h </w:instrText>
        </w:r>
        <w:r w:rsidR="00C01F90">
          <w:rPr>
            <w:noProof/>
            <w:webHidden/>
          </w:rPr>
        </w:r>
        <w:r w:rsidR="00C01F90">
          <w:rPr>
            <w:noProof/>
            <w:webHidden/>
          </w:rPr>
          <w:fldChar w:fldCharType="separate"/>
        </w:r>
        <w:r>
          <w:rPr>
            <w:noProof/>
            <w:webHidden/>
          </w:rPr>
          <w:t>9</w:t>
        </w:r>
        <w:r w:rsidR="00C01F90">
          <w:rPr>
            <w:noProof/>
            <w:webHidden/>
          </w:rPr>
          <w:fldChar w:fldCharType="end"/>
        </w:r>
      </w:hyperlink>
    </w:p>
    <w:p w14:paraId="20C36E3B" w14:textId="13414492" w:rsidR="00C01F90" w:rsidRDefault="00066AB5">
      <w:pPr>
        <w:pStyle w:val="TOC1"/>
        <w:rPr>
          <w:rFonts w:asciiTheme="minorHAnsi" w:eastAsiaTheme="minorEastAsia" w:hAnsiTheme="minorHAnsi" w:cstheme="minorBidi"/>
          <w:noProof/>
          <w:sz w:val="22"/>
          <w:szCs w:val="22"/>
          <w:lang w:val="en-AU" w:eastAsia="en-AU"/>
        </w:rPr>
      </w:pPr>
      <w:hyperlink w:anchor="_Toc197527585" w:history="1">
        <w:r w:rsidR="00C01F90" w:rsidRPr="00CD773D">
          <w:rPr>
            <w:rStyle w:val="Hyperlink"/>
            <w:noProof/>
          </w:rPr>
          <w:t>Service plan</w:t>
        </w:r>
        <w:r w:rsidR="00C01F90">
          <w:rPr>
            <w:noProof/>
            <w:webHidden/>
          </w:rPr>
          <w:tab/>
        </w:r>
        <w:r w:rsidR="00C01F90">
          <w:rPr>
            <w:noProof/>
            <w:webHidden/>
          </w:rPr>
          <w:fldChar w:fldCharType="begin"/>
        </w:r>
        <w:r w:rsidR="00C01F90">
          <w:rPr>
            <w:noProof/>
            <w:webHidden/>
          </w:rPr>
          <w:instrText xml:space="preserve"> PAGEREF _Toc197527585 \h </w:instrText>
        </w:r>
        <w:r w:rsidR="00C01F90">
          <w:rPr>
            <w:noProof/>
            <w:webHidden/>
          </w:rPr>
        </w:r>
        <w:r w:rsidR="00C01F90">
          <w:rPr>
            <w:noProof/>
            <w:webHidden/>
          </w:rPr>
          <w:fldChar w:fldCharType="separate"/>
        </w:r>
        <w:r>
          <w:rPr>
            <w:noProof/>
            <w:webHidden/>
          </w:rPr>
          <w:t>11</w:t>
        </w:r>
        <w:r w:rsidR="00C01F90">
          <w:rPr>
            <w:noProof/>
            <w:webHidden/>
          </w:rPr>
          <w:fldChar w:fldCharType="end"/>
        </w:r>
      </w:hyperlink>
    </w:p>
    <w:p w14:paraId="04688D34" w14:textId="222920FB" w:rsidR="00C01F90" w:rsidRDefault="00066AB5">
      <w:pPr>
        <w:pStyle w:val="TOC2"/>
        <w:rPr>
          <w:rFonts w:asciiTheme="minorHAnsi" w:eastAsiaTheme="minorEastAsia" w:hAnsiTheme="minorHAnsi" w:cstheme="minorBidi"/>
          <w:noProof/>
          <w:szCs w:val="22"/>
          <w:lang w:val="en-AU" w:eastAsia="en-AU"/>
        </w:rPr>
      </w:pPr>
      <w:hyperlink w:anchor="_Toc197527586" w:history="1">
        <w:r w:rsidR="00C01F90" w:rsidRPr="00CD773D">
          <w:rPr>
            <w:rStyle w:val="Hyperlink"/>
            <w:noProof/>
          </w:rPr>
          <w:t>Service plan for 2025/26 to 2027/28</w:t>
        </w:r>
        <w:r w:rsidR="00C01F90">
          <w:rPr>
            <w:noProof/>
            <w:webHidden/>
          </w:rPr>
          <w:tab/>
        </w:r>
        <w:r w:rsidR="00C01F90">
          <w:rPr>
            <w:noProof/>
            <w:webHidden/>
          </w:rPr>
          <w:fldChar w:fldCharType="begin"/>
        </w:r>
        <w:r w:rsidR="00C01F90">
          <w:rPr>
            <w:noProof/>
            <w:webHidden/>
          </w:rPr>
          <w:instrText xml:space="preserve"> PAGEREF _Toc197527586 \h </w:instrText>
        </w:r>
        <w:r w:rsidR="00C01F90">
          <w:rPr>
            <w:noProof/>
            <w:webHidden/>
          </w:rPr>
        </w:r>
        <w:r w:rsidR="00C01F90">
          <w:rPr>
            <w:noProof/>
            <w:webHidden/>
          </w:rPr>
          <w:fldChar w:fldCharType="separate"/>
        </w:r>
        <w:r>
          <w:rPr>
            <w:noProof/>
            <w:webHidden/>
          </w:rPr>
          <w:t>11</w:t>
        </w:r>
        <w:r w:rsidR="00C01F90">
          <w:rPr>
            <w:noProof/>
            <w:webHidden/>
          </w:rPr>
          <w:fldChar w:fldCharType="end"/>
        </w:r>
      </w:hyperlink>
    </w:p>
    <w:p w14:paraId="39FDA71C" w14:textId="05CF5732" w:rsidR="00C01F90" w:rsidRDefault="00066AB5">
      <w:pPr>
        <w:pStyle w:val="TOC2"/>
        <w:rPr>
          <w:rFonts w:asciiTheme="minorHAnsi" w:eastAsiaTheme="minorEastAsia" w:hAnsiTheme="minorHAnsi" w:cstheme="minorBidi"/>
          <w:noProof/>
          <w:szCs w:val="22"/>
          <w:lang w:val="en-AU" w:eastAsia="en-AU"/>
        </w:rPr>
      </w:pPr>
      <w:hyperlink w:anchor="_Toc197527587" w:history="1">
        <w:r w:rsidR="00C01F90" w:rsidRPr="00CD773D">
          <w:rPr>
            <w:rStyle w:val="Hyperlink"/>
            <w:noProof/>
          </w:rPr>
          <w:t>Budget for 2025/26 to 2027/28</w:t>
        </w:r>
        <w:r w:rsidR="00C01F90">
          <w:rPr>
            <w:noProof/>
            <w:webHidden/>
          </w:rPr>
          <w:tab/>
        </w:r>
        <w:r w:rsidR="00C01F90">
          <w:rPr>
            <w:noProof/>
            <w:webHidden/>
          </w:rPr>
          <w:fldChar w:fldCharType="begin"/>
        </w:r>
        <w:r w:rsidR="00C01F90">
          <w:rPr>
            <w:noProof/>
            <w:webHidden/>
          </w:rPr>
          <w:instrText xml:space="preserve"> PAGEREF _Toc197527587 \h </w:instrText>
        </w:r>
        <w:r w:rsidR="00C01F90">
          <w:rPr>
            <w:noProof/>
            <w:webHidden/>
          </w:rPr>
        </w:r>
        <w:r w:rsidR="00C01F90">
          <w:rPr>
            <w:noProof/>
            <w:webHidden/>
          </w:rPr>
          <w:fldChar w:fldCharType="separate"/>
        </w:r>
        <w:r>
          <w:rPr>
            <w:noProof/>
            <w:webHidden/>
          </w:rPr>
          <w:t>12</w:t>
        </w:r>
        <w:r w:rsidR="00C01F90">
          <w:rPr>
            <w:noProof/>
            <w:webHidden/>
          </w:rPr>
          <w:fldChar w:fldCharType="end"/>
        </w:r>
      </w:hyperlink>
    </w:p>
    <w:p w14:paraId="53009EE2" w14:textId="7DC755BD" w:rsidR="00C01F90" w:rsidRDefault="00066AB5">
      <w:pPr>
        <w:pStyle w:val="TOC2"/>
        <w:rPr>
          <w:rFonts w:asciiTheme="minorHAnsi" w:eastAsiaTheme="minorEastAsia" w:hAnsiTheme="minorHAnsi" w:cstheme="minorBidi"/>
          <w:noProof/>
          <w:szCs w:val="22"/>
          <w:lang w:val="en-AU" w:eastAsia="en-AU"/>
        </w:rPr>
      </w:pPr>
      <w:hyperlink w:anchor="_Toc197527588" w:history="1">
        <w:r w:rsidR="00C01F90" w:rsidRPr="00CD773D">
          <w:rPr>
            <w:rStyle w:val="Hyperlink"/>
            <w:noProof/>
          </w:rPr>
          <w:t>Research and evaluation</w:t>
        </w:r>
        <w:r w:rsidR="00C01F90">
          <w:rPr>
            <w:noProof/>
            <w:webHidden/>
          </w:rPr>
          <w:tab/>
        </w:r>
        <w:r w:rsidR="00C01F90">
          <w:rPr>
            <w:noProof/>
            <w:webHidden/>
          </w:rPr>
          <w:fldChar w:fldCharType="begin"/>
        </w:r>
        <w:r w:rsidR="00C01F90">
          <w:rPr>
            <w:noProof/>
            <w:webHidden/>
          </w:rPr>
          <w:instrText xml:space="preserve"> PAGEREF _Toc197527588 \h </w:instrText>
        </w:r>
        <w:r w:rsidR="00C01F90">
          <w:rPr>
            <w:noProof/>
            <w:webHidden/>
          </w:rPr>
        </w:r>
        <w:r w:rsidR="00C01F90">
          <w:rPr>
            <w:noProof/>
            <w:webHidden/>
          </w:rPr>
          <w:fldChar w:fldCharType="separate"/>
        </w:r>
        <w:r>
          <w:rPr>
            <w:noProof/>
            <w:webHidden/>
          </w:rPr>
          <w:t>15</w:t>
        </w:r>
        <w:r w:rsidR="00C01F90">
          <w:rPr>
            <w:noProof/>
            <w:webHidden/>
          </w:rPr>
          <w:fldChar w:fldCharType="end"/>
        </w:r>
      </w:hyperlink>
    </w:p>
    <w:p w14:paraId="59DC2967" w14:textId="6E581CCB" w:rsidR="00C01F90" w:rsidRDefault="00066AB5">
      <w:pPr>
        <w:pStyle w:val="TOC2"/>
        <w:rPr>
          <w:rFonts w:asciiTheme="minorHAnsi" w:eastAsiaTheme="minorEastAsia" w:hAnsiTheme="minorHAnsi" w:cstheme="minorBidi"/>
          <w:noProof/>
          <w:szCs w:val="22"/>
          <w:lang w:val="en-AU" w:eastAsia="en-AU"/>
        </w:rPr>
      </w:pPr>
      <w:hyperlink w:anchor="_Toc197527589" w:history="1">
        <w:r w:rsidR="00C01F90" w:rsidRPr="00CD773D">
          <w:rPr>
            <w:rStyle w:val="Hyperlink"/>
            <w:noProof/>
          </w:rPr>
          <w:t>Agency operating costs</w:t>
        </w:r>
        <w:r w:rsidR="00C01F90">
          <w:rPr>
            <w:noProof/>
            <w:webHidden/>
          </w:rPr>
          <w:tab/>
        </w:r>
        <w:r w:rsidR="00C01F90">
          <w:rPr>
            <w:noProof/>
            <w:webHidden/>
          </w:rPr>
          <w:fldChar w:fldCharType="begin"/>
        </w:r>
        <w:r w:rsidR="00C01F90">
          <w:rPr>
            <w:noProof/>
            <w:webHidden/>
          </w:rPr>
          <w:instrText xml:space="preserve"> PAGEREF _Toc197527589 \h </w:instrText>
        </w:r>
        <w:r w:rsidR="00C01F90">
          <w:rPr>
            <w:noProof/>
            <w:webHidden/>
          </w:rPr>
        </w:r>
        <w:r w:rsidR="00C01F90">
          <w:rPr>
            <w:noProof/>
            <w:webHidden/>
          </w:rPr>
          <w:fldChar w:fldCharType="separate"/>
        </w:r>
        <w:r>
          <w:rPr>
            <w:noProof/>
            <w:webHidden/>
          </w:rPr>
          <w:t>16</w:t>
        </w:r>
        <w:r w:rsidR="00C01F90">
          <w:rPr>
            <w:noProof/>
            <w:webHidden/>
          </w:rPr>
          <w:fldChar w:fldCharType="end"/>
        </w:r>
      </w:hyperlink>
    </w:p>
    <w:p w14:paraId="6E2D446F" w14:textId="7D09D5BF" w:rsidR="00C01F90" w:rsidRDefault="00066AB5">
      <w:pPr>
        <w:pStyle w:val="TOC1"/>
        <w:rPr>
          <w:rFonts w:asciiTheme="minorHAnsi" w:eastAsiaTheme="minorEastAsia" w:hAnsiTheme="minorHAnsi" w:cstheme="minorBidi"/>
          <w:noProof/>
          <w:sz w:val="22"/>
          <w:szCs w:val="22"/>
          <w:lang w:val="en-AU" w:eastAsia="en-AU"/>
        </w:rPr>
      </w:pPr>
      <w:hyperlink w:anchor="_Toc197527590" w:history="1">
        <w:r w:rsidR="00C01F90" w:rsidRPr="00CD773D">
          <w:rPr>
            <w:rStyle w:val="Hyperlink"/>
            <w:noProof/>
          </w:rPr>
          <w:t>Problem gambling levy</w:t>
        </w:r>
        <w:r w:rsidR="00C01F90">
          <w:rPr>
            <w:noProof/>
            <w:webHidden/>
          </w:rPr>
          <w:tab/>
        </w:r>
        <w:r w:rsidR="00C01F90">
          <w:rPr>
            <w:noProof/>
            <w:webHidden/>
          </w:rPr>
          <w:fldChar w:fldCharType="begin"/>
        </w:r>
        <w:r w:rsidR="00C01F90">
          <w:rPr>
            <w:noProof/>
            <w:webHidden/>
          </w:rPr>
          <w:instrText xml:space="preserve"> PAGEREF _Toc197527590 \h </w:instrText>
        </w:r>
        <w:r w:rsidR="00C01F90">
          <w:rPr>
            <w:noProof/>
            <w:webHidden/>
          </w:rPr>
        </w:r>
        <w:r w:rsidR="00C01F90">
          <w:rPr>
            <w:noProof/>
            <w:webHidden/>
          </w:rPr>
          <w:fldChar w:fldCharType="separate"/>
        </w:r>
        <w:r>
          <w:rPr>
            <w:noProof/>
            <w:webHidden/>
          </w:rPr>
          <w:t>17</w:t>
        </w:r>
        <w:r w:rsidR="00C01F90">
          <w:rPr>
            <w:noProof/>
            <w:webHidden/>
          </w:rPr>
          <w:fldChar w:fldCharType="end"/>
        </w:r>
      </w:hyperlink>
    </w:p>
    <w:p w14:paraId="59A7455E" w14:textId="7FBE9F38" w:rsidR="00C01F90" w:rsidRDefault="00066AB5">
      <w:pPr>
        <w:pStyle w:val="TOC2"/>
        <w:rPr>
          <w:rFonts w:asciiTheme="minorHAnsi" w:eastAsiaTheme="minorEastAsia" w:hAnsiTheme="minorHAnsi" w:cstheme="minorBidi"/>
          <w:noProof/>
          <w:szCs w:val="22"/>
          <w:lang w:val="en-AU" w:eastAsia="en-AU"/>
        </w:rPr>
      </w:pPr>
      <w:hyperlink w:anchor="_Toc197527591" w:history="1">
        <w:r w:rsidR="00C01F90" w:rsidRPr="00CD773D">
          <w:rPr>
            <w:rStyle w:val="Hyperlink"/>
            <w:noProof/>
          </w:rPr>
          <w:t>Setting the problem gambling levy</w:t>
        </w:r>
        <w:r w:rsidR="00C01F90">
          <w:rPr>
            <w:noProof/>
            <w:webHidden/>
          </w:rPr>
          <w:tab/>
        </w:r>
        <w:r w:rsidR="00C01F90">
          <w:rPr>
            <w:noProof/>
            <w:webHidden/>
          </w:rPr>
          <w:fldChar w:fldCharType="begin"/>
        </w:r>
        <w:r w:rsidR="00C01F90">
          <w:rPr>
            <w:noProof/>
            <w:webHidden/>
          </w:rPr>
          <w:instrText xml:space="preserve"> PAGEREF _Toc197527591 \h </w:instrText>
        </w:r>
        <w:r w:rsidR="00C01F90">
          <w:rPr>
            <w:noProof/>
            <w:webHidden/>
          </w:rPr>
        </w:r>
        <w:r w:rsidR="00C01F90">
          <w:rPr>
            <w:noProof/>
            <w:webHidden/>
          </w:rPr>
          <w:fldChar w:fldCharType="separate"/>
        </w:r>
        <w:r>
          <w:rPr>
            <w:noProof/>
            <w:webHidden/>
          </w:rPr>
          <w:t>17</w:t>
        </w:r>
        <w:r w:rsidR="00C01F90">
          <w:rPr>
            <w:noProof/>
            <w:webHidden/>
          </w:rPr>
          <w:fldChar w:fldCharType="end"/>
        </w:r>
      </w:hyperlink>
    </w:p>
    <w:p w14:paraId="011D087C" w14:textId="467F869C" w:rsidR="00C01F90" w:rsidRDefault="00066AB5">
      <w:pPr>
        <w:pStyle w:val="TOC2"/>
        <w:rPr>
          <w:rFonts w:asciiTheme="minorHAnsi" w:eastAsiaTheme="minorEastAsia" w:hAnsiTheme="minorHAnsi" w:cstheme="minorBidi"/>
          <w:noProof/>
          <w:szCs w:val="22"/>
          <w:lang w:val="en-AU" w:eastAsia="en-AU"/>
        </w:rPr>
      </w:pPr>
      <w:hyperlink w:anchor="_Toc197527592" w:history="1">
        <w:r w:rsidR="00C01F90" w:rsidRPr="00CD773D">
          <w:rPr>
            <w:rStyle w:val="Hyperlink"/>
            <w:noProof/>
          </w:rPr>
          <w:t>Process for setting the levy rates</w:t>
        </w:r>
        <w:r w:rsidR="00C01F90">
          <w:rPr>
            <w:noProof/>
            <w:webHidden/>
          </w:rPr>
          <w:tab/>
        </w:r>
        <w:r w:rsidR="00C01F90">
          <w:rPr>
            <w:noProof/>
            <w:webHidden/>
          </w:rPr>
          <w:fldChar w:fldCharType="begin"/>
        </w:r>
        <w:r w:rsidR="00C01F90">
          <w:rPr>
            <w:noProof/>
            <w:webHidden/>
          </w:rPr>
          <w:instrText xml:space="preserve"> PAGEREF _Toc197527592 \h </w:instrText>
        </w:r>
        <w:r w:rsidR="00C01F90">
          <w:rPr>
            <w:noProof/>
            <w:webHidden/>
          </w:rPr>
        </w:r>
        <w:r w:rsidR="00C01F90">
          <w:rPr>
            <w:noProof/>
            <w:webHidden/>
          </w:rPr>
          <w:fldChar w:fldCharType="separate"/>
        </w:r>
        <w:r>
          <w:rPr>
            <w:noProof/>
            <w:webHidden/>
          </w:rPr>
          <w:t>17</w:t>
        </w:r>
        <w:r w:rsidR="00C01F90">
          <w:rPr>
            <w:noProof/>
            <w:webHidden/>
          </w:rPr>
          <w:fldChar w:fldCharType="end"/>
        </w:r>
      </w:hyperlink>
    </w:p>
    <w:p w14:paraId="51DB2EA6" w14:textId="4FD473B4" w:rsidR="00C01F90" w:rsidRDefault="00066AB5">
      <w:pPr>
        <w:pStyle w:val="TOC2"/>
        <w:rPr>
          <w:rFonts w:asciiTheme="minorHAnsi" w:eastAsiaTheme="minorEastAsia" w:hAnsiTheme="minorHAnsi" w:cstheme="minorBidi"/>
          <w:noProof/>
          <w:szCs w:val="22"/>
          <w:lang w:val="en-AU" w:eastAsia="en-AU"/>
        </w:rPr>
      </w:pPr>
      <w:hyperlink w:anchor="_Toc197527593" w:history="1">
        <w:r w:rsidR="00C01F90" w:rsidRPr="00CD773D">
          <w:rPr>
            <w:rStyle w:val="Hyperlink"/>
            <w:noProof/>
          </w:rPr>
          <w:t>The levy formula</w:t>
        </w:r>
        <w:r w:rsidR="00C01F90">
          <w:rPr>
            <w:noProof/>
            <w:webHidden/>
          </w:rPr>
          <w:tab/>
        </w:r>
        <w:r w:rsidR="00C01F90">
          <w:rPr>
            <w:noProof/>
            <w:webHidden/>
          </w:rPr>
          <w:fldChar w:fldCharType="begin"/>
        </w:r>
        <w:r w:rsidR="00C01F90">
          <w:rPr>
            <w:noProof/>
            <w:webHidden/>
          </w:rPr>
          <w:instrText xml:space="preserve"> PAGEREF _Toc197527593 \h </w:instrText>
        </w:r>
        <w:r w:rsidR="00C01F90">
          <w:rPr>
            <w:noProof/>
            <w:webHidden/>
          </w:rPr>
        </w:r>
        <w:r w:rsidR="00C01F90">
          <w:rPr>
            <w:noProof/>
            <w:webHidden/>
          </w:rPr>
          <w:fldChar w:fldCharType="separate"/>
        </w:r>
        <w:r>
          <w:rPr>
            <w:noProof/>
            <w:webHidden/>
          </w:rPr>
          <w:t>18</w:t>
        </w:r>
        <w:r w:rsidR="00C01F90">
          <w:rPr>
            <w:noProof/>
            <w:webHidden/>
          </w:rPr>
          <w:fldChar w:fldCharType="end"/>
        </w:r>
      </w:hyperlink>
    </w:p>
    <w:p w14:paraId="60997996" w14:textId="3740E7D6" w:rsidR="00C01F90" w:rsidRDefault="00066AB5">
      <w:pPr>
        <w:pStyle w:val="TOC2"/>
        <w:rPr>
          <w:rFonts w:asciiTheme="minorHAnsi" w:eastAsiaTheme="minorEastAsia" w:hAnsiTheme="minorHAnsi" w:cstheme="minorBidi"/>
          <w:noProof/>
          <w:szCs w:val="22"/>
          <w:lang w:val="en-AU" w:eastAsia="en-AU"/>
        </w:rPr>
      </w:pPr>
      <w:hyperlink w:anchor="_Toc197527594" w:history="1">
        <w:r w:rsidR="00C01F90" w:rsidRPr="00CD773D">
          <w:rPr>
            <w:rStyle w:val="Hyperlink"/>
            <w:rFonts w:eastAsia="Lucida Sans Unicode"/>
            <w:noProof/>
          </w:rPr>
          <w:t>Levy rates</w:t>
        </w:r>
        <w:r w:rsidR="00C01F90">
          <w:rPr>
            <w:noProof/>
            <w:webHidden/>
          </w:rPr>
          <w:tab/>
        </w:r>
        <w:r w:rsidR="00C01F90">
          <w:rPr>
            <w:noProof/>
            <w:webHidden/>
          </w:rPr>
          <w:fldChar w:fldCharType="begin"/>
        </w:r>
        <w:r w:rsidR="00C01F90">
          <w:rPr>
            <w:noProof/>
            <w:webHidden/>
          </w:rPr>
          <w:instrText xml:space="preserve"> PAGEREF _Toc197527594 \h </w:instrText>
        </w:r>
        <w:r w:rsidR="00C01F90">
          <w:rPr>
            <w:noProof/>
            <w:webHidden/>
          </w:rPr>
        </w:r>
        <w:r w:rsidR="00C01F90">
          <w:rPr>
            <w:noProof/>
            <w:webHidden/>
          </w:rPr>
          <w:fldChar w:fldCharType="separate"/>
        </w:r>
        <w:r>
          <w:rPr>
            <w:noProof/>
            <w:webHidden/>
          </w:rPr>
          <w:t>19</w:t>
        </w:r>
        <w:r w:rsidR="00C01F90">
          <w:rPr>
            <w:noProof/>
            <w:webHidden/>
          </w:rPr>
          <w:fldChar w:fldCharType="end"/>
        </w:r>
      </w:hyperlink>
    </w:p>
    <w:p w14:paraId="133A9219" w14:textId="7ADA4847" w:rsidR="00C86248" w:rsidRDefault="00AB2BAA">
      <w:r>
        <w:rPr>
          <w:rFonts w:ascii="Segoe UI Semibold" w:hAnsi="Segoe UI Semibold"/>
          <w:b/>
          <w:sz w:val="24"/>
        </w:rPr>
        <w:fldChar w:fldCharType="end"/>
      </w:r>
    </w:p>
    <w:p w14:paraId="49038387" w14:textId="77777777" w:rsidR="003A5FEA" w:rsidRDefault="003A5FEA" w:rsidP="001D3E4E">
      <w:pPr>
        <w:pStyle w:val="TOC1"/>
        <w:keepNext/>
      </w:pPr>
      <w:r>
        <w:t>List of Figures</w:t>
      </w:r>
    </w:p>
    <w:p w14:paraId="01A083B9" w14:textId="0FA7AECB" w:rsidR="00C01F90" w:rsidRDefault="00AB2BAA">
      <w:pPr>
        <w:pStyle w:val="TOC3"/>
        <w:rPr>
          <w:rFonts w:asciiTheme="minorHAnsi" w:eastAsiaTheme="minorEastAsia" w:hAnsiTheme="minorHAnsi" w:cstheme="minorBidi"/>
          <w:noProof/>
          <w:sz w:val="22"/>
          <w:szCs w:val="22"/>
          <w:lang w:val="en-AU" w:eastAsia="en-AU"/>
        </w:rPr>
      </w:pPr>
      <w:r>
        <w:fldChar w:fldCharType="begin"/>
      </w:r>
      <w:r>
        <w:instrText xml:space="preserve"> TOC \h \z \t "Figure,3" </w:instrText>
      </w:r>
      <w:r>
        <w:fldChar w:fldCharType="separate"/>
      </w:r>
      <w:hyperlink w:anchor="_Toc197527595" w:history="1">
        <w:r w:rsidR="00C01F90" w:rsidRPr="004474AA">
          <w:rPr>
            <w:rStyle w:val="Hyperlink"/>
            <w:noProof/>
          </w:rPr>
          <w:t xml:space="preserve">Figure 1: </w:t>
        </w:r>
        <w:r w:rsidR="00C01F90" w:rsidRPr="004474AA">
          <w:rPr>
            <w:rStyle w:val="Hyperlink"/>
            <w:rFonts w:eastAsia="Lucida Sans Unicode"/>
            <w:noProof/>
          </w:rPr>
          <w:t>Gambling by type, 2023/24 (% of population aged 15+)</w:t>
        </w:r>
        <w:r w:rsidR="00C01F90">
          <w:rPr>
            <w:noProof/>
            <w:webHidden/>
          </w:rPr>
          <w:tab/>
        </w:r>
        <w:r w:rsidR="00C01F90">
          <w:rPr>
            <w:noProof/>
            <w:webHidden/>
          </w:rPr>
          <w:fldChar w:fldCharType="begin"/>
        </w:r>
        <w:r w:rsidR="00C01F90">
          <w:rPr>
            <w:noProof/>
            <w:webHidden/>
          </w:rPr>
          <w:instrText xml:space="preserve"> PAGEREF _Toc197527595 \h </w:instrText>
        </w:r>
        <w:r w:rsidR="00C01F90">
          <w:rPr>
            <w:noProof/>
            <w:webHidden/>
          </w:rPr>
        </w:r>
        <w:r w:rsidR="00C01F90">
          <w:rPr>
            <w:noProof/>
            <w:webHidden/>
          </w:rPr>
          <w:fldChar w:fldCharType="separate"/>
        </w:r>
        <w:r w:rsidR="00066AB5">
          <w:rPr>
            <w:noProof/>
            <w:webHidden/>
          </w:rPr>
          <w:t>4</w:t>
        </w:r>
        <w:r w:rsidR="00C01F90">
          <w:rPr>
            <w:noProof/>
            <w:webHidden/>
          </w:rPr>
          <w:fldChar w:fldCharType="end"/>
        </w:r>
      </w:hyperlink>
    </w:p>
    <w:p w14:paraId="05EA07E2" w14:textId="46FEAE52" w:rsidR="00C01F90" w:rsidRDefault="00066AB5">
      <w:pPr>
        <w:pStyle w:val="TOC3"/>
        <w:rPr>
          <w:rFonts w:asciiTheme="minorHAnsi" w:eastAsiaTheme="minorEastAsia" w:hAnsiTheme="minorHAnsi" w:cstheme="minorBidi"/>
          <w:noProof/>
          <w:sz w:val="22"/>
          <w:szCs w:val="22"/>
          <w:lang w:val="en-AU" w:eastAsia="en-AU"/>
        </w:rPr>
      </w:pPr>
      <w:hyperlink w:anchor="_Toc197527596" w:history="1">
        <w:r w:rsidR="00C01F90" w:rsidRPr="004474AA">
          <w:rPr>
            <w:rStyle w:val="Hyperlink"/>
            <w:noProof/>
          </w:rPr>
          <w:t>Figure 2: Strategic framework for preventing and minimising gambling harm in New Zealand</w:t>
        </w:r>
        <w:r w:rsidR="00C01F90">
          <w:rPr>
            <w:noProof/>
            <w:webHidden/>
          </w:rPr>
          <w:tab/>
        </w:r>
        <w:r w:rsidR="00C01F90">
          <w:rPr>
            <w:noProof/>
            <w:webHidden/>
          </w:rPr>
          <w:fldChar w:fldCharType="begin"/>
        </w:r>
        <w:r w:rsidR="00C01F90">
          <w:rPr>
            <w:noProof/>
            <w:webHidden/>
          </w:rPr>
          <w:instrText xml:space="preserve"> PAGEREF _Toc197527596 \h </w:instrText>
        </w:r>
        <w:r w:rsidR="00C01F90">
          <w:rPr>
            <w:noProof/>
            <w:webHidden/>
          </w:rPr>
        </w:r>
        <w:r w:rsidR="00C01F90">
          <w:rPr>
            <w:noProof/>
            <w:webHidden/>
          </w:rPr>
          <w:fldChar w:fldCharType="separate"/>
        </w:r>
        <w:r>
          <w:rPr>
            <w:noProof/>
            <w:webHidden/>
          </w:rPr>
          <w:t>10</w:t>
        </w:r>
        <w:r w:rsidR="00C01F90">
          <w:rPr>
            <w:noProof/>
            <w:webHidden/>
          </w:rPr>
          <w:fldChar w:fldCharType="end"/>
        </w:r>
      </w:hyperlink>
    </w:p>
    <w:p w14:paraId="05CC63FD" w14:textId="7E3D1B00" w:rsidR="003A5FEA" w:rsidRDefault="00AB2BAA" w:rsidP="00D444E4">
      <w:r>
        <w:fldChar w:fldCharType="end"/>
      </w:r>
    </w:p>
    <w:p w14:paraId="0D248541" w14:textId="77777777" w:rsidR="002B76A7" w:rsidRDefault="002B76A7" w:rsidP="00D444E4">
      <w:pPr>
        <w:pStyle w:val="TOC1"/>
        <w:keepNext/>
      </w:pPr>
      <w:r>
        <w:lastRenderedPageBreak/>
        <w:t>List of Tables</w:t>
      </w:r>
    </w:p>
    <w:p w14:paraId="0A25F584" w14:textId="453E6327" w:rsidR="00C01F90" w:rsidRDefault="00AB2BAA">
      <w:pPr>
        <w:pStyle w:val="TOC3"/>
        <w:rPr>
          <w:rFonts w:asciiTheme="minorHAnsi" w:eastAsiaTheme="minorEastAsia" w:hAnsiTheme="minorHAnsi" w:cstheme="minorBidi"/>
          <w:noProof/>
          <w:sz w:val="22"/>
          <w:szCs w:val="22"/>
          <w:lang w:val="en-AU" w:eastAsia="en-AU"/>
        </w:rPr>
      </w:pPr>
      <w:r>
        <w:rPr>
          <w:sz w:val="20"/>
        </w:rPr>
        <w:fldChar w:fldCharType="begin"/>
      </w:r>
      <w:r>
        <w:rPr>
          <w:sz w:val="20"/>
        </w:rPr>
        <w:instrText xml:space="preserve"> TOC \h \z \t "Table,3" </w:instrText>
      </w:r>
      <w:r>
        <w:rPr>
          <w:sz w:val="20"/>
        </w:rPr>
        <w:fldChar w:fldCharType="separate"/>
      </w:r>
      <w:hyperlink w:anchor="_Toc197527597" w:history="1">
        <w:r w:rsidR="00C01F90" w:rsidRPr="00C83949">
          <w:rPr>
            <w:rStyle w:val="Hyperlink"/>
            <w:noProof/>
          </w:rPr>
          <w:t>Table 1: Summary of service plan and b</w:t>
        </w:r>
        <w:r w:rsidR="00C01F90" w:rsidRPr="00C83949">
          <w:rPr>
            <w:rStyle w:val="Hyperlink"/>
            <w:rFonts w:eastAsia="Lucida Sans Unicode"/>
            <w:noProof/>
          </w:rPr>
          <w:t>udget to prevent and minimise gambling harm (in $ millions – GST exclusive), 2025/26 to 2027/28</w:t>
        </w:r>
        <w:r w:rsidR="00C01F90">
          <w:rPr>
            <w:noProof/>
            <w:webHidden/>
          </w:rPr>
          <w:tab/>
        </w:r>
        <w:r w:rsidR="00C01F90">
          <w:rPr>
            <w:noProof/>
            <w:webHidden/>
          </w:rPr>
          <w:fldChar w:fldCharType="begin"/>
        </w:r>
        <w:r w:rsidR="00C01F90">
          <w:rPr>
            <w:noProof/>
            <w:webHidden/>
          </w:rPr>
          <w:instrText xml:space="preserve"> PAGEREF _Toc197527597 \h </w:instrText>
        </w:r>
        <w:r w:rsidR="00C01F90">
          <w:rPr>
            <w:noProof/>
            <w:webHidden/>
          </w:rPr>
        </w:r>
        <w:r w:rsidR="00C01F90">
          <w:rPr>
            <w:noProof/>
            <w:webHidden/>
          </w:rPr>
          <w:fldChar w:fldCharType="separate"/>
        </w:r>
        <w:r w:rsidR="00066AB5">
          <w:rPr>
            <w:noProof/>
            <w:webHidden/>
          </w:rPr>
          <w:t>14</w:t>
        </w:r>
        <w:r w:rsidR="00C01F90">
          <w:rPr>
            <w:noProof/>
            <w:webHidden/>
          </w:rPr>
          <w:fldChar w:fldCharType="end"/>
        </w:r>
      </w:hyperlink>
    </w:p>
    <w:p w14:paraId="6D488245" w14:textId="7F5F7A07" w:rsidR="00C01F90" w:rsidRDefault="00066AB5">
      <w:pPr>
        <w:pStyle w:val="TOC3"/>
        <w:rPr>
          <w:rFonts w:asciiTheme="minorHAnsi" w:eastAsiaTheme="minorEastAsia" w:hAnsiTheme="minorHAnsi" w:cstheme="minorBidi"/>
          <w:noProof/>
          <w:sz w:val="22"/>
          <w:szCs w:val="22"/>
          <w:lang w:val="en-AU" w:eastAsia="en-AU"/>
        </w:rPr>
      </w:pPr>
      <w:hyperlink w:anchor="_Toc197527598" w:history="1">
        <w:r w:rsidR="00C01F90" w:rsidRPr="00C83949">
          <w:rPr>
            <w:rStyle w:val="Hyperlink"/>
            <w:noProof/>
          </w:rPr>
          <w:t xml:space="preserve">Table 2: </w:t>
        </w:r>
        <w:r w:rsidR="00C01F90" w:rsidRPr="00C83949">
          <w:rPr>
            <w:rStyle w:val="Hyperlink"/>
            <w:rFonts w:eastAsia="Calibri"/>
            <w:noProof/>
          </w:rPr>
          <w:t>Gambling harm research and evaluation framework</w:t>
        </w:r>
        <w:r w:rsidR="00C01F90">
          <w:rPr>
            <w:noProof/>
            <w:webHidden/>
          </w:rPr>
          <w:tab/>
        </w:r>
        <w:r w:rsidR="00C01F90">
          <w:rPr>
            <w:noProof/>
            <w:webHidden/>
          </w:rPr>
          <w:fldChar w:fldCharType="begin"/>
        </w:r>
        <w:r w:rsidR="00C01F90">
          <w:rPr>
            <w:noProof/>
            <w:webHidden/>
          </w:rPr>
          <w:instrText xml:space="preserve"> PAGEREF _Toc197527598 \h </w:instrText>
        </w:r>
        <w:r w:rsidR="00C01F90">
          <w:rPr>
            <w:noProof/>
            <w:webHidden/>
          </w:rPr>
        </w:r>
        <w:r w:rsidR="00C01F90">
          <w:rPr>
            <w:noProof/>
            <w:webHidden/>
          </w:rPr>
          <w:fldChar w:fldCharType="separate"/>
        </w:r>
        <w:r>
          <w:rPr>
            <w:noProof/>
            <w:webHidden/>
          </w:rPr>
          <w:t>15</w:t>
        </w:r>
        <w:r w:rsidR="00C01F90">
          <w:rPr>
            <w:noProof/>
            <w:webHidden/>
          </w:rPr>
          <w:fldChar w:fldCharType="end"/>
        </w:r>
      </w:hyperlink>
    </w:p>
    <w:p w14:paraId="11BA8F8C" w14:textId="08DB454F" w:rsidR="00C01F90" w:rsidRDefault="00066AB5">
      <w:pPr>
        <w:pStyle w:val="TOC3"/>
        <w:rPr>
          <w:rFonts w:asciiTheme="minorHAnsi" w:eastAsiaTheme="minorEastAsia" w:hAnsiTheme="minorHAnsi" w:cstheme="minorBidi"/>
          <w:noProof/>
          <w:sz w:val="22"/>
          <w:szCs w:val="22"/>
          <w:lang w:val="en-AU" w:eastAsia="en-AU"/>
        </w:rPr>
      </w:pPr>
      <w:hyperlink w:anchor="_Toc197527599" w:history="1">
        <w:r w:rsidR="00C01F90" w:rsidRPr="00C83949">
          <w:rPr>
            <w:rStyle w:val="Hyperlink"/>
            <w:noProof/>
          </w:rPr>
          <w:t xml:space="preserve">Table 3: </w:t>
        </w:r>
        <w:r w:rsidR="00C01F90" w:rsidRPr="00C83949">
          <w:rPr>
            <w:rStyle w:val="Hyperlink"/>
            <w:rFonts w:eastAsia="Segoe UI"/>
            <w:noProof/>
          </w:rPr>
          <w:t>Research and evaluation budget in millions (GST-exclusive), 2025/26 to 2027/28</w:t>
        </w:r>
        <w:r w:rsidR="00C01F90">
          <w:rPr>
            <w:noProof/>
            <w:webHidden/>
          </w:rPr>
          <w:tab/>
        </w:r>
        <w:r w:rsidR="00C01F90">
          <w:rPr>
            <w:noProof/>
            <w:webHidden/>
          </w:rPr>
          <w:fldChar w:fldCharType="begin"/>
        </w:r>
        <w:r w:rsidR="00C01F90">
          <w:rPr>
            <w:noProof/>
            <w:webHidden/>
          </w:rPr>
          <w:instrText xml:space="preserve"> PAGEREF _Toc197527599 \h </w:instrText>
        </w:r>
        <w:r w:rsidR="00C01F90">
          <w:rPr>
            <w:noProof/>
            <w:webHidden/>
          </w:rPr>
        </w:r>
        <w:r w:rsidR="00C01F90">
          <w:rPr>
            <w:noProof/>
            <w:webHidden/>
          </w:rPr>
          <w:fldChar w:fldCharType="separate"/>
        </w:r>
        <w:r>
          <w:rPr>
            <w:noProof/>
            <w:webHidden/>
          </w:rPr>
          <w:t>16</w:t>
        </w:r>
        <w:r w:rsidR="00C01F90">
          <w:rPr>
            <w:noProof/>
            <w:webHidden/>
          </w:rPr>
          <w:fldChar w:fldCharType="end"/>
        </w:r>
      </w:hyperlink>
    </w:p>
    <w:p w14:paraId="3D21B8B7" w14:textId="68ECFB02" w:rsidR="00C01F90" w:rsidRDefault="00066AB5">
      <w:pPr>
        <w:pStyle w:val="TOC3"/>
        <w:rPr>
          <w:rFonts w:asciiTheme="minorHAnsi" w:eastAsiaTheme="minorEastAsia" w:hAnsiTheme="minorHAnsi" w:cstheme="minorBidi"/>
          <w:noProof/>
          <w:sz w:val="22"/>
          <w:szCs w:val="22"/>
          <w:lang w:val="en-AU" w:eastAsia="en-AU"/>
        </w:rPr>
      </w:pPr>
      <w:hyperlink w:anchor="_Toc197527600" w:history="1">
        <w:r w:rsidR="00C01F90" w:rsidRPr="00C83949">
          <w:rPr>
            <w:rStyle w:val="Hyperlink"/>
            <w:noProof/>
          </w:rPr>
          <w:t xml:space="preserve">Table 4: </w:t>
        </w:r>
        <w:r w:rsidR="00C01F90" w:rsidRPr="00C83949">
          <w:rPr>
            <w:rStyle w:val="Hyperlink"/>
            <w:rFonts w:eastAsia="Lucida Sans Unicode"/>
            <w:noProof/>
          </w:rPr>
          <w:t>Budget agency operating costs in $ millions (GST exclusive), 2025/26 to 2027/28</w:t>
        </w:r>
        <w:r w:rsidR="00C01F90">
          <w:rPr>
            <w:noProof/>
            <w:webHidden/>
          </w:rPr>
          <w:tab/>
        </w:r>
        <w:r w:rsidR="00C01F90">
          <w:rPr>
            <w:noProof/>
            <w:webHidden/>
          </w:rPr>
          <w:fldChar w:fldCharType="begin"/>
        </w:r>
        <w:r w:rsidR="00C01F90">
          <w:rPr>
            <w:noProof/>
            <w:webHidden/>
          </w:rPr>
          <w:instrText xml:space="preserve"> PAGEREF _Toc197527600 \h </w:instrText>
        </w:r>
        <w:r w:rsidR="00C01F90">
          <w:rPr>
            <w:noProof/>
            <w:webHidden/>
          </w:rPr>
        </w:r>
        <w:r w:rsidR="00C01F90">
          <w:rPr>
            <w:noProof/>
            <w:webHidden/>
          </w:rPr>
          <w:fldChar w:fldCharType="separate"/>
        </w:r>
        <w:r>
          <w:rPr>
            <w:noProof/>
            <w:webHidden/>
          </w:rPr>
          <w:t>16</w:t>
        </w:r>
        <w:r w:rsidR="00C01F90">
          <w:rPr>
            <w:noProof/>
            <w:webHidden/>
          </w:rPr>
          <w:fldChar w:fldCharType="end"/>
        </w:r>
      </w:hyperlink>
    </w:p>
    <w:p w14:paraId="51B80990" w14:textId="02B621C5" w:rsidR="00C01F90" w:rsidRDefault="00066AB5">
      <w:pPr>
        <w:pStyle w:val="TOC3"/>
        <w:rPr>
          <w:rFonts w:asciiTheme="minorHAnsi" w:eastAsiaTheme="minorEastAsia" w:hAnsiTheme="minorHAnsi" w:cstheme="minorBidi"/>
          <w:noProof/>
          <w:sz w:val="22"/>
          <w:szCs w:val="22"/>
          <w:lang w:val="en-AU" w:eastAsia="en-AU"/>
        </w:rPr>
      </w:pPr>
      <w:hyperlink w:anchor="_Toc197527601" w:history="1">
        <w:r w:rsidR="00C01F90" w:rsidRPr="00C83949">
          <w:rPr>
            <w:rStyle w:val="Hyperlink"/>
            <w:noProof/>
          </w:rPr>
          <w:t xml:space="preserve">Table 5: </w:t>
        </w:r>
        <w:r w:rsidR="00C01F90" w:rsidRPr="00C83949">
          <w:rPr>
            <w:rStyle w:val="Hyperlink"/>
            <w:rFonts w:eastAsia="Segoe UI"/>
            <w:noProof/>
          </w:rPr>
          <w:t>Share of expenditure (2023/24) and presentations (2023) by levy-paying sector</w:t>
        </w:r>
        <w:r w:rsidR="00C01F90">
          <w:rPr>
            <w:noProof/>
            <w:webHidden/>
          </w:rPr>
          <w:tab/>
        </w:r>
        <w:r w:rsidR="00C01F90">
          <w:rPr>
            <w:noProof/>
            <w:webHidden/>
          </w:rPr>
          <w:fldChar w:fldCharType="begin"/>
        </w:r>
        <w:r w:rsidR="00C01F90">
          <w:rPr>
            <w:noProof/>
            <w:webHidden/>
          </w:rPr>
          <w:instrText xml:space="preserve"> PAGEREF _Toc197527601 \h </w:instrText>
        </w:r>
        <w:r w:rsidR="00C01F90">
          <w:rPr>
            <w:noProof/>
            <w:webHidden/>
          </w:rPr>
        </w:r>
        <w:r w:rsidR="00C01F90">
          <w:rPr>
            <w:noProof/>
            <w:webHidden/>
          </w:rPr>
          <w:fldChar w:fldCharType="separate"/>
        </w:r>
        <w:r>
          <w:rPr>
            <w:noProof/>
            <w:webHidden/>
          </w:rPr>
          <w:t>19</w:t>
        </w:r>
        <w:r w:rsidR="00C01F90">
          <w:rPr>
            <w:noProof/>
            <w:webHidden/>
          </w:rPr>
          <w:fldChar w:fldCharType="end"/>
        </w:r>
      </w:hyperlink>
    </w:p>
    <w:p w14:paraId="1C53C549" w14:textId="72FEC3C4" w:rsidR="00C01F90" w:rsidRDefault="00066AB5">
      <w:pPr>
        <w:pStyle w:val="TOC3"/>
        <w:rPr>
          <w:rFonts w:asciiTheme="minorHAnsi" w:eastAsiaTheme="minorEastAsia" w:hAnsiTheme="minorHAnsi" w:cstheme="minorBidi"/>
          <w:noProof/>
          <w:sz w:val="22"/>
          <w:szCs w:val="22"/>
          <w:lang w:val="en-AU" w:eastAsia="en-AU"/>
        </w:rPr>
      </w:pPr>
      <w:hyperlink w:anchor="_Toc197527602" w:history="1">
        <w:r w:rsidR="00C01F90" w:rsidRPr="00C83949">
          <w:rPr>
            <w:rStyle w:val="Hyperlink"/>
            <w:noProof/>
          </w:rPr>
          <w:t>Table 6: Levy rates per sector: 30/70 weighting (all figures GST-exclusive)</w:t>
        </w:r>
        <w:r w:rsidR="00C01F90">
          <w:rPr>
            <w:noProof/>
            <w:webHidden/>
          </w:rPr>
          <w:tab/>
        </w:r>
        <w:r w:rsidR="00C01F90">
          <w:rPr>
            <w:noProof/>
            <w:webHidden/>
          </w:rPr>
          <w:fldChar w:fldCharType="begin"/>
        </w:r>
        <w:r w:rsidR="00C01F90">
          <w:rPr>
            <w:noProof/>
            <w:webHidden/>
          </w:rPr>
          <w:instrText xml:space="preserve"> PAGEREF _Toc197527602 \h </w:instrText>
        </w:r>
        <w:r w:rsidR="00C01F90">
          <w:rPr>
            <w:noProof/>
            <w:webHidden/>
          </w:rPr>
        </w:r>
        <w:r w:rsidR="00C01F90">
          <w:rPr>
            <w:noProof/>
            <w:webHidden/>
          </w:rPr>
          <w:fldChar w:fldCharType="separate"/>
        </w:r>
        <w:r>
          <w:rPr>
            <w:noProof/>
            <w:webHidden/>
          </w:rPr>
          <w:t>19</w:t>
        </w:r>
        <w:r w:rsidR="00C01F90">
          <w:rPr>
            <w:noProof/>
            <w:webHidden/>
          </w:rPr>
          <w:fldChar w:fldCharType="end"/>
        </w:r>
      </w:hyperlink>
    </w:p>
    <w:p w14:paraId="4A6797B1" w14:textId="54C4518B" w:rsidR="002B76A7" w:rsidRDefault="00AB2BAA" w:rsidP="00D444E4">
      <w:r>
        <w:rPr>
          <w:sz w:val="20"/>
        </w:rPr>
        <w:fldChar w:fldCharType="end"/>
      </w:r>
    </w:p>
    <w:p w14:paraId="03333094" w14:textId="77777777" w:rsidR="001D3E4E" w:rsidRDefault="001D3E4E" w:rsidP="003A5FEA">
      <w:pPr>
        <w:sectPr w:rsidR="001D3E4E" w:rsidSect="004825BB">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71C52845" w14:textId="5BE550F4" w:rsidR="0022621A" w:rsidRPr="00FE5C7F" w:rsidRDefault="0022621A" w:rsidP="0022621A">
      <w:pPr>
        <w:pStyle w:val="Heading1"/>
        <w:rPr>
          <w:sz w:val="66"/>
          <w:szCs w:val="66"/>
        </w:rPr>
      </w:pPr>
      <w:bookmarkStart w:id="3" w:name="_Toc106891810"/>
      <w:bookmarkStart w:id="4" w:name="_Toc197527572"/>
      <w:bookmarkStart w:id="5" w:name="_Toc90885036"/>
      <w:r w:rsidRPr="00CB7B9E">
        <w:rPr>
          <w:sz w:val="66"/>
          <w:szCs w:val="66"/>
        </w:rPr>
        <w:lastRenderedPageBreak/>
        <w:t>Foreword</w:t>
      </w:r>
      <w:bookmarkEnd w:id="3"/>
      <w:r w:rsidR="006E0DA4" w:rsidRPr="00FE5C7F">
        <w:rPr>
          <w:sz w:val="66"/>
          <w:szCs w:val="66"/>
        </w:rPr>
        <w:t xml:space="preserve"> from </w:t>
      </w:r>
      <w:r w:rsidR="001C2213" w:rsidRPr="00FE5C7F">
        <w:rPr>
          <w:sz w:val="66"/>
          <w:szCs w:val="66"/>
        </w:rPr>
        <w:t xml:space="preserve">the </w:t>
      </w:r>
      <w:r w:rsidR="006E0DA4" w:rsidRPr="00FE5C7F">
        <w:rPr>
          <w:sz w:val="66"/>
          <w:szCs w:val="66"/>
        </w:rPr>
        <w:t>Minister for Mental Health</w:t>
      </w:r>
      <w:bookmarkEnd w:id="4"/>
    </w:p>
    <w:p w14:paraId="370A0019" w14:textId="5EB52698" w:rsidR="00425F0C" w:rsidRDefault="00425F0C" w:rsidP="00425F0C">
      <w:pPr>
        <w:rPr>
          <w:rFonts w:eastAsia="Calibri"/>
        </w:rPr>
      </w:pPr>
      <w:r>
        <w:rPr>
          <w:rFonts w:eastAsia="Calibri"/>
        </w:rPr>
        <w:t xml:space="preserve">It is a privilege to be New Zealand’s first </w:t>
      </w:r>
      <w:r w:rsidRPr="00037C39">
        <w:rPr>
          <w:rFonts w:eastAsia="Calibri"/>
        </w:rPr>
        <w:t xml:space="preserve">Minister </w:t>
      </w:r>
      <w:r>
        <w:rPr>
          <w:rFonts w:eastAsia="Calibri"/>
        </w:rPr>
        <w:t xml:space="preserve">for Mental Health, which includes responsibilities for addiction and preventing and minimising gambling-related harm. </w:t>
      </w:r>
    </w:p>
    <w:p w14:paraId="32237AAF" w14:textId="77777777" w:rsidR="00425F0C" w:rsidRDefault="00425F0C" w:rsidP="00425F0C">
      <w:pPr>
        <w:rPr>
          <w:rFonts w:eastAsia="Calibri"/>
        </w:rPr>
      </w:pPr>
    </w:p>
    <w:p w14:paraId="1D547434" w14:textId="2A239F8B" w:rsidR="00B375C1" w:rsidRDefault="00425F0C" w:rsidP="00425F0C">
      <w:pPr>
        <w:rPr>
          <w:rFonts w:eastAsia="Calibri"/>
        </w:rPr>
      </w:pPr>
      <w:r>
        <w:rPr>
          <w:rFonts w:eastAsia="Calibri"/>
        </w:rPr>
        <w:t xml:space="preserve">I want to acknowledge that many New Zealanders enjoy gambling as a pastime and that the associated activities make a strong contribution to our economy, for example the horse racing sector. </w:t>
      </w:r>
      <w:r w:rsidRPr="7B2826F2">
        <w:rPr>
          <w:rFonts w:eastAsia="Calibri"/>
        </w:rPr>
        <w:t xml:space="preserve">But the </w:t>
      </w:r>
      <w:r w:rsidR="60A505C9" w:rsidRPr="7B2826F2">
        <w:rPr>
          <w:rFonts w:eastAsia="Calibri"/>
        </w:rPr>
        <w:t>evidence</w:t>
      </w:r>
      <w:r w:rsidR="5484A04E" w:rsidRPr="7B2826F2">
        <w:rPr>
          <w:rFonts w:eastAsia="Calibri"/>
        </w:rPr>
        <w:t xml:space="preserve"> </w:t>
      </w:r>
      <w:r w:rsidR="5484A04E" w:rsidRPr="007718FA">
        <w:rPr>
          <w:rFonts w:eastAsia="Calibri"/>
        </w:rPr>
        <w:t>is</w:t>
      </w:r>
      <w:r>
        <w:rPr>
          <w:rFonts w:eastAsia="Calibri"/>
        </w:rPr>
        <w:t xml:space="preserve"> clear that harm from gambling can have a significant impact, so it is important that we put in place initiatives and interventions that prevent and minimise this. </w:t>
      </w:r>
    </w:p>
    <w:p w14:paraId="6DCE22C6" w14:textId="77777777" w:rsidR="00B375C1" w:rsidRDefault="00B375C1" w:rsidP="00425F0C">
      <w:pPr>
        <w:rPr>
          <w:rFonts w:eastAsia="Calibri"/>
        </w:rPr>
      </w:pPr>
    </w:p>
    <w:p w14:paraId="56D8D215" w14:textId="1E0C3179" w:rsidR="00425F0C" w:rsidRDefault="00B375C1" w:rsidP="00425F0C">
      <w:pPr>
        <w:rPr>
          <w:rFonts w:eastAsia="Calibri"/>
        </w:rPr>
      </w:pPr>
      <w:r>
        <w:rPr>
          <w:rFonts w:eastAsia="Calibri"/>
        </w:rPr>
        <w:t xml:space="preserve">We need a comprehensive continuum of support, from </w:t>
      </w:r>
      <w:r w:rsidR="00425F0C">
        <w:rPr>
          <w:rFonts w:eastAsia="Calibri"/>
        </w:rPr>
        <w:t>health promotion, so people can support their own wellbeing when it comes to gambling</w:t>
      </w:r>
      <w:r w:rsidR="00C0271B">
        <w:rPr>
          <w:rFonts w:eastAsia="Calibri"/>
        </w:rPr>
        <w:t>;</w:t>
      </w:r>
      <w:r w:rsidR="00425F0C">
        <w:rPr>
          <w:rFonts w:eastAsia="Calibri"/>
        </w:rPr>
        <w:t xml:space="preserve"> to having access to helplines, guidance, and support</w:t>
      </w:r>
      <w:r w:rsidR="00C0271B">
        <w:rPr>
          <w:rFonts w:eastAsia="Calibri"/>
        </w:rPr>
        <w:t>;</w:t>
      </w:r>
      <w:r w:rsidR="00425F0C">
        <w:rPr>
          <w:rFonts w:eastAsia="Calibri"/>
        </w:rPr>
        <w:t xml:space="preserve"> through to those that require specialist services and treatment options. </w:t>
      </w:r>
      <w:r w:rsidR="00C0271B">
        <w:rPr>
          <w:rFonts w:eastAsia="Calibri"/>
        </w:rPr>
        <w:t>S</w:t>
      </w:r>
      <w:r w:rsidR="00425F0C">
        <w:rPr>
          <w:rFonts w:eastAsia="Calibri"/>
        </w:rPr>
        <w:t xml:space="preserve">ervices </w:t>
      </w:r>
      <w:r w:rsidR="00C0271B">
        <w:rPr>
          <w:rFonts w:eastAsia="Calibri"/>
        </w:rPr>
        <w:t xml:space="preserve">and supports </w:t>
      </w:r>
      <w:r w:rsidR="00425F0C">
        <w:rPr>
          <w:rFonts w:eastAsia="Calibri"/>
        </w:rPr>
        <w:t xml:space="preserve">also need to be informed by evidence and best practice, which is why research and </w:t>
      </w:r>
      <w:r w:rsidR="001B6232">
        <w:rPr>
          <w:rFonts w:eastAsia="Calibri"/>
        </w:rPr>
        <w:t xml:space="preserve">evaluation </w:t>
      </w:r>
      <w:r w:rsidR="00D4104D" w:rsidRPr="14082CBE">
        <w:rPr>
          <w:rFonts w:eastAsia="Calibri"/>
        </w:rPr>
        <w:t>is</w:t>
      </w:r>
      <w:r w:rsidR="091CDCAF" w:rsidRPr="14082CBE">
        <w:rPr>
          <w:rFonts w:eastAsia="Calibri"/>
        </w:rPr>
        <w:t xml:space="preserve"> </w:t>
      </w:r>
      <w:r w:rsidR="001A77CA">
        <w:rPr>
          <w:rFonts w:eastAsia="Calibri"/>
        </w:rPr>
        <w:t xml:space="preserve">also </w:t>
      </w:r>
      <w:r w:rsidR="091CDCAF" w:rsidRPr="14082CBE">
        <w:rPr>
          <w:rFonts w:eastAsia="Calibri"/>
        </w:rPr>
        <w:t xml:space="preserve">included as a focus within </w:t>
      </w:r>
      <w:r w:rsidR="00C911EA">
        <w:rPr>
          <w:rFonts w:eastAsia="Calibri"/>
        </w:rPr>
        <w:t xml:space="preserve">this new </w:t>
      </w:r>
      <w:r w:rsidR="00C911EA" w:rsidRPr="00FE5C7F">
        <w:rPr>
          <w:rFonts w:eastAsia="Calibri"/>
          <w:i/>
          <w:iCs/>
        </w:rPr>
        <w:t xml:space="preserve">Strategy to Prevent and Minimise Gambling Harm </w:t>
      </w:r>
      <w:r w:rsidR="00CA680C" w:rsidRPr="00FE5C7F">
        <w:rPr>
          <w:rFonts w:eastAsia="Calibri"/>
          <w:i/>
          <w:iCs/>
        </w:rPr>
        <w:t>2025/26–2027/28</w:t>
      </w:r>
      <w:r w:rsidR="350FD3CA" w:rsidRPr="14082CBE">
        <w:rPr>
          <w:rFonts w:eastAsia="Calibri"/>
          <w:i/>
          <w:iCs/>
        </w:rPr>
        <w:t xml:space="preserve"> (the Strategy)</w:t>
      </w:r>
      <w:r w:rsidR="00CA680C" w:rsidRPr="14082CBE">
        <w:rPr>
          <w:rFonts w:eastAsia="Calibri"/>
        </w:rPr>
        <w:t>.</w:t>
      </w:r>
    </w:p>
    <w:p w14:paraId="54CC8B12" w14:textId="77777777" w:rsidR="00D03A55" w:rsidRDefault="00D03A55" w:rsidP="00425F0C">
      <w:pPr>
        <w:rPr>
          <w:rFonts w:eastAsia="Calibri"/>
          <w:b/>
          <w:bCs/>
        </w:rPr>
      </w:pPr>
    </w:p>
    <w:p w14:paraId="57005827" w14:textId="7371BA93" w:rsidR="00425F0C" w:rsidRDefault="00425F0C" w:rsidP="00425F0C">
      <w:pPr>
        <w:rPr>
          <w:rFonts w:eastAsia="Calibri"/>
        </w:rPr>
      </w:pPr>
      <w:r>
        <w:rPr>
          <w:rFonts w:eastAsia="Calibri"/>
        </w:rPr>
        <w:t xml:space="preserve">You will see in this </w:t>
      </w:r>
      <w:r w:rsidR="6EF1DD67" w:rsidRPr="67F76714">
        <w:rPr>
          <w:rFonts w:eastAsia="Calibri"/>
        </w:rPr>
        <w:t>S</w:t>
      </w:r>
      <w:r w:rsidR="00CA680C">
        <w:rPr>
          <w:rFonts w:eastAsia="Calibri"/>
        </w:rPr>
        <w:t xml:space="preserve">trategy </w:t>
      </w:r>
      <w:r>
        <w:rPr>
          <w:rFonts w:eastAsia="Calibri"/>
        </w:rPr>
        <w:t xml:space="preserve">that the Government’s mental health and addiction priorities are clearly reflected to ensure </w:t>
      </w:r>
      <w:r w:rsidR="00CA680C">
        <w:rPr>
          <w:rFonts w:eastAsia="Calibri"/>
        </w:rPr>
        <w:t xml:space="preserve">a comprehensive </w:t>
      </w:r>
      <w:r>
        <w:rPr>
          <w:rFonts w:eastAsia="Calibri"/>
        </w:rPr>
        <w:t>gambling harm support system is in place. In this context, my priorities are to:</w:t>
      </w:r>
    </w:p>
    <w:p w14:paraId="4342B8EB" w14:textId="54D2C0DA" w:rsidR="00425F0C" w:rsidRPr="00847B9F" w:rsidRDefault="00425F0C" w:rsidP="008A189B">
      <w:pPr>
        <w:pStyle w:val="Bullet"/>
        <w:rPr>
          <w:rFonts w:eastAsia="Calibri"/>
        </w:rPr>
      </w:pPr>
      <w:r w:rsidRPr="00847B9F">
        <w:rPr>
          <w:rFonts w:eastAsia="Calibri"/>
        </w:rPr>
        <w:t xml:space="preserve">Increase access to gambling harm </w:t>
      </w:r>
      <w:r w:rsidR="001B6232" w:rsidRPr="00847B9F">
        <w:rPr>
          <w:rFonts w:eastAsia="Calibri"/>
        </w:rPr>
        <w:t>support.</w:t>
      </w:r>
      <w:r w:rsidRPr="00847B9F">
        <w:rPr>
          <w:rFonts w:eastAsia="Calibri"/>
        </w:rPr>
        <w:t> </w:t>
      </w:r>
    </w:p>
    <w:p w14:paraId="71BCE6A9" w14:textId="343D597E" w:rsidR="00425F0C" w:rsidRDefault="00425F0C" w:rsidP="008A189B">
      <w:pPr>
        <w:pStyle w:val="Bullet"/>
        <w:rPr>
          <w:rFonts w:eastAsia="Calibri"/>
        </w:rPr>
      </w:pPr>
      <w:r w:rsidRPr="00847B9F">
        <w:rPr>
          <w:rFonts w:eastAsia="Calibri"/>
        </w:rPr>
        <w:t xml:space="preserve">Grow the gambling harm </w:t>
      </w:r>
      <w:r w:rsidR="001B6232" w:rsidRPr="00847B9F">
        <w:rPr>
          <w:rFonts w:eastAsia="Calibri"/>
        </w:rPr>
        <w:t>workforce.</w:t>
      </w:r>
    </w:p>
    <w:p w14:paraId="76E9D2AF" w14:textId="309EF8A3" w:rsidR="00425F0C" w:rsidRDefault="00425F0C" w:rsidP="008A189B">
      <w:pPr>
        <w:pStyle w:val="Bullet"/>
        <w:rPr>
          <w:rFonts w:eastAsia="Calibri"/>
        </w:rPr>
      </w:pPr>
      <w:r w:rsidRPr="00847B9F">
        <w:rPr>
          <w:rFonts w:eastAsia="Calibri"/>
        </w:rPr>
        <w:t xml:space="preserve">Strengthen the focus on the prevention of and early intervention in gambling </w:t>
      </w:r>
      <w:r w:rsidR="001B6232" w:rsidRPr="00847B9F">
        <w:rPr>
          <w:rFonts w:eastAsia="Calibri"/>
        </w:rPr>
        <w:t>harm.</w:t>
      </w:r>
    </w:p>
    <w:p w14:paraId="034475FE" w14:textId="77777777" w:rsidR="00425F0C" w:rsidRDefault="00425F0C" w:rsidP="008A189B">
      <w:pPr>
        <w:pStyle w:val="Bullet"/>
        <w:rPr>
          <w:rFonts w:eastAsia="Calibri"/>
        </w:rPr>
      </w:pPr>
      <w:r w:rsidRPr="00847B9F">
        <w:rPr>
          <w:rFonts w:eastAsia="Calibri"/>
        </w:rPr>
        <w:t>Improve the effectiveness of gambling harm support</w:t>
      </w:r>
      <w:r>
        <w:rPr>
          <w:rFonts w:eastAsia="Calibri"/>
        </w:rPr>
        <w:t>.</w:t>
      </w:r>
    </w:p>
    <w:p w14:paraId="30ABAD1F" w14:textId="77777777" w:rsidR="006754E2" w:rsidRDefault="006754E2" w:rsidP="00BC5302">
      <w:pPr>
        <w:rPr>
          <w:rFonts w:eastAsia="Calibri"/>
        </w:rPr>
      </w:pPr>
    </w:p>
    <w:p w14:paraId="3A3BCB87" w14:textId="4E28AB99" w:rsidR="00BC5302" w:rsidRDefault="00E02202" w:rsidP="00BC5302">
      <w:pPr>
        <w:rPr>
          <w:rFonts w:eastAsia="Calibri"/>
        </w:rPr>
      </w:pPr>
      <w:r>
        <w:rPr>
          <w:rFonts w:eastAsia="Calibri"/>
        </w:rPr>
        <w:t xml:space="preserve">Critical to my priority of effectiveness is understanding the impact of the </w:t>
      </w:r>
      <w:r w:rsidR="6BFC29E2" w:rsidRPr="5E5B6BAE">
        <w:rPr>
          <w:rFonts w:eastAsia="Calibri"/>
        </w:rPr>
        <w:t>S</w:t>
      </w:r>
      <w:r>
        <w:rPr>
          <w:rFonts w:eastAsia="Calibri"/>
        </w:rPr>
        <w:t>trategy</w:t>
      </w:r>
      <w:r w:rsidR="00342CFC">
        <w:rPr>
          <w:rFonts w:eastAsia="Calibri"/>
        </w:rPr>
        <w:t xml:space="preserve">. While </w:t>
      </w:r>
      <w:r w:rsidR="001313D2">
        <w:rPr>
          <w:rFonts w:eastAsia="Calibri"/>
        </w:rPr>
        <w:t xml:space="preserve">the </w:t>
      </w:r>
      <w:r w:rsidR="6B05D7B4" w:rsidRPr="30C46440">
        <w:rPr>
          <w:rFonts w:eastAsia="Calibri"/>
        </w:rPr>
        <w:t>S</w:t>
      </w:r>
      <w:r w:rsidR="001313D2">
        <w:rPr>
          <w:rFonts w:eastAsia="Calibri"/>
        </w:rPr>
        <w:t xml:space="preserve">trategy </w:t>
      </w:r>
      <w:r w:rsidR="00342CFC">
        <w:rPr>
          <w:rFonts w:eastAsia="Calibri"/>
        </w:rPr>
        <w:t xml:space="preserve">includes a range of evidence-informed services and interventions, </w:t>
      </w:r>
      <w:r w:rsidR="00734476">
        <w:rPr>
          <w:rFonts w:eastAsia="Calibri"/>
        </w:rPr>
        <w:t xml:space="preserve">the </w:t>
      </w:r>
      <w:r w:rsidR="0EA758A4" w:rsidRPr="5E5B6BAE">
        <w:rPr>
          <w:rFonts w:eastAsia="Calibri"/>
        </w:rPr>
        <w:t>S</w:t>
      </w:r>
      <w:r w:rsidR="00734476">
        <w:rPr>
          <w:rFonts w:eastAsia="Calibri"/>
        </w:rPr>
        <w:t xml:space="preserve">trategy as a whole has never been evaluated. </w:t>
      </w:r>
      <w:r w:rsidR="00C936F4">
        <w:rPr>
          <w:rFonts w:eastAsia="Calibri"/>
        </w:rPr>
        <w:t xml:space="preserve">As part of this </w:t>
      </w:r>
      <w:r w:rsidR="128D52A5" w:rsidRPr="30C46440">
        <w:rPr>
          <w:rFonts w:eastAsia="Calibri"/>
        </w:rPr>
        <w:t>S</w:t>
      </w:r>
      <w:r w:rsidR="00C936F4" w:rsidRPr="30C46440">
        <w:rPr>
          <w:rFonts w:eastAsia="Calibri"/>
        </w:rPr>
        <w:t>trategy</w:t>
      </w:r>
      <w:r w:rsidR="00C936F4">
        <w:rPr>
          <w:rFonts w:eastAsia="Calibri"/>
        </w:rPr>
        <w:t xml:space="preserve">, the Ministry of Health will </w:t>
      </w:r>
      <w:r w:rsidR="00BB64E4">
        <w:rPr>
          <w:rFonts w:eastAsia="Calibri"/>
        </w:rPr>
        <w:t xml:space="preserve">lead work to </w:t>
      </w:r>
      <w:r w:rsidR="00C936F4">
        <w:rPr>
          <w:rFonts w:eastAsia="Calibri"/>
        </w:rPr>
        <w:t xml:space="preserve">undertake an impact evaluation so we can </w:t>
      </w:r>
      <w:r w:rsidR="005C394E">
        <w:rPr>
          <w:rFonts w:eastAsia="Calibri"/>
        </w:rPr>
        <w:t xml:space="preserve">be confident our current investment in preventing and minimising gambling harm is effective. </w:t>
      </w:r>
    </w:p>
    <w:p w14:paraId="357EAA29" w14:textId="77777777" w:rsidR="001C4DB9" w:rsidRDefault="001C4DB9" w:rsidP="00BC5302">
      <w:pPr>
        <w:rPr>
          <w:rFonts w:eastAsia="Calibri"/>
        </w:rPr>
      </w:pPr>
    </w:p>
    <w:p w14:paraId="6B7B6EF5" w14:textId="6A810CBE" w:rsidR="00CC65BA" w:rsidRPr="007D0A71" w:rsidRDefault="11C3552C" w:rsidP="00CC65BA">
      <w:r w:rsidRPr="353D33B8">
        <w:rPr>
          <w:rFonts w:eastAsia="Calibri"/>
        </w:rPr>
        <w:t>In 2026</w:t>
      </w:r>
      <w:r w:rsidR="00B464C1">
        <w:rPr>
          <w:rFonts w:eastAsia="Calibri"/>
        </w:rPr>
        <w:t>,</w:t>
      </w:r>
      <w:r w:rsidRPr="353D33B8">
        <w:rPr>
          <w:rFonts w:eastAsia="Calibri"/>
        </w:rPr>
        <w:t xml:space="preserve"> t</w:t>
      </w:r>
      <w:r w:rsidR="001C4DB9">
        <w:rPr>
          <w:rFonts w:eastAsia="Calibri"/>
        </w:rPr>
        <w:t>his Government</w:t>
      </w:r>
      <w:r w:rsidR="001313D2">
        <w:rPr>
          <w:rFonts w:eastAsia="Calibri"/>
        </w:rPr>
        <w:t xml:space="preserve">’s decision to regulate </w:t>
      </w:r>
      <w:r w:rsidR="001313D2">
        <w:t xml:space="preserve">online casino gambling will </w:t>
      </w:r>
      <w:r w:rsidR="008F2526">
        <w:t xml:space="preserve">also </w:t>
      </w:r>
      <w:r w:rsidR="001313D2">
        <w:t>come into effect</w:t>
      </w:r>
      <w:r w:rsidR="00076877">
        <w:t xml:space="preserve">, changing the landscape of </w:t>
      </w:r>
      <w:r w:rsidR="008F2526">
        <w:t xml:space="preserve">the regulated gambling sector. </w:t>
      </w:r>
    </w:p>
    <w:p w14:paraId="3303F976" w14:textId="795C9CF2" w:rsidR="001C4DB9" w:rsidRDefault="001C4DB9" w:rsidP="00BC5302">
      <w:pPr>
        <w:rPr>
          <w:rFonts w:eastAsia="Calibri"/>
        </w:rPr>
      </w:pPr>
    </w:p>
    <w:p w14:paraId="289382A5" w14:textId="2F7A25EB" w:rsidR="005C394E" w:rsidRDefault="008F2526" w:rsidP="00BC5302">
      <w:pPr>
        <w:rPr>
          <w:rFonts w:eastAsia="Calibri"/>
        </w:rPr>
      </w:pPr>
      <w:r>
        <w:rPr>
          <w:rFonts w:eastAsia="Calibri"/>
        </w:rPr>
        <w:t>In acknowledgement of this, and</w:t>
      </w:r>
      <w:r w:rsidR="00F80CB2">
        <w:rPr>
          <w:rFonts w:eastAsia="Calibri"/>
        </w:rPr>
        <w:t xml:space="preserve"> </w:t>
      </w:r>
      <w:r w:rsidR="006E56F0">
        <w:rPr>
          <w:rFonts w:eastAsia="Calibri"/>
        </w:rPr>
        <w:t xml:space="preserve">in anticipation of a full impact evaluation of the </w:t>
      </w:r>
      <w:r w:rsidR="295EAF0D" w:rsidRPr="2150E173">
        <w:rPr>
          <w:rFonts w:eastAsia="Calibri"/>
        </w:rPr>
        <w:t>S</w:t>
      </w:r>
      <w:r w:rsidR="006E56F0">
        <w:rPr>
          <w:rFonts w:eastAsia="Calibri"/>
        </w:rPr>
        <w:t xml:space="preserve">trategy, the Government has </w:t>
      </w:r>
      <w:r w:rsidR="00272237">
        <w:rPr>
          <w:rFonts w:eastAsia="Calibri"/>
        </w:rPr>
        <w:t xml:space="preserve">decided to provide a </w:t>
      </w:r>
      <w:r w:rsidR="00BB64E4">
        <w:rPr>
          <w:rFonts w:eastAsia="Calibri"/>
        </w:rPr>
        <w:t xml:space="preserve">modest </w:t>
      </w:r>
      <w:r w:rsidR="00272237">
        <w:rPr>
          <w:rFonts w:eastAsia="Calibri"/>
        </w:rPr>
        <w:t xml:space="preserve">uplift to the </w:t>
      </w:r>
      <w:r w:rsidR="538C2F29" w:rsidRPr="2150E173">
        <w:rPr>
          <w:rFonts w:eastAsia="Calibri"/>
        </w:rPr>
        <w:t>S</w:t>
      </w:r>
      <w:r w:rsidR="00156F29">
        <w:rPr>
          <w:rFonts w:eastAsia="Calibri"/>
        </w:rPr>
        <w:t xml:space="preserve">trategy budget to a total of </w:t>
      </w:r>
      <w:r w:rsidR="00E00B82" w:rsidRPr="00625736">
        <w:rPr>
          <w:rFonts w:eastAsia="Calibri"/>
        </w:rPr>
        <w:t>$</w:t>
      </w:r>
      <w:r w:rsidR="00140DB3" w:rsidRPr="00625736">
        <w:rPr>
          <w:rFonts w:eastAsia="Calibri"/>
        </w:rPr>
        <w:t>81.</w:t>
      </w:r>
      <w:r w:rsidR="00140DB3">
        <w:rPr>
          <w:rFonts w:eastAsia="Calibri"/>
        </w:rPr>
        <w:t>358</w:t>
      </w:r>
      <w:r w:rsidR="00E00B82">
        <w:rPr>
          <w:rFonts w:eastAsia="Calibri"/>
        </w:rPr>
        <w:t xml:space="preserve"> million over three year</w:t>
      </w:r>
      <w:r w:rsidR="00F920F9">
        <w:rPr>
          <w:rFonts w:eastAsia="Calibri"/>
        </w:rPr>
        <w:t xml:space="preserve">s. This will </w:t>
      </w:r>
      <w:r w:rsidR="00156F29">
        <w:rPr>
          <w:rFonts w:eastAsia="Calibri"/>
        </w:rPr>
        <w:t xml:space="preserve">maintain the </w:t>
      </w:r>
      <w:r w:rsidR="00E00B82">
        <w:rPr>
          <w:rFonts w:eastAsia="Calibri"/>
        </w:rPr>
        <w:t xml:space="preserve">provision of </w:t>
      </w:r>
      <w:r w:rsidR="00156F29">
        <w:rPr>
          <w:rFonts w:eastAsia="Calibri"/>
        </w:rPr>
        <w:t xml:space="preserve">critical </w:t>
      </w:r>
      <w:r w:rsidR="00E00B82">
        <w:rPr>
          <w:rFonts w:eastAsia="Calibri"/>
        </w:rPr>
        <w:t>public health and treatment services</w:t>
      </w:r>
      <w:r w:rsidR="002F4A61">
        <w:rPr>
          <w:rFonts w:eastAsia="Calibri"/>
        </w:rPr>
        <w:t xml:space="preserve"> while the </w:t>
      </w:r>
      <w:r w:rsidR="5915E9EA" w:rsidRPr="2150E173">
        <w:rPr>
          <w:rFonts w:eastAsia="Calibri"/>
        </w:rPr>
        <w:t>S</w:t>
      </w:r>
      <w:r w:rsidR="002F4A61">
        <w:rPr>
          <w:rFonts w:eastAsia="Calibri"/>
        </w:rPr>
        <w:t>trategy impact evaluation progresses</w:t>
      </w:r>
      <w:r w:rsidR="001D178A">
        <w:rPr>
          <w:rFonts w:eastAsia="Calibri"/>
        </w:rPr>
        <w:t xml:space="preserve"> and the </w:t>
      </w:r>
      <w:r w:rsidR="00DF7E85">
        <w:rPr>
          <w:rFonts w:eastAsia="Calibri"/>
        </w:rPr>
        <w:t xml:space="preserve">regulatory regime for online casino gambling </w:t>
      </w:r>
      <w:r w:rsidR="00C02AB3">
        <w:rPr>
          <w:rFonts w:eastAsia="Calibri"/>
        </w:rPr>
        <w:t xml:space="preserve">is established. </w:t>
      </w:r>
    </w:p>
    <w:p w14:paraId="0B0E6E1A" w14:textId="77777777" w:rsidR="00C02AB3" w:rsidRDefault="00C02AB3" w:rsidP="00BC5302">
      <w:pPr>
        <w:rPr>
          <w:rFonts w:eastAsia="Calibri"/>
        </w:rPr>
      </w:pPr>
    </w:p>
    <w:p w14:paraId="79CED965" w14:textId="71E588B5" w:rsidR="00C02AB3" w:rsidRDefault="00C02AB3" w:rsidP="00BC5302">
      <w:r>
        <w:t>T</w:t>
      </w:r>
      <w:r w:rsidRPr="007F53A7">
        <w:t xml:space="preserve">he </w:t>
      </w:r>
      <w:r>
        <w:t xml:space="preserve">Gambling </w:t>
      </w:r>
      <w:r w:rsidRPr="007F53A7">
        <w:t xml:space="preserve">Act </w:t>
      </w:r>
      <w:r>
        <w:t xml:space="preserve">2003 </w:t>
      </w:r>
      <w:r w:rsidRPr="007F53A7">
        <w:t xml:space="preserve">has mechanisms </w:t>
      </w:r>
      <w:r>
        <w:t xml:space="preserve">for an early reconsideration of the </w:t>
      </w:r>
      <w:r w:rsidR="56FAF0C1">
        <w:t xml:space="preserve">problem gambling </w:t>
      </w:r>
      <w:r>
        <w:t xml:space="preserve">levy if there are significant changes to the gambling environment. </w:t>
      </w:r>
      <w:r w:rsidR="00D775CB">
        <w:t xml:space="preserve">The </w:t>
      </w:r>
      <w:r w:rsidR="00D775CB">
        <w:lastRenderedPageBreak/>
        <w:t xml:space="preserve">Minister </w:t>
      </w:r>
      <w:r w:rsidR="00F01652">
        <w:t xml:space="preserve">of Internal Affairs and I will consider </w:t>
      </w:r>
      <w:r w:rsidR="00C37529">
        <w:t xml:space="preserve">the budget </w:t>
      </w:r>
      <w:r w:rsidR="006035E0">
        <w:t xml:space="preserve">and levy settings in </w:t>
      </w:r>
      <w:r w:rsidR="00C37529" w:rsidRPr="007D0A71">
        <w:t xml:space="preserve">response to the </w:t>
      </w:r>
      <w:r w:rsidR="006035E0">
        <w:t xml:space="preserve">evaluation </w:t>
      </w:r>
      <w:r w:rsidR="00C37529" w:rsidRPr="007D0A71">
        <w:t xml:space="preserve">findings and </w:t>
      </w:r>
      <w:r w:rsidR="00CB7E3F">
        <w:t xml:space="preserve">to incorporate </w:t>
      </w:r>
      <w:r w:rsidR="00C37529" w:rsidRPr="007D0A71">
        <w:t>online casino licence holders as a new levy paying sector</w:t>
      </w:r>
      <w:r w:rsidR="00CB7E3F">
        <w:t>.</w:t>
      </w:r>
    </w:p>
    <w:p w14:paraId="084AA3B7" w14:textId="77777777" w:rsidR="0088165F" w:rsidRDefault="0088165F" w:rsidP="00BC5302"/>
    <w:p w14:paraId="405AC66C" w14:textId="101B2422" w:rsidR="005C394E" w:rsidRDefault="00FC02E8" w:rsidP="00BC5302">
      <w:pPr>
        <w:rPr>
          <w:rFonts w:eastAsia="Calibri"/>
        </w:rPr>
      </w:pPr>
      <w:r>
        <w:rPr>
          <w:rFonts w:eastAsia="Calibri"/>
        </w:rPr>
        <w:t xml:space="preserve">I want to thank all who participated in the development of this </w:t>
      </w:r>
      <w:r w:rsidR="50B124D3" w:rsidRPr="3DD93037">
        <w:rPr>
          <w:rFonts w:eastAsia="Calibri"/>
        </w:rPr>
        <w:t>S</w:t>
      </w:r>
      <w:r w:rsidRPr="3DD93037">
        <w:rPr>
          <w:rFonts w:eastAsia="Calibri"/>
        </w:rPr>
        <w:t xml:space="preserve">trategy – </w:t>
      </w:r>
      <w:r w:rsidR="49C82170" w:rsidRPr="3DD93037">
        <w:rPr>
          <w:rFonts w:eastAsia="Calibri"/>
        </w:rPr>
        <w:t xml:space="preserve">people with lived experience, </w:t>
      </w:r>
      <w:r>
        <w:rPr>
          <w:rFonts w:eastAsia="Calibri"/>
        </w:rPr>
        <w:t>gambling harm prevention and minimisation organisations, services and workers</w:t>
      </w:r>
      <w:r w:rsidR="00C34078">
        <w:rPr>
          <w:rFonts w:eastAsia="Calibri"/>
        </w:rPr>
        <w:t>,</w:t>
      </w:r>
      <w:r>
        <w:rPr>
          <w:rFonts w:eastAsia="Calibri"/>
        </w:rPr>
        <w:t xml:space="preserve"> and the gambling industry. </w:t>
      </w:r>
      <w:r w:rsidR="00041C62">
        <w:rPr>
          <w:rFonts w:eastAsia="Calibri"/>
        </w:rPr>
        <w:t>I appreciate the shared commitment to prevent</w:t>
      </w:r>
      <w:r w:rsidR="00492D78">
        <w:rPr>
          <w:rFonts w:eastAsia="Calibri"/>
        </w:rPr>
        <w:t>ing</w:t>
      </w:r>
      <w:r w:rsidR="00041C62">
        <w:rPr>
          <w:rFonts w:eastAsia="Calibri"/>
        </w:rPr>
        <w:t xml:space="preserve"> </w:t>
      </w:r>
      <w:r w:rsidR="00F11F63">
        <w:rPr>
          <w:rFonts w:eastAsia="Calibri"/>
        </w:rPr>
        <w:t>and minimis</w:t>
      </w:r>
      <w:r w:rsidR="00492D78">
        <w:rPr>
          <w:rFonts w:eastAsia="Calibri"/>
        </w:rPr>
        <w:t>ing</w:t>
      </w:r>
      <w:r w:rsidR="00F11F63">
        <w:rPr>
          <w:rFonts w:eastAsia="Calibri"/>
        </w:rPr>
        <w:t xml:space="preserve"> gambling harm and look forward to working together to </w:t>
      </w:r>
      <w:r w:rsidR="00E13545">
        <w:rPr>
          <w:rFonts w:eastAsia="Calibri"/>
        </w:rPr>
        <w:t xml:space="preserve">achieve this aim. </w:t>
      </w:r>
    </w:p>
    <w:p w14:paraId="4339CCFE" w14:textId="77777777" w:rsidR="00E13545" w:rsidRDefault="00E13545" w:rsidP="00BC5302">
      <w:pPr>
        <w:rPr>
          <w:rFonts w:eastAsia="Calibri"/>
        </w:rPr>
      </w:pPr>
    </w:p>
    <w:p w14:paraId="2BF962DC" w14:textId="77777777" w:rsidR="002C1C89" w:rsidRDefault="002C1C89" w:rsidP="00BC5302">
      <w:pPr>
        <w:rPr>
          <w:rFonts w:eastAsia="Calibri"/>
        </w:rPr>
      </w:pPr>
    </w:p>
    <w:p w14:paraId="03BA5945" w14:textId="77777777" w:rsidR="00625736" w:rsidRDefault="00625736" w:rsidP="00BC5302">
      <w:pPr>
        <w:rPr>
          <w:rFonts w:eastAsia="Calibri"/>
        </w:rPr>
      </w:pPr>
    </w:p>
    <w:p w14:paraId="5869AC8D" w14:textId="2DD8AF23" w:rsidR="00E13545" w:rsidRDefault="002C1C89" w:rsidP="00BC5302">
      <w:pPr>
        <w:rPr>
          <w:rFonts w:eastAsia="Calibri"/>
        </w:rPr>
      </w:pPr>
      <w:r>
        <w:rPr>
          <w:rFonts w:eastAsia="Calibri"/>
        </w:rPr>
        <w:t>Hon Matt Doocey</w:t>
      </w:r>
    </w:p>
    <w:p w14:paraId="23A42C72" w14:textId="465ECE72" w:rsidR="002C1C89" w:rsidRDefault="002C1C89" w:rsidP="00BC5302">
      <w:pPr>
        <w:rPr>
          <w:rFonts w:eastAsia="Calibri"/>
        </w:rPr>
      </w:pPr>
      <w:r>
        <w:rPr>
          <w:rFonts w:eastAsia="Calibri"/>
        </w:rPr>
        <w:t xml:space="preserve">Minister for Mental Health </w:t>
      </w:r>
    </w:p>
    <w:p w14:paraId="798742D9" w14:textId="77777777" w:rsidR="00CA680C" w:rsidRDefault="00CA680C" w:rsidP="000B6725"/>
    <w:p w14:paraId="44DE8189" w14:textId="77777777" w:rsidR="001C2213" w:rsidRPr="00671FAA" w:rsidRDefault="001C2213" w:rsidP="0088165F"/>
    <w:p w14:paraId="122EF4E6" w14:textId="4D2438FB" w:rsidR="000C65DD" w:rsidRPr="00A34922" w:rsidRDefault="00FA3EC1" w:rsidP="0088165F">
      <w:pPr>
        <w:pStyle w:val="Heading1"/>
      </w:pPr>
      <w:r>
        <w:br w:type="page"/>
      </w:r>
      <w:bookmarkStart w:id="6" w:name="_Toc197527573"/>
      <w:r w:rsidR="000C65DD" w:rsidRPr="000C65DD">
        <w:lastRenderedPageBreak/>
        <w:t xml:space="preserve">Executive </w:t>
      </w:r>
      <w:r w:rsidR="00364E08">
        <w:t>s</w:t>
      </w:r>
      <w:r w:rsidR="000C65DD" w:rsidRPr="000C65DD">
        <w:t>ummary</w:t>
      </w:r>
      <w:bookmarkEnd w:id="6"/>
    </w:p>
    <w:p w14:paraId="2E75CEA8" w14:textId="1471E330" w:rsidR="000C65DD" w:rsidRPr="000C65DD" w:rsidRDefault="000C65DD" w:rsidP="000C65DD">
      <w:r w:rsidRPr="000C65DD">
        <w:t xml:space="preserve">Gambling harm </w:t>
      </w:r>
      <w:r w:rsidR="00D93E34" w:rsidRPr="000B701B">
        <w:t xml:space="preserve">has wide-ranging social </w:t>
      </w:r>
      <w:r w:rsidR="00D93E34">
        <w:t xml:space="preserve">and economic </w:t>
      </w:r>
      <w:r w:rsidR="00D93E34" w:rsidRPr="000B701B">
        <w:t xml:space="preserve">impacts with about </w:t>
      </w:r>
      <w:r w:rsidRPr="000C65DD">
        <w:t>one in five people in New Zealand experienc</w:t>
      </w:r>
      <w:r w:rsidR="00801A50">
        <w:t>ing</w:t>
      </w:r>
      <w:r w:rsidRPr="000C65DD">
        <w:t xml:space="preserve"> harm in their lifetime due to their own or someone else’s gambling. </w:t>
      </w:r>
      <w:r w:rsidR="000B701B" w:rsidRPr="000B701B">
        <w:t>In 2023/24, New Zealanders lost more than $2.79 billion gambling.</w:t>
      </w:r>
      <w:r w:rsidR="009E2252">
        <w:t xml:space="preserve"> </w:t>
      </w:r>
    </w:p>
    <w:p w14:paraId="7885D839" w14:textId="77777777" w:rsidR="000C65DD" w:rsidRPr="000C65DD" w:rsidRDefault="000C65DD" w:rsidP="000C65DD"/>
    <w:p w14:paraId="41C4F0B4" w14:textId="358AFE81" w:rsidR="000C65DD" w:rsidRPr="000C65DD" w:rsidRDefault="000C65DD" w:rsidP="000C65DD">
      <w:r w:rsidRPr="000C65DD">
        <w:t xml:space="preserve">The Gambling Act 2003 </w:t>
      </w:r>
      <w:r w:rsidR="00BC45CE">
        <w:t xml:space="preserve">(the Act) </w:t>
      </w:r>
      <w:r w:rsidRPr="000C65DD">
        <w:t xml:space="preserve">prioritises the prevention and minimisation of gambling harm through multiple channels, including by mandating an integrated problem gambling strategy focused on public health. The strategy must include public health and </w:t>
      </w:r>
      <w:r w:rsidR="0054073A">
        <w:t>treatment</w:t>
      </w:r>
      <w:r w:rsidRPr="000C65DD">
        <w:t xml:space="preserve"> services to prevent and minimise gambling harm, which are funded by a problem gambling levy </w:t>
      </w:r>
      <w:r w:rsidR="3E809B4E">
        <w:t xml:space="preserve">(the levy) </w:t>
      </w:r>
      <w:r w:rsidRPr="000C65DD">
        <w:t>on the gambling industry. This means the strategy will be fiscally neutral to the Crown over time. The levy is set in regulation and the levy formula is contained in the Act. The current levy regulations expire on 30 June 202</w:t>
      </w:r>
      <w:r w:rsidR="00595BED">
        <w:t>5</w:t>
      </w:r>
      <w:r w:rsidRPr="000C65DD">
        <w:t>.</w:t>
      </w:r>
    </w:p>
    <w:p w14:paraId="3B52F5BE" w14:textId="77777777" w:rsidR="000C65DD" w:rsidRPr="000C65DD" w:rsidRDefault="000C65DD" w:rsidP="000C65DD"/>
    <w:p w14:paraId="78AA5762" w14:textId="7FD3C006" w:rsidR="000C65DD" w:rsidRDefault="000C65DD" w:rsidP="000C65DD">
      <w:r w:rsidRPr="000C65DD">
        <w:t>The Ministry of Health (the Ministry) is responsible for developing and implementing the strategy</w:t>
      </w:r>
      <w:r w:rsidR="007757A4">
        <w:t xml:space="preserve"> together with Health New Zealand</w:t>
      </w:r>
      <w:r w:rsidRPr="000C65DD">
        <w:t>.</w:t>
      </w:r>
    </w:p>
    <w:p w14:paraId="5C81C864" w14:textId="77777777" w:rsidR="000C66F2" w:rsidRPr="000C65DD" w:rsidRDefault="000C66F2" w:rsidP="000C65DD"/>
    <w:p w14:paraId="73BC7944" w14:textId="064ED94A" w:rsidR="006C09E5" w:rsidRPr="00A34922" w:rsidRDefault="00772F9F" w:rsidP="00CB7B9E">
      <w:r>
        <w:t>T</w:t>
      </w:r>
      <w:r w:rsidR="006C09E5">
        <w:t>h</w:t>
      </w:r>
      <w:r w:rsidR="3D14329B">
        <w:t>is S</w:t>
      </w:r>
      <w:r>
        <w:t xml:space="preserve">trategy’s </w:t>
      </w:r>
      <w:r w:rsidR="006C09E5" w:rsidRPr="00A34922">
        <w:t xml:space="preserve">overarching goal </w:t>
      </w:r>
      <w:r>
        <w:t xml:space="preserve">is </w:t>
      </w:r>
      <w:r w:rsidR="00A90113">
        <w:t xml:space="preserve">that </w:t>
      </w:r>
      <w:r w:rsidR="006C09E5" w:rsidRPr="00A34922">
        <w:t>New Zealanders' quality of life and life expectancy are not affected by gambling harm</w:t>
      </w:r>
      <w:r>
        <w:t>. Th</w:t>
      </w:r>
      <w:r w:rsidR="00B93B5B">
        <w:t xml:space="preserve">e </w:t>
      </w:r>
      <w:r w:rsidR="28D4A982">
        <w:t>S</w:t>
      </w:r>
      <w:r w:rsidR="00B93B5B">
        <w:t>trateg</w:t>
      </w:r>
      <w:r w:rsidR="00A0550B">
        <w:t xml:space="preserve">y is </w:t>
      </w:r>
      <w:r w:rsidR="002A09C3">
        <w:t xml:space="preserve">aligned </w:t>
      </w:r>
      <w:r w:rsidR="00A0550B">
        <w:t xml:space="preserve">with </w:t>
      </w:r>
      <w:r w:rsidR="006C09E5" w:rsidRPr="00A34922">
        <w:t xml:space="preserve">the Government’s priorities for mental health and addiction, as follows: </w:t>
      </w:r>
    </w:p>
    <w:p w14:paraId="20852C5A" w14:textId="0C7EE607" w:rsidR="006C09E5" w:rsidRPr="00A34922" w:rsidRDefault="006B3C9C" w:rsidP="008A189B">
      <w:pPr>
        <w:pStyle w:val="Letter"/>
        <w:tabs>
          <w:tab w:val="left" w:pos="709"/>
        </w:tabs>
        <w:ind w:left="567"/>
      </w:pPr>
      <w:r w:rsidRPr="00CB7B9E">
        <w:rPr>
          <w:b/>
          <w:bCs/>
          <w:color w:val="0A6AB4"/>
        </w:rPr>
        <w:t>i</w:t>
      </w:r>
      <w:r w:rsidR="006C09E5" w:rsidRPr="00CB7B9E">
        <w:rPr>
          <w:b/>
          <w:bCs/>
          <w:color w:val="0A6AB4"/>
        </w:rPr>
        <w:t>mprov</w:t>
      </w:r>
      <w:r w:rsidR="00AC4631">
        <w:rPr>
          <w:b/>
          <w:bCs/>
          <w:color w:val="0A6AB4"/>
        </w:rPr>
        <w:t>e</w:t>
      </w:r>
      <w:r w:rsidR="006C09E5" w:rsidRPr="00CB7B9E">
        <w:rPr>
          <w:b/>
          <w:bCs/>
          <w:color w:val="0A6AB4"/>
        </w:rPr>
        <w:t xml:space="preserve"> access to gambling harm </w:t>
      </w:r>
      <w:r w:rsidR="00F61394" w:rsidRPr="00CB7B9E">
        <w:rPr>
          <w:b/>
          <w:bCs/>
          <w:color w:val="0A6AB4"/>
        </w:rPr>
        <w:t xml:space="preserve">support </w:t>
      </w:r>
      <w:r w:rsidR="006C09E5" w:rsidRPr="00CB7B9E">
        <w:rPr>
          <w:b/>
          <w:bCs/>
          <w:color w:val="0A6AB4"/>
        </w:rPr>
        <w:t>services</w:t>
      </w:r>
      <w:r w:rsidR="006C09E5" w:rsidRPr="00A34922">
        <w:t xml:space="preserve"> </w:t>
      </w:r>
      <w:r w:rsidR="00927A66">
        <w:t xml:space="preserve">by </w:t>
      </w:r>
      <w:r w:rsidR="2BCFF5A3">
        <w:t xml:space="preserve">supporting the development and visibility </w:t>
      </w:r>
      <w:r w:rsidR="00D21BC8">
        <w:t>of</w:t>
      </w:r>
      <w:r w:rsidR="00D21BC8" w:rsidRPr="004F1289">
        <w:t xml:space="preserve"> </w:t>
      </w:r>
      <w:r w:rsidR="00D21BC8" w:rsidRPr="00A34922">
        <w:t>clinical</w:t>
      </w:r>
      <w:r w:rsidR="006C09E5" w:rsidRPr="00A34922">
        <w:t xml:space="preserve"> service provision, both in terms of type of service/population served and </w:t>
      </w:r>
      <w:r w:rsidR="00D4104D" w:rsidRPr="00B37105">
        <w:t>location.</w:t>
      </w:r>
    </w:p>
    <w:p w14:paraId="30033BE8" w14:textId="64F32BAB" w:rsidR="006C09E5" w:rsidRPr="00A34922" w:rsidRDefault="002A09C3" w:rsidP="008A189B">
      <w:pPr>
        <w:pStyle w:val="Letter"/>
        <w:tabs>
          <w:tab w:val="left" w:pos="709"/>
        </w:tabs>
        <w:ind w:left="567"/>
      </w:pPr>
      <w:r w:rsidRPr="00CB7B9E">
        <w:rPr>
          <w:b/>
          <w:bCs/>
          <w:color w:val="0A6AB4"/>
        </w:rPr>
        <w:t>g</w:t>
      </w:r>
      <w:r w:rsidR="006C09E5" w:rsidRPr="00CB7B9E">
        <w:rPr>
          <w:b/>
          <w:bCs/>
          <w:color w:val="0A6AB4"/>
        </w:rPr>
        <w:t>row</w:t>
      </w:r>
      <w:r w:rsidRPr="00CB7B9E">
        <w:rPr>
          <w:b/>
          <w:bCs/>
          <w:color w:val="0A6AB4"/>
        </w:rPr>
        <w:t>ing</w:t>
      </w:r>
      <w:r w:rsidR="006C09E5" w:rsidRPr="00CB7B9E">
        <w:rPr>
          <w:b/>
          <w:bCs/>
          <w:color w:val="0A6AB4"/>
        </w:rPr>
        <w:t xml:space="preserve"> the gambling harm workforce</w:t>
      </w:r>
      <w:r w:rsidR="006C09E5" w:rsidRPr="00A34922">
        <w:t xml:space="preserve"> </w:t>
      </w:r>
      <w:r w:rsidR="006C09E5" w:rsidRPr="004F1289">
        <w:t xml:space="preserve">by </w:t>
      </w:r>
      <w:r w:rsidR="00F61394" w:rsidRPr="004F1289">
        <w:t>improving</w:t>
      </w:r>
      <w:r w:rsidR="00F61394" w:rsidRPr="007B68C3">
        <w:t xml:space="preserve"> training</w:t>
      </w:r>
      <w:r w:rsidR="00F61394">
        <w:t xml:space="preserve"> </w:t>
      </w:r>
      <w:r w:rsidR="000229EA">
        <w:t>content, internships</w:t>
      </w:r>
      <w:r w:rsidR="00397688" w:rsidDel="00FA0C5B">
        <w:t xml:space="preserve"> </w:t>
      </w:r>
      <w:r w:rsidR="00AD5F9C" w:rsidDel="00FA0C5B">
        <w:t xml:space="preserve">and </w:t>
      </w:r>
      <w:r w:rsidR="00397688">
        <w:t>scholarships</w:t>
      </w:r>
      <w:r w:rsidR="00D851D2">
        <w:t>,</w:t>
      </w:r>
      <w:r w:rsidR="00397688">
        <w:t xml:space="preserve"> </w:t>
      </w:r>
      <w:r w:rsidR="006C09E5" w:rsidRPr="00A34922">
        <w:t xml:space="preserve">and </w:t>
      </w:r>
      <w:r w:rsidR="1AB20D5F">
        <w:t xml:space="preserve">initiatives to retain and attract </w:t>
      </w:r>
      <w:r w:rsidR="00D4104D">
        <w:t xml:space="preserve">staff </w:t>
      </w:r>
      <w:r w:rsidR="00D4104D" w:rsidRPr="00A34922">
        <w:t>(</w:t>
      </w:r>
      <w:r w:rsidR="006C09E5" w:rsidRPr="00A34922">
        <w:t>both peer and clinical</w:t>
      </w:r>
      <w:r w:rsidR="00A826A8">
        <w:t>)</w:t>
      </w:r>
      <w:r w:rsidR="006C09E5" w:rsidRPr="00A34922">
        <w:t xml:space="preserve"> </w:t>
      </w:r>
    </w:p>
    <w:p w14:paraId="071E0A80" w14:textId="5FDF3368" w:rsidR="006C09E5" w:rsidRPr="00A34922" w:rsidRDefault="003B6190" w:rsidP="008A189B">
      <w:pPr>
        <w:pStyle w:val="Letter"/>
        <w:tabs>
          <w:tab w:val="left" w:pos="709"/>
        </w:tabs>
        <w:ind w:left="567"/>
      </w:pPr>
      <w:r w:rsidRPr="00CB7B9E">
        <w:rPr>
          <w:b/>
          <w:bCs/>
          <w:color w:val="0A6AB4"/>
        </w:rPr>
        <w:t>st</w:t>
      </w:r>
      <w:r w:rsidR="006C09E5" w:rsidRPr="00CB7B9E">
        <w:rPr>
          <w:b/>
          <w:bCs/>
          <w:color w:val="0A6AB4"/>
        </w:rPr>
        <w:t>rengthen</w:t>
      </w:r>
      <w:r w:rsidRPr="00CB7B9E">
        <w:rPr>
          <w:b/>
          <w:bCs/>
          <w:color w:val="0A6AB4"/>
        </w:rPr>
        <w:t>ing</w:t>
      </w:r>
      <w:r w:rsidR="006C09E5" w:rsidRPr="00CB7B9E">
        <w:rPr>
          <w:b/>
          <w:bCs/>
          <w:color w:val="0A6AB4"/>
        </w:rPr>
        <w:t xml:space="preserve"> </w:t>
      </w:r>
      <w:r w:rsidR="00007FE9">
        <w:rPr>
          <w:b/>
          <w:bCs/>
          <w:color w:val="0A6AB4"/>
        </w:rPr>
        <w:t>prevention</w:t>
      </w:r>
      <w:r w:rsidR="006C09E5" w:rsidRPr="00CB7B9E">
        <w:rPr>
          <w:b/>
          <w:bCs/>
          <w:color w:val="0A6AB4"/>
        </w:rPr>
        <w:t xml:space="preserve"> and early intervention</w:t>
      </w:r>
      <w:r w:rsidR="006C09E5" w:rsidRPr="00CB7B9E">
        <w:rPr>
          <w:b/>
          <w:bCs/>
        </w:rPr>
        <w:t xml:space="preserve"> </w:t>
      </w:r>
      <w:r w:rsidR="006C09E5" w:rsidRPr="00A34922">
        <w:t xml:space="preserve">by </w:t>
      </w:r>
      <w:r w:rsidR="00EF565A">
        <w:t xml:space="preserve">providing </w:t>
      </w:r>
      <w:r w:rsidR="006C09E5" w:rsidRPr="00A34922">
        <w:t>a range of community-focused health promotion</w:t>
      </w:r>
      <w:r w:rsidR="0C039C51">
        <w:t>,</w:t>
      </w:r>
      <w:r w:rsidR="006C09E5" w:rsidRPr="00A34922">
        <w:t xml:space="preserve"> and early intervention activities to prevent and mitigate gambling </w:t>
      </w:r>
      <w:r w:rsidR="000229EA" w:rsidRPr="00A34922">
        <w:t>harm.</w:t>
      </w:r>
    </w:p>
    <w:p w14:paraId="26859476" w14:textId="7643BBA8" w:rsidR="006C09E5" w:rsidRPr="00A34922" w:rsidRDefault="003B6190" w:rsidP="008A189B">
      <w:pPr>
        <w:pStyle w:val="Letter"/>
        <w:tabs>
          <w:tab w:val="left" w:pos="709"/>
        </w:tabs>
        <w:ind w:left="567"/>
      </w:pPr>
      <w:r w:rsidRPr="00CB7B9E">
        <w:rPr>
          <w:b/>
          <w:bCs/>
          <w:color w:val="0A6AB4"/>
        </w:rPr>
        <w:t xml:space="preserve">improving </w:t>
      </w:r>
      <w:r w:rsidR="006C09E5" w:rsidRPr="00CB7B9E">
        <w:rPr>
          <w:b/>
          <w:bCs/>
          <w:color w:val="0A6AB4"/>
        </w:rPr>
        <w:t>the effectiveness of gambling harm support</w:t>
      </w:r>
      <w:r w:rsidR="006C09E5" w:rsidRPr="00A34922">
        <w:t xml:space="preserve"> by </w:t>
      </w:r>
      <w:r w:rsidR="003076BC">
        <w:t xml:space="preserve">developing </w:t>
      </w:r>
      <w:r w:rsidR="006C09E5" w:rsidRPr="00A34922">
        <w:t>a new data management system</w:t>
      </w:r>
      <w:r w:rsidR="00D76BBA">
        <w:t xml:space="preserve">, </w:t>
      </w:r>
      <w:r w:rsidR="006C09E5" w:rsidRPr="00A34922">
        <w:t>commission</w:t>
      </w:r>
      <w:r w:rsidR="003076BC">
        <w:t>ing</w:t>
      </w:r>
      <w:r w:rsidR="006C09E5" w:rsidRPr="00A34922">
        <w:t xml:space="preserve"> a range of research and evaluation projects,</w:t>
      </w:r>
      <w:r w:rsidR="00136EB9">
        <w:t xml:space="preserve"> </w:t>
      </w:r>
      <w:r w:rsidR="6BF2E11F">
        <w:t>undertaking</w:t>
      </w:r>
      <w:r w:rsidR="00D76BBA">
        <w:t xml:space="preserve"> </w:t>
      </w:r>
      <w:r w:rsidR="006C09E5" w:rsidRPr="00A34922">
        <w:t xml:space="preserve">an impact evaluation of the Strategy </w:t>
      </w:r>
      <w:r w:rsidR="00D76BBA">
        <w:t xml:space="preserve">and developing a monitoring framework </w:t>
      </w:r>
      <w:r w:rsidR="006C09E5" w:rsidRPr="00A34922">
        <w:t>(as recommended by the Commission in its 2022 report).</w:t>
      </w:r>
    </w:p>
    <w:p w14:paraId="1B70ECE4" w14:textId="77777777" w:rsidR="00264D62" w:rsidRDefault="00264D62" w:rsidP="000C66F2"/>
    <w:p w14:paraId="7605E251" w14:textId="18AB51E3" w:rsidR="00EB5A7B" w:rsidRPr="00B82627" w:rsidRDefault="0005159F" w:rsidP="00CB7B9E">
      <w:r>
        <w:t>G</w:t>
      </w:r>
      <w:r w:rsidR="00740E3B" w:rsidRPr="00A34922">
        <w:t>ambling harm is inequitably distributed</w:t>
      </w:r>
      <w:r w:rsidR="1589330F">
        <w:t xml:space="preserve"> in New Zealand</w:t>
      </w:r>
      <w:r w:rsidR="00614553">
        <w:t xml:space="preserve">. The 2023/24 New Zealand Gambling Survey </w:t>
      </w:r>
      <w:r w:rsidR="00146751">
        <w:t>found that</w:t>
      </w:r>
      <w:r w:rsidR="00740E3B" w:rsidRPr="00A34922">
        <w:t xml:space="preserve"> Māori, Pacific, some Asian communities,</w:t>
      </w:r>
      <w:r w:rsidR="00614553">
        <w:t xml:space="preserve"> </w:t>
      </w:r>
      <w:r w:rsidR="00740E3B" w:rsidRPr="00A34922">
        <w:t xml:space="preserve">and young people </w:t>
      </w:r>
      <w:r w:rsidR="00614553">
        <w:t xml:space="preserve">are </w:t>
      </w:r>
      <w:r w:rsidR="00740E3B" w:rsidRPr="00A34922">
        <w:t xml:space="preserve">more likely to be affected. These groups are </w:t>
      </w:r>
      <w:r w:rsidR="00740E3B" w:rsidRPr="00825347">
        <w:t>priority populations</w:t>
      </w:r>
      <w:r w:rsidR="00740E3B" w:rsidRPr="00A34922">
        <w:t xml:space="preserve"> in the </w:t>
      </w:r>
      <w:r w:rsidR="6BF3FD8B">
        <w:t>S</w:t>
      </w:r>
      <w:r w:rsidR="00740E3B" w:rsidRPr="00A34922">
        <w:t>trategy and</w:t>
      </w:r>
      <w:r w:rsidR="00EB5A7B" w:rsidRPr="00B82627">
        <w:t xml:space="preserve"> activit</w:t>
      </w:r>
      <w:r w:rsidR="004B1C36">
        <w:t xml:space="preserve">ies </w:t>
      </w:r>
      <w:r w:rsidR="00EB5A7B" w:rsidRPr="00B82627">
        <w:t xml:space="preserve">geared towards them </w:t>
      </w:r>
      <w:r w:rsidR="00E75C5D">
        <w:t>are</w:t>
      </w:r>
      <w:r w:rsidR="00EB5A7B" w:rsidRPr="00B82627">
        <w:t xml:space="preserve"> embedded in all layers of th</w:t>
      </w:r>
      <w:r w:rsidR="00EB5A7B">
        <w:t>is</w:t>
      </w:r>
      <w:r w:rsidR="00EB5A7B" w:rsidRPr="00B82627">
        <w:t xml:space="preserve"> document</w:t>
      </w:r>
      <w:r w:rsidR="00EB5A7B">
        <w:t>.</w:t>
      </w:r>
    </w:p>
    <w:p w14:paraId="0C073B5A" w14:textId="77777777" w:rsidR="00264D62" w:rsidRDefault="00264D62" w:rsidP="000C66F2"/>
    <w:p w14:paraId="44EB7EAA" w14:textId="048B73CA" w:rsidR="000C65DD" w:rsidRPr="000C65DD" w:rsidRDefault="000C65DD" w:rsidP="000C66F2">
      <w:r w:rsidRPr="000C65DD">
        <w:t xml:space="preserve">The total </w:t>
      </w:r>
      <w:r w:rsidRPr="007709F1">
        <w:t xml:space="preserve">cost to implement the </w:t>
      </w:r>
      <w:r w:rsidR="5B0FC038">
        <w:t>S</w:t>
      </w:r>
      <w:r w:rsidRPr="007709F1">
        <w:t>trategy for 202</w:t>
      </w:r>
      <w:r w:rsidR="0054073A" w:rsidRPr="007709F1">
        <w:t>5</w:t>
      </w:r>
      <w:r w:rsidRPr="007709F1">
        <w:t>/2</w:t>
      </w:r>
      <w:r w:rsidR="00AA0ECB" w:rsidRPr="007709F1">
        <w:t>6</w:t>
      </w:r>
      <w:r w:rsidRPr="007709F1">
        <w:t xml:space="preserve"> to 202</w:t>
      </w:r>
      <w:r w:rsidR="00AA0ECB" w:rsidRPr="007709F1">
        <w:t>7</w:t>
      </w:r>
      <w:r w:rsidRPr="007709F1">
        <w:t>/2</w:t>
      </w:r>
      <w:r w:rsidR="00AA0ECB" w:rsidRPr="007709F1">
        <w:t>8</w:t>
      </w:r>
      <w:r w:rsidRPr="007709F1">
        <w:t xml:space="preserve"> is</w:t>
      </w:r>
      <w:r w:rsidR="00264D62" w:rsidRPr="007709F1">
        <w:t xml:space="preserve"> </w:t>
      </w:r>
      <w:r w:rsidRPr="007709F1">
        <w:t>$</w:t>
      </w:r>
      <w:r w:rsidR="00F711F2" w:rsidRPr="007709F1">
        <w:t>81</w:t>
      </w:r>
      <w:r w:rsidR="008F76C1" w:rsidRPr="007709F1">
        <w:t>.</w:t>
      </w:r>
      <w:r w:rsidR="00140DB3" w:rsidRPr="007709F1">
        <w:t xml:space="preserve">358 </w:t>
      </w:r>
      <w:r w:rsidRPr="007709F1">
        <w:t>million, an increase of $</w:t>
      </w:r>
      <w:r w:rsidR="00F711F2" w:rsidRPr="007709F1">
        <w:t>5.235</w:t>
      </w:r>
      <w:r w:rsidRPr="007709F1">
        <w:t xml:space="preserve"> million from the last levy period (20</w:t>
      </w:r>
      <w:r w:rsidR="008F76C1" w:rsidRPr="007709F1">
        <w:t>22</w:t>
      </w:r>
      <w:r w:rsidRPr="007709F1">
        <w:t>/2</w:t>
      </w:r>
      <w:r w:rsidR="008F76C1" w:rsidRPr="007709F1">
        <w:t>3</w:t>
      </w:r>
      <w:r w:rsidRPr="007709F1">
        <w:t xml:space="preserve"> to 202</w:t>
      </w:r>
      <w:r w:rsidR="008F76C1" w:rsidRPr="007709F1">
        <w:t>4</w:t>
      </w:r>
      <w:r w:rsidRPr="007709F1">
        <w:t>/2</w:t>
      </w:r>
      <w:r w:rsidR="008F76C1" w:rsidRPr="007709F1">
        <w:t>5</w:t>
      </w:r>
      <w:r w:rsidRPr="007709F1">
        <w:t>). This cost is recouped by a levy on the</w:t>
      </w:r>
      <w:r w:rsidRPr="000C65DD">
        <w:t xml:space="preserve"> </w:t>
      </w:r>
      <w:r w:rsidR="00974DC4">
        <w:t>operators of the</w:t>
      </w:r>
      <w:r w:rsidR="005002DD">
        <w:t xml:space="preserve"> </w:t>
      </w:r>
      <w:r w:rsidRPr="000C65DD">
        <w:t>main types of gambling</w:t>
      </w:r>
      <w:r w:rsidR="005002DD">
        <w:t xml:space="preserve">. </w:t>
      </w:r>
    </w:p>
    <w:p w14:paraId="2942A4EF" w14:textId="77777777" w:rsidR="00264D62" w:rsidRDefault="00264D62" w:rsidP="000C66F2"/>
    <w:p w14:paraId="06B60EBB" w14:textId="10C41964" w:rsidR="00F711F2" w:rsidRPr="007D0A71" w:rsidRDefault="00F711F2" w:rsidP="00CB7B9E">
      <w:r w:rsidRPr="007D0A71">
        <w:lastRenderedPageBreak/>
        <w:t xml:space="preserve">This level of funding is less than originally proposed. In </w:t>
      </w:r>
      <w:r w:rsidR="36A362BA">
        <w:t>its</w:t>
      </w:r>
      <w:r w:rsidRPr="007D0A71">
        <w:t xml:space="preserve"> report to</w:t>
      </w:r>
      <w:r w:rsidR="00FC46E0">
        <w:t xml:space="preserve"> </w:t>
      </w:r>
      <w:r w:rsidRPr="007D0A71">
        <w:t xml:space="preserve">responsible Ministers, the Gambling Commission </w:t>
      </w:r>
      <w:r w:rsidR="00FC46E0">
        <w:t>stated it could not endorse a fund</w:t>
      </w:r>
      <w:r w:rsidRPr="007D0A71">
        <w:t xml:space="preserve">ing increase </w:t>
      </w:r>
      <w:r w:rsidR="00FC46E0">
        <w:t xml:space="preserve">“in the absence of </w:t>
      </w:r>
      <w:r w:rsidRPr="007D0A71">
        <w:t>clear evidence of the benefit of existing expenditure and a compelling basis for the proposed increase</w:t>
      </w:r>
      <w:r w:rsidR="00FC46E0">
        <w:t>”</w:t>
      </w:r>
      <w:r w:rsidRPr="007D0A71">
        <w:t xml:space="preserve">. The Commission recommended the budget remains at its current levy and supported the Ministry undertaking its planned impact evaluation of the </w:t>
      </w:r>
      <w:r w:rsidR="5C61BA2A">
        <w:t>S</w:t>
      </w:r>
      <w:r w:rsidRPr="007D0A71">
        <w:t>trategy</w:t>
      </w:r>
      <w:r w:rsidR="00FC46E0">
        <w:t xml:space="preserve">. </w:t>
      </w:r>
    </w:p>
    <w:p w14:paraId="7B3A35EC" w14:textId="77777777" w:rsidR="00264D62" w:rsidRDefault="00264D62" w:rsidP="000C66F2"/>
    <w:p w14:paraId="115FCAD8" w14:textId="4E0EC76D" w:rsidR="00F711F2" w:rsidRPr="007D0A71" w:rsidRDefault="00F711F2" w:rsidP="00CB7B9E">
      <w:r w:rsidRPr="007D0A71">
        <w:t>The Government has carefully considered the Commission’s report</w:t>
      </w:r>
      <w:r w:rsidR="00CB15D9">
        <w:t>,</w:t>
      </w:r>
      <w:r w:rsidRPr="007D0A71">
        <w:t xml:space="preserve"> and although </w:t>
      </w:r>
      <w:r w:rsidR="0F80B40A">
        <w:t>we</w:t>
      </w:r>
      <w:r w:rsidRPr="007D0A71">
        <w:t xml:space="preserve"> note m</w:t>
      </w:r>
      <w:r w:rsidR="00146751">
        <w:t>any</w:t>
      </w:r>
      <w:r w:rsidRPr="007D0A71">
        <w:t xml:space="preserve"> submissions supported a funding increase, on balance </w:t>
      </w:r>
      <w:r w:rsidR="06EE7BC8">
        <w:t>we</w:t>
      </w:r>
      <w:r w:rsidR="00CB15D9">
        <w:t xml:space="preserve"> </w:t>
      </w:r>
      <w:r w:rsidR="00726D39" w:rsidRPr="007D0A71">
        <w:t>consider</w:t>
      </w:r>
      <w:r w:rsidRPr="007D0A71">
        <w:t xml:space="preserve"> maintaining </w:t>
      </w:r>
      <w:r>
        <w:t xml:space="preserve">funding in line with </w:t>
      </w:r>
      <w:r w:rsidRPr="007D0A71">
        <w:t>current levels would be prudent</w:t>
      </w:r>
      <w:r>
        <w:t xml:space="preserve">. </w:t>
      </w:r>
      <w:r w:rsidRPr="007D0A71">
        <w:t xml:space="preserve">This would enable the proposed </w:t>
      </w:r>
      <w:r w:rsidR="00441F90">
        <w:t xml:space="preserve">impact evaluation </w:t>
      </w:r>
      <w:r>
        <w:t xml:space="preserve">and related work </w:t>
      </w:r>
      <w:r w:rsidRPr="007D0A71">
        <w:t xml:space="preserve">to be completed </w:t>
      </w:r>
      <w:r w:rsidR="00441F90">
        <w:t xml:space="preserve">to provide assurance to New Zealanders that </w:t>
      </w:r>
      <w:r w:rsidR="00E93806">
        <w:t xml:space="preserve">current investment is effective. </w:t>
      </w:r>
      <w:r w:rsidR="00013588">
        <w:t xml:space="preserve">It would also allow </w:t>
      </w:r>
      <w:r w:rsidRPr="007D0A71">
        <w:t xml:space="preserve">time to </w:t>
      </w:r>
      <w:r>
        <w:t xml:space="preserve">assess the details of introducing </w:t>
      </w:r>
      <w:r w:rsidRPr="007D0A71">
        <w:t>new online casino providers</w:t>
      </w:r>
      <w:r>
        <w:t xml:space="preserve">, expected to </w:t>
      </w:r>
      <w:r w:rsidRPr="007D0A71">
        <w:t>commence in 2026</w:t>
      </w:r>
      <w:r w:rsidR="00013588">
        <w:t>, before making significant changes to resourcing levels</w:t>
      </w:r>
      <w:r w:rsidRPr="007D0A71">
        <w:t>.</w:t>
      </w:r>
    </w:p>
    <w:p w14:paraId="67EBBF29" w14:textId="77777777" w:rsidR="00264D62" w:rsidRDefault="00264D62" w:rsidP="000C66F2"/>
    <w:p w14:paraId="22F568B5" w14:textId="35759A12" w:rsidR="00F711F2" w:rsidRPr="007D0A71" w:rsidRDefault="00F711F2" w:rsidP="00CB7B9E">
      <w:r w:rsidRPr="007D0A71">
        <w:t xml:space="preserve">Although the </w:t>
      </w:r>
      <w:r w:rsidR="4880BB01">
        <w:t>S</w:t>
      </w:r>
      <w:r w:rsidRPr="007D0A71">
        <w:t xml:space="preserve">trategy and levy are set </w:t>
      </w:r>
      <w:r w:rsidR="00FC46E0">
        <w:t xml:space="preserve">to cover </w:t>
      </w:r>
      <w:r w:rsidRPr="007D0A71">
        <w:t xml:space="preserve">a three-year period, we anticipate the above factors would justify </w:t>
      </w:r>
      <w:r w:rsidR="00FC46E0">
        <w:t xml:space="preserve">engaging </w:t>
      </w:r>
      <w:r w:rsidRPr="007D0A71">
        <w:t xml:space="preserve">an early reconsideration of levy funding in response to the </w:t>
      </w:r>
      <w:r w:rsidR="00013588">
        <w:t>evaluation</w:t>
      </w:r>
      <w:r w:rsidR="00013588" w:rsidRPr="007D0A71">
        <w:t xml:space="preserve"> </w:t>
      </w:r>
      <w:r w:rsidRPr="007D0A71">
        <w:t xml:space="preserve">findings and </w:t>
      </w:r>
      <w:r w:rsidR="00FC46E0">
        <w:t xml:space="preserve">to </w:t>
      </w:r>
      <w:r>
        <w:t xml:space="preserve">use that opportunity to </w:t>
      </w:r>
      <w:r w:rsidRPr="007D0A71">
        <w:t xml:space="preserve">incorporate online casino licence holders as a new levy paying sector. </w:t>
      </w:r>
    </w:p>
    <w:p w14:paraId="0E046369" w14:textId="77777777" w:rsidR="00264D62" w:rsidRDefault="00264D62" w:rsidP="000C66F2"/>
    <w:p w14:paraId="13219A48" w14:textId="7BA48651" w:rsidR="000C65DD" w:rsidRPr="000C65DD" w:rsidRDefault="000C65DD" w:rsidP="000C66F2">
      <w:r w:rsidRPr="000C65DD">
        <w:t xml:space="preserve">The Ministry thanks all those who shared their experiences of gambling harm and contributed to the revised </w:t>
      </w:r>
      <w:r w:rsidR="45E67700">
        <w:t>S</w:t>
      </w:r>
      <w:r w:rsidRPr="000C65DD">
        <w:t>trategy, which drew comments from a wide range of industry, health service and community stakeholders, including people with lived experience of gambling harm.</w:t>
      </w:r>
    </w:p>
    <w:p w14:paraId="70B9DC17" w14:textId="77777777" w:rsidR="000C65DD" w:rsidRDefault="000C65DD" w:rsidP="000C65DD"/>
    <w:p w14:paraId="210A9DF6" w14:textId="77777777" w:rsidR="004B1C36" w:rsidRDefault="004B1C36" w:rsidP="000C65DD"/>
    <w:p w14:paraId="0B2886CA" w14:textId="77777777" w:rsidR="004B1C36" w:rsidRPr="000C65DD" w:rsidRDefault="004B1C36" w:rsidP="000C65DD">
      <w:pPr>
        <w:sectPr w:rsidR="004B1C36" w:rsidRPr="000C65DD" w:rsidSect="000C65DD">
          <w:pgSz w:w="11907" w:h="16840"/>
          <w:pgMar w:top="1418" w:right="1701" w:bottom="1134" w:left="1843" w:header="284" w:footer="425" w:gutter="284"/>
          <w:pgNumType w:fmt="lowerRoman"/>
          <w:cols w:space="720"/>
        </w:sectPr>
      </w:pPr>
    </w:p>
    <w:p w14:paraId="00F673DF" w14:textId="3831EFF4" w:rsidR="004A337E" w:rsidRPr="00517395" w:rsidRDefault="004A337E" w:rsidP="00517395">
      <w:pPr>
        <w:pStyle w:val="Heading1"/>
      </w:pPr>
      <w:bookmarkStart w:id="7" w:name="_Toc197527574"/>
      <w:r w:rsidRPr="00517395">
        <w:lastRenderedPageBreak/>
        <w:t>Introduction</w:t>
      </w:r>
      <w:bookmarkEnd w:id="5"/>
      <w:bookmarkEnd w:id="7"/>
    </w:p>
    <w:p w14:paraId="09C7E02C" w14:textId="7B2189EC" w:rsidR="004A337E" w:rsidRDefault="2BDDF9E7" w:rsidP="2F6A6A80">
      <w:pPr>
        <w:rPr>
          <w:rFonts w:eastAsiaTheme="minorEastAsia"/>
          <w:lang w:eastAsia="en-US"/>
        </w:rPr>
      </w:pPr>
      <w:r w:rsidRPr="2F6A6A80">
        <w:rPr>
          <w:rFonts w:eastAsiaTheme="minorEastAsia"/>
          <w:lang w:eastAsia="en-US"/>
        </w:rPr>
        <w:t xml:space="preserve">The Gambling Act 2003 </w:t>
      </w:r>
      <w:r w:rsidR="5FD597B6" w:rsidRPr="2F6A6A80">
        <w:rPr>
          <w:rFonts w:eastAsiaTheme="minorEastAsia"/>
          <w:lang w:eastAsia="en-US"/>
        </w:rPr>
        <w:t xml:space="preserve">(the Act) </w:t>
      </w:r>
      <w:r w:rsidRPr="2F6A6A80">
        <w:rPr>
          <w:rFonts w:eastAsiaTheme="minorEastAsia"/>
          <w:lang w:eastAsia="en-US"/>
        </w:rPr>
        <w:t>sets out requirements for an ‘integrated problem gambling strategy focused on public health’. The Ministry of Health</w:t>
      </w:r>
      <w:r w:rsidR="098F6296" w:rsidRPr="2F6A6A80">
        <w:rPr>
          <w:rFonts w:eastAsiaTheme="minorEastAsia"/>
          <w:lang w:eastAsia="en-US"/>
        </w:rPr>
        <w:t xml:space="preserve"> (the Ministry)</w:t>
      </w:r>
      <w:r w:rsidRPr="2F6A6A80">
        <w:rPr>
          <w:rFonts w:eastAsiaTheme="minorEastAsia"/>
          <w:lang w:eastAsia="en-US"/>
        </w:rPr>
        <w:t xml:space="preserve"> is responsible for developing and refreshing this strategy at three-yearly intervals, and for implementing it. The Act specifies a two-stage consultation process to develop the strategy and the </w:t>
      </w:r>
      <w:r w:rsidR="56A44100" w:rsidRPr="2F6A6A80">
        <w:rPr>
          <w:rFonts w:eastAsiaTheme="minorEastAsia"/>
          <w:lang w:eastAsia="en-US"/>
        </w:rPr>
        <w:t>rates of the problem gambling levy, which funds all activity under the strategy</w:t>
      </w:r>
      <w:r w:rsidRPr="2F6A6A80">
        <w:rPr>
          <w:rFonts w:eastAsiaTheme="minorEastAsia"/>
          <w:lang w:eastAsia="en-US"/>
        </w:rPr>
        <w:t>.</w:t>
      </w:r>
    </w:p>
    <w:p w14:paraId="4124F3F3" w14:textId="77777777" w:rsidR="00100E30" w:rsidRDefault="00100E30" w:rsidP="2F6A6A80">
      <w:pPr>
        <w:rPr>
          <w:rFonts w:eastAsiaTheme="minorEastAsia"/>
          <w:lang w:eastAsia="en-US"/>
        </w:rPr>
      </w:pPr>
    </w:p>
    <w:p w14:paraId="6CF9F451" w14:textId="65E43B30" w:rsidR="00100E30" w:rsidRDefault="00100E30" w:rsidP="00100E30">
      <w:r>
        <w:rPr>
          <w:spacing w:val="-5"/>
        </w:rPr>
        <w:t xml:space="preserve">This </w:t>
      </w:r>
      <w:r w:rsidR="463029AB">
        <w:t>S</w:t>
      </w:r>
      <w:r>
        <w:rPr>
          <w:spacing w:val="-5"/>
        </w:rPr>
        <w:t>trategy is the integrated problem gambling strategy required in the Act. Th</w:t>
      </w:r>
      <w:r w:rsidR="078AA754">
        <w:rPr>
          <w:spacing w:val="-5"/>
        </w:rPr>
        <w:t>e</w:t>
      </w:r>
      <w:r>
        <w:rPr>
          <w:spacing w:val="-5"/>
        </w:rPr>
        <w:t xml:space="preserve"> </w:t>
      </w:r>
      <w:r w:rsidR="50B05430">
        <w:t>S</w:t>
      </w:r>
      <w:r>
        <w:rPr>
          <w:spacing w:val="-5"/>
        </w:rPr>
        <w:t>trategy sets out the Ministry’s response to prevent and minimise gambling harm, after considering the:</w:t>
      </w:r>
    </w:p>
    <w:p w14:paraId="4C1EB6EB" w14:textId="7D5C6BAE" w:rsidR="00100E30" w:rsidRDefault="00100E30" w:rsidP="00100E30">
      <w:pPr>
        <w:pStyle w:val="Bullet"/>
        <w:numPr>
          <w:ilvl w:val="0"/>
          <w:numId w:val="47"/>
        </w:numPr>
      </w:pPr>
      <w:r>
        <w:t xml:space="preserve">submissions on the consultation document and the </w:t>
      </w:r>
      <w:r w:rsidR="008F3C2A">
        <w:t xml:space="preserve">independent </w:t>
      </w:r>
      <w:r>
        <w:t>analysis of submissions</w:t>
      </w:r>
      <w:r w:rsidR="008F3C2A">
        <w:t xml:space="preserve"> (Allen + Clarke)</w:t>
      </w:r>
    </w:p>
    <w:p w14:paraId="515C3A00" w14:textId="77777777" w:rsidR="00100E30" w:rsidRDefault="00100E30" w:rsidP="00100E30">
      <w:pPr>
        <w:pStyle w:val="Bullet"/>
        <w:numPr>
          <w:ilvl w:val="0"/>
          <w:numId w:val="47"/>
        </w:numPr>
      </w:pPr>
      <w:r>
        <w:rPr>
          <w:i/>
          <w:iCs/>
        </w:rPr>
        <w:t>Gambling Harm Needs Assessment 2024</w:t>
      </w:r>
      <w:r>
        <w:t xml:space="preserve"> (</w:t>
      </w:r>
      <w:proofErr w:type="spellStart"/>
      <w:r>
        <w:t>Malatest</w:t>
      </w:r>
      <w:proofErr w:type="spellEnd"/>
      <w:r>
        <w:t xml:space="preserve"> International)</w:t>
      </w:r>
    </w:p>
    <w:p w14:paraId="5A29E9AA" w14:textId="08B680E8" w:rsidR="00100E30" w:rsidRDefault="00100E30" w:rsidP="3EBC88D3">
      <w:pPr>
        <w:pStyle w:val="Bullet"/>
      </w:pPr>
      <w:r>
        <w:t xml:space="preserve">Gambling Commission’s report to responsible Ministers and the independent report prepared for the Commission about the Ministry’s revised </w:t>
      </w:r>
      <w:r w:rsidR="4A33444D">
        <w:t>S</w:t>
      </w:r>
      <w:r>
        <w:t>trategy proposals document and associated problem gambling levy rates (Gambling Commission 2025).</w:t>
      </w:r>
    </w:p>
    <w:p w14:paraId="1C573C6B" w14:textId="77777777" w:rsidR="00100E30" w:rsidRDefault="00100E30" w:rsidP="2F6A6A80">
      <w:pPr>
        <w:rPr>
          <w:rFonts w:eastAsiaTheme="minorEastAsia"/>
          <w:lang w:eastAsia="en-US"/>
        </w:rPr>
      </w:pPr>
    </w:p>
    <w:p w14:paraId="6A937965" w14:textId="5C7C0C96" w:rsidR="00A549E7" w:rsidRDefault="00A549E7" w:rsidP="0004725D">
      <w:r>
        <w:t xml:space="preserve">The Ministry acknowledges that the different views it received on gambling and minimising gambling harm during the consultation process represented the wide range of perspectives and different life experiences of those who made submissions. While these views sometimes differed, we recognise that the goals and outcomes of the </w:t>
      </w:r>
      <w:r w:rsidR="52157DE0">
        <w:t>S</w:t>
      </w:r>
      <w:r>
        <w:t>trategy matter to all submitters, and they share the common goal of wanting to prevent and minimise gambling harm.</w:t>
      </w:r>
    </w:p>
    <w:p w14:paraId="1BD49162" w14:textId="77777777" w:rsidR="0004725D" w:rsidRDefault="0004725D" w:rsidP="0004725D">
      <w:pPr>
        <w:ind w:right="284"/>
      </w:pPr>
    </w:p>
    <w:p w14:paraId="017E4C2D" w14:textId="689C1A2F" w:rsidR="004A337E" w:rsidRPr="006F2797" w:rsidRDefault="00A549E7" w:rsidP="006F2797">
      <w:pPr>
        <w:ind w:right="284"/>
        <w:rPr>
          <w:rFonts w:eastAsiaTheme="minorEastAsia"/>
        </w:rPr>
      </w:pPr>
      <w:r>
        <w:t xml:space="preserve">The </w:t>
      </w:r>
      <w:r w:rsidR="0B2BF8B7">
        <w:t>S</w:t>
      </w:r>
      <w:r>
        <w:t xml:space="preserve">trategy is aligned with </w:t>
      </w:r>
      <w:r w:rsidRPr="00A34922">
        <w:t xml:space="preserve">the Government’s priorities for mental health and addiction, with </w:t>
      </w:r>
      <w:r w:rsidR="0016091C">
        <w:t xml:space="preserve">a </w:t>
      </w:r>
      <w:r>
        <w:t xml:space="preserve">strategic </w:t>
      </w:r>
      <w:r w:rsidR="0016091C">
        <w:t xml:space="preserve">focus on </w:t>
      </w:r>
      <w:r w:rsidRPr="00A34922">
        <w:t>improv</w:t>
      </w:r>
      <w:r w:rsidR="0016091C">
        <w:t>ing</w:t>
      </w:r>
      <w:r w:rsidRPr="00A34922">
        <w:t xml:space="preserve"> access to gambling harm services, grow</w:t>
      </w:r>
      <w:r w:rsidR="0016091C">
        <w:t>ing</w:t>
      </w:r>
      <w:r w:rsidRPr="00A34922">
        <w:t xml:space="preserve"> the gambling harm workforce, strengthen</w:t>
      </w:r>
      <w:r w:rsidR="0016091C">
        <w:t>ing</w:t>
      </w:r>
      <w:r w:rsidRPr="00A34922">
        <w:t xml:space="preserve"> </w:t>
      </w:r>
      <w:r w:rsidR="005E6FF6">
        <w:t xml:space="preserve">prevention, </w:t>
      </w:r>
      <w:r w:rsidRPr="00A34922">
        <w:t>health promotion and early intervention, and improv</w:t>
      </w:r>
      <w:r w:rsidR="0016091C">
        <w:t>ing</w:t>
      </w:r>
      <w:r w:rsidRPr="00A34922">
        <w:t xml:space="preserve"> the effectiveness of gambling harm supports</w:t>
      </w:r>
      <w:r>
        <w:t xml:space="preserve">. It also incorporates learning from people with lived experience and sets out a range of new and strengthened services to support the needs of people affected by gambling harm. The </w:t>
      </w:r>
      <w:r w:rsidR="400D87BF">
        <w:t>S</w:t>
      </w:r>
      <w:r>
        <w:t xml:space="preserve">trategy is </w:t>
      </w:r>
      <w:r w:rsidR="00734321">
        <w:t xml:space="preserve">also </w:t>
      </w:r>
      <w:r w:rsidR="002A38A0">
        <w:t>aligned with other direction setting documents for the health system</w:t>
      </w:r>
      <w:r w:rsidR="006F2797">
        <w:t xml:space="preserve">, such as </w:t>
      </w:r>
      <w:r w:rsidRPr="2F6A6A80">
        <w:rPr>
          <w:lang w:val="en-GB"/>
        </w:rPr>
        <w:t xml:space="preserve">the </w:t>
      </w:r>
      <w:r w:rsidR="00655056">
        <w:rPr>
          <w:lang w:val="en-GB"/>
        </w:rPr>
        <w:t>Government Policy Statement on Health 2024–2027</w:t>
      </w:r>
      <w:r>
        <w:t>.</w:t>
      </w:r>
    </w:p>
    <w:p w14:paraId="6967BAF6" w14:textId="77777777" w:rsidR="00A549E7" w:rsidRPr="00653754" w:rsidRDefault="00A549E7" w:rsidP="0004725D">
      <w:pPr>
        <w:rPr>
          <w:rFonts w:eastAsiaTheme="minorHAnsi"/>
          <w:strike/>
          <w:lang w:eastAsia="en-US"/>
        </w:rPr>
      </w:pPr>
    </w:p>
    <w:p w14:paraId="653D0C3F" w14:textId="2D5DB886" w:rsidR="004A337E" w:rsidRPr="00653754" w:rsidRDefault="2BDDF9E7" w:rsidP="0004725D">
      <w:pPr>
        <w:rPr>
          <w:rFonts w:eastAsiaTheme="minorEastAsia"/>
          <w:strike/>
          <w:lang w:eastAsia="en-US"/>
        </w:rPr>
      </w:pPr>
      <w:r w:rsidRPr="00F61394">
        <w:rPr>
          <w:rFonts w:eastAsiaTheme="minorEastAsia"/>
          <w:lang w:eastAsia="en-US"/>
        </w:rPr>
        <w:t>Online gambling continues to be a matter of significant concern to many of the di</w:t>
      </w:r>
      <w:r w:rsidR="2572257F" w:rsidRPr="00F61394">
        <w:rPr>
          <w:rFonts w:eastAsiaTheme="minorEastAsia"/>
          <w:lang w:eastAsia="en-US"/>
        </w:rPr>
        <w:t>verse</w:t>
      </w:r>
      <w:r w:rsidRPr="00F61394">
        <w:rPr>
          <w:rFonts w:eastAsiaTheme="minorEastAsia"/>
          <w:lang w:eastAsia="en-US"/>
        </w:rPr>
        <w:t xml:space="preserve"> groups of submitters, with participation and risks growing steadily over the past decade or so, as internet access and smart devices have become </w:t>
      </w:r>
      <w:r w:rsidR="05D56E29" w:rsidRPr="00F61394">
        <w:rPr>
          <w:rFonts w:eastAsiaTheme="minorEastAsia"/>
          <w:lang w:eastAsia="en-US"/>
        </w:rPr>
        <w:t>u</w:t>
      </w:r>
      <w:r w:rsidR="3F4D3EC8" w:rsidRPr="00F61394">
        <w:rPr>
          <w:rFonts w:eastAsiaTheme="minorEastAsia"/>
          <w:lang w:eastAsia="en-US"/>
        </w:rPr>
        <w:t>b</w:t>
      </w:r>
      <w:r w:rsidR="05D56E29" w:rsidRPr="00F61394">
        <w:rPr>
          <w:rFonts w:eastAsiaTheme="minorEastAsia"/>
          <w:lang w:eastAsia="en-US"/>
        </w:rPr>
        <w:t>iquitous</w:t>
      </w:r>
      <w:r w:rsidR="004B2CE6">
        <w:rPr>
          <w:rFonts w:eastAsiaTheme="minorEastAsia"/>
          <w:lang w:eastAsia="en-US"/>
        </w:rPr>
        <w:t xml:space="preserve">. </w:t>
      </w:r>
      <w:r w:rsidRPr="00A34922">
        <w:rPr>
          <w:rFonts w:eastAsiaTheme="minorEastAsia"/>
          <w:lang w:eastAsia="en-US"/>
        </w:rPr>
        <w:t>Many submissions expressed concerns about the ease of access to online gambling</w:t>
      </w:r>
      <w:r w:rsidR="007440E0">
        <w:rPr>
          <w:rFonts w:eastAsiaTheme="minorEastAsia"/>
          <w:lang w:eastAsia="en-US"/>
        </w:rPr>
        <w:t xml:space="preserve">, </w:t>
      </w:r>
      <w:r w:rsidRPr="00A34922">
        <w:rPr>
          <w:rFonts w:eastAsiaTheme="minorEastAsia"/>
          <w:lang w:eastAsia="en-US"/>
        </w:rPr>
        <w:t xml:space="preserve">the targeting of young people, and widespread exposure to gambling advertising </w:t>
      </w:r>
      <w:r w:rsidR="00A34922">
        <w:rPr>
          <w:rFonts w:eastAsiaTheme="minorEastAsia"/>
          <w:lang w:eastAsia="en-US"/>
        </w:rPr>
        <w:t xml:space="preserve">and </w:t>
      </w:r>
      <w:r w:rsidRPr="00A34922">
        <w:rPr>
          <w:rFonts w:eastAsiaTheme="minorEastAsia"/>
          <w:lang w:eastAsia="en-US"/>
        </w:rPr>
        <w:t>a range of other harms in the digital environment</w:t>
      </w:r>
      <w:r w:rsidR="00A34922">
        <w:rPr>
          <w:rFonts w:eastAsiaTheme="minorEastAsia"/>
          <w:lang w:eastAsia="en-US"/>
        </w:rPr>
        <w:t xml:space="preserve"> that is blurring traditional boundaries between in-person gambling and other harms.</w:t>
      </w:r>
      <w:r w:rsidRPr="00A34922">
        <w:rPr>
          <w:rFonts w:eastAsiaTheme="minorEastAsia"/>
          <w:lang w:eastAsia="en-US"/>
        </w:rPr>
        <w:t xml:space="preserve"> </w:t>
      </w:r>
    </w:p>
    <w:p w14:paraId="720BCC0A" w14:textId="77777777" w:rsidR="004A337E" w:rsidRPr="00790C83" w:rsidRDefault="004A337E" w:rsidP="0004725D">
      <w:pPr>
        <w:rPr>
          <w:rFonts w:eastAsiaTheme="minorHAnsi"/>
          <w:lang w:eastAsia="en-US"/>
        </w:rPr>
      </w:pPr>
    </w:p>
    <w:p w14:paraId="499F8A4D" w14:textId="4CFB7399" w:rsidR="004A337E" w:rsidRDefault="004A337E" w:rsidP="0004725D">
      <w:pPr>
        <w:shd w:val="clear" w:color="auto" w:fill="FFFFFF" w:themeFill="background1"/>
        <w:rPr>
          <w:rFonts w:eastAsiaTheme="minorEastAsia"/>
          <w:shd w:val="clear" w:color="auto" w:fill="FFFFFF" w:themeFill="background1"/>
          <w:lang w:eastAsia="en-US"/>
        </w:rPr>
      </w:pPr>
      <w:r w:rsidRPr="2F64F347">
        <w:rPr>
          <w:rFonts w:eastAsiaTheme="minorEastAsia"/>
          <w:lang w:eastAsia="en-US"/>
        </w:rPr>
        <w:t xml:space="preserve">We acknowledge these concerns but note the </w:t>
      </w:r>
      <w:r w:rsidR="3D542EEB" w:rsidRPr="3DD93037">
        <w:rPr>
          <w:rFonts w:eastAsiaTheme="minorEastAsia"/>
          <w:lang w:eastAsia="en-US"/>
        </w:rPr>
        <w:t>S</w:t>
      </w:r>
      <w:r w:rsidRPr="2F64F347">
        <w:rPr>
          <w:rFonts w:eastAsiaTheme="minorEastAsia"/>
          <w:lang w:eastAsia="en-US"/>
        </w:rPr>
        <w:t xml:space="preserve">trategy’s mandate is to address gambling harm. </w:t>
      </w:r>
      <w:r w:rsidR="00D100D4" w:rsidRPr="2F64F347">
        <w:rPr>
          <w:rFonts w:eastAsiaTheme="minorEastAsia"/>
          <w:lang w:eastAsia="en-US"/>
        </w:rPr>
        <w:t xml:space="preserve">The Department of Internal </w:t>
      </w:r>
      <w:r w:rsidR="000D58EA" w:rsidRPr="2F64F347">
        <w:rPr>
          <w:rFonts w:eastAsiaTheme="minorEastAsia"/>
          <w:lang w:eastAsia="en-US"/>
        </w:rPr>
        <w:t>A</w:t>
      </w:r>
      <w:r w:rsidR="00D100D4" w:rsidRPr="2F64F347">
        <w:rPr>
          <w:rFonts w:eastAsiaTheme="minorEastAsia"/>
          <w:lang w:eastAsia="en-US"/>
        </w:rPr>
        <w:t>ffairs administers the Act</w:t>
      </w:r>
      <w:r w:rsidR="00A34922">
        <w:rPr>
          <w:rFonts w:eastAsiaTheme="minorEastAsia"/>
          <w:lang w:eastAsia="en-US"/>
        </w:rPr>
        <w:t xml:space="preserve">. The </w:t>
      </w:r>
      <w:r w:rsidR="2708D778" w:rsidRPr="3DD93037">
        <w:rPr>
          <w:rFonts w:eastAsiaTheme="minorEastAsia"/>
          <w:lang w:eastAsia="en-US"/>
        </w:rPr>
        <w:t>S</w:t>
      </w:r>
      <w:r w:rsidRPr="2F64F347">
        <w:rPr>
          <w:rFonts w:eastAsiaTheme="minorEastAsia"/>
          <w:lang w:eastAsia="en-US"/>
        </w:rPr>
        <w:t xml:space="preserve">trategy </w:t>
      </w:r>
      <w:r w:rsidRPr="2F64F347">
        <w:rPr>
          <w:rFonts w:eastAsiaTheme="minorEastAsia"/>
          <w:lang w:eastAsia="en-US"/>
        </w:rPr>
        <w:lastRenderedPageBreak/>
        <w:t>recognises the Government is developing new legislation to regulate online offshore casinos from 2026</w:t>
      </w:r>
      <w:r w:rsidR="00C708E6">
        <w:rPr>
          <w:rFonts w:eastAsiaTheme="minorEastAsia"/>
          <w:lang w:eastAsia="en-US"/>
        </w:rPr>
        <w:t xml:space="preserve">, with </w:t>
      </w:r>
      <w:r w:rsidRPr="2F64F347">
        <w:rPr>
          <w:rFonts w:eastAsiaTheme="minorEastAsia"/>
          <w:lang w:eastAsia="en-US"/>
        </w:rPr>
        <w:t>the details of that regime</w:t>
      </w:r>
      <w:r w:rsidR="00C708E6">
        <w:rPr>
          <w:rFonts w:eastAsiaTheme="minorEastAsia"/>
          <w:lang w:eastAsia="en-US"/>
        </w:rPr>
        <w:t xml:space="preserve"> under development</w:t>
      </w:r>
      <w:r w:rsidRPr="2F64F347">
        <w:rPr>
          <w:rFonts w:eastAsiaTheme="minorEastAsia"/>
          <w:lang w:eastAsia="en-US"/>
        </w:rPr>
        <w:t xml:space="preserve">. </w:t>
      </w:r>
      <w:r w:rsidR="00C708E6">
        <w:rPr>
          <w:rFonts w:eastAsiaTheme="minorEastAsia"/>
          <w:lang w:eastAsia="en-US"/>
        </w:rPr>
        <w:t xml:space="preserve">The </w:t>
      </w:r>
      <w:r w:rsidR="0551E9B8" w:rsidRPr="3DD93037">
        <w:rPr>
          <w:rFonts w:eastAsiaTheme="minorEastAsia"/>
          <w:lang w:eastAsia="en-US"/>
        </w:rPr>
        <w:t>S</w:t>
      </w:r>
      <w:r w:rsidR="00C708E6">
        <w:rPr>
          <w:rFonts w:eastAsiaTheme="minorEastAsia"/>
          <w:lang w:eastAsia="en-US"/>
        </w:rPr>
        <w:t>trategy</w:t>
      </w:r>
      <w:r w:rsidRPr="2F64F347">
        <w:rPr>
          <w:rFonts w:eastAsiaTheme="minorEastAsia"/>
          <w:lang w:eastAsia="en-US"/>
        </w:rPr>
        <w:t xml:space="preserve"> include</w:t>
      </w:r>
      <w:r w:rsidR="00C708E6">
        <w:rPr>
          <w:rFonts w:eastAsiaTheme="minorEastAsia"/>
          <w:lang w:eastAsia="en-US"/>
        </w:rPr>
        <w:t>s</w:t>
      </w:r>
      <w:r w:rsidRPr="2F64F347">
        <w:rPr>
          <w:rFonts w:eastAsiaTheme="minorEastAsia"/>
          <w:lang w:eastAsia="en-US"/>
        </w:rPr>
        <w:t xml:space="preserve"> specific actions to help address harm from online gambling, for example with proposals to develop self-</w:t>
      </w:r>
      <w:r w:rsidRPr="2F64F347">
        <w:rPr>
          <w:rFonts w:eastAsiaTheme="minorEastAsia"/>
          <w:shd w:val="clear" w:color="auto" w:fill="FFFFFF" w:themeFill="background1"/>
          <w:lang w:eastAsia="en-US"/>
        </w:rPr>
        <w:t xml:space="preserve">exclusion and through broader public health measures to raise awareness of the </w:t>
      </w:r>
      <w:r w:rsidR="00A34922">
        <w:rPr>
          <w:rFonts w:eastAsiaTheme="minorEastAsia"/>
          <w:shd w:val="clear" w:color="auto" w:fill="FFFFFF" w:themeFill="background1"/>
          <w:lang w:eastAsia="en-US"/>
        </w:rPr>
        <w:t xml:space="preserve">risks and </w:t>
      </w:r>
      <w:r w:rsidRPr="2F64F347">
        <w:rPr>
          <w:rFonts w:eastAsiaTheme="minorEastAsia"/>
          <w:shd w:val="clear" w:color="auto" w:fill="FFFFFF" w:themeFill="background1"/>
          <w:lang w:eastAsia="en-US"/>
        </w:rPr>
        <w:t xml:space="preserve">harms that </w:t>
      </w:r>
      <w:r w:rsidR="007B59A4">
        <w:rPr>
          <w:rFonts w:eastAsiaTheme="minorEastAsia"/>
          <w:shd w:val="clear" w:color="auto" w:fill="FFFFFF" w:themeFill="background1"/>
          <w:lang w:eastAsia="en-US"/>
        </w:rPr>
        <w:t xml:space="preserve">may </w:t>
      </w:r>
      <w:r w:rsidRPr="2F64F347">
        <w:rPr>
          <w:rFonts w:eastAsiaTheme="minorEastAsia"/>
          <w:shd w:val="clear" w:color="auto" w:fill="FFFFFF" w:themeFill="background1"/>
          <w:lang w:eastAsia="en-US"/>
        </w:rPr>
        <w:t xml:space="preserve">occur and how to mitigate them. </w:t>
      </w:r>
    </w:p>
    <w:p w14:paraId="6FBA7AB8" w14:textId="77777777" w:rsidR="004A337E" w:rsidRPr="00517395" w:rsidRDefault="004A337E" w:rsidP="00517395">
      <w:pPr>
        <w:pStyle w:val="Heading2"/>
      </w:pPr>
      <w:bookmarkStart w:id="8" w:name="_Toc89684381"/>
      <w:bookmarkStart w:id="9" w:name="_Toc90885037"/>
      <w:bookmarkStart w:id="10" w:name="_Toc197527575"/>
      <w:r w:rsidRPr="00517395">
        <w:t xml:space="preserve">Structure of </w:t>
      </w:r>
      <w:r w:rsidRPr="00845E21">
        <w:t>this</w:t>
      </w:r>
      <w:r w:rsidRPr="00517395">
        <w:t xml:space="preserve"> document</w:t>
      </w:r>
      <w:bookmarkEnd w:id="8"/>
      <w:bookmarkEnd w:id="9"/>
      <w:bookmarkEnd w:id="10"/>
    </w:p>
    <w:p w14:paraId="38E97ABC" w14:textId="658E8521" w:rsidR="004A337E" w:rsidRDefault="004A337E" w:rsidP="00517395">
      <w:r w:rsidRPr="00361FAC">
        <w:t xml:space="preserve">This </w:t>
      </w:r>
      <w:r w:rsidR="6C4C12BA">
        <w:t>S</w:t>
      </w:r>
      <w:r w:rsidR="000022DA">
        <w:t>trategy</w:t>
      </w:r>
      <w:r>
        <w:t xml:space="preserve"> </w:t>
      </w:r>
      <w:r w:rsidRPr="00A66E90">
        <w:t xml:space="preserve">is divided into </w:t>
      </w:r>
      <w:r>
        <w:t>the following sections:</w:t>
      </w:r>
    </w:p>
    <w:p w14:paraId="701657FC" w14:textId="744E4FA8" w:rsidR="004A337E" w:rsidRPr="00517395" w:rsidRDefault="2BDDF9E7" w:rsidP="00517395">
      <w:pPr>
        <w:pStyle w:val="Bullet"/>
      </w:pPr>
      <w:r w:rsidRPr="00CB7B9E">
        <w:rPr>
          <w:b/>
          <w:bCs/>
          <w:color w:val="0A6AB4"/>
        </w:rPr>
        <w:t>A strategic overview</w:t>
      </w:r>
      <w:r w:rsidRPr="00CB7B9E">
        <w:rPr>
          <w:color w:val="0A6AB4"/>
        </w:rPr>
        <w:t xml:space="preserve"> </w:t>
      </w:r>
      <w:r w:rsidRPr="00517395">
        <w:t>including relevant background and context about the gambling environment, the nature of gambling in New Zealand, gambling</w:t>
      </w:r>
      <w:r w:rsidR="00164A3D">
        <w:t>-</w:t>
      </w:r>
      <w:r w:rsidRPr="00517395">
        <w:t xml:space="preserve">related harms and the public health approach to gambling </w:t>
      </w:r>
      <w:r w:rsidR="00726D39" w:rsidRPr="00517395">
        <w:t>harm.</w:t>
      </w:r>
    </w:p>
    <w:p w14:paraId="243A48A6" w14:textId="7B52D8E3" w:rsidR="004A337E" w:rsidRPr="00517395" w:rsidRDefault="2BDDF9E7" w:rsidP="00517395">
      <w:pPr>
        <w:pStyle w:val="Bullet"/>
      </w:pPr>
      <w:r w:rsidRPr="00CB7B9E">
        <w:rPr>
          <w:b/>
          <w:bCs/>
          <w:color w:val="0A6AB4"/>
        </w:rPr>
        <w:t xml:space="preserve">A strategic plan </w:t>
      </w:r>
      <w:r w:rsidRPr="00CB7B9E">
        <w:rPr>
          <w:rFonts w:eastAsiaTheme="minorEastAsia"/>
          <w:b/>
          <w:bCs/>
          <w:color w:val="0A6AB4"/>
        </w:rPr>
        <w:t>2025/26 to 2027/28</w:t>
      </w:r>
      <w:r w:rsidRPr="00CB7B9E">
        <w:rPr>
          <w:rFonts w:eastAsiaTheme="minorEastAsia"/>
          <w:color w:val="0A6AB4"/>
        </w:rPr>
        <w:t xml:space="preserve"> </w:t>
      </w:r>
      <w:r w:rsidRPr="00517395">
        <w:t xml:space="preserve">including the strategic framework that sets out the goal, outcomes, priorities and actions for the </w:t>
      </w:r>
      <w:r w:rsidR="26DA64E1">
        <w:t>S</w:t>
      </w:r>
      <w:r w:rsidRPr="00517395">
        <w:t>trategy</w:t>
      </w:r>
      <w:r w:rsidR="47D11623" w:rsidRPr="00517395">
        <w:t>.</w:t>
      </w:r>
      <w:r w:rsidRPr="00517395">
        <w:t xml:space="preserve"> This section outlines the strategic context for the proposed three-year service </w:t>
      </w:r>
      <w:r w:rsidR="00726D39" w:rsidRPr="00517395">
        <w:t>plan.</w:t>
      </w:r>
    </w:p>
    <w:p w14:paraId="6B01C392" w14:textId="4660D13A" w:rsidR="004A337E" w:rsidRPr="00517395" w:rsidRDefault="2BDDF9E7" w:rsidP="008A189B">
      <w:pPr>
        <w:pStyle w:val="Bullet"/>
      </w:pPr>
      <w:r w:rsidRPr="00CB7B9E">
        <w:rPr>
          <w:b/>
          <w:bCs/>
          <w:color w:val="0A6AB4"/>
        </w:rPr>
        <w:t xml:space="preserve">A three-year service plan </w:t>
      </w:r>
      <w:r w:rsidRPr="00CB7B9E">
        <w:rPr>
          <w:rFonts w:eastAsiaTheme="minorEastAsia"/>
          <w:b/>
          <w:bCs/>
          <w:color w:val="0A6AB4"/>
        </w:rPr>
        <w:t>2025/26 to 2027/28</w:t>
      </w:r>
      <w:r w:rsidRPr="00CB7B9E">
        <w:rPr>
          <w:rFonts w:eastAsiaTheme="minorEastAsia"/>
          <w:color w:val="0A6AB4"/>
        </w:rPr>
        <w:t xml:space="preserve"> </w:t>
      </w:r>
      <w:r w:rsidRPr="00517395">
        <w:t xml:space="preserve">including the amount of funding required for the Ministry and Health New Zealand to deliver the gambling harm prevention and minimisation activities described in the </w:t>
      </w:r>
      <w:r w:rsidR="449D378A">
        <w:t>S</w:t>
      </w:r>
      <w:r w:rsidRPr="00517395">
        <w:t>trategy from 1 July 2025 to 30 June 2028</w:t>
      </w:r>
    </w:p>
    <w:p w14:paraId="3DB8ABE1" w14:textId="25917691" w:rsidR="004A337E" w:rsidRPr="00517395" w:rsidRDefault="00BA3262" w:rsidP="00517395">
      <w:pPr>
        <w:pStyle w:val="Bullet"/>
      </w:pPr>
      <w:r w:rsidRPr="00CB7B9E">
        <w:rPr>
          <w:b/>
          <w:bCs/>
          <w:color w:val="0A6AB4"/>
        </w:rPr>
        <w:t xml:space="preserve">The </w:t>
      </w:r>
      <w:r w:rsidR="004A337E" w:rsidRPr="00CB7B9E">
        <w:rPr>
          <w:b/>
          <w:bCs/>
          <w:color w:val="0A6AB4"/>
        </w:rPr>
        <w:t xml:space="preserve">levy rates for </w:t>
      </w:r>
      <w:r w:rsidR="004A337E" w:rsidRPr="00CB7B9E">
        <w:rPr>
          <w:rFonts w:eastAsiaTheme="minorHAnsi"/>
          <w:b/>
          <w:bCs/>
          <w:color w:val="0A6AB4"/>
        </w:rPr>
        <w:t>2025/26 to 2027/28</w:t>
      </w:r>
      <w:r w:rsidR="004A337E" w:rsidRPr="00517395">
        <w:t xml:space="preserve">. This section </w:t>
      </w:r>
      <w:r w:rsidR="00075062">
        <w:t xml:space="preserve">outlines the levy setting process and </w:t>
      </w:r>
      <w:r w:rsidR="00F26CD9">
        <w:t xml:space="preserve">the levy </w:t>
      </w:r>
      <w:r w:rsidR="00514CC0">
        <w:t xml:space="preserve">rates that apply to </w:t>
      </w:r>
      <w:r w:rsidR="00F26CD9">
        <w:t xml:space="preserve">each of the </w:t>
      </w:r>
      <w:r w:rsidR="004A337E" w:rsidRPr="00517395">
        <w:t>four gambling industry sectors</w:t>
      </w:r>
      <w:r w:rsidR="00BD6BA6">
        <w:t xml:space="preserve"> required to pay the levy</w:t>
      </w:r>
      <w:r w:rsidR="004A337E" w:rsidRPr="00517395">
        <w:t xml:space="preserve">: non-casino gaming machine (NCGM) operators, casinos. TAB New Zealand (TAB NZ) and New Zealand Lotteries Commission (Lotto New Zealand). </w:t>
      </w:r>
    </w:p>
    <w:p w14:paraId="58893A77" w14:textId="77777777" w:rsidR="00517395" w:rsidRDefault="00517395" w:rsidP="00517395"/>
    <w:p w14:paraId="70A6A9AE" w14:textId="7E52A441" w:rsidR="004A337E" w:rsidRDefault="004A337E" w:rsidP="00517395">
      <w:r>
        <w:t xml:space="preserve">There is also additional supporting information in the Appendices. </w:t>
      </w:r>
    </w:p>
    <w:p w14:paraId="11052AC5" w14:textId="77777777" w:rsidR="004A337E" w:rsidRDefault="004A337E" w:rsidP="004A337E">
      <w:pPr>
        <w:rPr>
          <w:lang w:val="en-GB"/>
        </w:rPr>
      </w:pPr>
    </w:p>
    <w:p w14:paraId="40FC65E4" w14:textId="77777777" w:rsidR="004A337E" w:rsidRDefault="004A337E" w:rsidP="004A337E">
      <w:pPr>
        <w:rPr>
          <w:lang w:val="en-GB"/>
        </w:rPr>
      </w:pPr>
    </w:p>
    <w:p w14:paraId="198FE07A" w14:textId="77777777" w:rsidR="00AB3A88" w:rsidRDefault="00AB3A88" w:rsidP="004A337E">
      <w:pPr>
        <w:rPr>
          <w:lang w:val="en-GB"/>
        </w:rPr>
      </w:pPr>
    </w:p>
    <w:p w14:paraId="6A200B7B" w14:textId="77777777" w:rsidR="00AB3A88" w:rsidRDefault="00AB3A88" w:rsidP="004A337E">
      <w:pPr>
        <w:rPr>
          <w:lang w:val="en-GB"/>
        </w:rPr>
      </w:pPr>
    </w:p>
    <w:p w14:paraId="19E32C32" w14:textId="77777777" w:rsidR="00A34922" w:rsidRDefault="00A34922">
      <w:pPr>
        <w:rPr>
          <w:b/>
          <w:color w:val="23305D"/>
          <w:spacing w:val="-10"/>
          <w:sz w:val="72"/>
          <w:szCs w:val="72"/>
          <w:lang w:val="en-GB"/>
        </w:rPr>
      </w:pPr>
      <w:r>
        <w:br w:type="page"/>
      </w:r>
    </w:p>
    <w:p w14:paraId="0A0F74EC" w14:textId="4BB96573" w:rsidR="005A4D2A" w:rsidRDefault="00F522B9" w:rsidP="00517395">
      <w:pPr>
        <w:pStyle w:val="Heading1"/>
      </w:pPr>
      <w:bookmarkStart w:id="11" w:name="_Toc197527576"/>
      <w:r w:rsidRPr="00517395">
        <w:lastRenderedPageBreak/>
        <w:t>Strateg</w:t>
      </w:r>
      <w:r w:rsidR="005A4D2A">
        <w:t>ic overview</w:t>
      </w:r>
      <w:bookmarkEnd w:id="11"/>
    </w:p>
    <w:p w14:paraId="6DDFE734" w14:textId="77777777" w:rsidR="00F522B9" w:rsidRDefault="00F522B9" w:rsidP="00517395">
      <w:r>
        <w:t>The Government has set a clear direction for mental health and addiction in New Zealand with a priority focus on:</w:t>
      </w:r>
    </w:p>
    <w:p w14:paraId="41B5B019" w14:textId="77777777" w:rsidR="00F522B9" w:rsidRPr="002B32BD" w:rsidRDefault="00F522B9" w:rsidP="00F522B9">
      <w:pPr>
        <w:pStyle w:val="Bullet"/>
      </w:pPr>
      <w:r w:rsidRPr="002B32BD">
        <w:t>increasing access to mental health and addiction support</w:t>
      </w:r>
    </w:p>
    <w:p w14:paraId="723192CF" w14:textId="77777777" w:rsidR="00F522B9" w:rsidRPr="002B32BD" w:rsidRDefault="00F522B9" w:rsidP="00F522B9">
      <w:pPr>
        <w:pStyle w:val="Bullet"/>
      </w:pPr>
      <w:r w:rsidRPr="002B32BD">
        <w:t>growing the mental health and addiction workforce</w:t>
      </w:r>
    </w:p>
    <w:p w14:paraId="72DA0655" w14:textId="0F043694" w:rsidR="00F522B9" w:rsidRPr="002B32BD" w:rsidRDefault="00F522B9" w:rsidP="00F522B9">
      <w:pPr>
        <w:pStyle w:val="Bullet"/>
      </w:pPr>
      <w:r w:rsidRPr="002B32BD">
        <w:t xml:space="preserve">strengthening the focus on prevention and early intervention </w:t>
      </w:r>
    </w:p>
    <w:p w14:paraId="3131E3E4" w14:textId="77777777" w:rsidR="00F522B9" w:rsidRPr="002B32BD" w:rsidRDefault="00F522B9" w:rsidP="00F522B9">
      <w:pPr>
        <w:pStyle w:val="Bullet"/>
      </w:pPr>
      <w:r w:rsidRPr="002B32BD">
        <w:t>improving the effectiveness of mental health and addiction support.</w:t>
      </w:r>
    </w:p>
    <w:p w14:paraId="620062CA" w14:textId="77777777" w:rsidR="00F522B9" w:rsidRDefault="00F522B9" w:rsidP="00F522B9"/>
    <w:p w14:paraId="6D776592" w14:textId="30CD5347" w:rsidR="0095478F" w:rsidRDefault="00F522B9" w:rsidP="00F522B9">
      <w:r>
        <w:t xml:space="preserve">This direction, supported by available data, research and evidence of what works, has driven the development of </w:t>
      </w:r>
      <w:r w:rsidRPr="006A5956">
        <w:t xml:space="preserve">the </w:t>
      </w:r>
      <w:r w:rsidR="46BC5C38">
        <w:t>S</w:t>
      </w:r>
      <w:r w:rsidRPr="006A5956">
        <w:t>trategy.</w:t>
      </w:r>
      <w:r>
        <w:t xml:space="preserve"> </w:t>
      </w:r>
    </w:p>
    <w:p w14:paraId="13A447AB" w14:textId="77777777" w:rsidR="00F522B9" w:rsidRPr="008A189B" w:rsidRDefault="00F522B9" w:rsidP="008A189B">
      <w:pPr>
        <w:pStyle w:val="Heading2"/>
      </w:pPr>
      <w:bookmarkStart w:id="12" w:name="_Toc197527577"/>
      <w:r w:rsidRPr="008A189B">
        <w:t>The gambling environment</w:t>
      </w:r>
      <w:bookmarkEnd w:id="12"/>
    </w:p>
    <w:p w14:paraId="205E31B5" w14:textId="77777777" w:rsidR="00F522B9" w:rsidRDefault="00F522B9" w:rsidP="00F522B9">
      <w:pPr>
        <w:spacing w:after="120"/>
        <w:rPr>
          <w:b/>
          <w:bCs/>
        </w:rPr>
      </w:pPr>
      <w:r>
        <w:t xml:space="preserve">This section briefly covers the current state of gambling in New Zealand, with further detail provided in </w:t>
      </w:r>
      <w:r w:rsidRPr="003A6F51">
        <w:rPr>
          <w:b/>
          <w:bCs/>
        </w:rPr>
        <w:t>Appendix One</w:t>
      </w:r>
      <w:r w:rsidRPr="001065FF">
        <w:t xml:space="preserve"> in the Appendices document</w:t>
      </w:r>
      <w:r>
        <w:rPr>
          <w:b/>
          <w:bCs/>
        </w:rPr>
        <w:t>.</w:t>
      </w:r>
    </w:p>
    <w:p w14:paraId="1E2EBF8E" w14:textId="1781E433" w:rsidR="00DF305E" w:rsidDel="00A547FE" w:rsidRDefault="00DF305E" w:rsidP="00DF305E">
      <w:pPr>
        <w:rPr>
          <w:rFonts w:eastAsiaTheme="minorEastAsia"/>
        </w:rPr>
      </w:pPr>
      <w:r w:rsidRPr="2F6A6A80">
        <w:rPr>
          <w:rFonts w:cstheme="minorBidi"/>
        </w:rPr>
        <w:t xml:space="preserve">Whether an individual experiences harm from their own or someone else’s gambling, and how this harm is experienced at a whānau and community level, results from many factors. This includes the wider determinants of health and wellbeing and the nature of the gambling environment. </w:t>
      </w:r>
      <w:r>
        <w:t>The</w:t>
      </w:r>
      <w:r>
        <w:rPr>
          <w:rFonts w:eastAsiaTheme="minorEastAsia"/>
        </w:rPr>
        <w:t xml:space="preserve"> Act</w:t>
      </w:r>
      <w:r w:rsidRPr="2F6A6A80">
        <w:rPr>
          <w:rFonts w:eastAsiaTheme="minorEastAsia"/>
        </w:rPr>
        <w:t xml:space="preserve"> and associated </w:t>
      </w:r>
      <w:r>
        <w:t>regulations</w:t>
      </w:r>
      <w:r w:rsidRPr="2F6A6A80">
        <w:rPr>
          <w:rFonts w:eastAsiaTheme="minorEastAsia"/>
        </w:rPr>
        <w:t>, as</w:t>
      </w:r>
      <w:r>
        <w:t xml:space="preserve"> administered by the </w:t>
      </w:r>
      <w:r w:rsidRPr="2F6A6A80">
        <w:rPr>
          <w:rFonts w:eastAsiaTheme="minorEastAsia"/>
        </w:rPr>
        <w:t>Department</w:t>
      </w:r>
      <w:r>
        <w:t xml:space="preserve"> of Internal Affairs</w:t>
      </w:r>
      <w:r w:rsidRPr="2F6A6A80">
        <w:rPr>
          <w:rFonts w:eastAsiaTheme="minorEastAsia"/>
        </w:rPr>
        <w:t>, set the framework for legal gambling in New Zealand.</w:t>
      </w:r>
    </w:p>
    <w:p w14:paraId="0346CA73" w14:textId="77777777" w:rsidR="00DF305E" w:rsidRDefault="00DF305E" w:rsidP="008B45B7">
      <w:pPr>
        <w:rPr>
          <w:b/>
          <w:bCs/>
        </w:rPr>
      </w:pPr>
    </w:p>
    <w:p w14:paraId="31277A4A" w14:textId="62A23136" w:rsidR="008B45B7" w:rsidRPr="003E7731" w:rsidRDefault="008B45B7" w:rsidP="008B45B7">
      <w:r w:rsidRPr="0FD73C6D">
        <w:t xml:space="preserve">The Act requires a needs assessment be undertaken to inform each iteration of the Strategy. </w:t>
      </w:r>
      <w:r>
        <w:t>The 2024 needs assessment highlights a changing environment and gambling harm services under pressure</w:t>
      </w:r>
      <w:r>
        <w:rPr>
          <w:rStyle w:val="FootnoteReference"/>
        </w:rPr>
        <w:footnoteReference w:id="2"/>
      </w:r>
      <w:r>
        <w:t>. Key findings include</w:t>
      </w:r>
      <w:r w:rsidRPr="0FD73C6D">
        <w:t xml:space="preserve">: </w:t>
      </w:r>
    </w:p>
    <w:p w14:paraId="528B44E5" w14:textId="1AC93625" w:rsidR="008B45B7" w:rsidRPr="008A189B" w:rsidRDefault="008B45B7" w:rsidP="008A189B">
      <w:pPr>
        <w:pStyle w:val="Bullet"/>
      </w:pPr>
      <w:r w:rsidRPr="008A189B">
        <w:t>Gambling activity has remained relatively constant in New Zealand, with data indicating that most adults engage in gambling at some stage in their lives</w:t>
      </w:r>
      <w:r w:rsidR="009447E9" w:rsidRPr="008A189B">
        <w:t>.</w:t>
      </w:r>
    </w:p>
    <w:p w14:paraId="43DEE121" w14:textId="5BDDB22B" w:rsidR="008B45B7" w:rsidRPr="008A189B" w:rsidRDefault="008B45B7" w:rsidP="008A189B">
      <w:pPr>
        <w:pStyle w:val="Bullet"/>
      </w:pPr>
      <w:r w:rsidRPr="008A189B">
        <w:t xml:space="preserve">While there has been a reduction in the number of pokies, </w:t>
      </w:r>
      <w:r w:rsidRPr="008A189B">
        <w:rPr>
          <w:rStyle w:val="ui-provider"/>
        </w:rPr>
        <w:t>the distribution and availability of these machines remains disproportionately high in areas of high deprivation</w:t>
      </w:r>
      <w:r w:rsidRPr="008A189B">
        <w:t>. Expenditure on pokies has continued to increase</w:t>
      </w:r>
      <w:r w:rsidR="009447E9" w:rsidRPr="008A189B">
        <w:t>.</w:t>
      </w:r>
    </w:p>
    <w:p w14:paraId="586F83F5" w14:textId="77777777" w:rsidR="008B45B7" w:rsidRPr="008A189B" w:rsidRDefault="008B45B7" w:rsidP="008A189B">
      <w:pPr>
        <w:pStyle w:val="Bullet"/>
      </w:pPr>
      <w:r w:rsidRPr="008A189B">
        <w:t>Online gambling, particularly with unregulated providers based overseas, continues to grow. This is revealing inconsistencies with the current levy funding regime and service provisions.</w:t>
      </w:r>
    </w:p>
    <w:p w14:paraId="49262718" w14:textId="32D9AEC6" w:rsidR="008B45B7" w:rsidRPr="008A189B" w:rsidRDefault="008B45B7" w:rsidP="008A189B">
      <w:pPr>
        <w:pStyle w:val="Bullet"/>
      </w:pPr>
      <w:r w:rsidRPr="008A189B">
        <w:t>The gambling harm minimisation sector is under pressure and has found the health reforms challenging. It seeks stronger government leadership and coordination</w:t>
      </w:r>
      <w:r w:rsidR="009447E9" w:rsidRPr="008A189B">
        <w:t>.</w:t>
      </w:r>
    </w:p>
    <w:p w14:paraId="57B69C6F" w14:textId="77777777" w:rsidR="008B45B7" w:rsidRPr="008A189B" w:rsidRDefault="008B45B7" w:rsidP="008A189B">
      <w:pPr>
        <w:pStyle w:val="Bullet"/>
      </w:pPr>
      <w:r w:rsidRPr="008A189B">
        <w:t>There is a need to grow and support the gambling harm workforce – both clinical and peer.</w:t>
      </w:r>
    </w:p>
    <w:p w14:paraId="58A5A446" w14:textId="77777777" w:rsidR="00F522B9" w:rsidRPr="008A189B" w:rsidRDefault="00F522B9" w:rsidP="008A189B">
      <w:pPr>
        <w:pStyle w:val="Heading2"/>
      </w:pPr>
      <w:bookmarkStart w:id="13" w:name="_Toc197527578"/>
      <w:r w:rsidRPr="008A189B">
        <w:lastRenderedPageBreak/>
        <w:t>Participation and expenditure</w:t>
      </w:r>
      <w:bookmarkEnd w:id="13"/>
    </w:p>
    <w:p w14:paraId="2D0A404C" w14:textId="58B352BE" w:rsidR="00F522B9" w:rsidRDefault="00F522B9" w:rsidP="008A189B">
      <w:r>
        <w:t xml:space="preserve">Most New Zealanders gamble at least occasionally. </w:t>
      </w:r>
    </w:p>
    <w:p w14:paraId="35D149CB" w14:textId="43D6B493" w:rsidR="00F522B9" w:rsidRDefault="00F522B9" w:rsidP="00517395">
      <w:pPr>
        <w:pStyle w:val="Bullet"/>
      </w:pPr>
      <w:r>
        <w:t xml:space="preserve">Estimates suggest that, in </w:t>
      </w:r>
      <w:r w:rsidR="004C4BE8">
        <w:t>2023/24</w:t>
      </w:r>
      <w:r>
        <w:t>,</w:t>
      </w:r>
      <w:r w:rsidRPr="006249DF">
        <w:rPr>
          <w:rStyle w:val="FootnoteReference"/>
          <w:rFonts w:eastAsia="Lucida Sans Unicode"/>
        </w:rPr>
        <w:footnoteReference w:id="3"/>
      </w:r>
      <w:r>
        <w:t xml:space="preserve"> </w:t>
      </w:r>
      <w:r w:rsidR="00D7074F">
        <w:rPr>
          <w:b/>
          <w:bCs/>
          <w:color w:val="0070C0"/>
        </w:rPr>
        <w:t>64.1%</w:t>
      </w:r>
      <w:r>
        <w:t xml:space="preserve"> (about </w:t>
      </w:r>
      <w:r w:rsidR="00D7074F">
        <w:t>2.76</w:t>
      </w:r>
      <w:r w:rsidR="00E5559E">
        <w:t xml:space="preserve"> </w:t>
      </w:r>
      <w:r>
        <w:t xml:space="preserve">million New Zealanders aged 15 years and older) had </w:t>
      </w:r>
      <w:r w:rsidRPr="00EB271D">
        <w:rPr>
          <w:b/>
          <w:bCs/>
        </w:rPr>
        <w:t>participated in at least one gambling activity in the previous 12 months</w:t>
      </w:r>
      <w:r w:rsidRPr="002B68B9">
        <w:t>.</w:t>
      </w:r>
      <w:r w:rsidRPr="00EB271D">
        <w:rPr>
          <w:b/>
          <w:bCs/>
        </w:rPr>
        <w:t xml:space="preserve"> </w:t>
      </w:r>
      <w:r>
        <w:t>Figure 1 shows the types of gambling people engaged in.</w:t>
      </w:r>
    </w:p>
    <w:p w14:paraId="1F3A0639" w14:textId="1EDA537B" w:rsidR="00F522B9" w:rsidRDefault="00B72E99" w:rsidP="00517395">
      <w:pPr>
        <w:pStyle w:val="Bullet"/>
      </w:pPr>
      <w:r>
        <w:rPr>
          <w:b/>
          <w:bCs/>
        </w:rPr>
        <w:t>P</w:t>
      </w:r>
      <w:r w:rsidR="485DD3D0" w:rsidRPr="00EB271D">
        <w:rPr>
          <w:b/>
          <w:bCs/>
        </w:rPr>
        <w:t xml:space="preserve">articipation in online gambling </w:t>
      </w:r>
      <w:r w:rsidR="00FC07DC">
        <w:rPr>
          <w:b/>
          <w:bCs/>
        </w:rPr>
        <w:t xml:space="preserve">was </w:t>
      </w:r>
      <w:r w:rsidR="00FC07DC" w:rsidRPr="00845E21">
        <w:rPr>
          <w:b/>
          <w:bCs/>
          <w:color w:val="0070C0"/>
        </w:rPr>
        <w:t>31</w:t>
      </w:r>
      <w:r w:rsidR="003415D4" w:rsidRPr="00845E21">
        <w:rPr>
          <w:b/>
          <w:bCs/>
          <w:color w:val="0070C0"/>
        </w:rPr>
        <w:t>%</w:t>
      </w:r>
      <w:r w:rsidR="485DD3D0" w:rsidRPr="00EB271D">
        <w:rPr>
          <w:b/>
          <w:bCs/>
        </w:rPr>
        <w:t xml:space="preserve"> </w:t>
      </w:r>
      <w:r w:rsidR="485DD3D0" w:rsidRPr="00CB7B9E">
        <w:t xml:space="preserve">in </w:t>
      </w:r>
      <w:r w:rsidR="003415D4" w:rsidRPr="00CB7B9E">
        <w:t>2023/24</w:t>
      </w:r>
      <w:r w:rsidR="00F522B9" w:rsidRPr="00CB7B9E">
        <w:rPr>
          <w:rStyle w:val="FootnoteReference"/>
        </w:rPr>
        <w:footnoteReference w:id="4"/>
      </w:r>
      <w:r w:rsidR="00454169" w:rsidRPr="00CB7B9E">
        <w:t>.</w:t>
      </w:r>
      <w:r w:rsidR="003F7344">
        <w:rPr>
          <w:b/>
          <w:bCs/>
        </w:rPr>
        <w:t xml:space="preserve"> </w:t>
      </w:r>
      <w:r w:rsidR="003F7344" w:rsidRPr="007D0A71">
        <w:t xml:space="preserve">This included 3.6% who participated </w:t>
      </w:r>
      <w:r w:rsidR="003F7344">
        <w:t xml:space="preserve">online </w:t>
      </w:r>
      <w:r w:rsidR="003F7344" w:rsidRPr="007D0A71">
        <w:t xml:space="preserve">with </w:t>
      </w:r>
      <w:r w:rsidR="003F7344">
        <w:t xml:space="preserve">overseas based gambling </w:t>
      </w:r>
      <w:r w:rsidR="003F7344" w:rsidRPr="007D0A71">
        <w:t>providers</w:t>
      </w:r>
      <w:r w:rsidR="485DD3D0" w:rsidRPr="003F7344">
        <w:t>.</w:t>
      </w:r>
    </w:p>
    <w:p w14:paraId="100D6AFD" w14:textId="366CEB67" w:rsidR="00F522B9" w:rsidRDefault="00F522B9" w:rsidP="00F522B9">
      <w:pPr>
        <w:pStyle w:val="Bullet"/>
      </w:pPr>
      <w:r w:rsidRPr="00EB271D">
        <w:rPr>
          <w:b/>
          <w:bCs/>
        </w:rPr>
        <w:t>Total gambling expenditure (net player losses)</w:t>
      </w:r>
      <w:r w:rsidRPr="006249DF">
        <w:t xml:space="preserve"> in </w:t>
      </w:r>
      <w:r w:rsidR="009F59A2">
        <w:t>2023/24</w:t>
      </w:r>
      <w:r w:rsidRPr="006249DF">
        <w:t xml:space="preserve"> was </w:t>
      </w:r>
      <w:r w:rsidR="00DD2B7C">
        <w:rPr>
          <w:b/>
          <w:bCs/>
          <w:color w:val="0070C0"/>
        </w:rPr>
        <w:t>$</w:t>
      </w:r>
      <w:r w:rsidR="00234980">
        <w:rPr>
          <w:b/>
          <w:bCs/>
          <w:color w:val="0070C0"/>
        </w:rPr>
        <w:t>2.79</w:t>
      </w:r>
      <w:r w:rsidRPr="00076D0D">
        <w:rPr>
          <w:b/>
          <w:bCs/>
          <w:color w:val="0070C0"/>
        </w:rPr>
        <w:t xml:space="preserve"> billion</w:t>
      </w:r>
      <w:r w:rsidRPr="00076D0D">
        <w:rPr>
          <w:color w:val="0070C0"/>
        </w:rPr>
        <w:t xml:space="preserve"> </w:t>
      </w:r>
      <w:r w:rsidRPr="006249DF">
        <w:t xml:space="preserve">for the four regulated sectors (Lotto </w:t>
      </w:r>
      <w:r>
        <w:t>NZ</w:t>
      </w:r>
      <w:r w:rsidRPr="006249DF">
        <w:t>, TAB</w:t>
      </w:r>
      <w:r>
        <w:t xml:space="preserve"> NZ</w:t>
      </w:r>
      <w:r w:rsidRPr="006249DF">
        <w:t xml:space="preserve">, casinos and non-casino gambling machines or </w:t>
      </w:r>
      <w:r w:rsidR="00784A8B">
        <w:t>Class 4</w:t>
      </w:r>
      <w:r>
        <w:t xml:space="preserve"> gambling</w:t>
      </w:r>
      <w:r w:rsidRPr="006249DF">
        <w:t xml:space="preserve">) combined, an increase </w:t>
      </w:r>
      <w:r w:rsidR="00A25A52">
        <w:t xml:space="preserve">of 24% </w:t>
      </w:r>
      <w:r w:rsidRPr="006249DF">
        <w:t>from $2.25 billion in 2021/22</w:t>
      </w:r>
      <w:r w:rsidR="00841411">
        <w:t xml:space="preserve"> and $2.76 billion in 2022/23</w:t>
      </w:r>
      <w:r>
        <w:t>.</w:t>
      </w:r>
      <w:r w:rsidRPr="006249DF">
        <w:rPr>
          <w:rStyle w:val="FootnoteReference"/>
          <w:rFonts w:eastAsia="Lucida Sans Unicode"/>
        </w:rPr>
        <w:footnoteReference w:id="5"/>
      </w:r>
    </w:p>
    <w:p w14:paraId="6DCE1AD0" w14:textId="77777777" w:rsidR="00F522B9" w:rsidRDefault="00F522B9" w:rsidP="00F522B9"/>
    <w:p w14:paraId="4A3CE049" w14:textId="021788D4" w:rsidR="004F0872" w:rsidRDefault="00F522B9" w:rsidP="008A189B">
      <w:pPr>
        <w:pStyle w:val="Figure"/>
      </w:pPr>
      <w:bookmarkStart w:id="14" w:name="_Toc197527595"/>
      <w:r w:rsidRPr="00B657AF">
        <w:t xml:space="preserve">Figure </w:t>
      </w:r>
      <w:r>
        <w:fldChar w:fldCharType="begin"/>
      </w:r>
      <w:r>
        <w:instrText xml:space="preserve"> SEQ Figure \* ARABIC </w:instrText>
      </w:r>
      <w:r>
        <w:fldChar w:fldCharType="separate"/>
      </w:r>
      <w:r w:rsidR="00066AB5">
        <w:rPr>
          <w:noProof/>
        </w:rPr>
        <w:t>1</w:t>
      </w:r>
      <w:r>
        <w:rPr>
          <w:noProof/>
        </w:rPr>
        <w:fldChar w:fldCharType="end"/>
      </w:r>
      <w:r w:rsidRPr="00B657AF">
        <w:t xml:space="preserve">: </w:t>
      </w:r>
      <w:r w:rsidRPr="00B657AF">
        <w:rPr>
          <w:rFonts w:eastAsia="Lucida Sans Unicode"/>
        </w:rPr>
        <w:t xml:space="preserve">Gambling by type, </w:t>
      </w:r>
      <w:r w:rsidR="006D1A8B">
        <w:rPr>
          <w:rFonts w:eastAsia="Lucida Sans Unicode"/>
        </w:rPr>
        <w:t>2023/24</w:t>
      </w:r>
      <w:r w:rsidRPr="00B657AF">
        <w:rPr>
          <w:rFonts w:eastAsia="Lucida Sans Unicode"/>
        </w:rPr>
        <w:t xml:space="preserve"> (% of population aged 15+)</w:t>
      </w:r>
      <w:bookmarkEnd w:id="14"/>
      <w:r w:rsidRPr="00B657AF">
        <w:t xml:space="preserve"> </w:t>
      </w:r>
    </w:p>
    <w:p w14:paraId="0AA97F03" w14:textId="4DDEC3AC" w:rsidR="008A189B" w:rsidRDefault="008A189B" w:rsidP="008A189B">
      <w:r>
        <w:rPr>
          <w:noProof/>
        </w:rPr>
        <w:drawing>
          <wp:anchor distT="0" distB="0" distL="114300" distR="114300" simplePos="0" relativeHeight="251658240" behindDoc="1" locked="0" layoutInCell="1" allowOverlap="1" wp14:anchorId="69CAEE2E" wp14:editId="09697E94">
            <wp:simplePos x="0" y="0"/>
            <wp:positionH relativeFrom="column">
              <wp:posOffset>0</wp:posOffset>
            </wp:positionH>
            <wp:positionV relativeFrom="paragraph">
              <wp:posOffset>177165</wp:posOffset>
            </wp:positionV>
            <wp:extent cx="5157470" cy="3060700"/>
            <wp:effectExtent l="0" t="0" r="5080" b="6350"/>
            <wp:wrapTight wrapText="bothSides">
              <wp:wrapPolygon edited="0">
                <wp:start x="0" y="0"/>
                <wp:lineTo x="0" y="21510"/>
                <wp:lineTo x="21541" y="21510"/>
                <wp:lineTo x="21541"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7470" cy="3060700"/>
                    </a:xfrm>
                    <a:prstGeom prst="rect">
                      <a:avLst/>
                    </a:prstGeom>
                    <a:noFill/>
                  </pic:spPr>
                </pic:pic>
              </a:graphicData>
            </a:graphic>
            <wp14:sizeRelH relativeFrom="page">
              <wp14:pctWidth>0</wp14:pctWidth>
            </wp14:sizeRelH>
            <wp14:sizeRelV relativeFrom="page">
              <wp14:pctHeight>0</wp14:pctHeight>
            </wp14:sizeRelV>
          </wp:anchor>
        </w:drawing>
      </w:r>
    </w:p>
    <w:p w14:paraId="408ABE41" w14:textId="77777777" w:rsidR="00A66506" w:rsidRPr="00A66506" w:rsidRDefault="00A66506" w:rsidP="007D0A71"/>
    <w:p w14:paraId="4CED0D59" w14:textId="753F3B5C" w:rsidR="00F522B9" w:rsidRDefault="00F522B9" w:rsidP="00F522B9">
      <w:pPr>
        <w:sectPr w:rsidR="00F522B9" w:rsidSect="00E75C5D">
          <w:pgSz w:w="11907" w:h="16840" w:code="9"/>
          <w:pgMar w:top="1418" w:right="1701" w:bottom="1134" w:left="1843" w:header="284" w:footer="425" w:gutter="284"/>
          <w:pgNumType w:start="1"/>
          <w:cols w:space="720"/>
        </w:sectPr>
      </w:pPr>
    </w:p>
    <w:p w14:paraId="3D25F409" w14:textId="5FD1D3C0" w:rsidR="00F522B9" w:rsidRPr="00517395" w:rsidRDefault="00F522B9" w:rsidP="00517395">
      <w:pPr>
        <w:pStyle w:val="Heading2"/>
        <w:spacing w:before="0"/>
      </w:pPr>
      <w:bookmarkStart w:id="15" w:name="_Toc197527579"/>
      <w:r w:rsidRPr="00517395">
        <w:lastRenderedPageBreak/>
        <w:t>Gambling harm</w:t>
      </w:r>
      <w:bookmarkEnd w:id="15"/>
    </w:p>
    <w:p w14:paraId="1F741692" w14:textId="495FB4FC" w:rsidR="00F522B9" w:rsidRPr="00517395" w:rsidRDefault="00F522B9" w:rsidP="00F522B9">
      <w:pPr>
        <w:pStyle w:val="Bullet"/>
      </w:pPr>
      <w:r w:rsidRPr="00BC0605">
        <w:rPr>
          <w:rFonts w:eastAsia="Lucida Sans Unicode"/>
        </w:rPr>
        <w:t xml:space="preserve">Research shows that </w:t>
      </w:r>
      <w:r w:rsidRPr="00076D0D">
        <w:rPr>
          <w:rFonts w:eastAsia="Lucida Sans Unicode"/>
          <w:b/>
          <w:bCs/>
          <w:color w:val="0070C0"/>
        </w:rPr>
        <w:t>one in five</w:t>
      </w:r>
      <w:r w:rsidRPr="00076D0D">
        <w:rPr>
          <w:rFonts w:eastAsia="Lucida Sans Unicode"/>
          <w:color w:val="0070C0"/>
        </w:rPr>
        <w:t xml:space="preserve"> </w:t>
      </w:r>
      <w:r w:rsidRPr="00BC0605">
        <w:rPr>
          <w:rFonts w:eastAsia="Lucida Sans Unicode"/>
        </w:rPr>
        <w:t xml:space="preserve">New Zealand adults (22%) are </w:t>
      </w:r>
      <w:r w:rsidRPr="00BC0605">
        <w:rPr>
          <w:rFonts w:eastAsia="Lucida Sans Unicode"/>
          <w:b/>
          <w:bCs/>
        </w:rPr>
        <w:t>affected at some time in their lives by their own or others’ gambling</w:t>
      </w:r>
      <w:r w:rsidRPr="00BC0605">
        <w:rPr>
          <w:rFonts w:eastAsia="Lucida Sans Unicode"/>
        </w:rPr>
        <w:t>.</w:t>
      </w:r>
      <w:r w:rsidRPr="006249DF">
        <w:rPr>
          <w:rStyle w:val="FootnoteReference"/>
          <w:rFonts w:eastAsia="Lucida Sans Unicode"/>
        </w:rPr>
        <w:footnoteReference w:id="6"/>
      </w:r>
      <w:r w:rsidRPr="00BC0605">
        <w:rPr>
          <w:rFonts w:eastAsia="Lucida Sans Unicode"/>
        </w:rPr>
        <w:t xml:space="preserve"> This includes financial harm; relationship disruption; conflict and breakdown; psychological distress; damage to health; cultural harm; reduced involvement at work or study; and criminal activity.</w:t>
      </w:r>
    </w:p>
    <w:p w14:paraId="69B81BDD" w14:textId="1A3825C9" w:rsidR="00F522B9" w:rsidRPr="00517395" w:rsidRDefault="00F522B9" w:rsidP="00F522B9">
      <w:pPr>
        <w:pStyle w:val="Bullet"/>
      </w:pPr>
      <w:r w:rsidRPr="00076D0D">
        <w:rPr>
          <w:rFonts w:eastAsia="Lucida Sans Unicode"/>
          <w:b/>
          <w:bCs/>
          <w:color w:val="0070C0"/>
        </w:rPr>
        <w:t>Nearly 50%</w:t>
      </w:r>
      <w:r w:rsidRPr="00076D0D">
        <w:rPr>
          <w:rFonts w:eastAsia="Lucida Sans Unicode"/>
          <w:color w:val="0070C0"/>
        </w:rPr>
        <w:t xml:space="preserve"> </w:t>
      </w:r>
      <w:r w:rsidRPr="00FD6A66">
        <w:rPr>
          <w:rFonts w:eastAsia="Lucida Sans Unicode"/>
        </w:rPr>
        <w:t xml:space="preserve">of all </w:t>
      </w:r>
      <w:r w:rsidRPr="00FD6A66">
        <w:rPr>
          <w:rFonts w:eastAsia="Lucida Sans Unicode"/>
          <w:b/>
          <w:bCs/>
        </w:rPr>
        <w:t>gambling harm is experienced by people who participate in low-risk gambling</w:t>
      </w:r>
      <w:r w:rsidRPr="00FD6A66">
        <w:rPr>
          <w:rFonts w:eastAsia="Lucida Sans Unicode"/>
        </w:rPr>
        <w:t xml:space="preserve"> (harms include damage to relationships, emotional distress, financial impacts</w:t>
      </w:r>
      <w:r w:rsidR="000C7041">
        <w:rPr>
          <w:rFonts w:eastAsia="Lucida Sans Unicode"/>
        </w:rPr>
        <w:t>, lost income</w:t>
      </w:r>
      <w:r w:rsidRPr="00FD6A66">
        <w:rPr>
          <w:rFonts w:eastAsia="Lucida Sans Unicode"/>
        </w:rPr>
        <w:t xml:space="preserve"> and disruptions to work or study).</w:t>
      </w:r>
      <w:r w:rsidRPr="006249DF">
        <w:rPr>
          <w:rStyle w:val="FootnoteReference"/>
          <w:rFonts w:eastAsia="Lucida Sans Unicode"/>
        </w:rPr>
        <w:footnoteReference w:id="7"/>
      </w:r>
      <w:r w:rsidRPr="00FD6A66">
        <w:rPr>
          <w:rFonts w:eastAsia="Lucida Sans Unicode"/>
        </w:rPr>
        <w:t xml:space="preserve"> This suggests we </w:t>
      </w:r>
      <w:r w:rsidR="000C7041">
        <w:rPr>
          <w:rFonts w:eastAsia="Lucida Sans Unicode"/>
        </w:rPr>
        <w:t xml:space="preserve">should also </w:t>
      </w:r>
      <w:r w:rsidRPr="00FD6A66">
        <w:rPr>
          <w:rFonts w:eastAsia="Lucida Sans Unicode"/>
        </w:rPr>
        <w:t>focus on reducing gambling harm at the whole-of-population level.</w:t>
      </w:r>
    </w:p>
    <w:p w14:paraId="63300458" w14:textId="2AF4E73B" w:rsidR="00F522B9" w:rsidRPr="00FD6A66" w:rsidRDefault="001D4A90" w:rsidP="00F522B9">
      <w:pPr>
        <w:pStyle w:val="Bullet"/>
      </w:pPr>
      <w:r>
        <w:rPr>
          <w:rFonts w:eastAsia="Lucida Sans Unicode"/>
          <w:b/>
          <w:bCs/>
          <w:color w:val="0070C0"/>
        </w:rPr>
        <w:t>381</w:t>
      </w:r>
      <w:r w:rsidR="005E2492">
        <w:rPr>
          <w:rFonts w:eastAsia="Lucida Sans Unicode"/>
          <w:b/>
          <w:bCs/>
          <w:color w:val="0070C0"/>
        </w:rPr>
        <w:t>,</w:t>
      </w:r>
      <w:r w:rsidR="485DD3D0" w:rsidRPr="00076D0D">
        <w:rPr>
          <w:rFonts w:eastAsia="Lucida Sans Unicode"/>
          <w:b/>
          <w:bCs/>
          <w:color w:val="0070C0"/>
        </w:rPr>
        <w:t>000 adults</w:t>
      </w:r>
      <w:r w:rsidR="485DD3D0" w:rsidRPr="00076D0D">
        <w:rPr>
          <w:rFonts w:eastAsia="Lucida Sans Unicode"/>
          <w:color w:val="0070C0"/>
        </w:rPr>
        <w:t xml:space="preserve"> </w:t>
      </w:r>
      <w:r w:rsidR="485DD3D0" w:rsidRPr="00FD6A66">
        <w:rPr>
          <w:rFonts w:eastAsia="Lucida Sans Unicode"/>
        </w:rPr>
        <w:t xml:space="preserve">reported </w:t>
      </w:r>
      <w:r w:rsidR="485DD3D0" w:rsidRPr="00FD6A66">
        <w:rPr>
          <w:rFonts w:eastAsia="Lucida Sans Unicode"/>
          <w:b/>
          <w:bCs/>
        </w:rPr>
        <w:t>second-hand gambling harm</w:t>
      </w:r>
      <w:r w:rsidR="485DD3D0" w:rsidRPr="00FD6A66">
        <w:rPr>
          <w:rFonts w:eastAsia="Lucida Sans Unicode"/>
        </w:rPr>
        <w:t xml:space="preserve"> in their wider families or households in the past year, for example, arguments or ‘going without’</w:t>
      </w:r>
      <w:r w:rsidR="00D60EC2">
        <w:rPr>
          <w:rFonts w:eastAsia="Lucida Sans Unicode"/>
        </w:rPr>
        <w:t xml:space="preserve"> due to </w:t>
      </w:r>
      <w:r w:rsidR="485DD3D0" w:rsidRPr="00FD6A66">
        <w:rPr>
          <w:rFonts w:eastAsia="Lucida Sans Unicode"/>
        </w:rPr>
        <w:t>gambling</w:t>
      </w:r>
      <w:r w:rsidR="00AA3B77">
        <w:rPr>
          <w:rStyle w:val="FootnoteReference"/>
          <w:rFonts w:eastAsia="Lucida Sans Unicode"/>
        </w:rPr>
        <w:footnoteReference w:id="8"/>
      </w:r>
      <w:r w:rsidR="004217C9">
        <w:rPr>
          <w:rFonts w:eastAsia="Lucida Sans Unicode"/>
        </w:rPr>
        <w:t>.</w:t>
      </w:r>
    </w:p>
    <w:p w14:paraId="21563799" w14:textId="58FACC11" w:rsidR="00F522B9" w:rsidRPr="008E780D" w:rsidRDefault="00B5650D" w:rsidP="00CB7B9E">
      <w:pPr>
        <w:pStyle w:val="Bullet"/>
        <w:rPr>
          <w:rFonts w:eastAsia="Lucida Sans Unicode"/>
        </w:rPr>
      </w:pPr>
      <w:r w:rsidRPr="008E780D">
        <w:rPr>
          <w:rFonts w:eastAsia="Lucida Sans Unicode"/>
        </w:rPr>
        <w:t>T</w:t>
      </w:r>
      <w:r w:rsidR="00F522B9" w:rsidRPr="008E780D">
        <w:rPr>
          <w:rFonts w:eastAsia="Lucida Sans Unicode"/>
        </w:rPr>
        <w:t xml:space="preserve">he latest survey data available </w:t>
      </w:r>
      <w:r w:rsidRPr="008E780D">
        <w:rPr>
          <w:rFonts w:eastAsia="Lucida Sans Unicode"/>
        </w:rPr>
        <w:t>(NZGS 2023/24)</w:t>
      </w:r>
      <w:r w:rsidR="00F522B9" w:rsidRPr="008E780D">
        <w:rPr>
          <w:rFonts w:eastAsia="Lucida Sans Unicode"/>
        </w:rPr>
        <w:t xml:space="preserve"> shows </w:t>
      </w:r>
      <w:r w:rsidR="00A25A52" w:rsidRPr="00CB7B9E">
        <w:rPr>
          <w:rFonts w:eastAsia="Lucida Sans Unicode"/>
          <w:b/>
          <w:bCs/>
          <w:color w:val="0070C0"/>
        </w:rPr>
        <w:t>8.3%</w:t>
      </w:r>
      <w:r w:rsidR="00A25A52" w:rsidRPr="008E780D">
        <w:rPr>
          <w:rFonts w:eastAsia="Lucida Sans Unicode"/>
        </w:rPr>
        <w:t xml:space="preserve"> of New Zealanders </w:t>
      </w:r>
      <w:r w:rsidR="00A25A52" w:rsidRPr="00CB7B9E">
        <w:rPr>
          <w:rFonts w:eastAsia="Lucida Sans Unicode"/>
          <w:b/>
          <w:bCs/>
        </w:rPr>
        <w:t>experienced some level of harm from gambling in the past 12 months</w:t>
      </w:r>
      <w:r w:rsidR="00A25A52" w:rsidRPr="008E780D">
        <w:rPr>
          <w:rFonts w:eastAsia="Lucida Sans Unicode"/>
        </w:rPr>
        <w:t xml:space="preserve">. The proportion experiencing </w:t>
      </w:r>
      <w:r w:rsidR="007B3379" w:rsidRPr="008E780D">
        <w:rPr>
          <w:rFonts w:eastAsia="Lucida Sans Unicode"/>
        </w:rPr>
        <w:t>low</w:t>
      </w:r>
      <w:r w:rsidR="00F522B9" w:rsidRPr="008E780D">
        <w:rPr>
          <w:rFonts w:eastAsia="Lucida Sans Unicode"/>
        </w:rPr>
        <w:t xml:space="preserve"> risk of harm </w:t>
      </w:r>
      <w:r w:rsidR="00A25A52" w:rsidRPr="008E780D">
        <w:rPr>
          <w:rFonts w:eastAsia="Lucida Sans Unicode"/>
        </w:rPr>
        <w:t xml:space="preserve">was </w:t>
      </w:r>
      <w:r w:rsidR="007B3379" w:rsidRPr="008E780D">
        <w:rPr>
          <w:rFonts w:eastAsia="Lucida Sans Unicode"/>
        </w:rPr>
        <w:t>5.9%</w:t>
      </w:r>
      <w:r w:rsidR="000156CB" w:rsidRPr="008E780D">
        <w:rPr>
          <w:rFonts w:eastAsia="Lucida Sans Unicode"/>
        </w:rPr>
        <w:t xml:space="preserve">, while 2.4% </w:t>
      </w:r>
      <w:r w:rsidR="00A25A52" w:rsidRPr="008E780D">
        <w:rPr>
          <w:rFonts w:eastAsia="Lucida Sans Unicode"/>
        </w:rPr>
        <w:t xml:space="preserve">were </w:t>
      </w:r>
      <w:r w:rsidR="00F522B9" w:rsidRPr="008E780D">
        <w:rPr>
          <w:rFonts w:eastAsia="Lucida Sans Unicode"/>
        </w:rPr>
        <w:t>at moderate or high risk of harm</w:t>
      </w:r>
      <w:r w:rsidR="003B09E2" w:rsidRPr="008E780D">
        <w:rPr>
          <w:rFonts w:eastAsia="Lucida Sans Unicode"/>
        </w:rPr>
        <w:t>.</w:t>
      </w:r>
      <w:r w:rsidR="00F522B9" w:rsidRPr="008E780D">
        <w:rPr>
          <w:rFonts w:eastAsia="Lucida Sans Unicode"/>
        </w:rPr>
        <w:t xml:space="preserve"> </w:t>
      </w:r>
      <w:r w:rsidR="00A25A52" w:rsidRPr="008E780D">
        <w:rPr>
          <w:rFonts w:eastAsia="Lucida Sans Unicode"/>
        </w:rPr>
        <w:t xml:space="preserve"> The previous Health and Lifestyles </w:t>
      </w:r>
      <w:r w:rsidR="006A74B9" w:rsidRPr="008E780D">
        <w:rPr>
          <w:rFonts w:eastAsia="Lucida Sans Unicode"/>
        </w:rPr>
        <w:t>S</w:t>
      </w:r>
      <w:r w:rsidR="00A25A52" w:rsidRPr="008E780D">
        <w:rPr>
          <w:rFonts w:eastAsia="Lucida Sans Unicode"/>
        </w:rPr>
        <w:t xml:space="preserve">urveys </w:t>
      </w:r>
      <w:r w:rsidR="00D60EC2" w:rsidRPr="008E780D">
        <w:rPr>
          <w:rFonts w:eastAsia="Lucida Sans Unicode"/>
        </w:rPr>
        <w:t xml:space="preserve">(2016, 2018, </w:t>
      </w:r>
      <w:r w:rsidR="006A74B9" w:rsidRPr="008E780D">
        <w:rPr>
          <w:rFonts w:eastAsia="Lucida Sans Unicode"/>
        </w:rPr>
        <w:t>2020</w:t>
      </w:r>
      <w:r w:rsidR="00D60EC2" w:rsidRPr="008E780D">
        <w:rPr>
          <w:rFonts w:eastAsia="Lucida Sans Unicode"/>
        </w:rPr>
        <w:t xml:space="preserve">) </w:t>
      </w:r>
      <w:r w:rsidR="00A25A52" w:rsidRPr="008E780D">
        <w:rPr>
          <w:rFonts w:eastAsia="Lucida Sans Unicode"/>
        </w:rPr>
        <w:t xml:space="preserve">have shown that the </w:t>
      </w:r>
      <w:r w:rsidR="00F522B9" w:rsidRPr="008E780D">
        <w:rPr>
          <w:rFonts w:eastAsia="Lucida Sans Unicode"/>
        </w:rPr>
        <w:t xml:space="preserve">numbers of New Zealanders experiencing gambling-related harm has </w:t>
      </w:r>
      <w:r w:rsidR="006A74B9" w:rsidRPr="008E780D">
        <w:rPr>
          <w:rFonts w:eastAsia="Lucida Sans Unicode"/>
        </w:rPr>
        <w:t xml:space="preserve">tended to </w:t>
      </w:r>
      <w:r w:rsidR="00F522B9" w:rsidRPr="008E780D">
        <w:rPr>
          <w:rFonts w:eastAsia="Lucida Sans Unicode"/>
        </w:rPr>
        <w:t xml:space="preserve">increase in line with population growth. </w:t>
      </w:r>
    </w:p>
    <w:p w14:paraId="039FA068" w14:textId="77777777" w:rsidR="00F522B9" w:rsidRDefault="00F522B9" w:rsidP="00517395">
      <w:pPr>
        <w:rPr>
          <w:rFonts w:eastAsia="Lucida Sans Unicode"/>
        </w:rPr>
      </w:pPr>
    </w:p>
    <w:p w14:paraId="1DD9759F" w14:textId="30F91ABE" w:rsidR="00F522B9" w:rsidRDefault="00F522B9" w:rsidP="00517395">
      <w:pPr>
        <w:rPr>
          <w:rFonts w:eastAsia="Lucida Sans Unicode"/>
        </w:rPr>
      </w:pPr>
      <w:r>
        <w:rPr>
          <w:rFonts w:eastAsia="Lucida Sans Unicode"/>
        </w:rPr>
        <w:t xml:space="preserve">Some </w:t>
      </w:r>
      <w:r w:rsidRPr="00AC4631">
        <w:rPr>
          <w:rFonts w:eastAsia="Lucida Sans Unicode"/>
        </w:rPr>
        <w:t>population groups are experiencing more gambling harm than others. For example, the</w:t>
      </w:r>
      <w:r w:rsidR="00D60EC2" w:rsidRPr="00AC4631">
        <w:rPr>
          <w:rFonts w:eastAsia="Lucida Sans Unicode"/>
        </w:rPr>
        <w:t xml:space="preserve"> </w:t>
      </w:r>
      <w:r w:rsidR="00144A06" w:rsidRPr="00AC4631">
        <w:rPr>
          <w:rFonts w:eastAsia="Lucida Sans Unicode"/>
        </w:rPr>
        <w:t xml:space="preserve">NZGS </w:t>
      </w:r>
      <w:r w:rsidRPr="00AC4631">
        <w:rPr>
          <w:rFonts w:eastAsia="Lucida Sans Unicode"/>
        </w:rPr>
        <w:t>found</w:t>
      </w:r>
      <w:r w:rsidR="001C3E0F" w:rsidRPr="00AC4631">
        <w:rPr>
          <w:rFonts w:eastAsia="Lucida Sans Unicode"/>
        </w:rPr>
        <w:t xml:space="preserve"> that in 2023/24</w:t>
      </w:r>
      <w:r w:rsidRPr="00AC4631">
        <w:rPr>
          <w:rFonts w:eastAsia="Lucida Sans Unicode"/>
        </w:rPr>
        <w:t>, asking about the p</w:t>
      </w:r>
      <w:r w:rsidR="00EE2472" w:rsidRPr="00AC4631">
        <w:rPr>
          <w:rFonts w:eastAsia="Lucida Sans Unicode"/>
        </w:rPr>
        <w:t xml:space="preserve">revious </w:t>
      </w:r>
      <w:r w:rsidRPr="00AC4631">
        <w:rPr>
          <w:rFonts w:eastAsia="Lucida Sans Unicode"/>
        </w:rPr>
        <w:t>12 months:</w:t>
      </w:r>
    </w:p>
    <w:p w14:paraId="3A82254F" w14:textId="0876F7C1" w:rsidR="00F522B9" w:rsidRPr="002B68B9" w:rsidRDefault="00F522B9" w:rsidP="00F522B9">
      <w:pPr>
        <w:pStyle w:val="Bullet"/>
        <w:rPr>
          <w:rFonts w:eastAsia="Lucida Sans Unicode"/>
        </w:rPr>
      </w:pPr>
      <w:r w:rsidRPr="00830F66">
        <w:rPr>
          <w:rFonts w:eastAsia="Lucida Sans Unicode"/>
          <w:b/>
          <w:bCs/>
          <w:color w:val="0A6AB4"/>
        </w:rPr>
        <w:t xml:space="preserve">Māori </w:t>
      </w:r>
      <w:r w:rsidRPr="002B68B9">
        <w:rPr>
          <w:rFonts w:eastAsia="Lucida Sans Unicode"/>
        </w:rPr>
        <w:t xml:space="preserve">were </w:t>
      </w:r>
      <w:r w:rsidR="00F727E9">
        <w:rPr>
          <w:rFonts w:eastAsia="Lucida Sans Unicode"/>
        </w:rPr>
        <w:t>2.24</w:t>
      </w:r>
      <w:r w:rsidRPr="002B68B9">
        <w:rPr>
          <w:rFonts w:eastAsia="Lucida Sans Unicode"/>
        </w:rPr>
        <w:t xml:space="preserve"> times more likely to be moderate-risk or </w:t>
      </w:r>
      <w:r w:rsidR="00537290">
        <w:rPr>
          <w:rFonts w:eastAsia="Lucida Sans Unicode"/>
        </w:rPr>
        <w:t>high-risk</w:t>
      </w:r>
      <w:r w:rsidRPr="002B68B9">
        <w:rPr>
          <w:rFonts w:eastAsia="Lucida Sans Unicode"/>
        </w:rPr>
        <w:t xml:space="preserve"> gamblers than non-Māori. </w:t>
      </w:r>
    </w:p>
    <w:p w14:paraId="2DDE2BA8" w14:textId="2C8C4B49" w:rsidR="00F522B9" w:rsidRPr="002B68B9" w:rsidRDefault="00F522B9" w:rsidP="00F522B9">
      <w:pPr>
        <w:pStyle w:val="Bullet"/>
        <w:rPr>
          <w:rFonts w:eastAsia="Lucida Sans Unicode"/>
        </w:rPr>
      </w:pPr>
      <w:r w:rsidRPr="00830F66">
        <w:rPr>
          <w:rFonts w:eastAsia="Lucida Sans Unicode"/>
          <w:b/>
          <w:bCs/>
          <w:color w:val="0A6AB4"/>
        </w:rPr>
        <w:t>Pacific peoples</w:t>
      </w:r>
      <w:r w:rsidRPr="002B68B9">
        <w:rPr>
          <w:rFonts w:eastAsia="Lucida Sans Unicode"/>
        </w:rPr>
        <w:t xml:space="preserve"> were </w:t>
      </w:r>
      <w:r w:rsidR="005B24F0">
        <w:rPr>
          <w:rFonts w:eastAsia="Lucida Sans Unicode"/>
        </w:rPr>
        <w:t>2.31</w:t>
      </w:r>
      <w:r w:rsidRPr="002B68B9">
        <w:rPr>
          <w:rFonts w:eastAsia="Lucida Sans Unicode"/>
        </w:rPr>
        <w:t xml:space="preserve"> times more likely to be moderate-risk or </w:t>
      </w:r>
      <w:r w:rsidR="00537290">
        <w:rPr>
          <w:rFonts w:eastAsia="Lucida Sans Unicode"/>
        </w:rPr>
        <w:t>high-risk</w:t>
      </w:r>
      <w:r w:rsidRPr="002B68B9">
        <w:rPr>
          <w:rFonts w:eastAsia="Lucida Sans Unicode"/>
        </w:rPr>
        <w:t xml:space="preserve"> gamblers than non-Pacific peoples. </w:t>
      </w:r>
    </w:p>
    <w:p w14:paraId="3F3D8B59" w14:textId="476568A4" w:rsidR="00F522B9" w:rsidRPr="002B68B9" w:rsidRDefault="00F522B9" w:rsidP="00F522B9">
      <w:pPr>
        <w:pStyle w:val="Bullet"/>
        <w:rPr>
          <w:rFonts w:eastAsia="Lucida Sans Unicode"/>
        </w:rPr>
      </w:pPr>
      <w:r w:rsidRPr="1F3919BA">
        <w:rPr>
          <w:rFonts w:eastAsia="Lucida Sans Unicode"/>
        </w:rPr>
        <w:t xml:space="preserve">While the proportion of </w:t>
      </w:r>
      <w:r w:rsidRPr="1F3919BA">
        <w:rPr>
          <w:rFonts w:eastAsia="Lucida Sans Unicode"/>
          <w:b/>
          <w:bCs/>
          <w:color w:val="0A6AB4"/>
        </w:rPr>
        <w:t>Asian people</w:t>
      </w:r>
      <w:r w:rsidRPr="1F3919BA">
        <w:rPr>
          <w:rFonts w:eastAsia="Lucida Sans Unicode"/>
          <w:b/>
          <w:bCs/>
        </w:rPr>
        <w:t xml:space="preserve"> </w:t>
      </w:r>
      <w:r w:rsidRPr="1F3919BA">
        <w:rPr>
          <w:rFonts w:eastAsia="Lucida Sans Unicode"/>
        </w:rPr>
        <w:t xml:space="preserve">who gamble is relatively low when compared </w:t>
      </w:r>
      <w:r w:rsidR="003C3FC2">
        <w:rPr>
          <w:rFonts w:eastAsia="Lucida Sans Unicode"/>
        </w:rPr>
        <w:t xml:space="preserve">with </w:t>
      </w:r>
      <w:r w:rsidRPr="1F3919BA">
        <w:rPr>
          <w:rFonts w:eastAsia="Lucida Sans Unicode"/>
        </w:rPr>
        <w:t xml:space="preserve">other population groups, those who do gamble </w:t>
      </w:r>
      <w:r w:rsidR="6C34E105" w:rsidRPr="1F3919BA">
        <w:rPr>
          <w:rFonts w:eastAsia="Lucida Sans Unicode"/>
        </w:rPr>
        <w:t>have historically been</w:t>
      </w:r>
      <w:r w:rsidRPr="1F3919BA">
        <w:rPr>
          <w:rFonts w:eastAsia="Lucida Sans Unicode"/>
        </w:rPr>
        <w:t xml:space="preserve"> more likely to experience gambling harm compared with the European/Other population group.</w:t>
      </w:r>
    </w:p>
    <w:p w14:paraId="37179B77" w14:textId="1BC62359" w:rsidR="00F522B9" w:rsidRDefault="00F522B9" w:rsidP="00F522B9">
      <w:pPr>
        <w:pStyle w:val="Bullet"/>
        <w:rPr>
          <w:rFonts w:eastAsia="Lucida Sans Unicode"/>
        </w:rPr>
      </w:pPr>
      <w:r w:rsidRPr="002B68B9">
        <w:rPr>
          <w:rFonts w:eastAsia="Lucida Sans Unicode"/>
        </w:rPr>
        <w:t xml:space="preserve">About </w:t>
      </w:r>
      <w:r w:rsidR="009F04F7">
        <w:rPr>
          <w:rFonts w:eastAsia="Lucida Sans Unicode"/>
        </w:rPr>
        <w:t>44.3%</w:t>
      </w:r>
      <w:r w:rsidRPr="002B68B9">
        <w:rPr>
          <w:rFonts w:eastAsia="Lucida Sans Unicode"/>
        </w:rPr>
        <w:t xml:space="preserve"> of </w:t>
      </w:r>
      <w:r w:rsidRPr="00830F66">
        <w:rPr>
          <w:rFonts w:eastAsia="Lucida Sans Unicode"/>
          <w:b/>
          <w:bCs/>
          <w:color w:val="0A6AB4"/>
        </w:rPr>
        <w:t>youth</w:t>
      </w:r>
      <w:r w:rsidRPr="002B68B9">
        <w:rPr>
          <w:rFonts w:eastAsia="Lucida Sans Unicode"/>
        </w:rPr>
        <w:t xml:space="preserve"> aged </w:t>
      </w:r>
      <w:r w:rsidR="00C1089A">
        <w:rPr>
          <w:rFonts w:eastAsia="Lucida Sans Unicode"/>
        </w:rPr>
        <w:t>15</w:t>
      </w:r>
      <w:r w:rsidRPr="002B68B9">
        <w:rPr>
          <w:rFonts w:eastAsia="Lucida Sans Unicode"/>
        </w:rPr>
        <w:t>–24</w:t>
      </w:r>
      <w:r w:rsidR="00C1089A">
        <w:rPr>
          <w:rFonts w:eastAsia="Lucida Sans Unicode"/>
        </w:rPr>
        <w:t xml:space="preserve"> years</w:t>
      </w:r>
      <w:r w:rsidRPr="002B68B9">
        <w:rPr>
          <w:rFonts w:eastAsia="Lucida Sans Unicode"/>
        </w:rPr>
        <w:t xml:space="preserve"> gambled in the past year. Young people make up approximately </w:t>
      </w:r>
      <w:r w:rsidR="000D1CC6">
        <w:rPr>
          <w:rFonts w:eastAsia="Lucida Sans Unicode"/>
        </w:rPr>
        <w:t>25%</w:t>
      </w:r>
      <w:r w:rsidRPr="002B68B9">
        <w:rPr>
          <w:rFonts w:eastAsia="Lucida Sans Unicode"/>
        </w:rPr>
        <w:t xml:space="preserve"> (</w:t>
      </w:r>
      <w:r w:rsidR="00A1256B">
        <w:rPr>
          <w:rFonts w:eastAsia="Lucida Sans Unicode"/>
        </w:rPr>
        <w:t>26,000</w:t>
      </w:r>
      <w:r w:rsidRPr="002B68B9">
        <w:rPr>
          <w:rFonts w:eastAsia="Lucida Sans Unicode"/>
        </w:rPr>
        <w:t xml:space="preserve"> people) of moderate- and high-risk gamblers (</w:t>
      </w:r>
      <w:r w:rsidR="00741D22">
        <w:rPr>
          <w:rFonts w:eastAsia="Lucida Sans Unicode"/>
        </w:rPr>
        <w:t>2.4%</w:t>
      </w:r>
      <w:r w:rsidRPr="002B68B9">
        <w:rPr>
          <w:rFonts w:eastAsia="Lucida Sans Unicode"/>
        </w:rPr>
        <w:t xml:space="preserve"> of all adults or </w:t>
      </w:r>
      <w:r w:rsidR="00195032">
        <w:rPr>
          <w:rFonts w:eastAsia="Lucida Sans Unicode"/>
        </w:rPr>
        <w:t>104,000</w:t>
      </w:r>
      <w:r w:rsidRPr="002B68B9">
        <w:rPr>
          <w:rFonts w:eastAsia="Lucida Sans Unicode"/>
        </w:rPr>
        <w:t xml:space="preserve"> people).</w:t>
      </w:r>
    </w:p>
    <w:p w14:paraId="6C35A0FF" w14:textId="134B0777" w:rsidR="00565836" w:rsidRPr="000A1D2C" w:rsidRDefault="00554A8E" w:rsidP="00565836">
      <w:pPr>
        <w:pStyle w:val="Bullet"/>
        <w:rPr>
          <w:rFonts w:eastAsia="Lucida Sans Unicode"/>
        </w:rPr>
      </w:pPr>
      <w:r w:rsidRPr="00825347">
        <w:rPr>
          <w:rFonts w:eastAsia="Lucida Sans Unicode"/>
          <w:b/>
          <w:bCs/>
          <w:color w:val="0A6AB4"/>
        </w:rPr>
        <w:t>Disabled people</w:t>
      </w:r>
      <w:r w:rsidRPr="00825347">
        <w:rPr>
          <w:rFonts w:eastAsia="Lucida Sans Unicode"/>
        </w:rPr>
        <w:t xml:space="preserve"> </w:t>
      </w:r>
      <w:r w:rsidR="00565836" w:rsidRPr="00825347">
        <w:rPr>
          <w:rFonts w:eastAsia="Lucida Sans Unicode"/>
        </w:rPr>
        <w:t xml:space="preserve">had </w:t>
      </w:r>
      <w:r w:rsidR="005E3FB8">
        <w:rPr>
          <w:rFonts w:eastAsia="Lucida Sans Unicode"/>
        </w:rPr>
        <w:t>4.02</w:t>
      </w:r>
      <w:r w:rsidR="00565836" w:rsidRPr="00825347">
        <w:rPr>
          <w:rFonts w:eastAsia="Lucida Sans Unicode"/>
        </w:rPr>
        <w:t xml:space="preserve"> times the risk of being a moderate- or high-risk gambler compared to those with no disability</w:t>
      </w:r>
      <w:r w:rsidR="000C7041" w:rsidRPr="00825347">
        <w:rPr>
          <w:rFonts w:eastAsia="Lucida Sans Unicode"/>
        </w:rPr>
        <w:t xml:space="preserve">. </w:t>
      </w:r>
      <w:r w:rsidR="00565836" w:rsidRPr="00825347">
        <w:rPr>
          <w:rFonts w:eastAsia="Lucida Sans Unicode"/>
        </w:rPr>
        <w:t xml:space="preserve"> These results may be attributable to the</w:t>
      </w:r>
      <w:r w:rsidR="00D60EC2" w:rsidRPr="00825347">
        <w:rPr>
          <w:rFonts w:eastAsia="Lucida Sans Unicode"/>
        </w:rPr>
        <w:t xml:space="preserve"> disability question</w:t>
      </w:r>
      <w:r w:rsidR="00565836" w:rsidRPr="00825347">
        <w:rPr>
          <w:rFonts w:eastAsia="Lucida Sans Unicode"/>
        </w:rPr>
        <w:t xml:space="preserve"> </w:t>
      </w:r>
      <w:r w:rsidR="000C7041" w:rsidRPr="00825347">
        <w:rPr>
          <w:rFonts w:eastAsia="Lucida Sans Unicode"/>
        </w:rPr>
        <w:t xml:space="preserve">in the NZGS which included </w:t>
      </w:r>
      <w:r w:rsidRPr="00825347">
        <w:rPr>
          <w:rFonts w:eastAsia="Lucida Sans Unicode"/>
        </w:rPr>
        <w:t xml:space="preserve">mental health and addiction </w:t>
      </w:r>
      <w:r w:rsidR="00D60EC2" w:rsidRPr="00825347">
        <w:rPr>
          <w:rFonts w:eastAsia="Lucida Sans Unicode"/>
        </w:rPr>
        <w:t xml:space="preserve">as </w:t>
      </w:r>
      <w:r w:rsidRPr="00825347">
        <w:rPr>
          <w:rFonts w:eastAsia="Lucida Sans Unicode"/>
        </w:rPr>
        <w:t>components</w:t>
      </w:r>
      <w:r w:rsidR="00D60EC2" w:rsidRPr="00825347">
        <w:rPr>
          <w:rFonts w:eastAsia="Lucida Sans Unicode"/>
        </w:rPr>
        <w:t xml:space="preserve">, </w:t>
      </w:r>
      <w:r w:rsidRPr="00825347">
        <w:rPr>
          <w:rFonts w:eastAsia="Lucida Sans Unicode"/>
        </w:rPr>
        <w:t>but</w:t>
      </w:r>
      <w:r w:rsidR="00565836" w:rsidRPr="00825347">
        <w:rPr>
          <w:rFonts w:eastAsia="Lucida Sans Unicode"/>
        </w:rPr>
        <w:t xml:space="preserve"> </w:t>
      </w:r>
      <w:r w:rsidR="000C7041" w:rsidRPr="00825347">
        <w:rPr>
          <w:rFonts w:eastAsia="Lucida Sans Unicode"/>
        </w:rPr>
        <w:t xml:space="preserve">the results are </w:t>
      </w:r>
      <w:r w:rsidR="00565836" w:rsidRPr="00825347">
        <w:rPr>
          <w:rFonts w:eastAsia="Lucida Sans Unicode"/>
        </w:rPr>
        <w:t>still significant in relation to that definition.</w:t>
      </w:r>
      <w:r w:rsidR="000C7041" w:rsidRPr="00825347">
        <w:rPr>
          <w:rFonts w:eastAsia="Lucida Sans Unicode"/>
        </w:rPr>
        <w:t xml:space="preserve"> Presentations data does not routinely capture disability information at present, raising concerns that disabled people</w:t>
      </w:r>
      <w:r w:rsidR="000C7041" w:rsidRPr="000A1D2C">
        <w:rPr>
          <w:rFonts w:eastAsia="Lucida Sans Unicode"/>
        </w:rPr>
        <w:t xml:space="preserve"> may not be accessing services they need</w:t>
      </w:r>
      <w:r w:rsidR="00636844">
        <w:rPr>
          <w:rFonts w:eastAsia="Lucida Sans Unicode"/>
        </w:rPr>
        <w:t>.</w:t>
      </w:r>
    </w:p>
    <w:p w14:paraId="657FD6CB" w14:textId="1A40AF5F" w:rsidR="006A74B9" w:rsidRDefault="006A74B9" w:rsidP="00F522B9">
      <w:pPr>
        <w:pStyle w:val="Bullet"/>
        <w:rPr>
          <w:rFonts w:eastAsia="Lucida Sans Unicode"/>
        </w:rPr>
      </w:pPr>
      <w:r w:rsidRPr="00554A8E">
        <w:rPr>
          <w:rFonts w:eastAsia="Lucida Sans Unicode"/>
          <w:b/>
          <w:bCs/>
          <w:color w:val="0A6AB4"/>
        </w:rPr>
        <w:lastRenderedPageBreak/>
        <w:t>Women</w:t>
      </w:r>
      <w:r w:rsidR="00554A8E" w:rsidRPr="00554A8E">
        <w:rPr>
          <w:rFonts w:eastAsia="Lucida Sans Unicode"/>
          <w:b/>
          <w:bCs/>
          <w:color w:val="0A6AB4"/>
        </w:rPr>
        <w:t xml:space="preserve"> </w:t>
      </w:r>
      <w:r w:rsidR="00554A8E" w:rsidRPr="00E93187">
        <w:rPr>
          <w:rFonts w:eastAsia="Lucida Sans Unicode"/>
        </w:rPr>
        <w:t>were more likely than men to report impacts of gambling within the household or family, such as gambling-related arguments or someone having to take time off work or study</w:t>
      </w:r>
      <w:r w:rsidR="000C7041">
        <w:rPr>
          <w:rFonts w:eastAsia="Lucida Sans Unicode"/>
        </w:rPr>
        <w:t>.</w:t>
      </w:r>
      <w:r w:rsidR="00681252" w:rsidRPr="00681252">
        <w:rPr>
          <w:rFonts w:eastAsia="Lucida Sans Unicode"/>
        </w:rPr>
        <w:t xml:space="preserve"> </w:t>
      </w:r>
      <w:r w:rsidR="00681252">
        <w:rPr>
          <w:rFonts w:eastAsia="Lucida Sans Unicode"/>
        </w:rPr>
        <w:t xml:space="preserve"> </w:t>
      </w:r>
      <w:r w:rsidR="00681252" w:rsidRPr="00E93187">
        <w:rPr>
          <w:rFonts w:eastAsia="Lucida Sans Unicode"/>
        </w:rPr>
        <w:t>Women</w:t>
      </w:r>
      <w:r w:rsidR="00681252">
        <w:rPr>
          <w:rFonts w:eastAsia="Lucida Sans Unicode"/>
        </w:rPr>
        <w:t xml:space="preserve">, who </w:t>
      </w:r>
      <w:r w:rsidR="00681252" w:rsidRPr="00E93187">
        <w:rPr>
          <w:rFonts w:eastAsia="Lucida Sans Unicode"/>
        </w:rPr>
        <w:t>are often the primary caregivers for their family or whānau, are particularly vulnerable to abuse and violence</w:t>
      </w:r>
      <w:r w:rsidR="00681252">
        <w:rPr>
          <w:rFonts w:eastAsia="Lucida Sans Unicode"/>
        </w:rPr>
        <w:t xml:space="preserve"> </w:t>
      </w:r>
      <w:r w:rsidR="00636844">
        <w:rPr>
          <w:rFonts w:eastAsia="Lucida Sans Unicode"/>
        </w:rPr>
        <w:t xml:space="preserve">related to </w:t>
      </w:r>
      <w:r w:rsidR="00681252">
        <w:rPr>
          <w:rFonts w:eastAsia="Lucida Sans Unicode"/>
        </w:rPr>
        <w:t>their partner’s gambling.</w:t>
      </w:r>
    </w:p>
    <w:p w14:paraId="1642B823" w14:textId="600499A8" w:rsidR="006A74B9" w:rsidRPr="002B68B9" w:rsidRDefault="00681252" w:rsidP="00F522B9">
      <w:pPr>
        <w:pStyle w:val="Bullet"/>
        <w:rPr>
          <w:rFonts w:eastAsia="Lucida Sans Unicode"/>
        </w:rPr>
      </w:pPr>
      <w:r>
        <w:rPr>
          <w:rFonts w:eastAsia="Lucida Sans Unicode"/>
        </w:rPr>
        <w:t xml:space="preserve">While there was no </w:t>
      </w:r>
      <w:r w:rsidR="00554A8E" w:rsidRPr="007D0A71">
        <w:rPr>
          <w:rFonts w:eastAsia="Lucida Sans Unicode"/>
        </w:rPr>
        <w:t xml:space="preserve">clear association for gambling harm in </w:t>
      </w:r>
      <w:r w:rsidR="00554A8E" w:rsidRPr="00554A8E">
        <w:rPr>
          <w:rFonts w:eastAsia="Lucida Sans Unicode"/>
          <w:b/>
          <w:bCs/>
          <w:color w:val="0A6AB4"/>
        </w:rPr>
        <w:t>older people</w:t>
      </w:r>
      <w:r w:rsidR="00554A8E">
        <w:rPr>
          <w:rFonts w:eastAsia="Lucida Sans Unicode"/>
          <w:b/>
          <w:bCs/>
          <w:color w:val="0A6AB4"/>
        </w:rPr>
        <w:t xml:space="preserve"> </w:t>
      </w:r>
      <w:r w:rsidR="00554A8E">
        <w:rPr>
          <w:rFonts w:eastAsia="Lucida Sans Unicode"/>
        </w:rPr>
        <w:t>(aged 65 and older)</w:t>
      </w:r>
      <w:r>
        <w:rPr>
          <w:rFonts w:eastAsia="Lucida Sans Unicode"/>
        </w:rPr>
        <w:t>, p</w:t>
      </w:r>
      <w:r w:rsidR="00554A8E">
        <w:rPr>
          <w:rFonts w:eastAsia="Lucida Sans Unicode"/>
        </w:rPr>
        <w:t>revious research</w:t>
      </w:r>
      <w:r>
        <w:rPr>
          <w:rFonts w:eastAsia="Lucida Sans Unicode"/>
        </w:rPr>
        <w:t xml:space="preserve"> </w:t>
      </w:r>
      <w:r w:rsidR="00554A8E">
        <w:rPr>
          <w:rFonts w:eastAsia="Lucida Sans Unicode"/>
        </w:rPr>
        <w:t>has found older people tend to h</w:t>
      </w:r>
      <w:r>
        <w:rPr>
          <w:rFonts w:eastAsia="Lucida Sans Unicode"/>
        </w:rPr>
        <w:t>a</w:t>
      </w:r>
      <w:r w:rsidR="00554A8E">
        <w:rPr>
          <w:rFonts w:eastAsia="Lucida Sans Unicode"/>
        </w:rPr>
        <w:t xml:space="preserve">ve lower prevalence rates </w:t>
      </w:r>
      <w:r w:rsidR="0033775D">
        <w:rPr>
          <w:rFonts w:eastAsia="Lucida Sans Unicode"/>
        </w:rPr>
        <w:t xml:space="preserve">than </w:t>
      </w:r>
      <w:r w:rsidR="00554A8E">
        <w:rPr>
          <w:rFonts w:eastAsia="Lucida Sans Unicode"/>
        </w:rPr>
        <w:t>the rest of the population (</w:t>
      </w:r>
      <w:proofErr w:type="spellStart"/>
      <w:r w:rsidR="00554A8E">
        <w:rPr>
          <w:rFonts w:eastAsia="Lucida Sans Unicode"/>
        </w:rPr>
        <w:t>eg</w:t>
      </w:r>
      <w:proofErr w:type="spellEnd"/>
      <w:r w:rsidR="003D2D7D">
        <w:rPr>
          <w:rFonts w:eastAsia="Lucida Sans Unicode"/>
        </w:rPr>
        <w:t>,</w:t>
      </w:r>
      <w:r w:rsidR="00554A8E">
        <w:rPr>
          <w:rFonts w:eastAsia="Lucida Sans Unicode"/>
        </w:rPr>
        <w:t xml:space="preserve"> 2020 Health and Lifestyles Survey)</w:t>
      </w:r>
      <w:r>
        <w:rPr>
          <w:rFonts w:eastAsia="Lucida Sans Unicode"/>
        </w:rPr>
        <w:t xml:space="preserve">, while </w:t>
      </w:r>
      <w:r w:rsidR="00554A8E">
        <w:rPr>
          <w:rFonts w:eastAsia="Lucida Sans Unicode"/>
        </w:rPr>
        <w:t>those on</w:t>
      </w:r>
      <w:r>
        <w:rPr>
          <w:rFonts w:eastAsia="Lucida Sans Unicode"/>
        </w:rPr>
        <w:t xml:space="preserve"> a</w:t>
      </w:r>
      <w:r w:rsidR="00554A8E">
        <w:rPr>
          <w:rFonts w:eastAsia="Lucida Sans Unicode"/>
        </w:rPr>
        <w:t xml:space="preserve"> limited income, retired or living alone were more vulnerable. </w:t>
      </w:r>
    </w:p>
    <w:p w14:paraId="1FB3FEAC" w14:textId="77777777" w:rsidR="00F522B9" w:rsidRDefault="00F522B9" w:rsidP="00F522B9">
      <w:pPr>
        <w:rPr>
          <w:rFonts w:eastAsia="Lucida Sans Unicode"/>
        </w:rPr>
      </w:pPr>
    </w:p>
    <w:p w14:paraId="573DC92D" w14:textId="3CB9B822" w:rsidR="00F522B9" w:rsidRDefault="00F522B9" w:rsidP="00F522B9">
      <w:pPr>
        <w:rPr>
          <w:rFonts w:eastAsia="Lucida Sans Unicode"/>
        </w:rPr>
      </w:pPr>
      <w:r>
        <w:rPr>
          <w:rFonts w:eastAsia="Lucida Sans Unicode"/>
        </w:rPr>
        <w:t>Some forms of gambling are also higher risk than others, with e</w:t>
      </w:r>
      <w:r w:rsidRPr="00A67AC4">
        <w:rPr>
          <w:rFonts w:eastAsia="Lucida Sans Unicode"/>
        </w:rPr>
        <w:t>vidence show</w:t>
      </w:r>
      <w:r>
        <w:rPr>
          <w:rFonts w:eastAsia="Lucida Sans Unicode"/>
        </w:rPr>
        <w:t>ing</w:t>
      </w:r>
      <w:r w:rsidRPr="00A67AC4">
        <w:rPr>
          <w:rFonts w:eastAsia="Lucida Sans Unicode"/>
        </w:rPr>
        <w:t xml:space="preserve"> that harm is far more likely to be associated with continuous forms of gambling (those in which a gambler can immediately ‘reinvest’ their winnings in further gambling) than other modes of gambling. The common forms of continuous gambling are gaming machines </w:t>
      </w:r>
      <w:r>
        <w:rPr>
          <w:rFonts w:eastAsia="Lucida Sans Unicode"/>
        </w:rPr>
        <w:t xml:space="preserve">or ‘pokies’ </w:t>
      </w:r>
      <w:r w:rsidRPr="00A67AC4">
        <w:rPr>
          <w:rFonts w:eastAsia="Lucida Sans Unicode"/>
        </w:rPr>
        <w:t>(in or out of a casino), casino table games, scratchies (Instant Kiwi) and sports/race betting</w:t>
      </w:r>
      <w:r>
        <w:rPr>
          <w:rFonts w:eastAsia="Lucida Sans Unicode"/>
        </w:rPr>
        <w:t>.</w:t>
      </w:r>
      <w:r w:rsidR="00E760A2">
        <w:rPr>
          <w:rFonts w:eastAsia="Lucida Sans Unicode"/>
        </w:rPr>
        <w:t xml:space="preserve"> </w:t>
      </w:r>
      <w:r w:rsidR="00800C1B">
        <w:rPr>
          <w:rFonts w:eastAsia="Lucida Sans Unicode"/>
        </w:rPr>
        <w:t>Research also shows that online forms of gambling have higher prevalence and harm rates tha</w:t>
      </w:r>
      <w:r w:rsidR="00171FA5">
        <w:rPr>
          <w:rFonts w:eastAsia="Lucida Sans Unicode"/>
        </w:rPr>
        <w:t>n in person.</w:t>
      </w:r>
    </w:p>
    <w:p w14:paraId="785BA221" w14:textId="77777777" w:rsidR="00F522B9" w:rsidRDefault="00F522B9" w:rsidP="00F522B9">
      <w:pPr>
        <w:rPr>
          <w:rFonts w:eastAsia="Lucida Sans Unicode"/>
        </w:rPr>
      </w:pPr>
    </w:p>
    <w:p w14:paraId="6E67C392" w14:textId="3C2C5548" w:rsidR="00F522B9" w:rsidRDefault="00F522B9" w:rsidP="00F522B9">
      <w:pPr>
        <w:rPr>
          <w:rFonts w:eastAsia="Lucida Sans Unicode"/>
        </w:rPr>
      </w:pPr>
      <w:r w:rsidRPr="746121A3">
        <w:rPr>
          <w:rFonts w:eastAsia="Lucida Sans Unicode"/>
        </w:rPr>
        <w:t xml:space="preserve">A large amount of the money spent on gambling in New Zealand </w:t>
      </w:r>
      <w:r w:rsidR="00D60EC2">
        <w:rPr>
          <w:rFonts w:eastAsia="Lucida Sans Unicode"/>
        </w:rPr>
        <w:t xml:space="preserve">(37%) </w:t>
      </w:r>
      <w:r w:rsidRPr="746121A3">
        <w:rPr>
          <w:rFonts w:eastAsia="Lucida Sans Unicode"/>
        </w:rPr>
        <w:t xml:space="preserve">comes from the </w:t>
      </w:r>
      <w:r w:rsidRPr="006A7A1C">
        <w:rPr>
          <w:rFonts w:eastAsia="Lucida Sans Unicode"/>
        </w:rPr>
        <w:t xml:space="preserve">relatively small number </w:t>
      </w:r>
      <w:r w:rsidR="00D60EC2">
        <w:rPr>
          <w:rFonts w:eastAsia="Lucida Sans Unicode"/>
        </w:rPr>
        <w:t xml:space="preserve">(14%) </w:t>
      </w:r>
      <w:r w:rsidRPr="006A7A1C">
        <w:rPr>
          <w:rFonts w:eastAsia="Lucida Sans Unicode"/>
        </w:rPr>
        <w:t>of people</w:t>
      </w:r>
      <w:r w:rsidRPr="746121A3">
        <w:rPr>
          <w:rFonts w:eastAsia="Lucida Sans Unicode"/>
          <w:vertAlign w:val="superscript"/>
        </w:rPr>
        <w:t xml:space="preserve"> </w:t>
      </w:r>
      <w:r w:rsidRPr="746121A3">
        <w:rPr>
          <w:rFonts w:eastAsia="Lucida Sans Unicode"/>
        </w:rPr>
        <w:t xml:space="preserve">who play gaming machines. Most people accessing gambling-harm intervention services </w:t>
      </w:r>
      <w:r w:rsidR="00D60EC2">
        <w:rPr>
          <w:rFonts w:eastAsia="Lucida Sans Unicode"/>
        </w:rPr>
        <w:t xml:space="preserve">(54%) </w:t>
      </w:r>
      <w:r w:rsidRPr="746121A3">
        <w:rPr>
          <w:rFonts w:eastAsia="Lucida Sans Unicode"/>
        </w:rPr>
        <w:t>cite pub or club pokies as the primary problem gambling mode. The offshore online gambling market has grown significantly in recent years, with higher participation, higher spend, and greater harm being reported by New Zealanders.</w:t>
      </w:r>
    </w:p>
    <w:p w14:paraId="1DC6B459" w14:textId="77777777" w:rsidR="00F522B9" w:rsidRPr="002B68B9" w:rsidRDefault="00F522B9" w:rsidP="00517395">
      <w:pPr>
        <w:pStyle w:val="Heading2"/>
      </w:pPr>
      <w:bookmarkStart w:id="16" w:name="_Toc197527580"/>
      <w:r>
        <w:t>Government’s c</w:t>
      </w:r>
      <w:r w:rsidRPr="002B68B9">
        <w:t xml:space="preserve">urrent </w:t>
      </w:r>
      <w:r>
        <w:t>responses</w:t>
      </w:r>
      <w:bookmarkEnd w:id="16"/>
    </w:p>
    <w:p w14:paraId="30DF644F" w14:textId="01A67056" w:rsidR="00F522B9" w:rsidRDefault="002546F4" w:rsidP="00A23613">
      <w:pPr>
        <w:rPr>
          <w:highlight w:val="yellow"/>
        </w:rPr>
      </w:pPr>
      <w:r>
        <w:t xml:space="preserve">There is a range of </w:t>
      </w:r>
      <w:r w:rsidR="00F522B9">
        <w:t xml:space="preserve">current services and </w:t>
      </w:r>
      <w:r w:rsidR="00F522B9" w:rsidRPr="0FD73C6D">
        <w:t>activity under</w:t>
      </w:r>
      <w:r w:rsidR="00F522B9" w:rsidRPr="009E3069">
        <w:t xml:space="preserve"> the </w:t>
      </w:r>
      <w:r w:rsidR="00F522B9" w:rsidRPr="0FD73C6D">
        <w:t xml:space="preserve">current </w:t>
      </w:r>
      <w:r w:rsidR="5AD9C4DE">
        <w:t>S</w:t>
      </w:r>
      <w:r w:rsidR="00F522B9" w:rsidRPr="0FD73C6D">
        <w:t>trategy</w:t>
      </w:r>
      <w:r w:rsidR="00A23613">
        <w:t>, including</w:t>
      </w:r>
      <w:r w:rsidR="485DD3D0">
        <w:t xml:space="preserve"> regulatory activities</w:t>
      </w:r>
      <w:r w:rsidR="00F276EA">
        <w:t xml:space="preserve"> and</w:t>
      </w:r>
      <w:r w:rsidR="485DD3D0">
        <w:t xml:space="preserve"> targeted community activities</w:t>
      </w:r>
      <w:r w:rsidR="005D2604">
        <w:t>,</w:t>
      </w:r>
      <w:r w:rsidR="485DD3D0">
        <w:t xml:space="preserve"> to address </w:t>
      </w:r>
      <w:r w:rsidR="1EEE28F5">
        <w:t xml:space="preserve">the full range of harms </w:t>
      </w:r>
      <w:r w:rsidR="40EC5939">
        <w:t>experienced by people who gamble</w:t>
      </w:r>
      <w:r w:rsidR="7E178F6C">
        <w:t>,</w:t>
      </w:r>
      <w:r w:rsidR="40EC5939">
        <w:t xml:space="preserve"> </w:t>
      </w:r>
      <w:r w:rsidR="7E178F6C">
        <w:t xml:space="preserve">including </w:t>
      </w:r>
      <w:r w:rsidR="485DD3D0">
        <w:t>problem gamblers</w:t>
      </w:r>
      <w:r w:rsidR="005D2604">
        <w:t xml:space="preserve">, </w:t>
      </w:r>
      <w:r w:rsidR="485DD3D0">
        <w:t xml:space="preserve">low risk gamblers and the general population. </w:t>
      </w:r>
      <w:r>
        <w:t xml:space="preserve">These are described at high-level below, with more detail in </w:t>
      </w:r>
      <w:r w:rsidRPr="003A6F51">
        <w:rPr>
          <w:b/>
          <w:bCs/>
        </w:rPr>
        <w:t>Appendix Three</w:t>
      </w:r>
      <w:r>
        <w:rPr>
          <w:b/>
          <w:bCs/>
        </w:rPr>
        <w:t>.</w:t>
      </w:r>
      <w:r w:rsidRPr="00706C85">
        <w:t xml:space="preserve"> </w:t>
      </w:r>
    </w:p>
    <w:p w14:paraId="0517FC13" w14:textId="77777777" w:rsidR="00F522B9" w:rsidRPr="008A189B" w:rsidRDefault="00F522B9" w:rsidP="008A189B">
      <w:pPr>
        <w:pStyle w:val="Heading3"/>
        <w:rPr>
          <w:rFonts w:eastAsia="Lucida Sans Unicode"/>
        </w:rPr>
      </w:pPr>
      <w:r w:rsidRPr="008A189B">
        <w:rPr>
          <w:rFonts w:eastAsia="Lucida Sans Unicode"/>
        </w:rPr>
        <w:t xml:space="preserve">Public health approach to addressing gambling </w:t>
      </w:r>
      <w:proofErr w:type="gramStart"/>
      <w:r w:rsidRPr="008A189B">
        <w:rPr>
          <w:rFonts w:eastAsia="Lucida Sans Unicode"/>
        </w:rPr>
        <w:t>harm</w:t>
      </w:r>
      <w:proofErr w:type="gramEnd"/>
    </w:p>
    <w:p w14:paraId="43D8234D" w14:textId="56E46CD8" w:rsidR="00E92B2F" w:rsidRDefault="00F522B9" w:rsidP="00E92B2F">
      <w:pPr>
        <w:rPr>
          <w:rFonts w:eastAsia="Segoe UI"/>
          <w:szCs w:val="21"/>
        </w:rPr>
      </w:pPr>
      <w:r w:rsidRPr="44644BCA">
        <w:rPr>
          <w:rFonts w:eastAsia="Lucida Sans Unicode"/>
        </w:rPr>
        <w:t>T</w:t>
      </w:r>
      <w:r w:rsidRPr="55012244">
        <w:t xml:space="preserve">he Act (section 317) requires an integrated </w:t>
      </w:r>
      <w:r>
        <w:t xml:space="preserve">gambling </w:t>
      </w:r>
      <w:r w:rsidRPr="55012244">
        <w:t xml:space="preserve">harm prevention and minimisation strategy </w:t>
      </w:r>
      <w:r>
        <w:t>focussed on</w:t>
      </w:r>
      <w:r w:rsidRPr="55012244">
        <w:t xml:space="preserve"> public health</w:t>
      </w:r>
      <w:r w:rsidR="009E56F4">
        <w:t>.</w:t>
      </w:r>
      <w:r>
        <w:t xml:space="preserve"> It further specifies the strategy must contain measures to promote public health by preventing and minimising harm from gambling. </w:t>
      </w:r>
      <w:r w:rsidR="00E92B2F">
        <w:t>H</w:t>
      </w:r>
      <w:r w:rsidR="00E92B2F" w:rsidRPr="00B01452">
        <w:t xml:space="preserve">arm prevention </w:t>
      </w:r>
      <w:r w:rsidR="00E92B2F">
        <w:t xml:space="preserve">and minimisation </w:t>
      </w:r>
      <w:r w:rsidR="00E92B2F" w:rsidRPr="00B01452">
        <w:t>is a core purpose of the Act</w:t>
      </w:r>
      <w:r w:rsidR="00E92B2F">
        <w:t>,</w:t>
      </w:r>
      <w:r w:rsidR="00E92B2F" w:rsidRPr="00B01452">
        <w:t xml:space="preserve"> which guides all gambling activity in New Zealand.</w:t>
      </w:r>
      <w:r w:rsidR="00C1095F">
        <w:rPr>
          <w:rFonts w:eastAsia="Segoe UI"/>
        </w:rPr>
        <w:t xml:space="preserve"> </w:t>
      </w:r>
    </w:p>
    <w:p w14:paraId="3768AE62" w14:textId="77777777" w:rsidR="00E92B2F" w:rsidRDefault="00E92B2F" w:rsidP="00517395"/>
    <w:p w14:paraId="76743825" w14:textId="26208954" w:rsidR="00F522B9" w:rsidRDefault="00F522B9" w:rsidP="00517395">
      <w:pPr>
        <w:rPr>
          <w:rFonts w:eastAsia="Segoe UI" w:cs="Segoe UI"/>
          <w:color w:val="333333"/>
        </w:rPr>
      </w:pPr>
      <w:r>
        <w:t xml:space="preserve">Our public health approach consists of prevention at population and targeted </w:t>
      </w:r>
      <w:r w:rsidR="00D60EC2">
        <w:t xml:space="preserve">community or group </w:t>
      </w:r>
      <w:r>
        <w:t xml:space="preserve">levels, as well as health promotion and service delivery. </w:t>
      </w:r>
    </w:p>
    <w:p w14:paraId="56192B7D" w14:textId="01D05508" w:rsidR="00F522B9" w:rsidRDefault="00F522B9" w:rsidP="00517395"/>
    <w:p w14:paraId="743FBB61" w14:textId="40CD3603" w:rsidR="00F522B9" w:rsidRPr="001B36D5" w:rsidRDefault="485DD3D0" w:rsidP="00517395">
      <w:r>
        <w:t>Public health</w:t>
      </w:r>
      <w:r w:rsidR="1737661D">
        <w:t xml:space="preserve"> </w:t>
      </w:r>
      <w:r w:rsidR="0340DAE6">
        <w:t>services</w:t>
      </w:r>
      <w:r>
        <w:t xml:space="preserve"> also </w:t>
      </w:r>
      <w:r w:rsidR="4A7339CC">
        <w:t>support</w:t>
      </w:r>
      <w:r>
        <w:t xml:space="preserve"> other preventative measures such as working with gambling venues to support gambling harm minimisation practices and providing a wide range of health promotion and awareness raising activities</w:t>
      </w:r>
      <w:r w:rsidR="1465931A">
        <w:t>. These may</w:t>
      </w:r>
      <w:r w:rsidR="28999EF9">
        <w:t xml:space="preserve"> for example </w:t>
      </w:r>
      <w:r w:rsidR="2F895779">
        <w:t xml:space="preserve">aim </w:t>
      </w:r>
      <w:r w:rsidR="28999EF9">
        <w:t>to raise awareness of general or s</w:t>
      </w:r>
      <w:r w:rsidR="28999EF9" w:rsidRPr="00C07C04">
        <w:rPr>
          <w:szCs w:val="21"/>
        </w:rPr>
        <w:t xml:space="preserve">pecific </w:t>
      </w:r>
      <w:r w:rsidR="28999EF9" w:rsidRPr="001B36D5">
        <w:rPr>
          <w:szCs w:val="21"/>
        </w:rPr>
        <w:t xml:space="preserve">risks of gambling harm, how to prevent or mitigate harm </w:t>
      </w:r>
      <w:r w:rsidR="1E97B194" w:rsidRPr="001B36D5">
        <w:rPr>
          <w:szCs w:val="21"/>
        </w:rPr>
        <w:t>or</w:t>
      </w:r>
      <w:r w:rsidR="28999EF9" w:rsidRPr="001B36D5">
        <w:rPr>
          <w:szCs w:val="21"/>
        </w:rPr>
        <w:t xml:space="preserve"> where to seek help and treatment.</w:t>
      </w:r>
      <w:r w:rsidRPr="00C07C04">
        <w:rPr>
          <w:szCs w:val="21"/>
        </w:rPr>
        <w:t xml:space="preserve"> This</w:t>
      </w:r>
      <w:r w:rsidRPr="001B36D5">
        <w:rPr>
          <w:szCs w:val="21"/>
        </w:rPr>
        <w:t xml:space="preserve"> work is complemented by national health </w:t>
      </w:r>
      <w:r w:rsidRPr="001B36D5">
        <w:rPr>
          <w:szCs w:val="21"/>
        </w:rPr>
        <w:lastRenderedPageBreak/>
        <w:t>promotion campaigns and resources that primarily target the general population and low-risk gamblers</w:t>
      </w:r>
      <w:r w:rsidR="65CA9FDE" w:rsidRPr="001B36D5">
        <w:rPr>
          <w:szCs w:val="21"/>
        </w:rPr>
        <w:t>.</w:t>
      </w:r>
      <w:r w:rsidR="28999EF9" w:rsidRPr="001B36D5">
        <w:rPr>
          <w:szCs w:val="21"/>
        </w:rPr>
        <w:t xml:space="preserve"> </w:t>
      </w:r>
    </w:p>
    <w:p w14:paraId="4C0478BD" w14:textId="77777777" w:rsidR="00F522B9" w:rsidRDefault="00F522B9" w:rsidP="00517395"/>
    <w:p w14:paraId="78DFC7A1" w14:textId="12B567D9" w:rsidR="00F522B9" w:rsidRPr="001B36D5" w:rsidRDefault="6DF0985A" w:rsidP="00CB7B9E">
      <w:pPr>
        <w:rPr>
          <w:szCs w:val="21"/>
        </w:rPr>
      </w:pPr>
      <w:r w:rsidRPr="001B36D5">
        <w:rPr>
          <w:szCs w:val="21"/>
        </w:rPr>
        <w:t>Public health activity is also delivered by the Department of Internal Affairs. Its regulation of gambling in New Zealand is an important harm prevention approach.</w:t>
      </w:r>
    </w:p>
    <w:p w14:paraId="0D8CDEE2" w14:textId="77777777" w:rsidR="00F522B9" w:rsidRPr="00517395" w:rsidRDefault="00F522B9" w:rsidP="00517395">
      <w:pPr>
        <w:pStyle w:val="Heading3"/>
        <w:rPr>
          <w:rFonts w:eastAsia="Lucida Sans Unicode"/>
        </w:rPr>
      </w:pPr>
      <w:r w:rsidRPr="00517395">
        <w:rPr>
          <w:rFonts w:eastAsia="Lucida Sans Unicode"/>
        </w:rPr>
        <w:t>Intervention service delivery</w:t>
      </w:r>
    </w:p>
    <w:p w14:paraId="2B8C897F" w14:textId="3ACCB697" w:rsidR="00F522B9" w:rsidRDefault="485DD3D0" w:rsidP="00F522B9">
      <w:r>
        <w:t xml:space="preserve">The Act (section 317) also requires the </w:t>
      </w:r>
      <w:r w:rsidR="54F88B3E">
        <w:t>S</w:t>
      </w:r>
      <w:r w:rsidR="668C2F2D">
        <w:t>t</w:t>
      </w:r>
      <w:r w:rsidR="04360656">
        <w:t>rategy</w:t>
      </w:r>
      <w:r>
        <w:t xml:space="preserve"> to contain services to treat and assist gamblers and their families and wh</w:t>
      </w:r>
      <w:r>
        <w:rPr>
          <w:rFonts w:ascii="Calibri" w:hAnsi="Calibri" w:cs="Calibri"/>
        </w:rPr>
        <w:t>ā</w:t>
      </w:r>
      <w:r>
        <w:t>nau. Health New Zealand commissions a range of providers to deliver a variety of services. Current services are under pressure and needing to adapt to a changing gambling environment. Service access is also lower than expected based on known levels of gambling harm. T</w:t>
      </w:r>
      <w:r w:rsidRPr="002E6BFF">
        <w:t xml:space="preserve">he number of gamblers seeking treatment </w:t>
      </w:r>
      <w:r>
        <w:t>has remained static</w:t>
      </w:r>
      <w:r w:rsidR="00F522B9">
        <w:rPr>
          <w:rStyle w:val="FootnoteReference"/>
          <w:rFonts w:eastAsia="Lucida Sans Unicode"/>
        </w:rPr>
        <w:footnoteReference w:id="9"/>
      </w:r>
      <w:r w:rsidRPr="002E6BFF">
        <w:t xml:space="preserve">, despite the increase in real numbers of people experiencing gambling harm. </w:t>
      </w:r>
    </w:p>
    <w:p w14:paraId="5A30DBEC" w14:textId="5A859DA3" w:rsidR="00F522B9" w:rsidRPr="00CA0F11" w:rsidRDefault="00F522B9" w:rsidP="00517395">
      <w:pPr>
        <w:pStyle w:val="Bullet"/>
      </w:pPr>
      <w:r w:rsidRPr="00076D0D">
        <w:rPr>
          <w:rFonts w:eastAsia="Lucida Sans Unicode"/>
        </w:rPr>
        <w:t>In the 2022</w:t>
      </w:r>
      <w:r w:rsidRPr="00CA0F11">
        <w:t xml:space="preserve">/23 year, </w:t>
      </w:r>
      <w:r w:rsidRPr="00517395">
        <w:rPr>
          <w:b/>
          <w:bCs/>
          <w:color w:val="0070C0"/>
        </w:rPr>
        <w:t>6,516</w:t>
      </w:r>
      <w:r w:rsidRPr="00076D0D">
        <w:rPr>
          <w:color w:val="0070C0"/>
        </w:rPr>
        <w:t xml:space="preserve"> </w:t>
      </w:r>
      <w:r w:rsidRPr="00517395">
        <w:rPr>
          <w:b/>
          <w:bCs/>
        </w:rPr>
        <w:t>‘gambler’ clients received gambling harm treatment services</w:t>
      </w:r>
      <w:r w:rsidRPr="00CA0F11">
        <w:t xml:space="preserve"> from a provider funded by the </w:t>
      </w:r>
      <w:r w:rsidR="5BAE2FA4">
        <w:t>S</w:t>
      </w:r>
      <w:r w:rsidRPr="00CA0F11">
        <w:t>trategy.</w:t>
      </w:r>
    </w:p>
    <w:p w14:paraId="6DBBA5F7" w14:textId="52FD6DCD" w:rsidR="00F522B9" w:rsidRPr="00CA0F11" w:rsidRDefault="00F522B9" w:rsidP="00421498">
      <w:pPr>
        <w:pStyle w:val="Bullet"/>
      </w:pPr>
      <w:r w:rsidRPr="00CA0F11">
        <w:t xml:space="preserve">In the 2022/23 year, </w:t>
      </w:r>
      <w:r w:rsidRPr="00517395">
        <w:rPr>
          <w:b/>
          <w:bCs/>
          <w:color w:val="0070C0"/>
        </w:rPr>
        <w:t>3,870</w:t>
      </w:r>
      <w:r w:rsidRPr="00076D0D">
        <w:rPr>
          <w:color w:val="0070C0"/>
        </w:rPr>
        <w:t xml:space="preserve"> </w:t>
      </w:r>
      <w:r w:rsidRPr="00517395">
        <w:rPr>
          <w:b/>
          <w:bCs/>
        </w:rPr>
        <w:t>‘family / affected other’ clients received gambling harm treatment services</w:t>
      </w:r>
      <w:r w:rsidRPr="00CA0F11">
        <w:t xml:space="preserve"> from a provider funded by the </w:t>
      </w:r>
      <w:r w:rsidR="54C4FC60">
        <w:t>S</w:t>
      </w:r>
      <w:r w:rsidRPr="00CA0F11">
        <w:t xml:space="preserve">trategy. </w:t>
      </w:r>
      <w:r w:rsidR="000C7041">
        <w:t xml:space="preserve">Service data shows a similar number </w:t>
      </w:r>
      <w:r w:rsidR="008C65CE">
        <w:t xml:space="preserve">to those seeking treatment </w:t>
      </w:r>
      <w:r w:rsidR="000C7041">
        <w:t>also sought help through brief interventions.</w:t>
      </w:r>
    </w:p>
    <w:p w14:paraId="52DAE14D" w14:textId="77777777" w:rsidR="00F522B9" w:rsidRPr="00CA0F11" w:rsidRDefault="00F522B9" w:rsidP="00517395">
      <w:pPr>
        <w:pStyle w:val="Bullet"/>
      </w:pPr>
      <w:r>
        <w:t xml:space="preserve">In addition to the </w:t>
      </w:r>
      <w:r w:rsidRPr="00076D0D">
        <w:rPr>
          <w:b/>
          <w:bCs/>
          <w:color w:val="0070C0"/>
        </w:rPr>
        <w:t>6,516</w:t>
      </w:r>
      <w:r>
        <w:t xml:space="preserve"> people who </w:t>
      </w:r>
      <w:r w:rsidRPr="00CB7B9E">
        <w:rPr>
          <w:b/>
          <w:bCs/>
        </w:rPr>
        <w:t>sought help for their own gambling in 2022/23</w:t>
      </w:r>
      <w:r>
        <w:t xml:space="preserve">, the national Gambling Helpline reported a total of </w:t>
      </w:r>
      <w:r w:rsidRPr="00CB7B9E">
        <w:rPr>
          <w:b/>
          <w:bCs/>
          <w:color w:val="0070C0"/>
        </w:rPr>
        <w:t>2,706</w:t>
      </w:r>
      <w:r>
        <w:t xml:space="preserve"> people </w:t>
      </w:r>
      <w:r w:rsidRPr="00076D0D">
        <w:rPr>
          <w:b/>
          <w:bCs/>
        </w:rPr>
        <w:t xml:space="preserve">accessing support from the telehealth service </w:t>
      </w:r>
      <w:r w:rsidRPr="00024B71">
        <w:t xml:space="preserve">in the </w:t>
      </w:r>
      <w:r>
        <w:t xml:space="preserve">same year. </w:t>
      </w:r>
    </w:p>
    <w:p w14:paraId="2F891C08" w14:textId="77777777" w:rsidR="004A337E" w:rsidRDefault="004A337E" w:rsidP="004A337E">
      <w:pPr>
        <w:rPr>
          <w:lang w:val="en-GB"/>
        </w:rPr>
      </w:pPr>
    </w:p>
    <w:p w14:paraId="508EB7EC" w14:textId="77777777" w:rsidR="004A337E" w:rsidRDefault="004A337E" w:rsidP="004A337E">
      <w:pPr>
        <w:rPr>
          <w:lang w:val="en-GB"/>
        </w:rPr>
      </w:pPr>
    </w:p>
    <w:p w14:paraId="49BD25CA" w14:textId="77777777" w:rsidR="004A337E" w:rsidRDefault="004A337E" w:rsidP="004A337E">
      <w:pPr>
        <w:rPr>
          <w:lang w:val="en-GB"/>
        </w:rPr>
      </w:pPr>
    </w:p>
    <w:p w14:paraId="0693FC38" w14:textId="35D3D3C3" w:rsidR="00F522B9" w:rsidRDefault="00F522B9">
      <w:pPr>
        <w:rPr>
          <w:lang w:val="en-GB"/>
        </w:rPr>
      </w:pPr>
      <w:r>
        <w:rPr>
          <w:lang w:val="en-GB"/>
        </w:rPr>
        <w:br w:type="page"/>
      </w:r>
    </w:p>
    <w:p w14:paraId="4BE1847F" w14:textId="77777777" w:rsidR="005C7B43" w:rsidRPr="00FD7201" w:rsidRDefault="005C7B43" w:rsidP="00FD7201">
      <w:pPr>
        <w:pStyle w:val="Heading1"/>
      </w:pPr>
      <w:bookmarkStart w:id="17" w:name="_Toc197527581"/>
      <w:r w:rsidRPr="00FD7201">
        <w:lastRenderedPageBreak/>
        <w:t>Strategic plan</w:t>
      </w:r>
      <w:bookmarkEnd w:id="17"/>
      <w:r w:rsidRPr="00FD7201">
        <w:t xml:space="preserve"> </w:t>
      </w:r>
    </w:p>
    <w:p w14:paraId="3E55D924" w14:textId="77777777" w:rsidR="005C7B43" w:rsidRPr="00830F66" w:rsidRDefault="005C7B43" w:rsidP="00517395">
      <w:pPr>
        <w:pStyle w:val="Heading2"/>
      </w:pPr>
      <w:bookmarkStart w:id="18" w:name="_Toc197527582"/>
      <w:r w:rsidRPr="00830F66">
        <w:t>Priorities for the mental health and addiction sector</w:t>
      </w:r>
      <w:bookmarkEnd w:id="18"/>
    </w:p>
    <w:p w14:paraId="0FBDE92A" w14:textId="17A4A563" w:rsidR="00C36B34" w:rsidRDefault="00A23613" w:rsidP="005C7B43">
      <w:r>
        <w:t xml:space="preserve">The above </w:t>
      </w:r>
      <w:r w:rsidR="00C36B34">
        <w:t xml:space="preserve">environmental scan </w:t>
      </w:r>
      <w:r>
        <w:t>illustrates that g</w:t>
      </w:r>
      <w:r w:rsidRPr="006E1BD2">
        <w:t xml:space="preserve">ambling harm is wide-reaching and </w:t>
      </w:r>
      <w:r w:rsidR="00C36B34">
        <w:t xml:space="preserve">the </w:t>
      </w:r>
      <w:r w:rsidRPr="006E1BD2">
        <w:t>gambling environment</w:t>
      </w:r>
      <w:r w:rsidR="00837B38">
        <w:t xml:space="preserve"> is changing</w:t>
      </w:r>
      <w:r w:rsidR="00C36B34">
        <w:t xml:space="preserve">, leading to pressure on services. </w:t>
      </w:r>
    </w:p>
    <w:p w14:paraId="6D976380" w14:textId="77777777" w:rsidR="00C36B34" w:rsidRDefault="00C36B34" w:rsidP="005C7B43"/>
    <w:p w14:paraId="7E781364" w14:textId="0C5680C9" w:rsidR="005C7B43" w:rsidRDefault="00C36B34" w:rsidP="005C7B43">
      <w:r>
        <w:t>O</w:t>
      </w:r>
      <w:r w:rsidR="36C8E486">
        <w:t>ver the next three years, we will work towards our</w:t>
      </w:r>
      <w:r w:rsidR="54FCFC31">
        <w:t xml:space="preserve"> target</w:t>
      </w:r>
      <w:r w:rsidR="36C8E486">
        <w:t xml:space="preserve"> outcomes </w:t>
      </w:r>
      <w:r w:rsidR="2A07C584">
        <w:t>by focussing</w:t>
      </w:r>
      <w:r w:rsidR="36C8E486">
        <w:t xml:space="preserve"> on the Government’s priorities for the mental health and addiction system: </w:t>
      </w:r>
    </w:p>
    <w:p w14:paraId="5F8CD0F2" w14:textId="77777777" w:rsidR="005C7B43" w:rsidRPr="00830F66" w:rsidRDefault="005C7B43" w:rsidP="005C7B43">
      <w:pPr>
        <w:pStyle w:val="Bullet"/>
      </w:pPr>
      <w:r w:rsidRPr="00CB7B9E">
        <w:rPr>
          <w:rFonts w:eastAsia="Lucida Sans Unicode"/>
          <w:b/>
          <w:bCs/>
          <w:color w:val="0A6AB4"/>
        </w:rPr>
        <w:t xml:space="preserve">Increasing </w:t>
      </w:r>
      <w:r w:rsidRPr="00F011B3">
        <w:rPr>
          <w:rFonts w:eastAsia="Lucida Sans Unicode"/>
          <w:b/>
          <w:bCs/>
          <w:color w:val="0A6AB4"/>
        </w:rPr>
        <w:t>access to gambling harm support</w:t>
      </w:r>
      <w:r w:rsidRPr="00830F66">
        <w:rPr>
          <w:rFonts w:eastAsia="Lucida Sans Unicode"/>
        </w:rPr>
        <w:t xml:space="preserve">: </w:t>
      </w:r>
      <w:r w:rsidRPr="00830F66">
        <w:t xml:space="preserve">In New Zealand, </w:t>
      </w:r>
      <w:r w:rsidRPr="00CC0B1F">
        <w:t>as internationally,</w:t>
      </w:r>
      <w:r w:rsidRPr="00830F66">
        <w:t xml:space="preserve"> a relatively small proportion of people who are suffering from gambling harm seek formal help. Increasing access to gambling harm services will require multiple approaches including de-stigmatisation, digital tools, access to gambling harm support in primary care, and service promotion.</w:t>
      </w:r>
    </w:p>
    <w:p w14:paraId="3838CA3A" w14:textId="54107E38" w:rsidR="005C7B43" w:rsidRPr="00830F66" w:rsidRDefault="005C7B43" w:rsidP="005C7B43">
      <w:pPr>
        <w:pStyle w:val="Bullet"/>
      </w:pPr>
      <w:r w:rsidRPr="00CB7B9E">
        <w:rPr>
          <w:rFonts w:eastAsia="Lucida Sans Unicode"/>
          <w:b/>
          <w:bCs/>
          <w:color w:val="0A6AB4"/>
        </w:rPr>
        <w:t>Growing</w:t>
      </w:r>
      <w:r w:rsidRPr="00CB7B9E">
        <w:rPr>
          <w:rFonts w:eastAsia="Lucida Sans Unicode"/>
          <w:color w:val="0A6AB4"/>
        </w:rPr>
        <w:t xml:space="preserve"> </w:t>
      </w:r>
      <w:r w:rsidRPr="00F011B3">
        <w:rPr>
          <w:rFonts w:eastAsia="Lucida Sans Unicode"/>
          <w:b/>
          <w:bCs/>
          <w:color w:val="0A6AB4"/>
        </w:rPr>
        <w:t>the gambling harm workforce</w:t>
      </w:r>
      <w:r w:rsidRPr="00830F66">
        <w:rPr>
          <w:rFonts w:eastAsia="Lucida Sans Unicode"/>
        </w:rPr>
        <w:t xml:space="preserve">: There is a need to grow </w:t>
      </w:r>
      <w:r w:rsidR="00830C3F">
        <w:t>the</w:t>
      </w:r>
      <w:r w:rsidRPr="00830F66">
        <w:t xml:space="preserve"> clinical and consumer, peer and lived experience workforces. Measures are needed both to train and recruit new workers and also to retain current workers</w:t>
      </w:r>
      <w:r>
        <w:t>, and to ensure the cultural competence of the workforce</w:t>
      </w:r>
      <w:r w:rsidRPr="00830F66">
        <w:t xml:space="preserve">. </w:t>
      </w:r>
    </w:p>
    <w:p w14:paraId="75B2E5A3" w14:textId="77777777" w:rsidR="005C7B43" w:rsidRPr="00830F66" w:rsidRDefault="005C7B43" w:rsidP="005C7B43">
      <w:pPr>
        <w:pStyle w:val="Bullet"/>
        <w:rPr>
          <w:rFonts w:eastAsia="Lucida Sans Unicode"/>
        </w:rPr>
      </w:pPr>
      <w:r w:rsidRPr="00CB7B9E">
        <w:rPr>
          <w:rFonts w:eastAsia="Lucida Sans Unicode"/>
          <w:b/>
          <w:bCs/>
          <w:color w:val="0A6AB4"/>
        </w:rPr>
        <w:t xml:space="preserve">Strengthening </w:t>
      </w:r>
      <w:r w:rsidRPr="00F011B3">
        <w:rPr>
          <w:rFonts w:eastAsia="Lucida Sans Unicode"/>
          <w:b/>
          <w:bCs/>
          <w:color w:val="0A6AB4"/>
        </w:rPr>
        <w:t>the focus on the prevention of and early intervention in gambling harm</w:t>
      </w:r>
      <w:r w:rsidRPr="00830F66">
        <w:rPr>
          <w:rFonts w:eastAsia="Lucida Sans Unicode"/>
        </w:rPr>
        <w:t>: I</w:t>
      </w:r>
      <w:r w:rsidRPr="00830F66">
        <w:t xml:space="preserve">nvestment into health promotion, de-stigmatisation, awareness, and education activities are important to prevent harm at the population level and can also minimise harm by equipping people to support their own wellbeing and to seek help when needed. </w:t>
      </w:r>
    </w:p>
    <w:p w14:paraId="6B20A4DC" w14:textId="5F6A276A" w:rsidR="005C7B43" w:rsidRPr="00830F66" w:rsidRDefault="005C7B43" w:rsidP="005C7B43">
      <w:pPr>
        <w:pStyle w:val="Bullet"/>
      </w:pPr>
      <w:r w:rsidRPr="00CB7B9E">
        <w:rPr>
          <w:b/>
          <w:bCs/>
          <w:color w:val="0A6AB4"/>
        </w:rPr>
        <w:t xml:space="preserve">Improving </w:t>
      </w:r>
      <w:r w:rsidRPr="00F011B3">
        <w:rPr>
          <w:rFonts w:eastAsia="Lucida Sans Unicode"/>
          <w:b/>
          <w:bCs/>
          <w:color w:val="0A6AB4"/>
        </w:rPr>
        <w:t>the effectiveness of gambling harm support</w:t>
      </w:r>
      <w:r w:rsidRPr="00830F66">
        <w:t xml:space="preserve">: There will be a strong focus on research and evaluation to ensure we are taking an evidence-based and effective approach. </w:t>
      </w:r>
      <w:r>
        <w:t>Effectiveness also covers the tailoring of services for at-risk groups, such as M</w:t>
      </w:r>
      <w:r>
        <w:rPr>
          <w:rFonts w:ascii="Calibri" w:hAnsi="Calibri" w:cs="Calibri"/>
        </w:rPr>
        <w:t>ā</w:t>
      </w:r>
      <w:r>
        <w:t>ori, Pacific, Asian and young people, and supporting community leadership in service design and delivery, because we know that a one-size-fits all, top</w:t>
      </w:r>
      <w:r w:rsidR="440BBB55">
        <w:t>-</w:t>
      </w:r>
      <w:r>
        <w:t>down, approach is ineffective.</w:t>
      </w:r>
    </w:p>
    <w:p w14:paraId="5E61757F" w14:textId="77777777" w:rsidR="005C7B43" w:rsidRPr="00830F66" w:rsidRDefault="005C7B43" w:rsidP="00517395">
      <w:pPr>
        <w:pStyle w:val="Heading2"/>
      </w:pPr>
      <w:bookmarkStart w:id="19" w:name="_Toc197527583"/>
      <w:r w:rsidRPr="00830F66">
        <w:t>Strategic framework for preventing and minimising gambling harm</w:t>
      </w:r>
      <w:bookmarkEnd w:id="19"/>
      <w:r w:rsidRPr="00830F66">
        <w:t xml:space="preserve"> </w:t>
      </w:r>
    </w:p>
    <w:p w14:paraId="5BE5606D" w14:textId="07BA8D28" w:rsidR="005C7B43" w:rsidRDefault="005C7B43" w:rsidP="005C7B43">
      <w:r>
        <w:t xml:space="preserve">Figure 2 sets out </w:t>
      </w:r>
      <w:r w:rsidR="00636246">
        <w:t>the strategic</w:t>
      </w:r>
      <w:r>
        <w:t xml:space="preserve"> framework that will drive progress against these </w:t>
      </w:r>
      <w:r w:rsidRPr="00406548">
        <w:rPr>
          <w:b/>
          <w:color w:val="0A6AB4"/>
        </w:rPr>
        <w:t xml:space="preserve">four </w:t>
      </w:r>
      <w:r>
        <w:rPr>
          <w:b/>
          <w:color w:val="0A6AB4"/>
        </w:rPr>
        <w:t xml:space="preserve">system </w:t>
      </w:r>
      <w:r w:rsidRPr="00406548">
        <w:rPr>
          <w:b/>
          <w:color w:val="0A6AB4"/>
        </w:rPr>
        <w:t>priorities</w:t>
      </w:r>
      <w:r>
        <w:rPr>
          <w:b/>
          <w:color w:val="0A6AB4"/>
        </w:rPr>
        <w:t>.</w:t>
      </w:r>
      <w:r>
        <w:t xml:space="preserve"> </w:t>
      </w:r>
    </w:p>
    <w:p w14:paraId="09B126E5" w14:textId="77777777" w:rsidR="005C7B43" w:rsidRDefault="005C7B43" w:rsidP="005C7B43"/>
    <w:p w14:paraId="6C2DC4E1" w14:textId="77777777" w:rsidR="005C7B43" w:rsidRDefault="005C7B43" w:rsidP="005C7B43">
      <w:r>
        <w:t xml:space="preserve">The framework outlines </w:t>
      </w:r>
      <w:r w:rsidRPr="009806CB">
        <w:rPr>
          <w:b/>
          <w:color w:val="0A6AB4"/>
        </w:rPr>
        <w:t>12 action areas</w:t>
      </w:r>
      <w:r w:rsidRPr="009806CB">
        <w:rPr>
          <w:color w:val="0A6AB4"/>
        </w:rPr>
        <w:t xml:space="preserve"> </w:t>
      </w:r>
      <w:r w:rsidRPr="00205B8A">
        <w:t xml:space="preserve">across the </w:t>
      </w:r>
      <w:r>
        <w:t xml:space="preserve">system </w:t>
      </w:r>
      <w:r w:rsidRPr="00205B8A">
        <w:t>priorities</w:t>
      </w:r>
      <w:r>
        <w:rPr>
          <w:color w:val="0A6AB4"/>
        </w:rPr>
        <w:t xml:space="preserve"> </w:t>
      </w:r>
      <w:r w:rsidRPr="0D00788D">
        <w:t>–</w:t>
      </w:r>
      <w:r>
        <w:t xml:space="preserve"> </w:t>
      </w:r>
      <w:r w:rsidRPr="0D00788D">
        <w:t xml:space="preserve">taken together, these action areas describe a well-functioning gambling harm prevention and minimisation system. </w:t>
      </w:r>
    </w:p>
    <w:p w14:paraId="32E6D397" w14:textId="77777777" w:rsidR="005C7B43" w:rsidRDefault="005C7B43" w:rsidP="005C7B43"/>
    <w:p w14:paraId="5C501867" w14:textId="77777777" w:rsidR="005C7B43" w:rsidRDefault="005C7B43" w:rsidP="005C7B43">
      <w:r>
        <w:lastRenderedPageBreak/>
        <w:t xml:space="preserve">Delivery of the actions against the priorities will shift us closer to the </w:t>
      </w:r>
      <w:r w:rsidRPr="009806CB">
        <w:rPr>
          <w:b/>
          <w:color w:val="0A6AB4"/>
        </w:rPr>
        <w:t>four strategic outcomes</w:t>
      </w:r>
      <w:r>
        <w:t xml:space="preserve">: </w:t>
      </w:r>
    </w:p>
    <w:p w14:paraId="07C50B60" w14:textId="01BDF6E0" w:rsidR="005C7B43" w:rsidRPr="00830F66" w:rsidRDefault="005C7B43" w:rsidP="005C7B43">
      <w:pPr>
        <w:pStyle w:val="Bullet"/>
        <w:rPr>
          <w:rFonts w:eastAsia="Lucida Sans Unicode"/>
        </w:rPr>
      </w:pPr>
      <w:r w:rsidRPr="37A3DAAF">
        <w:rPr>
          <w:rFonts w:eastAsia="Lucida Sans Unicode"/>
        </w:rPr>
        <w:t xml:space="preserve">There is a full spectrum of </w:t>
      </w:r>
      <w:r w:rsidR="525D5699" w:rsidRPr="37A3DAAF">
        <w:rPr>
          <w:rFonts w:eastAsia="Lucida Sans Unicode"/>
        </w:rPr>
        <w:t xml:space="preserve">accessible </w:t>
      </w:r>
      <w:r w:rsidRPr="37A3DAAF">
        <w:rPr>
          <w:rFonts w:eastAsia="Lucida Sans Unicode"/>
        </w:rPr>
        <w:t>services and support to prevent and minimise gambling harm - from prevention to early intervention to specialist support.</w:t>
      </w:r>
    </w:p>
    <w:p w14:paraId="2D522131" w14:textId="251D0DE1" w:rsidR="005C7B43" w:rsidRPr="00830F66" w:rsidRDefault="00FD6E06" w:rsidP="005C7B43">
      <w:pPr>
        <w:pStyle w:val="Bullet"/>
        <w:rPr>
          <w:rFonts w:eastAsia="Lucida Sans Unicode"/>
        </w:rPr>
      </w:pPr>
      <w:r>
        <w:rPr>
          <w:rFonts w:eastAsia="Lucida Sans Unicode"/>
        </w:rPr>
        <w:t>Environments and s</w:t>
      </w:r>
      <w:r w:rsidR="005C7B43" w:rsidRPr="00830F66">
        <w:rPr>
          <w:rFonts w:eastAsia="Lucida Sans Unicode"/>
        </w:rPr>
        <w:t>ocial and cultural norms prevent and minimise harm from gambling.</w:t>
      </w:r>
    </w:p>
    <w:p w14:paraId="42D01AEF" w14:textId="19B5510B" w:rsidR="005C7B43" w:rsidRPr="00830F66" w:rsidRDefault="2572830E" w:rsidP="005C7B43">
      <w:pPr>
        <w:pStyle w:val="Bullet"/>
        <w:rPr>
          <w:rFonts w:eastAsia="Lucida Sans Unicode"/>
        </w:rPr>
      </w:pPr>
      <w:r w:rsidRPr="37A3DAAF">
        <w:rPr>
          <w:rFonts w:eastAsia="Lucida Sans Unicode"/>
        </w:rPr>
        <w:t>There is s</w:t>
      </w:r>
      <w:r w:rsidR="005C7B43" w:rsidRPr="37A3DAAF">
        <w:rPr>
          <w:rFonts w:eastAsia="Lucida Sans Unicode"/>
        </w:rPr>
        <w:t>trong leadership and accountability of the gambling harm prevention system, with decision-making as close to communities as possible.</w:t>
      </w:r>
    </w:p>
    <w:p w14:paraId="44A61D43" w14:textId="77777777" w:rsidR="005C7B43" w:rsidRPr="00830F66" w:rsidRDefault="005C7B43" w:rsidP="005C7B43">
      <w:pPr>
        <w:pStyle w:val="Bullet"/>
        <w:rPr>
          <w:rFonts w:eastAsia="Lucida Sans Unicode"/>
        </w:rPr>
      </w:pPr>
      <w:r w:rsidRPr="00830F66">
        <w:rPr>
          <w:rFonts w:eastAsia="Lucida Sans Unicode"/>
        </w:rPr>
        <w:t>There is a system focus on those who are most at risk of harm from gambling.</w:t>
      </w:r>
    </w:p>
    <w:p w14:paraId="33BD7665" w14:textId="77777777" w:rsidR="005C7B43" w:rsidRDefault="005C7B43" w:rsidP="005C7B43"/>
    <w:p w14:paraId="0673DF7B" w14:textId="391BCAA2" w:rsidR="005C7B43" w:rsidRDefault="36C8E486" w:rsidP="005C7B43">
      <w:r>
        <w:t xml:space="preserve">The framework sets a strong direction of travel towards a </w:t>
      </w:r>
      <w:r w:rsidRPr="2F6A6A80">
        <w:rPr>
          <w:b/>
          <w:bCs/>
          <w:color w:val="0A6AB4"/>
        </w:rPr>
        <w:t>goal</w:t>
      </w:r>
      <w:r w:rsidRPr="2F6A6A80">
        <w:rPr>
          <w:color w:val="0A6AB4"/>
        </w:rPr>
        <w:t xml:space="preserve"> </w:t>
      </w:r>
      <w:r>
        <w:t xml:space="preserve">where New Zealanders' quality of life and </w:t>
      </w:r>
      <w:r w:rsidR="17D03983">
        <w:t>life expectanc</w:t>
      </w:r>
      <w:r w:rsidR="33701E64">
        <w:t>y</w:t>
      </w:r>
      <w:r>
        <w:t xml:space="preserve"> are not affected by gambling harm.</w:t>
      </w:r>
    </w:p>
    <w:p w14:paraId="3F88E7E2" w14:textId="77777777" w:rsidR="001D603B" w:rsidRDefault="001D603B" w:rsidP="005C7B43">
      <w:pPr>
        <w:rPr>
          <w:lang w:val="en-GB"/>
        </w:rPr>
      </w:pPr>
    </w:p>
    <w:p w14:paraId="79DE01DF" w14:textId="6C86499E" w:rsidR="001D603B" w:rsidRDefault="001D603B" w:rsidP="005C7B43">
      <w:pPr>
        <w:rPr>
          <w:lang w:val="en-GB"/>
        </w:rPr>
      </w:pPr>
      <w:r w:rsidRPr="2F6A6A80">
        <w:rPr>
          <w:lang w:val="en-GB"/>
        </w:rPr>
        <w:t xml:space="preserve">This </w:t>
      </w:r>
      <w:r w:rsidR="47175229" w:rsidRPr="5C19AF27">
        <w:rPr>
          <w:lang w:val="en-GB"/>
        </w:rPr>
        <w:t>S</w:t>
      </w:r>
      <w:r w:rsidRPr="2F6A6A80">
        <w:rPr>
          <w:lang w:val="en-GB"/>
        </w:rPr>
        <w:t xml:space="preserve">trategy does not work to prevent and minimisation harm from gambling </w:t>
      </w:r>
      <w:r>
        <w:rPr>
          <w:lang w:val="en-GB"/>
        </w:rPr>
        <w:t>in isolation</w:t>
      </w:r>
      <w:r w:rsidRPr="2F6A6A80">
        <w:rPr>
          <w:lang w:val="en-GB"/>
        </w:rPr>
        <w:t xml:space="preserve">. It </w:t>
      </w:r>
      <w:r w:rsidR="00BB321C">
        <w:rPr>
          <w:lang w:val="en-GB"/>
        </w:rPr>
        <w:t xml:space="preserve">sits </w:t>
      </w:r>
      <w:r w:rsidR="00622D6D">
        <w:rPr>
          <w:lang w:val="en-GB"/>
        </w:rPr>
        <w:t>alongside</w:t>
      </w:r>
      <w:r w:rsidRPr="2F6A6A80">
        <w:rPr>
          <w:lang w:val="en-GB"/>
        </w:rPr>
        <w:t xml:space="preserve"> a </w:t>
      </w:r>
      <w:r>
        <w:rPr>
          <w:lang w:val="en-GB"/>
        </w:rPr>
        <w:t xml:space="preserve">number of </w:t>
      </w:r>
      <w:r w:rsidRPr="2F6A6A80">
        <w:rPr>
          <w:lang w:val="en-GB"/>
        </w:rPr>
        <w:t xml:space="preserve">strategies and other directional documents that all work towards </w:t>
      </w:r>
      <w:r w:rsidR="00622D6D">
        <w:rPr>
          <w:lang w:val="en-GB"/>
        </w:rPr>
        <w:t>improved health outcomes</w:t>
      </w:r>
      <w:r w:rsidRPr="2F6A6A80">
        <w:rPr>
          <w:lang w:val="en-GB"/>
        </w:rPr>
        <w:t xml:space="preserve">. The main documents that the </w:t>
      </w:r>
      <w:r w:rsidR="3C12A539" w:rsidRPr="5C19AF27">
        <w:rPr>
          <w:lang w:val="en-GB"/>
        </w:rPr>
        <w:t>S</w:t>
      </w:r>
      <w:r w:rsidRPr="2F6A6A80">
        <w:rPr>
          <w:lang w:val="en-GB"/>
        </w:rPr>
        <w:t xml:space="preserve">trategy </w:t>
      </w:r>
      <w:r w:rsidR="00061436">
        <w:rPr>
          <w:lang w:val="en-GB"/>
        </w:rPr>
        <w:t xml:space="preserve">aligns with </w:t>
      </w:r>
      <w:r w:rsidRPr="2F6A6A80">
        <w:rPr>
          <w:lang w:val="en-GB"/>
        </w:rPr>
        <w:t>are the</w:t>
      </w:r>
      <w:r w:rsidR="00266680">
        <w:rPr>
          <w:lang w:val="en-GB"/>
        </w:rPr>
        <w:t xml:space="preserve"> Government Policy Statement on Health 2024–2027,</w:t>
      </w:r>
      <w:r w:rsidRPr="2F6A6A80">
        <w:rPr>
          <w:lang w:val="en-GB"/>
        </w:rPr>
        <w:t xml:space="preserve"> </w:t>
      </w:r>
      <w:r w:rsidR="00622D6D">
        <w:rPr>
          <w:lang w:val="en-GB"/>
        </w:rPr>
        <w:t xml:space="preserve">the </w:t>
      </w:r>
      <w:r w:rsidRPr="2F6A6A80">
        <w:rPr>
          <w:lang w:val="en-GB"/>
        </w:rPr>
        <w:t xml:space="preserve">New Zealand Health Strategy, </w:t>
      </w:r>
      <w:proofErr w:type="spellStart"/>
      <w:r w:rsidRPr="2F6A6A80">
        <w:rPr>
          <w:lang w:val="en-GB"/>
        </w:rPr>
        <w:t>Pae</w:t>
      </w:r>
      <w:proofErr w:type="spellEnd"/>
      <w:r w:rsidRPr="2F6A6A80">
        <w:rPr>
          <w:lang w:val="en-GB"/>
        </w:rPr>
        <w:t xml:space="preserve"> </w:t>
      </w:r>
      <w:proofErr w:type="spellStart"/>
      <w:r w:rsidRPr="2F6A6A80">
        <w:rPr>
          <w:lang w:val="en-GB"/>
        </w:rPr>
        <w:t>T</w:t>
      </w:r>
      <w:r w:rsidRPr="2F6A6A80">
        <w:rPr>
          <w:rFonts w:cs="Segoe UI"/>
          <w:lang w:val="en-GB"/>
        </w:rPr>
        <w:t>ū</w:t>
      </w:r>
      <w:proofErr w:type="spellEnd"/>
      <w:r w:rsidRPr="2F6A6A80">
        <w:rPr>
          <w:lang w:val="en-GB"/>
        </w:rPr>
        <w:t>: Hauora Māori Strategy</w:t>
      </w:r>
      <w:r w:rsidR="00061436">
        <w:rPr>
          <w:lang w:val="en-GB"/>
        </w:rPr>
        <w:t>,</w:t>
      </w:r>
      <w:r w:rsidRPr="2F6A6A80">
        <w:rPr>
          <w:lang w:val="en-GB"/>
        </w:rPr>
        <w:t xml:space="preserve"> and the </w:t>
      </w:r>
      <w:proofErr w:type="spellStart"/>
      <w:r w:rsidRPr="2F6A6A80">
        <w:rPr>
          <w:lang w:val="en-GB"/>
        </w:rPr>
        <w:t>Oranga</w:t>
      </w:r>
      <w:proofErr w:type="spellEnd"/>
      <w:r w:rsidRPr="2F6A6A80">
        <w:rPr>
          <w:lang w:val="en-GB"/>
        </w:rPr>
        <w:t xml:space="preserve"> </w:t>
      </w:r>
      <w:proofErr w:type="spellStart"/>
      <w:r w:rsidRPr="2F6A6A80">
        <w:rPr>
          <w:lang w:val="en-GB"/>
        </w:rPr>
        <w:t>Hinengaro</w:t>
      </w:r>
      <w:proofErr w:type="spellEnd"/>
      <w:r w:rsidRPr="2F6A6A80">
        <w:rPr>
          <w:lang w:val="en-GB"/>
        </w:rPr>
        <w:t xml:space="preserve"> System and Service Framework.</w:t>
      </w:r>
    </w:p>
    <w:p w14:paraId="26511C8B" w14:textId="77777777" w:rsidR="005C7B43" w:rsidRDefault="005C7B43" w:rsidP="005C7B43"/>
    <w:p w14:paraId="10C0D671" w14:textId="61A3F953" w:rsidR="005C7B43" w:rsidRDefault="005C7B43" w:rsidP="005C7B43">
      <w:r w:rsidRPr="003A6F51">
        <w:rPr>
          <w:b/>
          <w:bCs/>
        </w:rPr>
        <w:t>Appendix Four</w:t>
      </w:r>
      <w:r w:rsidRPr="009F1E4A">
        <w:t xml:space="preserve"> </w:t>
      </w:r>
      <w:r>
        <w:t>in</w:t>
      </w:r>
      <w:r w:rsidRPr="009F1E4A">
        <w:t xml:space="preserve"> the </w:t>
      </w:r>
      <w:r>
        <w:t>A</w:t>
      </w:r>
      <w:r w:rsidRPr="009F1E4A">
        <w:t>ppendices document provides further details on the different components of the proposed strategic framework, which is shown</w:t>
      </w:r>
      <w:r>
        <w:t xml:space="preserve"> in</w:t>
      </w:r>
      <w:r w:rsidRPr="00A579FA">
        <w:t xml:space="preserve"> </w:t>
      </w:r>
      <w:r>
        <w:t xml:space="preserve">summary form at </w:t>
      </w:r>
      <w:r w:rsidR="006E1852">
        <w:rPr>
          <w:b/>
          <w:bCs/>
        </w:rPr>
        <w:t>F</w:t>
      </w:r>
      <w:r w:rsidRPr="009D7300">
        <w:rPr>
          <w:b/>
          <w:bCs/>
        </w:rPr>
        <w:t xml:space="preserve">igure </w:t>
      </w:r>
      <w:r>
        <w:rPr>
          <w:b/>
          <w:bCs/>
        </w:rPr>
        <w:t>2</w:t>
      </w:r>
      <w:r>
        <w:t xml:space="preserve">. </w:t>
      </w:r>
      <w:r w:rsidR="000C478E">
        <w:t xml:space="preserve">As well as further information about </w:t>
      </w:r>
      <w:r w:rsidR="001D603B">
        <w:t>links to other strategic documents.</w:t>
      </w:r>
    </w:p>
    <w:p w14:paraId="50F63CBF" w14:textId="118540CF" w:rsidR="00FD7201" w:rsidRDefault="00FD7201" w:rsidP="005C7B43"/>
    <w:tbl>
      <w:tblPr>
        <w:tblStyle w:val="TableGrid"/>
        <w:tblW w:w="0" w:type="auto"/>
        <w:tblLook w:val="04A0" w:firstRow="1" w:lastRow="0" w:firstColumn="1" w:lastColumn="0" w:noHBand="0" w:noVBand="1"/>
      </w:tblPr>
      <w:tblGrid>
        <w:gridCol w:w="8494"/>
      </w:tblGrid>
      <w:tr w:rsidR="00FD7201" w14:paraId="02E3A428" w14:textId="77777777" w:rsidTr="00FD7201">
        <w:tc>
          <w:tcPr>
            <w:tcW w:w="8494" w:type="dxa"/>
          </w:tcPr>
          <w:p w14:paraId="68A451D1" w14:textId="442A0718" w:rsidR="00FD7201" w:rsidRDefault="00FD7201" w:rsidP="00FD7201">
            <w:pPr>
              <w:spacing w:before="120" w:after="120"/>
            </w:pPr>
            <w:r w:rsidRPr="00FD7201">
              <w:t>Note: While most of this framework is implemented by the Ministry and Health New Zealand, some of the actions sit with the Department of Internal Affairs in its regulatory role, for example the action</w:t>
            </w:r>
            <w:r w:rsidR="00154BA1">
              <w:t>:</w:t>
            </w:r>
            <w:r w:rsidRPr="00FD7201">
              <w:t xml:space="preserve"> </w:t>
            </w:r>
            <w:r w:rsidRPr="00CB7B9E">
              <w:rPr>
                <w:i/>
                <w:iCs/>
              </w:rPr>
              <w:t>the</w:t>
            </w:r>
            <w:r w:rsidRPr="00FD7201">
              <w:t xml:space="preserve"> </w:t>
            </w:r>
            <w:r w:rsidRPr="00FD7201">
              <w:rPr>
                <w:i/>
                <w:iCs/>
              </w:rPr>
              <w:t>legislative and regulatory framework for preventing and minimising harm from gambling is strong and effective</w:t>
            </w:r>
            <w:r w:rsidRPr="00FD7201">
              <w:t>. The regulation of gambling is itself a harm prevention and minimisation act, as is the content of much of the regulation (for example, regulating how close ATMs can be to gaming machines).</w:t>
            </w:r>
          </w:p>
        </w:tc>
      </w:tr>
    </w:tbl>
    <w:p w14:paraId="12B369B9" w14:textId="77777777" w:rsidR="005C7B43" w:rsidRPr="009D7300" w:rsidRDefault="005C7B43" w:rsidP="00761C53">
      <w:pPr>
        <w:pStyle w:val="Heading2"/>
        <w:spacing w:before="360"/>
      </w:pPr>
      <w:bookmarkStart w:id="20" w:name="_Toc197527584"/>
      <w:r w:rsidRPr="009D7300">
        <w:t>Priority populations</w:t>
      </w:r>
      <w:bookmarkEnd w:id="20"/>
    </w:p>
    <w:p w14:paraId="5345D971" w14:textId="0648F262" w:rsidR="005C7B43" w:rsidRDefault="005C7B43" w:rsidP="008A189B">
      <w:pPr>
        <w:ind w:right="-285"/>
        <w:rPr>
          <w:rFonts w:eastAsia="Segoe UI" w:cs="Segoe UI"/>
        </w:rPr>
      </w:pPr>
      <w:r w:rsidRPr="00B82627">
        <w:t xml:space="preserve">The </w:t>
      </w:r>
      <w:r w:rsidR="125AF4CB">
        <w:t>S</w:t>
      </w:r>
      <w:r w:rsidRPr="00B82627">
        <w:t xml:space="preserve">trategy proposes a continued focus on supporting population groups who experience inequitable outcomes and gambling harm, in particular Māori, Pacific, Asian and young people. </w:t>
      </w:r>
      <w:r w:rsidR="00421498">
        <w:t>Research and presentations data shows t</w:t>
      </w:r>
      <w:r w:rsidRPr="00B82627">
        <w:t xml:space="preserve">he </w:t>
      </w:r>
      <w:r w:rsidR="00421498">
        <w:t xml:space="preserve">risk and </w:t>
      </w:r>
      <w:r w:rsidRPr="00B82627">
        <w:t xml:space="preserve">harm experienced by these groups has not reduced to the level where prioritisation is not required. </w:t>
      </w:r>
      <w:r w:rsidR="003677DE" w:rsidRPr="0034079F">
        <w:t>There remains a</w:t>
      </w:r>
      <w:r w:rsidR="00966C10" w:rsidRPr="0034079F">
        <w:t xml:space="preserve">n analytical case </w:t>
      </w:r>
      <w:r w:rsidR="00B7315A" w:rsidRPr="0034079F">
        <w:t xml:space="preserve">to </w:t>
      </w:r>
      <w:r w:rsidR="00267457" w:rsidRPr="0034079F">
        <w:t>support targeted investment t</w:t>
      </w:r>
      <w:r w:rsidR="00824FDF" w:rsidRPr="0034079F">
        <w:t xml:space="preserve">o </w:t>
      </w:r>
      <w:r w:rsidR="008542FA" w:rsidRPr="0034079F">
        <w:t xml:space="preserve">individuals </w:t>
      </w:r>
      <w:r w:rsidR="00761C53" w:rsidRPr="0034079F">
        <w:t xml:space="preserve">based on needs within </w:t>
      </w:r>
      <w:r w:rsidR="00824FDF" w:rsidRPr="0034079F">
        <w:t>these groups.</w:t>
      </w:r>
      <w:r w:rsidR="00824FDF">
        <w:t xml:space="preserve"> </w:t>
      </w:r>
      <w:r w:rsidRPr="00B82627">
        <w:t>The priority populations and activity geared towards them is embedded in all layers of th</w:t>
      </w:r>
      <w:r w:rsidR="00421498">
        <w:t xml:space="preserve">is </w:t>
      </w:r>
      <w:r w:rsidR="0B055B18">
        <w:t>S</w:t>
      </w:r>
      <w:r w:rsidR="00421498">
        <w:t>trategy.</w:t>
      </w:r>
      <w:r w:rsidR="00421498">
        <w:rPr>
          <w:rFonts w:eastAsia="Segoe UI"/>
        </w:rPr>
        <w:t xml:space="preserve"> </w:t>
      </w:r>
      <w:r w:rsidR="44E61631" w:rsidRPr="0CDB821C">
        <w:rPr>
          <w:rFonts w:eastAsia="Segoe UI" w:cs="Segoe UI"/>
        </w:rPr>
        <w:t xml:space="preserve"> </w:t>
      </w:r>
    </w:p>
    <w:p w14:paraId="37873A92" w14:textId="77777777" w:rsidR="008A189B" w:rsidRPr="00B82627" w:rsidRDefault="008A189B" w:rsidP="008A189B">
      <w:pPr>
        <w:ind w:right="-285"/>
        <w:rPr>
          <w:rFonts w:eastAsia="Segoe UI" w:cs="Segoe UI"/>
        </w:rPr>
      </w:pPr>
    </w:p>
    <w:p w14:paraId="20732496" w14:textId="59DEC9E1" w:rsidR="00761C53" w:rsidRDefault="00464F6B" w:rsidP="008A189B">
      <w:pPr>
        <w:ind w:right="-285"/>
      </w:pPr>
      <w:r w:rsidRPr="002001A1">
        <w:t>We recognise that other groups are also vulnerable to gambling harm, for example disabled people, older people, women and families on low incomes. The Ministry expects all funded services to be accessible and responsive to address the gambling harm-related needs of anyone who needs them</w:t>
      </w:r>
      <w:r w:rsidR="009A5FFD" w:rsidRPr="002001A1">
        <w:t>, including a focus on these groups</w:t>
      </w:r>
      <w:r w:rsidRPr="002001A1">
        <w:t>.</w:t>
      </w:r>
      <w:r w:rsidR="00761C53" w:rsidRPr="002001A1">
        <w:t xml:space="preserve"> </w:t>
      </w:r>
    </w:p>
    <w:p w14:paraId="52F3AA95" w14:textId="77777777" w:rsidR="008A189B" w:rsidRPr="002001A1" w:rsidRDefault="008A189B" w:rsidP="008A189B">
      <w:pPr>
        <w:ind w:right="-285"/>
      </w:pPr>
    </w:p>
    <w:p w14:paraId="1E7E99BA" w14:textId="24F32F87" w:rsidR="00464F6B" w:rsidRPr="002001A1" w:rsidRDefault="44E61631" w:rsidP="008A189B">
      <w:pPr>
        <w:ind w:right="-285"/>
      </w:pPr>
      <w:r w:rsidRPr="002001A1">
        <w:t>We</w:t>
      </w:r>
      <w:r w:rsidR="00464F6B" w:rsidRPr="002001A1">
        <w:t xml:space="preserve"> note </w:t>
      </w:r>
      <w:r w:rsidRPr="002001A1">
        <w:t xml:space="preserve">there is significant </w:t>
      </w:r>
      <w:r w:rsidR="3C9804EA" w:rsidRPr="002001A1">
        <w:t>diversity within each of the</w:t>
      </w:r>
      <w:r w:rsidR="5282E102" w:rsidRPr="002001A1">
        <w:t xml:space="preserve">se populations, </w:t>
      </w:r>
      <w:r w:rsidR="3C9804EA" w:rsidRPr="002001A1">
        <w:t>and also significant crossover, for example, Māori and Pacific populations are youthful, more likely to have low incomes and disproportionately experience gambling harm. Disability is also associated with lower incomes</w:t>
      </w:r>
      <w:r w:rsidR="00464F6B" w:rsidRPr="002001A1">
        <w:t xml:space="preserve"> and often gambling is associated with mental health </w:t>
      </w:r>
      <w:r w:rsidR="00E74627" w:rsidRPr="002001A1">
        <w:t>conditions and distress</w:t>
      </w:r>
      <w:r w:rsidR="3C9804EA" w:rsidRPr="002001A1">
        <w:t>.</w:t>
      </w:r>
      <w:r w:rsidR="1A1B2A02" w:rsidRPr="002001A1">
        <w:t xml:space="preserve"> </w:t>
      </w:r>
    </w:p>
    <w:p w14:paraId="0E93F707" w14:textId="6AA0E0B5" w:rsidR="005C7B43" w:rsidRDefault="005C7B43" w:rsidP="005C7B43">
      <w:pPr>
        <w:pStyle w:val="Figure"/>
        <w:sectPr w:rsidR="005C7B43" w:rsidSect="004825BB">
          <w:pgSz w:w="11906" w:h="16838"/>
          <w:pgMar w:top="1418" w:right="1701" w:bottom="1134" w:left="1701" w:header="709" w:footer="425" w:gutter="0"/>
          <w:cols w:space="708"/>
          <w:docGrid w:linePitch="360"/>
        </w:sectPr>
      </w:pPr>
    </w:p>
    <w:p w14:paraId="5D787805" w14:textId="153394A5" w:rsidR="005C7B43" w:rsidRPr="00FD7201" w:rsidRDefault="005C7B43" w:rsidP="00FD7201">
      <w:pPr>
        <w:pStyle w:val="Figure"/>
      </w:pPr>
      <w:bookmarkStart w:id="21" w:name="_Toc197527596"/>
      <w:r w:rsidRPr="00FD7201">
        <w:lastRenderedPageBreak/>
        <w:t xml:space="preserve">Figure </w:t>
      </w:r>
      <w:r>
        <w:fldChar w:fldCharType="begin"/>
      </w:r>
      <w:r>
        <w:instrText xml:space="preserve"> SEQ Figure \* ARABIC </w:instrText>
      </w:r>
      <w:r>
        <w:fldChar w:fldCharType="separate"/>
      </w:r>
      <w:r w:rsidR="00066AB5">
        <w:rPr>
          <w:noProof/>
        </w:rPr>
        <w:t>2</w:t>
      </w:r>
      <w:r>
        <w:rPr>
          <w:noProof/>
        </w:rPr>
        <w:fldChar w:fldCharType="end"/>
      </w:r>
      <w:r w:rsidRPr="00FD7201">
        <w:t>: Strategic framework for preventing and minimising gambling harm in New Zealand</w:t>
      </w:r>
      <w:bookmarkEnd w:id="21"/>
    </w:p>
    <w:p w14:paraId="71A145A9" w14:textId="77777777" w:rsidR="005C7B43" w:rsidRPr="008D5AF1" w:rsidRDefault="45E77026" w:rsidP="005C7B43">
      <w:pPr>
        <w:spacing w:before="360" w:after="120"/>
        <w:rPr>
          <w:b/>
          <w:bCs/>
          <w:sz w:val="24"/>
          <w:szCs w:val="24"/>
        </w:rPr>
      </w:pPr>
      <w:r w:rsidRPr="2CF62E98">
        <w:rPr>
          <w:b/>
          <w:bCs/>
          <w:sz w:val="24"/>
          <w:szCs w:val="24"/>
        </w:rPr>
        <w:t>GOAL: New Zealanders' quality of life and life expectancy are not affected by gambling harm</w:t>
      </w:r>
    </w:p>
    <w:tbl>
      <w:tblPr>
        <w:tblW w:w="13892" w:type="dxa"/>
        <w:tblBorders>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3123"/>
        <w:gridCol w:w="2552"/>
        <w:gridCol w:w="2976"/>
        <w:gridCol w:w="2552"/>
      </w:tblGrid>
      <w:tr w:rsidR="005C7B43" w:rsidRPr="008D5AF1" w14:paraId="3B30F9E4" w14:textId="77777777" w:rsidTr="2F6A6A80">
        <w:tc>
          <w:tcPr>
            <w:tcW w:w="2689" w:type="dxa"/>
            <w:shd w:val="clear" w:color="auto" w:fill="auto"/>
            <w:vAlign w:val="center"/>
            <w:hideMark/>
          </w:tcPr>
          <w:p w14:paraId="52FA492C" w14:textId="77777777" w:rsidR="005C7B43" w:rsidRPr="008D5AF1" w:rsidRDefault="005C7B43" w:rsidP="00860EAD">
            <w:pPr>
              <w:pStyle w:val="TableText"/>
            </w:pPr>
          </w:p>
        </w:tc>
        <w:tc>
          <w:tcPr>
            <w:tcW w:w="11203" w:type="dxa"/>
            <w:gridSpan w:val="4"/>
            <w:shd w:val="clear" w:color="auto" w:fill="595959" w:themeFill="text1" w:themeFillTint="A6"/>
            <w:vAlign w:val="center"/>
            <w:hideMark/>
          </w:tcPr>
          <w:p w14:paraId="66D602A9" w14:textId="77777777" w:rsidR="005C7B43" w:rsidRPr="008D5AF1" w:rsidRDefault="005C7B43" w:rsidP="00860EAD">
            <w:pPr>
              <w:pStyle w:val="TableText"/>
              <w:jc w:val="center"/>
              <w:rPr>
                <w:b/>
                <w:bCs/>
                <w:color w:val="FFFFFF" w:themeColor="background1"/>
              </w:rPr>
            </w:pPr>
            <w:r w:rsidRPr="008D5AF1">
              <w:rPr>
                <w:b/>
                <w:bCs/>
                <w:color w:val="FFFFFF" w:themeColor="background1"/>
              </w:rPr>
              <w:t>Strategic Outcomes</w:t>
            </w:r>
          </w:p>
        </w:tc>
      </w:tr>
      <w:tr w:rsidR="005C7B43" w:rsidRPr="008D5AF1" w14:paraId="58D54390" w14:textId="77777777" w:rsidTr="2F6A6A80">
        <w:tc>
          <w:tcPr>
            <w:tcW w:w="2689" w:type="dxa"/>
            <w:shd w:val="clear" w:color="auto" w:fill="23305D"/>
            <w:vAlign w:val="center"/>
            <w:hideMark/>
          </w:tcPr>
          <w:p w14:paraId="60EF7A44" w14:textId="77777777" w:rsidR="005C7B43" w:rsidRPr="008D5AF1" w:rsidRDefault="005C7B43" w:rsidP="00860EAD">
            <w:pPr>
              <w:pStyle w:val="TableText"/>
              <w:rPr>
                <w:b/>
                <w:bCs/>
              </w:rPr>
            </w:pPr>
            <w:r w:rsidRPr="008D5AF1">
              <w:rPr>
                <w:b/>
                <w:bCs/>
              </w:rPr>
              <w:t>Mental Health and Addiction System Priorities</w:t>
            </w:r>
          </w:p>
        </w:tc>
        <w:tc>
          <w:tcPr>
            <w:tcW w:w="3123" w:type="dxa"/>
            <w:shd w:val="clear" w:color="auto" w:fill="D9D9D9" w:themeFill="background1" w:themeFillShade="D9"/>
            <w:vAlign w:val="center"/>
            <w:hideMark/>
          </w:tcPr>
          <w:p w14:paraId="5E3265C2" w14:textId="77777777" w:rsidR="005C7B43" w:rsidRPr="008D5AF1" w:rsidRDefault="005C7B43" w:rsidP="00860EAD">
            <w:pPr>
              <w:pStyle w:val="TableText"/>
              <w:rPr>
                <w:b/>
                <w:bCs/>
              </w:rPr>
            </w:pPr>
            <w:r w:rsidRPr="572FAEC4">
              <w:rPr>
                <w:b/>
                <w:bCs/>
              </w:rPr>
              <w:t>There is a full spectrum of accessible services and support to prevent and minimise gambling harm - from prevention to early intervention to specialist support</w:t>
            </w:r>
          </w:p>
        </w:tc>
        <w:tc>
          <w:tcPr>
            <w:tcW w:w="2552" w:type="dxa"/>
            <w:shd w:val="clear" w:color="auto" w:fill="D9D9D9" w:themeFill="background1" w:themeFillShade="D9"/>
            <w:vAlign w:val="center"/>
            <w:hideMark/>
          </w:tcPr>
          <w:p w14:paraId="4E76A243" w14:textId="77777777" w:rsidR="005C7B43" w:rsidRPr="008D5AF1" w:rsidRDefault="005C7B43" w:rsidP="00860EAD">
            <w:pPr>
              <w:pStyle w:val="TableText"/>
              <w:rPr>
                <w:b/>
                <w:bCs/>
              </w:rPr>
            </w:pPr>
            <w:r w:rsidRPr="572FAEC4">
              <w:rPr>
                <w:b/>
                <w:bCs/>
              </w:rPr>
              <w:t>Environments and social and cultural norms prevent and minimise harm from gambling</w:t>
            </w:r>
          </w:p>
        </w:tc>
        <w:tc>
          <w:tcPr>
            <w:tcW w:w="2976" w:type="dxa"/>
            <w:shd w:val="clear" w:color="auto" w:fill="D9D9D9" w:themeFill="background1" w:themeFillShade="D9"/>
            <w:vAlign w:val="center"/>
            <w:hideMark/>
          </w:tcPr>
          <w:p w14:paraId="383BB590" w14:textId="77777777" w:rsidR="005C7B43" w:rsidRPr="008D5AF1" w:rsidRDefault="005C7B43" w:rsidP="00860EAD">
            <w:pPr>
              <w:pStyle w:val="TableText"/>
              <w:rPr>
                <w:b/>
                <w:bCs/>
              </w:rPr>
            </w:pPr>
            <w:r w:rsidRPr="008D5AF1">
              <w:rPr>
                <w:b/>
                <w:bCs/>
              </w:rPr>
              <w:t>There is strong leadership and accountability in the gambling harm prevention system, with decision-making as close to communities as possible</w:t>
            </w:r>
          </w:p>
        </w:tc>
        <w:tc>
          <w:tcPr>
            <w:tcW w:w="2552" w:type="dxa"/>
            <w:shd w:val="clear" w:color="auto" w:fill="D9D9D9" w:themeFill="background1" w:themeFillShade="D9"/>
            <w:vAlign w:val="center"/>
            <w:hideMark/>
          </w:tcPr>
          <w:p w14:paraId="65B12B41" w14:textId="77777777" w:rsidR="005C7B43" w:rsidRPr="008D5AF1" w:rsidRDefault="005C7B43" w:rsidP="00860EAD">
            <w:pPr>
              <w:pStyle w:val="TableText"/>
              <w:rPr>
                <w:b/>
                <w:bCs/>
              </w:rPr>
            </w:pPr>
            <w:r w:rsidRPr="008D5AF1">
              <w:rPr>
                <w:b/>
                <w:bCs/>
              </w:rPr>
              <w:t xml:space="preserve">There is a system focus on those who are most at risk of harm from gambling </w:t>
            </w:r>
          </w:p>
        </w:tc>
      </w:tr>
      <w:tr w:rsidR="005C7B43" w:rsidRPr="008D5AF1" w14:paraId="237C4B06" w14:textId="77777777" w:rsidTr="2F6A6A80">
        <w:tc>
          <w:tcPr>
            <w:tcW w:w="2689" w:type="dxa"/>
            <w:vMerge w:val="restart"/>
            <w:shd w:val="clear" w:color="auto" w:fill="DBE5F1" w:themeFill="accent1" w:themeFillTint="33"/>
            <w:vAlign w:val="center"/>
            <w:hideMark/>
          </w:tcPr>
          <w:p w14:paraId="088DDB2F" w14:textId="77777777" w:rsidR="005C7B43" w:rsidRPr="008D5AF1" w:rsidRDefault="005C7B43" w:rsidP="00860EAD">
            <w:pPr>
              <w:pStyle w:val="TableText"/>
              <w:rPr>
                <w:b/>
                <w:bCs/>
              </w:rPr>
            </w:pPr>
            <w:r w:rsidRPr="008D5AF1">
              <w:rPr>
                <w:b/>
                <w:bCs/>
              </w:rPr>
              <w:t>Increase access to gambling harm support</w:t>
            </w:r>
          </w:p>
        </w:tc>
        <w:tc>
          <w:tcPr>
            <w:tcW w:w="3123" w:type="dxa"/>
            <w:shd w:val="clear" w:color="auto" w:fill="auto"/>
            <w:vAlign w:val="center"/>
            <w:hideMark/>
          </w:tcPr>
          <w:p w14:paraId="451E54D1" w14:textId="33CA3104" w:rsidR="005C7B43" w:rsidRPr="008D5AF1" w:rsidRDefault="005C7B43" w:rsidP="00860EAD">
            <w:pPr>
              <w:pStyle w:val="TableText"/>
            </w:pPr>
            <w:r>
              <w:t>Action: Barriers to accessing services and supports are identified and addressed systematically</w:t>
            </w:r>
            <w:r w:rsidR="3223CB8A">
              <w:t xml:space="preserve"> </w:t>
            </w:r>
            <w:r w:rsidR="4CD588E0">
              <w:t>(</w:t>
            </w:r>
            <w:r w:rsidR="53535C2F">
              <w:t xml:space="preserve">NZ Health Strategy </w:t>
            </w:r>
            <w:r w:rsidR="4CD588E0">
              <w:t xml:space="preserve">shift </w:t>
            </w:r>
            <w:r w:rsidR="29552D85">
              <w:t>1</w:t>
            </w:r>
            <w:r w:rsidR="00AF3801">
              <w:t>*</w:t>
            </w:r>
            <w:r w:rsidR="29552D85">
              <w:t>)</w:t>
            </w:r>
            <w:r>
              <w:t xml:space="preserve"> (MOH, HNZ)</w:t>
            </w:r>
          </w:p>
        </w:tc>
        <w:tc>
          <w:tcPr>
            <w:tcW w:w="5528" w:type="dxa"/>
            <w:gridSpan w:val="2"/>
            <w:shd w:val="clear" w:color="auto" w:fill="auto"/>
            <w:vAlign w:val="center"/>
            <w:hideMark/>
          </w:tcPr>
          <w:p w14:paraId="37A8BF5A" w14:textId="54D215DD" w:rsidR="005C7B43" w:rsidRPr="008D5AF1" w:rsidRDefault="005C7B43" w:rsidP="00860EAD">
            <w:pPr>
              <w:pStyle w:val="TableText"/>
            </w:pPr>
            <w:r>
              <w:t>Action: Māori, Pacific peoples, Asian people, young people and people with lived experience are actively involved in harm prevention and minimisation efforts</w:t>
            </w:r>
            <w:r w:rsidR="0A061FFA">
              <w:t xml:space="preserve"> (</w:t>
            </w:r>
            <w:r w:rsidR="18F875C4">
              <w:t xml:space="preserve">shift </w:t>
            </w:r>
            <w:r w:rsidR="0A061FFA">
              <w:t>1)</w:t>
            </w:r>
            <w:r>
              <w:t xml:space="preserve"> (MOH, HNZ, DIA)</w:t>
            </w:r>
          </w:p>
        </w:tc>
        <w:tc>
          <w:tcPr>
            <w:tcW w:w="2552" w:type="dxa"/>
            <w:shd w:val="clear" w:color="auto" w:fill="auto"/>
            <w:vAlign w:val="center"/>
            <w:hideMark/>
          </w:tcPr>
          <w:p w14:paraId="5FC1A8F9" w14:textId="1A9D9E12" w:rsidR="005C7B43" w:rsidRPr="008D5AF1" w:rsidRDefault="005C7B43" w:rsidP="00860EAD">
            <w:pPr>
              <w:pStyle w:val="TableText"/>
            </w:pPr>
            <w:r>
              <w:t>Action: There are kaupapa Māori, Pacific, Asian and youth-centric services and supports available to those who want them</w:t>
            </w:r>
            <w:r w:rsidR="5CCEE632">
              <w:t xml:space="preserve"> (</w:t>
            </w:r>
            <w:r w:rsidR="7339BAC1">
              <w:t xml:space="preserve">shift </w:t>
            </w:r>
            <w:r w:rsidR="5CCEE632">
              <w:t>2)</w:t>
            </w:r>
            <w:r>
              <w:t xml:space="preserve"> (HNZ)</w:t>
            </w:r>
          </w:p>
        </w:tc>
      </w:tr>
      <w:tr w:rsidR="005C7B43" w:rsidRPr="008D5AF1" w14:paraId="53E8FA12" w14:textId="77777777" w:rsidTr="2F6A6A80">
        <w:tc>
          <w:tcPr>
            <w:tcW w:w="2689" w:type="dxa"/>
            <w:vMerge/>
            <w:vAlign w:val="center"/>
            <w:hideMark/>
          </w:tcPr>
          <w:p w14:paraId="7256F49A" w14:textId="77777777" w:rsidR="005C7B43" w:rsidRPr="008D5AF1" w:rsidRDefault="005C7B43" w:rsidP="00860EAD">
            <w:pPr>
              <w:pStyle w:val="TableText"/>
              <w:rPr>
                <w:b/>
                <w:bCs/>
              </w:rPr>
            </w:pPr>
          </w:p>
        </w:tc>
        <w:tc>
          <w:tcPr>
            <w:tcW w:w="11203" w:type="dxa"/>
            <w:gridSpan w:val="4"/>
            <w:shd w:val="clear" w:color="auto" w:fill="auto"/>
            <w:vAlign w:val="center"/>
            <w:hideMark/>
          </w:tcPr>
          <w:p w14:paraId="0CF2A678" w14:textId="6EC73CB1" w:rsidR="005C7B43" w:rsidRPr="008D5AF1" w:rsidRDefault="005C7B43" w:rsidP="00860EAD">
            <w:pPr>
              <w:pStyle w:val="TableText"/>
            </w:pPr>
            <w:r>
              <w:t>Action: Quality, accessible and effective services are designed and delivered</w:t>
            </w:r>
            <w:r w:rsidR="1D61BD87">
              <w:t xml:space="preserve"> (</w:t>
            </w:r>
            <w:r w:rsidR="3A30FB68">
              <w:t xml:space="preserve">shift </w:t>
            </w:r>
            <w:r w:rsidR="1D61BD87">
              <w:t>2</w:t>
            </w:r>
            <w:r w:rsidR="00AF3801">
              <w:t>*</w:t>
            </w:r>
            <w:r w:rsidR="1D61BD87">
              <w:t>)</w:t>
            </w:r>
            <w:r>
              <w:t xml:space="preserve"> (HNZ)</w:t>
            </w:r>
          </w:p>
        </w:tc>
      </w:tr>
      <w:tr w:rsidR="005C7B43" w:rsidRPr="008D5AF1" w14:paraId="6959B4D7" w14:textId="77777777" w:rsidTr="2F6A6A80">
        <w:tc>
          <w:tcPr>
            <w:tcW w:w="2689" w:type="dxa"/>
            <w:vMerge/>
            <w:vAlign w:val="center"/>
            <w:hideMark/>
          </w:tcPr>
          <w:p w14:paraId="2BCE7263" w14:textId="77777777" w:rsidR="005C7B43" w:rsidRPr="008D5AF1" w:rsidRDefault="005C7B43" w:rsidP="00860EAD">
            <w:pPr>
              <w:pStyle w:val="TableText"/>
              <w:rPr>
                <w:b/>
                <w:bCs/>
              </w:rPr>
            </w:pPr>
          </w:p>
        </w:tc>
        <w:tc>
          <w:tcPr>
            <w:tcW w:w="11203" w:type="dxa"/>
            <w:gridSpan w:val="4"/>
            <w:shd w:val="clear" w:color="auto" w:fill="auto"/>
            <w:vAlign w:val="center"/>
            <w:hideMark/>
          </w:tcPr>
          <w:p w14:paraId="2A06FE62" w14:textId="61B2E09F" w:rsidR="005C7B43" w:rsidRPr="008D5AF1" w:rsidRDefault="36C8E486" w:rsidP="00860EAD">
            <w:pPr>
              <w:pStyle w:val="TableText"/>
            </w:pPr>
            <w:r>
              <w:t>Action: Gambling operators are supported to prevent and minimise harm</w:t>
            </w:r>
            <w:r w:rsidR="70358C88">
              <w:t xml:space="preserve"> </w:t>
            </w:r>
            <w:r w:rsidR="36FFB9E6">
              <w:t>(</w:t>
            </w:r>
            <w:r w:rsidR="1F8A3E4C">
              <w:t xml:space="preserve">shift </w:t>
            </w:r>
            <w:r w:rsidR="70358C88">
              <w:t>2)</w:t>
            </w:r>
            <w:r>
              <w:t xml:space="preserve"> (HNZ. DIA)</w:t>
            </w:r>
          </w:p>
        </w:tc>
      </w:tr>
      <w:tr w:rsidR="005C7B43" w:rsidRPr="008D5AF1" w14:paraId="424E58D3" w14:textId="77777777" w:rsidTr="2F6A6A80">
        <w:tc>
          <w:tcPr>
            <w:tcW w:w="2689" w:type="dxa"/>
            <w:shd w:val="clear" w:color="auto" w:fill="DBE5F1" w:themeFill="accent1" w:themeFillTint="33"/>
            <w:vAlign w:val="center"/>
            <w:hideMark/>
          </w:tcPr>
          <w:p w14:paraId="317B81A2" w14:textId="77777777" w:rsidR="005C7B43" w:rsidRPr="008D5AF1" w:rsidRDefault="005C7B43" w:rsidP="00860EAD">
            <w:pPr>
              <w:pStyle w:val="TableText"/>
              <w:rPr>
                <w:b/>
                <w:bCs/>
              </w:rPr>
            </w:pPr>
            <w:r w:rsidRPr="008D5AF1">
              <w:rPr>
                <w:b/>
                <w:bCs/>
              </w:rPr>
              <w:t>Grow the gambling harm workforce</w:t>
            </w:r>
          </w:p>
        </w:tc>
        <w:tc>
          <w:tcPr>
            <w:tcW w:w="11203" w:type="dxa"/>
            <w:gridSpan w:val="4"/>
            <w:shd w:val="clear" w:color="auto" w:fill="auto"/>
            <w:vAlign w:val="center"/>
            <w:hideMark/>
          </w:tcPr>
          <w:p w14:paraId="6A290269" w14:textId="6C705520" w:rsidR="005C7B43" w:rsidRPr="008D5AF1" w:rsidRDefault="36C8E486" w:rsidP="00860EAD">
            <w:pPr>
              <w:pStyle w:val="TableText"/>
            </w:pPr>
            <w:r>
              <w:t>Action: There is a skilled gambling harm prevention and minimisation workforce that includes lived experience and clinical expertise</w:t>
            </w:r>
            <w:r w:rsidR="0DB4ED5D">
              <w:t xml:space="preserve"> </w:t>
            </w:r>
            <w:r w:rsidR="7D0EDFC5">
              <w:t>(</w:t>
            </w:r>
            <w:r w:rsidR="5BA214D4">
              <w:t>shift</w:t>
            </w:r>
            <w:r w:rsidR="6AB2C017">
              <w:t xml:space="preserve"> 3</w:t>
            </w:r>
            <w:r w:rsidR="00AF3801">
              <w:t>*</w:t>
            </w:r>
            <w:r w:rsidR="6AB2C017">
              <w:t>)</w:t>
            </w:r>
            <w:r>
              <w:t xml:space="preserve"> (HNZ)</w:t>
            </w:r>
          </w:p>
        </w:tc>
      </w:tr>
      <w:tr w:rsidR="005C7B43" w:rsidRPr="008D5AF1" w14:paraId="7B03E842" w14:textId="77777777" w:rsidTr="2F6A6A80">
        <w:tc>
          <w:tcPr>
            <w:tcW w:w="2689" w:type="dxa"/>
            <w:shd w:val="clear" w:color="auto" w:fill="DBE5F1" w:themeFill="accent1" w:themeFillTint="33"/>
            <w:vAlign w:val="center"/>
            <w:hideMark/>
          </w:tcPr>
          <w:p w14:paraId="52B278F5" w14:textId="77777777" w:rsidR="005C7B43" w:rsidRPr="008D5AF1" w:rsidRDefault="005C7B43" w:rsidP="00860EAD">
            <w:pPr>
              <w:pStyle w:val="TableText"/>
              <w:rPr>
                <w:b/>
                <w:bCs/>
              </w:rPr>
            </w:pPr>
            <w:r w:rsidRPr="008D5AF1">
              <w:rPr>
                <w:b/>
                <w:bCs/>
              </w:rPr>
              <w:t>Strengthen the focus on the prevention and early intervention of gambling harm</w:t>
            </w:r>
          </w:p>
        </w:tc>
        <w:tc>
          <w:tcPr>
            <w:tcW w:w="3123" w:type="dxa"/>
            <w:shd w:val="clear" w:color="auto" w:fill="auto"/>
            <w:vAlign w:val="center"/>
          </w:tcPr>
          <w:p w14:paraId="23D734D5" w14:textId="2D11B82E" w:rsidR="005C7B43" w:rsidRPr="008D5AF1" w:rsidRDefault="005C7B43" w:rsidP="00860EAD">
            <w:pPr>
              <w:pStyle w:val="TableText"/>
            </w:pPr>
            <w:r>
              <w:t>Action: People have the information and support to make healthy choices about gambling</w:t>
            </w:r>
            <w:r w:rsidR="02D5DEEC">
              <w:t xml:space="preserve"> (</w:t>
            </w:r>
            <w:r w:rsidR="52ECE5E7">
              <w:t xml:space="preserve">shift </w:t>
            </w:r>
            <w:r w:rsidR="02D5DEEC">
              <w:t>1)</w:t>
            </w:r>
            <w:r>
              <w:t xml:space="preserve"> (HNZ)</w:t>
            </w:r>
          </w:p>
        </w:tc>
        <w:tc>
          <w:tcPr>
            <w:tcW w:w="2552" w:type="dxa"/>
            <w:shd w:val="clear" w:color="auto" w:fill="auto"/>
            <w:vAlign w:val="center"/>
          </w:tcPr>
          <w:p w14:paraId="1212A374" w14:textId="1BD37775" w:rsidR="005C7B43" w:rsidRPr="008D5AF1" w:rsidRDefault="005C7B43" w:rsidP="00860EAD">
            <w:pPr>
              <w:pStyle w:val="TableText"/>
            </w:pPr>
            <w:r>
              <w:t>Action: Stigma about gambling harm is addressed</w:t>
            </w:r>
            <w:r w:rsidR="6EA5EA10">
              <w:t xml:space="preserve"> (</w:t>
            </w:r>
            <w:r w:rsidR="7FD004D4">
              <w:t xml:space="preserve">shift </w:t>
            </w:r>
            <w:r w:rsidR="6EA5EA10">
              <w:t>2)</w:t>
            </w:r>
            <w:r>
              <w:t xml:space="preserve"> (HNZ)</w:t>
            </w:r>
          </w:p>
        </w:tc>
        <w:tc>
          <w:tcPr>
            <w:tcW w:w="5528" w:type="dxa"/>
            <w:gridSpan w:val="2"/>
            <w:shd w:val="clear" w:color="auto" w:fill="auto"/>
            <w:vAlign w:val="center"/>
            <w:hideMark/>
          </w:tcPr>
          <w:p w14:paraId="701544F9" w14:textId="1A9A8691" w:rsidR="005C7B43" w:rsidRPr="008D5AF1" w:rsidRDefault="005C7B43" w:rsidP="00860EAD">
            <w:pPr>
              <w:pStyle w:val="TableText"/>
            </w:pPr>
            <w:r>
              <w:t xml:space="preserve">Action: There are policies at national, regional and local levels that prevent and minimise gambling harm </w:t>
            </w:r>
            <w:r w:rsidR="68C694ED">
              <w:t>(</w:t>
            </w:r>
            <w:r w:rsidR="2792DF1D">
              <w:t xml:space="preserve">shift </w:t>
            </w:r>
            <w:r w:rsidR="68C694ED">
              <w:t>6)</w:t>
            </w:r>
            <w:r>
              <w:t xml:space="preserve"> (HNZ,</w:t>
            </w:r>
            <w:r w:rsidR="7AF74ECE">
              <w:t xml:space="preserve"> </w:t>
            </w:r>
            <w:r>
              <w:t>DIA, Local authorities)</w:t>
            </w:r>
          </w:p>
        </w:tc>
      </w:tr>
      <w:tr w:rsidR="005C7B43" w:rsidRPr="008D5AF1" w14:paraId="42387DEC" w14:textId="77777777" w:rsidTr="2F6A6A80">
        <w:tc>
          <w:tcPr>
            <w:tcW w:w="2689" w:type="dxa"/>
            <w:vMerge w:val="restart"/>
            <w:shd w:val="clear" w:color="auto" w:fill="DBE5F1" w:themeFill="accent1" w:themeFillTint="33"/>
            <w:vAlign w:val="center"/>
            <w:hideMark/>
          </w:tcPr>
          <w:p w14:paraId="5FF22A14" w14:textId="77777777" w:rsidR="005C7B43" w:rsidRPr="008D5AF1" w:rsidRDefault="005C7B43" w:rsidP="00860EAD">
            <w:pPr>
              <w:pStyle w:val="TableText"/>
              <w:rPr>
                <w:b/>
                <w:bCs/>
              </w:rPr>
            </w:pPr>
            <w:r w:rsidRPr="008D5AF1">
              <w:rPr>
                <w:b/>
                <w:bCs/>
              </w:rPr>
              <w:t>Improve the effectiveness of gambling harm support</w:t>
            </w:r>
          </w:p>
        </w:tc>
        <w:tc>
          <w:tcPr>
            <w:tcW w:w="11203" w:type="dxa"/>
            <w:gridSpan w:val="4"/>
            <w:shd w:val="clear" w:color="auto" w:fill="auto"/>
            <w:vAlign w:val="center"/>
            <w:hideMark/>
          </w:tcPr>
          <w:p w14:paraId="68453614" w14:textId="352931F5" w:rsidR="005C7B43" w:rsidRPr="008D5AF1" w:rsidRDefault="005C7B43" w:rsidP="00860EAD">
            <w:pPr>
              <w:pStyle w:val="TableText"/>
            </w:pPr>
            <w:r>
              <w:t>Action: People are supported to participate in decisions about gambling in their communities</w:t>
            </w:r>
            <w:r w:rsidR="1A14FEFA">
              <w:t xml:space="preserve"> (</w:t>
            </w:r>
            <w:r w:rsidR="534E6D85">
              <w:t>shift 1</w:t>
            </w:r>
            <w:r w:rsidR="1A14FEFA">
              <w:t>)</w:t>
            </w:r>
            <w:r>
              <w:t xml:space="preserve"> (HNZ)</w:t>
            </w:r>
          </w:p>
        </w:tc>
      </w:tr>
      <w:tr w:rsidR="005C7B43" w:rsidRPr="008D5AF1" w14:paraId="59B62994" w14:textId="77777777" w:rsidTr="2F6A6A80">
        <w:tc>
          <w:tcPr>
            <w:tcW w:w="2689" w:type="dxa"/>
            <w:vMerge/>
            <w:vAlign w:val="center"/>
            <w:hideMark/>
          </w:tcPr>
          <w:p w14:paraId="0C43ACB7" w14:textId="77777777" w:rsidR="005C7B43" w:rsidRPr="008D5AF1" w:rsidRDefault="005C7B43" w:rsidP="00860EAD">
            <w:pPr>
              <w:pStyle w:val="TableText"/>
            </w:pPr>
          </w:p>
        </w:tc>
        <w:tc>
          <w:tcPr>
            <w:tcW w:w="11203" w:type="dxa"/>
            <w:gridSpan w:val="4"/>
            <w:shd w:val="clear" w:color="auto" w:fill="auto"/>
            <w:vAlign w:val="center"/>
            <w:hideMark/>
          </w:tcPr>
          <w:p w14:paraId="1B45A420" w14:textId="0DD3CB27" w:rsidR="005C7B43" w:rsidRPr="008D5AF1" w:rsidRDefault="005C7B43" w:rsidP="00860EAD">
            <w:pPr>
              <w:pStyle w:val="TableText"/>
            </w:pPr>
            <w:r>
              <w:t>Action: The legislative and regulatory framework for preventing and minimising harm from gambling is strong and effective</w:t>
            </w:r>
            <w:r w:rsidR="104C964E">
              <w:t xml:space="preserve"> (</w:t>
            </w:r>
            <w:r w:rsidR="1285F7EF">
              <w:t xml:space="preserve">shift </w:t>
            </w:r>
            <w:r w:rsidR="104C964E">
              <w:t>6</w:t>
            </w:r>
            <w:r w:rsidR="00AF3801">
              <w:t>*</w:t>
            </w:r>
            <w:r w:rsidR="104C964E">
              <w:t>)</w:t>
            </w:r>
            <w:r>
              <w:t xml:space="preserve"> (DIA)</w:t>
            </w:r>
          </w:p>
        </w:tc>
      </w:tr>
      <w:tr w:rsidR="005C7B43" w:rsidRPr="008D5AF1" w14:paraId="2983E7F1" w14:textId="77777777" w:rsidTr="2F6A6A80">
        <w:tc>
          <w:tcPr>
            <w:tcW w:w="2689" w:type="dxa"/>
            <w:vMerge/>
            <w:vAlign w:val="center"/>
            <w:hideMark/>
          </w:tcPr>
          <w:p w14:paraId="3C65F752" w14:textId="77777777" w:rsidR="005C7B43" w:rsidRPr="008D5AF1" w:rsidRDefault="005C7B43" w:rsidP="00860EAD">
            <w:pPr>
              <w:pStyle w:val="TableText"/>
            </w:pPr>
          </w:p>
        </w:tc>
        <w:tc>
          <w:tcPr>
            <w:tcW w:w="11203" w:type="dxa"/>
            <w:gridSpan w:val="4"/>
            <w:shd w:val="clear" w:color="auto" w:fill="auto"/>
            <w:vAlign w:val="center"/>
            <w:hideMark/>
          </w:tcPr>
          <w:p w14:paraId="2ECDD57D" w14:textId="2C7E8C29" w:rsidR="005C7B43" w:rsidRPr="008D5AF1" w:rsidRDefault="005C7B43" w:rsidP="00860EAD">
            <w:pPr>
              <w:pStyle w:val="TableText"/>
            </w:pPr>
            <w:r>
              <w:t>Action: Technology, research and evidence inform policy and service design and delivery</w:t>
            </w:r>
            <w:r w:rsidR="6F97FBAE">
              <w:t xml:space="preserve"> </w:t>
            </w:r>
            <w:r w:rsidR="01D5CD19">
              <w:t xml:space="preserve">(shift </w:t>
            </w:r>
            <w:r w:rsidR="6F97FBAE">
              <w:t>4</w:t>
            </w:r>
            <w:r w:rsidR="00AF3801">
              <w:t>*</w:t>
            </w:r>
            <w:r w:rsidR="6F97FBAE">
              <w:t>)</w:t>
            </w:r>
            <w:r>
              <w:t xml:space="preserve"> (MOH, HNZ)</w:t>
            </w:r>
          </w:p>
        </w:tc>
      </w:tr>
    </w:tbl>
    <w:p w14:paraId="4465BFA0" w14:textId="77777777" w:rsidR="005C7B43" w:rsidRPr="00A12AF2" w:rsidRDefault="005C7B43" w:rsidP="005C7B43">
      <w:pPr>
        <w:rPr>
          <w:b/>
          <w:bCs/>
          <w:sz w:val="20"/>
        </w:rPr>
      </w:pPr>
    </w:p>
    <w:p w14:paraId="06FAF650" w14:textId="57975951" w:rsidR="00A12AF2" w:rsidRDefault="00D51099" w:rsidP="005C7B43">
      <w:pPr>
        <w:rPr>
          <w:sz w:val="20"/>
        </w:rPr>
      </w:pPr>
      <w:r w:rsidRPr="00A12AF2">
        <w:rPr>
          <w:sz w:val="20"/>
        </w:rPr>
        <w:t>*these shifts are detailed in the New Zealand Health Strategy</w:t>
      </w:r>
      <w:r w:rsidR="00A12AF2" w:rsidRPr="00A12AF2">
        <w:rPr>
          <w:sz w:val="20"/>
        </w:rPr>
        <w:t xml:space="preserve"> </w:t>
      </w:r>
      <w:hyperlink r:id="rId23" w:history="1">
        <w:r w:rsidR="00A12AF2" w:rsidRPr="001F1720">
          <w:rPr>
            <w:rStyle w:val="Hyperlink"/>
            <w:sz w:val="20"/>
          </w:rPr>
          <w:t>health.govt.nz/strategies-initiatives/health-strategies/new-zealand-health-strategy</w:t>
        </w:r>
      </w:hyperlink>
    </w:p>
    <w:p w14:paraId="5B765729" w14:textId="60FA6DC3" w:rsidR="00EE0E57" w:rsidRPr="00AF3801" w:rsidRDefault="00EE0E57" w:rsidP="005C7B43"/>
    <w:p w14:paraId="5E9A1CE9" w14:textId="77777777" w:rsidR="00EE0E57" w:rsidRDefault="00EE0E57" w:rsidP="005C7B43">
      <w:pPr>
        <w:rPr>
          <w:b/>
          <w:bCs/>
        </w:rPr>
      </w:pPr>
    </w:p>
    <w:p w14:paraId="04BC1108" w14:textId="77777777" w:rsidR="00EE0E57" w:rsidRDefault="00EE0E57" w:rsidP="005C7B43">
      <w:pPr>
        <w:rPr>
          <w:b/>
          <w:bCs/>
        </w:rPr>
      </w:pPr>
    </w:p>
    <w:p w14:paraId="400396F2" w14:textId="77777777" w:rsidR="00EE0E57" w:rsidRDefault="00EE0E57" w:rsidP="005C7B43">
      <w:pPr>
        <w:rPr>
          <w:b/>
          <w:bCs/>
        </w:rPr>
      </w:pPr>
    </w:p>
    <w:p w14:paraId="11860320" w14:textId="7CDF504F" w:rsidR="005C7B43" w:rsidRDefault="005C7B43" w:rsidP="2F6A6A80">
      <w:pPr>
        <w:sectPr w:rsidR="005C7B43" w:rsidSect="008A189B">
          <w:footerReference w:type="default" r:id="rId24"/>
          <w:pgSz w:w="16838" w:h="11906" w:orient="landscape"/>
          <w:pgMar w:top="1134" w:right="1440" w:bottom="1134" w:left="1440" w:header="709" w:footer="425" w:gutter="0"/>
          <w:cols w:space="708"/>
          <w:docGrid w:linePitch="360"/>
        </w:sectPr>
      </w:pPr>
    </w:p>
    <w:p w14:paraId="16F76ADC" w14:textId="0EB251DE" w:rsidR="00B13AB1" w:rsidRPr="00FD7201" w:rsidRDefault="18F740E2" w:rsidP="0095105E">
      <w:pPr>
        <w:pStyle w:val="Heading1"/>
      </w:pPr>
      <w:bookmarkStart w:id="22" w:name="_Toc197527585"/>
      <w:r w:rsidRPr="00FD7201">
        <w:lastRenderedPageBreak/>
        <w:t xml:space="preserve">Service </w:t>
      </w:r>
      <w:proofErr w:type="gramStart"/>
      <w:r w:rsidRPr="00FD7201">
        <w:t>plan</w:t>
      </w:r>
      <w:bookmarkEnd w:id="22"/>
      <w:proofErr w:type="gramEnd"/>
    </w:p>
    <w:p w14:paraId="39805292" w14:textId="6BDF6BC9" w:rsidR="00B13AB1" w:rsidRPr="006811B7" w:rsidRDefault="00B13AB1" w:rsidP="008A189B">
      <w:pPr>
        <w:rPr>
          <w:rFonts w:eastAsia="Lucida Sans Unicode"/>
        </w:rPr>
      </w:pPr>
      <w:r>
        <w:rPr>
          <w:rFonts w:eastAsia="Lucida Sans Unicode"/>
        </w:rPr>
        <w:t xml:space="preserve">This section sets out the gambling harm prevention and minimisation </w:t>
      </w:r>
      <w:r w:rsidRPr="2F46C0E1">
        <w:rPr>
          <w:rFonts w:eastAsia="Lucida Sans Unicode"/>
        </w:rPr>
        <w:t xml:space="preserve">service </w:t>
      </w:r>
      <w:r>
        <w:rPr>
          <w:rFonts w:eastAsia="Lucida Sans Unicode"/>
        </w:rPr>
        <w:t xml:space="preserve">activities, </w:t>
      </w:r>
      <w:r w:rsidRPr="2F46C0E1">
        <w:rPr>
          <w:rFonts w:eastAsia="Lucida Sans Unicode"/>
        </w:rPr>
        <w:t xml:space="preserve">investment priorities and </w:t>
      </w:r>
      <w:r>
        <w:rPr>
          <w:rFonts w:eastAsia="Lucida Sans Unicode"/>
        </w:rPr>
        <w:t xml:space="preserve">related </w:t>
      </w:r>
      <w:r w:rsidRPr="2F46C0E1">
        <w:rPr>
          <w:rFonts w:eastAsia="Lucida Sans Unicode"/>
        </w:rPr>
        <w:t xml:space="preserve">budgets for the three years from 1 July 2025 to 30 </w:t>
      </w:r>
      <w:r w:rsidRPr="006811B7">
        <w:rPr>
          <w:rFonts w:eastAsia="Lucida Sans Unicode"/>
        </w:rPr>
        <w:t xml:space="preserve">June 2028. They respond to the needs and pressures discussed throughout this document and received through </w:t>
      </w:r>
      <w:r w:rsidR="006811B7" w:rsidRPr="006811B7">
        <w:rPr>
          <w:rFonts w:eastAsia="Lucida Sans Unicode"/>
        </w:rPr>
        <w:t xml:space="preserve">consultation </w:t>
      </w:r>
      <w:r w:rsidRPr="006811B7">
        <w:rPr>
          <w:rFonts w:eastAsia="Lucida Sans Unicode"/>
        </w:rPr>
        <w:t>feedback.</w:t>
      </w:r>
    </w:p>
    <w:p w14:paraId="0AEC84E2" w14:textId="77777777" w:rsidR="00B13AB1" w:rsidRPr="006811B7" w:rsidRDefault="00B13AB1" w:rsidP="008A189B">
      <w:pPr>
        <w:rPr>
          <w:rFonts w:eastAsia="Lucida Sans Unicode"/>
        </w:rPr>
      </w:pPr>
    </w:p>
    <w:p w14:paraId="2EB27D69" w14:textId="5F2A90D1" w:rsidR="00B13AB1" w:rsidRPr="00FC2C22" w:rsidRDefault="00B13AB1" w:rsidP="008A189B">
      <w:r w:rsidRPr="006811B7">
        <w:t xml:space="preserve">The new three-year service plan </w:t>
      </w:r>
      <w:r w:rsidR="00315F2E" w:rsidRPr="006811B7">
        <w:t>proposed for t</w:t>
      </w:r>
      <w:r w:rsidRPr="006811B7">
        <w:t xml:space="preserve">he period to 30 June 2028, guided by the strategic plan, will see provision of clinical and public health approaches to gambling harm minimisation and prevention, as well as a prioritised research programme. The </w:t>
      </w:r>
      <w:r w:rsidRPr="00FC2C22">
        <w:t>plan will maintain investment in high</w:t>
      </w:r>
      <w:r w:rsidR="00E50D15" w:rsidRPr="00FC2C22">
        <w:t>-</w:t>
      </w:r>
      <w:r w:rsidRPr="00FC2C22">
        <w:t xml:space="preserve">quality public health and clinical services to deliver on the Government’s priorities. </w:t>
      </w:r>
    </w:p>
    <w:p w14:paraId="1081FE8A" w14:textId="77777777" w:rsidR="00B13AB1" w:rsidRPr="00FC2C22" w:rsidRDefault="00B13AB1" w:rsidP="008A189B">
      <w:pPr>
        <w:rPr>
          <w:rFonts w:eastAsia="Lucida Sans Unicode"/>
        </w:rPr>
      </w:pPr>
    </w:p>
    <w:p w14:paraId="660E9BFE" w14:textId="00BE1AFA" w:rsidR="00B13AB1" w:rsidRDefault="18F740E2" w:rsidP="008A189B">
      <w:pPr>
        <w:rPr>
          <w:rFonts w:eastAsia="Lucida Sans Unicode"/>
        </w:rPr>
      </w:pPr>
      <w:r w:rsidRPr="00FC2C22">
        <w:rPr>
          <w:rFonts w:eastAsia="Lucida Sans Unicode"/>
        </w:rPr>
        <w:t xml:space="preserve">As a result of consultation feedback, we have made </w:t>
      </w:r>
      <w:r w:rsidR="71B24A3D" w:rsidRPr="00FC2C22">
        <w:rPr>
          <w:rFonts w:eastAsia="Lucida Sans Unicode"/>
        </w:rPr>
        <w:t>several</w:t>
      </w:r>
      <w:r w:rsidRPr="00FC2C22">
        <w:rPr>
          <w:rFonts w:eastAsia="Lucida Sans Unicode"/>
        </w:rPr>
        <w:t xml:space="preserve"> changes to the service plan</w:t>
      </w:r>
      <w:r w:rsidR="21B47A44" w:rsidRPr="00FC2C22">
        <w:rPr>
          <w:rFonts w:eastAsia="Lucida Sans Unicode"/>
        </w:rPr>
        <w:t xml:space="preserve">. Changes </w:t>
      </w:r>
      <w:r w:rsidRPr="00FC2C22">
        <w:rPr>
          <w:rFonts w:eastAsia="Lucida Sans Unicode"/>
        </w:rPr>
        <w:t>includ</w:t>
      </w:r>
      <w:r w:rsidR="4D8AFA51" w:rsidRPr="00FC2C22">
        <w:rPr>
          <w:rFonts w:eastAsia="Lucida Sans Unicode"/>
        </w:rPr>
        <w:t>e</w:t>
      </w:r>
      <w:r w:rsidR="1265AEE5" w:rsidRPr="00FC2C22">
        <w:rPr>
          <w:rFonts w:eastAsia="Lucida Sans Unicode"/>
        </w:rPr>
        <w:t xml:space="preserve"> allocating some </w:t>
      </w:r>
      <w:r w:rsidRPr="00FC2C22">
        <w:rPr>
          <w:rFonts w:eastAsia="Lucida Sans Unicode"/>
        </w:rPr>
        <w:t>research</w:t>
      </w:r>
      <w:r w:rsidR="1265AEE5" w:rsidRPr="00FC2C22">
        <w:rPr>
          <w:rFonts w:eastAsia="Lucida Sans Unicode"/>
        </w:rPr>
        <w:t xml:space="preserve"> to innovation and scholarships</w:t>
      </w:r>
      <w:r w:rsidRPr="00FC2C22">
        <w:rPr>
          <w:rFonts w:eastAsia="Lucida Sans Unicode"/>
        </w:rPr>
        <w:t xml:space="preserve"> </w:t>
      </w:r>
      <w:r w:rsidR="334F32B4" w:rsidRPr="00FC2C22">
        <w:rPr>
          <w:rFonts w:eastAsia="Lucida Sans Unicode"/>
        </w:rPr>
        <w:t xml:space="preserve">and </w:t>
      </w:r>
      <w:r w:rsidR="6F0D4D24" w:rsidRPr="00FC2C22">
        <w:rPr>
          <w:rFonts w:eastAsia="Lucida Sans Unicode"/>
        </w:rPr>
        <w:t xml:space="preserve">developing </w:t>
      </w:r>
      <w:r w:rsidR="7670A020" w:rsidRPr="00FC2C22">
        <w:rPr>
          <w:rFonts w:eastAsia="Lucida Sans Unicode"/>
        </w:rPr>
        <w:t xml:space="preserve">a monitoring framework to monitor the overall impact of the </w:t>
      </w:r>
      <w:r w:rsidR="2402FCF3" w:rsidRPr="00FC2C22">
        <w:rPr>
          <w:rFonts w:eastAsia="Lucida Sans Unicode"/>
        </w:rPr>
        <w:t>S</w:t>
      </w:r>
      <w:r w:rsidR="7670A020" w:rsidRPr="00FC2C22">
        <w:rPr>
          <w:rFonts w:eastAsia="Lucida Sans Unicode"/>
        </w:rPr>
        <w:t xml:space="preserve">trategy. We </w:t>
      </w:r>
      <w:r w:rsidR="574225DC" w:rsidRPr="00FC2C22">
        <w:rPr>
          <w:rFonts w:eastAsia="Lucida Sans Unicode"/>
        </w:rPr>
        <w:t xml:space="preserve">have also </w:t>
      </w:r>
      <w:r w:rsidRPr="00FC2C22">
        <w:rPr>
          <w:rFonts w:eastAsia="Lucida Sans Unicode"/>
        </w:rPr>
        <w:t>ensur</w:t>
      </w:r>
      <w:r w:rsidR="574225DC" w:rsidRPr="00FC2C22">
        <w:rPr>
          <w:rFonts w:eastAsia="Lucida Sans Unicode"/>
        </w:rPr>
        <w:t>ed</w:t>
      </w:r>
      <w:r w:rsidRPr="00FC2C22">
        <w:rPr>
          <w:rFonts w:eastAsia="Lucida Sans Unicode"/>
        </w:rPr>
        <w:t xml:space="preserve"> a stronger focus on public health is visible</w:t>
      </w:r>
      <w:r w:rsidR="334F32B4" w:rsidRPr="00FC2C22">
        <w:rPr>
          <w:rFonts w:eastAsia="Lucida Sans Unicode"/>
        </w:rPr>
        <w:t>.</w:t>
      </w:r>
    </w:p>
    <w:p w14:paraId="70862F89" w14:textId="77777777" w:rsidR="00935934" w:rsidRPr="00FD7201" w:rsidRDefault="00935934" w:rsidP="00935934">
      <w:pPr>
        <w:pStyle w:val="Heading2"/>
      </w:pPr>
      <w:bookmarkStart w:id="23" w:name="_Toc197527586"/>
      <w:r w:rsidRPr="00FD7201">
        <w:t xml:space="preserve">Service plan for 2025/26 to </w:t>
      </w:r>
      <w:proofErr w:type="gramStart"/>
      <w:r w:rsidRPr="00FD7201">
        <w:t>2027/28</w:t>
      </w:r>
      <w:bookmarkEnd w:id="23"/>
      <w:proofErr w:type="gramEnd"/>
    </w:p>
    <w:p w14:paraId="66DA9700" w14:textId="4EFDCE49" w:rsidR="00935934" w:rsidRDefault="00935934" w:rsidP="00935934">
      <w:r>
        <w:rPr>
          <w:rFonts w:eastAsia="Lucida Sans Unicode"/>
        </w:rPr>
        <w:t xml:space="preserve">The </w:t>
      </w:r>
      <w:r>
        <w:t xml:space="preserve">Act requires the </w:t>
      </w:r>
      <w:r w:rsidR="00E50D15">
        <w:t>s</w:t>
      </w:r>
      <w:r>
        <w:t>trategy to have a focus on public health, and contain:</w:t>
      </w:r>
    </w:p>
    <w:p w14:paraId="6ADFBB21" w14:textId="1AC5DA27" w:rsidR="00935934" w:rsidRPr="008A189B" w:rsidRDefault="00935934" w:rsidP="008A189B">
      <w:pPr>
        <w:pStyle w:val="Bullet"/>
        <w:rPr>
          <w:rFonts w:eastAsiaTheme="minorHAnsi"/>
        </w:rPr>
      </w:pPr>
      <w:r w:rsidRPr="008A189B">
        <w:rPr>
          <w:rFonts w:eastAsiaTheme="minorHAnsi"/>
        </w:rPr>
        <w:t xml:space="preserve">measures to promote public health by preventing and minimising the harm from </w:t>
      </w:r>
      <w:r w:rsidR="00E4126D" w:rsidRPr="008A189B">
        <w:rPr>
          <w:rFonts w:eastAsiaTheme="minorHAnsi"/>
        </w:rPr>
        <w:t>gambling.</w:t>
      </w:r>
    </w:p>
    <w:p w14:paraId="241AE2EA" w14:textId="334EBA7F" w:rsidR="00935934" w:rsidRPr="008A189B" w:rsidRDefault="00935934" w:rsidP="008A189B">
      <w:pPr>
        <w:pStyle w:val="Bullet"/>
        <w:rPr>
          <w:rFonts w:eastAsiaTheme="minorHAnsi"/>
        </w:rPr>
      </w:pPr>
      <w:r w:rsidRPr="008A189B">
        <w:rPr>
          <w:rFonts w:eastAsiaTheme="minorHAnsi"/>
        </w:rPr>
        <w:t xml:space="preserve">services to treat and assist people whose gambling is causing harm to themselves their families and </w:t>
      </w:r>
      <w:r w:rsidR="00E4126D" w:rsidRPr="008A189B">
        <w:rPr>
          <w:rFonts w:eastAsiaTheme="minorHAnsi"/>
        </w:rPr>
        <w:t>whānau.</w:t>
      </w:r>
    </w:p>
    <w:p w14:paraId="368003A6" w14:textId="6E557A0B" w:rsidR="00935934" w:rsidRPr="008A189B" w:rsidRDefault="00935934" w:rsidP="008A189B">
      <w:pPr>
        <w:pStyle w:val="Bullet"/>
        <w:rPr>
          <w:rFonts w:eastAsiaTheme="minorHAnsi"/>
        </w:rPr>
      </w:pPr>
      <w:r w:rsidRPr="008A189B">
        <w:rPr>
          <w:rFonts w:eastAsiaTheme="minorHAnsi"/>
        </w:rPr>
        <w:t xml:space="preserve">independent scientific research associated with gambling, including (for example) longitudinal research on the social and economic impacts of gambling, particularly the impacts on different cultural </w:t>
      </w:r>
      <w:r w:rsidR="00E4126D" w:rsidRPr="008A189B">
        <w:rPr>
          <w:rFonts w:eastAsiaTheme="minorHAnsi"/>
        </w:rPr>
        <w:t>groups.</w:t>
      </w:r>
    </w:p>
    <w:p w14:paraId="6818CC92" w14:textId="77777777" w:rsidR="00935934" w:rsidRPr="008A189B" w:rsidRDefault="00935934" w:rsidP="008A189B">
      <w:pPr>
        <w:pStyle w:val="Bullet"/>
      </w:pPr>
      <w:r w:rsidRPr="008A189B">
        <w:rPr>
          <w:rFonts w:eastAsiaTheme="minorHAnsi"/>
        </w:rPr>
        <w:t>evaluation.</w:t>
      </w:r>
    </w:p>
    <w:p w14:paraId="7389B325" w14:textId="77777777" w:rsidR="00935934" w:rsidRPr="00935934" w:rsidRDefault="00935934" w:rsidP="00FD7201">
      <w:pPr>
        <w:rPr>
          <w:rFonts w:eastAsia="Lucida Sans Unicode"/>
        </w:rPr>
      </w:pPr>
    </w:p>
    <w:p w14:paraId="1DD6354F" w14:textId="41DF8E58" w:rsidR="00B13AB1" w:rsidRDefault="00C76DCA" w:rsidP="00FD7201">
      <w:pPr>
        <w:rPr>
          <w:rFonts w:eastAsia="Lucida Sans Unicode"/>
        </w:rPr>
      </w:pPr>
      <w:r>
        <w:rPr>
          <w:rFonts w:eastAsia="Lucida Sans Unicode"/>
        </w:rPr>
        <w:t>The</w:t>
      </w:r>
      <w:r w:rsidR="00B13AB1">
        <w:rPr>
          <w:rFonts w:eastAsia="Lucida Sans Unicode"/>
        </w:rPr>
        <w:t xml:space="preserve"> </w:t>
      </w:r>
      <w:r w:rsidR="57CD79D3" w:rsidRPr="3DD93037">
        <w:rPr>
          <w:rFonts w:eastAsia="Lucida Sans Unicode"/>
        </w:rPr>
        <w:t>s</w:t>
      </w:r>
      <w:r w:rsidR="00E50D15" w:rsidRPr="3DD93037">
        <w:rPr>
          <w:rFonts w:eastAsia="Lucida Sans Unicode"/>
        </w:rPr>
        <w:t xml:space="preserve">ervice </w:t>
      </w:r>
      <w:r w:rsidR="6B0ADD5C" w:rsidRPr="3DD93037">
        <w:rPr>
          <w:rFonts w:eastAsia="Lucida Sans Unicode"/>
        </w:rPr>
        <w:t>p</w:t>
      </w:r>
      <w:r w:rsidR="00E50D15">
        <w:rPr>
          <w:rFonts w:eastAsia="Lucida Sans Unicode"/>
        </w:rPr>
        <w:t xml:space="preserve">lan </w:t>
      </w:r>
      <w:r w:rsidR="00356A72">
        <w:rPr>
          <w:rFonts w:eastAsia="Lucida Sans Unicode"/>
        </w:rPr>
        <w:t xml:space="preserve">includes these components and </w:t>
      </w:r>
      <w:r w:rsidR="00E50D15">
        <w:rPr>
          <w:rFonts w:eastAsia="Lucida Sans Unicode"/>
        </w:rPr>
        <w:t xml:space="preserve">is </w:t>
      </w:r>
      <w:r w:rsidR="00B13AB1">
        <w:rPr>
          <w:rFonts w:eastAsia="Lucida Sans Unicode"/>
        </w:rPr>
        <w:t xml:space="preserve">aligned to the priorities and activities of the strategic framework to provide a clear line of sight </w:t>
      </w:r>
      <w:r w:rsidR="00B13AB1" w:rsidRPr="41F03BAF">
        <w:rPr>
          <w:rFonts w:eastAsia="Lucida Sans Unicode"/>
        </w:rPr>
        <w:t>from</w:t>
      </w:r>
      <w:r w:rsidR="00B13AB1">
        <w:rPr>
          <w:rFonts w:eastAsia="Lucida Sans Unicode"/>
        </w:rPr>
        <w:t xml:space="preserve"> the strategic priorities to what we intend to do to achieve them.</w:t>
      </w:r>
      <w:r w:rsidR="00B13AB1" w:rsidRPr="007B48D3">
        <w:rPr>
          <w:rFonts w:eastAsia="Lucida Sans Unicode"/>
        </w:rPr>
        <w:t xml:space="preserve"> </w:t>
      </w:r>
      <w:r w:rsidR="00B13AB1">
        <w:rPr>
          <w:rFonts w:eastAsia="Lucida Sans Unicode"/>
        </w:rPr>
        <w:t>Together the proposals</w:t>
      </w:r>
      <w:r w:rsidR="00B13AB1" w:rsidRPr="2F46C0E1">
        <w:rPr>
          <w:rFonts w:eastAsia="Lucida Sans Unicode"/>
        </w:rPr>
        <w:t xml:space="preserve"> </w:t>
      </w:r>
      <w:r w:rsidR="00B13AB1">
        <w:rPr>
          <w:rFonts w:eastAsia="Lucida Sans Unicode"/>
        </w:rPr>
        <w:t xml:space="preserve">set out the specific activities and services to be provided to achieve the </w:t>
      </w:r>
      <w:r w:rsidR="00B13AB1" w:rsidRPr="2F46C0E1">
        <w:rPr>
          <w:rFonts w:eastAsia="Lucida Sans Unicode"/>
        </w:rPr>
        <w:t>strategic outcomes and priority actions</w:t>
      </w:r>
      <w:r w:rsidR="00B13AB1">
        <w:rPr>
          <w:rFonts w:eastAsia="Lucida Sans Unicode"/>
        </w:rPr>
        <w:t xml:space="preserve">, and to support the mental health and addiction system priorities </w:t>
      </w:r>
      <w:r w:rsidR="00B13AB1" w:rsidRPr="2F46C0E1">
        <w:rPr>
          <w:rFonts w:eastAsia="Lucida Sans Unicode"/>
        </w:rPr>
        <w:t xml:space="preserve">outlined </w:t>
      </w:r>
      <w:r w:rsidR="00B13AB1">
        <w:rPr>
          <w:rFonts w:eastAsia="Lucida Sans Unicode"/>
        </w:rPr>
        <w:t>in</w:t>
      </w:r>
      <w:r w:rsidR="00B13AB1" w:rsidRPr="2F46C0E1">
        <w:rPr>
          <w:rFonts w:eastAsia="Lucida Sans Unicode"/>
        </w:rPr>
        <w:t xml:space="preserve"> the strategic </w:t>
      </w:r>
      <w:r w:rsidR="00B13AB1">
        <w:rPr>
          <w:rFonts w:eastAsia="Lucida Sans Unicode"/>
        </w:rPr>
        <w:t xml:space="preserve">plan described above. </w:t>
      </w:r>
    </w:p>
    <w:p w14:paraId="3DC7D238" w14:textId="77777777" w:rsidR="00B13AB1" w:rsidRDefault="00B13AB1" w:rsidP="00FD7201">
      <w:pPr>
        <w:rPr>
          <w:rFonts w:eastAsia="Lucida Sans Unicode"/>
        </w:rPr>
      </w:pPr>
    </w:p>
    <w:p w14:paraId="35D882DD" w14:textId="081E40B8" w:rsidR="00B13AB1" w:rsidRDefault="00B13AB1" w:rsidP="00FD7201">
      <w:r w:rsidRPr="0FD73C6D">
        <w:t xml:space="preserve">The </w:t>
      </w:r>
      <w:r w:rsidR="16781789">
        <w:t>s</w:t>
      </w:r>
      <w:r>
        <w:t xml:space="preserve">ervice </w:t>
      </w:r>
      <w:r w:rsidR="28871294">
        <w:t>p</w:t>
      </w:r>
      <w:r>
        <w:t>lan</w:t>
      </w:r>
      <w:r w:rsidRPr="0FD73C6D">
        <w:t xml:space="preserve"> includes proposals to:</w:t>
      </w:r>
    </w:p>
    <w:p w14:paraId="4E212DED" w14:textId="6037E504" w:rsidR="00B13AB1" w:rsidRPr="002B32BD" w:rsidRDefault="00B13AB1" w:rsidP="00B13AB1">
      <w:pPr>
        <w:pStyle w:val="Bullet"/>
      </w:pPr>
      <w:r w:rsidRPr="00CB7B9E">
        <w:rPr>
          <w:b/>
          <w:bCs/>
          <w:color w:val="0A6AB4"/>
        </w:rPr>
        <w:t>i</w:t>
      </w:r>
      <w:r w:rsidR="00AC4631">
        <w:rPr>
          <w:b/>
          <w:bCs/>
          <w:color w:val="0A6AB4"/>
        </w:rPr>
        <w:t>mprove</w:t>
      </w:r>
      <w:r w:rsidRPr="00CB7B9E">
        <w:rPr>
          <w:b/>
          <w:bCs/>
          <w:color w:val="0A6AB4"/>
        </w:rPr>
        <w:t xml:space="preserve"> access</w:t>
      </w:r>
      <w:r w:rsidRPr="00CB7B9E">
        <w:rPr>
          <w:color w:val="0A6AB4"/>
        </w:rPr>
        <w:t xml:space="preserve"> </w:t>
      </w:r>
      <w:r w:rsidRPr="00AC4631">
        <w:t xml:space="preserve">by </w:t>
      </w:r>
      <w:r w:rsidR="77F8677E">
        <w:t xml:space="preserve">supporting the development and visibility of clinical intervention </w:t>
      </w:r>
      <w:r w:rsidR="00E4126D">
        <w:t>services.</w:t>
      </w:r>
    </w:p>
    <w:p w14:paraId="69EBCE89" w14:textId="1E2077EB" w:rsidR="00B13AB1" w:rsidRPr="002B32BD" w:rsidRDefault="00B13AB1" w:rsidP="00B13AB1">
      <w:pPr>
        <w:pStyle w:val="Bullet"/>
      </w:pPr>
      <w:r w:rsidRPr="00CB7B9E">
        <w:rPr>
          <w:b/>
          <w:bCs/>
          <w:color w:val="0A6AB4"/>
        </w:rPr>
        <w:t>grow the workforce</w:t>
      </w:r>
      <w:r w:rsidRPr="00CB7B9E">
        <w:rPr>
          <w:color w:val="0A6AB4"/>
        </w:rPr>
        <w:t xml:space="preserve"> </w:t>
      </w:r>
      <w:r w:rsidRPr="00830C3F">
        <w:t xml:space="preserve">by </w:t>
      </w:r>
      <w:r w:rsidR="0C7E03E0">
        <w:t xml:space="preserve">improving training content, internships and scholarships, and initiatives to retain and attract staff </w:t>
      </w:r>
      <w:r w:rsidR="42808C92">
        <w:t>(both peer and clinical)</w:t>
      </w:r>
    </w:p>
    <w:p w14:paraId="165F5E20" w14:textId="4E31C5AD" w:rsidR="00B13AB1" w:rsidRPr="002B32BD" w:rsidRDefault="0C8007FF" w:rsidP="00B13AB1">
      <w:pPr>
        <w:pStyle w:val="Bullet"/>
      </w:pPr>
      <w:r w:rsidRPr="1D99EB8C">
        <w:rPr>
          <w:b/>
          <w:bCs/>
          <w:color w:val="0A6AB4"/>
        </w:rPr>
        <w:lastRenderedPageBreak/>
        <w:t xml:space="preserve">Strengthen </w:t>
      </w:r>
      <w:r w:rsidR="7C2DB21D" w:rsidRPr="0FE2E272">
        <w:rPr>
          <w:b/>
          <w:bCs/>
          <w:color w:val="0A6AB4"/>
        </w:rPr>
        <w:t xml:space="preserve">the focus on the prevention of </w:t>
      </w:r>
      <w:r w:rsidRPr="292BE9C8">
        <w:rPr>
          <w:b/>
          <w:bCs/>
          <w:color w:val="0A6AB4"/>
        </w:rPr>
        <w:t xml:space="preserve">and early </w:t>
      </w:r>
      <w:r w:rsidR="7C2DB21D" w:rsidRPr="4DB5D255">
        <w:rPr>
          <w:b/>
          <w:bCs/>
          <w:color w:val="0A6AB4"/>
        </w:rPr>
        <w:t>intervention in gambling harm</w:t>
      </w:r>
      <w:r w:rsidR="000B1649">
        <w:rPr>
          <w:b/>
          <w:bCs/>
          <w:color w:val="0A6AB4"/>
        </w:rPr>
        <w:t xml:space="preserve"> </w:t>
      </w:r>
      <w:r w:rsidR="00B13AB1" w:rsidRPr="002B32BD">
        <w:t xml:space="preserve">by delivering a range of </w:t>
      </w:r>
      <w:r w:rsidR="6F4A50F2">
        <w:t>community-</w:t>
      </w:r>
      <w:r w:rsidR="00B13AB1" w:rsidRPr="002B32BD">
        <w:t xml:space="preserve">focused </w:t>
      </w:r>
      <w:r w:rsidR="0C60ACAD">
        <w:t>health promotion and early intervention</w:t>
      </w:r>
      <w:r w:rsidR="00B13AB1" w:rsidRPr="002B32BD">
        <w:t xml:space="preserve"> activities to prevent </w:t>
      </w:r>
      <w:r w:rsidR="66373EAA">
        <w:t xml:space="preserve">and mitigate </w:t>
      </w:r>
      <w:r w:rsidR="00B13AB1">
        <w:t>gambling</w:t>
      </w:r>
      <w:r w:rsidR="00B13AB1" w:rsidRPr="002B32BD">
        <w:t xml:space="preserve"> </w:t>
      </w:r>
      <w:r w:rsidR="00E4126D" w:rsidRPr="002B32BD">
        <w:t>harm.</w:t>
      </w:r>
    </w:p>
    <w:p w14:paraId="63AAAADE" w14:textId="0EB62F27" w:rsidR="00B13AB1" w:rsidRPr="002B32BD" w:rsidRDefault="00B13AB1" w:rsidP="00B13AB1">
      <w:pPr>
        <w:pStyle w:val="Bullet"/>
      </w:pPr>
      <w:r w:rsidRPr="00CB7B9E">
        <w:rPr>
          <w:b/>
          <w:bCs/>
          <w:color w:val="0A6AB4"/>
        </w:rPr>
        <w:t>improve effectiveness</w:t>
      </w:r>
      <w:r w:rsidRPr="00CB7B9E">
        <w:rPr>
          <w:color w:val="0A6AB4"/>
        </w:rPr>
        <w:t xml:space="preserve"> </w:t>
      </w:r>
      <w:r w:rsidRPr="002B32BD">
        <w:t xml:space="preserve">by </w:t>
      </w:r>
      <w:r w:rsidR="0FEC5D90">
        <w:t>developing a new data management system, commissioning a range of research and evaluation projects, undertaking an impact evaluation of the Strategy and developing a monitoring framework (as recommended by the Commission in its 2022 report)</w:t>
      </w:r>
      <w:r w:rsidR="002E04C8">
        <w:t>.</w:t>
      </w:r>
    </w:p>
    <w:p w14:paraId="2569FE29" w14:textId="77777777" w:rsidR="00B13AB1" w:rsidRDefault="00B13AB1" w:rsidP="00B13AB1"/>
    <w:p w14:paraId="57A369BB" w14:textId="778B015F" w:rsidR="00064C04" w:rsidRDefault="00484D62" w:rsidP="00064C04">
      <w:r>
        <w:t>As noted above, i</w:t>
      </w:r>
      <w:r w:rsidR="00064C04">
        <w:t>ntegration with p</w:t>
      </w:r>
      <w:r w:rsidR="00064C04" w:rsidRPr="007D0A71">
        <w:t xml:space="preserve">ublic health is a key </w:t>
      </w:r>
      <w:r w:rsidR="00064C04">
        <w:t xml:space="preserve">requirement </w:t>
      </w:r>
      <w:r w:rsidR="00064C04" w:rsidRPr="007D0A71">
        <w:t xml:space="preserve">of the </w:t>
      </w:r>
      <w:r w:rsidR="1FC6118B">
        <w:t>s</w:t>
      </w:r>
      <w:r w:rsidR="00064C04">
        <w:t xml:space="preserve">ervice </w:t>
      </w:r>
      <w:r w:rsidR="65139AF6">
        <w:t>p</w:t>
      </w:r>
      <w:r w:rsidR="00064C04">
        <w:t xml:space="preserve">lan. </w:t>
      </w:r>
      <w:r w:rsidR="00064C04" w:rsidRPr="008F5107">
        <w:t xml:space="preserve">The </w:t>
      </w:r>
      <w:r w:rsidR="2B896AB0">
        <w:t>s</w:t>
      </w:r>
      <w:r w:rsidR="00064C04">
        <w:t xml:space="preserve">ervice </w:t>
      </w:r>
      <w:r w:rsidR="0A012870">
        <w:t>p</w:t>
      </w:r>
      <w:r w:rsidR="00064C04" w:rsidRPr="008F5107">
        <w:t xml:space="preserve">lan follows a continuum-of-harm </w:t>
      </w:r>
      <w:r w:rsidR="00064C04">
        <w:t xml:space="preserve">model </w:t>
      </w:r>
      <w:r w:rsidR="00064C04" w:rsidRPr="008F5107">
        <w:t xml:space="preserve">that aligns the spectrum of gambling behaviour with </w:t>
      </w:r>
      <w:r>
        <w:t xml:space="preserve">proportionate </w:t>
      </w:r>
      <w:r w:rsidR="00064C04" w:rsidRPr="008F5107">
        <w:t xml:space="preserve">harm-reduction </w:t>
      </w:r>
      <w:r w:rsidR="00064C04">
        <w:t>and service response</w:t>
      </w:r>
      <w:r w:rsidR="006442D7">
        <w:t>s</w:t>
      </w:r>
      <w:r w:rsidR="00C75355">
        <w:t xml:space="preserve">. </w:t>
      </w:r>
      <w:r w:rsidR="00064C04" w:rsidRPr="00441FD8">
        <w:t>This recognises people experience varying levels of gambling harm, so a spectrum of responses is needed</w:t>
      </w:r>
      <w:r w:rsidR="00064C04" w:rsidRPr="00441FD8" w:rsidDel="00E12FB0">
        <w:t xml:space="preserve"> </w:t>
      </w:r>
      <w:r w:rsidR="00064C04" w:rsidRPr="00441FD8">
        <w:t>ranging from population-level promotion and prevention activities through to specialised interventions for individuals experiencing harm.</w:t>
      </w:r>
    </w:p>
    <w:p w14:paraId="6F382061" w14:textId="77777777" w:rsidR="007726B9" w:rsidRPr="008D5AF1" w:rsidRDefault="007726B9" w:rsidP="007726B9">
      <w:pPr>
        <w:pStyle w:val="Heading2"/>
      </w:pPr>
      <w:bookmarkStart w:id="24" w:name="_Toc197527587"/>
      <w:r>
        <w:t>B</w:t>
      </w:r>
      <w:r w:rsidRPr="008D5AF1">
        <w:t>udget for 2025/26 to 2027/28</w:t>
      </w:r>
      <w:bookmarkEnd w:id="24"/>
    </w:p>
    <w:p w14:paraId="7DA95952" w14:textId="2AC09F7C" w:rsidR="00EE4F37" w:rsidRDefault="00B13AB1" w:rsidP="00EE4F37">
      <w:pPr>
        <w:rPr>
          <w:highlight w:val="yellow"/>
        </w:rPr>
      </w:pPr>
      <w:r w:rsidRPr="00EE4F37">
        <w:t xml:space="preserve">The </w:t>
      </w:r>
      <w:r w:rsidR="0023407A" w:rsidRPr="00EE4F37">
        <w:t xml:space="preserve">full </w:t>
      </w:r>
      <w:r w:rsidRPr="00EE4F37">
        <w:t xml:space="preserve">package of investment </w:t>
      </w:r>
      <w:r w:rsidR="184A3674">
        <w:t xml:space="preserve">in the </w:t>
      </w:r>
      <w:r w:rsidR="681C9515">
        <w:t>s</w:t>
      </w:r>
      <w:r w:rsidR="184A3674">
        <w:t xml:space="preserve">ervice </w:t>
      </w:r>
      <w:r w:rsidR="78DE690E">
        <w:t>p</w:t>
      </w:r>
      <w:r w:rsidR="184A3674">
        <w:t>lan is</w:t>
      </w:r>
      <w:r w:rsidRPr="00EE4F37">
        <w:t xml:space="preserve"> costed at $</w:t>
      </w:r>
      <w:r w:rsidR="00EE4F37" w:rsidRPr="007D0A71">
        <w:t>8</w:t>
      </w:r>
      <w:r w:rsidR="00EE4F37" w:rsidRPr="00EE4F37">
        <w:t>1</w:t>
      </w:r>
      <w:r w:rsidRPr="00EE4F37">
        <w:t>.</w:t>
      </w:r>
      <w:r w:rsidR="00971E2D">
        <w:t>358</w:t>
      </w:r>
      <w:r w:rsidR="00971E2D" w:rsidRPr="00EE4F37">
        <w:t xml:space="preserve"> </w:t>
      </w:r>
      <w:r w:rsidRPr="00EE4F37">
        <w:t>million over the three years from 2025/26 to 2027/28, an increase of $5</w:t>
      </w:r>
      <w:r w:rsidR="00944B59" w:rsidRPr="00EE4F37">
        <w:t>.</w:t>
      </w:r>
      <w:r w:rsidR="00EE4F37" w:rsidRPr="007D0A71">
        <w:t>235</w:t>
      </w:r>
      <w:r w:rsidRPr="00EE4F37">
        <w:t xml:space="preserve"> million on the 2022/23 to 2024/25 budget</w:t>
      </w:r>
      <w:r w:rsidR="00A04C5A">
        <w:t xml:space="preserve">. This increase is funded </w:t>
      </w:r>
      <w:r w:rsidR="00E7709A">
        <w:t xml:space="preserve">from a </w:t>
      </w:r>
      <w:r w:rsidRPr="00EE4F37">
        <w:t>transfer of $5.2</w:t>
      </w:r>
      <w:r w:rsidR="00EE4F37" w:rsidRPr="007D0A71">
        <w:t>35</w:t>
      </w:r>
      <w:r w:rsidRPr="00EE4F37">
        <w:t xml:space="preserve"> million forecast cumulative underspend from the levy period ending on 30 June 2025</w:t>
      </w:r>
      <w:r w:rsidR="00FE50F1">
        <w:t>.</w:t>
      </w:r>
    </w:p>
    <w:p w14:paraId="4EA10386" w14:textId="77777777" w:rsidR="008A189B" w:rsidRDefault="008A189B" w:rsidP="008A189B"/>
    <w:p w14:paraId="2D36EB24" w14:textId="1ABC8E05" w:rsidR="00EE4F37" w:rsidRPr="00203AC9" w:rsidRDefault="00EE4F37" w:rsidP="008A189B">
      <w:r w:rsidRPr="00203AC9">
        <w:t xml:space="preserve">This level of funding is less than originally proposed. In </w:t>
      </w:r>
      <w:r w:rsidR="0012582D">
        <w:t>its</w:t>
      </w:r>
      <w:r w:rsidRPr="00203AC9">
        <w:t xml:space="preserve"> report to</w:t>
      </w:r>
      <w:r>
        <w:t xml:space="preserve"> </w:t>
      </w:r>
      <w:r w:rsidRPr="00203AC9">
        <w:t xml:space="preserve">responsible Ministers, the Gambling Commission </w:t>
      </w:r>
      <w:r>
        <w:t>stated it could not endorse a fund</w:t>
      </w:r>
      <w:r w:rsidRPr="00203AC9">
        <w:t xml:space="preserve">ing increase </w:t>
      </w:r>
      <w:r>
        <w:t xml:space="preserve">“in the absence of </w:t>
      </w:r>
      <w:r w:rsidRPr="00203AC9">
        <w:t>clear evidence of the benefit of existing expenditure and a compelling basis for the proposed increase</w:t>
      </w:r>
      <w:r>
        <w:t>”</w:t>
      </w:r>
      <w:r w:rsidRPr="00203AC9">
        <w:t xml:space="preserve">. The Commission recommended the budget remains at its current levy and supported the Ministry undertaking its planned impact evaluation of the </w:t>
      </w:r>
      <w:r w:rsidR="1920D4BC">
        <w:t>S</w:t>
      </w:r>
      <w:r w:rsidRPr="00203AC9">
        <w:t>trategy</w:t>
      </w:r>
      <w:r>
        <w:t xml:space="preserve">. </w:t>
      </w:r>
    </w:p>
    <w:p w14:paraId="30E85E2E" w14:textId="77777777" w:rsidR="008A189B" w:rsidRDefault="008A189B" w:rsidP="008A189B"/>
    <w:p w14:paraId="2EE78066" w14:textId="5D71E273" w:rsidR="00EE4F37" w:rsidRDefault="00EE4F37" w:rsidP="008A189B">
      <w:r w:rsidRPr="00203AC9">
        <w:t xml:space="preserve">The Government has carefully considered the Commission’s report and although </w:t>
      </w:r>
      <w:r w:rsidR="79786628">
        <w:t>we</w:t>
      </w:r>
      <w:r w:rsidRPr="00203AC9">
        <w:t xml:space="preserve"> </w:t>
      </w:r>
      <w:r w:rsidR="58272B8A">
        <w:t>note</w:t>
      </w:r>
      <w:r w:rsidRPr="00203AC9">
        <w:t xml:space="preserve"> </w:t>
      </w:r>
      <w:r w:rsidR="00971E2D" w:rsidRPr="00203AC9">
        <w:t>m</w:t>
      </w:r>
      <w:r w:rsidR="00971E2D">
        <w:t>any</w:t>
      </w:r>
      <w:r w:rsidR="00971E2D" w:rsidRPr="00203AC9">
        <w:t xml:space="preserve"> </w:t>
      </w:r>
      <w:r w:rsidRPr="00203AC9">
        <w:t xml:space="preserve">submissions supported a funding increase, </w:t>
      </w:r>
      <w:r w:rsidR="594FAF5E">
        <w:t>we have</w:t>
      </w:r>
      <w:r w:rsidR="00971E2D">
        <w:t xml:space="preserve"> </w:t>
      </w:r>
      <w:r w:rsidR="00FE50F1">
        <w:t xml:space="preserve">decided </w:t>
      </w:r>
      <w:r w:rsidR="00971E2D">
        <w:t>to keep</w:t>
      </w:r>
      <w:r w:rsidRPr="00203AC9">
        <w:t xml:space="preserve"> </w:t>
      </w:r>
      <w:r>
        <w:t xml:space="preserve">funding in line with </w:t>
      </w:r>
      <w:r w:rsidRPr="00203AC9">
        <w:t xml:space="preserve">current levels </w:t>
      </w:r>
      <w:r w:rsidR="00971E2D">
        <w:t xml:space="preserve">to enable the </w:t>
      </w:r>
      <w:r w:rsidR="6DB184DE">
        <w:t>S</w:t>
      </w:r>
      <w:r w:rsidR="00971E2D">
        <w:t xml:space="preserve">trategy impact evaluation to be completed. This will </w:t>
      </w:r>
      <w:r w:rsidR="004405CE">
        <w:t xml:space="preserve">also enable </w:t>
      </w:r>
      <w:r>
        <w:t xml:space="preserve">details of regulating </w:t>
      </w:r>
      <w:r w:rsidRPr="00203AC9">
        <w:t xml:space="preserve">new </w:t>
      </w:r>
      <w:r>
        <w:t xml:space="preserve">offshore </w:t>
      </w:r>
      <w:r w:rsidRPr="00203AC9">
        <w:t>online casino providers</w:t>
      </w:r>
      <w:r w:rsidR="004405CE">
        <w:t xml:space="preserve"> and implications for the levy</w:t>
      </w:r>
      <w:r>
        <w:t xml:space="preserve">, expected to </w:t>
      </w:r>
      <w:r w:rsidRPr="00203AC9">
        <w:t>commence in 2026</w:t>
      </w:r>
      <w:r>
        <w:t>/27</w:t>
      </w:r>
      <w:r w:rsidR="004405CE">
        <w:t>, to</w:t>
      </w:r>
      <w:r>
        <w:t xml:space="preserve"> become clear</w:t>
      </w:r>
      <w:r w:rsidRPr="00203AC9">
        <w:t>.</w:t>
      </w:r>
    </w:p>
    <w:p w14:paraId="75094A83" w14:textId="77777777" w:rsidR="008A189B" w:rsidRPr="00203AC9" w:rsidRDefault="008A189B" w:rsidP="008A189B"/>
    <w:p w14:paraId="02358500" w14:textId="007C83A6" w:rsidR="00EE4F37" w:rsidRDefault="00EE4F37" w:rsidP="008A189B">
      <w:r w:rsidRPr="00203AC9">
        <w:t xml:space="preserve">Although the </w:t>
      </w:r>
      <w:r w:rsidR="139DCE2B">
        <w:t>S</w:t>
      </w:r>
      <w:r w:rsidRPr="00203AC9">
        <w:t xml:space="preserve">trategy and levy are set </w:t>
      </w:r>
      <w:r>
        <w:t xml:space="preserve">to cover </w:t>
      </w:r>
      <w:r w:rsidRPr="00203AC9">
        <w:t xml:space="preserve">a three-year period, we anticipate the above factors would justify an early reconsideration of levy </w:t>
      </w:r>
      <w:r>
        <w:t xml:space="preserve">and </w:t>
      </w:r>
      <w:r w:rsidR="58EE9E9E">
        <w:t>S</w:t>
      </w:r>
      <w:r>
        <w:t xml:space="preserve">trategy </w:t>
      </w:r>
      <w:r w:rsidRPr="00203AC9">
        <w:t>funding</w:t>
      </w:r>
      <w:r w:rsidR="00A2684F">
        <w:t xml:space="preserve"> and it is likely this work will be completed in 2026/27</w:t>
      </w:r>
      <w:r w:rsidRPr="00203AC9">
        <w:t xml:space="preserve">. </w:t>
      </w:r>
    </w:p>
    <w:p w14:paraId="43D314C0" w14:textId="77777777" w:rsidR="008A189B" w:rsidRPr="00203AC9" w:rsidRDefault="008A189B" w:rsidP="008A189B"/>
    <w:p w14:paraId="36B2865E" w14:textId="5AC76C9C" w:rsidR="00B13AB1" w:rsidRDefault="00B13AB1" w:rsidP="008A189B">
      <w:r w:rsidRPr="003E7731">
        <w:t>Th</w:t>
      </w:r>
      <w:r w:rsidR="002D0489">
        <w:t xml:space="preserve">e confirmed </w:t>
      </w:r>
      <w:r w:rsidR="00D35E54">
        <w:t xml:space="preserve">level of </w:t>
      </w:r>
      <w:r w:rsidR="00D875C6">
        <w:t xml:space="preserve">funding </w:t>
      </w:r>
      <w:r>
        <w:t>w</w:t>
      </w:r>
      <w:r w:rsidRPr="003E7731">
        <w:t xml:space="preserve">ill maintain investment in </w:t>
      </w:r>
      <w:r w:rsidR="002D193E">
        <w:t>q</w:t>
      </w:r>
      <w:r w:rsidRPr="003E7731">
        <w:t xml:space="preserve">uality public health and </w:t>
      </w:r>
      <w:r w:rsidR="339DE40F">
        <w:t>treatment</w:t>
      </w:r>
      <w:r w:rsidRPr="003E7731">
        <w:t xml:space="preserve"> services, </w:t>
      </w:r>
      <w:r>
        <w:t>research and evaluation including:</w:t>
      </w:r>
    </w:p>
    <w:p w14:paraId="79D9967E" w14:textId="77777777" w:rsidR="00B13AB1" w:rsidRPr="008A189B" w:rsidRDefault="00B13AB1" w:rsidP="008A189B">
      <w:pPr>
        <w:pStyle w:val="Bullet"/>
      </w:pPr>
      <w:r w:rsidRPr="008A189B">
        <w:t xml:space="preserve">Expanding clinical services, both in terms of the type of service and population served (for example additional intensive support options) and by location (filling service gaps in areas that currently do not offer face-to-face services). In response to submissions additional funding has been allocated to address gaps in service coverage.  </w:t>
      </w:r>
    </w:p>
    <w:p w14:paraId="2B6F5184" w14:textId="77777777" w:rsidR="00B13AB1" w:rsidRPr="008A189B" w:rsidRDefault="00B13AB1" w:rsidP="008A189B">
      <w:pPr>
        <w:pStyle w:val="Bullet"/>
      </w:pPr>
      <w:r w:rsidRPr="008A189B">
        <w:lastRenderedPageBreak/>
        <w:t>Supporting workforce capacity and capability, to encourage new entrants to the gambling harm workforce and help retain existing workers (for both the peer and clinical workforces). In response to submissions, we have included additional funding to reinstate scholarships.</w:t>
      </w:r>
    </w:p>
    <w:p w14:paraId="6897049A" w14:textId="220F2DD7" w:rsidR="00B13AB1" w:rsidRPr="008A189B" w:rsidRDefault="00B13AB1" w:rsidP="008A189B">
      <w:pPr>
        <w:pStyle w:val="Bullet"/>
      </w:pPr>
      <w:r w:rsidRPr="008A189B">
        <w:t xml:space="preserve">Delivering a range of population-focused public health activities including health promotion, awareness and prevention </w:t>
      </w:r>
      <w:r w:rsidR="00CF7B28" w:rsidRPr="008A189B">
        <w:t>activities aimed at addressing the full range of harms experienced by people who gamble</w:t>
      </w:r>
      <w:r w:rsidR="00FE1CF7" w:rsidRPr="008A189B">
        <w:t>, including</w:t>
      </w:r>
      <w:r w:rsidR="00CF7B28" w:rsidRPr="008A189B">
        <w:t xml:space="preserve"> low risk gamblers and </w:t>
      </w:r>
      <w:r w:rsidR="00FE1CF7" w:rsidRPr="008A189B">
        <w:t xml:space="preserve">problem gamblers, </w:t>
      </w:r>
      <w:r w:rsidR="00CF7B28" w:rsidRPr="008A189B">
        <w:t>as well as the general population</w:t>
      </w:r>
      <w:r w:rsidRPr="008A189B">
        <w:t xml:space="preserve">. In response to </w:t>
      </w:r>
      <w:r w:rsidR="00FE1CF7" w:rsidRPr="008A189B">
        <w:t>submissions,</w:t>
      </w:r>
      <w:r w:rsidRPr="008A189B">
        <w:t xml:space="preserve"> we have included some additional funding to develop the interface between facial recognition technology and the MVE database.  </w:t>
      </w:r>
    </w:p>
    <w:p w14:paraId="04986503" w14:textId="15AE5851" w:rsidR="00B13AB1" w:rsidRPr="008A189B" w:rsidRDefault="00B13AB1" w:rsidP="008A189B">
      <w:pPr>
        <w:pStyle w:val="Bullet"/>
      </w:pPr>
      <w:r w:rsidRPr="008A189B">
        <w:t xml:space="preserve">Building system effectiveness through research and evaluation, including evaluation of </w:t>
      </w:r>
      <w:r w:rsidR="76917BC3" w:rsidRPr="008A189B">
        <w:t>treatment</w:t>
      </w:r>
      <w:r w:rsidRPr="008A189B">
        <w:t xml:space="preserve"> </w:t>
      </w:r>
      <w:r w:rsidR="006575A3" w:rsidRPr="008A189B">
        <w:t>and public he</w:t>
      </w:r>
      <w:r w:rsidR="00384F77" w:rsidRPr="008A189B">
        <w:t xml:space="preserve">alth </w:t>
      </w:r>
      <w:r w:rsidRPr="008A189B">
        <w:t>services, updating data collection systems</w:t>
      </w:r>
      <w:r w:rsidR="14D3CF22" w:rsidRPr="008A189B">
        <w:t>,</w:t>
      </w:r>
      <w:r w:rsidRPr="008A189B">
        <w:t xml:space="preserve"> an impact evaluation of the Strategy</w:t>
      </w:r>
      <w:r w:rsidR="002D193E" w:rsidRPr="008A189B">
        <w:t xml:space="preserve"> and </w:t>
      </w:r>
      <w:r w:rsidRPr="008A189B">
        <w:t xml:space="preserve">development </w:t>
      </w:r>
      <w:r w:rsidR="35096CE1" w:rsidRPr="008A189B">
        <w:t>of</w:t>
      </w:r>
      <w:r w:rsidRPr="008A189B">
        <w:t xml:space="preserve"> a monitoring framework for gambling har</w:t>
      </w:r>
      <w:r w:rsidR="00793C4D" w:rsidRPr="008A189B">
        <w:t>m.</w:t>
      </w:r>
    </w:p>
    <w:p w14:paraId="42B82FAA" w14:textId="77777777" w:rsidR="00B13AB1" w:rsidRPr="000012AD" w:rsidRDefault="00B13AB1" w:rsidP="00FD7201">
      <w:pPr>
        <w:pStyle w:val="Heading3"/>
      </w:pPr>
      <w:r w:rsidRPr="000012AD">
        <w:t>Proposed budget changes</w:t>
      </w:r>
    </w:p>
    <w:p w14:paraId="14112B85" w14:textId="2266D95C" w:rsidR="00B13AB1" w:rsidRPr="00995F8E" w:rsidRDefault="6A530F00" w:rsidP="008A189B">
      <w:r>
        <w:t>T</w:t>
      </w:r>
      <w:r w:rsidR="006D4A97" w:rsidRPr="00995F8E">
        <w:t>he</w:t>
      </w:r>
      <w:r w:rsidR="00B13AB1" w:rsidRPr="00995F8E">
        <w:t xml:space="preserve"> $</w:t>
      </w:r>
      <w:r w:rsidR="00E12FB0" w:rsidRPr="00995F8E">
        <w:t>5.235</w:t>
      </w:r>
      <w:r w:rsidR="00B13AB1" w:rsidRPr="00995F8E">
        <w:t xml:space="preserve"> million </w:t>
      </w:r>
      <w:r w:rsidR="00E12FB0" w:rsidRPr="00995F8E">
        <w:t xml:space="preserve">additional </w:t>
      </w:r>
      <w:r w:rsidR="00B13AB1" w:rsidRPr="00995F8E">
        <w:t xml:space="preserve">funding </w:t>
      </w:r>
      <w:r w:rsidR="00E12FB0" w:rsidRPr="00995F8E">
        <w:t>provided</w:t>
      </w:r>
      <w:r w:rsidR="58B086C6">
        <w:t xml:space="preserve"> over three years</w:t>
      </w:r>
      <w:r w:rsidR="00995F8E" w:rsidRPr="00995F8E">
        <w:t xml:space="preserve"> </w:t>
      </w:r>
      <w:r w:rsidR="008E2288" w:rsidRPr="00995F8E">
        <w:t>is</w:t>
      </w:r>
      <w:r w:rsidR="00B13AB1" w:rsidRPr="00995F8E">
        <w:t xml:space="preserve"> directed to </w:t>
      </w:r>
      <w:r w:rsidR="00995F8E" w:rsidRPr="00995F8E">
        <w:t xml:space="preserve">a combination of </w:t>
      </w:r>
      <w:r w:rsidR="00B13AB1" w:rsidRPr="00995F8E">
        <w:t>new services and interventions required in response to changes in the gambling environment</w:t>
      </w:r>
      <w:r w:rsidR="00995F8E" w:rsidRPr="00995F8E">
        <w:t>, as well as</w:t>
      </w:r>
      <w:r w:rsidR="00B13AB1" w:rsidRPr="00995F8E">
        <w:t xml:space="preserve"> to address a range of cost and volume pressures</w:t>
      </w:r>
      <w:r w:rsidR="00F829C8" w:rsidRPr="00995F8E">
        <w:t xml:space="preserve"> and fund the impact evaluation review</w:t>
      </w:r>
      <w:r w:rsidR="00B13AB1" w:rsidRPr="00995F8E">
        <w:t xml:space="preserve">. </w:t>
      </w:r>
    </w:p>
    <w:p w14:paraId="71BF4596" w14:textId="77777777" w:rsidR="00B13AB1" w:rsidRPr="00995F8E" w:rsidRDefault="00B13AB1" w:rsidP="008A189B"/>
    <w:p w14:paraId="25243C55" w14:textId="5EAD587D" w:rsidR="00E17BCD" w:rsidRDefault="00E17BCD" w:rsidP="008A189B">
      <w:r w:rsidRPr="00995F8E">
        <w:t xml:space="preserve">Most of the </w:t>
      </w:r>
      <w:r w:rsidR="00995F8E" w:rsidRPr="00995F8E">
        <w:t>new</w:t>
      </w:r>
      <w:r w:rsidRPr="00995F8E">
        <w:t xml:space="preserve"> funding is allocated to </w:t>
      </w:r>
      <w:r w:rsidR="00B13AB1" w:rsidRPr="00995F8E">
        <w:t xml:space="preserve">service promotion, building the gambling harm workforce including support for lived experience, extending </w:t>
      </w:r>
      <w:r w:rsidR="5862CBE8" w:rsidRPr="00995F8E">
        <w:t>treatment</w:t>
      </w:r>
      <w:r w:rsidR="00B13AB1" w:rsidRPr="00995F8E">
        <w:t xml:space="preserve"> services, </w:t>
      </w:r>
      <w:r w:rsidR="00D2342B">
        <w:t xml:space="preserve">and </w:t>
      </w:r>
      <w:r w:rsidR="00B13AB1" w:rsidRPr="00995F8E">
        <w:t xml:space="preserve">developing </w:t>
      </w:r>
      <w:r w:rsidR="2814E5F8">
        <w:t>an</w:t>
      </w:r>
      <w:r w:rsidR="00B13AB1" w:rsidRPr="00995F8E">
        <w:t xml:space="preserve"> online gambling exclusion system</w:t>
      </w:r>
      <w:r w:rsidR="00995F8E">
        <w:t>.</w:t>
      </w:r>
    </w:p>
    <w:p w14:paraId="02EC4809" w14:textId="77777777" w:rsidR="00E17BCD" w:rsidRDefault="00E17BCD" w:rsidP="008A189B"/>
    <w:p w14:paraId="51DD7524" w14:textId="194018EF" w:rsidR="00B13AB1" w:rsidRDefault="00E17BCD" w:rsidP="008A189B">
      <w:r>
        <w:t xml:space="preserve">A key </w:t>
      </w:r>
      <w:r w:rsidR="1D447439">
        <w:t xml:space="preserve">role of </w:t>
      </w:r>
      <w:r w:rsidR="00E4126D">
        <w:t>this service</w:t>
      </w:r>
      <w:r>
        <w:t xml:space="preserve"> plan </w:t>
      </w:r>
      <w:r w:rsidR="754357ED">
        <w:t xml:space="preserve">is </w:t>
      </w:r>
      <w:r w:rsidR="74DE713F">
        <w:t>to set</w:t>
      </w:r>
      <w:r w:rsidR="754357ED">
        <w:t xml:space="preserve"> the foundation for</w:t>
      </w:r>
      <w:r w:rsidR="5796D624">
        <w:t xml:space="preserve"> a more informed and </w:t>
      </w:r>
      <w:r w:rsidR="3FAE25E2">
        <w:t>effective</w:t>
      </w:r>
      <w:r w:rsidR="5796D624">
        <w:t xml:space="preserve"> approach in future </w:t>
      </w:r>
      <w:r w:rsidR="1A35FE83">
        <w:t>by funding</w:t>
      </w:r>
      <w:r w:rsidR="005D0336">
        <w:t xml:space="preserve"> </w:t>
      </w:r>
      <w:r w:rsidR="348540EF">
        <w:t>the</w:t>
      </w:r>
      <w:r>
        <w:t xml:space="preserve"> impact evaluation of the whole </w:t>
      </w:r>
      <w:r w:rsidR="520CF49D">
        <w:t>S</w:t>
      </w:r>
      <w:r w:rsidR="00B13AB1">
        <w:t>trategy</w:t>
      </w:r>
      <w:r>
        <w:t>,</w:t>
      </w:r>
      <w:r w:rsidR="00B13AB1">
        <w:t xml:space="preserve"> develop</w:t>
      </w:r>
      <w:r w:rsidR="60F00720">
        <w:t>ment of</w:t>
      </w:r>
      <w:r w:rsidR="00B13AB1">
        <w:t xml:space="preserve"> a sector monitoring framework</w:t>
      </w:r>
      <w:r>
        <w:t xml:space="preserve"> and updat</w:t>
      </w:r>
      <w:r w:rsidR="567F2C4B">
        <w:t>ing</w:t>
      </w:r>
      <w:r>
        <w:t xml:space="preserve"> the data collection and management system</w:t>
      </w:r>
      <w:r w:rsidR="00B13AB1">
        <w:t xml:space="preserve">. </w:t>
      </w:r>
    </w:p>
    <w:p w14:paraId="680AB7E2" w14:textId="309566D5" w:rsidR="00B13AB1" w:rsidRDefault="00B13AB1" w:rsidP="007D0A71">
      <w:pPr>
        <w:spacing w:before="240"/>
        <w:rPr>
          <w:rFonts w:eastAsia="Lucida Sans Unicode"/>
        </w:rPr>
      </w:pPr>
      <w:r w:rsidRPr="00CB7B9E">
        <w:rPr>
          <w:b/>
          <w:bCs/>
        </w:rPr>
        <w:t>Table 1</w:t>
      </w:r>
      <w:r w:rsidRPr="009D6C01">
        <w:t xml:space="preserve"> shows the indicative cost of services and activities by strategic priority for the 2025/26 to 2027/28 levy period</w:t>
      </w:r>
      <w:r>
        <w:t xml:space="preserve">, along with a </w:t>
      </w:r>
      <w:r>
        <w:rPr>
          <w:rFonts w:eastAsia="Lucida Sans Unicode"/>
        </w:rPr>
        <w:t xml:space="preserve">summary of the </w:t>
      </w:r>
      <w:r w:rsidR="6EB2D364" w:rsidRPr="7A56C437">
        <w:rPr>
          <w:rFonts w:eastAsia="Lucida Sans Unicode"/>
        </w:rPr>
        <w:t>S</w:t>
      </w:r>
      <w:r w:rsidRPr="7A56C437">
        <w:rPr>
          <w:rFonts w:eastAsia="Lucida Sans Unicode"/>
        </w:rPr>
        <w:t xml:space="preserve">ervice </w:t>
      </w:r>
      <w:r w:rsidR="63E363D0" w:rsidRPr="7A56C437">
        <w:rPr>
          <w:rFonts w:eastAsia="Lucida Sans Unicode"/>
        </w:rPr>
        <w:t>P</w:t>
      </w:r>
      <w:r>
        <w:rPr>
          <w:rFonts w:eastAsia="Lucida Sans Unicode"/>
        </w:rPr>
        <w:t>lan proposals.</w:t>
      </w:r>
    </w:p>
    <w:p w14:paraId="7E3D4ECF" w14:textId="77777777" w:rsidR="00B13AB1" w:rsidRDefault="00B13AB1" w:rsidP="00B13AB1">
      <w:pPr>
        <w:rPr>
          <w:rFonts w:eastAsia="Lucida Sans Unicode"/>
        </w:rPr>
      </w:pPr>
    </w:p>
    <w:p w14:paraId="1105691E" w14:textId="2882DBED" w:rsidR="00B13AB1" w:rsidRDefault="00B13AB1" w:rsidP="00B13AB1">
      <w:pPr>
        <w:rPr>
          <w:rFonts w:eastAsia="Lucida Sans Unicode"/>
        </w:rPr>
      </w:pPr>
      <w:r>
        <w:rPr>
          <w:rFonts w:eastAsia="Lucida Sans Unicode"/>
        </w:rPr>
        <w:t xml:space="preserve">Further information about the </w:t>
      </w:r>
      <w:r w:rsidR="58C23DC0" w:rsidRPr="7A56C437">
        <w:rPr>
          <w:rFonts w:eastAsia="Lucida Sans Unicode"/>
        </w:rPr>
        <w:t>S</w:t>
      </w:r>
      <w:r w:rsidRPr="7A56C437">
        <w:rPr>
          <w:rFonts w:eastAsia="Lucida Sans Unicode"/>
        </w:rPr>
        <w:t xml:space="preserve">ervice </w:t>
      </w:r>
      <w:r w:rsidR="7D9AE5DA" w:rsidRPr="7A56C437">
        <w:rPr>
          <w:rFonts w:eastAsia="Lucida Sans Unicode"/>
        </w:rPr>
        <w:t>P</w:t>
      </w:r>
      <w:r>
        <w:rPr>
          <w:rFonts w:eastAsia="Lucida Sans Unicode"/>
        </w:rPr>
        <w:t xml:space="preserve">lan and budget, including detailed descriptions of the proposed services and rationale, is included in </w:t>
      </w:r>
      <w:r w:rsidRPr="003A6F51">
        <w:rPr>
          <w:rFonts w:eastAsia="Lucida Sans Unicode"/>
          <w:b/>
          <w:bCs/>
        </w:rPr>
        <w:t>Appendix Five</w:t>
      </w:r>
      <w:r w:rsidRPr="00444C88">
        <w:rPr>
          <w:rFonts w:eastAsia="Lucida Sans Unicode"/>
        </w:rPr>
        <w:t xml:space="preserve"> </w:t>
      </w:r>
      <w:r>
        <w:rPr>
          <w:rFonts w:eastAsia="Lucida Sans Unicode"/>
        </w:rPr>
        <w:t>in</w:t>
      </w:r>
      <w:r w:rsidRPr="00444C88">
        <w:rPr>
          <w:rFonts w:eastAsia="Lucida Sans Unicode"/>
        </w:rPr>
        <w:t xml:space="preserve"> the </w:t>
      </w:r>
      <w:r>
        <w:rPr>
          <w:rFonts w:eastAsia="Lucida Sans Unicode"/>
        </w:rPr>
        <w:t>A</w:t>
      </w:r>
      <w:r w:rsidRPr="00444C88">
        <w:rPr>
          <w:rFonts w:eastAsia="Lucida Sans Unicode"/>
        </w:rPr>
        <w:t>ppendices document</w:t>
      </w:r>
      <w:r w:rsidR="008D5A49">
        <w:rPr>
          <w:rFonts w:eastAsia="Lucida Sans Unicode"/>
        </w:rPr>
        <w:t xml:space="preserve">, </w:t>
      </w:r>
      <w:r w:rsidR="008D5A49">
        <w:t>which also show a comparison with existing funding levels where relevant</w:t>
      </w:r>
      <w:r w:rsidRPr="00444C88">
        <w:rPr>
          <w:rFonts w:eastAsia="Lucida Sans Unicode"/>
        </w:rPr>
        <w:t>.</w:t>
      </w:r>
      <w:r>
        <w:rPr>
          <w:rFonts w:eastAsia="Lucida Sans Unicode"/>
        </w:rPr>
        <w:t xml:space="preserve"> </w:t>
      </w:r>
    </w:p>
    <w:p w14:paraId="179E5893" w14:textId="77777777" w:rsidR="00B13AB1" w:rsidRPr="005D455A" w:rsidRDefault="00B13AB1" w:rsidP="00B13AB1">
      <w:pPr>
        <w:rPr>
          <w:rFonts w:eastAsia="Lucida Sans Unicode"/>
        </w:rPr>
      </w:pPr>
    </w:p>
    <w:p w14:paraId="30B8CD7B" w14:textId="77777777" w:rsidR="00B13AB1" w:rsidRDefault="00B13AB1" w:rsidP="00B13AB1"/>
    <w:p w14:paraId="3CAFA580" w14:textId="77777777" w:rsidR="00B13AB1" w:rsidRDefault="00B13AB1" w:rsidP="00B13AB1">
      <w:pPr>
        <w:sectPr w:rsidR="00B13AB1" w:rsidSect="004825BB">
          <w:footerReference w:type="default" r:id="rId25"/>
          <w:pgSz w:w="11907" w:h="16840" w:code="9"/>
          <w:pgMar w:top="1418" w:right="1701" w:bottom="1134" w:left="1843" w:header="284" w:footer="425" w:gutter="284"/>
          <w:cols w:space="720"/>
        </w:sectPr>
      </w:pPr>
    </w:p>
    <w:p w14:paraId="396CF3B8" w14:textId="7101D509" w:rsidR="00B13AB1" w:rsidRPr="008A189B" w:rsidRDefault="00B13AB1" w:rsidP="008A189B">
      <w:pPr>
        <w:pStyle w:val="Table"/>
        <w:rPr>
          <w:rFonts w:eastAsia="Lucida Sans Unicode"/>
        </w:rPr>
      </w:pPr>
      <w:bookmarkStart w:id="25" w:name="_Toc197527597"/>
      <w:r w:rsidRPr="008A189B">
        <w:lastRenderedPageBreak/>
        <w:t xml:space="preserve">Table </w:t>
      </w:r>
      <w:r>
        <w:fldChar w:fldCharType="begin"/>
      </w:r>
      <w:r>
        <w:instrText xml:space="preserve"> SEQ Table \* ARABIC </w:instrText>
      </w:r>
      <w:r>
        <w:fldChar w:fldCharType="separate"/>
      </w:r>
      <w:r w:rsidR="00066AB5">
        <w:rPr>
          <w:noProof/>
        </w:rPr>
        <w:t>1</w:t>
      </w:r>
      <w:r>
        <w:fldChar w:fldCharType="end"/>
      </w:r>
      <w:r w:rsidRPr="008A189B">
        <w:t>: Summary of service plan and b</w:t>
      </w:r>
      <w:r w:rsidRPr="008A189B">
        <w:rPr>
          <w:rFonts w:eastAsia="Lucida Sans Unicode"/>
        </w:rPr>
        <w:t xml:space="preserve">udget to prevent and minimise gambling harm (in $ millions – GST exclusive), 2025/26 to </w:t>
      </w:r>
      <w:proofErr w:type="gramStart"/>
      <w:r w:rsidRPr="008A189B">
        <w:rPr>
          <w:rFonts w:eastAsia="Lucida Sans Unicode"/>
        </w:rPr>
        <w:t>2027/28</w:t>
      </w:r>
      <w:bookmarkEnd w:id="25"/>
      <w:proofErr w:type="gramEnd"/>
    </w:p>
    <w:tbl>
      <w:tblPr>
        <w:tblStyle w:val="TableGrid"/>
        <w:tblW w:w="14034"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560"/>
        <w:gridCol w:w="992"/>
        <w:gridCol w:w="992"/>
        <w:gridCol w:w="993"/>
        <w:gridCol w:w="992"/>
        <w:gridCol w:w="8363"/>
        <w:gridCol w:w="142"/>
      </w:tblGrid>
      <w:tr w:rsidR="00B13AB1" w:rsidRPr="003F085C" w14:paraId="4DBAD14F" w14:textId="77777777" w:rsidTr="00CB7B9E">
        <w:trPr>
          <w:trHeight w:val="300"/>
          <w:tblHeader/>
        </w:trPr>
        <w:tc>
          <w:tcPr>
            <w:tcW w:w="1560" w:type="dxa"/>
            <w:tcBorders>
              <w:top w:val="nil"/>
              <w:bottom w:val="nil"/>
            </w:tcBorders>
            <w:shd w:val="clear" w:color="auto" w:fill="D9D9D9" w:themeFill="background1" w:themeFillShade="D9"/>
          </w:tcPr>
          <w:p w14:paraId="23CEB9FB" w14:textId="77777777" w:rsidR="00B13AB1" w:rsidRPr="003F085C" w:rsidRDefault="00B13AB1" w:rsidP="00860EAD">
            <w:pPr>
              <w:pStyle w:val="TableText"/>
              <w:spacing w:before="40" w:after="40"/>
              <w:rPr>
                <w:rFonts w:cs="Segoe UI"/>
                <w:b/>
                <w:bCs/>
                <w:sz w:val="17"/>
                <w:szCs w:val="17"/>
              </w:rPr>
            </w:pPr>
            <w:r w:rsidRPr="003F085C">
              <w:rPr>
                <w:rFonts w:cs="Segoe UI"/>
                <w:b/>
                <w:bCs/>
                <w:sz w:val="17"/>
                <w:szCs w:val="17"/>
              </w:rPr>
              <w:t>Priority</w:t>
            </w:r>
          </w:p>
        </w:tc>
        <w:tc>
          <w:tcPr>
            <w:tcW w:w="992" w:type="dxa"/>
            <w:tcBorders>
              <w:top w:val="nil"/>
              <w:bottom w:val="nil"/>
            </w:tcBorders>
            <w:shd w:val="clear" w:color="auto" w:fill="D9D9D9" w:themeFill="background1" w:themeFillShade="D9"/>
          </w:tcPr>
          <w:p w14:paraId="4CC18762" w14:textId="77777777" w:rsidR="00B13AB1" w:rsidRPr="003F085C" w:rsidRDefault="00B13AB1" w:rsidP="00860EAD">
            <w:pPr>
              <w:pStyle w:val="TableText"/>
              <w:spacing w:before="40" w:after="40"/>
              <w:jc w:val="right"/>
              <w:rPr>
                <w:rFonts w:cs="Segoe UI"/>
                <w:b/>
                <w:bCs/>
                <w:sz w:val="17"/>
                <w:szCs w:val="17"/>
              </w:rPr>
            </w:pPr>
            <w:r w:rsidRPr="003F085C">
              <w:rPr>
                <w:rFonts w:eastAsia="Calibri" w:cs="Segoe UI"/>
                <w:b/>
                <w:bCs/>
                <w:sz w:val="17"/>
                <w:szCs w:val="17"/>
              </w:rPr>
              <w:t>2025/26</w:t>
            </w:r>
          </w:p>
        </w:tc>
        <w:tc>
          <w:tcPr>
            <w:tcW w:w="992" w:type="dxa"/>
            <w:tcBorders>
              <w:top w:val="nil"/>
              <w:bottom w:val="nil"/>
            </w:tcBorders>
            <w:shd w:val="clear" w:color="auto" w:fill="D9D9D9" w:themeFill="background1" w:themeFillShade="D9"/>
          </w:tcPr>
          <w:p w14:paraId="37739318" w14:textId="77777777" w:rsidR="00B13AB1" w:rsidRPr="003F085C" w:rsidRDefault="00B13AB1" w:rsidP="00860EAD">
            <w:pPr>
              <w:pStyle w:val="TableText"/>
              <w:spacing w:before="40" w:after="40"/>
              <w:jc w:val="right"/>
              <w:rPr>
                <w:rFonts w:cs="Segoe UI"/>
                <w:b/>
                <w:bCs/>
                <w:sz w:val="17"/>
                <w:szCs w:val="17"/>
              </w:rPr>
            </w:pPr>
            <w:r w:rsidRPr="003F085C">
              <w:rPr>
                <w:rFonts w:eastAsia="Calibri" w:cs="Segoe UI"/>
                <w:b/>
                <w:bCs/>
                <w:sz w:val="17"/>
                <w:szCs w:val="17"/>
              </w:rPr>
              <w:t>2026/27</w:t>
            </w:r>
          </w:p>
        </w:tc>
        <w:tc>
          <w:tcPr>
            <w:tcW w:w="993" w:type="dxa"/>
            <w:tcBorders>
              <w:top w:val="nil"/>
              <w:bottom w:val="nil"/>
            </w:tcBorders>
            <w:shd w:val="clear" w:color="auto" w:fill="D9D9D9" w:themeFill="background1" w:themeFillShade="D9"/>
          </w:tcPr>
          <w:p w14:paraId="67DEC70C" w14:textId="77777777" w:rsidR="00B13AB1" w:rsidRPr="003F085C" w:rsidRDefault="00B13AB1" w:rsidP="00860EAD">
            <w:pPr>
              <w:pStyle w:val="TableText"/>
              <w:spacing w:before="40" w:after="40"/>
              <w:jc w:val="right"/>
              <w:rPr>
                <w:rFonts w:cs="Segoe UI"/>
                <w:b/>
                <w:bCs/>
                <w:sz w:val="17"/>
                <w:szCs w:val="17"/>
              </w:rPr>
            </w:pPr>
            <w:r w:rsidRPr="003F085C">
              <w:rPr>
                <w:rFonts w:eastAsia="Calibri" w:cs="Segoe UI"/>
                <w:b/>
                <w:bCs/>
                <w:sz w:val="17"/>
                <w:szCs w:val="17"/>
              </w:rPr>
              <w:t>2027/28</w:t>
            </w:r>
          </w:p>
        </w:tc>
        <w:tc>
          <w:tcPr>
            <w:tcW w:w="992" w:type="dxa"/>
            <w:tcBorders>
              <w:top w:val="nil"/>
              <w:bottom w:val="nil"/>
            </w:tcBorders>
            <w:shd w:val="clear" w:color="auto" w:fill="D9D9D9" w:themeFill="background1" w:themeFillShade="D9"/>
          </w:tcPr>
          <w:p w14:paraId="68871490" w14:textId="77777777" w:rsidR="00B13AB1" w:rsidRPr="003F085C" w:rsidRDefault="00B13AB1" w:rsidP="00860EAD">
            <w:pPr>
              <w:pStyle w:val="TableText"/>
              <w:spacing w:before="40" w:after="40"/>
              <w:jc w:val="right"/>
              <w:rPr>
                <w:rFonts w:cs="Segoe UI"/>
                <w:b/>
                <w:bCs/>
                <w:sz w:val="17"/>
                <w:szCs w:val="17"/>
              </w:rPr>
            </w:pPr>
            <w:r w:rsidRPr="003F085C">
              <w:rPr>
                <w:rFonts w:eastAsia="Calibri" w:cs="Segoe UI"/>
                <w:b/>
                <w:bCs/>
                <w:sz w:val="17"/>
                <w:szCs w:val="17"/>
              </w:rPr>
              <w:t>Total</w:t>
            </w:r>
          </w:p>
        </w:tc>
        <w:tc>
          <w:tcPr>
            <w:tcW w:w="8505" w:type="dxa"/>
            <w:gridSpan w:val="2"/>
            <w:tcBorders>
              <w:top w:val="nil"/>
              <w:bottom w:val="nil"/>
            </w:tcBorders>
            <w:shd w:val="clear" w:color="auto" w:fill="D9D9D9" w:themeFill="background1" w:themeFillShade="D9"/>
          </w:tcPr>
          <w:p w14:paraId="212CC629" w14:textId="77777777" w:rsidR="00B13AB1" w:rsidRPr="003F085C" w:rsidRDefault="00B13AB1" w:rsidP="00860EAD">
            <w:pPr>
              <w:pStyle w:val="TableText"/>
              <w:spacing w:before="40" w:after="40"/>
              <w:rPr>
                <w:rFonts w:eastAsia="Calibri" w:cs="Segoe UI"/>
                <w:b/>
                <w:bCs/>
                <w:sz w:val="17"/>
                <w:szCs w:val="17"/>
              </w:rPr>
            </w:pPr>
            <w:r w:rsidRPr="00C91E4B">
              <w:rPr>
                <w:rFonts w:eastAsia="Calibri" w:cs="Segoe UI"/>
                <w:b/>
                <w:bCs/>
                <w:sz w:val="17"/>
                <w:szCs w:val="17"/>
              </w:rPr>
              <w:t>Summary of service plan commitments</w:t>
            </w:r>
          </w:p>
        </w:tc>
      </w:tr>
      <w:tr w:rsidR="00B13AB1" w:rsidRPr="003F085C" w14:paraId="47663C06" w14:textId="77777777" w:rsidTr="00CB7B9E">
        <w:trPr>
          <w:trHeight w:val="300"/>
        </w:trPr>
        <w:tc>
          <w:tcPr>
            <w:tcW w:w="1560" w:type="dxa"/>
            <w:tcBorders>
              <w:top w:val="nil"/>
              <w:bottom w:val="single" w:sz="4" w:space="0" w:color="auto"/>
            </w:tcBorders>
            <w:vAlign w:val="center"/>
          </w:tcPr>
          <w:p w14:paraId="12FCA94E" w14:textId="77777777" w:rsidR="00B13AB1" w:rsidRPr="003F085C" w:rsidRDefault="00B13AB1" w:rsidP="00860EAD">
            <w:pPr>
              <w:pStyle w:val="TableText"/>
              <w:spacing w:before="40" w:after="40"/>
              <w:rPr>
                <w:rFonts w:cs="Segoe UI"/>
                <w:b/>
                <w:bCs/>
                <w:sz w:val="17"/>
                <w:szCs w:val="17"/>
              </w:rPr>
            </w:pPr>
            <w:r w:rsidRPr="003F085C">
              <w:rPr>
                <w:rFonts w:eastAsia="Calibri" w:cs="Segoe UI"/>
                <w:b/>
                <w:bCs/>
                <w:sz w:val="17"/>
                <w:szCs w:val="17"/>
              </w:rPr>
              <w:t xml:space="preserve">Increase access to gambling harm support </w:t>
            </w:r>
          </w:p>
        </w:tc>
        <w:tc>
          <w:tcPr>
            <w:tcW w:w="992" w:type="dxa"/>
            <w:tcBorders>
              <w:top w:val="nil"/>
              <w:left w:val="nil"/>
              <w:bottom w:val="single" w:sz="4" w:space="0" w:color="auto"/>
              <w:right w:val="nil"/>
            </w:tcBorders>
            <w:shd w:val="clear" w:color="auto" w:fill="auto"/>
            <w:vAlign w:val="bottom"/>
          </w:tcPr>
          <w:p w14:paraId="38E3F2D8" w14:textId="776FF6B3" w:rsidR="009A29EB" w:rsidRPr="008A189B" w:rsidRDefault="00E13D7C" w:rsidP="00E13D7C">
            <w:pPr>
              <w:pStyle w:val="TableText"/>
              <w:spacing w:before="40" w:after="40"/>
              <w:jc w:val="right"/>
              <w:rPr>
                <w:rFonts w:eastAsia="Arial" w:cs="Segoe UI"/>
                <w:sz w:val="17"/>
                <w:szCs w:val="17"/>
              </w:rPr>
            </w:pPr>
            <w:r w:rsidRPr="008A189B">
              <w:rPr>
                <w:rFonts w:cs="Segoe UI"/>
                <w:color w:val="000000"/>
                <w:sz w:val="17"/>
                <w:szCs w:val="17"/>
              </w:rPr>
              <w:t>11.250</w:t>
            </w:r>
          </w:p>
          <w:p w14:paraId="1BA01110"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nil"/>
              <w:left w:val="nil"/>
              <w:bottom w:val="single" w:sz="4" w:space="0" w:color="auto"/>
              <w:right w:val="nil"/>
            </w:tcBorders>
            <w:shd w:val="clear" w:color="auto" w:fill="auto"/>
            <w:vAlign w:val="bottom"/>
          </w:tcPr>
          <w:p w14:paraId="6DD53ABC" w14:textId="48EF1504" w:rsidR="009A29EB" w:rsidRPr="008A189B" w:rsidRDefault="00E13D7C" w:rsidP="00E13D7C">
            <w:pPr>
              <w:pStyle w:val="TableText"/>
              <w:spacing w:before="40" w:after="40"/>
              <w:jc w:val="right"/>
              <w:rPr>
                <w:rFonts w:eastAsia="Arial" w:cs="Segoe UI"/>
                <w:sz w:val="17"/>
                <w:szCs w:val="17"/>
              </w:rPr>
            </w:pPr>
            <w:r w:rsidRPr="008A189B">
              <w:rPr>
                <w:rFonts w:cs="Segoe UI"/>
                <w:color w:val="000000"/>
                <w:sz w:val="17"/>
                <w:szCs w:val="17"/>
              </w:rPr>
              <w:t>11.544</w:t>
            </w:r>
          </w:p>
          <w:p w14:paraId="3AD79E4C" w14:textId="77777777" w:rsidR="00B13AB1" w:rsidRPr="008A189B" w:rsidRDefault="00B13AB1" w:rsidP="00860EAD">
            <w:pPr>
              <w:pStyle w:val="TableText"/>
              <w:spacing w:before="40" w:after="40"/>
              <w:jc w:val="right"/>
              <w:rPr>
                <w:rFonts w:eastAsia="Arial" w:cs="Segoe UI"/>
                <w:sz w:val="17"/>
                <w:szCs w:val="17"/>
              </w:rPr>
            </w:pPr>
          </w:p>
        </w:tc>
        <w:tc>
          <w:tcPr>
            <w:tcW w:w="993" w:type="dxa"/>
            <w:tcBorders>
              <w:top w:val="nil"/>
              <w:left w:val="nil"/>
              <w:bottom w:val="single" w:sz="4" w:space="0" w:color="auto"/>
              <w:right w:val="nil"/>
            </w:tcBorders>
            <w:shd w:val="clear" w:color="auto" w:fill="auto"/>
            <w:vAlign w:val="bottom"/>
          </w:tcPr>
          <w:p w14:paraId="70983602" w14:textId="241B6F51" w:rsidR="009A29EB" w:rsidRPr="008A189B" w:rsidRDefault="00E13D7C" w:rsidP="00E13D7C">
            <w:pPr>
              <w:pStyle w:val="TableText"/>
              <w:spacing w:before="40" w:after="40"/>
              <w:jc w:val="right"/>
              <w:rPr>
                <w:rFonts w:eastAsia="Arial" w:cs="Segoe UI"/>
                <w:sz w:val="17"/>
                <w:szCs w:val="17"/>
              </w:rPr>
            </w:pPr>
            <w:r w:rsidRPr="008A189B">
              <w:rPr>
                <w:rFonts w:cs="Segoe UI"/>
                <w:color w:val="000000"/>
                <w:sz w:val="17"/>
                <w:szCs w:val="17"/>
              </w:rPr>
              <w:t>11.797</w:t>
            </w:r>
          </w:p>
          <w:p w14:paraId="515B5F68"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nil"/>
              <w:left w:val="nil"/>
              <w:bottom w:val="single" w:sz="4" w:space="0" w:color="auto"/>
              <w:right w:val="single" w:sz="4" w:space="0" w:color="auto"/>
            </w:tcBorders>
            <w:shd w:val="clear" w:color="auto" w:fill="auto"/>
            <w:vAlign w:val="bottom"/>
          </w:tcPr>
          <w:p w14:paraId="0652C16F" w14:textId="096C3354" w:rsidR="009A29EB" w:rsidRPr="008A189B" w:rsidRDefault="00E13D7C" w:rsidP="00E13D7C">
            <w:pPr>
              <w:pStyle w:val="TableText"/>
              <w:spacing w:before="40" w:after="40"/>
              <w:jc w:val="right"/>
              <w:rPr>
                <w:rFonts w:eastAsia="Arial" w:cs="Segoe UI"/>
                <w:b/>
                <w:bCs/>
                <w:sz w:val="17"/>
                <w:szCs w:val="17"/>
              </w:rPr>
            </w:pPr>
            <w:r w:rsidRPr="008A189B">
              <w:rPr>
                <w:rFonts w:cs="Segoe UI"/>
                <w:b/>
                <w:bCs/>
                <w:color w:val="000000"/>
                <w:sz w:val="17"/>
                <w:szCs w:val="17"/>
              </w:rPr>
              <w:t>34.591</w:t>
            </w:r>
          </w:p>
          <w:p w14:paraId="62AE5C9F" w14:textId="77777777" w:rsidR="00B13AB1" w:rsidRPr="008A189B" w:rsidRDefault="00B13AB1" w:rsidP="00860EAD">
            <w:pPr>
              <w:pStyle w:val="TableText"/>
              <w:spacing w:before="40" w:after="40"/>
              <w:jc w:val="right"/>
              <w:rPr>
                <w:rFonts w:eastAsia="Arial" w:cs="Segoe UI"/>
                <w:b/>
                <w:sz w:val="17"/>
                <w:szCs w:val="17"/>
              </w:rPr>
            </w:pPr>
          </w:p>
        </w:tc>
        <w:tc>
          <w:tcPr>
            <w:tcW w:w="8505" w:type="dxa"/>
            <w:gridSpan w:val="2"/>
            <w:tcBorders>
              <w:top w:val="nil"/>
              <w:bottom w:val="single" w:sz="4" w:space="0" w:color="auto"/>
            </w:tcBorders>
          </w:tcPr>
          <w:p w14:paraId="0714C1A3" w14:textId="47290AFA" w:rsidR="00E90CCC" w:rsidRPr="003F085C" w:rsidRDefault="00B13AB1" w:rsidP="00E90CCC">
            <w:pPr>
              <w:pStyle w:val="TableBullet"/>
              <w:spacing w:before="40" w:after="40"/>
              <w:rPr>
                <w:rFonts w:cs="Segoe UI"/>
                <w:sz w:val="17"/>
                <w:szCs w:val="17"/>
              </w:rPr>
            </w:pPr>
            <w:r w:rsidRPr="003F085C">
              <w:rPr>
                <w:rFonts w:cs="Segoe UI"/>
                <w:sz w:val="17"/>
                <w:szCs w:val="17"/>
              </w:rPr>
              <w:t xml:space="preserve">Invest in ongoing delivery and improvement of </w:t>
            </w:r>
            <w:r w:rsidR="78C60230" w:rsidRPr="00A70917">
              <w:rPr>
                <w:rFonts w:cs="Segoe UI"/>
                <w:sz w:val="17"/>
                <w:szCs w:val="17"/>
              </w:rPr>
              <w:t>treatment</w:t>
            </w:r>
            <w:r w:rsidRPr="00A70917">
              <w:rPr>
                <w:rFonts w:cs="Segoe UI"/>
                <w:sz w:val="17"/>
                <w:szCs w:val="17"/>
              </w:rPr>
              <w:t xml:space="preserve"> services including filling regional gaps.</w:t>
            </w:r>
            <w:r w:rsidRPr="003F085C">
              <w:rPr>
                <w:rFonts w:cs="Segoe UI"/>
                <w:sz w:val="17"/>
                <w:szCs w:val="17"/>
              </w:rPr>
              <w:t xml:space="preserve"> </w:t>
            </w:r>
          </w:p>
          <w:p w14:paraId="56243DDD" w14:textId="337FFB53" w:rsidR="00B13AB1" w:rsidRPr="003F085C" w:rsidRDefault="00B13AB1" w:rsidP="00E90CCC">
            <w:pPr>
              <w:pStyle w:val="TableBullet"/>
              <w:spacing w:before="40" w:after="40"/>
              <w:rPr>
                <w:rFonts w:cs="Segoe UI"/>
                <w:sz w:val="17"/>
                <w:szCs w:val="17"/>
              </w:rPr>
            </w:pPr>
            <w:r w:rsidRPr="003F085C">
              <w:rPr>
                <w:rFonts w:cs="Segoe UI"/>
                <w:sz w:val="17"/>
                <w:szCs w:val="17"/>
              </w:rPr>
              <w:t xml:space="preserve">Services offerings include dedicated </w:t>
            </w:r>
            <w:proofErr w:type="spellStart"/>
            <w:r w:rsidRPr="003F085C">
              <w:rPr>
                <w:rFonts w:cs="Segoe UI"/>
                <w:sz w:val="17"/>
                <w:szCs w:val="17"/>
              </w:rPr>
              <w:t>hauora</w:t>
            </w:r>
            <w:proofErr w:type="spellEnd"/>
            <w:r w:rsidRPr="003F085C">
              <w:rPr>
                <w:rFonts w:cs="Segoe UI"/>
                <w:sz w:val="17"/>
                <w:szCs w:val="17"/>
              </w:rPr>
              <w:t xml:space="preserve"> Māori intervention services, as well as services based on Pacific and Asian world views and expertise, as well</w:t>
            </w:r>
            <w:r w:rsidR="0045277F">
              <w:rPr>
                <w:rFonts w:cs="Segoe UI"/>
                <w:sz w:val="17"/>
                <w:szCs w:val="17"/>
              </w:rPr>
              <w:t xml:space="preserve"> </w:t>
            </w:r>
            <w:r w:rsidRPr="003F085C">
              <w:rPr>
                <w:rFonts w:cs="Segoe UI"/>
                <w:sz w:val="17"/>
                <w:szCs w:val="17"/>
              </w:rPr>
              <w:t>the intensive support coordination service.</w:t>
            </w:r>
          </w:p>
        </w:tc>
      </w:tr>
      <w:tr w:rsidR="00B13AB1" w:rsidRPr="003F085C" w14:paraId="1062FFF7" w14:textId="77777777" w:rsidTr="00CB7B9E">
        <w:trPr>
          <w:gridAfter w:val="1"/>
          <w:wAfter w:w="142" w:type="dxa"/>
          <w:trHeight w:val="300"/>
        </w:trPr>
        <w:tc>
          <w:tcPr>
            <w:tcW w:w="1560" w:type="dxa"/>
            <w:tcBorders>
              <w:top w:val="single" w:sz="4" w:space="0" w:color="auto"/>
              <w:bottom w:val="single" w:sz="4" w:space="0" w:color="auto"/>
            </w:tcBorders>
            <w:vAlign w:val="center"/>
          </w:tcPr>
          <w:p w14:paraId="38198BDF" w14:textId="77777777" w:rsidR="00B13AB1" w:rsidRPr="003F085C" w:rsidRDefault="00B13AB1" w:rsidP="00860EAD">
            <w:pPr>
              <w:pStyle w:val="TableText"/>
              <w:spacing w:before="40" w:after="40"/>
              <w:rPr>
                <w:rFonts w:cs="Segoe UI"/>
                <w:b/>
                <w:bCs/>
                <w:sz w:val="17"/>
                <w:szCs w:val="17"/>
              </w:rPr>
            </w:pPr>
            <w:r w:rsidRPr="003F085C">
              <w:rPr>
                <w:rFonts w:eastAsia="Arial" w:cs="Segoe UI"/>
                <w:b/>
                <w:bCs/>
                <w:sz w:val="17"/>
                <w:szCs w:val="17"/>
              </w:rPr>
              <w:t>Grow</w:t>
            </w:r>
            <w:r w:rsidRPr="003F085C">
              <w:rPr>
                <w:rFonts w:eastAsia="Calibri" w:cs="Segoe UI"/>
                <w:b/>
                <w:bCs/>
                <w:sz w:val="17"/>
                <w:szCs w:val="17"/>
              </w:rPr>
              <w:t xml:space="preserve"> the gambling harm workforce</w:t>
            </w:r>
          </w:p>
        </w:tc>
        <w:tc>
          <w:tcPr>
            <w:tcW w:w="992" w:type="dxa"/>
            <w:tcBorders>
              <w:top w:val="single" w:sz="4" w:space="0" w:color="auto"/>
              <w:left w:val="nil"/>
              <w:bottom w:val="single" w:sz="4" w:space="0" w:color="auto"/>
              <w:right w:val="nil"/>
            </w:tcBorders>
            <w:shd w:val="clear" w:color="auto" w:fill="auto"/>
            <w:vAlign w:val="bottom"/>
          </w:tcPr>
          <w:p w14:paraId="76E6D8FE" w14:textId="51D38BE6" w:rsidR="009A29EB" w:rsidRPr="008A189B" w:rsidRDefault="00D20230" w:rsidP="00D20230">
            <w:pPr>
              <w:pStyle w:val="TableText"/>
              <w:spacing w:before="40" w:after="40"/>
              <w:jc w:val="right"/>
              <w:rPr>
                <w:rFonts w:cs="Segoe UI"/>
                <w:color w:val="000000"/>
                <w:sz w:val="17"/>
                <w:szCs w:val="17"/>
              </w:rPr>
            </w:pPr>
            <w:r w:rsidRPr="008A189B">
              <w:rPr>
                <w:rFonts w:cs="Segoe UI"/>
                <w:color w:val="000000"/>
                <w:sz w:val="17"/>
                <w:szCs w:val="17"/>
              </w:rPr>
              <w:t>0.690</w:t>
            </w:r>
          </w:p>
          <w:p w14:paraId="7BDA179E" w14:textId="77777777" w:rsidR="009A29EB" w:rsidRPr="008A189B" w:rsidRDefault="009A29EB" w:rsidP="00D20230">
            <w:pPr>
              <w:pStyle w:val="TableText"/>
              <w:spacing w:before="40" w:after="40"/>
              <w:jc w:val="right"/>
              <w:rPr>
                <w:rFonts w:eastAsia="Arial" w:cs="Segoe UI"/>
                <w:sz w:val="17"/>
                <w:szCs w:val="17"/>
              </w:rPr>
            </w:pPr>
          </w:p>
          <w:p w14:paraId="01973F4C"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single" w:sz="4" w:space="0" w:color="auto"/>
              <w:left w:val="nil"/>
              <w:bottom w:val="single" w:sz="4" w:space="0" w:color="auto"/>
              <w:right w:val="nil"/>
            </w:tcBorders>
            <w:shd w:val="clear" w:color="auto" w:fill="auto"/>
            <w:vAlign w:val="bottom"/>
          </w:tcPr>
          <w:p w14:paraId="58D009DB" w14:textId="48DAD1C4" w:rsidR="009A29EB" w:rsidRPr="008A189B" w:rsidRDefault="00D20230" w:rsidP="00D20230">
            <w:pPr>
              <w:pStyle w:val="TableText"/>
              <w:spacing w:before="40" w:after="40"/>
              <w:jc w:val="right"/>
              <w:rPr>
                <w:rFonts w:cs="Segoe UI"/>
                <w:color w:val="000000"/>
                <w:sz w:val="17"/>
                <w:szCs w:val="17"/>
              </w:rPr>
            </w:pPr>
            <w:r w:rsidRPr="008A189B">
              <w:rPr>
                <w:rFonts w:cs="Segoe UI"/>
                <w:color w:val="000000"/>
                <w:sz w:val="17"/>
                <w:szCs w:val="17"/>
              </w:rPr>
              <w:t>0.690</w:t>
            </w:r>
          </w:p>
          <w:p w14:paraId="39BFA743" w14:textId="77777777" w:rsidR="009A29EB" w:rsidRPr="008A189B" w:rsidRDefault="009A29EB" w:rsidP="00D20230">
            <w:pPr>
              <w:pStyle w:val="TableText"/>
              <w:spacing w:before="40" w:after="40"/>
              <w:jc w:val="right"/>
              <w:rPr>
                <w:rFonts w:eastAsia="Arial" w:cs="Segoe UI"/>
                <w:sz w:val="17"/>
                <w:szCs w:val="17"/>
              </w:rPr>
            </w:pPr>
          </w:p>
          <w:p w14:paraId="091223B6" w14:textId="77777777" w:rsidR="00B13AB1" w:rsidRPr="008A189B" w:rsidRDefault="00B13AB1" w:rsidP="00860EAD">
            <w:pPr>
              <w:pStyle w:val="TableText"/>
              <w:spacing w:before="40" w:after="40"/>
              <w:jc w:val="right"/>
              <w:rPr>
                <w:rFonts w:eastAsia="Arial" w:cs="Segoe UI"/>
                <w:sz w:val="17"/>
                <w:szCs w:val="17"/>
              </w:rPr>
            </w:pPr>
          </w:p>
        </w:tc>
        <w:tc>
          <w:tcPr>
            <w:tcW w:w="993" w:type="dxa"/>
            <w:tcBorders>
              <w:top w:val="single" w:sz="4" w:space="0" w:color="auto"/>
              <w:left w:val="nil"/>
              <w:bottom w:val="single" w:sz="4" w:space="0" w:color="auto"/>
              <w:right w:val="nil"/>
            </w:tcBorders>
            <w:shd w:val="clear" w:color="auto" w:fill="auto"/>
            <w:vAlign w:val="bottom"/>
          </w:tcPr>
          <w:p w14:paraId="7668CF8A" w14:textId="3E74C463" w:rsidR="009A29EB" w:rsidRPr="008A189B" w:rsidRDefault="00D20230" w:rsidP="00D20230">
            <w:pPr>
              <w:pStyle w:val="TableText"/>
              <w:spacing w:before="40" w:after="40"/>
              <w:jc w:val="right"/>
              <w:rPr>
                <w:rFonts w:cs="Segoe UI"/>
                <w:color w:val="000000"/>
                <w:sz w:val="17"/>
                <w:szCs w:val="17"/>
              </w:rPr>
            </w:pPr>
            <w:r w:rsidRPr="008A189B">
              <w:rPr>
                <w:rFonts w:cs="Segoe UI"/>
                <w:color w:val="000000"/>
                <w:sz w:val="17"/>
                <w:szCs w:val="17"/>
              </w:rPr>
              <w:t>0.940</w:t>
            </w:r>
          </w:p>
          <w:p w14:paraId="7C0D99D9" w14:textId="77777777" w:rsidR="009A29EB" w:rsidRPr="008A189B" w:rsidRDefault="009A29EB" w:rsidP="00D20230">
            <w:pPr>
              <w:pStyle w:val="TableText"/>
              <w:spacing w:before="40" w:after="40"/>
              <w:jc w:val="right"/>
              <w:rPr>
                <w:rFonts w:eastAsia="Arial" w:cs="Segoe UI"/>
                <w:sz w:val="17"/>
                <w:szCs w:val="17"/>
              </w:rPr>
            </w:pPr>
          </w:p>
          <w:p w14:paraId="0B724DF2"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2AFC3B9" w14:textId="4F67945C" w:rsidR="009A29EB" w:rsidRPr="008A189B" w:rsidRDefault="00D20230" w:rsidP="00D20230">
            <w:pPr>
              <w:pStyle w:val="TableText"/>
              <w:spacing w:before="40" w:after="40"/>
              <w:jc w:val="right"/>
              <w:rPr>
                <w:rFonts w:cs="Segoe UI"/>
                <w:b/>
                <w:bCs/>
                <w:color w:val="000000"/>
                <w:sz w:val="17"/>
                <w:szCs w:val="17"/>
              </w:rPr>
            </w:pPr>
            <w:r w:rsidRPr="008A189B">
              <w:rPr>
                <w:rFonts w:cs="Segoe UI"/>
                <w:b/>
                <w:bCs/>
                <w:color w:val="000000"/>
                <w:sz w:val="17"/>
                <w:szCs w:val="17"/>
              </w:rPr>
              <w:t>2.320</w:t>
            </w:r>
          </w:p>
          <w:p w14:paraId="41ABADF7" w14:textId="77777777" w:rsidR="009A29EB" w:rsidRPr="008A189B" w:rsidRDefault="009A29EB" w:rsidP="00D20230">
            <w:pPr>
              <w:pStyle w:val="TableText"/>
              <w:spacing w:before="40" w:after="40"/>
              <w:jc w:val="right"/>
              <w:rPr>
                <w:rFonts w:eastAsia="Arial" w:cs="Segoe UI"/>
                <w:b/>
                <w:bCs/>
                <w:sz w:val="17"/>
                <w:szCs w:val="17"/>
              </w:rPr>
            </w:pPr>
          </w:p>
          <w:p w14:paraId="7DBBA2ED" w14:textId="77777777" w:rsidR="00B13AB1" w:rsidRPr="008A189B" w:rsidRDefault="00B13AB1" w:rsidP="00860EAD">
            <w:pPr>
              <w:pStyle w:val="TableText"/>
              <w:spacing w:before="40" w:after="40"/>
              <w:jc w:val="right"/>
              <w:rPr>
                <w:rFonts w:eastAsia="Arial" w:cs="Segoe UI"/>
                <w:b/>
                <w:sz w:val="17"/>
                <w:szCs w:val="17"/>
              </w:rPr>
            </w:pPr>
          </w:p>
        </w:tc>
        <w:tc>
          <w:tcPr>
            <w:tcW w:w="8363" w:type="dxa"/>
            <w:tcBorders>
              <w:top w:val="single" w:sz="4" w:space="0" w:color="auto"/>
              <w:bottom w:val="single" w:sz="4" w:space="0" w:color="auto"/>
            </w:tcBorders>
          </w:tcPr>
          <w:p w14:paraId="1E1C6725" w14:textId="4B094FEE" w:rsidR="00B13AB1" w:rsidRPr="00A70917" w:rsidRDefault="00E451C1" w:rsidP="00B13AB1">
            <w:pPr>
              <w:pStyle w:val="TableBullet"/>
              <w:spacing w:before="40" w:after="40"/>
              <w:rPr>
                <w:rFonts w:cs="Segoe UI"/>
                <w:sz w:val="17"/>
                <w:szCs w:val="17"/>
              </w:rPr>
            </w:pPr>
            <w:r>
              <w:rPr>
                <w:rFonts w:cs="Segoe UI"/>
                <w:sz w:val="17"/>
                <w:szCs w:val="17"/>
              </w:rPr>
              <w:t>G</w:t>
            </w:r>
            <w:r w:rsidR="2BF60B59" w:rsidRPr="00C91E4B">
              <w:rPr>
                <w:rFonts w:cs="Segoe UI"/>
                <w:sz w:val="17"/>
                <w:szCs w:val="17"/>
              </w:rPr>
              <w:t xml:space="preserve">rowing the gambling harm workforce by improving training </w:t>
            </w:r>
            <w:r w:rsidR="4B582361" w:rsidRPr="7A56C437">
              <w:rPr>
                <w:rFonts w:cs="Segoe UI"/>
                <w:sz w:val="17"/>
                <w:szCs w:val="17"/>
              </w:rPr>
              <w:t>content, internships</w:t>
            </w:r>
            <w:r w:rsidR="2BF60B59" w:rsidRPr="00C91E4B">
              <w:rPr>
                <w:rFonts w:cs="Segoe UI"/>
                <w:sz w:val="17"/>
                <w:szCs w:val="17"/>
              </w:rPr>
              <w:t xml:space="preserve"> and scholarships, and initiatives to retain and attract </w:t>
            </w:r>
            <w:r w:rsidR="00C37E51" w:rsidRPr="00C91E4B">
              <w:rPr>
                <w:rFonts w:cs="Segoe UI"/>
                <w:sz w:val="17"/>
                <w:szCs w:val="17"/>
              </w:rPr>
              <w:t>staff (</w:t>
            </w:r>
            <w:r w:rsidR="2BF60B59" w:rsidRPr="00C91E4B">
              <w:rPr>
                <w:rFonts w:cs="Segoe UI"/>
                <w:sz w:val="17"/>
                <w:szCs w:val="17"/>
              </w:rPr>
              <w:t>both peer and clinical)</w:t>
            </w:r>
          </w:p>
          <w:p w14:paraId="4AEF10B9" w14:textId="77777777" w:rsidR="00B13AB1" w:rsidRPr="00A70917" w:rsidRDefault="00B13AB1" w:rsidP="00B13AB1">
            <w:pPr>
              <w:pStyle w:val="TableBullet"/>
              <w:spacing w:before="40" w:after="40"/>
              <w:rPr>
                <w:rFonts w:cs="Segoe UI"/>
                <w:sz w:val="17"/>
                <w:szCs w:val="17"/>
              </w:rPr>
            </w:pPr>
            <w:r w:rsidRPr="00A70917">
              <w:rPr>
                <w:rFonts w:cs="Segoe UI"/>
                <w:sz w:val="17"/>
                <w:szCs w:val="17"/>
              </w:rPr>
              <w:t>Develop gambling-harm content for a New Zealand Qualification Authority (NZQA) Level 7 qualification.</w:t>
            </w:r>
          </w:p>
          <w:p w14:paraId="506154E2" w14:textId="77777777" w:rsidR="00B13AB1" w:rsidRPr="003F085C" w:rsidRDefault="00B13AB1" w:rsidP="00B13AB1">
            <w:pPr>
              <w:pStyle w:val="TableBullet"/>
              <w:spacing w:before="40" w:after="40"/>
              <w:rPr>
                <w:rFonts w:cs="Segoe UI"/>
                <w:sz w:val="17"/>
                <w:szCs w:val="17"/>
              </w:rPr>
            </w:pPr>
            <w:r w:rsidRPr="00A70917">
              <w:rPr>
                <w:rFonts w:cs="Segoe UI"/>
                <w:sz w:val="17"/>
                <w:szCs w:val="17"/>
                <w:shd w:val="clear" w:color="auto" w:fill="FFFFFF" w:themeFill="background1"/>
              </w:rPr>
              <w:t>Invest in clinical internships to support students to complete practicum requirements to become fully registered addiction practitioners</w:t>
            </w:r>
            <w:r w:rsidRPr="003F085C">
              <w:rPr>
                <w:rFonts w:cs="Segoe UI"/>
                <w:sz w:val="17"/>
                <w:szCs w:val="17"/>
              </w:rPr>
              <w:t xml:space="preserve">. </w:t>
            </w:r>
          </w:p>
          <w:p w14:paraId="41024D79" w14:textId="77777777" w:rsidR="00B13AB1" w:rsidRPr="003F085C" w:rsidRDefault="00B13AB1" w:rsidP="00B13AB1">
            <w:pPr>
              <w:pStyle w:val="TableBullet"/>
              <w:spacing w:before="40" w:after="40"/>
              <w:rPr>
                <w:rFonts w:cs="Segoe UI"/>
                <w:sz w:val="17"/>
                <w:szCs w:val="17"/>
              </w:rPr>
            </w:pPr>
            <w:r w:rsidRPr="00321673">
              <w:rPr>
                <w:rFonts w:cs="Segoe UI"/>
                <w:sz w:val="17"/>
                <w:szCs w:val="17"/>
              </w:rPr>
              <w:t>Ongoing professional</w:t>
            </w:r>
            <w:r w:rsidRPr="003F085C">
              <w:rPr>
                <w:rFonts w:cs="Segoe UI"/>
                <w:sz w:val="17"/>
                <w:szCs w:val="17"/>
              </w:rPr>
              <w:t xml:space="preserve"> development for the existing workforce.</w:t>
            </w:r>
          </w:p>
        </w:tc>
      </w:tr>
      <w:tr w:rsidR="00B13AB1" w:rsidRPr="003F085C" w14:paraId="225F53D7" w14:textId="77777777" w:rsidTr="00CB7B9E">
        <w:trPr>
          <w:gridAfter w:val="1"/>
          <w:wAfter w:w="142" w:type="dxa"/>
          <w:trHeight w:val="300"/>
        </w:trPr>
        <w:tc>
          <w:tcPr>
            <w:tcW w:w="1560" w:type="dxa"/>
            <w:tcBorders>
              <w:top w:val="single" w:sz="4" w:space="0" w:color="auto"/>
              <w:bottom w:val="single" w:sz="4" w:space="0" w:color="auto"/>
            </w:tcBorders>
            <w:vAlign w:val="center"/>
          </w:tcPr>
          <w:p w14:paraId="41025483" w14:textId="77777777" w:rsidR="00B13AB1" w:rsidRPr="003F085C" w:rsidRDefault="00B13AB1" w:rsidP="00860EAD">
            <w:pPr>
              <w:pStyle w:val="TableText"/>
              <w:spacing w:before="40" w:after="40"/>
              <w:rPr>
                <w:rFonts w:cs="Segoe UI"/>
                <w:b/>
                <w:bCs/>
                <w:sz w:val="17"/>
                <w:szCs w:val="17"/>
              </w:rPr>
            </w:pPr>
            <w:r w:rsidRPr="003F085C">
              <w:rPr>
                <w:rFonts w:eastAsia="Arial" w:cs="Segoe UI"/>
                <w:b/>
                <w:bCs/>
                <w:sz w:val="17"/>
                <w:szCs w:val="17"/>
              </w:rPr>
              <w:t xml:space="preserve">Strengthen </w:t>
            </w:r>
            <w:r w:rsidRPr="003F085C">
              <w:rPr>
                <w:rFonts w:eastAsia="Calibri" w:cs="Segoe UI"/>
                <w:b/>
                <w:bCs/>
                <w:sz w:val="17"/>
                <w:szCs w:val="17"/>
              </w:rPr>
              <w:t>the focus on the prevention of and early intervention in gambling harm</w:t>
            </w:r>
          </w:p>
        </w:tc>
        <w:tc>
          <w:tcPr>
            <w:tcW w:w="992" w:type="dxa"/>
            <w:tcBorders>
              <w:top w:val="single" w:sz="4" w:space="0" w:color="auto"/>
              <w:left w:val="nil"/>
              <w:bottom w:val="single" w:sz="4" w:space="0" w:color="auto"/>
              <w:right w:val="nil"/>
            </w:tcBorders>
            <w:shd w:val="clear" w:color="auto" w:fill="auto"/>
            <w:vAlign w:val="bottom"/>
          </w:tcPr>
          <w:p w14:paraId="45329FD5" w14:textId="4AE5DC99" w:rsidR="009A29EB" w:rsidRPr="008A189B" w:rsidRDefault="001F5FE2" w:rsidP="001F5FE2">
            <w:pPr>
              <w:pStyle w:val="TableText"/>
              <w:spacing w:before="40" w:after="40"/>
              <w:jc w:val="right"/>
              <w:rPr>
                <w:rFonts w:cs="Segoe UI"/>
                <w:color w:val="000000"/>
                <w:sz w:val="17"/>
                <w:szCs w:val="17"/>
              </w:rPr>
            </w:pPr>
            <w:r w:rsidRPr="008A189B">
              <w:rPr>
                <w:rFonts w:cs="Segoe UI"/>
                <w:color w:val="000000"/>
                <w:sz w:val="17"/>
                <w:szCs w:val="17"/>
              </w:rPr>
              <w:t>9.208</w:t>
            </w:r>
          </w:p>
          <w:p w14:paraId="3D3F512C" w14:textId="77777777" w:rsidR="009A29EB" w:rsidRPr="008A189B" w:rsidRDefault="009A29EB" w:rsidP="001F5FE2">
            <w:pPr>
              <w:pStyle w:val="TableText"/>
              <w:spacing w:before="40" w:after="40"/>
              <w:jc w:val="right"/>
              <w:rPr>
                <w:rFonts w:eastAsia="Arial" w:cs="Segoe UI"/>
                <w:color w:val="000000"/>
                <w:sz w:val="17"/>
                <w:szCs w:val="17"/>
              </w:rPr>
            </w:pPr>
          </w:p>
          <w:p w14:paraId="2593297B" w14:textId="77777777" w:rsidR="009A29EB" w:rsidRPr="008A189B" w:rsidRDefault="009A29EB" w:rsidP="001F5FE2">
            <w:pPr>
              <w:pStyle w:val="TableText"/>
              <w:spacing w:before="40" w:after="40"/>
              <w:jc w:val="right"/>
              <w:rPr>
                <w:rFonts w:eastAsia="Arial" w:cs="Segoe UI"/>
                <w:color w:val="000000"/>
                <w:sz w:val="17"/>
                <w:szCs w:val="17"/>
              </w:rPr>
            </w:pPr>
          </w:p>
          <w:p w14:paraId="157E53DF" w14:textId="77777777" w:rsidR="009A29EB" w:rsidRPr="008A189B" w:rsidRDefault="009A29EB" w:rsidP="001F5FE2">
            <w:pPr>
              <w:pStyle w:val="TableText"/>
              <w:spacing w:before="40" w:after="40"/>
              <w:jc w:val="right"/>
              <w:rPr>
                <w:rFonts w:eastAsia="Arial" w:cs="Segoe UI"/>
                <w:sz w:val="17"/>
                <w:szCs w:val="17"/>
              </w:rPr>
            </w:pPr>
          </w:p>
          <w:p w14:paraId="06EB56ED"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single" w:sz="4" w:space="0" w:color="auto"/>
              <w:left w:val="nil"/>
              <w:bottom w:val="single" w:sz="4" w:space="0" w:color="auto"/>
              <w:right w:val="nil"/>
            </w:tcBorders>
            <w:shd w:val="clear" w:color="auto" w:fill="auto"/>
            <w:vAlign w:val="bottom"/>
          </w:tcPr>
          <w:p w14:paraId="392F998D" w14:textId="01E20057" w:rsidR="009A29EB" w:rsidRPr="008A189B" w:rsidRDefault="001F5FE2" w:rsidP="001F5FE2">
            <w:pPr>
              <w:pStyle w:val="TableText"/>
              <w:spacing w:before="40" w:after="40"/>
              <w:jc w:val="right"/>
              <w:rPr>
                <w:rFonts w:cs="Segoe UI"/>
                <w:color w:val="000000"/>
                <w:sz w:val="17"/>
                <w:szCs w:val="17"/>
              </w:rPr>
            </w:pPr>
            <w:r w:rsidRPr="008A189B">
              <w:rPr>
                <w:rFonts w:cs="Segoe UI"/>
                <w:color w:val="000000"/>
                <w:sz w:val="17"/>
                <w:szCs w:val="17"/>
              </w:rPr>
              <w:t>9.633</w:t>
            </w:r>
          </w:p>
          <w:p w14:paraId="3E6095EA" w14:textId="77777777" w:rsidR="009A29EB" w:rsidRPr="008A189B" w:rsidRDefault="009A29EB" w:rsidP="001F5FE2">
            <w:pPr>
              <w:pStyle w:val="TableText"/>
              <w:spacing w:before="40" w:after="40"/>
              <w:jc w:val="right"/>
              <w:rPr>
                <w:rFonts w:eastAsia="Arial" w:cs="Segoe UI"/>
                <w:color w:val="000000"/>
                <w:sz w:val="17"/>
                <w:szCs w:val="17"/>
              </w:rPr>
            </w:pPr>
          </w:p>
          <w:p w14:paraId="2BB25DDB" w14:textId="77777777" w:rsidR="009A29EB" w:rsidRPr="008A189B" w:rsidRDefault="009A29EB" w:rsidP="001F5FE2">
            <w:pPr>
              <w:pStyle w:val="TableText"/>
              <w:spacing w:before="40" w:after="40"/>
              <w:jc w:val="right"/>
              <w:rPr>
                <w:rFonts w:eastAsia="Arial" w:cs="Segoe UI"/>
                <w:color w:val="000000"/>
                <w:sz w:val="17"/>
                <w:szCs w:val="17"/>
              </w:rPr>
            </w:pPr>
          </w:p>
          <w:p w14:paraId="4704E0CC" w14:textId="77777777" w:rsidR="009A29EB" w:rsidRPr="008A189B" w:rsidRDefault="009A29EB" w:rsidP="001F5FE2">
            <w:pPr>
              <w:pStyle w:val="TableText"/>
              <w:spacing w:before="40" w:after="40"/>
              <w:jc w:val="right"/>
              <w:rPr>
                <w:rFonts w:eastAsia="Arial" w:cs="Segoe UI"/>
                <w:sz w:val="17"/>
                <w:szCs w:val="17"/>
              </w:rPr>
            </w:pPr>
          </w:p>
          <w:p w14:paraId="587AFF1F" w14:textId="77777777" w:rsidR="00B13AB1" w:rsidRPr="008A189B" w:rsidRDefault="00B13AB1" w:rsidP="00860EAD">
            <w:pPr>
              <w:pStyle w:val="TableText"/>
              <w:spacing w:before="40" w:after="40"/>
              <w:jc w:val="right"/>
              <w:rPr>
                <w:rFonts w:eastAsia="Arial" w:cs="Segoe UI"/>
                <w:sz w:val="17"/>
                <w:szCs w:val="17"/>
              </w:rPr>
            </w:pPr>
          </w:p>
        </w:tc>
        <w:tc>
          <w:tcPr>
            <w:tcW w:w="993" w:type="dxa"/>
            <w:tcBorders>
              <w:top w:val="single" w:sz="4" w:space="0" w:color="auto"/>
              <w:left w:val="nil"/>
              <w:bottom w:val="single" w:sz="4" w:space="0" w:color="auto"/>
              <w:right w:val="nil"/>
            </w:tcBorders>
            <w:shd w:val="clear" w:color="auto" w:fill="auto"/>
            <w:vAlign w:val="bottom"/>
          </w:tcPr>
          <w:p w14:paraId="571C3EE0" w14:textId="4070E4F2" w:rsidR="009A29EB" w:rsidRPr="008A189B" w:rsidRDefault="001F5FE2" w:rsidP="001F5FE2">
            <w:pPr>
              <w:pStyle w:val="TableText"/>
              <w:spacing w:before="40" w:after="40"/>
              <w:jc w:val="right"/>
              <w:rPr>
                <w:rFonts w:cs="Segoe UI"/>
                <w:color w:val="000000"/>
                <w:sz w:val="17"/>
                <w:szCs w:val="17"/>
              </w:rPr>
            </w:pPr>
            <w:r w:rsidRPr="008A189B">
              <w:rPr>
                <w:rFonts w:cs="Segoe UI"/>
                <w:color w:val="000000"/>
                <w:sz w:val="17"/>
                <w:szCs w:val="17"/>
              </w:rPr>
              <w:t>9.780</w:t>
            </w:r>
          </w:p>
          <w:p w14:paraId="5236B53A" w14:textId="77777777" w:rsidR="009A29EB" w:rsidRPr="008A189B" w:rsidRDefault="009A29EB" w:rsidP="001F5FE2">
            <w:pPr>
              <w:pStyle w:val="TableText"/>
              <w:spacing w:before="40" w:after="40"/>
              <w:jc w:val="right"/>
              <w:rPr>
                <w:rFonts w:eastAsia="Arial" w:cs="Segoe UI"/>
                <w:color w:val="000000"/>
                <w:sz w:val="17"/>
                <w:szCs w:val="17"/>
              </w:rPr>
            </w:pPr>
          </w:p>
          <w:p w14:paraId="2C4A621F" w14:textId="77777777" w:rsidR="009A29EB" w:rsidRPr="008A189B" w:rsidRDefault="009A29EB" w:rsidP="001F5FE2">
            <w:pPr>
              <w:pStyle w:val="TableText"/>
              <w:spacing w:before="40" w:after="40"/>
              <w:jc w:val="right"/>
              <w:rPr>
                <w:rFonts w:eastAsia="Arial" w:cs="Segoe UI"/>
                <w:color w:val="000000"/>
                <w:sz w:val="17"/>
                <w:szCs w:val="17"/>
              </w:rPr>
            </w:pPr>
          </w:p>
          <w:p w14:paraId="02BA91CC" w14:textId="77777777" w:rsidR="009A29EB" w:rsidRPr="008A189B" w:rsidRDefault="009A29EB" w:rsidP="001F5FE2">
            <w:pPr>
              <w:pStyle w:val="TableText"/>
              <w:spacing w:before="40" w:after="40"/>
              <w:jc w:val="right"/>
              <w:rPr>
                <w:rFonts w:eastAsia="Arial" w:cs="Segoe UI"/>
                <w:sz w:val="17"/>
                <w:szCs w:val="17"/>
              </w:rPr>
            </w:pPr>
          </w:p>
          <w:p w14:paraId="027FF7E6"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13955B3" w14:textId="154ED10D" w:rsidR="009A29EB" w:rsidRPr="008A189B" w:rsidRDefault="001F5FE2" w:rsidP="001F5FE2">
            <w:pPr>
              <w:pStyle w:val="TableText"/>
              <w:spacing w:before="40" w:after="40"/>
              <w:jc w:val="right"/>
              <w:rPr>
                <w:rFonts w:cs="Segoe UI"/>
                <w:b/>
                <w:bCs/>
                <w:color w:val="000000"/>
                <w:sz w:val="17"/>
                <w:szCs w:val="17"/>
              </w:rPr>
            </w:pPr>
            <w:r w:rsidRPr="008A189B">
              <w:rPr>
                <w:rFonts w:cs="Segoe UI"/>
                <w:b/>
                <w:bCs/>
                <w:color w:val="000000"/>
                <w:sz w:val="17"/>
                <w:szCs w:val="17"/>
              </w:rPr>
              <w:t>28.621</w:t>
            </w:r>
          </w:p>
          <w:p w14:paraId="4A4F7328" w14:textId="77777777" w:rsidR="009A29EB" w:rsidRPr="008A189B" w:rsidRDefault="009A29EB" w:rsidP="001F5FE2">
            <w:pPr>
              <w:pStyle w:val="TableText"/>
              <w:spacing w:before="40" w:after="40"/>
              <w:jc w:val="right"/>
              <w:rPr>
                <w:rFonts w:cs="Segoe UI"/>
                <w:b/>
                <w:bCs/>
                <w:color w:val="000000"/>
                <w:sz w:val="17"/>
                <w:szCs w:val="17"/>
              </w:rPr>
            </w:pPr>
          </w:p>
          <w:p w14:paraId="5C01BFA5" w14:textId="77777777" w:rsidR="009A29EB" w:rsidRPr="008A189B" w:rsidRDefault="009A29EB" w:rsidP="001F5FE2">
            <w:pPr>
              <w:pStyle w:val="TableText"/>
              <w:spacing w:before="40" w:after="40"/>
              <w:jc w:val="right"/>
              <w:rPr>
                <w:rFonts w:eastAsia="Arial" w:cs="Segoe UI"/>
                <w:b/>
                <w:color w:val="000000"/>
                <w:sz w:val="17"/>
                <w:szCs w:val="17"/>
              </w:rPr>
            </w:pPr>
          </w:p>
          <w:p w14:paraId="78582A02" w14:textId="77777777" w:rsidR="009A29EB" w:rsidRPr="008A189B" w:rsidRDefault="009A29EB" w:rsidP="001F5FE2">
            <w:pPr>
              <w:pStyle w:val="TableText"/>
              <w:spacing w:before="40" w:after="40"/>
              <w:jc w:val="right"/>
              <w:rPr>
                <w:rFonts w:eastAsia="Arial" w:cs="Segoe UI"/>
                <w:b/>
                <w:bCs/>
                <w:sz w:val="17"/>
                <w:szCs w:val="17"/>
              </w:rPr>
            </w:pPr>
          </w:p>
          <w:p w14:paraId="56E45D96" w14:textId="77777777" w:rsidR="00B13AB1" w:rsidRPr="008A189B" w:rsidRDefault="00B13AB1" w:rsidP="00860EAD">
            <w:pPr>
              <w:pStyle w:val="TableText"/>
              <w:spacing w:before="40" w:after="40"/>
              <w:jc w:val="right"/>
              <w:rPr>
                <w:rFonts w:eastAsia="Arial" w:cs="Segoe UI"/>
                <w:b/>
                <w:sz w:val="17"/>
                <w:szCs w:val="17"/>
              </w:rPr>
            </w:pPr>
          </w:p>
        </w:tc>
        <w:tc>
          <w:tcPr>
            <w:tcW w:w="8363" w:type="dxa"/>
            <w:tcBorders>
              <w:top w:val="single" w:sz="4" w:space="0" w:color="auto"/>
              <w:bottom w:val="single" w:sz="4" w:space="0" w:color="auto"/>
            </w:tcBorders>
          </w:tcPr>
          <w:p w14:paraId="11E7247D" w14:textId="5720D686" w:rsidR="00B13AB1" w:rsidRPr="003F085C" w:rsidRDefault="00321673" w:rsidP="00B13AB1">
            <w:pPr>
              <w:pStyle w:val="TableBullet"/>
              <w:spacing w:before="40" w:after="40"/>
              <w:rPr>
                <w:rFonts w:cs="Segoe UI"/>
                <w:sz w:val="17"/>
                <w:szCs w:val="17"/>
              </w:rPr>
            </w:pPr>
            <w:r w:rsidRPr="00321673">
              <w:rPr>
                <w:rFonts w:cs="Segoe UI"/>
                <w:sz w:val="17"/>
                <w:szCs w:val="17"/>
              </w:rPr>
              <w:t>R</w:t>
            </w:r>
            <w:r w:rsidR="00B13AB1" w:rsidRPr="00321673">
              <w:rPr>
                <w:rFonts w:cs="Segoe UI"/>
                <w:sz w:val="17"/>
                <w:szCs w:val="17"/>
              </w:rPr>
              <w:t>efres</w:t>
            </w:r>
            <w:r>
              <w:rPr>
                <w:rFonts w:cs="Segoe UI"/>
                <w:sz w:val="17"/>
                <w:szCs w:val="17"/>
              </w:rPr>
              <w:t>h</w:t>
            </w:r>
            <w:r w:rsidR="00B13AB1" w:rsidRPr="003F085C">
              <w:rPr>
                <w:rFonts w:cs="Segoe UI"/>
                <w:sz w:val="17"/>
                <w:szCs w:val="17"/>
              </w:rPr>
              <w:t xml:space="preserve"> national public health promotion and de-stigmatisation initiatives alongside local</w:t>
            </w:r>
            <w:r w:rsidR="00CC5014" w:rsidRPr="003F085C">
              <w:rPr>
                <w:rFonts w:cs="Segoe UI"/>
                <w:sz w:val="17"/>
                <w:szCs w:val="17"/>
              </w:rPr>
              <w:t xml:space="preserve"> and </w:t>
            </w:r>
            <w:r w:rsidR="00B13AB1" w:rsidRPr="003F085C">
              <w:rPr>
                <w:rFonts w:cs="Segoe UI"/>
                <w:sz w:val="17"/>
                <w:szCs w:val="17"/>
              </w:rPr>
              <w:t>regional public health services t</w:t>
            </w:r>
            <w:r w:rsidR="00CC5014" w:rsidRPr="003F085C">
              <w:rPr>
                <w:rFonts w:cs="Segoe UI"/>
                <w:sz w:val="17"/>
                <w:szCs w:val="17"/>
              </w:rPr>
              <w:t>hat</w:t>
            </w:r>
            <w:r w:rsidR="00B13AB1" w:rsidRPr="003F085C">
              <w:rPr>
                <w:rFonts w:cs="Segoe UI"/>
                <w:sz w:val="17"/>
                <w:szCs w:val="17"/>
              </w:rPr>
              <w:t xml:space="preserve"> empower communities, build awareness and resilience, </w:t>
            </w:r>
            <w:r w:rsidR="005D3D86" w:rsidRPr="003F085C">
              <w:rPr>
                <w:rFonts w:cs="Segoe UI"/>
                <w:sz w:val="17"/>
                <w:szCs w:val="17"/>
              </w:rPr>
              <w:t xml:space="preserve">and </w:t>
            </w:r>
            <w:r w:rsidR="00B13AB1" w:rsidRPr="003F085C">
              <w:rPr>
                <w:rFonts w:cs="Segoe UI"/>
                <w:sz w:val="17"/>
                <w:szCs w:val="17"/>
              </w:rPr>
              <w:t>address stigma and barriers to help seeking. This work will be informed by lived experience.</w:t>
            </w:r>
          </w:p>
          <w:p w14:paraId="6B6F9B3C" w14:textId="77777777" w:rsidR="00B13AB1" w:rsidRPr="003F085C" w:rsidRDefault="00B13AB1" w:rsidP="00B13AB1">
            <w:pPr>
              <w:pStyle w:val="TableBullet"/>
              <w:spacing w:before="40" w:after="40"/>
              <w:rPr>
                <w:rFonts w:cs="Segoe UI"/>
                <w:sz w:val="17"/>
                <w:szCs w:val="17"/>
              </w:rPr>
            </w:pPr>
            <w:r w:rsidRPr="003F085C">
              <w:rPr>
                <w:rFonts w:cs="Segoe UI"/>
                <w:sz w:val="17"/>
                <w:szCs w:val="17"/>
              </w:rPr>
              <w:t xml:space="preserve">Subject to the new online gambling regulations, scope and </w:t>
            </w:r>
            <w:r w:rsidRPr="00321673">
              <w:rPr>
                <w:rFonts w:cs="Segoe UI"/>
                <w:sz w:val="17"/>
                <w:szCs w:val="17"/>
              </w:rPr>
              <w:t>develop a national system to allow individuals to block themselves</w:t>
            </w:r>
            <w:r w:rsidRPr="003F085C">
              <w:rPr>
                <w:rFonts w:cs="Segoe UI"/>
                <w:sz w:val="17"/>
                <w:szCs w:val="17"/>
              </w:rPr>
              <w:t xml:space="preserve"> from accessing regulated online/mobile gambling outlets.</w:t>
            </w:r>
          </w:p>
          <w:p w14:paraId="33A3461B" w14:textId="0288DE99" w:rsidR="00B13AB1" w:rsidRPr="003F085C" w:rsidRDefault="00B13AB1" w:rsidP="00B13AB1">
            <w:pPr>
              <w:pStyle w:val="TableBullet"/>
              <w:spacing w:before="40" w:after="40"/>
              <w:rPr>
                <w:rFonts w:cs="Segoe UI"/>
                <w:sz w:val="17"/>
                <w:szCs w:val="17"/>
              </w:rPr>
            </w:pPr>
            <w:r w:rsidRPr="003F085C">
              <w:rPr>
                <w:rFonts w:cs="Segoe UI"/>
                <w:sz w:val="17"/>
                <w:szCs w:val="17"/>
              </w:rPr>
              <w:t xml:space="preserve">Continue to develop </w:t>
            </w:r>
            <w:r w:rsidR="776766A9" w:rsidRPr="003F085C">
              <w:rPr>
                <w:rFonts w:cs="Segoe UI"/>
                <w:sz w:val="17"/>
                <w:szCs w:val="17"/>
              </w:rPr>
              <w:t xml:space="preserve">the </w:t>
            </w:r>
            <w:r w:rsidRPr="003F085C">
              <w:rPr>
                <w:rFonts w:cs="Segoe UI"/>
                <w:sz w:val="17"/>
                <w:szCs w:val="17"/>
              </w:rPr>
              <w:t xml:space="preserve">public health approach in schools to address and prevent gambling harm amongst young people/rangatahi. </w:t>
            </w:r>
          </w:p>
          <w:p w14:paraId="19C556A6" w14:textId="77777777" w:rsidR="00B13AB1" w:rsidRPr="003F085C" w:rsidRDefault="00B13AB1" w:rsidP="00B13AB1">
            <w:pPr>
              <w:pStyle w:val="TableBullet"/>
              <w:spacing w:before="40" w:after="40"/>
              <w:rPr>
                <w:rFonts w:cs="Segoe UI"/>
                <w:sz w:val="17"/>
                <w:szCs w:val="17"/>
              </w:rPr>
            </w:pPr>
            <w:r w:rsidRPr="003F085C">
              <w:rPr>
                <w:rFonts w:cs="Segoe UI"/>
                <w:sz w:val="17"/>
                <w:szCs w:val="17"/>
              </w:rPr>
              <w:t>Invest in service promotion and support in primary health care.</w:t>
            </w:r>
          </w:p>
          <w:p w14:paraId="4299D3CE" w14:textId="13D5AF87" w:rsidR="00B13AB1" w:rsidRPr="003F085C" w:rsidRDefault="00FC46E4" w:rsidP="00B13AB1">
            <w:pPr>
              <w:pStyle w:val="TableBullet"/>
              <w:spacing w:before="40" w:after="40"/>
              <w:rPr>
                <w:rFonts w:cs="Segoe UI"/>
                <w:sz w:val="17"/>
                <w:szCs w:val="17"/>
              </w:rPr>
            </w:pPr>
            <w:r>
              <w:rPr>
                <w:rFonts w:cs="Segoe UI"/>
                <w:sz w:val="17"/>
                <w:szCs w:val="17"/>
              </w:rPr>
              <w:t>W</w:t>
            </w:r>
            <w:r w:rsidR="00B13AB1" w:rsidRPr="003F085C">
              <w:rPr>
                <w:rFonts w:cs="Segoe UI"/>
                <w:sz w:val="17"/>
                <w:szCs w:val="17"/>
              </w:rPr>
              <w:t>ork to support self-exclusion.</w:t>
            </w:r>
          </w:p>
        </w:tc>
      </w:tr>
      <w:tr w:rsidR="00B13AB1" w:rsidRPr="003F085C" w14:paraId="433379D6" w14:textId="77777777" w:rsidTr="00CB7B9E">
        <w:trPr>
          <w:gridAfter w:val="1"/>
          <w:wAfter w:w="142" w:type="dxa"/>
          <w:trHeight w:val="300"/>
        </w:trPr>
        <w:tc>
          <w:tcPr>
            <w:tcW w:w="1560" w:type="dxa"/>
            <w:tcBorders>
              <w:top w:val="single" w:sz="4" w:space="0" w:color="auto"/>
              <w:bottom w:val="single" w:sz="4" w:space="0" w:color="auto"/>
            </w:tcBorders>
            <w:vAlign w:val="center"/>
          </w:tcPr>
          <w:p w14:paraId="3E2015F4" w14:textId="77777777" w:rsidR="00B13AB1" w:rsidRPr="003F085C" w:rsidRDefault="00B13AB1" w:rsidP="00860EAD">
            <w:pPr>
              <w:pStyle w:val="TableText"/>
              <w:spacing w:before="40" w:after="40"/>
              <w:rPr>
                <w:rFonts w:cs="Segoe UI"/>
                <w:b/>
                <w:bCs/>
                <w:sz w:val="17"/>
                <w:szCs w:val="17"/>
              </w:rPr>
            </w:pPr>
            <w:r w:rsidRPr="003F085C">
              <w:rPr>
                <w:rFonts w:eastAsia="Arial" w:cs="Segoe UI"/>
                <w:b/>
                <w:bCs/>
                <w:sz w:val="17"/>
                <w:szCs w:val="17"/>
              </w:rPr>
              <w:t xml:space="preserve">Improve </w:t>
            </w:r>
            <w:r w:rsidRPr="003F085C">
              <w:rPr>
                <w:rFonts w:eastAsia="Calibri" w:cs="Segoe UI"/>
                <w:b/>
                <w:bCs/>
                <w:sz w:val="17"/>
                <w:szCs w:val="17"/>
              </w:rPr>
              <w:t>the effectiveness of gambling harm support</w:t>
            </w:r>
          </w:p>
        </w:tc>
        <w:tc>
          <w:tcPr>
            <w:tcW w:w="992" w:type="dxa"/>
            <w:tcBorders>
              <w:top w:val="single" w:sz="4" w:space="0" w:color="auto"/>
              <w:left w:val="nil"/>
              <w:bottom w:val="single" w:sz="4" w:space="0" w:color="auto"/>
              <w:right w:val="nil"/>
            </w:tcBorders>
            <w:shd w:val="clear" w:color="auto" w:fill="auto"/>
            <w:vAlign w:val="bottom"/>
          </w:tcPr>
          <w:p w14:paraId="74B9779B" w14:textId="70C3BD4B" w:rsidR="009A29EB" w:rsidRPr="008A189B" w:rsidRDefault="00430BE3" w:rsidP="00430BE3">
            <w:pPr>
              <w:pStyle w:val="TableText"/>
              <w:spacing w:before="40" w:after="40"/>
              <w:jc w:val="right"/>
              <w:rPr>
                <w:rFonts w:cs="Segoe UI"/>
                <w:color w:val="000000"/>
                <w:sz w:val="17"/>
                <w:szCs w:val="17"/>
              </w:rPr>
            </w:pPr>
            <w:r w:rsidRPr="008A189B">
              <w:rPr>
                <w:rFonts w:cs="Segoe UI"/>
                <w:color w:val="000000"/>
                <w:sz w:val="17"/>
                <w:szCs w:val="17"/>
              </w:rPr>
              <w:t>3.419</w:t>
            </w:r>
          </w:p>
          <w:p w14:paraId="7B8387D2" w14:textId="77777777" w:rsidR="009A29EB" w:rsidRPr="008A189B" w:rsidRDefault="009A29EB" w:rsidP="00430BE3">
            <w:pPr>
              <w:pStyle w:val="TableText"/>
              <w:spacing w:before="40" w:after="40"/>
              <w:jc w:val="right"/>
              <w:rPr>
                <w:rFonts w:cs="Segoe UI"/>
                <w:color w:val="000000"/>
                <w:sz w:val="17"/>
                <w:szCs w:val="17"/>
              </w:rPr>
            </w:pPr>
          </w:p>
          <w:p w14:paraId="571EF9FA" w14:textId="77777777" w:rsidR="009A29EB" w:rsidRPr="008A189B" w:rsidRDefault="009A29EB" w:rsidP="00430BE3">
            <w:pPr>
              <w:pStyle w:val="TableText"/>
              <w:spacing w:before="40" w:after="40"/>
              <w:jc w:val="right"/>
              <w:rPr>
                <w:rFonts w:cs="Segoe UI"/>
                <w:color w:val="000000"/>
                <w:sz w:val="17"/>
                <w:szCs w:val="17"/>
              </w:rPr>
            </w:pPr>
          </w:p>
          <w:p w14:paraId="7B820B76"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single" w:sz="4" w:space="0" w:color="auto"/>
              <w:left w:val="nil"/>
              <w:bottom w:val="single" w:sz="4" w:space="0" w:color="auto"/>
              <w:right w:val="nil"/>
            </w:tcBorders>
            <w:shd w:val="clear" w:color="auto" w:fill="auto"/>
            <w:vAlign w:val="bottom"/>
          </w:tcPr>
          <w:p w14:paraId="2DC9D658" w14:textId="6BBB45CE" w:rsidR="009A29EB" w:rsidRPr="008A189B" w:rsidRDefault="00430BE3" w:rsidP="00430BE3">
            <w:pPr>
              <w:pStyle w:val="TableText"/>
              <w:spacing w:before="40" w:after="40"/>
              <w:jc w:val="right"/>
              <w:rPr>
                <w:rFonts w:cs="Segoe UI"/>
                <w:color w:val="000000"/>
                <w:sz w:val="17"/>
                <w:szCs w:val="17"/>
              </w:rPr>
            </w:pPr>
            <w:r w:rsidRPr="008A189B">
              <w:rPr>
                <w:rFonts w:cs="Segoe UI"/>
                <w:color w:val="000000"/>
                <w:sz w:val="17"/>
                <w:szCs w:val="17"/>
              </w:rPr>
              <w:t>4.084</w:t>
            </w:r>
          </w:p>
          <w:p w14:paraId="4CB0A70A" w14:textId="77777777" w:rsidR="009A29EB" w:rsidRPr="008A189B" w:rsidRDefault="009A29EB" w:rsidP="00430BE3">
            <w:pPr>
              <w:pStyle w:val="TableText"/>
              <w:spacing w:before="40" w:after="40"/>
              <w:jc w:val="right"/>
              <w:rPr>
                <w:rFonts w:cs="Segoe UI"/>
                <w:color w:val="000000"/>
                <w:sz w:val="17"/>
                <w:szCs w:val="17"/>
              </w:rPr>
            </w:pPr>
          </w:p>
          <w:p w14:paraId="58E6C792" w14:textId="77777777" w:rsidR="009A29EB" w:rsidRPr="008A189B" w:rsidRDefault="009A29EB" w:rsidP="00430BE3">
            <w:pPr>
              <w:pStyle w:val="TableText"/>
              <w:spacing w:before="40" w:after="40"/>
              <w:jc w:val="right"/>
              <w:rPr>
                <w:rFonts w:cs="Segoe UI"/>
                <w:color w:val="000000"/>
                <w:sz w:val="17"/>
                <w:szCs w:val="17"/>
              </w:rPr>
            </w:pPr>
          </w:p>
          <w:p w14:paraId="1C7482B5" w14:textId="77777777" w:rsidR="00B13AB1" w:rsidRPr="008A189B" w:rsidRDefault="00B13AB1" w:rsidP="00860EAD">
            <w:pPr>
              <w:pStyle w:val="TableText"/>
              <w:spacing w:before="40" w:after="40"/>
              <w:jc w:val="right"/>
              <w:rPr>
                <w:rFonts w:eastAsia="Arial" w:cs="Segoe UI"/>
                <w:sz w:val="17"/>
                <w:szCs w:val="17"/>
              </w:rPr>
            </w:pPr>
          </w:p>
        </w:tc>
        <w:tc>
          <w:tcPr>
            <w:tcW w:w="993" w:type="dxa"/>
            <w:tcBorders>
              <w:top w:val="single" w:sz="4" w:space="0" w:color="auto"/>
              <w:left w:val="nil"/>
              <w:bottom w:val="single" w:sz="4" w:space="0" w:color="auto"/>
              <w:right w:val="nil"/>
            </w:tcBorders>
            <w:shd w:val="clear" w:color="auto" w:fill="auto"/>
            <w:vAlign w:val="bottom"/>
          </w:tcPr>
          <w:p w14:paraId="4C93D978" w14:textId="22A02CED" w:rsidR="009A29EB" w:rsidRPr="008A189B" w:rsidRDefault="00430BE3" w:rsidP="00430BE3">
            <w:pPr>
              <w:pStyle w:val="TableText"/>
              <w:spacing w:before="40" w:after="40"/>
              <w:jc w:val="right"/>
              <w:rPr>
                <w:rFonts w:cs="Segoe UI"/>
                <w:color w:val="000000"/>
                <w:sz w:val="17"/>
                <w:szCs w:val="17"/>
              </w:rPr>
            </w:pPr>
            <w:r w:rsidRPr="008A189B">
              <w:rPr>
                <w:rFonts w:cs="Segoe UI"/>
                <w:color w:val="000000"/>
                <w:sz w:val="17"/>
                <w:szCs w:val="17"/>
              </w:rPr>
              <w:t>3.046</w:t>
            </w:r>
          </w:p>
          <w:p w14:paraId="35330C98" w14:textId="77777777" w:rsidR="009A29EB" w:rsidRPr="008A189B" w:rsidRDefault="009A29EB" w:rsidP="00430BE3">
            <w:pPr>
              <w:pStyle w:val="TableText"/>
              <w:spacing w:before="40" w:after="40"/>
              <w:jc w:val="right"/>
              <w:rPr>
                <w:rFonts w:cs="Segoe UI"/>
                <w:color w:val="000000"/>
                <w:sz w:val="17"/>
                <w:szCs w:val="17"/>
              </w:rPr>
            </w:pPr>
          </w:p>
          <w:p w14:paraId="4B25E4CB" w14:textId="77777777" w:rsidR="009A29EB" w:rsidRPr="008A189B" w:rsidRDefault="009A29EB" w:rsidP="00430BE3">
            <w:pPr>
              <w:pStyle w:val="TableText"/>
              <w:spacing w:before="40" w:after="40"/>
              <w:jc w:val="right"/>
              <w:rPr>
                <w:rFonts w:cs="Segoe UI"/>
                <w:color w:val="000000"/>
                <w:sz w:val="17"/>
                <w:szCs w:val="17"/>
              </w:rPr>
            </w:pPr>
          </w:p>
          <w:p w14:paraId="285CD9DB" w14:textId="77777777" w:rsidR="00B13AB1" w:rsidRPr="008A189B" w:rsidRDefault="00B13AB1" w:rsidP="00860EAD">
            <w:pPr>
              <w:pStyle w:val="TableText"/>
              <w:spacing w:before="40" w:after="40"/>
              <w:jc w:val="right"/>
              <w:rPr>
                <w:rFonts w:eastAsia="Arial" w:cs="Segoe UI"/>
                <w:sz w:val="17"/>
                <w:szCs w:val="17"/>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67E8115C" w14:textId="4B777630" w:rsidR="009A29EB" w:rsidRPr="008A189B" w:rsidRDefault="00430BE3" w:rsidP="00430BE3">
            <w:pPr>
              <w:pStyle w:val="TableText"/>
              <w:spacing w:before="40" w:after="40"/>
              <w:jc w:val="right"/>
              <w:rPr>
                <w:rFonts w:cs="Segoe UI"/>
                <w:b/>
                <w:bCs/>
                <w:color w:val="000000"/>
                <w:sz w:val="17"/>
                <w:szCs w:val="17"/>
              </w:rPr>
            </w:pPr>
            <w:r w:rsidRPr="008A189B">
              <w:rPr>
                <w:rFonts w:cs="Segoe UI"/>
                <w:b/>
                <w:bCs/>
                <w:color w:val="000000"/>
                <w:sz w:val="17"/>
                <w:szCs w:val="17"/>
              </w:rPr>
              <w:t>10.549</w:t>
            </w:r>
          </w:p>
          <w:p w14:paraId="7F619574" w14:textId="77777777" w:rsidR="009A29EB" w:rsidRPr="008A189B" w:rsidRDefault="009A29EB" w:rsidP="00430BE3">
            <w:pPr>
              <w:pStyle w:val="TableText"/>
              <w:spacing w:before="40" w:after="40"/>
              <w:jc w:val="right"/>
              <w:rPr>
                <w:rFonts w:cs="Segoe UI"/>
                <w:b/>
                <w:bCs/>
                <w:color w:val="000000"/>
                <w:sz w:val="17"/>
                <w:szCs w:val="17"/>
              </w:rPr>
            </w:pPr>
          </w:p>
          <w:p w14:paraId="55AA7416" w14:textId="77777777" w:rsidR="009A29EB" w:rsidRPr="008A189B" w:rsidRDefault="009A29EB" w:rsidP="00430BE3">
            <w:pPr>
              <w:pStyle w:val="TableText"/>
              <w:spacing w:before="40" w:after="40"/>
              <w:jc w:val="right"/>
              <w:rPr>
                <w:rFonts w:cs="Segoe UI"/>
                <w:b/>
                <w:bCs/>
                <w:color w:val="000000"/>
                <w:sz w:val="17"/>
                <w:szCs w:val="17"/>
              </w:rPr>
            </w:pPr>
          </w:p>
          <w:p w14:paraId="7EF1F1A7" w14:textId="77777777" w:rsidR="00B13AB1" w:rsidRPr="008A189B" w:rsidRDefault="00B13AB1" w:rsidP="00860EAD">
            <w:pPr>
              <w:pStyle w:val="TableText"/>
              <w:spacing w:before="40" w:after="40"/>
              <w:jc w:val="right"/>
              <w:rPr>
                <w:rFonts w:eastAsia="Arial" w:cs="Segoe UI"/>
                <w:b/>
                <w:sz w:val="17"/>
                <w:szCs w:val="17"/>
              </w:rPr>
            </w:pPr>
          </w:p>
        </w:tc>
        <w:tc>
          <w:tcPr>
            <w:tcW w:w="8363" w:type="dxa"/>
            <w:tcBorders>
              <w:top w:val="single" w:sz="4" w:space="0" w:color="auto"/>
              <w:bottom w:val="single" w:sz="4" w:space="0" w:color="auto"/>
            </w:tcBorders>
          </w:tcPr>
          <w:p w14:paraId="22D0997E" w14:textId="77777777" w:rsidR="00B13AB1" w:rsidRPr="003F085C" w:rsidRDefault="00B13AB1" w:rsidP="00B13AB1">
            <w:pPr>
              <w:pStyle w:val="TableBullet"/>
              <w:spacing w:before="40" w:after="40"/>
              <w:rPr>
                <w:rFonts w:cs="Segoe UI"/>
                <w:sz w:val="17"/>
                <w:szCs w:val="17"/>
              </w:rPr>
            </w:pPr>
            <w:r w:rsidRPr="003F085C">
              <w:rPr>
                <w:rFonts w:cs="Segoe UI"/>
                <w:sz w:val="17"/>
                <w:szCs w:val="17"/>
              </w:rPr>
              <w:t>Ongoing investment in a lived experience advisory group.</w:t>
            </w:r>
          </w:p>
          <w:p w14:paraId="379D3A23" w14:textId="77777777" w:rsidR="00B13AB1" w:rsidRPr="003F085C" w:rsidRDefault="00B13AB1" w:rsidP="00B13AB1">
            <w:pPr>
              <w:pStyle w:val="TableBullet"/>
              <w:spacing w:before="40" w:after="40"/>
              <w:rPr>
                <w:rFonts w:cs="Segoe UI"/>
                <w:sz w:val="17"/>
                <w:szCs w:val="17"/>
              </w:rPr>
            </w:pPr>
            <w:r w:rsidRPr="003F085C">
              <w:rPr>
                <w:rFonts w:cs="Segoe UI"/>
                <w:sz w:val="17"/>
                <w:szCs w:val="17"/>
              </w:rPr>
              <w:t>Develop and roll-out a modern client data management system. This will assist service with day-to-day client information management activities, continuous quality improvement, and reporting. It will also enable and enhance contract monitoring. This will reduce the amount of effort and resource required for data processing, thus allowing more resource to be put towards front line service delivery.</w:t>
            </w:r>
          </w:p>
          <w:p w14:paraId="25CC0F82" w14:textId="77777777" w:rsidR="00B13AB1" w:rsidRPr="003F085C" w:rsidRDefault="00B13AB1" w:rsidP="00B13AB1">
            <w:pPr>
              <w:pStyle w:val="TableBullet"/>
              <w:spacing w:before="40" w:after="40"/>
              <w:rPr>
                <w:rFonts w:cs="Segoe UI"/>
                <w:sz w:val="17"/>
                <w:szCs w:val="17"/>
              </w:rPr>
            </w:pPr>
            <w:r w:rsidRPr="003F085C">
              <w:rPr>
                <w:rFonts w:cs="Segoe UI"/>
                <w:sz w:val="17"/>
                <w:szCs w:val="17"/>
              </w:rPr>
              <w:t xml:space="preserve">Invest in research and evaluation to inform policies and service improvement. Ensure research and evaluation is informed by affected communities, service providers, and those with lived experience. </w:t>
            </w:r>
          </w:p>
          <w:p w14:paraId="062EF177" w14:textId="707A8E90" w:rsidR="0037127B" w:rsidRDefault="00B4240F" w:rsidP="00B13AB1">
            <w:pPr>
              <w:pStyle w:val="TableBullet"/>
              <w:spacing w:before="40" w:after="40"/>
              <w:rPr>
                <w:rFonts w:cs="Segoe UI"/>
                <w:sz w:val="17"/>
                <w:szCs w:val="17"/>
              </w:rPr>
            </w:pPr>
            <w:r>
              <w:rPr>
                <w:rFonts w:cs="Segoe UI"/>
                <w:sz w:val="17"/>
                <w:szCs w:val="17"/>
              </w:rPr>
              <w:t>D</w:t>
            </w:r>
            <w:r w:rsidRPr="003F085C">
              <w:rPr>
                <w:rFonts w:cs="Segoe UI"/>
                <w:sz w:val="17"/>
                <w:szCs w:val="17"/>
              </w:rPr>
              <w:t>evelop</w:t>
            </w:r>
            <w:r w:rsidR="00B13AB1" w:rsidRPr="003F085C">
              <w:rPr>
                <w:rFonts w:cs="Segoe UI"/>
                <w:sz w:val="17"/>
                <w:szCs w:val="17"/>
              </w:rPr>
              <w:t xml:space="preserve"> a monitoring framework covering activities funded by the </w:t>
            </w:r>
            <w:r w:rsidR="18E07265" w:rsidRPr="3DD93037">
              <w:rPr>
                <w:rFonts w:cs="Segoe UI"/>
                <w:sz w:val="17"/>
                <w:szCs w:val="17"/>
              </w:rPr>
              <w:t>S</w:t>
            </w:r>
            <w:r w:rsidR="00B13AB1" w:rsidRPr="003F085C">
              <w:rPr>
                <w:rFonts w:cs="Segoe UI"/>
                <w:sz w:val="17"/>
                <w:szCs w:val="17"/>
              </w:rPr>
              <w:t>trategy.</w:t>
            </w:r>
            <w:r w:rsidR="0037127B" w:rsidRPr="003F085C">
              <w:rPr>
                <w:rFonts w:cs="Segoe UI"/>
                <w:sz w:val="17"/>
                <w:szCs w:val="17"/>
              </w:rPr>
              <w:t xml:space="preserve"> </w:t>
            </w:r>
          </w:p>
          <w:p w14:paraId="207BA9F2" w14:textId="30C92FE2" w:rsidR="00B13AB1" w:rsidRPr="003F085C" w:rsidRDefault="00B4240F" w:rsidP="00B13AB1">
            <w:pPr>
              <w:pStyle w:val="TableBullet"/>
              <w:spacing w:before="40" w:after="40"/>
              <w:rPr>
                <w:rFonts w:cs="Segoe UI"/>
                <w:sz w:val="17"/>
                <w:szCs w:val="17"/>
              </w:rPr>
            </w:pPr>
            <w:r>
              <w:rPr>
                <w:rFonts w:cs="Segoe UI"/>
                <w:sz w:val="17"/>
                <w:szCs w:val="17"/>
              </w:rPr>
              <w:t xml:space="preserve">An </w:t>
            </w:r>
            <w:r w:rsidR="0037127B" w:rsidRPr="003F085C">
              <w:rPr>
                <w:rFonts w:cs="Segoe UI"/>
                <w:sz w:val="17"/>
                <w:szCs w:val="17"/>
              </w:rPr>
              <w:t xml:space="preserve">impact evaluation of the </w:t>
            </w:r>
            <w:r w:rsidR="0037127B" w:rsidRPr="67E57A10">
              <w:rPr>
                <w:rFonts w:cs="Segoe UI"/>
                <w:sz w:val="17"/>
                <w:szCs w:val="17"/>
              </w:rPr>
              <w:t>S</w:t>
            </w:r>
            <w:r w:rsidR="0037127B" w:rsidRPr="003F085C">
              <w:rPr>
                <w:rFonts w:cs="Segoe UI"/>
                <w:sz w:val="17"/>
                <w:szCs w:val="17"/>
              </w:rPr>
              <w:t>trategy itself</w:t>
            </w:r>
          </w:p>
        </w:tc>
      </w:tr>
      <w:tr w:rsidR="00B13AB1" w:rsidRPr="003F085C" w14:paraId="27BCF443" w14:textId="77777777" w:rsidTr="00CB7B9E">
        <w:trPr>
          <w:gridAfter w:val="1"/>
          <w:wAfter w:w="142" w:type="dxa"/>
          <w:trHeight w:val="300"/>
        </w:trPr>
        <w:tc>
          <w:tcPr>
            <w:tcW w:w="1560" w:type="dxa"/>
            <w:tcBorders>
              <w:top w:val="single" w:sz="4" w:space="0" w:color="auto"/>
              <w:bottom w:val="single" w:sz="4" w:space="0" w:color="auto"/>
            </w:tcBorders>
            <w:vAlign w:val="center"/>
          </w:tcPr>
          <w:p w14:paraId="28D5E72D" w14:textId="77777777" w:rsidR="00B13AB1" w:rsidRPr="003F085C" w:rsidRDefault="00B13AB1" w:rsidP="00860EAD">
            <w:pPr>
              <w:pStyle w:val="TableText"/>
              <w:spacing w:before="40" w:after="40"/>
              <w:rPr>
                <w:rFonts w:cs="Segoe UI"/>
                <w:b/>
                <w:bCs/>
                <w:sz w:val="17"/>
                <w:szCs w:val="17"/>
              </w:rPr>
            </w:pPr>
            <w:r w:rsidRPr="003F085C">
              <w:rPr>
                <w:rFonts w:eastAsia="Arial" w:cs="Segoe UI"/>
                <w:b/>
                <w:bCs/>
                <w:sz w:val="17"/>
                <w:szCs w:val="17"/>
              </w:rPr>
              <w:t>Agency costs</w:t>
            </w:r>
          </w:p>
        </w:tc>
        <w:tc>
          <w:tcPr>
            <w:tcW w:w="992" w:type="dxa"/>
            <w:tcBorders>
              <w:top w:val="single" w:sz="4" w:space="0" w:color="auto"/>
              <w:left w:val="nil"/>
              <w:bottom w:val="single" w:sz="4" w:space="0" w:color="auto"/>
              <w:right w:val="nil"/>
            </w:tcBorders>
            <w:shd w:val="clear" w:color="auto" w:fill="auto"/>
            <w:vAlign w:val="bottom"/>
          </w:tcPr>
          <w:p w14:paraId="31127A6C" w14:textId="0DC6F06E" w:rsidR="00B13AB1" w:rsidRPr="008A189B" w:rsidRDefault="002268D3" w:rsidP="00860EAD">
            <w:pPr>
              <w:pStyle w:val="TableText"/>
              <w:spacing w:before="40" w:after="40"/>
              <w:jc w:val="right"/>
              <w:rPr>
                <w:rFonts w:cs="Segoe UI"/>
                <w:sz w:val="17"/>
                <w:szCs w:val="17"/>
              </w:rPr>
            </w:pPr>
            <w:r w:rsidRPr="008A189B">
              <w:rPr>
                <w:rFonts w:cs="Segoe UI"/>
                <w:color w:val="000000"/>
                <w:sz w:val="17"/>
                <w:szCs w:val="17"/>
              </w:rPr>
              <w:t>1.697</w:t>
            </w:r>
          </w:p>
        </w:tc>
        <w:tc>
          <w:tcPr>
            <w:tcW w:w="992" w:type="dxa"/>
            <w:tcBorders>
              <w:top w:val="single" w:sz="4" w:space="0" w:color="auto"/>
              <w:left w:val="nil"/>
              <w:bottom w:val="single" w:sz="4" w:space="0" w:color="auto"/>
              <w:right w:val="nil"/>
            </w:tcBorders>
            <w:shd w:val="clear" w:color="auto" w:fill="auto"/>
            <w:vAlign w:val="bottom"/>
          </w:tcPr>
          <w:p w14:paraId="2CEF493E" w14:textId="24025313" w:rsidR="00B13AB1" w:rsidRPr="008A189B" w:rsidRDefault="002268D3" w:rsidP="00860EAD">
            <w:pPr>
              <w:pStyle w:val="TableText"/>
              <w:spacing w:before="40" w:after="40"/>
              <w:jc w:val="right"/>
              <w:rPr>
                <w:rFonts w:cs="Segoe UI"/>
                <w:sz w:val="17"/>
                <w:szCs w:val="17"/>
              </w:rPr>
            </w:pPr>
            <w:r w:rsidRPr="008A189B">
              <w:rPr>
                <w:rFonts w:cs="Segoe UI"/>
                <w:color w:val="000000"/>
                <w:sz w:val="17"/>
                <w:szCs w:val="17"/>
              </w:rPr>
              <w:t>1.965</w:t>
            </w:r>
          </w:p>
        </w:tc>
        <w:tc>
          <w:tcPr>
            <w:tcW w:w="993" w:type="dxa"/>
            <w:tcBorders>
              <w:top w:val="single" w:sz="4" w:space="0" w:color="auto"/>
              <w:left w:val="nil"/>
              <w:bottom w:val="single" w:sz="4" w:space="0" w:color="auto"/>
              <w:right w:val="nil"/>
            </w:tcBorders>
            <w:shd w:val="clear" w:color="auto" w:fill="auto"/>
            <w:vAlign w:val="bottom"/>
          </w:tcPr>
          <w:p w14:paraId="72D9985A" w14:textId="0839D2B4" w:rsidR="00B13AB1" w:rsidRPr="008A189B" w:rsidRDefault="002268D3" w:rsidP="00860EAD">
            <w:pPr>
              <w:pStyle w:val="TableText"/>
              <w:spacing w:before="40" w:after="40"/>
              <w:jc w:val="right"/>
              <w:rPr>
                <w:rFonts w:cs="Segoe UI"/>
                <w:sz w:val="17"/>
                <w:szCs w:val="17"/>
              </w:rPr>
            </w:pPr>
            <w:r w:rsidRPr="008A189B">
              <w:rPr>
                <w:rFonts w:cs="Segoe UI"/>
                <w:color w:val="000000"/>
                <w:sz w:val="17"/>
                <w:szCs w:val="17"/>
              </w:rPr>
              <w:t>1.616</w:t>
            </w:r>
          </w:p>
        </w:tc>
        <w:tc>
          <w:tcPr>
            <w:tcW w:w="992" w:type="dxa"/>
            <w:tcBorders>
              <w:top w:val="single" w:sz="4" w:space="0" w:color="auto"/>
              <w:left w:val="nil"/>
              <w:bottom w:val="single" w:sz="4" w:space="0" w:color="auto"/>
              <w:right w:val="single" w:sz="4" w:space="0" w:color="auto"/>
            </w:tcBorders>
            <w:shd w:val="clear" w:color="auto" w:fill="auto"/>
            <w:vAlign w:val="bottom"/>
          </w:tcPr>
          <w:p w14:paraId="20B6A3D1" w14:textId="2D54EBDA" w:rsidR="00B13AB1" w:rsidRPr="008A189B" w:rsidRDefault="002268D3" w:rsidP="00860EAD">
            <w:pPr>
              <w:pStyle w:val="TableText"/>
              <w:spacing w:before="40" w:after="40"/>
              <w:jc w:val="right"/>
              <w:rPr>
                <w:rFonts w:cs="Segoe UI"/>
                <w:b/>
                <w:sz w:val="17"/>
                <w:szCs w:val="17"/>
              </w:rPr>
            </w:pPr>
            <w:r w:rsidRPr="008A189B">
              <w:rPr>
                <w:rFonts w:cs="Segoe UI"/>
                <w:b/>
                <w:bCs/>
                <w:color w:val="000000"/>
                <w:sz w:val="17"/>
                <w:szCs w:val="17"/>
              </w:rPr>
              <w:t>5.277</w:t>
            </w:r>
          </w:p>
        </w:tc>
        <w:tc>
          <w:tcPr>
            <w:tcW w:w="8363" w:type="dxa"/>
            <w:tcBorders>
              <w:top w:val="single" w:sz="4" w:space="0" w:color="auto"/>
              <w:bottom w:val="single" w:sz="4" w:space="0" w:color="auto"/>
            </w:tcBorders>
          </w:tcPr>
          <w:p w14:paraId="19B74ACA" w14:textId="17D382A0" w:rsidR="00B13AB1" w:rsidRPr="003F085C" w:rsidRDefault="00B13AB1" w:rsidP="00B4240F">
            <w:pPr>
              <w:pStyle w:val="TableBullet"/>
              <w:numPr>
                <w:ilvl w:val="0"/>
                <w:numId w:val="0"/>
              </w:numPr>
              <w:spacing w:before="40" w:after="40"/>
              <w:ind w:left="284" w:hanging="284"/>
              <w:rPr>
                <w:rFonts w:eastAsia="Arial" w:cs="Segoe UI"/>
                <w:b/>
                <w:bCs/>
                <w:sz w:val="17"/>
                <w:szCs w:val="17"/>
              </w:rPr>
            </w:pPr>
          </w:p>
        </w:tc>
      </w:tr>
      <w:tr w:rsidR="00B13AB1" w:rsidRPr="003F085C" w14:paraId="73BA0262" w14:textId="77777777" w:rsidTr="00CB7B9E">
        <w:trPr>
          <w:gridAfter w:val="1"/>
          <w:wAfter w:w="142" w:type="dxa"/>
          <w:trHeight w:val="285"/>
        </w:trPr>
        <w:tc>
          <w:tcPr>
            <w:tcW w:w="1560" w:type="dxa"/>
            <w:tcBorders>
              <w:top w:val="single" w:sz="4" w:space="0" w:color="auto"/>
              <w:bottom w:val="single" w:sz="4" w:space="0" w:color="auto"/>
            </w:tcBorders>
            <w:vAlign w:val="center"/>
          </w:tcPr>
          <w:p w14:paraId="16F36FC1" w14:textId="4EF42E25" w:rsidR="00B13AB1" w:rsidRPr="003F085C" w:rsidRDefault="00B13AB1" w:rsidP="00860EAD">
            <w:pPr>
              <w:pStyle w:val="TableText"/>
              <w:spacing w:before="40" w:after="40"/>
              <w:rPr>
                <w:rFonts w:cs="Segoe UI"/>
                <w:b/>
                <w:bCs/>
                <w:sz w:val="17"/>
                <w:szCs w:val="17"/>
              </w:rPr>
            </w:pPr>
            <w:r w:rsidRPr="003F085C">
              <w:rPr>
                <w:rFonts w:eastAsia="Calibri" w:cs="Segoe UI"/>
                <w:b/>
                <w:bCs/>
                <w:sz w:val="17"/>
                <w:szCs w:val="17"/>
              </w:rPr>
              <w:t xml:space="preserve">Total </w:t>
            </w:r>
          </w:p>
        </w:tc>
        <w:tc>
          <w:tcPr>
            <w:tcW w:w="992" w:type="dxa"/>
            <w:tcBorders>
              <w:top w:val="single" w:sz="4" w:space="0" w:color="auto"/>
              <w:left w:val="nil"/>
              <w:bottom w:val="single" w:sz="4" w:space="0" w:color="auto"/>
              <w:right w:val="nil"/>
            </w:tcBorders>
            <w:shd w:val="clear" w:color="auto" w:fill="auto"/>
            <w:vAlign w:val="bottom"/>
          </w:tcPr>
          <w:p w14:paraId="1413088C" w14:textId="2DE8E755" w:rsidR="00B13AB1" w:rsidRPr="008A189B" w:rsidRDefault="009A29EB" w:rsidP="00860EAD">
            <w:pPr>
              <w:pStyle w:val="TableText"/>
              <w:spacing w:before="40" w:after="40"/>
              <w:jc w:val="right"/>
              <w:rPr>
                <w:rFonts w:cs="Segoe UI"/>
                <w:b/>
                <w:bCs/>
                <w:sz w:val="17"/>
                <w:szCs w:val="17"/>
                <w:highlight w:val="yellow"/>
              </w:rPr>
            </w:pPr>
            <w:r w:rsidRPr="008A189B">
              <w:rPr>
                <w:rFonts w:cs="Segoe UI"/>
                <w:b/>
                <w:bCs/>
                <w:color w:val="000000"/>
                <w:sz w:val="17"/>
                <w:szCs w:val="17"/>
              </w:rPr>
              <w:t>26.264</w:t>
            </w:r>
          </w:p>
        </w:tc>
        <w:tc>
          <w:tcPr>
            <w:tcW w:w="992" w:type="dxa"/>
            <w:tcBorders>
              <w:top w:val="single" w:sz="4" w:space="0" w:color="auto"/>
              <w:left w:val="nil"/>
              <w:bottom w:val="single" w:sz="4" w:space="0" w:color="auto"/>
              <w:right w:val="nil"/>
            </w:tcBorders>
            <w:shd w:val="clear" w:color="auto" w:fill="auto"/>
            <w:vAlign w:val="bottom"/>
          </w:tcPr>
          <w:p w14:paraId="393B96A3" w14:textId="5AFF7940" w:rsidR="00B13AB1" w:rsidRPr="008A189B" w:rsidRDefault="009A29EB" w:rsidP="00860EAD">
            <w:pPr>
              <w:pStyle w:val="TableText"/>
              <w:spacing w:before="40" w:after="40"/>
              <w:jc w:val="right"/>
              <w:rPr>
                <w:rFonts w:eastAsia="Arial" w:cs="Segoe UI"/>
                <w:b/>
                <w:bCs/>
                <w:sz w:val="17"/>
                <w:szCs w:val="17"/>
                <w:highlight w:val="yellow"/>
              </w:rPr>
            </w:pPr>
            <w:r w:rsidRPr="008A189B">
              <w:rPr>
                <w:rFonts w:cs="Segoe UI"/>
                <w:b/>
                <w:bCs/>
                <w:color w:val="000000"/>
                <w:sz w:val="17"/>
                <w:szCs w:val="17"/>
              </w:rPr>
              <w:t>27.916</w:t>
            </w:r>
          </w:p>
        </w:tc>
        <w:tc>
          <w:tcPr>
            <w:tcW w:w="993" w:type="dxa"/>
            <w:tcBorders>
              <w:top w:val="single" w:sz="4" w:space="0" w:color="auto"/>
              <w:left w:val="nil"/>
              <w:bottom w:val="single" w:sz="4" w:space="0" w:color="auto"/>
              <w:right w:val="nil"/>
            </w:tcBorders>
            <w:shd w:val="clear" w:color="auto" w:fill="auto"/>
            <w:vAlign w:val="bottom"/>
          </w:tcPr>
          <w:p w14:paraId="3E0EB266" w14:textId="15DB7022" w:rsidR="00B13AB1" w:rsidRPr="008A189B" w:rsidRDefault="009A29EB" w:rsidP="00860EAD">
            <w:pPr>
              <w:pStyle w:val="TableText"/>
              <w:spacing w:before="40" w:after="40"/>
              <w:jc w:val="right"/>
              <w:rPr>
                <w:rFonts w:eastAsia="Arial" w:cs="Segoe UI"/>
                <w:b/>
                <w:bCs/>
                <w:sz w:val="17"/>
                <w:szCs w:val="17"/>
                <w:highlight w:val="yellow"/>
              </w:rPr>
            </w:pPr>
            <w:r w:rsidRPr="008A189B">
              <w:rPr>
                <w:rFonts w:cs="Segoe UI"/>
                <w:b/>
                <w:bCs/>
                <w:color w:val="000000"/>
                <w:sz w:val="17"/>
                <w:szCs w:val="17"/>
              </w:rPr>
              <w:t>27.178</w:t>
            </w:r>
          </w:p>
        </w:tc>
        <w:tc>
          <w:tcPr>
            <w:tcW w:w="992" w:type="dxa"/>
            <w:tcBorders>
              <w:top w:val="single" w:sz="4" w:space="0" w:color="auto"/>
              <w:left w:val="nil"/>
              <w:bottom w:val="single" w:sz="4" w:space="0" w:color="auto"/>
              <w:right w:val="single" w:sz="4" w:space="0" w:color="auto"/>
            </w:tcBorders>
            <w:shd w:val="clear" w:color="auto" w:fill="auto"/>
            <w:vAlign w:val="bottom"/>
          </w:tcPr>
          <w:p w14:paraId="54DEBBF5" w14:textId="1E6980B3" w:rsidR="00B13AB1" w:rsidRPr="008A189B" w:rsidRDefault="009A29EB" w:rsidP="00860EAD">
            <w:pPr>
              <w:pStyle w:val="TableText"/>
              <w:spacing w:before="40" w:after="40"/>
              <w:jc w:val="right"/>
              <w:rPr>
                <w:rFonts w:eastAsia="Arial" w:cs="Segoe UI"/>
                <w:b/>
                <w:bCs/>
                <w:sz w:val="17"/>
                <w:szCs w:val="17"/>
                <w:highlight w:val="yellow"/>
              </w:rPr>
            </w:pPr>
            <w:r w:rsidRPr="008A189B">
              <w:rPr>
                <w:rFonts w:cs="Segoe UI"/>
                <w:b/>
                <w:bCs/>
                <w:color w:val="000000"/>
                <w:sz w:val="17"/>
                <w:szCs w:val="17"/>
              </w:rPr>
              <w:t>81.358</w:t>
            </w:r>
          </w:p>
        </w:tc>
        <w:tc>
          <w:tcPr>
            <w:tcW w:w="8363" w:type="dxa"/>
            <w:tcBorders>
              <w:top w:val="single" w:sz="4" w:space="0" w:color="auto"/>
              <w:bottom w:val="single" w:sz="4" w:space="0" w:color="auto"/>
            </w:tcBorders>
          </w:tcPr>
          <w:p w14:paraId="7FDD9C16" w14:textId="77777777" w:rsidR="00B13AB1" w:rsidRPr="003F085C" w:rsidRDefault="00B13AB1" w:rsidP="00860EAD">
            <w:pPr>
              <w:pStyle w:val="TableText"/>
              <w:spacing w:before="40" w:after="40"/>
              <w:jc w:val="right"/>
              <w:rPr>
                <w:rFonts w:eastAsia="Arial" w:cs="Segoe UI"/>
                <w:b/>
                <w:bCs/>
                <w:sz w:val="17"/>
                <w:szCs w:val="17"/>
              </w:rPr>
            </w:pPr>
          </w:p>
        </w:tc>
      </w:tr>
    </w:tbl>
    <w:p w14:paraId="41FA5653" w14:textId="246A9576" w:rsidR="00B13AB1" w:rsidRPr="0043478F" w:rsidRDefault="00B13AB1" w:rsidP="00FD7201">
      <w:pPr>
        <w:pStyle w:val="Note"/>
      </w:pPr>
      <w:r w:rsidRPr="004739B4">
        <w:rPr>
          <w:rFonts w:eastAsia="Lucida Sans Unicode"/>
        </w:rPr>
        <w:t>Note</w:t>
      </w:r>
      <w:r>
        <w:rPr>
          <w:rFonts w:eastAsia="Lucida Sans Unicode"/>
        </w:rPr>
        <w:t>s</w:t>
      </w:r>
      <w:r w:rsidRPr="004739B4">
        <w:rPr>
          <w:rFonts w:eastAsia="Lucida Sans Unicode"/>
        </w:rPr>
        <w:t xml:space="preserve">: Proposed services are discussed </w:t>
      </w:r>
      <w:r w:rsidR="00F66B23">
        <w:rPr>
          <w:rFonts w:eastAsia="Lucida Sans Unicode"/>
        </w:rPr>
        <w:t xml:space="preserve">below </w:t>
      </w:r>
      <w:r w:rsidR="00B22D2C">
        <w:rPr>
          <w:rFonts w:eastAsia="Lucida Sans Unicode"/>
        </w:rPr>
        <w:t xml:space="preserve">and in </w:t>
      </w:r>
      <w:r w:rsidR="006E4107" w:rsidRPr="00C91E4B">
        <w:rPr>
          <w:rFonts w:eastAsia="Lucida Sans Unicode"/>
          <w:b/>
          <w:bCs/>
        </w:rPr>
        <w:t>A</w:t>
      </w:r>
      <w:r w:rsidR="00B22D2C" w:rsidRPr="00C91E4B">
        <w:rPr>
          <w:rFonts w:eastAsia="Lucida Sans Unicode"/>
          <w:b/>
          <w:bCs/>
        </w:rPr>
        <w:t xml:space="preserve">ppendix </w:t>
      </w:r>
      <w:r w:rsidR="006E4107" w:rsidRPr="00C91E4B">
        <w:rPr>
          <w:rFonts w:eastAsia="Lucida Sans Unicode"/>
          <w:b/>
          <w:bCs/>
        </w:rPr>
        <w:t>Five</w:t>
      </w:r>
      <w:r w:rsidR="00FB439E">
        <w:rPr>
          <w:rFonts w:eastAsia="Lucida Sans Unicode"/>
          <w:b/>
          <w:bCs/>
        </w:rPr>
        <w:t xml:space="preserve"> </w:t>
      </w:r>
      <w:r w:rsidR="00FB439E" w:rsidRPr="00C91E4B">
        <w:rPr>
          <w:rFonts w:eastAsia="Lucida Sans Unicode"/>
        </w:rPr>
        <w:t>in the Appendices</w:t>
      </w:r>
      <w:r w:rsidR="007C736E" w:rsidRPr="00C91E4B">
        <w:rPr>
          <w:rFonts w:eastAsia="Lucida Sans Unicode"/>
        </w:rPr>
        <w:t xml:space="preserve"> </w:t>
      </w:r>
      <w:r w:rsidR="00A95945" w:rsidRPr="00C91E4B">
        <w:rPr>
          <w:rFonts w:eastAsia="Lucida Sans Unicode"/>
        </w:rPr>
        <w:t>document</w:t>
      </w:r>
      <w:r w:rsidRPr="004739B4">
        <w:rPr>
          <w:rFonts w:eastAsia="Lucida Sans Unicode"/>
        </w:rPr>
        <w:t xml:space="preserve">. Budget </w:t>
      </w:r>
      <w:r>
        <w:rPr>
          <w:rFonts w:eastAsia="Lucida Sans Unicode"/>
        </w:rPr>
        <w:t xml:space="preserve">sums </w:t>
      </w:r>
      <w:r w:rsidRPr="004739B4">
        <w:rPr>
          <w:rFonts w:eastAsia="Lucida Sans Unicode"/>
        </w:rPr>
        <w:t xml:space="preserve">may not </w:t>
      </w:r>
      <w:r>
        <w:rPr>
          <w:rFonts w:eastAsia="Lucida Sans Unicode"/>
        </w:rPr>
        <w:t>total</w:t>
      </w:r>
      <w:r w:rsidRPr="004739B4">
        <w:rPr>
          <w:rFonts w:eastAsia="Lucida Sans Unicode"/>
        </w:rPr>
        <w:t xml:space="preserve"> due to rounding.</w:t>
      </w:r>
      <w:r>
        <w:rPr>
          <w:rFonts w:eastAsia="Lucida Sans Unicode"/>
        </w:rPr>
        <w:t xml:space="preserve">  </w:t>
      </w:r>
    </w:p>
    <w:p w14:paraId="3BCE7735" w14:textId="77777777" w:rsidR="00B13AB1" w:rsidRDefault="00B13AB1" w:rsidP="00FD7201">
      <w:pPr>
        <w:pStyle w:val="Note"/>
        <w:sectPr w:rsidR="00B13AB1" w:rsidSect="004825BB">
          <w:headerReference w:type="even" r:id="rId26"/>
          <w:headerReference w:type="default" r:id="rId27"/>
          <w:footerReference w:type="even" r:id="rId28"/>
          <w:footerReference w:type="default" r:id="rId29"/>
          <w:pgSz w:w="16834" w:h="11907" w:orient="landscape" w:code="9"/>
          <w:pgMar w:top="907" w:right="1701" w:bottom="1021" w:left="1701" w:header="284" w:footer="425" w:gutter="284"/>
          <w:cols w:space="720"/>
          <w:docGrid w:linePitch="286"/>
        </w:sectPr>
      </w:pPr>
    </w:p>
    <w:p w14:paraId="7AC009E9" w14:textId="00352CB8" w:rsidR="00B13AB1" w:rsidRPr="008A189B" w:rsidRDefault="00B13AB1" w:rsidP="008A189B">
      <w:pPr>
        <w:pStyle w:val="Heading2"/>
        <w:spacing w:before="0"/>
      </w:pPr>
      <w:bookmarkStart w:id="26" w:name="_Toc197527588"/>
      <w:r w:rsidRPr="008A189B">
        <w:lastRenderedPageBreak/>
        <w:t xml:space="preserve">Research and </w:t>
      </w:r>
      <w:proofErr w:type="gramStart"/>
      <w:r w:rsidR="00972203" w:rsidRPr="008A189B">
        <w:t>evaluation</w:t>
      </w:r>
      <w:bookmarkEnd w:id="26"/>
      <w:proofErr w:type="gramEnd"/>
    </w:p>
    <w:p w14:paraId="57085E8A" w14:textId="77777777" w:rsidR="00D96621" w:rsidRDefault="00B13AB1" w:rsidP="008A189B">
      <w:r w:rsidRPr="004A2B05">
        <w:rPr>
          <w:rFonts w:eastAsia="Segoe UI"/>
        </w:rPr>
        <w:t>Research funding is managed by the Ministry</w:t>
      </w:r>
      <w:r>
        <w:rPr>
          <w:rFonts w:eastAsia="Segoe UI"/>
        </w:rPr>
        <w:t>,</w:t>
      </w:r>
      <w:r w:rsidRPr="004A2B05">
        <w:rPr>
          <w:rFonts w:eastAsia="Segoe UI"/>
        </w:rPr>
        <w:t xml:space="preserve"> and s</w:t>
      </w:r>
      <w:r w:rsidRPr="004A2B05">
        <w:t>ervice evaluation is managed by Health New Zealand.</w:t>
      </w:r>
      <w:r>
        <w:t xml:space="preserve"> </w:t>
      </w:r>
    </w:p>
    <w:p w14:paraId="15595B85" w14:textId="77777777" w:rsidR="00D96621" w:rsidRDefault="00D96621" w:rsidP="008A189B"/>
    <w:p w14:paraId="344931CC" w14:textId="2BFCEB31" w:rsidR="00B13AB1" w:rsidRPr="00172194" w:rsidRDefault="00B13AB1" w:rsidP="008A189B">
      <w:pPr>
        <w:rPr>
          <w:rFonts w:eastAsia="Calibri"/>
        </w:rPr>
      </w:pPr>
      <w:r w:rsidRPr="67A699A4">
        <w:rPr>
          <w:rFonts w:eastAsia="Calibri"/>
        </w:rPr>
        <w:t xml:space="preserve">The Ministry has developed the following </w:t>
      </w:r>
      <w:r w:rsidRPr="007F05F9">
        <w:rPr>
          <w:rFonts w:eastAsia="Calibri"/>
        </w:rPr>
        <w:t>research and evaluation framework</w:t>
      </w:r>
      <w:r w:rsidRPr="67A699A4">
        <w:rPr>
          <w:rFonts w:eastAsia="Calibri"/>
        </w:rPr>
        <w:t xml:space="preserve"> to guide the planning of gambling harm research programme within and beyond the </w:t>
      </w:r>
      <w:r>
        <w:rPr>
          <w:rFonts w:eastAsia="Calibri"/>
        </w:rPr>
        <w:t>three</w:t>
      </w:r>
      <w:r w:rsidRPr="67A699A4">
        <w:rPr>
          <w:rFonts w:eastAsia="Calibri"/>
        </w:rPr>
        <w:t xml:space="preserve">-year </w:t>
      </w:r>
      <w:r w:rsidR="469BC92F" w:rsidRPr="67A699A4">
        <w:rPr>
          <w:rFonts w:eastAsia="Calibri"/>
        </w:rPr>
        <w:t>S</w:t>
      </w:r>
      <w:r w:rsidRPr="67A699A4">
        <w:rPr>
          <w:rFonts w:eastAsia="Calibri"/>
        </w:rPr>
        <w:t xml:space="preserve">trategy period. </w:t>
      </w:r>
      <w:r>
        <w:rPr>
          <w:rFonts w:eastAsia="Calibri"/>
        </w:rPr>
        <w:t>This framework addresses comments in the Gambling Commission’s 2022 report on levy funding that the research programme should extend beyond the three-year levy cycle</w:t>
      </w:r>
      <w:r>
        <w:rPr>
          <w:rStyle w:val="FootnoteReference"/>
          <w:rFonts w:eastAsia="Calibri"/>
        </w:rPr>
        <w:footnoteReference w:id="10"/>
      </w:r>
      <w:r>
        <w:rPr>
          <w:rFonts w:eastAsia="Calibri"/>
        </w:rPr>
        <w:t>.</w:t>
      </w:r>
    </w:p>
    <w:p w14:paraId="77082637" w14:textId="77777777" w:rsidR="00B13AB1" w:rsidRDefault="00B13AB1" w:rsidP="00FD7201"/>
    <w:p w14:paraId="0EAEF449" w14:textId="03531637" w:rsidR="00B13AB1" w:rsidRPr="00FD7201" w:rsidRDefault="00B13AB1" w:rsidP="00FD7201">
      <w:pPr>
        <w:pStyle w:val="Table"/>
      </w:pPr>
      <w:bookmarkStart w:id="27" w:name="_Toc197527598"/>
      <w:r w:rsidRPr="00FD7201">
        <w:t xml:space="preserve">Table </w:t>
      </w:r>
      <w:r>
        <w:fldChar w:fldCharType="begin"/>
      </w:r>
      <w:r>
        <w:instrText xml:space="preserve"> SEQ Table \* ARABIC </w:instrText>
      </w:r>
      <w:r>
        <w:fldChar w:fldCharType="separate"/>
      </w:r>
      <w:r w:rsidR="00066AB5">
        <w:rPr>
          <w:noProof/>
        </w:rPr>
        <w:t>2</w:t>
      </w:r>
      <w:r>
        <w:rPr>
          <w:noProof/>
        </w:rPr>
        <w:fldChar w:fldCharType="end"/>
      </w:r>
      <w:r w:rsidRPr="00FD7201">
        <w:t xml:space="preserve">: </w:t>
      </w:r>
      <w:r w:rsidRPr="00FD7201">
        <w:rPr>
          <w:rFonts w:eastAsia="Calibri"/>
        </w:rPr>
        <w:t>Gambling harm research and evaluation framework</w:t>
      </w:r>
      <w:bookmarkEnd w:id="27"/>
    </w:p>
    <w:tbl>
      <w:tblPr>
        <w:tblStyle w:val="TableGrid"/>
        <w:tblW w:w="808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843"/>
        <w:gridCol w:w="6237"/>
      </w:tblGrid>
      <w:tr w:rsidR="00B13AB1" w:rsidRPr="00172194" w14:paraId="03C23FD7" w14:textId="77777777" w:rsidTr="00FD7201">
        <w:trPr>
          <w:trHeight w:val="300"/>
        </w:trPr>
        <w:tc>
          <w:tcPr>
            <w:tcW w:w="1843" w:type="dxa"/>
            <w:tcBorders>
              <w:top w:val="nil"/>
              <w:bottom w:val="nil"/>
            </w:tcBorders>
            <w:shd w:val="clear" w:color="auto" w:fill="D9D9D9" w:themeFill="background1" w:themeFillShade="D9"/>
            <w:tcMar>
              <w:left w:w="108" w:type="dxa"/>
              <w:right w:w="108" w:type="dxa"/>
            </w:tcMar>
          </w:tcPr>
          <w:p w14:paraId="68DE4200" w14:textId="77777777" w:rsidR="00B13AB1" w:rsidRPr="00172194" w:rsidRDefault="00B13AB1" w:rsidP="00860EAD">
            <w:pPr>
              <w:pStyle w:val="TableText"/>
              <w:rPr>
                <w:b/>
                <w:bCs/>
              </w:rPr>
            </w:pPr>
            <w:r w:rsidRPr="00172194">
              <w:rPr>
                <w:rFonts w:eastAsia="Calibri"/>
                <w:b/>
                <w:bCs/>
              </w:rPr>
              <w:t>Functions</w:t>
            </w:r>
          </w:p>
        </w:tc>
        <w:tc>
          <w:tcPr>
            <w:tcW w:w="6237" w:type="dxa"/>
            <w:tcBorders>
              <w:top w:val="nil"/>
              <w:bottom w:val="nil"/>
            </w:tcBorders>
            <w:shd w:val="clear" w:color="auto" w:fill="D9D9D9" w:themeFill="background1" w:themeFillShade="D9"/>
            <w:tcMar>
              <w:left w:w="108" w:type="dxa"/>
              <w:right w:w="108" w:type="dxa"/>
            </w:tcMar>
          </w:tcPr>
          <w:p w14:paraId="3196DDA8" w14:textId="77777777" w:rsidR="00B13AB1" w:rsidRPr="00172194" w:rsidRDefault="00B13AB1" w:rsidP="00860EAD">
            <w:pPr>
              <w:pStyle w:val="TableText"/>
              <w:rPr>
                <w:b/>
                <w:bCs/>
              </w:rPr>
            </w:pPr>
            <w:r w:rsidRPr="00172194">
              <w:rPr>
                <w:rFonts w:eastAsia="Calibri"/>
                <w:b/>
                <w:bCs/>
              </w:rPr>
              <w:t>Description</w:t>
            </w:r>
          </w:p>
        </w:tc>
      </w:tr>
      <w:tr w:rsidR="00B13AB1" w:rsidRPr="00172194" w14:paraId="3E60F790" w14:textId="77777777" w:rsidTr="00FD7201">
        <w:trPr>
          <w:trHeight w:val="300"/>
        </w:trPr>
        <w:tc>
          <w:tcPr>
            <w:tcW w:w="1843" w:type="dxa"/>
            <w:tcBorders>
              <w:top w:val="nil"/>
            </w:tcBorders>
            <w:tcMar>
              <w:left w:w="108" w:type="dxa"/>
              <w:right w:w="108" w:type="dxa"/>
            </w:tcMar>
          </w:tcPr>
          <w:p w14:paraId="4E17CB5C" w14:textId="77777777" w:rsidR="00B13AB1" w:rsidRPr="00FD7201" w:rsidRDefault="00B13AB1" w:rsidP="00FD7201">
            <w:pPr>
              <w:pStyle w:val="TableText"/>
            </w:pPr>
            <w:r w:rsidRPr="00FD7201">
              <w:rPr>
                <w:rFonts w:eastAsia="Calibri"/>
              </w:rPr>
              <w:t>Monitoring of gambling harm</w:t>
            </w:r>
          </w:p>
        </w:tc>
        <w:tc>
          <w:tcPr>
            <w:tcW w:w="6237" w:type="dxa"/>
            <w:tcBorders>
              <w:top w:val="nil"/>
            </w:tcBorders>
            <w:tcMar>
              <w:left w:w="108" w:type="dxa"/>
              <w:right w:w="108" w:type="dxa"/>
            </w:tcMar>
          </w:tcPr>
          <w:p w14:paraId="01E1615E" w14:textId="4A734D73" w:rsidR="00B13AB1" w:rsidRPr="00FD7201" w:rsidRDefault="00B13AB1" w:rsidP="00FD7201">
            <w:pPr>
              <w:pStyle w:val="TableText"/>
            </w:pPr>
            <w:r w:rsidRPr="00FD7201">
              <w:rPr>
                <w:rFonts w:eastAsia="Calibri"/>
              </w:rPr>
              <w:t xml:space="preserve">Monitoring and analysis of gambling harm, risks, service use, and the changing environment through a range of studies, such </w:t>
            </w:r>
            <w:r w:rsidR="00901691" w:rsidRPr="00FD7201">
              <w:rPr>
                <w:rFonts w:eastAsia="Calibri"/>
              </w:rPr>
              <w:t>as longitudinal</w:t>
            </w:r>
            <w:r w:rsidRPr="00FD7201">
              <w:rPr>
                <w:rFonts w:eastAsia="Calibri"/>
              </w:rPr>
              <w:t xml:space="preserve"> studies, prevalence surveys, and other intelligence gathering for up-to-date data and analysis on gambling harm in New Zealand.</w:t>
            </w:r>
          </w:p>
        </w:tc>
      </w:tr>
      <w:tr w:rsidR="00B13AB1" w:rsidRPr="00172194" w14:paraId="3DA6DC44" w14:textId="77777777" w:rsidTr="00FD7201">
        <w:trPr>
          <w:trHeight w:val="300"/>
        </w:trPr>
        <w:tc>
          <w:tcPr>
            <w:tcW w:w="1843" w:type="dxa"/>
            <w:tcMar>
              <w:left w:w="108" w:type="dxa"/>
              <w:right w:w="108" w:type="dxa"/>
            </w:tcMar>
          </w:tcPr>
          <w:p w14:paraId="290633CC" w14:textId="77777777" w:rsidR="00B13AB1" w:rsidRPr="00FD7201" w:rsidRDefault="00B13AB1" w:rsidP="00FD7201">
            <w:pPr>
              <w:pStyle w:val="TableText"/>
            </w:pPr>
            <w:r w:rsidRPr="00FD7201">
              <w:rPr>
                <w:rFonts w:eastAsia="Calibri"/>
              </w:rPr>
              <w:t>Research to strengthen knowledge base</w:t>
            </w:r>
          </w:p>
        </w:tc>
        <w:tc>
          <w:tcPr>
            <w:tcW w:w="6237" w:type="dxa"/>
            <w:tcMar>
              <w:left w:w="108" w:type="dxa"/>
              <w:right w:w="108" w:type="dxa"/>
            </w:tcMar>
          </w:tcPr>
          <w:p w14:paraId="6DFDD37A" w14:textId="77777777" w:rsidR="00B13AB1" w:rsidRPr="00FD7201" w:rsidRDefault="00B13AB1" w:rsidP="00FD7201">
            <w:pPr>
              <w:pStyle w:val="TableText"/>
            </w:pPr>
            <w:r w:rsidRPr="00FD7201">
              <w:rPr>
                <w:rFonts w:eastAsia="Calibri"/>
              </w:rPr>
              <w:t>Research in areas where knowledge gaps exist, such as the impact of online gambling and eSport, alternative intervention and treatment options, and the use of administrative data to inform action and support gambling harm research capability in the sector.</w:t>
            </w:r>
          </w:p>
        </w:tc>
      </w:tr>
      <w:tr w:rsidR="00B13AB1" w:rsidRPr="00172194" w14:paraId="35F2E8E3" w14:textId="77777777" w:rsidTr="00FD7201">
        <w:trPr>
          <w:trHeight w:val="300"/>
        </w:trPr>
        <w:tc>
          <w:tcPr>
            <w:tcW w:w="1843" w:type="dxa"/>
            <w:tcMar>
              <w:left w:w="108" w:type="dxa"/>
              <w:right w:w="108" w:type="dxa"/>
            </w:tcMar>
          </w:tcPr>
          <w:p w14:paraId="455CFABD" w14:textId="77777777" w:rsidR="00B13AB1" w:rsidRPr="00FD7201" w:rsidRDefault="00B13AB1" w:rsidP="00FD7201">
            <w:pPr>
              <w:pStyle w:val="TableText"/>
            </w:pPr>
            <w:r w:rsidRPr="00FD7201">
              <w:rPr>
                <w:rFonts w:eastAsia="Calibri"/>
              </w:rPr>
              <w:t>Evaluation to understand what works</w:t>
            </w:r>
          </w:p>
        </w:tc>
        <w:tc>
          <w:tcPr>
            <w:tcW w:w="6237" w:type="dxa"/>
            <w:tcMar>
              <w:left w:w="108" w:type="dxa"/>
              <w:right w:w="108" w:type="dxa"/>
            </w:tcMar>
          </w:tcPr>
          <w:p w14:paraId="1B0BFCEE" w14:textId="697DC355" w:rsidR="00B13AB1" w:rsidRPr="00FD7201" w:rsidRDefault="18F740E2" w:rsidP="00FD7201">
            <w:pPr>
              <w:pStyle w:val="TableText"/>
              <w:rPr>
                <w:rFonts w:eastAsia="Calibri"/>
              </w:rPr>
            </w:pPr>
            <w:r w:rsidRPr="00FD7201">
              <w:rPr>
                <w:rFonts w:eastAsia="Calibri"/>
              </w:rPr>
              <w:t xml:space="preserve">Evaluation to understand what works to prevent harm from gambling and to minimise its impacts on individuals, families, and society including reviews </w:t>
            </w:r>
            <w:r w:rsidR="652BD661" w:rsidRPr="00FD7201">
              <w:rPr>
                <w:rFonts w:eastAsia="Calibri"/>
              </w:rPr>
              <w:t>of strategies</w:t>
            </w:r>
            <w:r w:rsidRPr="00FD7201">
              <w:rPr>
                <w:rFonts w:eastAsia="Calibri"/>
              </w:rPr>
              <w:t>, policies, services, and other related initiatives.</w:t>
            </w:r>
          </w:p>
        </w:tc>
      </w:tr>
      <w:tr w:rsidR="00B13AB1" w:rsidRPr="00172194" w14:paraId="0D52EA74" w14:textId="77777777" w:rsidTr="00FD7201">
        <w:trPr>
          <w:trHeight w:val="300"/>
        </w:trPr>
        <w:tc>
          <w:tcPr>
            <w:tcW w:w="1843" w:type="dxa"/>
            <w:tcMar>
              <w:left w:w="108" w:type="dxa"/>
              <w:right w:w="108" w:type="dxa"/>
            </w:tcMar>
          </w:tcPr>
          <w:p w14:paraId="42DD2FAC" w14:textId="77777777" w:rsidR="00B13AB1" w:rsidRPr="00FD7201" w:rsidRDefault="00B13AB1" w:rsidP="00FD7201">
            <w:pPr>
              <w:pStyle w:val="TableText"/>
            </w:pPr>
            <w:r w:rsidRPr="00FD7201">
              <w:rPr>
                <w:rFonts w:eastAsia="Calibri"/>
              </w:rPr>
              <w:t>Dissemination to support evidence-based decisions</w:t>
            </w:r>
          </w:p>
        </w:tc>
        <w:tc>
          <w:tcPr>
            <w:tcW w:w="6237" w:type="dxa"/>
            <w:tcMar>
              <w:left w:w="108" w:type="dxa"/>
              <w:right w:w="108" w:type="dxa"/>
            </w:tcMar>
          </w:tcPr>
          <w:p w14:paraId="3A7A9FD8" w14:textId="2C931A1A" w:rsidR="00B13AB1" w:rsidRPr="00FD7201" w:rsidRDefault="3659F5BD" w:rsidP="00FD7201">
            <w:pPr>
              <w:pStyle w:val="TableText"/>
              <w:rPr>
                <w:rFonts w:eastAsia="Calibri"/>
              </w:rPr>
            </w:pPr>
            <w:r w:rsidRPr="00FD7201">
              <w:rPr>
                <w:rFonts w:eastAsia="Calibri"/>
              </w:rPr>
              <w:t>Dissemination of commissioned gambling harm research findings through a range of platforms and tools, such as a centralised online platform, evidence briefs, and presentations to</w:t>
            </w:r>
            <w:r w:rsidRPr="00FD7201">
              <w:t xml:space="preserve"> </w:t>
            </w:r>
            <w:r w:rsidRPr="00FD7201">
              <w:rPr>
                <w:rFonts w:eastAsia="Calibri"/>
              </w:rPr>
              <w:t xml:space="preserve">raise awareness of and support the use of </w:t>
            </w:r>
            <w:r w:rsidR="72969BFE" w:rsidRPr="00FD7201">
              <w:rPr>
                <w:rFonts w:eastAsia="Calibri"/>
              </w:rPr>
              <w:t>evidence.</w:t>
            </w:r>
          </w:p>
        </w:tc>
      </w:tr>
    </w:tbl>
    <w:p w14:paraId="40F91478" w14:textId="77777777" w:rsidR="00B13AB1" w:rsidRDefault="00B13AB1" w:rsidP="008A189B">
      <w:pPr>
        <w:rPr>
          <w:rFonts w:eastAsia="Calibri"/>
        </w:rPr>
      </w:pPr>
    </w:p>
    <w:p w14:paraId="73751DFE" w14:textId="6149A8DD" w:rsidR="00061936" w:rsidRDefault="007B3753" w:rsidP="008A189B">
      <w:pPr>
        <w:rPr>
          <w:rFonts w:eastAsia="Calibri"/>
        </w:rPr>
      </w:pPr>
      <w:r>
        <w:rPr>
          <w:rFonts w:eastAsia="Calibri"/>
        </w:rPr>
        <w:t>A</w:t>
      </w:r>
      <w:r w:rsidR="00351C70">
        <w:rPr>
          <w:rFonts w:eastAsia="Calibri"/>
        </w:rPr>
        <w:t>s part of the research and evaluation programme, t</w:t>
      </w:r>
      <w:r w:rsidR="00B13AB1">
        <w:rPr>
          <w:rFonts w:eastAsia="Calibri"/>
        </w:rPr>
        <w:t xml:space="preserve">he Ministry will develop a monitoring framework with performance and impact measures of progress </w:t>
      </w:r>
      <w:r w:rsidR="00B13AB1" w:rsidRPr="72DB6E6D">
        <w:rPr>
          <w:rFonts w:eastAsia="Calibri"/>
        </w:rPr>
        <w:t xml:space="preserve">in </w:t>
      </w:r>
      <w:r w:rsidR="00B13AB1" w:rsidRPr="73E97C55">
        <w:rPr>
          <w:rFonts w:eastAsia="Calibri"/>
        </w:rPr>
        <w:t xml:space="preserve">preventing and minimising </w:t>
      </w:r>
      <w:r w:rsidR="00B13AB1">
        <w:rPr>
          <w:rFonts w:eastAsia="Calibri"/>
        </w:rPr>
        <w:t xml:space="preserve">gambling </w:t>
      </w:r>
      <w:r w:rsidR="00B13AB1" w:rsidRPr="73E97C55">
        <w:rPr>
          <w:rFonts w:eastAsia="Calibri"/>
        </w:rPr>
        <w:t>harm in New Zealand</w:t>
      </w:r>
      <w:r w:rsidR="00B13AB1">
        <w:rPr>
          <w:rFonts w:eastAsia="Calibri"/>
        </w:rPr>
        <w:t xml:space="preserve">. </w:t>
      </w:r>
    </w:p>
    <w:p w14:paraId="4EE4CC09" w14:textId="77777777" w:rsidR="00061936" w:rsidRDefault="00061936" w:rsidP="008A189B">
      <w:pPr>
        <w:rPr>
          <w:rFonts w:eastAsia="Calibri"/>
        </w:rPr>
      </w:pPr>
    </w:p>
    <w:p w14:paraId="2E931F81" w14:textId="6F0C88B0" w:rsidR="00B13AB1" w:rsidRPr="00172194" w:rsidRDefault="00B13AB1" w:rsidP="008A189B">
      <w:pPr>
        <w:rPr>
          <w:rFonts w:eastAsia="Calibri"/>
        </w:rPr>
      </w:pPr>
      <w:r w:rsidRPr="72DB6E6D">
        <w:rPr>
          <w:rFonts w:eastAsia="Calibri"/>
        </w:rPr>
        <w:t>There is also funding for i</w:t>
      </w:r>
      <w:r w:rsidRPr="000D2471">
        <w:rPr>
          <w:rFonts w:eastAsia="Calibri"/>
        </w:rPr>
        <w:t>nnovative</w:t>
      </w:r>
      <w:r w:rsidRPr="72DB6E6D">
        <w:rPr>
          <w:rFonts w:eastAsia="Calibri"/>
        </w:rPr>
        <w:t xml:space="preserve"> research in gambling harm and for scholarships for emerging researchers. </w:t>
      </w:r>
      <w:r w:rsidRPr="73E97C55">
        <w:rPr>
          <w:rFonts w:eastAsia="Calibri"/>
        </w:rPr>
        <w:t xml:space="preserve">Further detail about research and evaluation priorities is set out in </w:t>
      </w:r>
      <w:r w:rsidRPr="73E97C55">
        <w:rPr>
          <w:rFonts w:eastAsia="Calibri"/>
          <w:b/>
          <w:bCs/>
        </w:rPr>
        <w:t>Appendix Five</w:t>
      </w:r>
      <w:r w:rsidRPr="73E97C55">
        <w:rPr>
          <w:rFonts w:eastAsia="Calibri"/>
        </w:rPr>
        <w:t xml:space="preserve"> in the Appendices document.</w:t>
      </w:r>
    </w:p>
    <w:p w14:paraId="5D2C5E85" w14:textId="77777777" w:rsidR="00B13AB1" w:rsidRDefault="00B13AB1" w:rsidP="00B13AB1">
      <w:pPr>
        <w:pStyle w:val="Table"/>
      </w:pPr>
    </w:p>
    <w:p w14:paraId="5B5B768A" w14:textId="20911EDB" w:rsidR="00D96621" w:rsidRDefault="00D96621">
      <w:pPr>
        <w:rPr>
          <w:b/>
          <w:sz w:val="20"/>
        </w:rPr>
      </w:pPr>
      <w:r>
        <w:br w:type="page"/>
      </w:r>
    </w:p>
    <w:p w14:paraId="0A32F92C" w14:textId="14BEE23C" w:rsidR="00B13AB1" w:rsidRPr="00AA55BC" w:rsidRDefault="00B13AB1" w:rsidP="00B13AB1">
      <w:pPr>
        <w:pStyle w:val="Table"/>
      </w:pPr>
      <w:bookmarkStart w:id="28" w:name="_Toc197527599"/>
      <w:r w:rsidRPr="00AA55BC">
        <w:lastRenderedPageBreak/>
        <w:t xml:space="preserve">Table </w:t>
      </w:r>
      <w:r>
        <w:fldChar w:fldCharType="begin"/>
      </w:r>
      <w:r>
        <w:instrText xml:space="preserve"> SEQ Table \* ARABIC </w:instrText>
      </w:r>
      <w:r>
        <w:fldChar w:fldCharType="separate"/>
      </w:r>
      <w:r w:rsidR="00066AB5">
        <w:rPr>
          <w:noProof/>
        </w:rPr>
        <w:t>3</w:t>
      </w:r>
      <w:r>
        <w:rPr>
          <w:noProof/>
        </w:rPr>
        <w:fldChar w:fldCharType="end"/>
      </w:r>
      <w:r w:rsidRPr="00AA55BC">
        <w:t xml:space="preserve">: </w:t>
      </w:r>
      <w:r w:rsidRPr="00AA55BC">
        <w:rPr>
          <w:rFonts w:eastAsia="Segoe UI"/>
        </w:rPr>
        <w:t>Research and evaluation budget in millions (GST-exclusive), 2025/26 to 2027/28</w:t>
      </w:r>
      <w:bookmarkEnd w:id="28"/>
    </w:p>
    <w:tbl>
      <w:tblPr>
        <w:tblW w:w="8025" w:type="dxa"/>
        <w:tblLayout w:type="fixed"/>
        <w:tblLook w:val="06A0" w:firstRow="1" w:lastRow="0" w:firstColumn="1" w:lastColumn="0" w:noHBand="1" w:noVBand="1"/>
      </w:tblPr>
      <w:tblGrid>
        <w:gridCol w:w="3261"/>
        <w:gridCol w:w="1191"/>
        <w:gridCol w:w="1191"/>
        <w:gridCol w:w="1191"/>
        <w:gridCol w:w="1191"/>
      </w:tblGrid>
      <w:tr w:rsidR="00B13AB1" w:rsidRPr="00172194" w14:paraId="53FF20DB" w14:textId="77777777" w:rsidTr="00FD7201">
        <w:trPr>
          <w:trHeight w:val="340"/>
        </w:trPr>
        <w:tc>
          <w:tcPr>
            <w:tcW w:w="3261" w:type="dxa"/>
            <w:shd w:val="clear" w:color="auto" w:fill="D9D9D9" w:themeFill="background1" w:themeFillShade="D9"/>
            <w:tcMar>
              <w:top w:w="15" w:type="dxa"/>
              <w:left w:w="15" w:type="dxa"/>
              <w:right w:w="15" w:type="dxa"/>
            </w:tcMar>
            <w:vAlign w:val="center"/>
          </w:tcPr>
          <w:p w14:paraId="608DD331" w14:textId="77777777" w:rsidR="00B13AB1" w:rsidRPr="00FD7201" w:rsidRDefault="00B13AB1" w:rsidP="008A189B">
            <w:pPr>
              <w:pStyle w:val="TableText"/>
              <w:spacing w:line="264" w:lineRule="auto"/>
              <w:ind w:left="57"/>
              <w:rPr>
                <w:rFonts w:eastAsia="Calibri" w:cs="Segoe UI"/>
                <w:b/>
                <w:bCs/>
                <w:szCs w:val="18"/>
              </w:rPr>
            </w:pPr>
            <w:r w:rsidRPr="00FD7201">
              <w:rPr>
                <w:rFonts w:eastAsia="Calibri" w:cs="Segoe UI"/>
                <w:b/>
                <w:bCs/>
                <w:szCs w:val="18"/>
              </w:rPr>
              <w:t>Service area</w:t>
            </w:r>
          </w:p>
        </w:tc>
        <w:tc>
          <w:tcPr>
            <w:tcW w:w="1191" w:type="dxa"/>
            <w:shd w:val="clear" w:color="auto" w:fill="D9D9D9" w:themeFill="background1" w:themeFillShade="D9"/>
            <w:tcMar>
              <w:top w:w="15" w:type="dxa"/>
              <w:left w:w="15" w:type="dxa"/>
              <w:right w:w="15" w:type="dxa"/>
            </w:tcMar>
            <w:vAlign w:val="center"/>
          </w:tcPr>
          <w:p w14:paraId="3BEBE035" w14:textId="77777777" w:rsidR="00B13AB1" w:rsidRPr="008A189B" w:rsidRDefault="00B13AB1" w:rsidP="00860EAD">
            <w:pPr>
              <w:pStyle w:val="TableText"/>
              <w:spacing w:line="264" w:lineRule="auto"/>
              <w:ind w:left="57" w:right="57"/>
              <w:jc w:val="right"/>
              <w:rPr>
                <w:rFonts w:eastAsia="Calibri" w:cs="Segoe UI"/>
                <w:b/>
                <w:bCs/>
                <w:szCs w:val="18"/>
              </w:rPr>
            </w:pPr>
            <w:r w:rsidRPr="008A189B">
              <w:rPr>
                <w:rFonts w:eastAsia="Calibri" w:cs="Segoe UI"/>
                <w:b/>
                <w:bCs/>
                <w:szCs w:val="18"/>
              </w:rPr>
              <w:t>2025/26</w:t>
            </w:r>
          </w:p>
        </w:tc>
        <w:tc>
          <w:tcPr>
            <w:tcW w:w="1191" w:type="dxa"/>
            <w:shd w:val="clear" w:color="auto" w:fill="D9D9D9" w:themeFill="background1" w:themeFillShade="D9"/>
            <w:tcMar>
              <w:top w:w="15" w:type="dxa"/>
              <w:left w:w="15" w:type="dxa"/>
              <w:right w:w="15" w:type="dxa"/>
            </w:tcMar>
            <w:vAlign w:val="center"/>
          </w:tcPr>
          <w:p w14:paraId="63053030" w14:textId="77777777" w:rsidR="00B13AB1" w:rsidRPr="008A189B" w:rsidRDefault="00B13AB1" w:rsidP="00860EAD">
            <w:pPr>
              <w:pStyle w:val="TableText"/>
              <w:spacing w:line="264" w:lineRule="auto"/>
              <w:ind w:left="57" w:right="57"/>
              <w:jc w:val="right"/>
              <w:rPr>
                <w:rFonts w:eastAsia="Calibri" w:cs="Segoe UI"/>
                <w:b/>
                <w:bCs/>
                <w:szCs w:val="18"/>
              </w:rPr>
            </w:pPr>
            <w:r w:rsidRPr="008A189B">
              <w:rPr>
                <w:rFonts w:eastAsia="Calibri" w:cs="Segoe UI"/>
                <w:b/>
                <w:bCs/>
                <w:szCs w:val="18"/>
              </w:rPr>
              <w:t>2026/27</w:t>
            </w:r>
          </w:p>
        </w:tc>
        <w:tc>
          <w:tcPr>
            <w:tcW w:w="1191" w:type="dxa"/>
            <w:shd w:val="clear" w:color="auto" w:fill="D9D9D9" w:themeFill="background1" w:themeFillShade="D9"/>
            <w:tcMar>
              <w:top w:w="15" w:type="dxa"/>
              <w:left w:w="15" w:type="dxa"/>
              <w:right w:w="15" w:type="dxa"/>
            </w:tcMar>
            <w:vAlign w:val="center"/>
          </w:tcPr>
          <w:p w14:paraId="59168098" w14:textId="77777777" w:rsidR="00B13AB1" w:rsidRPr="008A189B" w:rsidRDefault="00B13AB1" w:rsidP="00860EAD">
            <w:pPr>
              <w:pStyle w:val="TableText"/>
              <w:spacing w:line="264" w:lineRule="auto"/>
              <w:ind w:left="57" w:right="57"/>
              <w:jc w:val="right"/>
              <w:rPr>
                <w:rFonts w:eastAsia="Calibri" w:cs="Segoe UI"/>
                <w:b/>
                <w:bCs/>
                <w:szCs w:val="18"/>
              </w:rPr>
            </w:pPr>
            <w:r w:rsidRPr="008A189B">
              <w:rPr>
                <w:rFonts w:eastAsia="Calibri" w:cs="Segoe UI"/>
                <w:b/>
                <w:bCs/>
                <w:szCs w:val="18"/>
              </w:rPr>
              <w:t>2027/28</w:t>
            </w:r>
          </w:p>
        </w:tc>
        <w:tc>
          <w:tcPr>
            <w:tcW w:w="1191" w:type="dxa"/>
            <w:shd w:val="clear" w:color="auto" w:fill="D9D9D9" w:themeFill="background1" w:themeFillShade="D9"/>
            <w:tcMar>
              <w:top w:w="15" w:type="dxa"/>
              <w:left w:w="15" w:type="dxa"/>
              <w:right w:w="15" w:type="dxa"/>
            </w:tcMar>
            <w:vAlign w:val="center"/>
          </w:tcPr>
          <w:p w14:paraId="4F503B48" w14:textId="77777777" w:rsidR="00B13AB1" w:rsidRPr="008A189B" w:rsidRDefault="00B13AB1" w:rsidP="00860EAD">
            <w:pPr>
              <w:pStyle w:val="TableText"/>
              <w:spacing w:line="264" w:lineRule="auto"/>
              <w:ind w:left="57" w:right="57"/>
              <w:jc w:val="right"/>
              <w:rPr>
                <w:rFonts w:eastAsia="Calibri" w:cs="Segoe UI"/>
                <w:b/>
                <w:bCs/>
                <w:szCs w:val="18"/>
              </w:rPr>
            </w:pPr>
            <w:r w:rsidRPr="008A189B">
              <w:rPr>
                <w:rFonts w:eastAsia="Calibri" w:cs="Segoe UI"/>
                <w:b/>
                <w:bCs/>
                <w:szCs w:val="18"/>
              </w:rPr>
              <w:t>Total</w:t>
            </w:r>
          </w:p>
        </w:tc>
      </w:tr>
      <w:tr w:rsidR="00B13AB1" w:rsidRPr="00172194" w14:paraId="1883FA05" w14:textId="77777777" w:rsidTr="00FD7201">
        <w:trPr>
          <w:trHeight w:val="340"/>
        </w:trPr>
        <w:tc>
          <w:tcPr>
            <w:tcW w:w="3261" w:type="dxa"/>
            <w:tcBorders>
              <w:bottom w:val="single" w:sz="4" w:space="0" w:color="A6A6A6" w:themeColor="background1" w:themeShade="A6"/>
            </w:tcBorders>
            <w:tcMar>
              <w:top w:w="15" w:type="dxa"/>
              <w:left w:w="15" w:type="dxa"/>
              <w:right w:w="15" w:type="dxa"/>
            </w:tcMar>
          </w:tcPr>
          <w:p w14:paraId="7D9C5A61" w14:textId="77777777" w:rsidR="00B13AB1" w:rsidRPr="00FD7201" w:rsidRDefault="00B13AB1" w:rsidP="008A189B">
            <w:pPr>
              <w:pStyle w:val="TableText"/>
              <w:spacing w:line="264" w:lineRule="auto"/>
              <w:ind w:left="57"/>
              <w:rPr>
                <w:rFonts w:eastAsia="Calibri" w:cs="Segoe UI"/>
                <w:szCs w:val="18"/>
              </w:rPr>
            </w:pPr>
            <w:r w:rsidRPr="00FD7201">
              <w:rPr>
                <w:rFonts w:eastAsia="Calibri" w:cs="Segoe UI"/>
                <w:szCs w:val="18"/>
              </w:rPr>
              <w:t>Research</w:t>
            </w:r>
          </w:p>
        </w:tc>
        <w:tc>
          <w:tcPr>
            <w:tcW w:w="1191" w:type="dxa"/>
            <w:tcBorders>
              <w:top w:val="nil"/>
              <w:left w:val="nil"/>
              <w:bottom w:val="single" w:sz="4" w:space="0" w:color="A6A6A6" w:themeColor="background1" w:themeShade="A6"/>
              <w:right w:val="nil"/>
            </w:tcBorders>
            <w:shd w:val="clear" w:color="auto" w:fill="auto"/>
            <w:tcMar>
              <w:top w:w="15" w:type="dxa"/>
              <w:left w:w="15" w:type="dxa"/>
              <w:right w:w="15" w:type="dxa"/>
            </w:tcMar>
            <w:vAlign w:val="center"/>
          </w:tcPr>
          <w:p w14:paraId="72443FDC" w14:textId="77777777" w:rsidR="00B13AB1" w:rsidRPr="008A189B" w:rsidRDefault="00B13AB1" w:rsidP="00860EAD">
            <w:pPr>
              <w:pStyle w:val="TableText"/>
              <w:spacing w:line="264" w:lineRule="auto"/>
              <w:ind w:right="57"/>
              <w:jc w:val="right"/>
              <w:rPr>
                <w:rFonts w:cs="Segoe UI"/>
                <w:color w:val="000000"/>
                <w:szCs w:val="18"/>
              </w:rPr>
            </w:pPr>
            <w:r w:rsidRPr="008A189B">
              <w:rPr>
                <w:rFonts w:cs="Segoe UI"/>
                <w:color w:val="000000"/>
                <w:szCs w:val="18"/>
              </w:rPr>
              <w:t>1.200</w:t>
            </w:r>
          </w:p>
        </w:tc>
        <w:tc>
          <w:tcPr>
            <w:tcW w:w="1191" w:type="dxa"/>
            <w:tcBorders>
              <w:top w:val="nil"/>
              <w:left w:val="nil"/>
              <w:bottom w:val="single" w:sz="4" w:space="0" w:color="A6A6A6" w:themeColor="background1" w:themeShade="A6"/>
              <w:right w:val="nil"/>
            </w:tcBorders>
            <w:shd w:val="clear" w:color="auto" w:fill="auto"/>
            <w:tcMar>
              <w:top w:w="15" w:type="dxa"/>
              <w:left w:w="15" w:type="dxa"/>
              <w:right w:w="15" w:type="dxa"/>
            </w:tcMar>
            <w:vAlign w:val="center"/>
          </w:tcPr>
          <w:p w14:paraId="3F52C83E" w14:textId="77777777" w:rsidR="00B13AB1" w:rsidRPr="008A189B" w:rsidRDefault="00B13AB1" w:rsidP="00860EAD">
            <w:pPr>
              <w:pStyle w:val="TableText"/>
              <w:spacing w:line="264" w:lineRule="auto"/>
              <w:ind w:right="57"/>
              <w:jc w:val="right"/>
              <w:rPr>
                <w:rFonts w:cs="Segoe UI"/>
                <w:color w:val="000000"/>
                <w:szCs w:val="18"/>
              </w:rPr>
            </w:pPr>
            <w:r w:rsidRPr="008A189B">
              <w:rPr>
                <w:rFonts w:cs="Segoe UI"/>
                <w:color w:val="000000"/>
                <w:szCs w:val="18"/>
              </w:rPr>
              <w:t>1.670</w:t>
            </w:r>
          </w:p>
        </w:tc>
        <w:tc>
          <w:tcPr>
            <w:tcW w:w="1191" w:type="dxa"/>
            <w:tcBorders>
              <w:top w:val="nil"/>
              <w:left w:val="nil"/>
              <w:bottom w:val="single" w:sz="4" w:space="0" w:color="A6A6A6" w:themeColor="background1" w:themeShade="A6"/>
              <w:right w:val="nil"/>
            </w:tcBorders>
            <w:shd w:val="clear" w:color="auto" w:fill="auto"/>
            <w:tcMar>
              <w:top w:w="15" w:type="dxa"/>
              <w:left w:w="15" w:type="dxa"/>
              <w:right w:w="15" w:type="dxa"/>
            </w:tcMar>
            <w:vAlign w:val="center"/>
          </w:tcPr>
          <w:p w14:paraId="65D8CCF6" w14:textId="77777777" w:rsidR="00B13AB1" w:rsidRPr="008A189B" w:rsidRDefault="00B13AB1" w:rsidP="00860EAD">
            <w:pPr>
              <w:pStyle w:val="TableText"/>
              <w:spacing w:line="264" w:lineRule="auto"/>
              <w:ind w:right="57"/>
              <w:jc w:val="right"/>
              <w:rPr>
                <w:rFonts w:cs="Segoe UI"/>
                <w:color w:val="000000"/>
                <w:szCs w:val="18"/>
              </w:rPr>
            </w:pPr>
            <w:r w:rsidRPr="008A189B">
              <w:rPr>
                <w:rFonts w:cs="Segoe UI"/>
                <w:color w:val="000000"/>
                <w:szCs w:val="18"/>
              </w:rPr>
              <w:t>0.900</w:t>
            </w:r>
          </w:p>
        </w:tc>
        <w:tc>
          <w:tcPr>
            <w:tcW w:w="1191" w:type="dxa"/>
            <w:tcBorders>
              <w:top w:val="nil"/>
              <w:left w:val="nil"/>
              <w:bottom w:val="single" w:sz="4" w:space="0" w:color="A6A6A6" w:themeColor="background1" w:themeShade="A6"/>
              <w:right w:val="nil"/>
            </w:tcBorders>
            <w:shd w:val="clear" w:color="auto" w:fill="auto"/>
            <w:tcMar>
              <w:top w:w="15" w:type="dxa"/>
              <w:left w:w="15" w:type="dxa"/>
              <w:right w:w="15" w:type="dxa"/>
            </w:tcMar>
            <w:vAlign w:val="center"/>
          </w:tcPr>
          <w:p w14:paraId="493BDC6C" w14:textId="77777777" w:rsidR="00B13AB1" w:rsidRPr="008A189B" w:rsidRDefault="00B13AB1" w:rsidP="00860EAD">
            <w:pPr>
              <w:pStyle w:val="TableText"/>
              <w:spacing w:line="264" w:lineRule="auto"/>
              <w:ind w:right="57"/>
              <w:jc w:val="right"/>
              <w:rPr>
                <w:rFonts w:cs="Segoe UI"/>
                <w:b/>
                <w:bCs/>
                <w:color w:val="000000"/>
                <w:szCs w:val="18"/>
              </w:rPr>
            </w:pPr>
            <w:r w:rsidRPr="008A189B">
              <w:rPr>
                <w:rFonts w:cs="Segoe UI"/>
                <w:b/>
                <w:bCs/>
                <w:color w:val="000000"/>
                <w:szCs w:val="18"/>
              </w:rPr>
              <w:t>3.770</w:t>
            </w:r>
          </w:p>
        </w:tc>
      </w:tr>
      <w:tr w:rsidR="00B13AB1" w:rsidRPr="00172194" w14:paraId="7A0DF14B" w14:textId="77777777" w:rsidTr="00CB7B9E">
        <w:trPr>
          <w:trHeight w:val="340"/>
        </w:trPr>
        <w:tc>
          <w:tcPr>
            <w:tcW w:w="3261" w:type="dxa"/>
            <w:tcBorders>
              <w:top w:val="single" w:sz="4" w:space="0" w:color="A6A6A6" w:themeColor="background1" w:themeShade="A6"/>
              <w:bottom w:val="single" w:sz="4" w:space="0" w:color="auto"/>
            </w:tcBorders>
            <w:tcMar>
              <w:top w:w="15" w:type="dxa"/>
              <w:left w:w="15" w:type="dxa"/>
              <w:right w:w="15" w:type="dxa"/>
            </w:tcMar>
          </w:tcPr>
          <w:p w14:paraId="1A1B630B" w14:textId="77777777" w:rsidR="00B13AB1" w:rsidRPr="00FD7201" w:rsidRDefault="00B13AB1" w:rsidP="008A189B">
            <w:pPr>
              <w:pStyle w:val="TableText"/>
              <w:spacing w:line="264" w:lineRule="auto"/>
              <w:ind w:left="57"/>
              <w:rPr>
                <w:rFonts w:eastAsia="Calibri" w:cs="Segoe UI"/>
                <w:szCs w:val="18"/>
              </w:rPr>
            </w:pPr>
            <w:r w:rsidRPr="00FD7201">
              <w:rPr>
                <w:rFonts w:eastAsia="Calibri" w:cs="Segoe UI"/>
                <w:szCs w:val="18"/>
              </w:rPr>
              <w:t>Evaluation</w:t>
            </w:r>
          </w:p>
        </w:tc>
        <w:tc>
          <w:tcPr>
            <w:tcW w:w="1191" w:type="dxa"/>
            <w:tcBorders>
              <w:top w:val="nil"/>
              <w:left w:val="nil"/>
              <w:bottom w:val="single" w:sz="4" w:space="0" w:color="auto"/>
              <w:right w:val="nil"/>
            </w:tcBorders>
            <w:shd w:val="clear" w:color="auto" w:fill="auto"/>
            <w:tcMar>
              <w:top w:w="15" w:type="dxa"/>
              <w:left w:w="15" w:type="dxa"/>
              <w:right w:w="15" w:type="dxa"/>
            </w:tcMar>
            <w:vAlign w:val="bottom"/>
          </w:tcPr>
          <w:p w14:paraId="27B34C94" w14:textId="5C024530" w:rsidR="00B13AB1" w:rsidRPr="008A189B" w:rsidRDefault="00D62668" w:rsidP="00860EAD">
            <w:pPr>
              <w:pStyle w:val="TableText"/>
              <w:spacing w:line="264" w:lineRule="auto"/>
              <w:ind w:right="57"/>
              <w:jc w:val="right"/>
              <w:rPr>
                <w:rFonts w:cs="Segoe UI"/>
                <w:color w:val="000000"/>
                <w:szCs w:val="18"/>
              </w:rPr>
            </w:pPr>
            <w:r w:rsidRPr="008A189B">
              <w:rPr>
                <w:rFonts w:cs="Segoe UI"/>
                <w:szCs w:val="18"/>
              </w:rPr>
              <w:t>0.420</w:t>
            </w:r>
          </w:p>
        </w:tc>
        <w:tc>
          <w:tcPr>
            <w:tcW w:w="1191" w:type="dxa"/>
            <w:tcBorders>
              <w:top w:val="nil"/>
              <w:left w:val="nil"/>
              <w:bottom w:val="single" w:sz="4" w:space="0" w:color="auto"/>
              <w:right w:val="nil"/>
            </w:tcBorders>
            <w:shd w:val="clear" w:color="auto" w:fill="auto"/>
            <w:tcMar>
              <w:top w:w="15" w:type="dxa"/>
              <w:left w:w="15" w:type="dxa"/>
              <w:right w:w="15" w:type="dxa"/>
            </w:tcMar>
            <w:vAlign w:val="bottom"/>
          </w:tcPr>
          <w:p w14:paraId="248D8A5B" w14:textId="5E2529FD" w:rsidR="00B13AB1" w:rsidRPr="008A189B" w:rsidRDefault="00D62668" w:rsidP="00860EAD">
            <w:pPr>
              <w:pStyle w:val="TableText"/>
              <w:spacing w:line="264" w:lineRule="auto"/>
              <w:ind w:right="57"/>
              <w:jc w:val="right"/>
              <w:rPr>
                <w:rFonts w:cs="Segoe UI"/>
                <w:color w:val="000000"/>
                <w:szCs w:val="18"/>
              </w:rPr>
            </w:pPr>
            <w:r w:rsidRPr="008A189B">
              <w:rPr>
                <w:rFonts w:cs="Segoe UI"/>
                <w:szCs w:val="18"/>
              </w:rPr>
              <w:t>0.475</w:t>
            </w:r>
          </w:p>
        </w:tc>
        <w:tc>
          <w:tcPr>
            <w:tcW w:w="1191" w:type="dxa"/>
            <w:tcBorders>
              <w:top w:val="nil"/>
              <w:left w:val="nil"/>
              <w:bottom w:val="single" w:sz="4" w:space="0" w:color="auto"/>
              <w:right w:val="nil"/>
            </w:tcBorders>
            <w:shd w:val="clear" w:color="auto" w:fill="auto"/>
            <w:tcMar>
              <w:top w:w="15" w:type="dxa"/>
              <w:left w:w="15" w:type="dxa"/>
              <w:right w:w="15" w:type="dxa"/>
            </w:tcMar>
            <w:vAlign w:val="bottom"/>
          </w:tcPr>
          <w:p w14:paraId="65018E90" w14:textId="52C8A9CC" w:rsidR="00B13AB1" w:rsidRPr="008A189B" w:rsidRDefault="00D62668" w:rsidP="00860EAD">
            <w:pPr>
              <w:pStyle w:val="TableText"/>
              <w:spacing w:line="264" w:lineRule="auto"/>
              <w:ind w:right="57"/>
              <w:jc w:val="right"/>
              <w:rPr>
                <w:rFonts w:cs="Segoe UI"/>
                <w:color w:val="000000"/>
                <w:szCs w:val="18"/>
              </w:rPr>
            </w:pPr>
            <w:r w:rsidRPr="008A189B">
              <w:rPr>
                <w:rFonts w:cs="Segoe UI"/>
                <w:szCs w:val="18"/>
              </w:rPr>
              <w:t>0.370</w:t>
            </w:r>
          </w:p>
        </w:tc>
        <w:tc>
          <w:tcPr>
            <w:tcW w:w="1191" w:type="dxa"/>
            <w:tcBorders>
              <w:top w:val="nil"/>
              <w:left w:val="nil"/>
              <w:bottom w:val="single" w:sz="4" w:space="0" w:color="auto"/>
              <w:right w:val="nil"/>
            </w:tcBorders>
            <w:shd w:val="clear" w:color="auto" w:fill="auto"/>
            <w:tcMar>
              <w:top w:w="15" w:type="dxa"/>
              <w:left w:w="15" w:type="dxa"/>
              <w:right w:w="15" w:type="dxa"/>
            </w:tcMar>
            <w:vAlign w:val="bottom"/>
          </w:tcPr>
          <w:p w14:paraId="07C70B6C" w14:textId="7726DD9C" w:rsidR="00B13AB1" w:rsidRPr="008A189B" w:rsidRDefault="00D62668" w:rsidP="00860EAD">
            <w:pPr>
              <w:pStyle w:val="TableText"/>
              <w:spacing w:line="264" w:lineRule="auto"/>
              <w:ind w:right="57"/>
              <w:jc w:val="right"/>
              <w:rPr>
                <w:rFonts w:cs="Segoe UI"/>
                <w:b/>
                <w:bCs/>
                <w:color w:val="000000"/>
                <w:szCs w:val="18"/>
              </w:rPr>
            </w:pPr>
            <w:r w:rsidRPr="008A189B">
              <w:rPr>
                <w:rFonts w:cs="Segoe UI"/>
                <w:szCs w:val="18"/>
              </w:rPr>
              <w:t>1.265</w:t>
            </w:r>
          </w:p>
        </w:tc>
      </w:tr>
      <w:tr w:rsidR="00B13AB1" w:rsidRPr="00FD7201" w14:paraId="14CA95AB" w14:textId="77777777" w:rsidTr="00CB7B9E">
        <w:trPr>
          <w:trHeight w:val="340"/>
        </w:trPr>
        <w:tc>
          <w:tcPr>
            <w:tcW w:w="3261" w:type="dxa"/>
            <w:tcBorders>
              <w:top w:val="single" w:sz="4" w:space="0" w:color="auto"/>
              <w:bottom w:val="single" w:sz="4" w:space="0" w:color="auto"/>
            </w:tcBorders>
            <w:tcMar>
              <w:top w:w="15" w:type="dxa"/>
              <w:left w:w="15" w:type="dxa"/>
              <w:right w:w="15" w:type="dxa"/>
            </w:tcMar>
          </w:tcPr>
          <w:p w14:paraId="03EEB9E5" w14:textId="77777777" w:rsidR="00B13AB1" w:rsidRPr="00FD7201" w:rsidRDefault="00B13AB1" w:rsidP="008A189B">
            <w:pPr>
              <w:pStyle w:val="TableText"/>
              <w:spacing w:line="264" w:lineRule="auto"/>
              <w:ind w:left="57"/>
              <w:rPr>
                <w:rFonts w:eastAsia="Calibri" w:cs="Segoe UI"/>
                <w:b/>
                <w:bCs/>
                <w:szCs w:val="18"/>
              </w:rPr>
            </w:pPr>
            <w:r w:rsidRPr="00FD7201">
              <w:rPr>
                <w:rFonts w:eastAsia="Calibri" w:cs="Segoe UI"/>
                <w:b/>
                <w:bCs/>
                <w:szCs w:val="18"/>
              </w:rPr>
              <w:t>Total</w:t>
            </w:r>
          </w:p>
        </w:tc>
        <w:tc>
          <w:tcPr>
            <w:tcW w:w="1191" w:type="dxa"/>
            <w:tcBorders>
              <w:top w:val="single" w:sz="4" w:space="0" w:color="auto"/>
              <w:left w:val="nil"/>
              <w:bottom w:val="single" w:sz="4" w:space="0" w:color="auto"/>
              <w:right w:val="nil"/>
            </w:tcBorders>
            <w:shd w:val="clear" w:color="auto" w:fill="auto"/>
            <w:tcMar>
              <w:top w:w="15" w:type="dxa"/>
              <w:left w:w="15" w:type="dxa"/>
              <w:right w:w="15" w:type="dxa"/>
            </w:tcMar>
            <w:vAlign w:val="bottom"/>
          </w:tcPr>
          <w:p w14:paraId="785E2C2D" w14:textId="29109618" w:rsidR="00B13AB1" w:rsidRPr="008A189B" w:rsidRDefault="00226EC2" w:rsidP="00860EAD">
            <w:pPr>
              <w:pStyle w:val="TableText"/>
              <w:spacing w:line="264" w:lineRule="auto"/>
              <w:ind w:right="57"/>
              <w:jc w:val="right"/>
              <w:rPr>
                <w:rFonts w:eastAsia="Calibri" w:cs="Segoe UI"/>
                <w:b/>
                <w:bCs/>
                <w:szCs w:val="18"/>
              </w:rPr>
            </w:pPr>
            <w:r w:rsidRPr="008A189B">
              <w:rPr>
                <w:rFonts w:cs="Segoe UI"/>
                <w:b/>
                <w:bCs/>
                <w:szCs w:val="18"/>
              </w:rPr>
              <w:t>1.620</w:t>
            </w:r>
          </w:p>
        </w:tc>
        <w:tc>
          <w:tcPr>
            <w:tcW w:w="1191" w:type="dxa"/>
            <w:tcBorders>
              <w:top w:val="single" w:sz="4" w:space="0" w:color="auto"/>
              <w:left w:val="nil"/>
              <w:bottom w:val="single" w:sz="4" w:space="0" w:color="auto"/>
              <w:right w:val="nil"/>
            </w:tcBorders>
            <w:shd w:val="clear" w:color="auto" w:fill="auto"/>
            <w:tcMar>
              <w:top w:w="15" w:type="dxa"/>
              <w:left w:w="15" w:type="dxa"/>
              <w:right w:w="15" w:type="dxa"/>
            </w:tcMar>
            <w:vAlign w:val="bottom"/>
          </w:tcPr>
          <w:p w14:paraId="4FD1BE12" w14:textId="7C5AEA43" w:rsidR="00B13AB1" w:rsidRPr="008A189B" w:rsidRDefault="00226EC2" w:rsidP="00860EAD">
            <w:pPr>
              <w:pStyle w:val="TableText"/>
              <w:spacing w:line="264" w:lineRule="auto"/>
              <w:ind w:right="57"/>
              <w:jc w:val="right"/>
              <w:rPr>
                <w:rFonts w:eastAsia="Calibri" w:cs="Segoe UI"/>
                <w:b/>
                <w:bCs/>
                <w:szCs w:val="18"/>
              </w:rPr>
            </w:pPr>
            <w:r w:rsidRPr="008A189B">
              <w:rPr>
                <w:rFonts w:cs="Segoe UI"/>
                <w:b/>
                <w:bCs/>
                <w:szCs w:val="18"/>
              </w:rPr>
              <w:t>2.145</w:t>
            </w:r>
          </w:p>
        </w:tc>
        <w:tc>
          <w:tcPr>
            <w:tcW w:w="1191" w:type="dxa"/>
            <w:tcBorders>
              <w:top w:val="single" w:sz="4" w:space="0" w:color="auto"/>
              <w:left w:val="nil"/>
              <w:bottom w:val="single" w:sz="4" w:space="0" w:color="auto"/>
              <w:right w:val="nil"/>
            </w:tcBorders>
            <w:shd w:val="clear" w:color="auto" w:fill="auto"/>
            <w:tcMar>
              <w:top w:w="15" w:type="dxa"/>
              <w:left w:w="15" w:type="dxa"/>
              <w:right w:w="15" w:type="dxa"/>
            </w:tcMar>
            <w:vAlign w:val="bottom"/>
          </w:tcPr>
          <w:p w14:paraId="3C759EF7" w14:textId="46D9FA7C" w:rsidR="00B13AB1" w:rsidRPr="008A189B" w:rsidRDefault="00226EC2" w:rsidP="00860EAD">
            <w:pPr>
              <w:pStyle w:val="TableText"/>
              <w:spacing w:line="264" w:lineRule="auto"/>
              <w:ind w:right="57"/>
              <w:jc w:val="right"/>
              <w:rPr>
                <w:rFonts w:eastAsia="Calibri" w:cs="Segoe UI"/>
                <w:b/>
                <w:bCs/>
                <w:szCs w:val="18"/>
              </w:rPr>
            </w:pPr>
            <w:r w:rsidRPr="008A189B">
              <w:rPr>
                <w:rFonts w:cs="Segoe UI"/>
                <w:b/>
                <w:bCs/>
                <w:szCs w:val="18"/>
              </w:rPr>
              <w:t>1.270</w:t>
            </w:r>
          </w:p>
        </w:tc>
        <w:tc>
          <w:tcPr>
            <w:tcW w:w="1191" w:type="dxa"/>
            <w:tcBorders>
              <w:top w:val="single" w:sz="4" w:space="0" w:color="auto"/>
              <w:left w:val="nil"/>
              <w:bottom w:val="single" w:sz="4" w:space="0" w:color="auto"/>
              <w:right w:val="nil"/>
            </w:tcBorders>
            <w:shd w:val="clear" w:color="auto" w:fill="auto"/>
            <w:tcMar>
              <w:top w:w="15" w:type="dxa"/>
              <w:left w:w="15" w:type="dxa"/>
              <w:right w:w="15" w:type="dxa"/>
            </w:tcMar>
            <w:vAlign w:val="bottom"/>
          </w:tcPr>
          <w:p w14:paraId="07604F30" w14:textId="336B417D" w:rsidR="00B13AB1" w:rsidRPr="008A189B" w:rsidRDefault="00226EC2" w:rsidP="00860EAD">
            <w:pPr>
              <w:pStyle w:val="TableText"/>
              <w:spacing w:line="264" w:lineRule="auto"/>
              <w:ind w:right="57"/>
              <w:jc w:val="right"/>
              <w:rPr>
                <w:rFonts w:eastAsia="Calibri" w:cs="Segoe UI"/>
                <w:b/>
                <w:bCs/>
                <w:szCs w:val="18"/>
              </w:rPr>
            </w:pPr>
            <w:r w:rsidRPr="008A189B">
              <w:rPr>
                <w:rFonts w:cs="Segoe UI"/>
                <w:b/>
                <w:bCs/>
                <w:szCs w:val="18"/>
              </w:rPr>
              <w:t>5.035</w:t>
            </w:r>
          </w:p>
        </w:tc>
      </w:tr>
    </w:tbl>
    <w:p w14:paraId="3ADC818F" w14:textId="77777777" w:rsidR="00B13AB1" w:rsidRPr="00FD7201" w:rsidRDefault="00B13AB1" w:rsidP="00FD7201">
      <w:pPr>
        <w:pStyle w:val="Note"/>
      </w:pPr>
      <w:r w:rsidRPr="00FD7201">
        <w:t>Note: Budget sums may not total due to rounding</w:t>
      </w:r>
      <w:r w:rsidRPr="00FD7201" w:rsidDel="001B3F1E">
        <w:t xml:space="preserve"> </w:t>
      </w:r>
    </w:p>
    <w:p w14:paraId="4FBD9D16" w14:textId="77777777" w:rsidR="00B13AB1" w:rsidRPr="00FD7201" w:rsidRDefault="00B13AB1" w:rsidP="00FD7201">
      <w:pPr>
        <w:pStyle w:val="Heading2"/>
      </w:pPr>
      <w:bookmarkStart w:id="29" w:name="_Toc197527589"/>
      <w:r w:rsidRPr="00FD7201">
        <w:t>Agency operating costs</w:t>
      </w:r>
      <w:bookmarkEnd w:id="29"/>
    </w:p>
    <w:p w14:paraId="6FCC8A67" w14:textId="6E393744" w:rsidR="007B3753" w:rsidRDefault="00B13AB1" w:rsidP="008A189B">
      <w:r w:rsidRPr="7EFC6199">
        <w:rPr>
          <w:rFonts w:eastAsia="Lucida Sans Unicode"/>
        </w:rPr>
        <w:t>Agencies</w:t>
      </w:r>
      <w:r>
        <w:rPr>
          <w:rFonts w:eastAsia="Lucida Sans Unicode"/>
        </w:rPr>
        <w:t>’</w:t>
      </w:r>
      <w:r w:rsidRPr="7EFC6199">
        <w:rPr>
          <w:rFonts w:eastAsia="Lucida Sans Unicode"/>
        </w:rPr>
        <w:t xml:space="preserve"> operating costs</w:t>
      </w:r>
      <w:r>
        <w:t xml:space="preserve"> </w:t>
      </w:r>
      <w:r w:rsidRPr="7EFC6199">
        <w:rPr>
          <w:rFonts w:eastAsia="Lucida Sans Unicode"/>
        </w:rPr>
        <w:t>cover various responsibilities under the Act to be fulfilled, including the development</w:t>
      </w:r>
      <w:r>
        <w:rPr>
          <w:rFonts w:eastAsia="Lucida Sans Unicode"/>
        </w:rPr>
        <w:t xml:space="preserve">, </w:t>
      </w:r>
      <w:r w:rsidRPr="7EFC6199">
        <w:rPr>
          <w:rFonts w:eastAsia="Lucida Sans Unicode"/>
        </w:rPr>
        <w:t xml:space="preserve">implementation </w:t>
      </w:r>
      <w:r>
        <w:rPr>
          <w:rFonts w:eastAsia="Lucida Sans Unicode"/>
        </w:rPr>
        <w:t xml:space="preserve">and oversight </w:t>
      </w:r>
      <w:r w:rsidRPr="7EFC6199">
        <w:rPr>
          <w:rFonts w:eastAsia="Lucida Sans Unicode"/>
        </w:rPr>
        <w:t xml:space="preserve">of this </w:t>
      </w:r>
      <w:r w:rsidR="5C20E911" w:rsidRPr="3DD93037">
        <w:rPr>
          <w:rFonts w:eastAsia="Lucida Sans Unicode"/>
        </w:rPr>
        <w:t>S</w:t>
      </w:r>
      <w:r w:rsidRPr="507BDF3D">
        <w:rPr>
          <w:rFonts w:eastAsia="Lucida Sans Unicode"/>
        </w:rPr>
        <w:t>trategy</w:t>
      </w:r>
      <w:r>
        <w:t xml:space="preserve"> and reporting on gambling harm prevention and minimisation activities. </w:t>
      </w:r>
    </w:p>
    <w:p w14:paraId="69F20F2A" w14:textId="77777777" w:rsidR="007B3753" w:rsidRDefault="007B3753" w:rsidP="008A189B"/>
    <w:p w14:paraId="563E482F" w14:textId="2EB4CAF4" w:rsidR="007B3753" w:rsidRDefault="007B3753" w:rsidP="008A189B">
      <w:pPr>
        <w:rPr>
          <w:rFonts w:eastAsia="Calibri"/>
        </w:rPr>
      </w:pPr>
      <w:r>
        <w:rPr>
          <w:rFonts w:eastAsia="Calibri"/>
        </w:rPr>
        <w:t xml:space="preserve">In response to recommendation made by the Gambling Commission in their 2025 and previous reports on the problem gambling levy and endorsed by several submissions, </w:t>
      </w:r>
      <w:r w:rsidRPr="72DB6E6D">
        <w:rPr>
          <w:rFonts w:eastAsia="Calibri"/>
        </w:rPr>
        <w:t xml:space="preserve">the </w:t>
      </w:r>
      <w:r>
        <w:rPr>
          <w:rFonts w:eastAsia="Calibri"/>
        </w:rPr>
        <w:t>Ministry will lead</w:t>
      </w:r>
      <w:r w:rsidRPr="72DB6E6D">
        <w:rPr>
          <w:rFonts w:eastAsia="Calibri"/>
        </w:rPr>
        <w:t xml:space="preserve"> a</w:t>
      </w:r>
      <w:r>
        <w:rPr>
          <w:rFonts w:eastAsia="Calibri"/>
        </w:rPr>
        <w:t xml:space="preserve"> review of the strategy through an</w:t>
      </w:r>
      <w:r w:rsidRPr="73E97C55">
        <w:rPr>
          <w:rFonts w:eastAsia="Calibri"/>
        </w:rPr>
        <w:t xml:space="preserve"> </w:t>
      </w:r>
      <w:r>
        <w:rPr>
          <w:rFonts w:eastAsia="Calibri"/>
        </w:rPr>
        <w:t xml:space="preserve">impact evaluation, with these costs reflected here. </w:t>
      </w:r>
    </w:p>
    <w:p w14:paraId="50A08F8C" w14:textId="77777777" w:rsidR="007B3753" w:rsidRDefault="007B3753" w:rsidP="008A189B">
      <w:pPr>
        <w:rPr>
          <w:rFonts w:eastAsia="Calibri"/>
        </w:rPr>
      </w:pPr>
    </w:p>
    <w:p w14:paraId="38403DAB" w14:textId="2E6415AE" w:rsidR="00B13AB1" w:rsidRDefault="007B3753" w:rsidP="008A189B">
      <w:pPr>
        <w:rPr>
          <w:rFonts w:eastAsia="Calibri" w:cs="Segoe UI"/>
        </w:rPr>
      </w:pPr>
      <w:r>
        <w:rPr>
          <w:rFonts w:eastAsia="Calibri"/>
        </w:rPr>
        <w:t>F</w:t>
      </w:r>
      <w:r w:rsidR="00B13AB1">
        <w:t xml:space="preserve">urther detail about operating costs is </w:t>
      </w:r>
      <w:r w:rsidR="00B13AB1" w:rsidRPr="00D53100">
        <w:rPr>
          <w:rFonts w:cs="Segoe UI"/>
        </w:rPr>
        <w:t xml:space="preserve">set out in </w:t>
      </w:r>
      <w:r w:rsidR="00B13AB1" w:rsidRPr="00D53100">
        <w:rPr>
          <w:rFonts w:eastAsia="Calibri" w:cs="Segoe UI"/>
          <w:b/>
          <w:bCs/>
        </w:rPr>
        <w:t>Appendix Five</w:t>
      </w:r>
      <w:r w:rsidR="00B13AB1" w:rsidRPr="00D53100">
        <w:rPr>
          <w:rFonts w:eastAsia="Calibri" w:cs="Segoe UI"/>
        </w:rPr>
        <w:t xml:space="preserve"> in the Appendices document.</w:t>
      </w:r>
    </w:p>
    <w:p w14:paraId="138A9972" w14:textId="77777777" w:rsidR="00B13AB1" w:rsidRPr="00B43D7E" w:rsidRDefault="00B13AB1" w:rsidP="00B13AB1">
      <w:pPr>
        <w:rPr>
          <w:rFonts w:ascii="Seaford" w:hAnsi="Seaford"/>
          <w:b/>
          <w:bCs/>
        </w:rPr>
      </w:pPr>
    </w:p>
    <w:p w14:paraId="472D7977" w14:textId="3EE2DFD1" w:rsidR="00B13AB1" w:rsidRPr="00AA55BC" w:rsidRDefault="00B13AB1" w:rsidP="00B13AB1">
      <w:pPr>
        <w:pStyle w:val="Table"/>
        <w:rPr>
          <w:rFonts w:eastAsia="Lucida Sans Unicode"/>
        </w:rPr>
      </w:pPr>
      <w:bookmarkStart w:id="30" w:name="_Toc197527600"/>
      <w:r w:rsidRPr="00AA55BC">
        <w:t xml:space="preserve">Table </w:t>
      </w:r>
      <w:r>
        <w:fldChar w:fldCharType="begin"/>
      </w:r>
      <w:r>
        <w:instrText xml:space="preserve"> SEQ Table \* ARABIC </w:instrText>
      </w:r>
      <w:r>
        <w:fldChar w:fldCharType="separate"/>
      </w:r>
      <w:r w:rsidR="00066AB5">
        <w:rPr>
          <w:noProof/>
        </w:rPr>
        <w:t>4</w:t>
      </w:r>
      <w:r>
        <w:rPr>
          <w:noProof/>
        </w:rPr>
        <w:fldChar w:fldCharType="end"/>
      </w:r>
      <w:r w:rsidRPr="00AA55BC">
        <w:t xml:space="preserve">: </w:t>
      </w:r>
      <w:r w:rsidRPr="00AA55BC">
        <w:rPr>
          <w:rFonts w:eastAsia="Lucida Sans Unicode"/>
        </w:rPr>
        <w:t>Budget agency operating costs in $ millions (GST exclusive), 2025/26 to 2027/28</w:t>
      </w:r>
      <w:bookmarkEnd w:id="30"/>
    </w:p>
    <w:tbl>
      <w:tblPr>
        <w:tblStyle w:val="TableGrid"/>
        <w:tblW w:w="808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3458"/>
        <w:gridCol w:w="1155"/>
        <w:gridCol w:w="1156"/>
        <w:gridCol w:w="1155"/>
        <w:gridCol w:w="1156"/>
      </w:tblGrid>
      <w:tr w:rsidR="00B13AB1" w:rsidRPr="00172194" w14:paraId="60D58C38" w14:textId="77777777" w:rsidTr="008A189B">
        <w:trPr>
          <w:tblHeader/>
        </w:trPr>
        <w:tc>
          <w:tcPr>
            <w:tcW w:w="3458" w:type="dxa"/>
            <w:tcBorders>
              <w:top w:val="nil"/>
              <w:bottom w:val="nil"/>
            </w:tcBorders>
            <w:shd w:val="clear" w:color="auto" w:fill="D9D9D9" w:themeFill="background1" w:themeFillShade="D9"/>
            <w:vAlign w:val="center"/>
            <w:hideMark/>
          </w:tcPr>
          <w:p w14:paraId="369995E9" w14:textId="77777777" w:rsidR="00B13AB1" w:rsidRPr="008A189B" w:rsidRDefault="00B13AB1" w:rsidP="00860EAD">
            <w:pPr>
              <w:pStyle w:val="TableText"/>
              <w:rPr>
                <w:rFonts w:eastAsia="Lucida Sans Unicode" w:cs="Segoe UI"/>
                <w:b/>
                <w:bCs/>
                <w:szCs w:val="18"/>
              </w:rPr>
            </w:pPr>
            <w:r w:rsidRPr="008A189B">
              <w:rPr>
                <w:rFonts w:eastAsia="Lucida Sans Unicode" w:cs="Segoe UI"/>
                <w:b/>
                <w:bCs/>
                <w:szCs w:val="18"/>
              </w:rPr>
              <w:t>Agency</w:t>
            </w:r>
          </w:p>
        </w:tc>
        <w:tc>
          <w:tcPr>
            <w:tcW w:w="1155" w:type="dxa"/>
            <w:tcBorders>
              <w:top w:val="nil"/>
              <w:bottom w:val="nil"/>
            </w:tcBorders>
            <w:shd w:val="clear" w:color="auto" w:fill="D9D9D9" w:themeFill="background1" w:themeFillShade="D9"/>
            <w:vAlign w:val="center"/>
            <w:hideMark/>
          </w:tcPr>
          <w:p w14:paraId="3D18D0A7" w14:textId="77777777" w:rsidR="00B13AB1" w:rsidRPr="008A189B" w:rsidRDefault="00B13AB1" w:rsidP="00860EAD">
            <w:pPr>
              <w:pStyle w:val="TableText"/>
              <w:jc w:val="right"/>
              <w:rPr>
                <w:rFonts w:eastAsia="Lucida Sans Unicode" w:cs="Segoe UI"/>
                <w:b/>
                <w:bCs/>
                <w:szCs w:val="18"/>
              </w:rPr>
            </w:pPr>
            <w:r w:rsidRPr="008A189B">
              <w:rPr>
                <w:rFonts w:eastAsia="Lucida Sans Unicode" w:cs="Segoe UI"/>
                <w:b/>
                <w:bCs/>
                <w:szCs w:val="18"/>
              </w:rPr>
              <w:t>2025/26</w:t>
            </w:r>
          </w:p>
        </w:tc>
        <w:tc>
          <w:tcPr>
            <w:tcW w:w="1156" w:type="dxa"/>
            <w:tcBorders>
              <w:top w:val="nil"/>
              <w:bottom w:val="nil"/>
            </w:tcBorders>
            <w:shd w:val="clear" w:color="auto" w:fill="D9D9D9" w:themeFill="background1" w:themeFillShade="D9"/>
            <w:vAlign w:val="center"/>
            <w:hideMark/>
          </w:tcPr>
          <w:p w14:paraId="7C097BAB" w14:textId="77777777" w:rsidR="00B13AB1" w:rsidRPr="008A189B" w:rsidRDefault="00B13AB1" w:rsidP="00860EAD">
            <w:pPr>
              <w:pStyle w:val="TableText"/>
              <w:jc w:val="right"/>
              <w:rPr>
                <w:rFonts w:eastAsia="Lucida Sans Unicode" w:cs="Segoe UI"/>
                <w:b/>
                <w:bCs/>
                <w:szCs w:val="18"/>
              </w:rPr>
            </w:pPr>
            <w:r w:rsidRPr="008A189B">
              <w:rPr>
                <w:rFonts w:eastAsia="Lucida Sans Unicode" w:cs="Segoe UI"/>
                <w:b/>
                <w:bCs/>
                <w:szCs w:val="18"/>
              </w:rPr>
              <w:t>2026/27</w:t>
            </w:r>
          </w:p>
        </w:tc>
        <w:tc>
          <w:tcPr>
            <w:tcW w:w="1155" w:type="dxa"/>
            <w:tcBorders>
              <w:top w:val="nil"/>
              <w:bottom w:val="nil"/>
            </w:tcBorders>
            <w:shd w:val="clear" w:color="auto" w:fill="D9D9D9" w:themeFill="background1" w:themeFillShade="D9"/>
            <w:vAlign w:val="center"/>
            <w:hideMark/>
          </w:tcPr>
          <w:p w14:paraId="12DA49A2" w14:textId="77777777" w:rsidR="00B13AB1" w:rsidRPr="008A189B" w:rsidRDefault="00B13AB1" w:rsidP="00860EAD">
            <w:pPr>
              <w:pStyle w:val="TableText"/>
              <w:jc w:val="right"/>
              <w:rPr>
                <w:rFonts w:eastAsia="Lucida Sans Unicode" w:cs="Segoe UI"/>
                <w:b/>
                <w:bCs/>
                <w:szCs w:val="18"/>
              </w:rPr>
            </w:pPr>
            <w:r w:rsidRPr="008A189B">
              <w:rPr>
                <w:rFonts w:eastAsia="Lucida Sans Unicode" w:cs="Segoe UI"/>
                <w:b/>
                <w:bCs/>
                <w:szCs w:val="18"/>
              </w:rPr>
              <w:t>2027/28</w:t>
            </w:r>
          </w:p>
        </w:tc>
        <w:tc>
          <w:tcPr>
            <w:tcW w:w="1156" w:type="dxa"/>
            <w:tcBorders>
              <w:top w:val="nil"/>
              <w:bottom w:val="nil"/>
            </w:tcBorders>
            <w:shd w:val="clear" w:color="auto" w:fill="D9D9D9" w:themeFill="background1" w:themeFillShade="D9"/>
            <w:vAlign w:val="center"/>
            <w:hideMark/>
          </w:tcPr>
          <w:p w14:paraId="5B477EBA" w14:textId="77777777" w:rsidR="00B13AB1" w:rsidRPr="008A189B" w:rsidRDefault="00B13AB1" w:rsidP="00860EAD">
            <w:pPr>
              <w:pStyle w:val="TableText"/>
              <w:jc w:val="right"/>
              <w:rPr>
                <w:rFonts w:eastAsia="Lucida Sans Unicode" w:cs="Segoe UI"/>
                <w:b/>
                <w:bCs/>
                <w:szCs w:val="18"/>
              </w:rPr>
            </w:pPr>
            <w:r w:rsidRPr="008A189B">
              <w:rPr>
                <w:rFonts w:eastAsia="Lucida Sans Unicode" w:cs="Segoe UI"/>
                <w:b/>
                <w:bCs/>
                <w:szCs w:val="18"/>
              </w:rPr>
              <w:t>Total</w:t>
            </w:r>
          </w:p>
        </w:tc>
      </w:tr>
      <w:tr w:rsidR="00B13AB1" w:rsidRPr="00172194" w14:paraId="2C9B23FD" w14:textId="77777777" w:rsidTr="008A189B">
        <w:tc>
          <w:tcPr>
            <w:tcW w:w="3458" w:type="dxa"/>
            <w:tcBorders>
              <w:top w:val="nil"/>
              <w:bottom w:val="single" w:sz="4" w:space="0" w:color="A6A6A6" w:themeColor="background1" w:themeShade="A6"/>
            </w:tcBorders>
            <w:noWrap/>
            <w:vAlign w:val="center"/>
            <w:hideMark/>
          </w:tcPr>
          <w:p w14:paraId="7B713AB3" w14:textId="77777777" w:rsidR="00B13AB1" w:rsidRPr="008A189B" w:rsidRDefault="00B13AB1" w:rsidP="00860EAD">
            <w:pPr>
              <w:pStyle w:val="TableText"/>
              <w:rPr>
                <w:rFonts w:eastAsia="Lucida Sans Unicode" w:cs="Segoe UI"/>
                <w:szCs w:val="18"/>
              </w:rPr>
            </w:pPr>
            <w:r w:rsidRPr="008A189B">
              <w:rPr>
                <w:rFonts w:eastAsia="Lucida Sans Unicode" w:cs="Segoe UI"/>
                <w:szCs w:val="18"/>
              </w:rPr>
              <w:t>Health New Zealand Commissioning</w:t>
            </w:r>
          </w:p>
        </w:tc>
        <w:tc>
          <w:tcPr>
            <w:tcW w:w="1155" w:type="dxa"/>
            <w:tcBorders>
              <w:top w:val="nil"/>
              <w:left w:val="nil"/>
              <w:bottom w:val="single" w:sz="4" w:space="0" w:color="A6A6A6" w:themeColor="background1" w:themeShade="A6"/>
              <w:right w:val="nil"/>
            </w:tcBorders>
            <w:shd w:val="clear" w:color="000000" w:fill="FFFFFF"/>
            <w:vAlign w:val="center"/>
            <w:hideMark/>
          </w:tcPr>
          <w:p w14:paraId="41E5D69E" w14:textId="34BC151A"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0.610</w:t>
            </w:r>
          </w:p>
        </w:tc>
        <w:tc>
          <w:tcPr>
            <w:tcW w:w="1156" w:type="dxa"/>
            <w:tcBorders>
              <w:top w:val="nil"/>
              <w:left w:val="nil"/>
              <w:bottom w:val="single" w:sz="4" w:space="0" w:color="A6A6A6" w:themeColor="background1" w:themeShade="A6"/>
              <w:right w:val="nil"/>
            </w:tcBorders>
            <w:shd w:val="clear" w:color="000000" w:fill="FFFFFF"/>
            <w:vAlign w:val="center"/>
            <w:hideMark/>
          </w:tcPr>
          <w:p w14:paraId="29675353" w14:textId="2E82653B"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0.628</w:t>
            </w:r>
          </w:p>
        </w:tc>
        <w:tc>
          <w:tcPr>
            <w:tcW w:w="1155" w:type="dxa"/>
            <w:tcBorders>
              <w:top w:val="nil"/>
              <w:left w:val="nil"/>
              <w:bottom w:val="single" w:sz="4" w:space="0" w:color="A6A6A6" w:themeColor="background1" w:themeShade="A6"/>
              <w:right w:val="nil"/>
            </w:tcBorders>
            <w:shd w:val="clear" w:color="000000" w:fill="FFFFFF"/>
            <w:vAlign w:val="center"/>
            <w:hideMark/>
          </w:tcPr>
          <w:p w14:paraId="7BF46E84" w14:textId="5B7259A8"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0.629</w:t>
            </w:r>
          </w:p>
        </w:tc>
        <w:tc>
          <w:tcPr>
            <w:tcW w:w="1156" w:type="dxa"/>
            <w:tcBorders>
              <w:top w:val="nil"/>
              <w:left w:val="nil"/>
              <w:bottom w:val="single" w:sz="4" w:space="0" w:color="A6A6A6" w:themeColor="background1" w:themeShade="A6"/>
              <w:right w:val="nil"/>
            </w:tcBorders>
            <w:shd w:val="clear" w:color="000000" w:fill="FFFFFF"/>
            <w:vAlign w:val="center"/>
            <w:hideMark/>
          </w:tcPr>
          <w:p w14:paraId="6B40B636" w14:textId="4CE657F9"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1.867</w:t>
            </w:r>
          </w:p>
        </w:tc>
      </w:tr>
      <w:tr w:rsidR="00B13AB1" w:rsidRPr="00172194" w14:paraId="4BEB87E6" w14:textId="77777777" w:rsidTr="008A189B">
        <w:tc>
          <w:tcPr>
            <w:tcW w:w="3458" w:type="dxa"/>
            <w:tcBorders>
              <w:top w:val="single" w:sz="4" w:space="0" w:color="A6A6A6" w:themeColor="background1" w:themeShade="A6"/>
              <w:bottom w:val="single" w:sz="4" w:space="0" w:color="A6A6A6" w:themeColor="background1" w:themeShade="A6"/>
            </w:tcBorders>
            <w:noWrap/>
            <w:vAlign w:val="center"/>
            <w:hideMark/>
          </w:tcPr>
          <w:p w14:paraId="56C069D0" w14:textId="77777777" w:rsidR="00B13AB1" w:rsidRPr="008A189B" w:rsidRDefault="00B13AB1" w:rsidP="00860EAD">
            <w:pPr>
              <w:pStyle w:val="TableText"/>
              <w:rPr>
                <w:rFonts w:eastAsia="Lucida Sans Unicode" w:cs="Segoe UI"/>
                <w:szCs w:val="18"/>
              </w:rPr>
            </w:pPr>
            <w:r w:rsidRPr="008A189B">
              <w:rPr>
                <w:rFonts w:eastAsia="Lucida Sans Unicode" w:cs="Segoe UI"/>
                <w:szCs w:val="18"/>
              </w:rPr>
              <w:t xml:space="preserve">Health New Zealand Health Promotion </w:t>
            </w:r>
          </w:p>
        </w:tc>
        <w:tc>
          <w:tcPr>
            <w:tcW w:w="1155"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2EA846A7" w14:textId="3BC9D269"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0.493</w:t>
            </w:r>
          </w:p>
        </w:tc>
        <w:tc>
          <w:tcPr>
            <w:tcW w:w="1156"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08AB3256" w14:textId="4899CFA6"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0.493</w:t>
            </w:r>
          </w:p>
        </w:tc>
        <w:tc>
          <w:tcPr>
            <w:tcW w:w="1155"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2AB6D387" w14:textId="4FBFF469"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0.493</w:t>
            </w:r>
          </w:p>
        </w:tc>
        <w:tc>
          <w:tcPr>
            <w:tcW w:w="1156"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42DDA40E" w14:textId="12104992"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1.479</w:t>
            </w:r>
          </w:p>
        </w:tc>
      </w:tr>
      <w:tr w:rsidR="00B13AB1" w:rsidRPr="00172194" w14:paraId="28A28766" w14:textId="77777777" w:rsidTr="008A189B">
        <w:tc>
          <w:tcPr>
            <w:tcW w:w="3458" w:type="dxa"/>
            <w:tcBorders>
              <w:top w:val="single" w:sz="4" w:space="0" w:color="A6A6A6" w:themeColor="background1" w:themeShade="A6"/>
              <w:bottom w:val="single" w:sz="4" w:space="0" w:color="A6A6A6" w:themeColor="background1" w:themeShade="A6"/>
            </w:tcBorders>
            <w:noWrap/>
            <w:vAlign w:val="center"/>
            <w:hideMark/>
          </w:tcPr>
          <w:p w14:paraId="25C96217" w14:textId="77777777" w:rsidR="00B13AB1" w:rsidRPr="008A189B" w:rsidRDefault="00B13AB1" w:rsidP="00860EAD">
            <w:pPr>
              <w:pStyle w:val="TableText"/>
              <w:rPr>
                <w:rFonts w:eastAsia="Lucida Sans Unicode" w:cs="Segoe UI"/>
                <w:szCs w:val="18"/>
              </w:rPr>
            </w:pPr>
            <w:r w:rsidRPr="008A189B">
              <w:rPr>
                <w:rFonts w:eastAsia="Lucida Sans Unicode" w:cs="Segoe UI"/>
                <w:szCs w:val="18"/>
              </w:rPr>
              <w:t>Ministry of Health</w:t>
            </w:r>
          </w:p>
        </w:tc>
        <w:tc>
          <w:tcPr>
            <w:tcW w:w="1155"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39C4D689" w14:textId="0C6B32D5"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0.59</w:t>
            </w:r>
            <w:r w:rsidR="00353B31" w:rsidRPr="008A189B">
              <w:rPr>
                <w:rFonts w:eastAsia="Lucida Sans Unicode" w:cs="Segoe UI"/>
                <w:szCs w:val="18"/>
              </w:rPr>
              <w:t>3</w:t>
            </w:r>
          </w:p>
        </w:tc>
        <w:tc>
          <w:tcPr>
            <w:tcW w:w="1156"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4F6718DD" w14:textId="479B28FE"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0.844</w:t>
            </w:r>
          </w:p>
        </w:tc>
        <w:tc>
          <w:tcPr>
            <w:tcW w:w="1155"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4131C0FC" w14:textId="268067B3"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0.494</w:t>
            </w:r>
          </w:p>
        </w:tc>
        <w:tc>
          <w:tcPr>
            <w:tcW w:w="1156"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hideMark/>
          </w:tcPr>
          <w:p w14:paraId="2CC55033" w14:textId="2717062F" w:rsidR="00B13AB1" w:rsidRPr="008A189B" w:rsidRDefault="006B7615" w:rsidP="00860EAD">
            <w:pPr>
              <w:pStyle w:val="TableText"/>
              <w:jc w:val="right"/>
              <w:rPr>
                <w:rFonts w:eastAsia="Lucida Sans Unicode" w:cs="Segoe UI"/>
                <w:szCs w:val="18"/>
              </w:rPr>
            </w:pPr>
            <w:r w:rsidRPr="008A189B">
              <w:rPr>
                <w:rFonts w:eastAsia="Lucida Sans Unicode" w:cs="Segoe UI"/>
                <w:szCs w:val="18"/>
              </w:rPr>
              <w:t>1.931</w:t>
            </w:r>
          </w:p>
        </w:tc>
      </w:tr>
      <w:tr w:rsidR="00B13AB1" w:rsidRPr="00FD7201" w14:paraId="5FAB810F" w14:textId="77777777" w:rsidTr="008A189B">
        <w:tc>
          <w:tcPr>
            <w:tcW w:w="3458" w:type="dxa"/>
            <w:tcBorders>
              <w:top w:val="single" w:sz="4" w:space="0" w:color="A6A6A6" w:themeColor="background1" w:themeShade="A6"/>
              <w:bottom w:val="single" w:sz="4" w:space="0" w:color="A6A6A6" w:themeColor="background1" w:themeShade="A6"/>
            </w:tcBorders>
            <w:vAlign w:val="center"/>
            <w:hideMark/>
          </w:tcPr>
          <w:p w14:paraId="7E3129D8" w14:textId="77777777" w:rsidR="00B13AB1" w:rsidRPr="008A189B" w:rsidRDefault="00B13AB1" w:rsidP="00860EAD">
            <w:pPr>
              <w:pStyle w:val="TableText"/>
              <w:rPr>
                <w:rFonts w:eastAsia="Lucida Sans Unicode" w:cs="Segoe UI"/>
                <w:b/>
                <w:bCs/>
                <w:szCs w:val="18"/>
              </w:rPr>
            </w:pPr>
            <w:r w:rsidRPr="008A189B">
              <w:rPr>
                <w:rFonts w:eastAsia="Lucida Sans Unicode" w:cs="Segoe UI"/>
                <w:b/>
                <w:bCs/>
                <w:szCs w:val="18"/>
              </w:rPr>
              <w:t>Total</w:t>
            </w:r>
          </w:p>
        </w:tc>
        <w:tc>
          <w:tcPr>
            <w:tcW w:w="1155"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tcPr>
          <w:p w14:paraId="3F1F42D9" w14:textId="4A5BBD35" w:rsidR="00B13AB1" w:rsidRPr="008A189B" w:rsidRDefault="006B7615" w:rsidP="00860EAD">
            <w:pPr>
              <w:pStyle w:val="TableText"/>
              <w:jc w:val="right"/>
              <w:rPr>
                <w:rFonts w:eastAsia="Lucida Sans Unicode" w:cs="Segoe UI"/>
                <w:szCs w:val="18"/>
              </w:rPr>
            </w:pPr>
            <w:r w:rsidRPr="008A189B">
              <w:rPr>
                <w:rFonts w:cs="Segoe UI"/>
                <w:b/>
                <w:bCs/>
                <w:color w:val="000000"/>
                <w:szCs w:val="18"/>
              </w:rPr>
              <w:t>1.69</w:t>
            </w:r>
            <w:r w:rsidR="00353B31" w:rsidRPr="008A189B">
              <w:rPr>
                <w:rFonts w:cs="Segoe UI"/>
                <w:b/>
                <w:bCs/>
                <w:color w:val="000000"/>
                <w:szCs w:val="18"/>
              </w:rPr>
              <w:t>6</w:t>
            </w:r>
          </w:p>
        </w:tc>
        <w:tc>
          <w:tcPr>
            <w:tcW w:w="1156"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tcPr>
          <w:p w14:paraId="2D545095" w14:textId="0F4D91FC" w:rsidR="00B13AB1" w:rsidRPr="008A189B" w:rsidRDefault="006B7615" w:rsidP="00860EAD">
            <w:pPr>
              <w:pStyle w:val="TableText"/>
              <w:jc w:val="right"/>
              <w:rPr>
                <w:rFonts w:eastAsia="Lucida Sans Unicode" w:cs="Segoe UI"/>
                <w:szCs w:val="18"/>
              </w:rPr>
            </w:pPr>
            <w:r w:rsidRPr="008A189B">
              <w:rPr>
                <w:rFonts w:cs="Segoe UI"/>
                <w:b/>
                <w:bCs/>
                <w:color w:val="000000"/>
                <w:szCs w:val="18"/>
              </w:rPr>
              <w:t>1.965</w:t>
            </w:r>
          </w:p>
        </w:tc>
        <w:tc>
          <w:tcPr>
            <w:tcW w:w="1155"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tcPr>
          <w:p w14:paraId="16A41E20" w14:textId="2DE63316" w:rsidR="00B13AB1" w:rsidRPr="008A189B" w:rsidRDefault="006B7615" w:rsidP="00860EAD">
            <w:pPr>
              <w:pStyle w:val="TableText"/>
              <w:jc w:val="right"/>
              <w:rPr>
                <w:rFonts w:eastAsia="Lucida Sans Unicode" w:cs="Segoe UI"/>
                <w:szCs w:val="18"/>
              </w:rPr>
            </w:pPr>
            <w:r w:rsidRPr="008A189B">
              <w:rPr>
                <w:rFonts w:cs="Segoe UI"/>
                <w:b/>
                <w:bCs/>
                <w:color w:val="000000"/>
                <w:szCs w:val="18"/>
              </w:rPr>
              <w:t>1.616</w:t>
            </w:r>
          </w:p>
        </w:tc>
        <w:tc>
          <w:tcPr>
            <w:tcW w:w="1156" w:type="dxa"/>
            <w:tcBorders>
              <w:top w:val="single" w:sz="4" w:space="0" w:color="A6A6A6" w:themeColor="background1" w:themeShade="A6"/>
              <w:left w:val="nil"/>
              <w:bottom w:val="single" w:sz="4" w:space="0" w:color="A6A6A6" w:themeColor="background1" w:themeShade="A6"/>
              <w:right w:val="nil"/>
            </w:tcBorders>
            <w:shd w:val="clear" w:color="000000" w:fill="FFFFFF"/>
            <w:vAlign w:val="center"/>
          </w:tcPr>
          <w:p w14:paraId="31247BBB" w14:textId="734291DB" w:rsidR="00B13AB1" w:rsidRPr="008A189B" w:rsidRDefault="006B7615" w:rsidP="00860EAD">
            <w:pPr>
              <w:pStyle w:val="TableText"/>
              <w:jc w:val="right"/>
              <w:rPr>
                <w:rFonts w:eastAsia="Lucida Sans Unicode" w:cs="Segoe UI"/>
                <w:szCs w:val="18"/>
              </w:rPr>
            </w:pPr>
            <w:r w:rsidRPr="008A189B">
              <w:rPr>
                <w:rFonts w:cs="Segoe UI"/>
                <w:b/>
                <w:bCs/>
                <w:color w:val="000000"/>
                <w:szCs w:val="18"/>
              </w:rPr>
              <w:t>5.277</w:t>
            </w:r>
          </w:p>
        </w:tc>
      </w:tr>
    </w:tbl>
    <w:p w14:paraId="51830B44" w14:textId="77777777" w:rsidR="00B13AB1" w:rsidRDefault="00B13AB1" w:rsidP="00B13AB1">
      <w:pPr>
        <w:pStyle w:val="Note"/>
      </w:pPr>
      <w:r w:rsidRPr="6A37D213">
        <w:t>Note</w:t>
      </w:r>
      <w:r>
        <w:t>:</w:t>
      </w:r>
      <w:r w:rsidRPr="6A37D213">
        <w:t xml:space="preserve"> Budget sums may not total due to rounding.</w:t>
      </w:r>
    </w:p>
    <w:p w14:paraId="2B542258" w14:textId="77777777" w:rsidR="00B13AB1" w:rsidRDefault="00B13AB1" w:rsidP="00B13AB1"/>
    <w:p w14:paraId="6FF03AD3" w14:textId="77777777" w:rsidR="005B3339" w:rsidRDefault="005B3339" w:rsidP="00FD7201"/>
    <w:p w14:paraId="1A1AD194" w14:textId="77777777" w:rsidR="000E0E1C" w:rsidRDefault="000E0E1C">
      <w:pPr>
        <w:rPr>
          <w:b/>
          <w:color w:val="23305D"/>
          <w:spacing w:val="-10"/>
          <w:sz w:val="60"/>
          <w:szCs w:val="60"/>
          <w:lang w:val="en-GB"/>
        </w:rPr>
      </w:pPr>
      <w:r>
        <w:br w:type="page"/>
      </w:r>
    </w:p>
    <w:p w14:paraId="6F3490A5" w14:textId="73AC1E19" w:rsidR="00185540" w:rsidRDefault="00185540" w:rsidP="00517395">
      <w:pPr>
        <w:pStyle w:val="Heading1"/>
      </w:pPr>
      <w:bookmarkStart w:id="31" w:name="_Toc197527590"/>
      <w:r w:rsidRPr="00172194">
        <w:lastRenderedPageBreak/>
        <w:t>Problem gambling levy</w:t>
      </w:r>
      <w:bookmarkEnd w:id="31"/>
      <w:r w:rsidRPr="00172194">
        <w:t xml:space="preserve"> </w:t>
      </w:r>
    </w:p>
    <w:p w14:paraId="00E698F9" w14:textId="25764C07" w:rsidR="00185540" w:rsidRPr="00172194" w:rsidRDefault="00185540" w:rsidP="00517395">
      <w:pPr>
        <w:pStyle w:val="Heading2"/>
      </w:pPr>
      <w:bookmarkStart w:id="32" w:name="_Toc197527591"/>
      <w:r w:rsidRPr="00172194">
        <w:t xml:space="preserve">Setting the </w:t>
      </w:r>
      <w:r w:rsidR="0037387A">
        <w:t>p</w:t>
      </w:r>
      <w:r w:rsidRPr="00172194">
        <w:t xml:space="preserve">roblem </w:t>
      </w:r>
      <w:r w:rsidR="0037387A">
        <w:t>g</w:t>
      </w:r>
      <w:r w:rsidRPr="00172194">
        <w:t xml:space="preserve">ambling </w:t>
      </w:r>
      <w:r w:rsidR="0037387A">
        <w:t>l</w:t>
      </w:r>
      <w:r w:rsidRPr="00172194">
        <w:t>evy</w:t>
      </w:r>
      <w:bookmarkEnd w:id="32"/>
    </w:p>
    <w:p w14:paraId="29872E4C" w14:textId="77777777" w:rsidR="00185540" w:rsidRDefault="00185540" w:rsidP="00FD7201">
      <w:r w:rsidRPr="00324382">
        <w:t xml:space="preserve">Section 319(2) of the Act states that the purpose of the </w:t>
      </w:r>
      <w:r>
        <w:t xml:space="preserve">problem gambling </w:t>
      </w:r>
      <w:r w:rsidRPr="00324382">
        <w:t xml:space="preserve">levy is to ‘recover the cost of developing, managing, and delivering the integrated problem gambling strategy’. The levy rates are set by regulation at least every three years. The next levy period is from 1 July 2025 to 30 June 2028. </w:t>
      </w:r>
    </w:p>
    <w:p w14:paraId="4207E909" w14:textId="77777777" w:rsidR="00185540" w:rsidRPr="00324382" w:rsidRDefault="00185540" w:rsidP="00FD7201"/>
    <w:p w14:paraId="4483D1ED" w14:textId="62171ECA" w:rsidR="00185540" w:rsidRDefault="00185540" w:rsidP="00FD7201">
      <w:r>
        <w:t xml:space="preserve">Since the levy was first set in 2004, it has applied to gambling operators in four sectors: </w:t>
      </w:r>
      <w:r w:rsidR="7844F1E9">
        <w:t xml:space="preserve"> non-casino gambling machines (NCGM) also known as </w:t>
      </w:r>
      <w:r w:rsidR="00784A8B">
        <w:t>Class 4</w:t>
      </w:r>
      <w:r>
        <w:t xml:space="preserve">, casinos, TAB NZ and </w:t>
      </w:r>
      <w:r w:rsidR="000261B2" w:rsidRPr="00517395">
        <w:t xml:space="preserve">New Zealand Lotteries Commission </w:t>
      </w:r>
      <w:r>
        <w:t xml:space="preserve">(Lotto NZ).  </w:t>
      </w:r>
    </w:p>
    <w:p w14:paraId="1019568E" w14:textId="77777777" w:rsidR="00185540" w:rsidRDefault="00185540" w:rsidP="00FD7201"/>
    <w:p w14:paraId="371A36D1" w14:textId="5ACB092B" w:rsidR="00185540" w:rsidRPr="001A2DA9" w:rsidRDefault="00185540" w:rsidP="00FD7201">
      <w:r w:rsidRPr="001A2DA9">
        <w:t xml:space="preserve">The Government has indicated it </w:t>
      </w:r>
      <w:r w:rsidR="003F7344">
        <w:t xml:space="preserve">will </w:t>
      </w:r>
      <w:r w:rsidRPr="007F53A7">
        <w:t xml:space="preserve">introduce legislation to </w:t>
      </w:r>
      <w:r w:rsidRPr="001A2DA9">
        <w:t xml:space="preserve">regulate online offshore casino providers and for them to contribute to the problem gambling levy in due course. </w:t>
      </w:r>
      <w:r w:rsidRPr="007F53A7">
        <w:t>The Government has yet to make detailed decisions about the regulatory regime and implementation</w:t>
      </w:r>
      <w:r>
        <w:t xml:space="preserve"> (expected in 2026)</w:t>
      </w:r>
      <w:r w:rsidRPr="007F53A7">
        <w:t xml:space="preserve">, including how the new legislation will interact with the Act, so it is too early to predict what impact this may have on the current levy paying sectors. We note however the Act has mechanisms </w:t>
      </w:r>
      <w:r w:rsidR="00D27F4C">
        <w:t xml:space="preserve">for an </w:t>
      </w:r>
      <w:r w:rsidR="003F7344">
        <w:t>early reconsideration of the levy if there are significant changes to the gambling environment</w:t>
      </w:r>
      <w:r w:rsidR="00D27F4C">
        <w:t xml:space="preserve"> or </w:t>
      </w:r>
      <w:r w:rsidR="003F7344">
        <w:t xml:space="preserve">to </w:t>
      </w:r>
      <w:r w:rsidRPr="007F53A7">
        <w:t xml:space="preserve">adjust levy payments by each sector for changes in forecast expenditure compared with actual expenditure.  </w:t>
      </w:r>
    </w:p>
    <w:p w14:paraId="03B5B05E" w14:textId="77777777" w:rsidR="00185540" w:rsidRDefault="00185540" w:rsidP="00FD7201"/>
    <w:p w14:paraId="6C3BC1B7" w14:textId="7C8E45AE" w:rsidR="00185540" w:rsidRPr="00324382" w:rsidRDefault="00185540" w:rsidP="00FD7201">
      <w:r>
        <w:t>Accordingly, the Ministry has prepared these levy estimates using the current four levied sectors.</w:t>
      </w:r>
    </w:p>
    <w:p w14:paraId="0D8044BB" w14:textId="6E8E699B" w:rsidR="00185540" w:rsidRPr="00FD7201" w:rsidRDefault="00185540" w:rsidP="00FD7201">
      <w:pPr>
        <w:pStyle w:val="Heading2"/>
      </w:pPr>
      <w:bookmarkStart w:id="33" w:name="_Toc197527592"/>
      <w:r w:rsidRPr="00FD7201">
        <w:t xml:space="preserve">Process for setting the levy </w:t>
      </w:r>
      <w:proofErr w:type="gramStart"/>
      <w:r w:rsidRPr="00FD7201">
        <w:t>rates</w:t>
      </w:r>
      <w:bookmarkEnd w:id="33"/>
      <w:proofErr w:type="gramEnd"/>
    </w:p>
    <w:p w14:paraId="65AA56A9" w14:textId="5334143D" w:rsidR="008D42D2" w:rsidRDefault="00185540" w:rsidP="008D42D2">
      <w:pPr>
        <w:rPr>
          <w:rFonts w:eastAsia="Lucida Sans Unicode"/>
        </w:rPr>
      </w:pPr>
      <w:r w:rsidRPr="00324382">
        <w:t xml:space="preserve">The Act sets out the process for developing and setting the levy rates </w:t>
      </w:r>
      <w:r w:rsidR="00B2034D">
        <w:t xml:space="preserve">required </w:t>
      </w:r>
      <w:r w:rsidRPr="00324382">
        <w:t xml:space="preserve">to recover the cost of the strategy (see sections 318–320 of the Act). </w:t>
      </w:r>
      <w:r w:rsidR="49652D04">
        <w:t xml:space="preserve">As part of this process, the Ministry consulted on </w:t>
      </w:r>
      <w:r w:rsidR="00B2034D">
        <w:t xml:space="preserve">the </w:t>
      </w:r>
      <w:r w:rsidR="49652D04">
        <w:t xml:space="preserve">estimated annual funding requirements and four alternative sets of estimated levy rates for 1 July 2025 to 30 June 2028. </w:t>
      </w:r>
      <w:r w:rsidR="008D42D2">
        <w:rPr>
          <w:rFonts w:eastAsia="Lucida Sans Unicode"/>
        </w:rPr>
        <w:t>After considering submissions, the Ministry revised its consultation document and submitted these proposals to the Gambling Commission and responsible Ministers.</w:t>
      </w:r>
    </w:p>
    <w:p w14:paraId="52CB82E9" w14:textId="77777777" w:rsidR="008D42D2" w:rsidRDefault="008D42D2" w:rsidP="008D42D2">
      <w:pPr>
        <w:rPr>
          <w:rFonts w:eastAsia="Lucida Sans Unicode"/>
        </w:rPr>
      </w:pPr>
    </w:p>
    <w:p w14:paraId="646A059A" w14:textId="3676ED55" w:rsidR="008D42D2" w:rsidRDefault="008D42D2" w:rsidP="008D42D2">
      <w:pPr>
        <w:rPr>
          <w:rFonts w:eastAsia="Lucida Sans Unicode"/>
        </w:rPr>
      </w:pPr>
      <w:r>
        <w:rPr>
          <w:rFonts w:eastAsia="Lucida Sans Unicode"/>
        </w:rPr>
        <w:t xml:space="preserve">The Gambling Commission obtained its own advice and convened a consultation meeting on </w:t>
      </w:r>
      <w:r w:rsidR="0029428D">
        <w:rPr>
          <w:rFonts w:eastAsia="Lucida Sans Unicode"/>
        </w:rPr>
        <w:t xml:space="preserve">31 </w:t>
      </w:r>
      <w:r>
        <w:rPr>
          <w:rFonts w:eastAsia="Lucida Sans Unicode"/>
        </w:rPr>
        <w:t>January 202</w:t>
      </w:r>
      <w:r w:rsidR="00DD2F69">
        <w:rPr>
          <w:rFonts w:eastAsia="Lucida Sans Unicode"/>
        </w:rPr>
        <w:t>5</w:t>
      </w:r>
      <w:r>
        <w:rPr>
          <w:rFonts w:eastAsia="Lucida Sans Unicode"/>
        </w:rPr>
        <w:t>. It submitted its report to responsible Ministers on 1</w:t>
      </w:r>
      <w:r w:rsidR="00D227FF">
        <w:rPr>
          <w:rFonts w:eastAsia="Lucida Sans Unicode"/>
        </w:rPr>
        <w:t>3</w:t>
      </w:r>
      <w:r>
        <w:rPr>
          <w:rFonts w:eastAsia="Lucida Sans Unicode"/>
        </w:rPr>
        <w:t xml:space="preserve"> February 202</w:t>
      </w:r>
      <w:r w:rsidR="00DD2F69">
        <w:rPr>
          <w:rFonts w:eastAsia="Lucida Sans Unicode"/>
        </w:rPr>
        <w:t>5</w:t>
      </w:r>
      <w:r>
        <w:rPr>
          <w:rFonts w:eastAsia="Lucida Sans Unicode"/>
        </w:rPr>
        <w:t>.</w:t>
      </w:r>
    </w:p>
    <w:p w14:paraId="5265C06F" w14:textId="77777777" w:rsidR="008D42D2" w:rsidRDefault="008D42D2" w:rsidP="008D42D2">
      <w:pPr>
        <w:rPr>
          <w:rFonts w:eastAsia="Lucida Sans Unicode"/>
        </w:rPr>
      </w:pPr>
    </w:p>
    <w:p w14:paraId="75A4EEA2" w14:textId="68F17E7A" w:rsidR="008D42D2" w:rsidRDefault="008D42D2" w:rsidP="00FD7201">
      <w:r>
        <w:rPr>
          <w:rFonts w:eastAsia="Lucida Sans Unicode"/>
        </w:rPr>
        <w:t>After considering the Gambling Commission report, the responsible Ministers recommended new problem gambling levy rates and regulations to the Governor- General.</w:t>
      </w:r>
    </w:p>
    <w:p w14:paraId="3253B902" w14:textId="77777777" w:rsidR="00185540" w:rsidRPr="00FD7201" w:rsidRDefault="00185540" w:rsidP="00FD7201">
      <w:pPr>
        <w:pStyle w:val="Heading2"/>
      </w:pPr>
      <w:bookmarkStart w:id="34" w:name="_Toc197527593"/>
      <w:r w:rsidRPr="00FD7201">
        <w:lastRenderedPageBreak/>
        <w:t>The levy formula</w:t>
      </w:r>
      <w:bookmarkEnd w:id="34"/>
    </w:p>
    <w:p w14:paraId="50ED3DE5" w14:textId="0306CC8F" w:rsidR="00185540" w:rsidRDefault="00185540" w:rsidP="00185540">
      <w:pPr>
        <w:rPr>
          <w:rFonts w:eastAsia="Segoe UI" w:cstheme="minorBidi"/>
        </w:rPr>
      </w:pPr>
      <w:r w:rsidRPr="0AF1FAE6">
        <w:rPr>
          <w:rFonts w:eastAsia="Segoe UI" w:cstheme="minorBidi"/>
        </w:rPr>
        <w:t xml:space="preserve">The formula listed in section 320 of the Act ‘provides a mechanism for allocating among gambling operators, and collecting from them, the approximate cost’ of the </w:t>
      </w:r>
      <w:r w:rsidR="700CD98E" w:rsidRPr="0AF1FAE6">
        <w:rPr>
          <w:rFonts w:eastAsia="Segoe UI" w:cstheme="minorBidi"/>
        </w:rPr>
        <w:t>S</w:t>
      </w:r>
      <w:r w:rsidRPr="0AF1FAE6">
        <w:rPr>
          <w:rFonts w:eastAsia="Segoe UI" w:cstheme="minorBidi"/>
        </w:rPr>
        <w:t xml:space="preserve">trategy. </w:t>
      </w:r>
    </w:p>
    <w:p w14:paraId="386C4E90" w14:textId="77777777" w:rsidR="00185540" w:rsidRPr="00324382" w:rsidRDefault="00185540" w:rsidP="00185540">
      <w:pPr>
        <w:rPr>
          <w:rFonts w:cstheme="minorHAnsi"/>
        </w:rPr>
      </w:pPr>
    </w:p>
    <w:p w14:paraId="2E0EB205" w14:textId="77777777" w:rsidR="00185540" w:rsidRPr="00324382" w:rsidRDefault="00185540" w:rsidP="00185540">
      <w:pPr>
        <w:rPr>
          <w:rFonts w:cstheme="minorHAnsi"/>
        </w:rPr>
      </w:pPr>
      <w:r w:rsidRPr="00324382">
        <w:rPr>
          <w:rFonts w:eastAsia="Segoe UI" w:cstheme="minorHAnsi"/>
        </w:rPr>
        <w:t>The formula is:</w:t>
      </w:r>
    </w:p>
    <w:p w14:paraId="04D03D24" w14:textId="77777777" w:rsidR="00185540" w:rsidRPr="00324382" w:rsidRDefault="00185540" w:rsidP="00185540">
      <w:pPr>
        <w:spacing w:before="120"/>
        <w:ind w:left="567"/>
        <w:rPr>
          <w:rFonts w:cstheme="minorHAnsi"/>
        </w:rPr>
      </w:pPr>
      <w:r w:rsidRPr="00324382">
        <w:rPr>
          <w:rFonts w:eastAsia="Segoe UI" w:cstheme="minorHAnsi"/>
        </w:rPr>
        <w:t xml:space="preserve">Levy rate for each sector = </w:t>
      </w:r>
      <w:r w:rsidRPr="00324382">
        <w:rPr>
          <w:rFonts w:eastAsia="Segoe UI" w:cstheme="minorHAnsi"/>
          <w:u w:val="single"/>
        </w:rPr>
        <w:t>{[(A x W1) + (B x W2)] x C} plus or minus R</w:t>
      </w:r>
    </w:p>
    <w:p w14:paraId="43C640F4" w14:textId="77777777" w:rsidR="00185540" w:rsidRPr="00324382" w:rsidRDefault="00185540" w:rsidP="00185540">
      <w:pPr>
        <w:ind w:left="3600" w:firstLine="720"/>
        <w:rPr>
          <w:rFonts w:cstheme="minorHAnsi"/>
        </w:rPr>
      </w:pPr>
      <w:r w:rsidRPr="00324382">
        <w:rPr>
          <w:rFonts w:eastAsia="Segoe UI" w:cstheme="minorHAnsi"/>
        </w:rPr>
        <w:t>D</w:t>
      </w:r>
    </w:p>
    <w:p w14:paraId="27B6B74B" w14:textId="77777777" w:rsidR="00185540" w:rsidRPr="00324382" w:rsidRDefault="00185540" w:rsidP="00185540">
      <w:pPr>
        <w:ind w:left="567"/>
        <w:rPr>
          <w:rFonts w:cstheme="minorHAnsi"/>
        </w:rPr>
      </w:pPr>
      <w:r w:rsidRPr="00324382">
        <w:rPr>
          <w:rFonts w:eastAsia="Segoe UI" w:cstheme="minorHAnsi"/>
        </w:rPr>
        <w:t>where:</w:t>
      </w:r>
    </w:p>
    <w:p w14:paraId="27A28C3E" w14:textId="77777777" w:rsidR="00185540" w:rsidRPr="00324382" w:rsidRDefault="00185540" w:rsidP="00185540">
      <w:pPr>
        <w:spacing w:before="120"/>
        <w:ind w:left="993" w:hanging="426"/>
        <w:rPr>
          <w:rFonts w:cstheme="minorHAnsi"/>
        </w:rPr>
      </w:pPr>
      <w:r w:rsidRPr="00324382">
        <w:rPr>
          <w:rFonts w:eastAsia="Segoe UI" w:cstheme="minorHAnsi"/>
          <w:b/>
        </w:rPr>
        <w:t>A</w:t>
      </w:r>
      <w:r w:rsidRPr="00324382">
        <w:rPr>
          <w:rFonts w:eastAsia="Segoe UI" w:cstheme="minorHAnsi"/>
        </w:rPr>
        <w:t xml:space="preserve"> =</w:t>
      </w:r>
      <w:r w:rsidRPr="00324382">
        <w:rPr>
          <w:rFonts w:cstheme="minorHAnsi"/>
        </w:rPr>
        <w:tab/>
      </w:r>
      <w:r w:rsidRPr="00324382">
        <w:rPr>
          <w:rFonts w:eastAsia="Segoe UI" w:cstheme="minorHAnsi"/>
        </w:rPr>
        <w:t>the estimated current player expenditure in a sector divided by the total estimated current player expenditure in all sectors that are subject to the levy</w:t>
      </w:r>
    </w:p>
    <w:p w14:paraId="21EAF1C1" w14:textId="77777777" w:rsidR="00185540" w:rsidRPr="00324382" w:rsidRDefault="00185540" w:rsidP="00185540">
      <w:pPr>
        <w:spacing w:before="120"/>
        <w:ind w:left="992" w:hanging="425"/>
        <w:rPr>
          <w:rFonts w:cstheme="minorHAnsi"/>
        </w:rPr>
      </w:pPr>
      <w:r w:rsidRPr="00324382">
        <w:rPr>
          <w:rFonts w:eastAsia="Segoe UI" w:cstheme="minorHAnsi"/>
          <w:b/>
        </w:rPr>
        <w:t>B</w:t>
      </w:r>
      <w:r w:rsidRPr="00324382">
        <w:rPr>
          <w:rFonts w:eastAsia="Segoe UI" w:cstheme="minorHAnsi"/>
        </w:rPr>
        <w:t xml:space="preserve"> =</w:t>
      </w:r>
      <w:r w:rsidRPr="00324382">
        <w:rPr>
          <w:rFonts w:cstheme="minorHAnsi"/>
        </w:rPr>
        <w:tab/>
      </w:r>
      <w:r w:rsidRPr="00324382">
        <w:rPr>
          <w:rFonts w:eastAsia="Segoe UI" w:cstheme="minorHAnsi"/>
        </w:rPr>
        <w:t>the number of customer presentations to problem gambling services that can be attributed to gambling in a sector divided by the total number of customer presentations to problem gambling services in which a sector that is subject to the levy can be identified</w:t>
      </w:r>
    </w:p>
    <w:p w14:paraId="4D493AAD" w14:textId="77777777" w:rsidR="00185540" w:rsidRPr="00324382" w:rsidRDefault="00185540" w:rsidP="00185540">
      <w:pPr>
        <w:spacing w:before="120"/>
        <w:ind w:left="992" w:hanging="425"/>
        <w:rPr>
          <w:rFonts w:cstheme="minorHAnsi"/>
        </w:rPr>
      </w:pPr>
      <w:r w:rsidRPr="00324382">
        <w:rPr>
          <w:rFonts w:eastAsia="Segoe UI" w:cstheme="minorHAnsi"/>
          <w:b/>
        </w:rPr>
        <w:t>C</w:t>
      </w:r>
      <w:r w:rsidRPr="00324382">
        <w:rPr>
          <w:rFonts w:eastAsia="Segoe UI" w:cstheme="minorHAnsi"/>
        </w:rPr>
        <w:t xml:space="preserve"> =</w:t>
      </w:r>
      <w:r w:rsidRPr="00324382">
        <w:rPr>
          <w:rFonts w:cstheme="minorHAnsi"/>
        </w:rPr>
        <w:tab/>
      </w:r>
      <w:r w:rsidRPr="00324382">
        <w:rPr>
          <w:rFonts w:eastAsia="Segoe UI" w:cstheme="minorHAnsi"/>
        </w:rPr>
        <w:t>the funding requirement for the period for which the levy is payable</w:t>
      </w:r>
    </w:p>
    <w:p w14:paraId="0D5CD638" w14:textId="77777777" w:rsidR="00185540" w:rsidRPr="00324382" w:rsidRDefault="00185540" w:rsidP="00185540">
      <w:pPr>
        <w:spacing w:before="120"/>
        <w:ind w:left="993" w:hanging="426"/>
        <w:rPr>
          <w:rFonts w:cstheme="minorHAnsi"/>
        </w:rPr>
      </w:pPr>
      <w:r w:rsidRPr="00324382">
        <w:rPr>
          <w:rFonts w:eastAsia="Segoe UI" w:cstheme="minorHAnsi"/>
          <w:b/>
        </w:rPr>
        <w:t>D</w:t>
      </w:r>
      <w:r w:rsidRPr="00324382">
        <w:rPr>
          <w:rFonts w:eastAsia="Segoe UI" w:cstheme="minorHAnsi"/>
        </w:rPr>
        <w:t xml:space="preserve"> =</w:t>
      </w:r>
      <w:r w:rsidRPr="00324382">
        <w:rPr>
          <w:rFonts w:cstheme="minorHAnsi"/>
        </w:rPr>
        <w:tab/>
      </w:r>
      <w:r w:rsidRPr="00324382">
        <w:rPr>
          <w:rFonts w:eastAsia="Segoe UI" w:cstheme="minorHAnsi"/>
        </w:rPr>
        <w:t>the forecast player expenditure in a sector for the period during which the levy is payable</w:t>
      </w:r>
    </w:p>
    <w:p w14:paraId="3D92CDE1" w14:textId="77777777" w:rsidR="00185540" w:rsidRPr="00324382" w:rsidRDefault="00185540" w:rsidP="00185540">
      <w:pPr>
        <w:spacing w:before="120"/>
        <w:ind w:left="993" w:hanging="426"/>
        <w:rPr>
          <w:rFonts w:cstheme="minorHAnsi"/>
        </w:rPr>
      </w:pPr>
      <w:r w:rsidRPr="00324382">
        <w:rPr>
          <w:rFonts w:eastAsia="Segoe UI" w:cstheme="minorHAnsi"/>
          <w:b/>
        </w:rPr>
        <w:t>R</w:t>
      </w:r>
      <w:r w:rsidRPr="00324382">
        <w:rPr>
          <w:rFonts w:eastAsia="Segoe UI" w:cstheme="minorHAnsi"/>
        </w:rPr>
        <w:t xml:space="preserve"> =</w:t>
      </w:r>
      <w:r w:rsidRPr="00324382">
        <w:rPr>
          <w:rFonts w:cstheme="minorHAnsi"/>
        </w:rPr>
        <w:tab/>
      </w:r>
      <w:r w:rsidRPr="00324382">
        <w:rPr>
          <w:rFonts w:eastAsia="Segoe UI" w:cstheme="minorHAnsi"/>
        </w:rPr>
        <w:t>the estimated under- or over-recovery of levy from a sector in the previous levy periods</w:t>
      </w:r>
      <w:hyperlink r:id="rId30" w:anchor="_ftn1">
        <w:r w:rsidRPr="00324382">
          <w:rPr>
            <w:rStyle w:val="Hyperlink"/>
            <w:rFonts w:eastAsia="Segoe UI" w:cstheme="minorHAnsi"/>
            <w:vertAlign w:val="superscript"/>
          </w:rPr>
          <w:t>[1]</w:t>
        </w:r>
      </w:hyperlink>
    </w:p>
    <w:p w14:paraId="43F0F8AB" w14:textId="77777777" w:rsidR="00185540" w:rsidRPr="00324382" w:rsidRDefault="00185540" w:rsidP="00185540">
      <w:pPr>
        <w:spacing w:before="120"/>
        <w:ind w:left="993" w:hanging="426"/>
        <w:rPr>
          <w:rFonts w:cstheme="minorHAnsi"/>
        </w:rPr>
      </w:pPr>
      <w:r w:rsidRPr="00324382">
        <w:rPr>
          <w:rFonts w:eastAsia="Segoe UI" w:cstheme="minorHAnsi"/>
          <w:b/>
        </w:rPr>
        <w:t>W1</w:t>
      </w:r>
      <w:r w:rsidRPr="00324382">
        <w:rPr>
          <w:rFonts w:eastAsia="Segoe UI" w:cstheme="minorHAnsi"/>
        </w:rPr>
        <w:t xml:space="preserve"> and </w:t>
      </w:r>
      <w:r w:rsidRPr="00324382">
        <w:rPr>
          <w:rFonts w:eastAsia="Segoe UI" w:cstheme="minorHAnsi"/>
          <w:b/>
        </w:rPr>
        <w:t>W2</w:t>
      </w:r>
      <w:r w:rsidRPr="00324382">
        <w:rPr>
          <w:rFonts w:eastAsia="Segoe UI" w:cstheme="minorHAnsi"/>
          <w:vertAlign w:val="subscript"/>
        </w:rPr>
        <w:t xml:space="preserve"> </w:t>
      </w:r>
      <w:r w:rsidRPr="00324382">
        <w:rPr>
          <w:rFonts w:eastAsia="Segoe UI" w:cstheme="minorHAnsi"/>
        </w:rPr>
        <w:t>are weights, the sum of which is 1.</w:t>
      </w:r>
    </w:p>
    <w:p w14:paraId="0E80A05A" w14:textId="2C585C87" w:rsidR="00185540" w:rsidRPr="00324382" w:rsidRDefault="00185540" w:rsidP="00C01F90"/>
    <w:p w14:paraId="77944335" w14:textId="77777777" w:rsidR="00185540" w:rsidRDefault="00185540" w:rsidP="00C01F90">
      <w:r w:rsidRPr="00324382">
        <w:t xml:space="preserve">The top line of the formula determines the dollar amount to be paid by each sector as its share of the total levy amount, </w:t>
      </w:r>
      <w:proofErr w:type="gramStart"/>
      <w:r w:rsidRPr="00324382">
        <w:t>taking into account</w:t>
      </w:r>
      <w:proofErr w:type="gramEnd"/>
      <w:r w:rsidRPr="00324382">
        <w:t xml:space="preserve"> any over- or under-recovery in previous levy periods. </w:t>
      </w:r>
    </w:p>
    <w:p w14:paraId="0DE33008" w14:textId="77777777" w:rsidR="00185540" w:rsidRPr="00324382" w:rsidRDefault="00185540" w:rsidP="00C01F90"/>
    <w:p w14:paraId="5FB66C69" w14:textId="77777777" w:rsidR="00185540" w:rsidRDefault="00185540" w:rsidP="00C01F90">
      <w:r w:rsidRPr="00324382">
        <w:t>The bottom line of the formula (</w:t>
      </w:r>
      <w:r w:rsidRPr="00324382">
        <w:rPr>
          <w:b/>
        </w:rPr>
        <w:t>D</w:t>
      </w:r>
      <w:r w:rsidRPr="00324382">
        <w:t xml:space="preserve">, forecast player expenditure in the sector) determines the levy rate that is necessary for a sector to pay its required contribution (the dollar amount) determined by the top line of the formula. </w:t>
      </w:r>
    </w:p>
    <w:p w14:paraId="7469D940" w14:textId="77777777" w:rsidR="00185540" w:rsidRPr="00324382" w:rsidRDefault="00185540" w:rsidP="00C01F90"/>
    <w:p w14:paraId="1BC055AD" w14:textId="77777777" w:rsidR="00185540" w:rsidRDefault="00185540" w:rsidP="00C01F90">
      <w:r w:rsidRPr="00324382">
        <w:t>All other things being equal, the higher the forecast player expenditure for a sector, the lower that sector’s levy rate will be. Player expenditure for each sector is defined in section 320(3) of the Act. For example, each levy rate is the amount per dollar of player expenditure a sector must pay. A rate of 0.85 means a sector must pay 0.85 cents for every dollar of player expenditure in the levy period to which the rate applies.</w:t>
      </w:r>
    </w:p>
    <w:p w14:paraId="3CA39734" w14:textId="77777777" w:rsidR="00185540" w:rsidRDefault="00185540" w:rsidP="00C01F90"/>
    <w:p w14:paraId="6AEC790F" w14:textId="15B8A152" w:rsidR="00185540" w:rsidRDefault="00185540" w:rsidP="00C01F90">
      <w:r w:rsidRPr="00290BE0">
        <w:rPr>
          <w:rFonts w:eastAsia="Calibri" w:cs="Segoe UI"/>
          <w:b/>
          <w:bCs/>
        </w:rPr>
        <w:t>Appendix Six</w:t>
      </w:r>
      <w:r w:rsidRPr="00290BE0">
        <w:rPr>
          <w:rFonts w:eastAsia="Calibri" w:cs="Segoe UI"/>
        </w:rPr>
        <w:t xml:space="preserve"> in the Appendices document</w:t>
      </w:r>
      <w:r>
        <w:t xml:space="preserve"> steps through the detailed inputs into the formula and the underpinning data and calculations. </w:t>
      </w:r>
    </w:p>
    <w:p w14:paraId="048163CF" w14:textId="77777777" w:rsidR="00E214AF" w:rsidRPr="00C01F90" w:rsidRDefault="00E214AF" w:rsidP="00C01F90">
      <w:pPr>
        <w:pStyle w:val="Heading3"/>
        <w:rPr>
          <w:rFonts w:eastAsia="Lucida Sans Unicode"/>
        </w:rPr>
      </w:pPr>
      <w:r w:rsidRPr="00C01F90">
        <w:rPr>
          <w:rFonts w:eastAsia="Lucida Sans Unicode"/>
        </w:rPr>
        <w:t>The weightings (W1 and W2)</w:t>
      </w:r>
    </w:p>
    <w:p w14:paraId="72DEAD93" w14:textId="77777777" w:rsidR="00E214AF" w:rsidRDefault="00E214AF" w:rsidP="00E214AF">
      <w:pPr>
        <w:rPr>
          <w:rFonts w:eastAsia="Lucida Sans Unicode"/>
        </w:rPr>
      </w:pPr>
      <w:r>
        <w:rPr>
          <w:rFonts w:eastAsia="Lucida Sans Unicode"/>
        </w:rPr>
        <w:t>The levy formula requires a weighting to be applied between current player expenditure (W1) and presentations (W2) to help determine the cost (C) that each sector is required to pay in levy.</w:t>
      </w:r>
    </w:p>
    <w:p w14:paraId="7C84F333" w14:textId="7329A915" w:rsidR="006A02E9" w:rsidRPr="00AB3A88" w:rsidRDefault="006A02E9" w:rsidP="006A02E9">
      <w:pPr>
        <w:rPr>
          <w:rFonts w:eastAsia="Segoe UI"/>
        </w:rPr>
      </w:pPr>
      <w:r w:rsidRPr="00AB3A88">
        <w:rPr>
          <w:rFonts w:eastAsia="Segoe UI"/>
          <w:b/>
          <w:bCs/>
        </w:rPr>
        <w:lastRenderedPageBreak/>
        <w:t>Table 5</w:t>
      </w:r>
      <w:r w:rsidRPr="00AB3A88">
        <w:rPr>
          <w:rFonts w:eastAsia="Segoe UI"/>
        </w:rPr>
        <w:t xml:space="preserve"> shows the proportion of expenditure (</w:t>
      </w:r>
      <w:r w:rsidRPr="00AB3A88">
        <w:rPr>
          <w:rFonts w:eastAsia="Segoe UI"/>
          <w:b/>
          <w:bCs/>
        </w:rPr>
        <w:t>A</w:t>
      </w:r>
      <w:r w:rsidRPr="00AB3A88">
        <w:rPr>
          <w:rFonts w:eastAsia="Segoe UI"/>
        </w:rPr>
        <w:t>) from each levy-paying sector’s proportion of expenditure for the 2023/24 financial year</w:t>
      </w:r>
      <w:r w:rsidR="00D27F4C">
        <w:rPr>
          <w:rFonts w:eastAsia="Segoe UI"/>
        </w:rPr>
        <w:t xml:space="preserve">. </w:t>
      </w:r>
      <w:r w:rsidRPr="00AB3A88">
        <w:rPr>
          <w:rFonts w:eastAsia="Segoe UI"/>
        </w:rPr>
        <w:t xml:space="preserve"> and presentations (</w:t>
      </w:r>
      <w:r w:rsidRPr="00AB3A88">
        <w:rPr>
          <w:rFonts w:eastAsia="Segoe UI"/>
          <w:b/>
          <w:bCs/>
        </w:rPr>
        <w:t>B</w:t>
      </w:r>
      <w:r w:rsidRPr="00AB3A88">
        <w:rPr>
          <w:rFonts w:eastAsia="Segoe UI"/>
        </w:rPr>
        <w:t>) attributed to each levy-paying sector for the 12-month period from 1 January to 31 to December 2023.</w:t>
      </w:r>
      <w:r w:rsidR="004956B2" w:rsidRPr="004956B2">
        <w:rPr>
          <w:rFonts w:eastAsia="Lucida Sans Unicode"/>
        </w:rPr>
        <w:t xml:space="preserve"> </w:t>
      </w:r>
      <w:r w:rsidR="00D27F4C">
        <w:rPr>
          <w:rFonts w:eastAsia="Lucida Sans Unicode"/>
        </w:rPr>
        <w:t xml:space="preserve">These are </w:t>
      </w:r>
      <w:r w:rsidR="004956B2" w:rsidRPr="004956B2">
        <w:rPr>
          <w:rFonts w:eastAsia="Lucida Sans Unicode"/>
        </w:rPr>
        <w:t>the most recent year</w:t>
      </w:r>
      <w:r w:rsidR="00D27F4C">
        <w:rPr>
          <w:rFonts w:eastAsia="Lucida Sans Unicode"/>
        </w:rPr>
        <w:t>s</w:t>
      </w:r>
      <w:r w:rsidR="004956B2" w:rsidRPr="004956B2">
        <w:rPr>
          <w:rFonts w:eastAsia="Lucida Sans Unicode"/>
        </w:rPr>
        <w:t xml:space="preserve"> for which </w:t>
      </w:r>
      <w:r w:rsidR="00D27F4C">
        <w:rPr>
          <w:rFonts w:eastAsia="Lucida Sans Unicode"/>
        </w:rPr>
        <w:t xml:space="preserve">reliable </w:t>
      </w:r>
      <w:r w:rsidR="007A2F43">
        <w:rPr>
          <w:rFonts w:eastAsia="Lucida Sans Unicode"/>
        </w:rPr>
        <w:t xml:space="preserve">and complete </w:t>
      </w:r>
      <w:r w:rsidR="004956B2" w:rsidRPr="004956B2">
        <w:rPr>
          <w:rFonts w:eastAsia="Lucida Sans Unicode"/>
        </w:rPr>
        <w:t>comparative data is available for all four sectors.</w:t>
      </w:r>
    </w:p>
    <w:p w14:paraId="51BE9FEB" w14:textId="1372DA59" w:rsidR="00E214AF" w:rsidRDefault="00E214AF" w:rsidP="00E214AF">
      <w:pPr>
        <w:rPr>
          <w:rFonts w:eastAsia="Lucida Sans Unicode"/>
        </w:rPr>
      </w:pPr>
    </w:p>
    <w:p w14:paraId="2E7647AC" w14:textId="13B96678" w:rsidR="00F412BB" w:rsidRPr="00AB3A88" w:rsidRDefault="00F412BB" w:rsidP="00F412BB">
      <w:pPr>
        <w:pStyle w:val="Table"/>
        <w:rPr>
          <w:rFonts w:eastAsia="Segoe UI"/>
        </w:rPr>
      </w:pPr>
      <w:bookmarkStart w:id="35" w:name="_Toc197527601"/>
      <w:r w:rsidRPr="00AB3A88">
        <w:t xml:space="preserve">Table </w:t>
      </w:r>
      <w:r>
        <w:fldChar w:fldCharType="begin"/>
      </w:r>
      <w:r>
        <w:instrText xml:space="preserve"> SEQ Table \* ARABIC </w:instrText>
      </w:r>
      <w:r>
        <w:fldChar w:fldCharType="separate"/>
      </w:r>
      <w:r w:rsidR="00066AB5">
        <w:rPr>
          <w:noProof/>
        </w:rPr>
        <w:t>5</w:t>
      </w:r>
      <w:r>
        <w:rPr>
          <w:noProof/>
        </w:rPr>
        <w:fldChar w:fldCharType="end"/>
      </w:r>
      <w:r w:rsidRPr="00AB3A88">
        <w:t xml:space="preserve">: </w:t>
      </w:r>
      <w:r w:rsidRPr="00AB3A88">
        <w:rPr>
          <w:rFonts w:eastAsia="Segoe UI"/>
        </w:rPr>
        <w:t>Share of expenditure (2023/24) and presentations (2023) by levy-paying sector</w:t>
      </w:r>
      <w:bookmarkEnd w:id="35"/>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963"/>
        <w:gridCol w:w="1055"/>
        <w:gridCol w:w="962"/>
        <w:gridCol w:w="1055"/>
        <w:gridCol w:w="962"/>
        <w:gridCol w:w="1055"/>
        <w:gridCol w:w="962"/>
        <w:gridCol w:w="1055"/>
      </w:tblGrid>
      <w:tr w:rsidR="00F412BB" w:rsidRPr="00F412BB" w14:paraId="1D2DEDCF" w14:textId="77777777">
        <w:tc>
          <w:tcPr>
            <w:tcW w:w="2018" w:type="dxa"/>
            <w:gridSpan w:val="2"/>
            <w:tcBorders>
              <w:top w:val="nil"/>
              <w:bottom w:val="nil"/>
            </w:tcBorders>
            <w:shd w:val="clear" w:color="auto" w:fill="D9D9D9" w:themeFill="background1" w:themeFillShade="D9"/>
          </w:tcPr>
          <w:p w14:paraId="0AA86EB3" w14:textId="77777777" w:rsidR="00F412BB" w:rsidRPr="00AB3A88" w:rsidRDefault="00F412BB">
            <w:pPr>
              <w:pStyle w:val="TableText"/>
              <w:jc w:val="center"/>
              <w:rPr>
                <w:rFonts w:eastAsia="Segoe UI"/>
                <w:b/>
                <w:bCs/>
              </w:rPr>
            </w:pPr>
            <w:r w:rsidRPr="00AB3A88">
              <w:rPr>
                <w:rFonts w:eastAsia="Segoe UI"/>
                <w:b/>
                <w:bCs/>
              </w:rPr>
              <w:t>Class 4</w:t>
            </w:r>
          </w:p>
        </w:tc>
        <w:tc>
          <w:tcPr>
            <w:tcW w:w="2017" w:type="dxa"/>
            <w:gridSpan w:val="2"/>
            <w:tcBorders>
              <w:top w:val="nil"/>
              <w:bottom w:val="nil"/>
            </w:tcBorders>
            <w:shd w:val="clear" w:color="auto" w:fill="D9D9D9" w:themeFill="background1" w:themeFillShade="D9"/>
          </w:tcPr>
          <w:p w14:paraId="7AAB7B00" w14:textId="77777777" w:rsidR="00F412BB" w:rsidRPr="00AB3A88" w:rsidRDefault="00F412BB">
            <w:pPr>
              <w:pStyle w:val="TableText"/>
              <w:jc w:val="center"/>
              <w:rPr>
                <w:rFonts w:eastAsia="Segoe UI"/>
                <w:b/>
                <w:bCs/>
              </w:rPr>
            </w:pPr>
            <w:r w:rsidRPr="00AB3A88">
              <w:rPr>
                <w:rFonts w:eastAsia="Segoe UI"/>
                <w:b/>
                <w:bCs/>
              </w:rPr>
              <w:t>Casinos</w:t>
            </w:r>
          </w:p>
        </w:tc>
        <w:tc>
          <w:tcPr>
            <w:tcW w:w="2017" w:type="dxa"/>
            <w:gridSpan w:val="2"/>
            <w:tcBorders>
              <w:top w:val="nil"/>
              <w:bottom w:val="nil"/>
            </w:tcBorders>
            <w:shd w:val="clear" w:color="auto" w:fill="D9D9D9" w:themeFill="background1" w:themeFillShade="D9"/>
          </w:tcPr>
          <w:p w14:paraId="1F9AB520" w14:textId="77777777" w:rsidR="00F412BB" w:rsidRPr="00AB3A88" w:rsidRDefault="00F412BB">
            <w:pPr>
              <w:pStyle w:val="TableText"/>
              <w:jc w:val="center"/>
              <w:rPr>
                <w:rFonts w:eastAsia="Segoe UI"/>
                <w:b/>
                <w:bCs/>
              </w:rPr>
            </w:pPr>
            <w:r w:rsidRPr="00AB3A88">
              <w:rPr>
                <w:rFonts w:eastAsia="Segoe UI"/>
                <w:b/>
                <w:bCs/>
              </w:rPr>
              <w:t>TAB NZ</w:t>
            </w:r>
          </w:p>
        </w:tc>
        <w:tc>
          <w:tcPr>
            <w:tcW w:w="2017" w:type="dxa"/>
            <w:gridSpan w:val="2"/>
            <w:tcBorders>
              <w:top w:val="nil"/>
              <w:bottom w:val="nil"/>
            </w:tcBorders>
            <w:shd w:val="clear" w:color="auto" w:fill="D9D9D9" w:themeFill="background1" w:themeFillShade="D9"/>
          </w:tcPr>
          <w:p w14:paraId="0D234580" w14:textId="77777777" w:rsidR="00F412BB" w:rsidRPr="00AB3A88" w:rsidRDefault="00F412BB">
            <w:pPr>
              <w:pStyle w:val="TableText"/>
              <w:jc w:val="center"/>
              <w:rPr>
                <w:rFonts w:eastAsia="Segoe UI"/>
                <w:b/>
                <w:bCs/>
              </w:rPr>
            </w:pPr>
            <w:r w:rsidRPr="00AB3A88">
              <w:rPr>
                <w:rFonts w:eastAsia="Segoe UI"/>
                <w:b/>
                <w:bCs/>
              </w:rPr>
              <w:t>Lotto NZ</w:t>
            </w:r>
          </w:p>
        </w:tc>
      </w:tr>
      <w:tr w:rsidR="00F412BB" w:rsidRPr="00F412BB" w14:paraId="651E9C25" w14:textId="77777777">
        <w:tc>
          <w:tcPr>
            <w:tcW w:w="963" w:type="dxa"/>
            <w:tcBorders>
              <w:top w:val="nil"/>
            </w:tcBorders>
            <w:shd w:val="clear" w:color="auto" w:fill="D9D9D9" w:themeFill="background1" w:themeFillShade="D9"/>
          </w:tcPr>
          <w:p w14:paraId="0608DB6B" w14:textId="77777777" w:rsidR="00F412BB" w:rsidRPr="00AB3A88" w:rsidRDefault="00F412BB">
            <w:pPr>
              <w:pStyle w:val="TableText"/>
              <w:rPr>
                <w:rFonts w:eastAsia="Segoe UI"/>
                <w:sz w:val="14"/>
                <w:szCs w:val="16"/>
              </w:rPr>
            </w:pPr>
            <w:r w:rsidRPr="00AB3A88">
              <w:rPr>
                <w:rFonts w:eastAsia="Segoe UI"/>
                <w:sz w:val="14"/>
                <w:szCs w:val="16"/>
              </w:rPr>
              <w:t>Expenditure</w:t>
            </w:r>
          </w:p>
        </w:tc>
        <w:tc>
          <w:tcPr>
            <w:tcW w:w="1055" w:type="dxa"/>
            <w:tcBorders>
              <w:top w:val="nil"/>
              <w:right w:val="single" w:sz="4" w:space="0" w:color="A6A6A6" w:themeColor="background1" w:themeShade="A6"/>
            </w:tcBorders>
            <w:shd w:val="clear" w:color="auto" w:fill="D9D9D9" w:themeFill="background1" w:themeFillShade="D9"/>
          </w:tcPr>
          <w:p w14:paraId="1CD65AB6" w14:textId="77777777" w:rsidR="00F412BB" w:rsidRPr="00AB3A88" w:rsidRDefault="00F412BB">
            <w:pPr>
              <w:pStyle w:val="TableText"/>
              <w:rPr>
                <w:rFonts w:eastAsia="Segoe UI"/>
                <w:sz w:val="14"/>
                <w:szCs w:val="16"/>
              </w:rPr>
            </w:pPr>
            <w:r w:rsidRPr="00AB3A88">
              <w:rPr>
                <w:rFonts w:eastAsia="Segoe UI"/>
                <w:sz w:val="14"/>
                <w:szCs w:val="16"/>
              </w:rPr>
              <w:t>Presentations</w:t>
            </w:r>
          </w:p>
        </w:tc>
        <w:tc>
          <w:tcPr>
            <w:tcW w:w="962" w:type="dxa"/>
            <w:tcBorders>
              <w:top w:val="nil"/>
              <w:left w:val="single" w:sz="4" w:space="0" w:color="A6A6A6" w:themeColor="background1" w:themeShade="A6"/>
            </w:tcBorders>
            <w:shd w:val="clear" w:color="auto" w:fill="D9D9D9" w:themeFill="background1" w:themeFillShade="D9"/>
          </w:tcPr>
          <w:p w14:paraId="6662AC7D" w14:textId="77777777" w:rsidR="00F412BB" w:rsidRPr="00AB3A88" w:rsidRDefault="00F412BB">
            <w:pPr>
              <w:pStyle w:val="TableText"/>
              <w:rPr>
                <w:rFonts w:eastAsia="Segoe UI"/>
                <w:sz w:val="14"/>
                <w:szCs w:val="16"/>
              </w:rPr>
            </w:pPr>
            <w:r w:rsidRPr="00AB3A88">
              <w:rPr>
                <w:rFonts w:eastAsia="Segoe UI"/>
                <w:sz w:val="14"/>
                <w:szCs w:val="16"/>
              </w:rPr>
              <w:t>Expenditure</w:t>
            </w:r>
          </w:p>
        </w:tc>
        <w:tc>
          <w:tcPr>
            <w:tcW w:w="1055" w:type="dxa"/>
            <w:tcBorders>
              <w:top w:val="nil"/>
              <w:right w:val="single" w:sz="4" w:space="0" w:color="A6A6A6" w:themeColor="background1" w:themeShade="A6"/>
            </w:tcBorders>
            <w:shd w:val="clear" w:color="auto" w:fill="D9D9D9" w:themeFill="background1" w:themeFillShade="D9"/>
          </w:tcPr>
          <w:p w14:paraId="72803656" w14:textId="77777777" w:rsidR="00F412BB" w:rsidRPr="00AB3A88" w:rsidRDefault="00F412BB">
            <w:pPr>
              <w:pStyle w:val="TableText"/>
              <w:rPr>
                <w:rFonts w:eastAsia="Segoe UI"/>
                <w:sz w:val="14"/>
                <w:szCs w:val="16"/>
              </w:rPr>
            </w:pPr>
            <w:r w:rsidRPr="00AB3A88">
              <w:rPr>
                <w:rFonts w:eastAsia="Segoe UI"/>
                <w:sz w:val="14"/>
                <w:szCs w:val="16"/>
              </w:rPr>
              <w:t>Presentations</w:t>
            </w:r>
          </w:p>
        </w:tc>
        <w:tc>
          <w:tcPr>
            <w:tcW w:w="962" w:type="dxa"/>
            <w:tcBorders>
              <w:top w:val="nil"/>
              <w:left w:val="single" w:sz="4" w:space="0" w:color="A6A6A6" w:themeColor="background1" w:themeShade="A6"/>
            </w:tcBorders>
            <w:shd w:val="clear" w:color="auto" w:fill="D9D9D9" w:themeFill="background1" w:themeFillShade="D9"/>
          </w:tcPr>
          <w:p w14:paraId="3BB175E8" w14:textId="77777777" w:rsidR="00F412BB" w:rsidRPr="00AB3A88" w:rsidRDefault="00F412BB">
            <w:pPr>
              <w:pStyle w:val="TableText"/>
              <w:rPr>
                <w:rFonts w:eastAsia="Segoe UI"/>
                <w:sz w:val="14"/>
                <w:szCs w:val="16"/>
              </w:rPr>
            </w:pPr>
            <w:r w:rsidRPr="00AB3A88">
              <w:rPr>
                <w:rFonts w:eastAsia="Segoe UI"/>
                <w:sz w:val="14"/>
                <w:szCs w:val="16"/>
              </w:rPr>
              <w:t>Expenditure</w:t>
            </w:r>
          </w:p>
        </w:tc>
        <w:tc>
          <w:tcPr>
            <w:tcW w:w="1055" w:type="dxa"/>
            <w:tcBorders>
              <w:top w:val="nil"/>
              <w:right w:val="single" w:sz="4" w:space="0" w:color="A6A6A6" w:themeColor="background1" w:themeShade="A6"/>
            </w:tcBorders>
            <w:shd w:val="clear" w:color="auto" w:fill="D9D9D9" w:themeFill="background1" w:themeFillShade="D9"/>
          </w:tcPr>
          <w:p w14:paraId="22051814" w14:textId="77777777" w:rsidR="00F412BB" w:rsidRPr="00AB3A88" w:rsidRDefault="00F412BB">
            <w:pPr>
              <w:pStyle w:val="TableText"/>
              <w:rPr>
                <w:rFonts w:eastAsia="Segoe UI"/>
                <w:sz w:val="14"/>
                <w:szCs w:val="16"/>
              </w:rPr>
            </w:pPr>
            <w:r w:rsidRPr="00AB3A88">
              <w:rPr>
                <w:rFonts w:eastAsia="Segoe UI"/>
                <w:sz w:val="14"/>
                <w:szCs w:val="16"/>
              </w:rPr>
              <w:t>Presentations</w:t>
            </w:r>
          </w:p>
        </w:tc>
        <w:tc>
          <w:tcPr>
            <w:tcW w:w="962" w:type="dxa"/>
            <w:tcBorders>
              <w:top w:val="nil"/>
              <w:left w:val="single" w:sz="4" w:space="0" w:color="A6A6A6" w:themeColor="background1" w:themeShade="A6"/>
            </w:tcBorders>
            <w:shd w:val="clear" w:color="auto" w:fill="D9D9D9" w:themeFill="background1" w:themeFillShade="D9"/>
          </w:tcPr>
          <w:p w14:paraId="38798617" w14:textId="77777777" w:rsidR="00F412BB" w:rsidRPr="00AB3A88" w:rsidRDefault="00F412BB">
            <w:pPr>
              <w:pStyle w:val="TableText"/>
              <w:rPr>
                <w:rFonts w:eastAsia="Segoe UI"/>
                <w:sz w:val="14"/>
                <w:szCs w:val="16"/>
              </w:rPr>
            </w:pPr>
            <w:r w:rsidRPr="00AB3A88">
              <w:rPr>
                <w:rFonts w:eastAsia="Segoe UI"/>
                <w:sz w:val="14"/>
                <w:szCs w:val="16"/>
              </w:rPr>
              <w:t>Expenditure</w:t>
            </w:r>
          </w:p>
        </w:tc>
        <w:tc>
          <w:tcPr>
            <w:tcW w:w="1055" w:type="dxa"/>
            <w:tcBorders>
              <w:top w:val="nil"/>
            </w:tcBorders>
            <w:shd w:val="clear" w:color="auto" w:fill="D9D9D9" w:themeFill="background1" w:themeFillShade="D9"/>
          </w:tcPr>
          <w:p w14:paraId="2919FD7E" w14:textId="77777777" w:rsidR="00F412BB" w:rsidRPr="00AB3A88" w:rsidRDefault="00F412BB">
            <w:pPr>
              <w:pStyle w:val="TableText"/>
              <w:rPr>
                <w:rFonts w:eastAsia="Segoe UI"/>
                <w:sz w:val="14"/>
                <w:szCs w:val="16"/>
              </w:rPr>
            </w:pPr>
            <w:r w:rsidRPr="00AB3A88">
              <w:rPr>
                <w:rFonts w:eastAsia="Segoe UI"/>
                <w:sz w:val="14"/>
                <w:szCs w:val="16"/>
              </w:rPr>
              <w:t>Presentations</w:t>
            </w:r>
          </w:p>
        </w:tc>
      </w:tr>
      <w:tr w:rsidR="00F412BB" w:rsidRPr="00F412BB" w14:paraId="694BABC3" w14:textId="77777777">
        <w:tc>
          <w:tcPr>
            <w:tcW w:w="963" w:type="dxa"/>
          </w:tcPr>
          <w:p w14:paraId="62591B52" w14:textId="462B5D20" w:rsidR="00F412BB" w:rsidRPr="00AB3A88" w:rsidRDefault="00F412BB">
            <w:pPr>
              <w:pStyle w:val="TableText"/>
              <w:jc w:val="center"/>
              <w:rPr>
                <w:rFonts w:eastAsia="Segoe UI"/>
              </w:rPr>
            </w:pPr>
            <w:r w:rsidRPr="00AB3A88">
              <w:rPr>
                <w:rFonts w:eastAsia="Segoe UI"/>
              </w:rPr>
              <w:t>0.</w:t>
            </w:r>
            <w:r w:rsidR="00CA6041" w:rsidRPr="00AB3A88">
              <w:rPr>
                <w:rFonts w:eastAsia="Segoe UI"/>
              </w:rPr>
              <w:t>37</w:t>
            </w:r>
            <w:r w:rsidR="00CA6041">
              <w:rPr>
                <w:rFonts w:eastAsia="Segoe UI"/>
              </w:rPr>
              <w:t>1</w:t>
            </w:r>
          </w:p>
        </w:tc>
        <w:tc>
          <w:tcPr>
            <w:tcW w:w="1055" w:type="dxa"/>
            <w:tcBorders>
              <w:right w:val="single" w:sz="4" w:space="0" w:color="A6A6A6" w:themeColor="background1" w:themeShade="A6"/>
            </w:tcBorders>
          </w:tcPr>
          <w:p w14:paraId="0F79F780" w14:textId="77777777" w:rsidR="00F412BB" w:rsidRPr="00AB3A88" w:rsidRDefault="00F412BB">
            <w:pPr>
              <w:pStyle w:val="TableText"/>
              <w:jc w:val="center"/>
              <w:rPr>
                <w:rFonts w:eastAsia="Segoe UI"/>
              </w:rPr>
            </w:pPr>
            <w:r w:rsidRPr="00AB3A88">
              <w:rPr>
                <w:rFonts w:eastAsia="Segoe UI"/>
              </w:rPr>
              <w:t>0.543</w:t>
            </w:r>
          </w:p>
        </w:tc>
        <w:tc>
          <w:tcPr>
            <w:tcW w:w="962" w:type="dxa"/>
            <w:tcBorders>
              <w:left w:val="single" w:sz="4" w:space="0" w:color="A6A6A6" w:themeColor="background1" w:themeShade="A6"/>
            </w:tcBorders>
          </w:tcPr>
          <w:p w14:paraId="5518B3C1" w14:textId="08A06FF7" w:rsidR="00F412BB" w:rsidRPr="00AB3A88" w:rsidRDefault="00F412BB">
            <w:pPr>
              <w:pStyle w:val="TableText"/>
              <w:jc w:val="center"/>
              <w:rPr>
                <w:rFonts w:eastAsia="Segoe UI"/>
              </w:rPr>
            </w:pPr>
            <w:r w:rsidRPr="00AB3A88">
              <w:rPr>
                <w:rFonts w:eastAsia="Segoe UI"/>
              </w:rPr>
              <w:t>0.2</w:t>
            </w:r>
            <w:r w:rsidR="00396EB4">
              <w:rPr>
                <w:rFonts w:eastAsia="Segoe UI"/>
              </w:rPr>
              <w:t>12</w:t>
            </w:r>
          </w:p>
        </w:tc>
        <w:tc>
          <w:tcPr>
            <w:tcW w:w="1055" w:type="dxa"/>
            <w:tcBorders>
              <w:right w:val="single" w:sz="4" w:space="0" w:color="A6A6A6" w:themeColor="background1" w:themeShade="A6"/>
            </w:tcBorders>
          </w:tcPr>
          <w:p w14:paraId="2FB4CD2E" w14:textId="77777777" w:rsidR="00F412BB" w:rsidRPr="00AB3A88" w:rsidRDefault="00F412BB">
            <w:pPr>
              <w:pStyle w:val="TableText"/>
              <w:jc w:val="center"/>
              <w:rPr>
                <w:rFonts w:eastAsia="Segoe UI"/>
              </w:rPr>
            </w:pPr>
            <w:r w:rsidRPr="00AB3A88">
              <w:rPr>
                <w:rFonts w:eastAsia="Segoe UI"/>
              </w:rPr>
              <w:t>0.204</w:t>
            </w:r>
          </w:p>
        </w:tc>
        <w:tc>
          <w:tcPr>
            <w:tcW w:w="962" w:type="dxa"/>
            <w:tcBorders>
              <w:left w:val="single" w:sz="4" w:space="0" w:color="A6A6A6" w:themeColor="background1" w:themeShade="A6"/>
            </w:tcBorders>
          </w:tcPr>
          <w:p w14:paraId="46301DED" w14:textId="0DF41A52" w:rsidR="00F412BB" w:rsidRPr="00AB3A88" w:rsidRDefault="00F412BB">
            <w:pPr>
              <w:pStyle w:val="TableText"/>
              <w:jc w:val="center"/>
              <w:rPr>
                <w:rFonts w:eastAsia="Segoe UI"/>
              </w:rPr>
            </w:pPr>
            <w:r w:rsidRPr="00AB3A88">
              <w:rPr>
                <w:rFonts w:eastAsia="Segoe UI"/>
              </w:rPr>
              <w:t>0.</w:t>
            </w:r>
            <w:r w:rsidR="00396EB4" w:rsidRPr="00AB3A88">
              <w:rPr>
                <w:rFonts w:eastAsia="Segoe UI"/>
              </w:rPr>
              <w:t>13</w:t>
            </w:r>
            <w:r w:rsidR="00396EB4">
              <w:rPr>
                <w:rFonts w:eastAsia="Segoe UI"/>
              </w:rPr>
              <w:t>3</w:t>
            </w:r>
          </w:p>
        </w:tc>
        <w:tc>
          <w:tcPr>
            <w:tcW w:w="1055" w:type="dxa"/>
            <w:tcBorders>
              <w:right w:val="single" w:sz="4" w:space="0" w:color="A6A6A6" w:themeColor="background1" w:themeShade="A6"/>
            </w:tcBorders>
          </w:tcPr>
          <w:p w14:paraId="3EF8DA20" w14:textId="77777777" w:rsidR="00F412BB" w:rsidRPr="00AB3A88" w:rsidRDefault="00F412BB">
            <w:pPr>
              <w:pStyle w:val="TableText"/>
              <w:jc w:val="center"/>
              <w:rPr>
                <w:rFonts w:eastAsia="Segoe UI"/>
              </w:rPr>
            </w:pPr>
            <w:r w:rsidRPr="00AB3A88">
              <w:rPr>
                <w:rFonts w:eastAsia="Segoe UI"/>
              </w:rPr>
              <w:t>0.102</w:t>
            </w:r>
          </w:p>
        </w:tc>
        <w:tc>
          <w:tcPr>
            <w:tcW w:w="962" w:type="dxa"/>
            <w:tcBorders>
              <w:left w:val="single" w:sz="4" w:space="0" w:color="A6A6A6" w:themeColor="background1" w:themeShade="A6"/>
            </w:tcBorders>
          </w:tcPr>
          <w:p w14:paraId="6BD4CCF9" w14:textId="68A2691E" w:rsidR="00F412BB" w:rsidRPr="00AB3A88" w:rsidRDefault="00F412BB">
            <w:pPr>
              <w:pStyle w:val="TableText"/>
              <w:jc w:val="center"/>
              <w:rPr>
                <w:rFonts w:eastAsia="Segoe UI"/>
              </w:rPr>
            </w:pPr>
            <w:r w:rsidRPr="00AB3A88">
              <w:rPr>
                <w:rFonts w:eastAsia="Segoe UI"/>
              </w:rPr>
              <w:t>0.</w:t>
            </w:r>
            <w:r w:rsidR="00396EB4" w:rsidRPr="00AB3A88">
              <w:rPr>
                <w:rFonts w:eastAsia="Segoe UI"/>
              </w:rPr>
              <w:t>2</w:t>
            </w:r>
            <w:r w:rsidR="00396EB4">
              <w:rPr>
                <w:rFonts w:eastAsia="Segoe UI"/>
              </w:rPr>
              <w:t>84</w:t>
            </w:r>
          </w:p>
        </w:tc>
        <w:tc>
          <w:tcPr>
            <w:tcW w:w="1055" w:type="dxa"/>
          </w:tcPr>
          <w:p w14:paraId="5DC85402" w14:textId="41AF0DE5" w:rsidR="00F412BB" w:rsidRPr="00AB3A88" w:rsidRDefault="00F412BB">
            <w:pPr>
              <w:pStyle w:val="TableText"/>
              <w:jc w:val="center"/>
              <w:rPr>
                <w:rFonts w:eastAsia="Segoe UI"/>
              </w:rPr>
            </w:pPr>
            <w:r w:rsidRPr="00AB3A88">
              <w:rPr>
                <w:rFonts w:eastAsia="Segoe UI"/>
              </w:rPr>
              <w:t>0.150</w:t>
            </w:r>
          </w:p>
        </w:tc>
      </w:tr>
    </w:tbl>
    <w:p w14:paraId="62F088DB" w14:textId="77777777" w:rsidR="00E214AF" w:rsidRDefault="00E214AF" w:rsidP="00E214AF">
      <w:pPr>
        <w:rPr>
          <w:rFonts w:eastAsia="Lucida Sans Unicode"/>
        </w:rPr>
      </w:pPr>
    </w:p>
    <w:p w14:paraId="40BF36EA" w14:textId="77777777" w:rsidR="00E214AF" w:rsidRDefault="00E214AF" w:rsidP="00E214AF">
      <w:pPr>
        <w:rPr>
          <w:rFonts w:eastAsia="Lucida Sans Unicode"/>
        </w:rPr>
      </w:pPr>
      <w:r>
        <w:rPr>
          <w:rFonts w:eastAsia="Lucida Sans Unicode"/>
        </w:rPr>
        <w:t>The top line of the levy formula determines the amount each sector will pay. When a sector’s proportion of expenditure is substantially different from its proportion of presentations (W1 and W2 respectively), the weighting between expenditure and presentations is critical to determine how much each sector will be required to pay.</w:t>
      </w:r>
    </w:p>
    <w:p w14:paraId="02AA846E" w14:textId="036ED495" w:rsidR="00E214AF" w:rsidRDefault="00E214AF" w:rsidP="00C01F90">
      <w:pPr>
        <w:pStyle w:val="Heading2"/>
        <w:spacing w:before="360"/>
        <w:rPr>
          <w:rFonts w:eastAsia="Lucida Sans Unicode"/>
        </w:rPr>
      </w:pPr>
      <w:bookmarkStart w:id="36" w:name="_Toc106891840"/>
      <w:bookmarkStart w:id="37" w:name="_Toc197527594"/>
      <w:r>
        <w:rPr>
          <w:rFonts w:eastAsia="Lucida Sans Unicode"/>
        </w:rPr>
        <w:t xml:space="preserve">Levy </w:t>
      </w:r>
      <w:proofErr w:type="gramStart"/>
      <w:r w:rsidR="00FF556A">
        <w:rPr>
          <w:rFonts w:eastAsia="Lucida Sans Unicode"/>
        </w:rPr>
        <w:t>r</w:t>
      </w:r>
      <w:r>
        <w:rPr>
          <w:rFonts w:eastAsia="Lucida Sans Unicode"/>
        </w:rPr>
        <w:t>ates</w:t>
      </w:r>
      <w:bookmarkEnd w:id="36"/>
      <w:bookmarkEnd w:id="37"/>
      <w:proofErr w:type="gramEnd"/>
    </w:p>
    <w:p w14:paraId="62A72622" w14:textId="35B0701D" w:rsidR="00E214AF" w:rsidRDefault="00E214AF" w:rsidP="00C01F90">
      <w:pPr>
        <w:ind w:right="-1"/>
        <w:rPr>
          <w:rFonts w:eastAsia="Lucida Sans Unicode"/>
        </w:rPr>
      </w:pPr>
      <w:r w:rsidRPr="002001A1">
        <w:rPr>
          <w:rFonts w:eastAsia="Segoe UI"/>
          <w:b/>
          <w:bCs/>
        </w:rPr>
        <w:t xml:space="preserve">Table </w:t>
      </w:r>
      <w:r w:rsidR="00F412BB" w:rsidRPr="002001A1">
        <w:rPr>
          <w:rFonts w:eastAsia="Segoe UI"/>
          <w:b/>
          <w:bCs/>
        </w:rPr>
        <w:t>6</w:t>
      </w:r>
      <w:r>
        <w:rPr>
          <w:rFonts w:eastAsia="Lucida Sans Unicode"/>
        </w:rPr>
        <w:t xml:space="preserve"> sets out each sector’s levy rate for 202</w:t>
      </w:r>
      <w:r w:rsidR="0060039C">
        <w:rPr>
          <w:rFonts w:eastAsia="Lucida Sans Unicode"/>
        </w:rPr>
        <w:t>5</w:t>
      </w:r>
      <w:r>
        <w:rPr>
          <w:rFonts w:eastAsia="Lucida Sans Unicode"/>
        </w:rPr>
        <w:t>/2</w:t>
      </w:r>
      <w:r w:rsidR="0060039C">
        <w:rPr>
          <w:rFonts w:eastAsia="Lucida Sans Unicode"/>
        </w:rPr>
        <w:t>6</w:t>
      </w:r>
      <w:r>
        <w:rPr>
          <w:rFonts w:eastAsia="Lucida Sans Unicode"/>
        </w:rPr>
        <w:t xml:space="preserve"> to 202</w:t>
      </w:r>
      <w:r w:rsidR="0060039C">
        <w:rPr>
          <w:rFonts w:eastAsia="Lucida Sans Unicode"/>
        </w:rPr>
        <w:t>7</w:t>
      </w:r>
      <w:r>
        <w:rPr>
          <w:rFonts w:eastAsia="Lucida Sans Unicode"/>
        </w:rPr>
        <w:t>/2</w:t>
      </w:r>
      <w:r w:rsidR="0060039C">
        <w:rPr>
          <w:rFonts w:eastAsia="Lucida Sans Unicode"/>
        </w:rPr>
        <w:t>8</w:t>
      </w:r>
      <w:r>
        <w:rPr>
          <w:rFonts w:eastAsia="Lucida Sans Unicode"/>
        </w:rPr>
        <w:t xml:space="preserve">, expected payment amounts, and percent shares for the 30/70 weighting. The 30/70 weighting reflects changing patterns of player expenditure and </w:t>
      </w:r>
      <w:r w:rsidR="0060039C">
        <w:rPr>
          <w:rFonts w:eastAsia="Lucida Sans Unicode"/>
        </w:rPr>
        <w:t>presentations and</w:t>
      </w:r>
      <w:r>
        <w:rPr>
          <w:rFonts w:eastAsia="Lucida Sans Unicode"/>
        </w:rPr>
        <w:t xml:space="preserve"> recognises that too high a weighting on presentations alone does not adequately attribute to each sector its fair share of costs for low to moderate harm, or of </w:t>
      </w:r>
      <w:r w:rsidR="7AFAD601" w:rsidRPr="3DD93037">
        <w:rPr>
          <w:rFonts w:eastAsia="Lucida Sans Unicode"/>
        </w:rPr>
        <w:t>S</w:t>
      </w:r>
      <w:r>
        <w:rPr>
          <w:rFonts w:eastAsia="Lucida Sans Unicode"/>
        </w:rPr>
        <w:t>trategy activities such as public health not covered by presentations to intervention</w:t>
      </w:r>
      <w:r w:rsidR="0071736A">
        <w:rPr>
          <w:rFonts w:eastAsia="Lucida Sans Unicode"/>
        </w:rPr>
        <w:t xml:space="preserve"> treatment </w:t>
      </w:r>
      <w:r>
        <w:rPr>
          <w:rFonts w:eastAsia="Lucida Sans Unicode"/>
        </w:rPr>
        <w:t>services.</w:t>
      </w:r>
    </w:p>
    <w:p w14:paraId="416ECCB5" w14:textId="77777777" w:rsidR="00E214AF" w:rsidRDefault="00E214AF" w:rsidP="00C01F90">
      <w:pPr>
        <w:ind w:right="-1"/>
        <w:rPr>
          <w:rFonts w:eastAsia="Lucida Sans Unicode"/>
        </w:rPr>
      </w:pPr>
    </w:p>
    <w:p w14:paraId="52B00AE1" w14:textId="4CC9E5BF" w:rsidR="00E214AF" w:rsidRDefault="00E214AF" w:rsidP="00C01F90">
      <w:pPr>
        <w:ind w:right="-1"/>
        <w:rPr>
          <w:rFonts w:eastAsia="Lucida Sans Unicode"/>
        </w:rPr>
      </w:pPr>
      <w:r>
        <w:rPr>
          <w:rFonts w:eastAsia="Lucida Sans Unicode"/>
        </w:rPr>
        <w:t xml:space="preserve">The top row of the table shows the levy rate for each sector, as the percentage of player expenditure it must pay as a levy. For example, a rate of 0.85 means that the sector must pay 0.85 cents for each dollar of player expenditure (as defined in Section 320(3) of the Act) from 1 July 2022 to 30 June 2025. The second row shows the expected levy amount each sector would pay if actual player expenditure </w:t>
      </w:r>
      <w:proofErr w:type="gramStart"/>
      <w:r>
        <w:rPr>
          <w:rFonts w:eastAsia="Lucida Sans Unicode"/>
        </w:rPr>
        <w:t>matches</w:t>
      </w:r>
      <w:proofErr w:type="gramEnd"/>
      <w:r>
        <w:rPr>
          <w:rFonts w:eastAsia="Lucida Sans Unicode"/>
        </w:rPr>
        <w:t xml:space="preserve"> the forecasts. The third row shows this amount as a percentage of the total expected in levy payments (having adjusted for R). The last row shows each sector’s share of the total cost to fund the </w:t>
      </w:r>
      <w:r w:rsidR="25340953" w:rsidRPr="3DD93037">
        <w:rPr>
          <w:rFonts w:eastAsia="Lucida Sans Unicode"/>
        </w:rPr>
        <w:t>S</w:t>
      </w:r>
      <w:r>
        <w:rPr>
          <w:rFonts w:eastAsia="Lucida Sans Unicode"/>
        </w:rPr>
        <w:t>trategy over the levy period.</w:t>
      </w:r>
    </w:p>
    <w:p w14:paraId="6227E634" w14:textId="68806563" w:rsidR="00307097" w:rsidRDefault="00307097">
      <w:pPr>
        <w:rPr>
          <w:b/>
          <w:sz w:val="20"/>
        </w:rPr>
      </w:pPr>
      <w:bookmarkStart w:id="38" w:name="_Toc106599491"/>
    </w:p>
    <w:p w14:paraId="3D1992DA" w14:textId="046CEF60" w:rsidR="00E214AF" w:rsidRPr="002001A1" w:rsidRDefault="00E214AF" w:rsidP="00E214AF">
      <w:pPr>
        <w:pStyle w:val="Table"/>
      </w:pPr>
      <w:bookmarkStart w:id="39" w:name="_Toc197527602"/>
      <w:r>
        <w:t xml:space="preserve">Table </w:t>
      </w:r>
      <w:r w:rsidR="007B4BA2">
        <w:t>6</w:t>
      </w:r>
      <w:r>
        <w:t xml:space="preserve">: </w:t>
      </w:r>
      <w:r w:rsidRPr="002001A1">
        <w:t>Levy rates per sector: 30/70 weighting (all figures GST-exclusive)</w:t>
      </w:r>
      <w:bookmarkEnd w:id="38"/>
      <w:bookmarkEnd w:id="39"/>
    </w:p>
    <w:tbl>
      <w:tblPr>
        <w:tblW w:w="5000" w:type="pct"/>
        <w:tblLayout w:type="fixed"/>
        <w:tblCellMar>
          <w:left w:w="57" w:type="dxa"/>
          <w:right w:w="57" w:type="dxa"/>
        </w:tblCellMar>
        <w:tblLook w:val="0000" w:firstRow="0" w:lastRow="0" w:firstColumn="0" w:lastColumn="0" w:noHBand="0" w:noVBand="0"/>
      </w:tblPr>
      <w:tblGrid>
        <w:gridCol w:w="4016"/>
        <w:gridCol w:w="840"/>
        <w:gridCol w:w="1121"/>
        <w:gridCol w:w="982"/>
        <w:gridCol w:w="1120"/>
      </w:tblGrid>
      <w:tr w:rsidR="007423C3" w:rsidRPr="00181CA8" w14:paraId="0F733CE9" w14:textId="77777777" w:rsidTr="00C01F90">
        <w:trPr>
          <w:cantSplit/>
        </w:trPr>
        <w:tc>
          <w:tcPr>
            <w:tcW w:w="2485" w:type="pct"/>
            <w:shd w:val="clear" w:color="auto" w:fill="D9D9D9" w:themeFill="background1" w:themeFillShade="D9"/>
            <w:tcMar>
              <w:top w:w="0" w:type="dxa"/>
              <w:left w:w="57" w:type="dxa"/>
              <w:bottom w:w="0" w:type="dxa"/>
              <w:right w:w="57" w:type="dxa"/>
            </w:tcMar>
          </w:tcPr>
          <w:p w14:paraId="56D5CF35" w14:textId="77777777" w:rsidR="007423C3" w:rsidRPr="00181CA8" w:rsidRDefault="007423C3" w:rsidP="00C01F90">
            <w:pPr>
              <w:spacing w:before="60" w:after="60"/>
              <w:rPr>
                <w:sz w:val="18"/>
                <w:szCs w:val="18"/>
                <w:lang w:val="x-none"/>
              </w:rPr>
            </w:pPr>
          </w:p>
        </w:tc>
        <w:tc>
          <w:tcPr>
            <w:tcW w:w="520" w:type="pct"/>
            <w:shd w:val="clear" w:color="auto" w:fill="D9D9D9" w:themeFill="background1" w:themeFillShade="D9"/>
          </w:tcPr>
          <w:p w14:paraId="637B1731" w14:textId="77777777" w:rsidR="007423C3" w:rsidRPr="00181CA8" w:rsidRDefault="007423C3" w:rsidP="00C01F90">
            <w:pPr>
              <w:spacing w:before="60" w:after="60"/>
              <w:jc w:val="right"/>
              <w:rPr>
                <w:sz w:val="18"/>
                <w:szCs w:val="18"/>
                <w:lang w:val="x-none"/>
              </w:rPr>
            </w:pPr>
            <w:r w:rsidRPr="00181CA8">
              <w:rPr>
                <w:sz w:val="18"/>
                <w:szCs w:val="18"/>
                <w:lang w:val="x-none"/>
              </w:rPr>
              <w:t>NCGMs</w:t>
            </w:r>
          </w:p>
        </w:tc>
        <w:tc>
          <w:tcPr>
            <w:tcW w:w="694" w:type="pct"/>
            <w:shd w:val="clear" w:color="auto" w:fill="D9D9D9" w:themeFill="background1" w:themeFillShade="D9"/>
          </w:tcPr>
          <w:p w14:paraId="0435A512" w14:textId="77777777" w:rsidR="007423C3" w:rsidRPr="00181CA8" w:rsidRDefault="007423C3" w:rsidP="00C01F90">
            <w:pPr>
              <w:spacing w:before="60" w:after="60"/>
              <w:jc w:val="right"/>
              <w:rPr>
                <w:sz w:val="18"/>
                <w:szCs w:val="18"/>
                <w:lang w:val="x-none"/>
              </w:rPr>
            </w:pPr>
            <w:r w:rsidRPr="00181CA8">
              <w:rPr>
                <w:sz w:val="18"/>
                <w:szCs w:val="18"/>
                <w:lang w:val="x-none"/>
              </w:rPr>
              <w:t xml:space="preserve">Casinos </w:t>
            </w:r>
          </w:p>
        </w:tc>
        <w:tc>
          <w:tcPr>
            <w:tcW w:w="608" w:type="pct"/>
            <w:shd w:val="clear" w:color="auto" w:fill="D9D9D9" w:themeFill="background1" w:themeFillShade="D9"/>
          </w:tcPr>
          <w:p w14:paraId="190A5718" w14:textId="77777777" w:rsidR="007423C3" w:rsidRPr="00181CA8" w:rsidRDefault="007423C3" w:rsidP="00C01F90">
            <w:pPr>
              <w:spacing w:before="60" w:after="60"/>
              <w:jc w:val="right"/>
              <w:rPr>
                <w:sz w:val="18"/>
                <w:szCs w:val="18"/>
              </w:rPr>
            </w:pPr>
            <w:r w:rsidRPr="00181CA8">
              <w:rPr>
                <w:sz w:val="18"/>
                <w:szCs w:val="18"/>
              </w:rPr>
              <w:t>TAB NZ</w:t>
            </w:r>
          </w:p>
        </w:tc>
        <w:tc>
          <w:tcPr>
            <w:tcW w:w="693" w:type="pct"/>
            <w:shd w:val="clear" w:color="auto" w:fill="D9D9D9" w:themeFill="background1" w:themeFillShade="D9"/>
          </w:tcPr>
          <w:p w14:paraId="3CBBE5FF" w14:textId="77777777" w:rsidR="007423C3" w:rsidRPr="00181CA8" w:rsidRDefault="007423C3" w:rsidP="00C01F90">
            <w:pPr>
              <w:spacing w:before="60" w:after="60"/>
              <w:jc w:val="right"/>
              <w:rPr>
                <w:sz w:val="18"/>
                <w:szCs w:val="18"/>
                <w:lang w:val="x-none"/>
              </w:rPr>
            </w:pPr>
            <w:r w:rsidRPr="00181CA8">
              <w:rPr>
                <w:sz w:val="18"/>
                <w:szCs w:val="18"/>
                <w:lang w:val="x-none"/>
              </w:rPr>
              <w:t>Lotto NZ</w:t>
            </w:r>
          </w:p>
        </w:tc>
      </w:tr>
      <w:tr w:rsidR="007423C3" w:rsidRPr="00181CA8" w14:paraId="3BB7C3BD" w14:textId="77777777" w:rsidTr="00C01F90">
        <w:trPr>
          <w:cantSplit/>
        </w:trPr>
        <w:tc>
          <w:tcPr>
            <w:tcW w:w="2485" w:type="pct"/>
            <w:tcBorders>
              <w:bottom w:val="single" w:sz="4" w:space="0" w:color="A6A6A6" w:themeColor="background1" w:themeShade="A6"/>
            </w:tcBorders>
            <w:shd w:val="clear" w:color="auto" w:fill="auto"/>
            <w:noWrap/>
            <w:tcMar>
              <w:top w:w="0" w:type="dxa"/>
              <w:left w:w="57" w:type="dxa"/>
              <w:bottom w:w="0" w:type="dxa"/>
              <w:right w:w="57" w:type="dxa"/>
            </w:tcMar>
          </w:tcPr>
          <w:p w14:paraId="52F45EE1" w14:textId="7B9EFE74" w:rsidR="007423C3" w:rsidRPr="00181CA8" w:rsidRDefault="007423C3" w:rsidP="00C01F90">
            <w:pPr>
              <w:pStyle w:val="TableText"/>
            </w:pPr>
            <w:r w:rsidRPr="00181CA8">
              <w:t>Sector levy rates (%</w:t>
            </w:r>
            <w:r w:rsidR="00796106">
              <w:t xml:space="preserve"> player expenditure</w:t>
            </w:r>
            <w:r w:rsidRPr="00181CA8">
              <w:t>)</w:t>
            </w:r>
          </w:p>
        </w:tc>
        <w:tc>
          <w:tcPr>
            <w:tcW w:w="520" w:type="pct"/>
            <w:tcBorders>
              <w:bottom w:val="single" w:sz="4" w:space="0" w:color="A6A6A6" w:themeColor="background1" w:themeShade="A6"/>
            </w:tcBorders>
          </w:tcPr>
          <w:p w14:paraId="03E8CC56" w14:textId="77777777" w:rsidR="007423C3" w:rsidRPr="00181CA8" w:rsidRDefault="007423C3" w:rsidP="00C01F90">
            <w:pPr>
              <w:spacing w:before="60" w:after="60"/>
              <w:jc w:val="right"/>
              <w:rPr>
                <w:sz w:val="18"/>
                <w:szCs w:val="18"/>
                <w:lang w:val="x-none"/>
              </w:rPr>
            </w:pPr>
            <w:r w:rsidRPr="00181CA8">
              <w:rPr>
                <w:rFonts w:cs="Arial"/>
                <w:b/>
                <w:bCs/>
                <w:sz w:val="18"/>
                <w:szCs w:val="18"/>
              </w:rPr>
              <w:t>1.24</w:t>
            </w:r>
          </w:p>
        </w:tc>
        <w:tc>
          <w:tcPr>
            <w:tcW w:w="694" w:type="pct"/>
            <w:tcBorders>
              <w:bottom w:val="single" w:sz="4" w:space="0" w:color="A6A6A6" w:themeColor="background1" w:themeShade="A6"/>
            </w:tcBorders>
          </w:tcPr>
          <w:p w14:paraId="14F3B69E" w14:textId="77777777" w:rsidR="007423C3" w:rsidRPr="00307097" w:rsidRDefault="007423C3" w:rsidP="00C01F90">
            <w:pPr>
              <w:spacing w:before="60" w:after="60"/>
              <w:jc w:val="right"/>
              <w:rPr>
                <w:b/>
                <w:bCs/>
                <w:sz w:val="18"/>
                <w:szCs w:val="18"/>
                <w:lang w:val="x-none"/>
              </w:rPr>
            </w:pPr>
            <w:r w:rsidRPr="00307097">
              <w:rPr>
                <w:b/>
                <w:bCs/>
                <w:sz w:val="18"/>
                <w:szCs w:val="18"/>
                <w:lang w:val="x-none"/>
              </w:rPr>
              <w:t>0.89</w:t>
            </w:r>
          </w:p>
        </w:tc>
        <w:tc>
          <w:tcPr>
            <w:tcW w:w="608" w:type="pct"/>
            <w:tcBorders>
              <w:bottom w:val="single" w:sz="4" w:space="0" w:color="A6A6A6" w:themeColor="background1" w:themeShade="A6"/>
            </w:tcBorders>
          </w:tcPr>
          <w:p w14:paraId="64B187CA" w14:textId="2E71D655" w:rsidR="007423C3" w:rsidRPr="00181CA8" w:rsidRDefault="007423C3" w:rsidP="00C01F90">
            <w:pPr>
              <w:spacing w:before="60" w:after="60"/>
              <w:jc w:val="right"/>
              <w:rPr>
                <w:sz w:val="18"/>
                <w:szCs w:val="18"/>
                <w:lang w:val="x-none"/>
              </w:rPr>
            </w:pPr>
            <w:r w:rsidRPr="00181CA8">
              <w:rPr>
                <w:rFonts w:cs="Arial"/>
                <w:b/>
                <w:bCs/>
                <w:sz w:val="18"/>
                <w:szCs w:val="18"/>
              </w:rPr>
              <w:t>0.74</w:t>
            </w:r>
          </w:p>
        </w:tc>
        <w:tc>
          <w:tcPr>
            <w:tcW w:w="693" w:type="pct"/>
            <w:tcBorders>
              <w:bottom w:val="single" w:sz="4" w:space="0" w:color="A6A6A6" w:themeColor="background1" w:themeShade="A6"/>
            </w:tcBorders>
          </w:tcPr>
          <w:p w14:paraId="09B339A9" w14:textId="77777777" w:rsidR="007423C3" w:rsidRPr="00181CA8" w:rsidRDefault="007423C3" w:rsidP="00C01F90">
            <w:pPr>
              <w:spacing w:before="60" w:after="60"/>
              <w:jc w:val="right"/>
              <w:rPr>
                <w:sz w:val="18"/>
                <w:szCs w:val="18"/>
                <w:lang w:val="x-none"/>
              </w:rPr>
            </w:pPr>
            <w:r w:rsidRPr="00181CA8">
              <w:rPr>
                <w:rFonts w:cs="Arial"/>
                <w:b/>
                <w:bCs/>
                <w:sz w:val="18"/>
                <w:szCs w:val="18"/>
              </w:rPr>
              <w:t>0.69</w:t>
            </w:r>
          </w:p>
        </w:tc>
      </w:tr>
      <w:tr w:rsidR="007423C3" w:rsidRPr="00181CA8" w14:paraId="13C7613E" w14:textId="77777777" w:rsidTr="00C01F90">
        <w:trPr>
          <w:cantSplit/>
        </w:trPr>
        <w:tc>
          <w:tcPr>
            <w:tcW w:w="2485" w:type="pct"/>
            <w:tcBorders>
              <w:top w:val="single" w:sz="4" w:space="0" w:color="A6A6A6" w:themeColor="background1" w:themeShade="A6"/>
              <w:bottom w:val="single" w:sz="4" w:space="0" w:color="A6A6A6" w:themeColor="background1" w:themeShade="A6"/>
            </w:tcBorders>
            <w:shd w:val="clear" w:color="auto" w:fill="auto"/>
            <w:noWrap/>
            <w:tcMar>
              <w:top w:w="0" w:type="dxa"/>
              <w:left w:w="57" w:type="dxa"/>
              <w:bottom w:w="0" w:type="dxa"/>
              <w:right w:w="57" w:type="dxa"/>
            </w:tcMar>
          </w:tcPr>
          <w:p w14:paraId="13DCFE1B" w14:textId="77777777" w:rsidR="007423C3" w:rsidRPr="00181CA8" w:rsidRDefault="007423C3" w:rsidP="00C01F90">
            <w:pPr>
              <w:spacing w:before="60" w:after="60"/>
              <w:rPr>
                <w:sz w:val="18"/>
                <w:szCs w:val="18"/>
                <w:lang w:val="x-none"/>
              </w:rPr>
            </w:pPr>
            <w:r w:rsidRPr="00181CA8">
              <w:rPr>
                <w:sz w:val="18"/>
                <w:szCs w:val="18"/>
                <w:lang w:val="x-none"/>
              </w:rPr>
              <w:t>Expected levy payment ($m)</w:t>
            </w:r>
          </w:p>
        </w:tc>
        <w:tc>
          <w:tcPr>
            <w:tcW w:w="520" w:type="pct"/>
            <w:tcBorders>
              <w:top w:val="single" w:sz="4" w:space="0" w:color="A6A6A6" w:themeColor="background1" w:themeShade="A6"/>
              <w:bottom w:val="single" w:sz="4" w:space="0" w:color="A6A6A6" w:themeColor="background1" w:themeShade="A6"/>
            </w:tcBorders>
            <w:shd w:val="clear" w:color="000000" w:fill="FFFFFF"/>
            <w:vAlign w:val="bottom"/>
          </w:tcPr>
          <w:p w14:paraId="200D207C" w14:textId="77777777" w:rsidR="007423C3" w:rsidRPr="00181CA8" w:rsidRDefault="007423C3" w:rsidP="00C01F90">
            <w:pPr>
              <w:spacing w:before="60" w:after="60"/>
              <w:jc w:val="right"/>
              <w:rPr>
                <w:rFonts w:cs="Arial"/>
                <w:sz w:val="18"/>
                <w:szCs w:val="18"/>
              </w:rPr>
            </w:pPr>
            <w:r w:rsidRPr="00181CA8">
              <w:rPr>
                <w:rFonts w:cs="Arial"/>
                <w:sz w:val="18"/>
                <w:szCs w:val="18"/>
              </w:rPr>
              <w:t>41.304</w:t>
            </w:r>
          </w:p>
        </w:tc>
        <w:tc>
          <w:tcPr>
            <w:tcW w:w="694" w:type="pct"/>
            <w:tcBorders>
              <w:top w:val="single" w:sz="4" w:space="0" w:color="A6A6A6" w:themeColor="background1" w:themeShade="A6"/>
              <w:bottom w:val="single" w:sz="4" w:space="0" w:color="A6A6A6" w:themeColor="background1" w:themeShade="A6"/>
            </w:tcBorders>
            <w:shd w:val="clear" w:color="000000" w:fill="FFFFFF"/>
            <w:vAlign w:val="bottom"/>
          </w:tcPr>
          <w:p w14:paraId="32A4043F" w14:textId="77777777" w:rsidR="007423C3" w:rsidRPr="00181CA8" w:rsidRDefault="007423C3" w:rsidP="00C01F90">
            <w:pPr>
              <w:spacing w:before="60" w:after="60"/>
              <w:jc w:val="right"/>
              <w:rPr>
                <w:rFonts w:cs="Arial"/>
                <w:sz w:val="18"/>
                <w:szCs w:val="18"/>
              </w:rPr>
            </w:pPr>
            <w:r w:rsidRPr="00181CA8">
              <w:rPr>
                <w:rFonts w:cs="Arial"/>
                <w:sz w:val="18"/>
                <w:szCs w:val="18"/>
              </w:rPr>
              <w:t>17.532</w:t>
            </w:r>
          </w:p>
        </w:tc>
        <w:tc>
          <w:tcPr>
            <w:tcW w:w="608" w:type="pct"/>
            <w:tcBorders>
              <w:top w:val="single" w:sz="4" w:space="0" w:color="A6A6A6" w:themeColor="background1" w:themeShade="A6"/>
              <w:bottom w:val="single" w:sz="4" w:space="0" w:color="A6A6A6" w:themeColor="background1" w:themeShade="A6"/>
            </w:tcBorders>
            <w:shd w:val="clear" w:color="000000" w:fill="FFFFFF"/>
            <w:vAlign w:val="bottom"/>
          </w:tcPr>
          <w:p w14:paraId="5943BE80" w14:textId="77777777" w:rsidR="007423C3" w:rsidRPr="00181CA8" w:rsidRDefault="007423C3" w:rsidP="00C01F90">
            <w:pPr>
              <w:spacing w:before="60" w:after="60"/>
              <w:jc w:val="right"/>
              <w:rPr>
                <w:rFonts w:cs="Arial"/>
                <w:sz w:val="18"/>
                <w:szCs w:val="18"/>
              </w:rPr>
            </w:pPr>
            <w:r w:rsidRPr="00181CA8">
              <w:rPr>
                <w:rFonts w:cs="Arial"/>
                <w:sz w:val="18"/>
                <w:szCs w:val="18"/>
              </w:rPr>
              <w:t>8.882</w:t>
            </w:r>
          </w:p>
        </w:tc>
        <w:tc>
          <w:tcPr>
            <w:tcW w:w="693" w:type="pct"/>
            <w:tcBorders>
              <w:top w:val="single" w:sz="4" w:space="0" w:color="A6A6A6" w:themeColor="background1" w:themeShade="A6"/>
              <w:bottom w:val="single" w:sz="4" w:space="0" w:color="A6A6A6" w:themeColor="background1" w:themeShade="A6"/>
            </w:tcBorders>
            <w:shd w:val="clear" w:color="000000" w:fill="FFFFFF"/>
            <w:vAlign w:val="bottom"/>
          </w:tcPr>
          <w:p w14:paraId="16F017A2" w14:textId="77777777" w:rsidR="007423C3" w:rsidRPr="00181CA8" w:rsidRDefault="007423C3" w:rsidP="00C01F90">
            <w:pPr>
              <w:spacing w:before="60" w:after="60"/>
              <w:jc w:val="right"/>
              <w:rPr>
                <w:rFonts w:cs="Arial"/>
                <w:sz w:val="18"/>
                <w:szCs w:val="18"/>
              </w:rPr>
            </w:pPr>
            <w:r w:rsidRPr="00181CA8">
              <w:rPr>
                <w:rFonts w:cs="Arial"/>
                <w:sz w:val="18"/>
                <w:szCs w:val="18"/>
              </w:rPr>
              <w:t>15.987</w:t>
            </w:r>
          </w:p>
        </w:tc>
      </w:tr>
      <w:tr w:rsidR="007423C3" w:rsidRPr="00181CA8" w14:paraId="4625F602" w14:textId="77777777" w:rsidTr="00C01F90">
        <w:trPr>
          <w:cantSplit/>
        </w:trPr>
        <w:tc>
          <w:tcPr>
            <w:tcW w:w="2485" w:type="pct"/>
            <w:tcBorders>
              <w:top w:val="single" w:sz="4" w:space="0" w:color="A6A6A6" w:themeColor="background1" w:themeShade="A6"/>
              <w:bottom w:val="single" w:sz="4" w:space="0" w:color="A6A6A6" w:themeColor="background1" w:themeShade="A6"/>
            </w:tcBorders>
            <w:shd w:val="clear" w:color="auto" w:fill="auto"/>
            <w:noWrap/>
            <w:tcMar>
              <w:top w:w="0" w:type="dxa"/>
              <w:left w:w="57" w:type="dxa"/>
              <w:bottom w:w="0" w:type="dxa"/>
              <w:right w:w="57" w:type="dxa"/>
            </w:tcMar>
          </w:tcPr>
          <w:p w14:paraId="62EA549F" w14:textId="77777777" w:rsidR="007423C3" w:rsidRPr="00181CA8" w:rsidRDefault="007423C3" w:rsidP="00C01F90">
            <w:pPr>
              <w:spacing w:before="60" w:after="60"/>
              <w:rPr>
                <w:sz w:val="18"/>
                <w:szCs w:val="18"/>
                <w:lang w:val="x-none"/>
              </w:rPr>
            </w:pPr>
            <w:r w:rsidRPr="00181CA8">
              <w:rPr>
                <w:sz w:val="18"/>
                <w:szCs w:val="18"/>
                <w:lang w:val="x-none"/>
              </w:rPr>
              <w:t>Share of total expected levy amount %</w:t>
            </w:r>
          </w:p>
        </w:tc>
        <w:tc>
          <w:tcPr>
            <w:tcW w:w="520" w:type="pct"/>
            <w:tcBorders>
              <w:top w:val="single" w:sz="4" w:space="0" w:color="A6A6A6" w:themeColor="background1" w:themeShade="A6"/>
              <w:bottom w:val="single" w:sz="4" w:space="0" w:color="A6A6A6" w:themeColor="background1" w:themeShade="A6"/>
            </w:tcBorders>
            <w:shd w:val="clear" w:color="000000" w:fill="FFFFFF"/>
            <w:vAlign w:val="center"/>
          </w:tcPr>
          <w:p w14:paraId="52BD5471" w14:textId="77777777" w:rsidR="007423C3" w:rsidRPr="00181CA8" w:rsidRDefault="007423C3" w:rsidP="00C01F90">
            <w:pPr>
              <w:spacing w:before="60" w:after="60"/>
              <w:jc w:val="right"/>
              <w:rPr>
                <w:rFonts w:cs="Arial"/>
                <w:sz w:val="18"/>
                <w:szCs w:val="18"/>
              </w:rPr>
            </w:pPr>
            <w:r w:rsidRPr="00181CA8">
              <w:rPr>
                <w:rFonts w:cs="Arial"/>
                <w:sz w:val="18"/>
                <w:szCs w:val="18"/>
              </w:rPr>
              <w:t>49.34</w:t>
            </w:r>
          </w:p>
        </w:tc>
        <w:tc>
          <w:tcPr>
            <w:tcW w:w="694" w:type="pct"/>
            <w:tcBorders>
              <w:top w:val="single" w:sz="4" w:space="0" w:color="A6A6A6" w:themeColor="background1" w:themeShade="A6"/>
              <w:bottom w:val="single" w:sz="4" w:space="0" w:color="A6A6A6" w:themeColor="background1" w:themeShade="A6"/>
            </w:tcBorders>
            <w:shd w:val="clear" w:color="000000" w:fill="FFFFFF"/>
            <w:vAlign w:val="center"/>
          </w:tcPr>
          <w:p w14:paraId="445D567B" w14:textId="77777777" w:rsidR="007423C3" w:rsidRPr="00181CA8" w:rsidRDefault="007423C3" w:rsidP="00C01F90">
            <w:pPr>
              <w:spacing w:before="60" w:after="60"/>
              <w:jc w:val="right"/>
              <w:rPr>
                <w:rFonts w:cs="Arial"/>
                <w:sz w:val="18"/>
                <w:szCs w:val="18"/>
              </w:rPr>
            </w:pPr>
            <w:r w:rsidRPr="00181CA8">
              <w:rPr>
                <w:rFonts w:cs="Arial"/>
                <w:sz w:val="18"/>
                <w:szCs w:val="18"/>
              </w:rPr>
              <w:t>20.95</w:t>
            </w:r>
          </w:p>
        </w:tc>
        <w:tc>
          <w:tcPr>
            <w:tcW w:w="608" w:type="pct"/>
            <w:tcBorders>
              <w:top w:val="single" w:sz="4" w:space="0" w:color="A6A6A6" w:themeColor="background1" w:themeShade="A6"/>
              <w:bottom w:val="single" w:sz="4" w:space="0" w:color="A6A6A6" w:themeColor="background1" w:themeShade="A6"/>
            </w:tcBorders>
            <w:shd w:val="clear" w:color="000000" w:fill="FFFFFF"/>
            <w:vAlign w:val="center"/>
          </w:tcPr>
          <w:p w14:paraId="4BCB87F2" w14:textId="77777777" w:rsidR="007423C3" w:rsidRPr="00181CA8" w:rsidRDefault="007423C3" w:rsidP="00C01F90">
            <w:pPr>
              <w:spacing w:before="60" w:after="60"/>
              <w:jc w:val="right"/>
              <w:rPr>
                <w:rFonts w:cs="Arial"/>
                <w:sz w:val="18"/>
                <w:szCs w:val="18"/>
              </w:rPr>
            </w:pPr>
            <w:r w:rsidRPr="00181CA8">
              <w:rPr>
                <w:rFonts w:cs="Arial"/>
                <w:sz w:val="18"/>
                <w:szCs w:val="18"/>
              </w:rPr>
              <w:t>10.61</w:t>
            </w:r>
          </w:p>
        </w:tc>
        <w:tc>
          <w:tcPr>
            <w:tcW w:w="693" w:type="pct"/>
            <w:tcBorders>
              <w:top w:val="single" w:sz="4" w:space="0" w:color="A6A6A6" w:themeColor="background1" w:themeShade="A6"/>
              <w:bottom w:val="single" w:sz="4" w:space="0" w:color="A6A6A6" w:themeColor="background1" w:themeShade="A6"/>
            </w:tcBorders>
            <w:shd w:val="clear" w:color="000000" w:fill="FFFFFF"/>
            <w:vAlign w:val="center"/>
          </w:tcPr>
          <w:p w14:paraId="5A2B31E5" w14:textId="77777777" w:rsidR="007423C3" w:rsidRPr="00181CA8" w:rsidRDefault="007423C3" w:rsidP="00C01F90">
            <w:pPr>
              <w:spacing w:before="60" w:after="60"/>
              <w:jc w:val="right"/>
              <w:rPr>
                <w:rFonts w:cs="Arial"/>
                <w:sz w:val="18"/>
                <w:szCs w:val="18"/>
              </w:rPr>
            </w:pPr>
            <w:r w:rsidRPr="00181CA8">
              <w:rPr>
                <w:rFonts w:cs="Arial"/>
                <w:sz w:val="18"/>
                <w:szCs w:val="18"/>
              </w:rPr>
              <w:t>19.10</w:t>
            </w:r>
          </w:p>
        </w:tc>
      </w:tr>
      <w:tr w:rsidR="007423C3" w:rsidRPr="00181CA8" w14:paraId="20067CDC" w14:textId="77777777" w:rsidTr="00C01F90">
        <w:trPr>
          <w:cantSplit/>
        </w:trPr>
        <w:tc>
          <w:tcPr>
            <w:tcW w:w="2485" w:type="pct"/>
            <w:tcBorders>
              <w:top w:val="single" w:sz="4" w:space="0" w:color="A6A6A6" w:themeColor="background1" w:themeShade="A6"/>
              <w:bottom w:val="single" w:sz="4" w:space="0" w:color="A6A6A6" w:themeColor="background1" w:themeShade="A6"/>
            </w:tcBorders>
            <w:shd w:val="clear" w:color="auto" w:fill="auto"/>
            <w:noWrap/>
            <w:tcMar>
              <w:top w:w="0" w:type="dxa"/>
              <w:left w:w="57" w:type="dxa"/>
              <w:bottom w:w="0" w:type="dxa"/>
              <w:right w:w="57" w:type="dxa"/>
            </w:tcMar>
          </w:tcPr>
          <w:p w14:paraId="395B8012" w14:textId="77777777" w:rsidR="007423C3" w:rsidRPr="00181CA8" w:rsidRDefault="007423C3" w:rsidP="00C01F90">
            <w:pPr>
              <w:spacing w:before="60" w:after="60"/>
              <w:rPr>
                <w:sz w:val="18"/>
                <w:szCs w:val="18"/>
                <w:lang w:val="x-none"/>
              </w:rPr>
            </w:pPr>
            <w:r w:rsidRPr="00181CA8">
              <w:rPr>
                <w:sz w:val="18"/>
                <w:szCs w:val="18"/>
                <w:lang w:val="x-none"/>
              </w:rPr>
              <w:t xml:space="preserve">Share of </w:t>
            </w:r>
            <w:r w:rsidRPr="00181CA8">
              <w:rPr>
                <w:sz w:val="18"/>
                <w:szCs w:val="18"/>
              </w:rPr>
              <w:t xml:space="preserve">total </w:t>
            </w:r>
            <w:r w:rsidRPr="00181CA8">
              <w:rPr>
                <w:sz w:val="18"/>
                <w:szCs w:val="18"/>
                <w:lang w:val="x-none"/>
              </w:rPr>
              <w:t xml:space="preserve">budget </w:t>
            </w:r>
            <w:r w:rsidRPr="00181CA8">
              <w:rPr>
                <w:sz w:val="18"/>
                <w:szCs w:val="18"/>
              </w:rPr>
              <w:t>cost</w:t>
            </w:r>
            <w:r w:rsidRPr="00181CA8">
              <w:rPr>
                <w:sz w:val="18"/>
                <w:szCs w:val="18"/>
                <w:lang w:val="x-none"/>
              </w:rPr>
              <w:t xml:space="preserve"> %</w:t>
            </w:r>
          </w:p>
        </w:tc>
        <w:tc>
          <w:tcPr>
            <w:tcW w:w="520" w:type="pct"/>
            <w:tcBorders>
              <w:top w:val="single" w:sz="4" w:space="0" w:color="A6A6A6" w:themeColor="background1" w:themeShade="A6"/>
              <w:bottom w:val="single" w:sz="4" w:space="0" w:color="A6A6A6" w:themeColor="background1" w:themeShade="A6"/>
            </w:tcBorders>
            <w:shd w:val="clear" w:color="000000" w:fill="FFFFFF"/>
            <w:vAlign w:val="center"/>
          </w:tcPr>
          <w:p w14:paraId="064D081C" w14:textId="77777777" w:rsidR="007423C3" w:rsidRPr="00181CA8" w:rsidRDefault="007423C3" w:rsidP="00C01F90">
            <w:pPr>
              <w:spacing w:before="60" w:after="60"/>
              <w:jc w:val="right"/>
              <w:rPr>
                <w:rFonts w:cs="Arial"/>
                <w:sz w:val="18"/>
                <w:szCs w:val="18"/>
              </w:rPr>
            </w:pPr>
            <w:r w:rsidRPr="00181CA8">
              <w:rPr>
                <w:rFonts w:cs="Arial"/>
                <w:sz w:val="18"/>
                <w:szCs w:val="18"/>
              </w:rPr>
              <w:t>49.22</w:t>
            </w:r>
          </w:p>
        </w:tc>
        <w:tc>
          <w:tcPr>
            <w:tcW w:w="694" w:type="pct"/>
            <w:tcBorders>
              <w:top w:val="single" w:sz="4" w:space="0" w:color="A6A6A6" w:themeColor="background1" w:themeShade="A6"/>
              <w:bottom w:val="single" w:sz="4" w:space="0" w:color="A6A6A6" w:themeColor="background1" w:themeShade="A6"/>
            </w:tcBorders>
            <w:shd w:val="clear" w:color="000000" w:fill="FFFFFF"/>
            <w:vAlign w:val="center"/>
          </w:tcPr>
          <w:p w14:paraId="543CDE48" w14:textId="77777777" w:rsidR="007423C3" w:rsidRPr="00181CA8" w:rsidRDefault="007423C3" w:rsidP="00C01F90">
            <w:pPr>
              <w:spacing w:before="60" w:after="60"/>
              <w:jc w:val="right"/>
              <w:rPr>
                <w:rFonts w:cs="Arial"/>
                <w:sz w:val="18"/>
                <w:szCs w:val="18"/>
              </w:rPr>
            </w:pPr>
            <w:r w:rsidRPr="00181CA8">
              <w:rPr>
                <w:rFonts w:cs="Arial"/>
                <w:sz w:val="18"/>
                <w:szCs w:val="18"/>
              </w:rPr>
              <w:t>20.49</w:t>
            </w:r>
          </w:p>
        </w:tc>
        <w:tc>
          <w:tcPr>
            <w:tcW w:w="608" w:type="pct"/>
            <w:tcBorders>
              <w:top w:val="single" w:sz="4" w:space="0" w:color="A6A6A6" w:themeColor="background1" w:themeShade="A6"/>
              <w:bottom w:val="single" w:sz="4" w:space="0" w:color="A6A6A6" w:themeColor="background1" w:themeShade="A6"/>
            </w:tcBorders>
            <w:shd w:val="clear" w:color="000000" w:fill="FFFFFF"/>
            <w:vAlign w:val="center"/>
          </w:tcPr>
          <w:p w14:paraId="3E284E44" w14:textId="77777777" w:rsidR="007423C3" w:rsidRPr="00181CA8" w:rsidRDefault="007423C3" w:rsidP="00C01F90">
            <w:pPr>
              <w:spacing w:before="60" w:after="60"/>
              <w:jc w:val="right"/>
              <w:rPr>
                <w:rFonts w:cs="Arial"/>
                <w:sz w:val="18"/>
                <w:szCs w:val="18"/>
              </w:rPr>
            </w:pPr>
            <w:r w:rsidRPr="00181CA8">
              <w:rPr>
                <w:rFonts w:cs="Arial"/>
                <w:sz w:val="18"/>
                <w:szCs w:val="18"/>
              </w:rPr>
              <w:t>11.19</w:t>
            </w:r>
          </w:p>
        </w:tc>
        <w:tc>
          <w:tcPr>
            <w:tcW w:w="693" w:type="pct"/>
            <w:tcBorders>
              <w:top w:val="single" w:sz="4" w:space="0" w:color="A6A6A6" w:themeColor="background1" w:themeShade="A6"/>
              <w:bottom w:val="single" w:sz="4" w:space="0" w:color="A6A6A6" w:themeColor="background1" w:themeShade="A6"/>
            </w:tcBorders>
            <w:shd w:val="clear" w:color="000000" w:fill="FFFFFF"/>
            <w:vAlign w:val="center"/>
          </w:tcPr>
          <w:p w14:paraId="2B4F65F0" w14:textId="77777777" w:rsidR="007423C3" w:rsidRPr="00181CA8" w:rsidRDefault="007423C3" w:rsidP="00C01F90">
            <w:pPr>
              <w:spacing w:before="60" w:after="60"/>
              <w:jc w:val="right"/>
              <w:rPr>
                <w:rFonts w:cs="Arial"/>
                <w:sz w:val="18"/>
                <w:szCs w:val="18"/>
              </w:rPr>
            </w:pPr>
            <w:r w:rsidRPr="00181CA8">
              <w:rPr>
                <w:rFonts w:cs="Arial"/>
                <w:sz w:val="18"/>
                <w:szCs w:val="18"/>
              </w:rPr>
              <w:t>19.09</w:t>
            </w:r>
          </w:p>
        </w:tc>
      </w:tr>
    </w:tbl>
    <w:p w14:paraId="6BF8A4A1" w14:textId="20844F2F" w:rsidR="00185540" w:rsidRPr="00D27F4C" w:rsidRDefault="00185540" w:rsidP="002001A1"/>
    <w:sectPr w:rsidR="00185540" w:rsidRPr="00D27F4C" w:rsidSect="004825BB">
      <w:headerReference w:type="even" r:id="rId31"/>
      <w:headerReference w:type="default" r:id="rId32"/>
      <w:footerReference w:type="even" r:id="rId33"/>
      <w:footerReference w:type="default" r:id="rId34"/>
      <w:pgSz w:w="11907" w:h="16834"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54D4" w14:textId="77777777" w:rsidR="005C329E" w:rsidRDefault="005C329E">
      <w:r>
        <w:separator/>
      </w:r>
    </w:p>
    <w:p w14:paraId="43140808" w14:textId="77777777" w:rsidR="005C329E" w:rsidRDefault="005C329E"/>
  </w:endnote>
  <w:endnote w:type="continuationSeparator" w:id="0">
    <w:p w14:paraId="704C84F7" w14:textId="77777777" w:rsidR="005C329E" w:rsidRDefault="005C329E">
      <w:r>
        <w:continuationSeparator/>
      </w:r>
    </w:p>
    <w:p w14:paraId="4295D95D" w14:textId="77777777" w:rsidR="005C329E" w:rsidRDefault="005C329E"/>
  </w:endnote>
  <w:endnote w:type="continuationNotice" w:id="1">
    <w:p w14:paraId="3BBAC702" w14:textId="77777777" w:rsidR="005C329E" w:rsidRDefault="005C3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aford">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0EDE8064" w:rsidR="00E32FC1" w:rsidRPr="00581136" w:rsidRDefault="00E32FC1" w:rsidP="005A79E5">
    <w:pPr>
      <w:pStyle w:val="Footer"/>
      <w:pBdr>
        <w:bottom w:val="single" w:sz="4" w:space="1" w:color="auto"/>
      </w:pBdr>
      <w:tabs>
        <w:tab w:val="right" w:pos="9639"/>
      </w:tabs>
      <w:rPr>
        <w:b/>
      </w:rPr>
    </w:pPr>
    <w:r w:rsidRPr="00581136">
      <w:rPr>
        <w:b/>
      </w:rPr>
      <w:t>Released 20</w:t>
    </w:r>
    <w:r>
      <w:rPr>
        <w:b/>
      </w:rPr>
      <w:t>25</w:t>
    </w:r>
    <w:r w:rsidRPr="00581136">
      <w:rPr>
        <w:b/>
      </w:rPr>
      <w:tab/>
      <w:t>health.govt.nz</w:t>
    </w:r>
  </w:p>
  <w:p w14:paraId="524869F6" w14:textId="77777777" w:rsidR="00E32FC1" w:rsidRPr="005A79E5" w:rsidRDefault="00E32FC1">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E32FC1" w14:paraId="2E433BE0" w14:textId="77777777" w:rsidTr="00D662F8">
      <w:trPr>
        <w:cantSplit/>
      </w:trPr>
      <w:tc>
        <w:tcPr>
          <w:tcW w:w="709" w:type="dxa"/>
          <w:vAlign w:val="center"/>
        </w:tcPr>
        <w:p w14:paraId="7097E3AF" w14:textId="77777777" w:rsidR="00E32FC1" w:rsidRPr="00931466" w:rsidRDefault="00E32FC1"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0E0699B4" w14:textId="6C6B1648" w:rsidR="00E32FC1" w:rsidRDefault="00E32FC1" w:rsidP="00926083">
          <w:pPr>
            <w:pStyle w:val="RectoFooter"/>
            <w:jc w:val="left"/>
          </w:pPr>
          <w:r w:rsidRPr="00835945">
            <w:t>Strategy to Prevent and Minimise Gambling Harm 2025/26 to 2027/28</w:t>
          </w:r>
        </w:p>
      </w:tc>
    </w:tr>
  </w:tbl>
  <w:p w14:paraId="645CBDAA" w14:textId="77777777" w:rsidR="00E32FC1" w:rsidRPr="00571223" w:rsidRDefault="00E32FC1" w:rsidP="00571223">
    <w:pPr>
      <w:pStyle w:val="Verso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32FC1" w14:paraId="5DFB20FB" w14:textId="77777777" w:rsidTr="00D662F8">
      <w:trPr>
        <w:cantSplit/>
      </w:trPr>
      <w:tc>
        <w:tcPr>
          <w:tcW w:w="8080" w:type="dxa"/>
          <w:vAlign w:val="center"/>
        </w:tcPr>
        <w:p w14:paraId="3EAC6DBB" w14:textId="1295F9A2" w:rsidR="00E32FC1" w:rsidRDefault="00E32FC1" w:rsidP="00926083">
          <w:pPr>
            <w:pStyle w:val="RectoFooter"/>
          </w:pPr>
          <w:r w:rsidRPr="00835945">
            <w:t>Strategy to Prevent and Minimise Gambling Harm 2025/26 to 2027/28</w:t>
          </w:r>
        </w:p>
      </w:tc>
      <w:tc>
        <w:tcPr>
          <w:tcW w:w="709" w:type="dxa"/>
          <w:vAlign w:val="center"/>
        </w:tcPr>
        <w:p w14:paraId="77FA722D" w14:textId="77777777" w:rsidR="00E32FC1" w:rsidRPr="00931466" w:rsidRDefault="00E32FC1"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062D281C" w14:textId="77777777" w:rsidR="00E32FC1" w:rsidRPr="00581EB8" w:rsidRDefault="00E32FC1"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E32FC1" w:rsidRDefault="00E32FC1"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E32FC1" w:rsidRDefault="00E32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E32FC1" w14:paraId="4C3A3BF7" w14:textId="77777777" w:rsidTr="00D662F8">
      <w:trPr>
        <w:cantSplit/>
      </w:trPr>
      <w:tc>
        <w:tcPr>
          <w:tcW w:w="709" w:type="dxa"/>
          <w:vAlign w:val="center"/>
        </w:tcPr>
        <w:p w14:paraId="28F87ED7" w14:textId="77777777" w:rsidR="00E32FC1" w:rsidRPr="00931466" w:rsidRDefault="00E32FC1"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6026D159" w14:textId="08F0264B" w:rsidR="00E32FC1" w:rsidRDefault="00E32FC1" w:rsidP="00926083">
          <w:pPr>
            <w:pStyle w:val="RectoFooter"/>
            <w:jc w:val="left"/>
          </w:pPr>
          <w:r w:rsidRPr="00835945">
            <w:t>Strategy to Prevent and Minimise Gambling Harm 2025/26 to 2027/28</w:t>
          </w:r>
        </w:p>
      </w:tc>
    </w:tr>
  </w:tbl>
  <w:p w14:paraId="711B5D80" w14:textId="77777777" w:rsidR="00E32FC1" w:rsidRPr="00571223" w:rsidRDefault="00E32FC1"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32FC1" w14:paraId="58AAB149" w14:textId="77777777" w:rsidTr="00D662F8">
      <w:trPr>
        <w:cantSplit/>
      </w:trPr>
      <w:tc>
        <w:tcPr>
          <w:tcW w:w="8080" w:type="dxa"/>
          <w:vAlign w:val="center"/>
        </w:tcPr>
        <w:p w14:paraId="20E2F0CC" w14:textId="7FF9B3EE" w:rsidR="00E32FC1" w:rsidRDefault="00E32FC1" w:rsidP="00926083">
          <w:pPr>
            <w:pStyle w:val="RectoFooter"/>
          </w:pPr>
          <w:r w:rsidRPr="00835945">
            <w:t>Strategy to Prevent and Minimise Gambling Harm 2025/26 to 2027/28</w:t>
          </w:r>
        </w:p>
      </w:tc>
      <w:tc>
        <w:tcPr>
          <w:tcW w:w="709" w:type="dxa"/>
          <w:vAlign w:val="center"/>
        </w:tcPr>
        <w:p w14:paraId="3D3C9847" w14:textId="77777777" w:rsidR="00E32FC1" w:rsidRPr="00931466" w:rsidRDefault="00E32FC1"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7602107" w14:textId="77777777" w:rsidR="00E32FC1" w:rsidRPr="00581EB8" w:rsidRDefault="00E32FC1"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50"/>
      <w:gridCol w:w="709"/>
    </w:tblGrid>
    <w:tr w:rsidR="00E32FC1" w14:paraId="5E9F0387" w14:textId="77777777" w:rsidTr="00FD7201">
      <w:trPr>
        <w:cantSplit/>
      </w:trPr>
      <w:tc>
        <w:tcPr>
          <w:tcW w:w="13750" w:type="dxa"/>
          <w:vAlign w:val="center"/>
        </w:tcPr>
        <w:p w14:paraId="00512AB4" w14:textId="77777777" w:rsidR="00E32FC1" w:rsidRDefault="00E32FC1" w:rsidP="00926083">
          <w:pPr>
            <w:pStyle w:val="RectoFooter"/>
          </w:pPr>
          <w:r w:rsidRPr="00835945">
            <w:t>Strategy to Prevent and Minimise Gambling Harm 2025/26 to 2027/28</w:t>
          </w:r>
          <w:r>
            <w:t>: proposals document</w:t>
          </w:r>
        </w:p>
      </w:tc>
      <w:tc>
        <w:tcPr>
          <w:tcW w:w="709" w:type="dxa"/>
          <w:vAlign w:val="center"/>
        </w:tcPr>
        <w:p w14:paraId="44DFF3F6" w14:textId="77777777" w:rsidR="00E32FC1" w:rsidRPr="00931466" w:rsidRDefault="00E32FC1"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15572E22" w14:textId="77777777" w:rsidR="00E32FC1" w:rsidRPr="00581EB8" w:rsidRDefault="00E32FC1" w:rsidP="00581EB8">
    <w:pPr>
      <w:pStyle w:val="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32FC1" w14:paraId="49184423" w14:textId="77777777" w:rsidTr="00860EAD">
      <w:trPr>
        <w:cantSplit/>
      </w:trPr>
      <w:tc>
        <w:tcPr>
          <w:tcW w:w="8080" w:type="dxa"/>
          <w:vAlign w:val="center"/>
        </w:tcPr>
        <w:p w14:paraId="14DD60DF" w14:textId="742FBC18" w:rsidR="00E32FC1" w:rsidRDefault="00E32FC1" w:rsidP="00860EAD">
          <w:pPr>
            <w:pStyle w:val="RectoFooter"/>
          </w:pPr>
          <w:r w:rsidRPr="00835945">
            <w:t>Strategy to Prevent and Minimise Gambling Harm 2025/26 to 2027/28</w:t>
          </w:r>
          <w:r>
            <w:t>:</w:t>
          </w:r>
        </w:p>
      </w:tc>
      <w:tc>
        <w:tcPr>
          <w:tcW w:w="709" w:type="dxa"/>
          <w:vAlign w:val="center"/>
        </w:tcPr>
        <w:p w14:paraId="0BDA19B1" w14:textId="77777777" w:rsidR="00E32FC1" w:rsidRPr="00931466" w:rsidRDefault="00E32FC1" w:rsidP="00860EAD">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42FACC54" w14:textId="77777777" w:rsidR="00E32FC1" w:rsidRPr="00581EB8" w:rsidRDefault="00E32FC1" w:rsidP="00860EAD">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E32FC1" w14:paraId="30A48869" w14:textId="77777777" w:rsidTr="00860EAD">
      <w:trPr>
        <w:cantSplit/>
      </w:trPr>
      <w:tc>
        <w:tcPr>
          <w:tcW w:w="709" w:type="dxa"/>
          <w:vAlign w:val="center"/>
        </w:tcPr>
        <w:p w14:paraId="790C21A5" w14:textId="77777777" w:rsidR="00E32FC1" w:rsidRPr="00931466" w:rsidRDefault="00E32FC1" w:rsidP="00860EAD">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6173C049" w14:textId="45296A9F" w:rsidR="00E32FC1" w:rsidRDefault="00E32FC1" w:rsidP="00860EAD">
          <w:pPr>
            <w:pStyle w:val="RectoFooter"/>
            <w:jc w:val="left"/>
          </w:pPr>
          <w:r w:rsidRPr="00835945">
            <w:t>Strategy to Prevent and Minimise Gambling Harm 2025/26 to 2027/28</w:t>
          </w:r>
        </w:p>
      </w:tc>
    </w:tr>
  </w:tbl>
  <w:p w14:paraId="33120075" w14:textId="77777777" w:rsidR="00E32FC1" w:rsidRPr="00571223" w:rsidRDefault="00E32FC1" w:rsidP="00860EAD">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325"/>
      <w:gridCol w:w="709"/>
    </w:tblGrid>
    <w:tr w:rsidR="00E32FC1" w14:paraId="4770D09C" w14:textId="77777777" w:rsidTr="00860EAD">
      <w:trPr>
        <w:cantSplit/>
      </w:trPr>
      <w:tc>
        <w:tcPr>
          <w:tcW w:w="13325" w:type="dxa"/>
          <w:vAlign w:val="center"/>
        </w:tcPr>
        <w:p w14:paraId="598FAA20" w14:textId="337E0012" w:rsidR="00E32FC1" w:rsidRDefault="00E32FC1" w:rsidP="00860EAD">
          <w:pPr>
            <w:pStyle w:val="RectoFooter"/>
          </w:pPr>
          <w:r w:rsidRPr="00835945">
            <w:t>Strategy to Prevent and Minimise Gambling Harm 2025/26 to 2027/28</w:t>
          </w:r>
          <w:r>
            <w:t>: PROPOSALS document</w:t>
          </w:r>
        </w:p>
      </w:tc>
      <w:tc>
        <w:tcPr>
          <w:tcW w:w="709" w:type="dxa"/>
          <w:vAlign w:val="center"/>
        </w:tcPr>
        <w:p w14:paraId="777E6836" w14:textId="77777777" w:rsidR="00E32FC1" w:rsidRPr="00931466" w:rsidRDefault="00E32FC1" w:rsidP="00860EAD">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4DFFC737" w14:textId="77777777" w:rsidR="00E32FC1" w:rsidRPr="00581EB8" w:rsidRDefault="00E32FC1" w:rsidP="00860EAD">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BFA6" w14:textId="77777777" w:rsidR="005C329E" w:rsidRPr="00A26E6B" w:rsidRDefault="005C329E" w:rsidP="00A26E6B"/>
  </w:footnote>
  <w:footnote w:type="continuationSeparator" w:id="0">
    <w:p w14:paraId="221EACF5" w14:textId="77777777" w:rsidR="005C329E" w:rsidRDefault="005C329E">
      <w:r>
        <w:continuationSeparator/>
      </w:r>
    </w:p>
    <w:p w14:paraId="0DDDFE63" w14:textId="77777777" w:rsidR="005C329E" w:rsidRDefault="005C329E"/>
  </w:footnote>
  <w:footnote w:type="continuationNotice" w:id="1">
    <w:p w14:paraId="52BA4592" w14:textId="77777777" w:rsidR="005C329E" w:rsidRDefault="005C329E"/>
  </w:footnote>
  <w:footnote w:id="2">
    <w:p w14:paraId="139C2A90" w14:textId="77777777" w:rsidR="00E32FC1" w:rsidRDefault="00E32FC1" w:rsidP="008B45B7">
      <w:pPr>
        <w:pStyle w:val="FootnoteText"/>
      </w:pPr>
      <w:r>
        <w:rPr>
          <w:rStyle w:val="FootnoteReference"/>
        </w:rPr>
        <w:footnoteRef/>
      </w:r>
      <w:r>
        <w:t xml:space="preserve"> </w:t>
      </w:r>
      <w:r w:rsidRPr="00B729F8">
        <w:t>Malatest International</w:t>
      </w:r>
      <w:r>
        <w:t>. 2024.</w:t>
      </w:r>
      <w:r w:rsidRPr="00B729F8">
        <w:t xml:space="preserve"> </w:t>
      </w:r>
      <w:r w:rsidRPr="00712CEF">
        <w:rPr>
          <w:i/>
          <w:iCs/>
        </w:rPr>
        <w:t>Gambling Harm Needs Assessment 202</w:t>
      </w:r>
      <w:r>
        <w:rPr>
          <w:i/>
          <w:iCs/>
        </w:rPr>
        <w:t>4</w:t>
      </w:r>
      <w:r>
        <w:t>. Wellington: Ministry of Health. The Gambling Act requires the Ministry to obtain a needs assessment as part of the strategy development.</w:t>
      </w:r>
    </w:p>
  </w:footnote>
  <w:footnote w:id="3">
    <w:p w14:paraId="2F8BBE07" w14:textId="104D1935" w:rsidR="00E32FC1" w:rsidRPr="00C61A96" w:rsidRDefault="00E32FC1" w:rsidP="00F522B9">
      <w:pPr>
        <w:pStyle w:val="FootnoteText"/>
        <w:rPr>
          <w:rFonts w:cstheme="minorHAnsi"/>
          <w:lang w:val="en-US"/>
        </w:rPr>
      </w:pPr>
      <w:r w:rsidRPr="00C61A96">
        <w:rPr>
          <w:rStyle w:val="FootnoteReference"/>
          <w:rFonts w:cstheme="minorHAnsi"/>
        </w:rPr>
        <w:footnoteRef/>
      </w:r>
      <w:r w:rsidRPr="00C61A96">
        <w:rPr>
          <w:rFonts w:cstheme="minorHAnsi"/>
        </w:rPr>
        <w:t xml:space="preserve"> </w:t>
      </w:r>
      <w:r>
        <w:rPr>
          <w:rFonts w:cstheme="minorHAnsi"/>
        </w:rPr>
        <w:t>New Zealand Gambling Survey (</w:t>
      </w:r>
      <w:r>
        <w:t>NZGS) 2023/24.</w:t>
      </w:r>
      <w:r w:rsidRPr="00C61A96">
        <w:rPr>
          <w:rFonts w:cstheme="minorHAnsi"/>
        </w:rPr>
        <w:t xml:space="preserve"> </w:t>
      </w:r>
    </w:p>
  </w:footnote>
  <w:footnote w:id="4">
    <w:p w14:paraId="1F05CC51" w14:textId="765BC5B1" w:rsidR="00E32FC1" w:rsidRDefault="00E32FC1" w:rsidP="00F522B9">
      <w:pPr>
        <w:pStyle w:val="FootnoteText"/>
      </w:pPr>
      <w:r>
        <w:rPr>
          <w:rStyle w:val="FootnoteReference"/>
        </w:rPr>
        <w:footnoteRef/>
      </w:r>
      <w:r>
        <w:t xml:space="preserve"> </w:t>
      </w:r>
      <w:r w:rsidRPr="00CB7B9E">
        <w:rPr>
          <w:rStyle w:val="Hyperlink"/>
          <w:rFonts w:eastAsiaTheme="minorHAnsi" w:cs="Segoe UI"/>
          <w:b w:val="0"/>
          <w:bCs/>
          <w:szCs w:val="17"/>
          <w:lang w:eastAsia="en-US"/>
        </w:rPr>
        <w:t>NZGS 2023/24</w:t>
      </w:r>
      <w:r>
        <w:rPr>
          <w:rStyle w:val="Hyperlink"/>
          <w:rFonts w:eastAsiaTheme="minorHAnsi" w:cs="Segoe UI"/>
          <w:b w:val="0"/>
          <w:bCs/>
          <w:szCs w:val="17"/>
          <w:lang w:eastAsia="en-US"/>
        </w:rPr>
        <w:t>.</w:t>
      </w:r>
    </w:p>
  </w:footnote>
  <w:footnote w:id="5">
    <w:p w14:paraId="7A64769D" w14:textId="43744860" w:rsidR="00E32FC1" w:rsidRPr="00153A11" w:rsidRDefault="00E32FC1" w:rsidP="00517395">
      <w:pPr>
        <w:pStyle w:val="FootnoteText"/>
        <w:rPr>
          <w:rFonts w:cstheme="minorHAnsi"/>
        </w:rPr>
      </w:pPr>
      <w:r w:rsidRPr="00C61A96">
        <w:rPr>
          <w:rStyle w:val="FootnoteReference"/>
          <w:rFonts w:cstheme="minorHAnsi"/>
        </w:rPr>
        <w:footnoteRef/>
      </w:r>
      <w:r w:rsidRPr="00C61A96">
        <w:rPr>
          <w:rFonts w:cstheme="minorHAnsi"/>
        </w:rPr>
        <w:t xml:space="preserve"> DIA</w:t>
      </w:r>
      <w:r>
        <w:rPr>
          <w:rFonts w:cstheme="minorHAnsi"/>
        </w:rPr>
        <w:t xml:space="preserve">: </w:t>
      </w:r>
      <w:hyperlink r:id="rId1" w:history="1">
        <w:r w:rsidRPr="00CB7B9E">
          <w:rPr>
            <w:rStyle w:val="Hyperlink"/>
            <w:rFonts w:cs="Segoe UI"/>
            <w:szCs w:val="17"/>
            <w:lang w:eastAsia="en-NZ"/>
          </w:rPr>
          <w:t>dia.govt.nz/gambling-statistics-expenditure</w:t>
        </w:r>
      </w:hyperlink>
    </w:p>
  </w:footnote>
  <w:footnote w:id="6">
    <w:p w14:paraId="7B2752BA" w14:textId="1D3781C3" w:rsidR="00E32FC1" w:rsidRPr="0074574E" w:rsidRDefault="00E32FC1" w:rsidP="00CB7B9E">
      <w:pPr>
        <w:pStyle w:val="FootnoteText"/>
        <w:spacing w:before="0"/>
        <w:rPr>
          <w:rFonts w:cstheme="minorHAnsi"/>
          <w:bCs/>
          <w:lang w:val="en-US"/>
        </w:rPr>
      </w:pPr>
      <w:r w:rsidRPr="00C61A96">
        <w:rPr>
          <w:rStyle w:val="FootnoteReference"/>
          <w:rFonts w:cstheme="minorHAnsi"/>
        </w:rPr>
        <w:footnoteRef/>
      </w:r>
      <w:r w:rsidRPr="00C61A96">
        <w:rPr>
          <w:rFonts w:cstheme="minorHAnsi"/>
        </w:rPr>
        <w:t xml:space="preserve"> Thimasarn-Anwar T, Squire H, Trowland H, et al. 2017. </w:t>
      </w:r>
      <w:r w:rsidRPr="00C61A96">
        <w:rPr>
          <w:rFonts w:cstheme="minorHAnsi"/>
          <w:i/>
          <w:iCs/>
        </w:rPr>
        <w:t>Gambling Report: Results from the 2016 Health and Lifestyles Survey</w:t>
      </w:r>
      <w:r w:rsidRPr="00C61A96">
        <w:rPr>
          <w:rFonts w:cstheme="minorHAnsi"/>
        </w:rPr>
        <w:t xml:space="preserve">. Wellington: Te Hiringa Hauora. URL: </w:t>
      </w:r>
      <w:hyperlink r:id="rId2" w:history="1">
        <w:r w:rsidRPr="00125D58">
          <w:rPr>
            <w:rStyle w:val="Hyperlink"/>
            <w:rFonts w:cstheme="minorHAnsi"/>
          </w:rPr>
          <w:t>hpa.org.nz/research-library/research-publications/new-zealanders-participation-in-gambling-results-from-the-2016-health-and-lifestyles-survey</w:t>
        </w:r>
      </w:hyperlink>
      <w:r>
        <w:rPr>
          <w:rFonts w:cstheme="minorHAnsi"/>
          <w:b/>
        </w:rPr>
        <w:t xml:space="preserve"> </w:t>
      </w:r>
      <w:r w:rsidRPr="00AB7997">
        <w:rPr>
          <w:rFonts w:cstheme="minorHAnsi"/>
          <w:bCs/>
        </w:rPr>
        <w:t xml:space="preserve">(accessed </w:t>
      </w:r>
      <w:r w:rsidR="00592379">
        <w:rPr>
          <w:rFonts w:cstheme="minorHAnsi"/>
          <w:bCs/>
        </w:rPr>
        <w:t>21 May 2025</w:t>
      </w:r>
      <w:r>
        <w:rPr>
          <w:rFonts w:cstheme="minorHAnsi"/>
          <w:bCs/>
        </w:rPr>
        <w:t>)</w:t>
      </w:r>
      <w:r w:rsidRPr="0074574E">
        <w:rPr>
          <w:rFonts w:cstheme="minorHAnsi"/>
          <w:bCs/>
        </w:rPr>
        <w:t>.</w:t>
      </w:r>
    </w:p>
  </w:footnote>
  <w:footnote w:id="7">
    <w:p w14:paraId="2E9DA6C7" w14:textId="1478B74F" w:rsidR="00E32FC1" w:rsidRPr="004B65B9" w:rsidRDefault="00E32FC1" w:rsidP="00CB7B9E">
      <w:pPr>
        <w:pStyle w:val="FootnoteText"/>
        <w:spacing w:before="0"/>
      </w:pPr>
      <w:r w:rsidRPr="004B65B9">
        <w:rPr>
          <w:rStyle w:val="FootnoteReference"/>
          <w:rFonts w:asciiTheme="minorHAnsi" w:hAnsiTheme="minorHAnsi" w:cstheme="minorHAnsi"/>
          <w:sz w:val="20"/>
        </w:rPr>
        <w:footnoteRef/>
      </w:r>
      <w:r w:rsidRPr="004B65B9">
        <w:rPr>
          <w:rStyle w:val="FootnoteReference"/>
          <w:rFonts w:asciiTheme="minorHAnsi" w:hAnsiTheme="minorHAnsi" w:cstheme="minorHAnsi"/>
          <w:sz w:val="20"/>
        </w:rPr>
        <w:t xml:space="preserve"> </w:t>
      </w:r>
      <w:r w:rsidRPr="00FD7201">
        <w:rPr>
          <w:rFonts w:cs="Segoe UI"/>
          <w:szCs w:val="17"/>
        </w:rPr>
        <w:t xml:space="preserve">Central Queensland University and Auckland University of Technology. 2017. </w:t>
      </w:r>
      <w:r w:rsidRPr="00FD7201">
        <w:rPr>
          <w:rFonts w:cs="Segoe UI"/>
          <w:i/>
          <w:szCs w:val="17"/>
        </w:rPr>
        <w:t xml:space="preserve">Measuring the Burden of Gambling Harm in New Zealand. </w:t>
      </w:r>
      <w:r w:rsidRPr="00FD7201">
        <w:rPr>
          <w:rFonts w:cs="Segoe UI"/>
          <w:iCs/>
          <w:szCs w:val="17"/>
        </w:rPr>
        <w:t xml:space="preserve">Wellington: Ministry of Health. URL: </w:t>
      </w:r>
      <w:hyperlink r:id="rId3" w:history="1">
        <w:r w:rsidR="00592379">
          <w:rPr>
            <w:rStyle w:val="Hyperlink"/>
            <w:rFonts w:cs="Segoe UI"/>
            <w:iCs/>
            <w:szCs w:val="17"/>
          </w:rPr>
          <w:t>health.govt.nz/publications/measuring-the-burden-of-gambling-harm-in-new-zealand</w:t>
        </w:r>
      </w:hyperlink>
      <w:r w:rsidRPr="00FD7201">
        <w:rPr>
          <w:rFonts w:cs="Segoe UI"/>
          <w:szCs w:val="17"/>
        </w:rPr>
        <w:t xml:space="preserve"> (accessed </w:t>
      </w:r>
      <w:r w:rsidR="00592379">
        <w:rPr>
          <w:rFonts w:cs="Segoe UI"/>
          <w:szCs w:val="17"/>
        </w:rPr>
        <w:t>21 May 2025</w:t>
      </w:r>
      <w:r w:rsidRPr="00FD7201">
        <w:rPr>
          <w:rFonts w:cs="Segoe UI"/>
          <w:szCs w:val="17"/>
        </w:rPr>
        <w:t>). The research found that, while some of this ‘burden of harm’ was concentrated in problem gamblers, at a population level, the majority of harm is accruing to those who are not necessarily problem gamblers.</w:t>
      </w:r>
    </w:p>
  </w:footnote>
  <w:footnote w:id="8">
    <w:p w14:paraId="1F15EAAD" w14:textId="3408A63B" w:rsidR="00E32FC1" w:rsidRDefault="00E32FC1" w:rsidP="00CB7B9E">
      <w:pPr>
        <w:pStyle w:val="FootnoteText"/>
        <w:spacing w:before="0"/>
      </w:pPr>
      <w:r>
        <w:rPr>
          <w:rStyle w:val="FootnoteReference"/>
        </w:rPr>
        <w:footnoteRef/>
      </w:r>
      <w:r>
        <w:t xml:space="preserve"> </w:t>
      </w:r>
      <w:r>
        <w:rPr>
          <w:rFonts w:cstheme="minorHAnsi"/>
        </w:rPr>
        <w:t>New Zealand Gambling Survey (</w:t>
      </w:r>
      <w:r>
        <w:t>NZGS) 2023/24</w:t>
      </w:r>
      <w:r>
        <w:rPr>
          <w:rStyle w:val="Hyperlink"/>
          <w:rFonts w:eastAsiaTheme="minorHAnsi" w:cs="Segoe UI"/>
          <w:b w:val="0"/>
          <w:bCs/>
          <w:szCs w:val="17"/>
          <w:lang w:eastAsia="en-US"/>
        </w:rPr>
        <w:t>.</w:t>
      </w:r>
    </w:p>
  </w:footnote>
  <w:footnote w:id="9">
    <w:p w14:paraId="444AFC88" w14:textId="0AC477CE" w:rsidR="00E32FC1" w:rsidRPr="004B65B9" w:rsidRDefault="00E32FC1" w:rsidP="00F522B9">
      <w:pPr>
        <w:pStyle w:val="FootnoteText"/>
        <w:rPr>
          <w:rFonts w:cstheme="minorHAnsi"/>
          <w:lang w:val="en-US"/>
        </w:rPr>
      </w:pPr>
      <w:r w:rsidRPr="004B65B9">
        <w:rPr>
          <w:rStyle w:val="FootnoteReference"/>
          <w:rFonts w:cstheme="minorHAnsi"/>
        </w:rPr>
        <w:footnoteRef/>
      </w:r>
      <w:r w:rsidRPr="004B65B9">
        <w:rPr>
          <w:rFonts w:cstheme="minorHAnsi"/>
        </w:rPr>
        <w:t xml:space="preserve"> </w:t>
      </w:r>
      <w:r>
        <w:rPr>
          <w:rFonts w:cstheme="minorHAnsi"/>
        </w:rPr>
        <w:t>For more information, see the Gambling harm i</w:t>
      </w:r>
      <w:r w:rsidRPr="004B65B9">
        <w:rPr>
          <w:rFonts w:cstheme="minorHAnsi"/>
        </w:rPr>
        <w:t xml:space="preserve">ntervention </w:t>
      </w:r>
      <w:r>
        <w:rPr>
          <w:rFonts w:cstheme="minorHAnsi"/>
        </w:rPr>
        <w:t>services</w:t>
      </w:r>
      <w:r w:rsidRPr="004B65B9">
        <w:rPr>
          <w:rFonts w:cstheme="minorHAnsi"/>
        </w:rPr>
        <w:t xml:space="preserve"> data web</w:t>
      </w:r>
      <w:r>
        <w:rPr>
          <w:rFonts w:cstheme="minorHAnsi"/>
        </w:rPr>
        <w:t>page on the Ministry’s website at URL</w:t>
      </w:r>
      <w:r w:rsidRPr="004B65B9">
        <w:rPr>
          <w:rFonts w:cstheme="minorHAnsi"/>
        </w:rPr>
        <w:t xml:space="preserve">: </w:t>
      </w:r>
      <w:hyperlink r:id="rId4" w:history="1">
        <w:r w:rsidR="009D2740">
          <w:rPr>
            <w:rStyle w:val="Hyperlink"/>
            <w:rFonts w:cstheme="minorHAnsi"/>
          </w:rPr>
          <w:t>health.govt.nz/statistics-research/statistics-and-data-sets/problem-gambling/gambling-harm-services-data</w:t>
        </w:r>
      </w:hyperlink>
    </w:p>
  </w:footnote>
  <w:footnote w:id="10">
    <w:p w14:paraId="609D7D50" w14:textId="216B2C54" w:rsidR="00E32FC1" w:rsidRDefault="00E32FC1" w:rsidP="00FD7201">
      <w:pPr>
        <w:pStyle w:val="FootnoteText"/>
      </w:pPr>
      <w:r>
        <w:rPr>
          <w:rStyle w:val="FootnoteReference"/>
        </w:rPr>
        <w:footnoteRef/>
      </w:r>
      <w:r>
        <w:t xml:space="preserve"> </w:t>
      </w:r>
      <w:hyperlink r:id="rId5" w:history="1">
        <w:r w:rsidRPr="00CD1CB3">
          <w:rPr>
            <w:rStyle w:val="Hyperlink"/>
          </w:rPr>
          <w:t>https://www.gamblingcommission.govt.nz/GCwebsite.nsf/Files/Problem-Gambling-Levy-Report-2022/$file/Problem-Gambling-Levy-Report-2022.pdf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E32FC1" w14:paraId="71A6F2A5" w14:textId="77777777" w:rsidTr="00FD7201">
      <w:trPr>
        <w:cantSplit/>
      </w:trPr>
      <w:tc>
        <w:tcPr>
          <w:tcW w:w="5210" w:type="dxa"/>
          <w:vAlign w:val="center"/>
        </w:tcPr>
        <w:p w14:paraId="609A3996" w14:textId="27F2D30F" w:rsidR="00E32FC1" w:rsidRDefault="00E32FC1" w:rsidP="00517395">
          <w:pPr>
            <w:pStyle w:val="Header"/>
          </w:pPr>
        </w:p>
      </w:tc>
      <w:tc>
        <w:tcPr>
          <w:tcW w:w="4429" w:type="dxa"/>
          <w:vAlign w:val="center"/>
        </w:tcPr>
        <w:p w14:paraId="17A009DC" w14:textId="2997B0DB" w:rsidR="00E32FC1" w:rsidRDefault="00E32FC1" w:rsidP="00517395">
          <w:pPr>
            <w:pStyle w:val="Header"/>
            <w:jc w:val="right"/>
          </w:pPr>
        </w:p>
      </w:tc>
    </w:tr>
  </w:tbl>
  <w:p w14:paraId="4AC8EC99" w14:textId="04AA052E" w:rsidR="00E32FC1" w:rsidRDefault="00E32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E32FC1" w:rsidRDefault="00E32FC1"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43A887E8" w:rsidR="00E32FC1" w:rsidRDefault="00E32FC1"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C0B2" w14:textId="77777777" w:rsidR="00E32FC1" w:rsidRDefault="00E32FC1" w:rsidP="00860E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A85" w14:textId="77777777" w:rsidR="00E32FC1" w:rsidRDefault="00E32FC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E2E9" w14:textId="77777777" w:rsidR="00E32FC1" w:rsidRDefault="00E32FC1" w:rsidP="00533B9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DDE5" w14:textId="77777777" w:rsidR="00E32FC1" w:rsidRDefault="00E32F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6B75D6C"/>
    <w:multiLevelType w:val="hybridMultilevel"/>
    <w:tmpl w:val="7E9221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6"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8"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EB2C86"/>
    <w:multiLevelType w:val="hybridMultilevel"/>
    <w:tmpl w:val="8370C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4"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5"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6"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7" w15:restartNumberingAfterBreak="0">
    <w:nsid w:val="31AC5BCC"/>
    <w:multiLevelType w:val="multilevel"/>
    <w:tmpl w:val="E2B82BAE"/>
    <w:name w:val="CabNumeric2"/>
    <w:lvl w:ilvl="0">
      <w:start w:val="1"/>
      <w:numFmt w:val="decimal"/>
      <w:pStyle w:val="CabStandard"/>
      <w:lvlText w:val="%1"/>
      <w:lvlJc w:val="left"/>
      <w:pPr>
        <w:tabs>
          <w:tab w:val="num" w:pos="720"/>
        </w:tabs>
        <w:ind w:left="720" w:hanging="720"/>
      </w:pPr>
      <w:rPr>
        <w:rFonts w:ascii="Arial" w:hAnsi="Arial" w:cs="Arial" w:hint="default"/>
        <w:i w:val="0"/>
        <w:iCs/>
        <w:strike w:val="0"/>
        <w:color w:val="auto"/>
      </w:rPr>
    </w:lvl>
    <w:lvl w:ilvl="1">
      <w:start w:val="1"/>
      <w:numFmt w:val="decimal"/>
      <w:lvlText w:val="%1.%2"/>
      <w:lvlJc w:val="left"/>
      <w:pPr>
        <w:tabs>
          <w:tab w:val="num" w:pos="1440"/>
        </w:tabs>
        <w:ind w:left="1440" w:hanging="720"/>
      </w:pPr>
      <w:rPr>
        <w:rFonts w:hint="default"/>
        <w:i w:val="0"/>
        <w:iCs/>
        <w:strike w:val="0"/>
        <w:color w:val="auto"/>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8" w15:restartNumberingAfterBreak="0">
    <w:nsid w:val="3AEE7201"/>
    <w:multiLevelType w:val="hybridMultilevel"/>
    <w:tmpl w:val="E572D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74408"/>
    <w:multiLevelType w:val="hybridMultilevel"/>
    <w:tmpl w:val="DF5C8FFA"/>
    <w:lvl w:ilvl="0" w:tplc="88ACCDC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FBD1A"/>
    <w:multiLevelType w:val="hybridMultilevel"/>
    <w:tmpl w:val="45820602"/>
    <w:lvl w:ilvl="0" w:tplc="F884A244">
      <w:start w:val="1"/>
      <w:numFmt w:val="bullet"/>
      <w:pStyle w:val="Tablebullets"/>
      <w:lvlText w:val="·"/>
      <w:lvlJc w:val="left"/>
      <w:pPr>
        <w:ind w:left="720" w:hanging="360"/>
      </w:pPr>
      <w:rPr>
        <w:rFonts w:ascii="Symbol" w:hAnsi="Symbol" w:hint="default"/>
      </w:rPr>
    </w:lvl>
    <w:lvl w:ilvl="1" w:tplc="C5D2B574">
      <w:start w:val="1"/>
      <w:numFmt w:val="bullet"/>
      <w:lvlText w:val="o"/>
      <w:lvlJc w:val="left"/>
      <w:pPr>
        <w:ind w:left="1440" w:hanging="360"/>
      </w:pPr>
      <w:rPr>
        <w:rFonts w:ascii="Courier New" w:hAnsi="Courier New" w:hint="default"/>
      </w:rPr>
    </w:lvl>
    <w:lvl w:ilvl="2" w:tplc="B794484E">
      <w:start w:val="1"/>
      <w:numFmt w:val="bullet"/>
      <w:lvlText w:val=""/>
      <w:lvlJc w:val="left"/>
      <w:pPr>
        <w:ind w:left="2160" w:hanging="360"/>
      </w:pPr>
      <w:rPr>
        <w:rFonts w:ascii="Wingdings" w:hAnsi="Wingdings" w:hint="default"/>
      </w:rPr>
    </w:lvl>
    <w:lvl w:ilvl="3" w:tplc="62A241FE">
      <w:start w:val="1"/>
      <w:numFmt w:val="bullet"/>
      <w:lvlText w:val=""/>
      <w:lvlJc w:val="left"/>
      <w:pPr>
        <w:ind w:left="2880" w:hanging="360"/>
      </w:pPr>
      <w:rPr>
        <w:rFonts w:ascii="Symbol" w:hAnsi="Symbol" w:hint="default"/>
      </w:rPr>
    </w:lvl>
    <w:lvl w:ilvl="4" w:tplc="10E0CDA4">
      <w:start w:val="1"/>
      <w:numFmt w:val="bullet"/>
      <w:lvlText w:val="o"/>
      <w:lvlJc w:val="left"/>
      <w:pPr>
        <w:ind w:left="3600" w:hanging="360"/>
      </w:pPr>
      <w:rPr>
        <w:rFonts w:ascii="Courier New" w:hAnsi="Courier New" w:hint="default"/>
      </w:rPr>
    </w:lvl>
    <w:lvl w:ilvl="5" w:tplc="8B6066C2">
      <w:start w:val="1"/>
      <w:numFmt w:val="bullet"/>
      <w:lvlText w:val=""/>
      <w:lvlJc w:val="left"/>
      <w:pPr>
        <w:ind w:left="4320" w:hanging="360"/>
      </w:pPr>
      <w:rPr>
        <w:rFonts w:ascii="Wingdings" w:hAnsi="Wingdings" w:hint="default"/>
      </w:rPr>
    </w:lvl>
    <w:lvl w:ilvl="6" w:tplc="9FC6FD98">
      <w:start w:val="1"/>
      <w:numFmt w:val="bullet"/>
      <w:lvlText w:val=""/>
      <w:lvlJc w:val="left"/>
      <w:pPr>
        <w:ind w:left="5040" w:hanging="360"/>
      </w:pPr>
      <w:rPr>
        <w:rFonts w:ascii="Symbol" w:hAnsi="Symbol" w:hint="default"/>
      </w:rPr>
    </w:lvl>
    <w:lvl w:ilvl="7" w:tplc="349A6ECA">
      <w:start w:val="1"/>
      <w:numFmt w:val="bullet"/>
      <w:lvlText w:val="o"/>
      <w:lvlJc w:val="left"/>
      <w:pPr>
        <w:ind w:left="5760" w:hanging="360"/>
      </w:pPr>
      <w:rPr>
        <w:rFonts w:ascii="Courier New" w:hAnsi="Courier New" w:hint="default"/>
      </w:rPr>
    </w:lvl>
    <w:lvl w:ilvl="8" w:tplc="A5EC005A">
      <w:start w:val="1"/>
      <w:numFmt w:val="bullet"/>
      <w:lvlText w:val=""/>
      <w:lvlJc w:val="left"/>
      <w:pPr>
        <w:ind w:left="6480" w:hanging="360"/>
      </w:pPr>
      <w:rPr>
        <w:rFonts w:ascii="Wingdings" w:hAnsi="Wingdings" w:hint="default"/>
      </w:rPr>
    </w:lvl>
  </w:abstractNum>
  <w:abstractNum w:abstractNumId="23"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4"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5" w15:restartNumberingAfterBreak="0">
    <w:nsid w:val="4D9638CA"/>
    <w:multiLevelType w:val="hybridMultilevel"/>
    <w:tmpl w:val="FFFFFFFF"/>
    <w:lvl w:ilvl="0" w:tplc="1292BBB8">
      <w:start w:val="1"/>
      <w:numFmt w:val="bullet"/>
      <w:lvlText w:val="·"/>
      <w:lvlJc w:val="left"/>
      <w:pPr>
        <w:ind w:left="720" w:hanging="360"/>
      </w:pPr>
      <w:rPr>
        <w:rFonts w:ascii="Symbol" w:hAnsi="Symbol" w:hint="default"/>
      </w:rPr>
    </w:lvl>
    <w:lvl w:ilvl="1" w:tplc="299A6024">
      <w:start w:val="1"/>
      <w:numFmt w:val="bullet"/>
      <w:lvlText w:val="o"/>
      <w:lvlJc w:val="left"/>
      <w:pPr>
        <w:ind w:left="1440" w:hanging="360"/>
      </w:pPr>
      <w:rPr>
        <w:rFonts w:ascii="Courier New" w:hAnsi="Courier New" w:hint="default"/>
      </w:rPr>
    </w:lvl>
    <w:lvl w:ilvl="2" w:tplc="A4B2CEEE">
      <w:start w:val="1"/>
      <w:numFmt w:val="bullet"/>
      <w:lvlText w:val=""/>
      <w:lvlJc w:val="left"/>
      <w:pPr>
        <w:ind w:left="2160" w:hanging="360"/>
      </w:pPr>
      <w:rPr>
        <w:rFonts w:ascii="Wingdings" w:hAnsi="Wingdings" w:hint="default"/>
      </w:rPr>
    </w:lvl>
    <w:lvl w:ilvl="3" w:tplc="25103E64">
      <w:start w:val="1"/>
      <w:numFmt w:val="bullet"/>
      <w:lvlText w:val=""/>
      <w:lvlJc w:val="left"/>
      <w:pPr>
        <w:ind w:left="2880" w:hanging="360"/>
      </w:pPr>
      <w:rPr>
        <w:rFonts w:ascii="Symbol" w:hAnsi="Symbol" w:hint="default"/>
      </w:rPr>
    </w:lvl>
    <w:lvl w:ilvl="4" w:tplc="E07A3378">
      <w:start w:val="1"/>
      <w:numFmt w:val="bullet"/>
      <w:lvlText w:val="o"/>
      <w:lvlJc w:val="left"/>
      <w:pPr>
        <w:ind w:left="3600" w:hanging="360"/>
      </w:pPr>
      <w:rPr>
        <w:rFonts w:ascii="Courier New" w:hAnsi="Courier New" w:hint="default"/>
      </w:rPr>
    </w:lvl>
    <w:lvl w:ilvl="5" w:tplc="DEDE8F88">
      <w:start w:val="1"/>
      <w:numFmt w:val="bullet"/>
      <w:lvlText w:val=""/>
      <w:lvlJc w:val="left"/>
      <w:pPr>
        <w:ind w:left="4320" w:hanging="360"/>
      </w:pPr>
      <w:rPr>
        <w:rFonts w:ascii="Wingdings" w:hAnsi="Wingdings" w:hint="default"/>
      </w:rPr>
    </w:lvl>
    <w:lvl w:ilvl="6" w:tplc="D0222FAA">
      <w:start w:val="1"/>
      <w:numFmt w:val="bullet"/>
      <w:lvlText w:val=""/>
      <w:lvlJc w:val="left"/>
      <w:pPr>
        <w:ind w:left="5040" w:hanging="360"/>
      </w:pPr>
      <w:rPr>
        <w:rFonts w:ascii="Symbol" w:hAnsi="Symbol" w:hint="default"/>
      </w:rPr>
    </w:lvl>
    <w:lvl w:ilvl="7" w:tplc="D366A44E">
      <w:start w:val="1"/>
      <w:numFmt w:val="bullet"/>
      <w:lvlText w:val="o"/>
      <w:lvlJc w:val="left"/>
      <w:pPr>
        <w:ind w:left="5760" w:hanging="360"/>
      </w:pPr>
      <w:rPr>
        <w:rFonts w:ascii="Courier New" w:hAnsi="Courier New" w:hint="default"/>
      </w:rPr>
    </w:lvl>
    <w:lvl w:ilvl="8" w:tplc="CE481F8C">
      <w:start w:val="1"/>
      <w:numFmt w:val="bullet"/>
      <w:lvlText w:val=""/>
      <w:lvlJc w:val="left"/>
      <w:pPr>
        <w:ind w:left="6480" w:hanging="360"/>
      </w:pPr>
      <w:rPr>
        <w:rFonts w:ascii="Wingdings" w:hAnsi="Wingdings" w:hint="default"/>
      </w:rPr>
    </w:lvl>
  </w:abstractNum>
  <w:abstractNum w:abstractNumId="26" w15:restartNumberingAfterBreak="0">
    <w:nsid w:val="4E874F2C"/>
    <w:multiLevelType w:val="hybridMultilevel"/>
    <w:tmpl w:val="0FE648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293FB99"/>
    <w:multiLevelType w:val="hybridMultilevel"/>
    <w:tmpl w:val="FFFFFFFF"/>
    <w:lvl w:ilvl="0" w:tplc="78D8952C">
      <w:start w:val="1"/>
      <w:numFmt w:val="decimal"/>
      <w:lvlText w:val="%1."/>
      <w:lvlJc w:val="left"/>
      <w:pPr>
        <w:ind w:left="720" w:hanging="360"/>
      </w:pPr>
    </w:lvl>
    <w:lvl w:ilvl="1" w:tplc="3C36554A">
      <w:start w:val="1"/>
      <w:numFmt w:val="lowerLetter"/>
      <w:lvlText w:val="%2."/>
      <w:lvlJc w:val="left"/>
      <w:pPr>
        <w:ind w:left="1440" w:hanging="360"/>
      </w:pPr>
    </w:lvl>
    <w:lvl w:ilvl="2" w:tplc="840E8D02">
      <w:start w:val="1"/>
      <w:numFmt w:val="decimal"/>
      <w:lvlText w:val="%3."/>
      <w:lvlJc w:val="left"/>
      <w:pPr>
        <w:ind w:left="2160" w:hanging="180"/>
      </w:pPr>
    </w:lvl>
    <w:lvl w:ilvl="3" w:tplc="1E8C2740">
      <w:start w:val="1"/>
      <w:numFmt w:val="decimal"/>
      <w:lvlText w:val="%4."/>
      <w:lvlJc w:val="left"/>
      <w:pPr>
        <w:ind w:left="2880" w:hanging="360"/>
      </w:pPr>
    </w:lvl>
    <w:lvl w:ilvl="4" w:tplc="40D0DDB0">
      <w:start w:val="1"/>
      <w:numFmt w:val="lowerLetter"/>
      <w:lvlText w:val="%5."/>
      <w:lvlJc w:val="left"/>
      <w:pPr>
        <w:ind w:left="3600" w:hanging="360"/>
      </w:pPr>
    </w:lvl>
    <w:lvl w:ilvl="5" w:tplc="67AA6512">
      <w:start w:val="1"/>
      <w:numFmt w:val="lowerRoman"/>
      <w:lvlText w:val="%6."/>
      <w:lvlJc w:val="right"/>
      <w:pPr>
        <w:ind w:left="4320" w:hanging="180"/>
      </w:pPr>
    </w:lvl>
    <w:lvl w:ilvl="6" w:tplc="C89CA48C">
      <w:start w:val="1"/>
      <w:numFmt w:val="decimal"/>
      <w:lvlText w:val="%7."/>
      <w:lvlJc w:val="left"/>
      <w:pPr>
        <w:ind w:left="5040" w:hanging="360"/>
      </w:pPr>
    </w:lvl>
    <w:lvl w:ilvl="7" w:tplc="25F80244">
      <w:start w:val="1"/>
      <w:numFmt w:val="lowerLetter"/>
      <w:lvlText w:val="%8."/>
      <w:lvlJc w:val="left"/>
      <w:pPr>
        <w:ind w:left="5760" w:hanging="360"/>
      </w:pPr>
    </w:lvl>
    <w:lvl w:ilvl="8" w:tplc="3028E14C">
      <w:start w:val="1"/>
      <w:numFmt w:val="lowerRoman"/>
      <w:lvlText w:val="%9."/>
      <w:lvlJc w:val="right"/>
      <w:pPr>
        <w:ind w:left="6480" w:hanging="180"/>
      </w:pPr>
    </w:lvl>
  </w:abstractNum>
  <w:abstractNum w:abstractNumId="28" w15:restartNumberingAfterBreak="0">
    <w:nsid w:val="549B04E2"/>
    <w:multiLevelType w:val="hybridMultilevel"/>
    <w:tmpl w:val="221E658C"/>
    <w:lvl w:ilvl="0" w:tplc="68B08BF2">
      <w:start w:val="1"/>
      <w:numFmt w:val="bullet"/>
      <w:lvlText w:val=""/>
      <w:lvlJc w:val="left"/>
      <w:pPr>
        <w:ind w:left="360" w:hanging="360"/>
      </w:pPr>
      <w:rPr>
        <w:rFonts w:ascii="Symbol" w:hAnsi="Symbol" w:hint="default"/>
      </w:rPr>
    </w:lvl>
    <w:lvl w:ilvl="1" w:tplc="06901BF6">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6011CFE"/>
    <w:multiLevelType w:val="hybridMultilevel"/>
    <w:tmpl w:val="FB989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32"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33" w15:restartNumberingAfterBreak="0">
    <w:nsid w:val="5E4378A3"/>
    <w:multiLevelType w:val="hybridMultilevel"/>
    <w:tmpl w:val="641CD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0AD224C"/>
    <w:multiLevelType w:val="hybridMultilevel"/>
    <w:tmpl w:val="07EE9C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4FB40AD"/>
    <w:multiLevelType w:val="hybridMultilevel"/>
    <w:tmpl w:val="CDC4898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7FC0ECD"/>
    <w:multiLevelType w:val="hybridMultilevel"/>
    <w:tmpl w:val="1A0CBA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38"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39"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40"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41" w15:restartNumberingAfterBreak="0">
    <w:nsid w:val="6EBD1406"/>
    <w:multiLevelType w:val="hybridMultilevel"/>
    <w:tmpl w:val="FFFFFFFF"/>
    <w:lvl w:ilvl="0" w:tplc="975AC000">
      <w:start w:val="1"/>
      <w:numFmt w:val="lowerLetter"/>
      <w:lvlText w:val="%1."/>
      <w:lvlJc w:val="left"/>
      <w:pPr>
        <w:ind w:left="720" w:hanging="360"/>
      </w:pPr>
    </w:lvl>
    <w:lvl w:ilvl="1" w:tplc="49B2C69C">
      <w:start w:val="1"/>
      <w:numFmt w:val="lowerLetter"/>
      <w:lvlText w:val="%2."/>
      <w:lvlJc w:val="left"/>
      <w:pPr>
        <w:ind w:left="1440" w:hanging="360"/>
      </w:pPr>
    </w:lvl>
    <w:lvl w:ilvl="2" w:tplc="078602EC">
      <w:start w:val="1"/>
      <w:numFmt w:val="lowerRoman"/>
      <w:lvlText w:val="%3."/>
      <w:lvlJc w:val="right"/>
      <w:pPr>
        <w:ind w:left="2160" w:hanging="180"/>
      </w:pPr>
    </w:lvl>
    <w:lvl w:ilvl="3" w:tplc="717C38CE">
      <w:start w:val="1"/>
      <w:numFmt w:val="decimal"/>
      <w:lvlText w:val="%4."/>
      <w:lvlJc w:val="left"/>
      <w:pPr>
        <w:ind w:left="2880" w:hanging="360"/>
      </w:pPr>
    </w:lvl>
    <w:lvl w:ilvl="4" w:tplc="9ABA36BC">
      <w:start w:val="1"/>
      <w:numFmt w:val="lowerLetter"/>
      <w:lvlText w:val="%5."/>
      <w:lvlJc w:val="left"/>
      <w:pPr>
        <w:ind w:left="3600" w:hanging="360"/>
      </w:pPr>
    </w:lvl>
    <w:lvl w:ilvl="5" w:tplc="4CC6ADE4">
      <w:start w:val="1"/>
      <w:numFmt w:val="lowerRoman"/>
      <w:lvlText w:val="%6."/>
      <w:lvlJc w:val="right"/>
      <w:pPr>
        <w:ind w:left="4320" w:hanging="180"/>
      </w:pPr>
    </w:lvl>
    <w:lvl w:ilvl="6" w:tplc="A99EBDB8">
      <w:start w:val="1"/>
      <w:numFmt w:val="decimal"/>
      <w:lvlText w:val="%7."/>
      <w:lvlJc w:val="left"/>
      <w:pPr>
        <w:ind w:left="5040" w:hanging="360"/>
      </w:pPr>
    </w:lvl>
    <w:lvl w:ilvl="7" w:tplc="C9EC0628">
      <w:start w:val="1"/>
      <w:numFmt w:val="lowerLetter"/>
      <w:lvlText w:val="%8."/>
      <w:lvlJc w:val="left"/>
      <w:pPr>
        <w:ind w:left="5760" w:hanging="360"/>
      </w:pPr>
    </w:lvl>
    <w:lvl w:ilvl="8" w:tplc="86B68FC4">
      <w:start w:val="1"/>
      <w:numFmt w:val="lowerRoman"/>
      <w:lvlText w:val="%9."/>
      <w:lvlJc w:val="right"/>
      <w:pPr>
        <w:ind w:left="6480" w:hanging="180"/>
      </w:pPr>
    </w:lvl>
  </w:abstractNum>
  <w:abstractNum w:abstractNumId="42"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44"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5"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6"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47"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EE74A0F"/>
    <w:multiLevelType w:val="hybridMultilevel"/>
    <w:tmpl w:val="AEF0B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EE79536"/>
    <w:multiLevelType w:val="hybridMultilevel"/>
    <w:tmpl w:val="FFFFFFFF"/>
    <w:lvl w:ilvl="0" w:tplc="376EC796">
      <w:start w:val="1"/>
      <w:numFmt w:val="bullet"/>
      <w:lvlText w:val=""/>
      <w:lvlJc w:val="left"/>
      <w:pPr>
        <w:ind w:left="720" w:hanging="360"/>
      </w:pPr>
      <w:rPr>
        <w:rFonts w:ascii="Symbol" w:hAnsi="Symbol" w:hint="default"/>
      </w:rPr>
    </w:lvl>
    <w:lvl w:ilvl="1" w:tplc="7EAE4B86">
      <w:start w:val="1"/>
      <w:numFmt w:val="bullet"/>
      <w:lvlText w:val="o"/>
      <w:lvlJc w:val="left"/>
      <w:pPr>
        <w:ind w:left="1440" w:hanging="360"/>
      </w:pPr>
      <w:rPr>
        <w:rFonts w:ascii="Courier New" w:hAnsi="Courier New" w:hint="default"/>
      </w:rPr>
    </w:lvl>
    <w:lvl w:ilvl="2" w:tplc="C5D656BA">
      <w:start w:val="1"/>
      <w:numFmt w:val="bullet"/>
      <w:lvlText w:val=""/>
      <w:lvlJc w:val="left"/>
      <w:pPr>
        <w:ind w:left="2160" w:hanging="360"/>
      </w:pPr>
      <w:rPr>
        <w:rFonts w:ascii="Wingdings" w:hAnsi="Wingdings" w:hint="default"/>
      </w:rPr>
    </w:lvl>
    <w:lvl w:ilvl="3" w:tplc="916E8FDA">
      <w:start w:val="1"/>
      <w:numFmt w:val="bullet"/>
      <w:lvlText w:val=""/>
      <w:lvlJc w:val="left"/>
      <w:pPr>
        <w:ind w:left="2880" w:hanging="360"/>
      </w:pPr>
      <w:rPr>
        <w:rFonts w:ascii="Symbol" w:hAnsi="Symbol" w:hint="default"/>
      </w:rPr>
    </w:lvl>
    <w:lvl w:ilvl="4" w:tplc="22B879DA">
      <w:start w:val="1"/>
      <w:numFmt w:val="bullet"/>
      <w:lvlText w:val="o"/>
      <w:lvlJc w:val="left"/>
      <w:pPr>
        <w:ind w:left="3600" w:hanging="360"/>
      </w:pPr>
      <w:rPr>
        <w:rFonts w:ascii="Courier New" w:hAnsi="Courier New" w:hint="default"/>
      </w:rPr>
    </w:lvl>
    <w:lvl w:ilvl="5" w:tplc="3F2623AE">
      <w:start w:val="1"/>
      <w:numFmt w:val="bullet"/>
      <w:lvlText w:val=""/>
      <w:lvlJc w:val="left"/>
      <w:pPr>
        <w:ind w:left="4320" w:hanging="360"/>
      </w:pPr>
      <w:rPr>
        <w:rFonts w:ascii="Wingdings" w:hAnsi="Wingdings" w:hint="default"/>
      </w:rPr>
    </w:lvl>
    <w:lvl w:ilvl="6" w:tplc="4F8894FE">
      <w:start w:val="1"/>
      <w:numFmt w:val="bullet"/>
      <w:lvlText w:val=""/>
      <w:lvlJc w:val="left"/>
      <w:pPr>
        <w:ind w:left="5040" w:hanging="360"/>
      </w:pPr>
      <w:rPr>
        <w:rFonts w:ascii="Symbol" w:hAnsi="Symbol" w:hint="default"/>
      </w:rPr>
    </w:lvl>
    <w:lvl w:ilvl="7" w:tplc="5E5C48C0">
      <w:start w:val="1"/>
      <w:numFmt w:val="bullet"/>
      <w:lvlText w:val="o"/>
      <w:lvlJc w:val="left"/>
      <w:pPr>
        <w:ind w:left="5760" w:hanging="360"/>
      </w:pPr>
      <w:rPr>
        <w:rFonts w:ascii="Courier New" w:hAnsi="Courier New" w:hint="default"/>
      </w:rPr>
    </w:lvl>
    <w:lvl w:ilvl="8" w:tplc="66A65BD0">
      <w:start w:val="1"/>
      <w:numFmt w:val="bullet"/>
      <w:lvlText w:val=""/>
      <w:lvlJc w:val="left"/>
      <w:pPr>
        <w:ind w:left="6480" w:hanging="360"/>
      </w:pPr>
      <w:rPr>
        <w:rFonts w:ascii="Wingdings" w:hAnsi="Wingdings" w:hint="default"/>
      </w:rPr>
    </w:lvl>
  </w:abstractNum>
  <w:abstractNum w:abstractNumId="50" w15:restartNumberingAfterBreak="0">
    <w:nsid w:val="7F117BE7"/>
    <w:multiLevelType w:val="hybridMultilevel"/>
    <w:tmpl w:val="FB989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4044227">
    <w:abstractNumId w:val="45"/>
  </w:num>
  <w:num w:numId="2" w16cid:durableId="1088769816">
    <w:abstractNumId w:val="37"/>
  </w:num>
  <w:num w:numId="3" w16cid:durableId="1790856153">
    <w:abstractNumId w:val="19"/>
  </w:num>
  <w:num w:numId="4" w16cid:durableId="1177962353">
    <w:abstractNumId w:val="21"/>
  </w:num>
  <w:num w:numId="5" w16cid:durableId="787816710">
    <w:abstractNumId w:val="0"/>
  </w:num>
  <w:num w:numId="6" w16cid:durableId="325670344">
    <w:abstractNumId w:val="47"/>
  </w:num>
  <w:num w:numId="7" w16cid:durableId="50660186">
    <w:abstractNumId w:val="14"/>
  </w:num>
  <w:num w:numId="8" w16cid:durableId="1609896610">
    <w:abstractNumId w:val="3"/>
  </w:num>
  <w:num w:numId="9" w16cid:durableId="632519328">
    <w:abstractNumId w:val="44"/>
  </w:num>
  <w:num w:numId="10" w16cid:durableId="1338729976">
    <w:abstractNumId w:val="1"/>
  </w:num>
  <w:num w:numId="11" w16cid:durableId="980571372">
    <w:abstractNumId w:val="42"/>
  </w:num>
  <w:num w:numId="12" w16cid:durableId="1557742589">
    <w:abstractNumId w:val="4"/>
  </w:num>
  <w:num w:numId="13" w16cid:durableId="18744738">
    <w:abstractNumId w:val="8"/>
  </w:num>
  <w:num w:numId="14" w16cid:durableId="1564414683">
    <w:abstractNumId w:val="6"/>
  </w:num>
  <w:num w:numId="15" w16cid:durableId="129135899">
    <w:abstractNumId w:val="10"/>
  </w:num>
  <w:num w:numId="16" w16cid:durableId="1612396617">
    <w:abstractNumId w:val="30"/>
  </w:num>
  <w:num w:numId="17" w16cid:durableId="703989168">
    <w:abstractNumId w:val="12"/>
  </w:num>
  <w:num w:numId="18" w16cid:durableId="1731152691">
    <w:abstractNumId w:val="39"/>
  </w:num>
  <w:num w:numId="19" w16cid:durableId="1834685713">
    <w:abstractNumId w:val="13"/>
  </w:num>
  <w:num w:numId="20" w16cid:durableId="299967645">
    <w:abstractNumId w:val="24"/>
  </w:num>
  <w:num w:numId="21" w16cid:durableId="2046052424">
    <w:abstractNumId w:val="7"/>
  </w:num>
  <w:num w:numId="22" w16cid:durableId="1360231949">
    <w:abstractNumId w:val="5"/>
  </w:num>
  <w:num w:numId="23" w16cid:durableId="896664440">
    <w:abstractNumId w:val="32"/>
  </w:num>
  <w:num w:numId="24" w16cid:durableId="1274554592">
    <w:abstractNumId w:val="31"/>
  </w:num>
  <w:num w:numId="25" w16cid:durableId="1180584589">
    <w:abstractNumId w:val="46"/>
  </w:num>
  <w:num w:numId="26" w16cid:durableId="742801433">
    <w:abstractNumId w:val="15"/>
  </w:num>
  <w:num w:numId="27" w16cid:durableId="599992175">
    <w:abstractNumId w:val="40"/>
  </w:num>
  <w:num w:numId="28" w16cid:durableId="4408122">
    <w:abstractNumId w:val="38"/>
  </w:num>
  <w:num w:numId="29" w16cid:durableId="1718311309">
    <w:abstractNumId w:val="23"/>
  </w:num>
  <w:num w:numId="30" w16cid:durableId="1055079816">
    <w:abstractNumId w:val="11"/>
  </w:num>
  <w:num w:numId="31" w16cid:durableId="1258294658">
    <w:abstractNumId w:val="43"/>
  </w:num>
  <w:num w:numId="32" w16cid:durableId="160243466">
    <w:abstractNumId w:val="16"/>
  </w:num>
  <w:num w:numId="33" w16cid:durableId="335771748">
    <w:abstractNumId w:val="17"/>
  </w:num>
  <w:num w:numId="34" w16cid:durableId="1880318079">
    <w:abstractNumId w:val="28"/>
  </w:num>
  <w:num w:numId="35" w16cid:durableId="549154911">
    <w:abstractNumId w:val="25"/>
  </w:num>
  <w:num w:numId="36" w16cid:durableId="880478700">
    <w:abstractNumId w:val="22"/>
  </w:num>
  <w:num w:numId="37" w16cid:durableId="96485348">
    <w:abstractNumId w:val="33"/>
  </w:num>
  <w:num w:numId="38" w16cid:durableId="1249802225">
    <w:abstractNumId w:val="9"/>
  </w:num>
  <w:num w:numId="39" w16cid:durableId="1059475613">
    <w:abstractNumId w:val="29"/>
  </w:num>
  <w:num w:numId="40" w16cid:durableId="789783036">
    <w:abstractNumId w:val="20"/>
  </w:num>
  <w:num w:numId="41" w16cid:durableId="785083583">
    <w:abstractNumId w:val="27"/>
  </w:num>
  <w:num w:numId="42" w16cid:durableId="1594774751">
    <w:abstractNumId w:val="36"/>
  </w:num>
  <w:num w:numId="43" w16cid:durableId="321855145">
    <w:abstractNumId w:val="34"/>
  </w:num>
  <w:num w:numId="44" w16cid:durableId="1903445833">
    <w:abstractNumId w:val="50"/>
  </w:num>
  <w:num w:numId="45" w16cid:durableId="154224956">
    <w:abstractNumId w:val="48"/>
  </w:num>
  <w:num w:numId="46" w16cid:durableId="1884169011">
    <w:abstractNumId w:val="2"/>
  </w:num>
  <w:num w:numId="47" w16cid:durableId="368646410">
    <w:abstractNumId w:val="45"/>
  </w:num>
  <w:num w:numId="48" w16cid:durableId="1688022526">
    <w:abstractNumId w:val="35"/>
  </w:num>
  <w:num w:numId="49" w16cid:durableId="1848714861">
    <w:abstractNumId w:val="45"/>
  </w:num>
  <w:num w:numId="50" w16cid:durableId="989670582">
    <w:abstractNumId w:val="18"/>
  </w:num>
  <w:num w:numId="51" w16cid:durableId="1895463142">
    <w:abstractNumId w:val="26"/>
  </w:num>
  <w:num w:numId="52" w16cid:durableId="1583636345">
    <w:abstractNumId w:val="0"/>
  </w:num>
  <w:num w:numId="53" w16cid:durableId="1811709859">
    <w:abstractNumId w:val="49"/>
  </w:num>
  <w:num w:numId="54" w16cid:durableId="153442334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1846"/>
    <w:rsid w:val="000022DA"/>
    <w:rsid w:val="0000231A"/>
    <w:rsid w:val="000025B8"/>
    <w:rsid w:val="000032AB"/>
    <w:rsid w:val="000040EC"/>
    <w:rsid w:val="0000492C"/>
    <w:rsid w:val="0000505F"/>
    <w:rsid w:val="00005BB5"/>
    <w:rsid w:val="00007FE9"/>
    <w:rsid w:val="000113AB"/>
    <w:rsid w:val="00011462"/>
    <w:rsid w:val="00012200"/>
    <w:rsid w:val="000134CF"/>
    <w:rsid w:val="00013588"/>
    <w:rsid w:val="0001465A"/>
    <w:rsid w:val="000156CB"/>
    <w:rsid w:val="0001640A"/>
    <w:rsid w:val="000170EF"/>
    <w:rsid w:val="00017AD0"/>
    <w:rsid w:val="000229EA"/>
    <w:rsid w:val="000229EF"/>
    <w:rsid w:val="00023329"/>
    <w:rsid w:val="000241F3"/>
    <w:rsid w:val="00024E45"/>
    <w:rsid w:val="00025A6F"/>
    <w:rsid w:val="00025A93"/>
    <w:rsid w:val="0002618D"/>
    <w:rsid w:val="000261B2"/>
    <w:rsid w:val="00026B15"/>
    <w:rsid w:val="00026C1E"/>
    <w:rsid w:val="0002728C"/>
    <w:rsid w:val="00030B26"/>
    <w:rsid w:val="00030E84"/>
    <w:rsid w:val="00031E25"/>
    <w:rsid w:val="00032208"/>
    <w:rsid w:val="00032C0A"/>
    <w:rsid w:val="00032DA2"/>
    <w:rsid w:val="00033AE4"/>
    <w:rsid w:val="00035257"/>
    <w:rsid w:val="00035D68"/>
    <w:rsid w:val="00037088"/>
    <w:rsid w:val="0003770B"/>
    <w:rsid w:val="000401BE"/>
    <w:rsid w:val="00041C62"/>
    <w:rsid w:val="00042C0E"/>
    <w:rsid w:val="00042D3D"/>
    <w:rsid w:val="0004396C"/>
    <w:rsid w:val="00043AE1"/>
    <w:rsid w:val="000443A3"/>
    <w:rsid w:val="0004501B"/>
    <w:rsid w:val="0004688C"/>
    <w:rsid w:val="0004725D"/>
    <w:rsid w:val="00047AF9"/>
    <w:rsid w:val="000503FA"/>
    <w:rsid w:val="0005159F"/>
    <w:rsid w:val="00053354"/>
    <w:rsid w:val="00053594"/>
    <w:rsid w:val="00054134"/>
    <w:rsid w:val="000546AD"/>
    <w:rsid w:val="00054B44"/>
    <w:rsid w:val="0005596E"/>
    <w:rsid w:val="00055F9D"/>
    <w:rsid w:val="00056A26"/>
    <w:rsid w:val="00056DB4"/>
    <w:rsid w:val="00061084"/>
    <w:rsid w:val="00061436"/>
    <w:rsid w:val="00061936"/>
    <w:rsid w:val="0006228D"/>
    <w:rsid w:val="00062BDD"/>
    <w:rsid w:val="00062D79"/>
    <w:rsid w:val="00062F07"/>
    <w:rsid w:val="000632CC"/>
    <w:rsid w:val="00064C04"/>
    <w:rsid w:val="00064C0C"/>
    <w:rsid w:val="0006535E"/>
    <w:rsid w:val="00066727"/>
    <w:rsid w:val="00066AB5"/>
    <w:rsid w:val="000705B2"/>
    <w:rsid w:val="00071EE2"/>
    <w:rsid w:val="000727E6"/>
    <w:rsid w:val="00072BD6"/>
    <w:rsid w:val="00073338"/>
    <w:rsid w:val="00073D3A"/>
    <w:rsid w:val="000744A9"/>
    <w:rsid w:val="00075062"/>
    <w:rsid w:val="00075936"/>
    <w:rsid w:val="00075B78"/>
    <w:rsid w:val="000763E9"/>
    <w:rsid w:val="00076877"/>
    <w:rsid w:val="00076D0D"/>
    <w:rsid w:val="000776BF"/>
    <w:rsid w:val="00077889"/>
    <w:rsid w:val="0008194D"/>
    <w:rsid w:val="0008238B"/>
    <w:rsid w:val="00082CD6"/>
    <w:rsid w:val="0008437D"/>
    <w:rsid w:val="0008476A"/>
    <w:rsid w:val="00084E2C"/>
    <w:rsid w:val="00085271"/>
    <w:rsid w:val="000855D4"/>
    <w:rsid w:val="00085AFE"/>
    <w:rsid w:val="00086396"/>
    <w:rsid w:val="000866FC"/>
    <w:rsid w:val="00087A26"/>
    <w:rsid w:val="00087A33"/>
    <w:rsid w:val="00087D39"/>
    <w:rsid w:val="00091691"/>
    <w:rsid w:val="00091C14"/>
    <w:rsid w:val="00092294"/>
    <w:rsid w:val="00092744"/>
    <w:rsid w:val="00092FD8"/>
    <w:rsid w:val="00094800"/>
    <w:rsid w:val="00094A79"/>
    <w:rsid w:val="0009575E"/>
    <w:rsid w:val="00095FDA"/>
    <w:rsid w:val="00097B02"/>
    <w:rsid w:val="00097FE0"/>
    <w:rsid w:val="000A02FE"/>
    <w:rsid w:val="000A23CB"/>
    <w:rsid w:val="000A247B"/>
    <w:rsid w:val="000A3622"/>
    <w:rsid w:val="000A41ED"/>
    <w:rsid w:val="000A59ED"/>
    <w:rsid w:val="000A5C2A"/>
    <w:rsid w:val="000A5C93"/>
    <w:rsid w:val="000A6505"/>
    <w:rsid w:val="000A66B4"/>
    <w:rsid w:val="000A679A"/>
    <w:rsid w:val="000B0730"/>
    <w:rsid w:val="000B0AE1"/>
    <w:rsid w:val="000B15BB"/>
    <w:rsid w:val="000B1649"/>
    <w:rsid w:val="000B17CD"/>
    <w:rsid w:val="000B3264"/>
    <w:rsid w:val="000B4735"/>
    <w:rsid w:val="000B6167"/>
    <w:rsid w:val="000B6725"/>
    <w:rsid w:val="000B6C7C"/>
    <w:rsid w:val="000B6F6E"/>
    <w:rsid w:val="000B701B"/>
    <w:rsid w:val="000B77E9"/>
    <w:rsid w:val="000C004D"/>
    <w:rsid w:val="000C2D5B"/>
    <w:rsid w:val="000C3C82"/>
    <w:rsid w:val="000C478E"/>
    <w:rsid w:val="000C54D4"/>
    <w:rsid w:val="000C5692"/>
    <w:rsid w:val="000C64C6"/>
    <w:rsid w:val="000C65DD"/>
    <w:rsid w:val="000C66F2"/>
    <w:rsid w:val="000C687B"/>
    <w:rsid w:val="000C7041"/>
    <w:rsid w:val="000D0143"/>
    <w:rsid w:val="000D06FE"/>
    <w:rsid w:val="000D19F4"/>
    <w:rsid w:val="000D1CC6"/>
    <w:rsid w:val="000D2471"/>
    <w:rsid w:val="000D3BCD"/>
    <w:rsid w:val="000D4DE1"/>
    <w:rsid w:val="000D58DD"/>
    <w:rsid w:val="000D58EA"/>
    <w:rsid w:val="000D6287"/>
    <w:rsid w:val="000D799A"/>
    <w:rsid w:val="000E0DAA"/>
    <w:rsid w:val="000E0E1C"/>
    <w:rsid w:val="000E2674"/>
    <w:rsid w:val="000E26D2"/>
    <w:rsid w:val="000E3DDE"/>
    <w:rsid w:val="000E4539"/>
    <w:rsid w:val="000E4952"/>
    <w:rsid w:val="000E65D3"/>
    <w:rsid w:val="000E6F79"/>
    <w:rsid w:val="000F2AE2"/>
    <w:rsid w:val="000F2BFF"/>
    <w:rsid w:val="000F38FF"/>
    <w:rsid w:val="000F56F4"/>
    <w:rsid w:val="000F5C09"/>
    <w:rsid w:val="000F6679"/>
    <w:rsid w:val="000F7F7F"/>
    <w:rsid w:val="00100E30"/>
    <w:rsid w:val="001010B0"/>
    <w:rsid w:val="00102063"/>
    <w:rsid w:val="00102074"/>
    <w:rsid w:val="0010295E"/>
    <w:rsid w:val="00103C2E"/>
    <w:rsid w:val="00103FC4"/>
    <w:rsid w:val="0010541C"/>
    <w:rsid w:val="001063F1"/>
    <w:rsid w:val="00106F93"/>
    <w:rsid w:val="001073F7"/>
    <w:rsid w:val="00110463"/>
    <w:rsid w:val="00110572"/>
    <w:rsid w:val="00110B04"/>
    <w:rsid w:val="00111D50"/>
    <w:rsid w:val="00112CDF"/>
    <w:rsid w:val="00113329"/>
    <w:rsid w:val="00113789"/>
    <w:rsid w:val="001139FC"/>
    <w:rsid w:val="00113B8E"/>
    <w:rsid w:val="00114C47"/>
    <w:rsid w:val="00115E29"/>
    <w:rsid w:val="00116059"/>
    <w:rsid w:val="0011659C"/>
    <w:rsid w:val="00116965"/>
    <w:rsid w:val="0012053C"/>
    <w:rsid w:val="0012172B"/>
    <w:rsid w:val="00121AD2"/>
    <w:rsid w:val="00121F58"/>
    <w:rsid w:val="00122363"/>
    <w:rsid w:val="00122428"/>
    <w:rsid w:val="00124753"/>
    <w:rsid w:val="00125489"/>
    <w:rsid w:val="0012551A"/>
    <w:rsid w:val="0012582D"/>
    <w:rsid w:val="00125CA9"/>
    <w:rsid w:val="001262D8"/>
    <w:rsid w:val="001266AA"/>
    <w:rsid w:val="00127186"/>
    <w:rsid w:val="001273AD"/>
    <w:rsid w:val="00130B31"/>
    <w:rsid w:val="001313D2"/>
    <w:rsid w:val="00133996"/>
    <w:rsid w:val="001342C7"/>
    <w:rsid w:val="00134630"/>
    <w:rsid w:val="00134CD9"/>
    <w:rsid w:val="00134E1C"/>
    <w:rsid w:val="0013507A"/>
    <w:rsid w:val="0013585C"/>
    <w:rsid w:val="00135B32"/>
    <w:rsid w:val="00135FF3"/>
    <w:rsid w:val="00136EB9"/>
    <w:rsid w:val="00137BA1"/>
    <w:rsid w:val="00140DB3"/>
    <w:rsid w:val="001421F7"/>
    <w:rsid w:val="00142261"/>
    <w:rsid w:val="00142954"/>
    <w:rsid w:val="00144A06"/>
    <w:rsid w:val="001460E0"/>
    <w:rsid w:val="00146252"/>
    <w:rsid w:val="00146751"/>
    <w:rsid w:val="00146CA8"/>
    <w:rsid w:val="00147039"/>
    <w:rsid w:val="001472F0"/>
    <w:rsid w:val="00147F71"/>
    <w:rsid w:val="0015062B"/>
    <w:rsid w:val="00150A6E"/>
    <w:rsid w:val="00150CC9"/>
    <w:rsid w:val="0015156B"/>
    <w:rsid w:val="00151F8B"/>
    <w:rsid w:val="00152D08"/>
    <w:rsid w:val="00153A11"/>
    <w:rsid w:val="00153E78"/>
    <w:rsid w:val="00154BA1"/>
    <w:rsid w:val="001555B5"/>
    <w:rsid w:val="001557AE"/>
    <w:rsid w:val="00156B87"/>
    <w:rsid w:val="00156F29"/>
    <w:rsid w:val="00157683"/>
    <w:rsid w:val="0016091C"/>
    <w:rsid w:val="0016194E"/>
    <w:rsid w:val="0016304B"/>
    <w:rsid w:val="0016468A"/>
    <w:rsid w:val="00164A3D"/>
    <w:rsid w:val="0016558D"/>
    <w:rsid w:val="00166FA6"/>
    <w:rsid w:val="0017003A"/>
    <w:rsid w:val="00170BF2"/>
    <w:rsid w:val="00171FA5"/>
    <w:rsid w:val="00172194"/>
    <w:rsid w:val="0017416A"/>
    <w:rsid w:val="001744B4"/>
    <w:rsid w:val="0017716F"/>
    <w:rsid w:val="001805BF"/>
    <w:rsid w:val="0018333F"/>
    <w:rsid w:val="00184319"/>
    <w:rsid w:val="0018464E"/>
    <w:rsid w:val="00185540"/>
    <w:rsid w:val="001863D6"/>
    <w:rsid w:val="00186627"/>
    <w:rsid w:val="0018662D"/>
    <w:rsid w:val="00190274"/>
    <w:rsid w:val="00194671"/>
    <w:rsid w:val="0019474A"/>
    <w:rsid w:val="00194B88"/>
    <w:rsid w:val="00194CCD"/>
    <w:rsid w:val="00195032"/>
    <w:rsid w:val="0019529A"/>
    <w:rsid w:val="00195750"/>
    <w:rsid w:val="00196346"/>
    <w:rsid w:val="001963E6"/>
    <w:rsid w:val="00196A9E"/>
    <w:rsid w:val="00197427"/>
    <w:rsid w:val="001A21B4"/>
    <w:rsid w:val="001A4677"/>
    <w:rsid w:val="001A4E82"/>
    <w:rsid w:val="001A5037"/>
    <w:rsid w:val="001A5CF5"/>
    <w:rsid w:val="001A77CA"/>
    <w:rsid w:val="001A7A1E"/>
    <w:rsid w:val="001B36D5"/>
    <w:rsid w:val="001B389B"/>
    <w:rsid w:val="001B39D2"/>
    <w:rsid w:val="001B3A61"/>
    <w:rsid w:val="001B4BF8"/>
    <w:rsid w:val="001B5703"/>
    <w:rsid w:val="001B5E19"/>
    <w:rsid w:val="001B6232"/>
    <w:rsid w:val="001B7B4E"/>
    <w:rsid w:val="001C2040"/>
    <w:rsid w:val="001C2213"/>
    <w:rsid w:val="001C31F5"/>
    <w:rsid w:val="001C37F9"/>
    <w:rsid w:val="001C39CC"/>
    <w:rsid w:val="001C3A03"/>
    <w:rsid w:val="001C3E0F"/>
    <w:rsid w:val="001C4326"/>
    <w:rsid w:val="001C4723"/>
    <w:rsid w:val="001C4DB9"/>
    <w:rsid w:val="001C665E"/>
    <w:rsid w:val="001C6ABB"/>
    <w:rsid w:val="001C6B04"/>
    <w:rsid w:val="001C6E94"/>
    <w:rsid w:val="001C7278"/>
    <w:rsid w:val="001D0358"/>
    <w:rsid w:val="001D178A"/>
    <w:rsid w:val="001D3541"/>
    <w:rsid w:val="001D3BC5"/>
    <w:rsid w:val="001D3E28"/>
    <w:rsid w:val="001D3E4E"/>
    <w:rsid w:val="001D3FEB"/>
    <w:rsid w:val="001D4A90"/>
    <w:rsid w:val="001D603B"/>
    <w:rsid w:val="001D6328"/>
    <w:rsid w:val="001D6AF6"/>
    <w:rsid w:val="001D6F6D"/>
    <w:rsid w:val="001E0AA7"/>
    <w:rsid w:val="001E12C1"/>
    <w:rsid w:val="001E1BDF"/>
    <w:rsid w:val="001E254A"/>
    <w:rsid w:val="001E2BF4"/>
    <w:rsid w:val="001E3AFC"/>
    <w:rsid w:val="001E3FA2"/>
    <w:rsid w:val="001E6769"/>
    <w:rsid w:val="001E7386"/>
    <w:rsid w:val="001F098A"/>
    <w:rsid w:val="001F24FA"/>
    <w:rsid w:val="001F26FC"/>
    <w:rsid w:val="001F288E"/>
    <w:rsid w:val="001F2A38"/>
    <w:rsid w:val="001F45A7"/>
    <w:rsid w:val="001F5FE2"/>
    <w:rsid w:val="001F606C"/>
    <w:rsid w:val="002001A1"/>
    <w:rsid w:val="00200847"/>
    <w:rsid w:val="002016B2"/>
    <w:rsid w:val="00201A01"/>
    <w:rsid w:val="00203CA5"/>
    <w:rsid w:val="00204198"/>
    <w:rsid w:val="00204929"/>
    <w:rsid w:val="00205810"/>
    <w:rsid w:val="002062CF"/>
    <w:rsid w:val="002063BF"/>
    <w:rsid w:val="00206A22"/>
    <w:rsid w:val="002070A4"/>
    <w:rsid w:val="0020754B"/>
    <w:rsid w:val="002100AF"/>
    <w:rsid w:val="0021036E"/>
    <w:rsid w:val="002104D3"/>
    <w:rsid w:val="00210BC8"/>
    <w:rsid w:val="00213A33"/>
    <w:rsid w:val="00213F19"/>
    <w:rsid w:val="002168AF"/>
    <w:rsid w:val="0021763B"/>
    <w:rsid w:val="0022009A"/>
    <w:rsid w:val="00220C1E"/>
    <w:rsid w:val="00221CED"/>
    <w:rsid w:val="002221FD"/>
    <w:rsid w:val="0022247E"/>
    <w:rsid w:val="0022278C"/>
    <w:rsid w:val="00223DE4"/>
    <w:rsid w:val="00224954"/>
    <w:rsid w:val="00224BEA"/>
    <w:rsid w:val="002255C1"/>
    <w:rsid w:val="002259D1"/>
    <w:rsid w:val="0022621A"/>
    <w:rsid w:val="002268D3"/>
    <w:rsid w:val="00226AED"/>
    <w:rsid w:val="00226EC2"/>
    <w:rsid w:val="00226FE2"/>
    <w:rsid w:val="0023286A"/>
    <w:rsid w:val="00232971"/>
    <w:rsid w:val="0023407A"/>
    <w:rsid w:val="0023475D"/>
    <w:rsid w:val="00234980"/>
    <w:rsid w:val="002353CA"/>
    <w:rsid w:val="002355BC"/>
    <w:rsid w:val="00236BD0"/>
    <w:rsid w:val="00237266"/>
    <w:rsid w:val="00240A57"/>
    <w:rsid w:val="0024134F"/>
    <w:rsid w:val="002422D8"/>
    <w:rsid w:val="00243B3F"/>
    <w:rsid w:val="00244930"/>
    <w:rsid w:val="002456F0"/>
    <w:rsid w:val="00246DB1"/>
    <w:rsid w:val="002474DC"/>
    <w:rsid w:val="00247647"/>
    <w:rsid w:val="002476B5"/>
    <w:rsid w:val="002478FF"/>
    <w:rsid w:val="0025006C"/>
    <w:rsid w:val="0025051C"/>
    <w:rsid w:val="002520CC"/>
    <w:rsid w:val="0025379F"/>
    <w:rsid w:val="0025383D"/>
    <w:rsid w:val="002538DB"/>
    <w:rsid w:val="00253ECF"/>
    <w:rsid w:val="002546A1"/>
    <w:rsid w:val="002546F4"/>
    <w:rsid w:val="002550B0"/>
    <w:rsid w:val="00255555"/>
    <w:rsid w:val="00255E70"/>
    <w:rsid w:val="0025780B"/>
    <w:rsid w:val="0026052B"/>
    <w:rsid w:val="00260F25"/>
    <w:rsid w:val="00261436"/>
    <w:rsid w:val="00261B21"/>
    <w:rsid w:val="00261FF4"/>
    <w:rsid w:val="002628F4"/>
    <w:rsid w:val="00262BE6"/>
    <w:rsid w:val="002641FD"/>
    <w:rsid w:val="00264D62"/>
    <w:rsid w:val="00264DA8"/>
    <w:rsid w:val="00265813"/>
    <w:rsid w:val="002659D2"/>
    <w:rsid w:val="00266680"/>
    <w:rsid w:val="00267457"/>
    <w:rsid w:val="00267636"/>
    <w:rsid w:val="00267978"/>
    <w:rsid w:val="00267AAB"/>
    <w:rsid w:val="00267D6A"/>
    <w:rsid w:val="00270DE1"/>
    <w:rsid w:val="0027214A"/>
    <w:rsid w:val="00272237"/>
    <w:rsid w:val="00272E1E"/>
    <w:rsid w:val="00274925"/>
    <w:rsid w:val="00274F9D"/>
    <w:rsid w:val="0027593D"/>
    <w:rsid w:val="00275D08"/>
    <w:rsid w:val="00275DAF"/>
    <w:rsid w:val="0027608C"/>
    <w:rsid w:val="002776EE"/>
    <w:rsid w:val="0028055E"/>
    <w:rsid w:val="00282007"/>
    <w:rsid w:val="0028264D"/>
    <w:rsid w:val="002830A8"/>
    <w:rsid w:val="0028491E"/>
    <w:rsid w:val="002858E3"/>
    <w:rsid w:val="00286A2A"/>
    <w:rsid w:val="0028736E"/>
    <w:rsid w:val="00290BE0"/>
    <w:rsid w:val="00290CDD"/>
    <w:rsid w:val="002911E7"/>
    <w:rsid w:val="002917F3"/>
    <w:rsid w:val="0029190A"/>
    <w:rsid w:val="00292C00"/>
    <w:rsid w:val="00292C5A"/>
    <w:rsid w:val="0029321A"/>
    <w:rsid w:val="00293299"/>
    <w:rsid w:val="002936EB"/>
    <w:rsid w:val="0029428D"/>
    <w:rsid w:val="00294643"/>
    <w:rsid w:val="00295241"/>
    <w:rsid w:val="002961F3"/>
    <w:rsid w:val="00296D56"/>
    <w:rsid w:val="002A09C3"/>
    <w:rsid w:val="002A105D"/>
    <w:rsid w:val="002A2AD7"/>
    <w:rsid w:val="002A3587"/>
    <w:rsid w:val="002A38A0"/>
    <w:rsid w:val="002A4DFC"/>
    <w:rsid w:val="002A6637"/>
    <w:rsid w:val="002A7142"/>
    <w:rsid w:val="002A7A58"/>
    <w:rsid w:val="002B025F"/>
    <w:rsid w:val="002B047D"/>
    <w:rsid w:val="002B0785"/>
    <w:rsid w:val="002B094F"/>
    <w:rsid w:val="002B0A35"/>
    <w:rsid w:val="002B1441"/>
    <w:rsid w:val="002B14F0"/>
    <w:rsid w:val="002B21D8"/>
    <w:rsid w:val="002B3152"/>
    <w:rsid w:val="002B32BD"/>
    <w:rsid w:val="002B44E1"/>
    <w:rsid w:val="002B458A"/>
    <w:rsid w:val="002B4896"/>
    <w:rsid w:val="002B5630"/>
    <w:rsid w:val="002B68B9"/>
    <w:rsid w:val="002B732B"/>
    <w:rsid w:val="002B76A7"/>
    <w:rsid w:val="002C018E"/>
    <w:rsid w:val="002C1C89"/>
    <w:rsid w:val="002C2219"/>
    <w:rsid w:val="002C2552"/>
    <w:rsid w:val="002C380A"/>
    <w:rsid w:val="002C4495"/>
    <w:rsid w:val="002C4A23"/>
    <w:rsid w:val="002C5A77"/>
    <w:rsid w:val="002C5D10"/>
    <w:rsid w:val="002D0489"/>
    <w:rsid w:val="002D0830"/>
    <w:rsid w:val="002D0DF2"/>
    <w:rsid w:val="002D1359"/>
    <w:rsid w:val="002D178B"/>
    <w:rsid w:val="002D193E"/>
    <w:rsid w:val="002D23BD"/>
    <w:rsid w:val="002D2FCA"/>
    <w:rsid w:val="002D3E89"/>
    <w:rsid w:val="002D7053"/>
    <w:rsid w:val="002E0091"/>
    <w:rsid w:val="002E04C8"/>
    <w:rsid w:val="002E056D"/>
    <w:rsid w:val="002E0818"/>
    <w:rsid w:val="002E0B47"/>
    <w:rsid w:val="002E1C2D"/>
    <w:rsid w:val="002E2D4B"/>
    <w:rsid w:val="002E423B"/>
    <w:rsid w:val="002E44B4"/>
    <w:rsid w:val="002E47E5"/>
    <w:rsid w:val="002E4E64"/>
    <w:rsid w:val="002E7502"/>
    <w:rsid w:val="002E7547"/>
    <w:rsid w:val="002F05F4"/>
    <w:rsid w:val="002F26C0"/>
    <w:rsid w:val="002F301D"/>
    <w:rsid w:val="002F3024"/>
    <w:rsid w:val="002F33CD"/>
    <w:rsid w:val="002F407A"/>
    <w:rsid w:val="002F4685"/>
    <w:rsid w:val="002F4A61"/>
    <w:rsid w:val="002F5306"/>
    <w:rsid w:val="002F63BE"/>
    <w:rsid w:val="002F6416"/>
    <w:rsid w:val="002F7213"/>
    <w:rsid w:val="003016BD"/>
    <w:rsid w:val="0030234E"/>
    <w:rsid w:val="00302CFC"/>
    <w:rsid w:val="0030382F"/>
    <w:rsid w:val="0030408D"/>
    <w:rsid w:val="00306059"/>
    <w:rsid w:val="003060E4"/>
    <w:rsid w:val="0030631C"/>
    <w:rsid w:val="00306D08"/>
    <w:rsid w:val="00306E15"/>
    <w:rsid w:val="00307097"/>
    <w:rsid w:val="003076BC"/>
    <w:rsid w:val="003076DD"/>
    <w:rsid w:val="003077B3"/>
    <w:rsid w:val="00307948"/>
    <w:rsid w:val="00310713"/>
    <w:rsid w:val="00310A75"/>
    <w:rsid w:val="00311E5E"/>
    <w:rsid w:val="003121AA"/>
    <w:rsid w:val="00312B51"/>
    <w:rsid w:val="00314319"/>
    <w:rsid w:val="00315D69"/>
    <w:rsid w:val="00315F2E"/>
    <w:rsid w:val="003160E7"/>
    <w:rsid w:val="0031739E"/>
    <w:rsid w:val="00320D20"/>
    <w:rsid w:val="00320E88"/>
    <w:rsid w:val="003215C9"/>
    <w:rsid w:val="00321673"/>
    <w:rsid w:val="0032790B"/>
    <w:rsid w:val="003309CA"/>
    <w:rsid w:val="0033120C"/>
    <w:rsid w:val="003324A7"/>
    <w:rsid w:val="003325AB"/>
    <w:rsid w:val="003332D1"/>
    <w:rsid w:val="0033412B"/>
    <w:rsid w:val="0033775D"/>
    <w:rsid w:val="0034079F"/>
    <w:rsid w:val="00341161"/>
    <w:rsid w:val="003415D4"/>
    <w:rsid w:val="00341E82"/>
    <w:rsid w:val="00342CFC"/>
    <w:rsid w:val="00343365"/>
    <w:rsid w:val="003434E1"/>
    <w:rsid w:val="003445F4"/>
    <w:rsid w:val="00345FED"/>
    <w:rsid w:val="00347B76"/>
    <w:rsid w:val="003517FC"/>
    <w:rsid w:val="00351C70"/>
    <w:rsid w:val="0035245A"/>
    <w:rsid w:val="00353222"/>
    <w:rsid w:val="00353501"/>
    <w:rsid w:val="00353734"/>
    <w:rsid w:val="00353B31"/>
    <w:rsid w:val="00354E95"/>
    <w:rsid w:val="00356386"/>
    <w:rsid w:val="00356A72"/>
    <w:rsid w:val="00357485"/>
    <w:rsid w:val="003606F8"/>
    <w:rsid w:val="00363FBF"/>
    <w:rsid w:val="003644BA"/>
    <w:rsid w:val="003648EF"/>
    <w:rsid w:val="00364E08"/>
    <w:rsid w:val="003650A1"/>
    <w:rsid w:val="00365DCA"/>
    <w:rsid w:val="00365E0A"/>
    <w:rsid w:val="00366DB2"/>
    <w:rsid w:val="003673E6"/>
    <w:rsid w:val="003675B8"/>
    <w:rsid w:val="003677DE"/>
    <w:rsid w:val="00367884"/>
    <w:rsid w:val="0037127B"/>
    <w:rsid w:val="00371F98"/>
    <w:rsid w:val="0037333B"/>
    <w:rsid w:val="003735C2"/>
    <w:rsid w:val="003736AC"/>
    <w:rsid w:val="0037387A"/>
    <w:rsid w:val="0037688D"/>
    <w:rsid w:val="00376F19"/>
    <w:rsid w:val="00377264"/>
    <w:rsid w:val="003779D2"/>
    <w:rsid w:val="0038023D"/>
    <w:rsid w:val="00381D19"/>
    <w:rsid w:val="00382150"/>
    <w:rsid w:val="0038429F"/>
    <w:rsid w:val="0038460B"/>
    <w:rsid w:val="00384F77"/>
    <w:rsid w:val="00384FD3"/>
    <w:rsid w:val="00385BD1"/>
    <w:rsid w:val="00385E38"/>
    <w:rsid w:val="00387C35"/>
    <w:rsid w:val="00391091"/>
    <w:rsid w:val="003932D6"/>
    <w:rsid w:val="003958E3"/>
    <w:rsid w:val="00396EB4"/>
    <w:rsid w:val="00397688"/>
    <w:rsid w:val="003A122D"/>
    <w:rsid w:val="003A1FE3"/>
    <w:rsid w:val="003A263D"/>
    <w:rsid w:val="003A26A5"/>
    <w:rsid w:val="003A3761"/>
    <w:rsid w:val="003A512D"/>
    <w:rsid w:val="003A57B9"/>
    <w:rsid w:val="003A5FEA"/>
    <w:rsid w:val="003B09E2"/>
    <w:rsid w:val="003B0DA9"/>
    <w:rsid w:val="003B1C89"/>
    <w:rsid w:val="003B1D10"/>
    <w:rsid w:val="003B1DFC"/>
    <w:rsid w:val="003B3904"/>
    <w:rsid w:val="003B4329"/>
    <w:rsid w:val="003B5711"/>
    <w:rsid w:val="003B5C31"/>
    <w:rsid w:val="003B6190"/>
    <w:rsid w:val="003C3FC2"/>
    <w:rsid w:val="003C5E55"/>
    <w:rsid w:val="003C65CC"/>
    <w:rsid w:val="003C6907"/>
    <w:rsid w:val="003C6F96"/>
    <w:rsid w:val="003C76D4"/>
    <w:rsid w:val="003C771F"/>
    <w:rsid w:val="003C780E"/>
    <w:rsid w:val="003C79D5"/>
    <w:rsid w:val="003C7C52"/>
    <w:rsid w:val="003C7CC4"/>
    <w:rsid w:val="003D137D"/>
    <w:rsid w:val="003D2CC5"/>
    <w:rsid w:val="003D2D7D"/>
    <w:rsid w:val="003E042A"/>
    <w:rsid w:val="003E04C1"/>
    <w:rsid w:val="003E0887"/>
    <w:rsid w:val="003E0D70"/>
    <w:rsid w:val="003E0F71"/>
    <w:rsid w:val="003E1BD1"/>
    <w:rsid w:val="003E515A"/>
    <w:rsid w:val="003E6033"/>
    <w:rsid w:val="003E68F2"/>
    <w:rsid w:val="003E723E"/>
    <w:rsid w:val="003E74C8"/>
    <w:rsid w:val="003E75ED"/>
    <w:rsid w:val="003E7C46"/>
    <w:rsid w:val="003F085C"/>
    <w:rsid w:val="003F0B9D"/>
    <w:rsid w:val="003F1F60"/>
    <w:rsid w:val="003F2106"/>
    <w:rsid w:val="003F319E"/>
    <w:rsid w:val="003F386F"/>
    <w:rsid w:val="003F3C47"/>
    <w:rsid w:val="003F4C5A"/>
    <w:rsid w:val="003F529C"/>
    <w:rsid w:val="003F52A7"/>
    <w:rsid w:val="003F60A7"/>
    <w:rsid w:val="003F7013"/>
    <w:rsid w:val="003F7344"/>
    <w:rsid w:val="003F734C"/>
    <w:rsid w:val="003F7453"/>
    <w:rsid w:val="004008A8"/>
    <w:rsid w:val="00400A8F"/>
    <w:rsid w:val="004011D7"/>
    <w:rsid w:val="0040240C"/>
    <w:rsid w:val="0040304F"/>
    <w:rsid w:val="00403CEF"/>
    <w:rsid w:val="00403EDD"/>
    <w:rsid w:val="0041112A"/>
    <w:rsid w:val="00412528"/>
    <w:rsid w:val="00413021"/>
    <w:rsid w:val="00413D2A"/>
    <w:rsid w:val="0041610F"/>
    <w:rsid w:val="0041711B"/>
    <w:rsid w:val="00420885"/>
    <w:rsid w:val="0042088D"/>
    <w:rsid w:val="00420FC6"/>
    <w:rsid w:val="00421498"/>
    <w:rsid w:val="004217C9"/>
    <w:rsid w:val="0042224C"/>
    <w:rsid w:val="00422F2C"/>
    <w:rsid w:val="00424BB0"/>
    <w:rsid w:val="00424F9E"/>
    <w:rsid w:val="00425F0C"/>
    <w:rsid w:val="00426AF6"/>
    <w:rsid w:val="004270BE"/>
    <w:rsid w:val="00427E66"/>
    <w:rsid w:val="004301C6"/>
    <w:rsid w:val="00430644"/>
    <w:rsid w:val="00430A71"/>
    <w:rsid w:val="00430BE3"/>
    <w:rsid w:val="004317D9"/>
    <w:rsid w:val="00432BBC"/>
    <w:rsid w:val="004333AE"/>
    <w:rsid w:val="00434393"/>
    <w:rsid w:val="0043478F"/>
    <w:rsid w:val="00434DAE"/>
    <w:rsid w:val="00435824"/>
    <w:rsid w:val="0043602B"/>
    <w:rsid w:val="004367BC"/>
    <w:rsid w:val="00440270"/>
    <w:rsid w:val="004405CE"/>
    <w:rsid w:val="00440BE0"/>
    <w:rsid w:val="00440CD9"/>
    <w:rsid w:val="004417B6"/>
    <w:rsid w:val="00441F90"/>
    <w:rsid w:val="00442C1C"/>
    <w:rsid w:val="0044357D"/>
    <w:rsid w:val="00444105"/>
    <w:rsid w:val="0044584B"/>
    <w:rsid w:val="00445C19"/>
    <w:rsid w:val="00446787"/>
    <w:rsid w:val="004473A9"/>
    <w:rsid w:val="00447CB7"/>
    <w:rsid w:val="004507D0"/>
    <w:rsid w:val="00450E71"/>
    <w:rsid w:val="004525CB"/>
    <w:rsid w:val="00452767"/>
    <w:rsid w:val="0045277F"/>
    <w:rsid w:val="00452AA7"/>
    <w:rsid w:val="00452C1C"/>
    <w:rsid w:val="004530E4"/>
    <w:rsid w:val="00453864"/>
    <w:rsid w:val="00453B88"/>
    <w:rsid w:val="00453EC0"/>
    <w:rsid w:val="00453FEC"/>
    <w:rsid w:val="00454169"/>
    <w:rsid w:val="00454C84"/>
    <w:rsid w:val="00455175"/>
    <w:rsid w:val="00455CC9"/>
    <w:rsid w:val="0045617A"/>
    <w:rsid w:val="004569F7"/>
    <w:rsid w:val="00456DFE"/>
    <w:rsid w:val="00457CAC"/>
    <w:rsid w:val="00460826"/>
    <w:rsid w:val="00460EA7"/>
    <w:rsid w:val="004618B8"/>
    <w:rsid w:val="0046195B"/>
    <w:rsid w:val="00461970"/>
    <w:rsid w:val="004634DA"/>
    <w:rsid w:val="0046362D"/>
    <w:rsid w:val="004645F7"/>
    <w:rsid w:val="00464F6B"/>
    <w:rsid w:val="004650B7"/>
    <w:rsid w:val="0046596D"/>
    <w:rsid w:val="0046699E"/>
    <w:rsid w:val="00470268"/>
    <w:rsid w:val="004709C2"/>
    <w:rsid w:val="00471F1D"/>
    <w:rsid w:val="00472D50"/>
    <w:rsid w:val="004733DF"/>
    <w:rsid w:val="004751AA"/>
    <w:rsid w:val="0047623E"/>
    <w:rsid w:val="004825BB"/>
    <w:rsid w:val="00484D62"/>
    <w:rsid w:val="00485A03"/>
    <w:rsid w:val="00485C3F"/>
    <w:rsid w:val="004864D3"/>
    <w:rsid w:val="00486667"/>
    <w:rsid w:val="00486740"/>
    <w:rsid w:val="00486971"/>
    <w:rsid w:val="00486A79"/>
    <w:rsid w:val="00487C04"/>
    <w:rsid w:val="004907E1"/>
    <w:rsid w:val="004915AD"/>
    <w:rsid w:val="00492049"/>
    <w:rsid w:val="004927EF"/>
    <w:rsid w:val="00492D78"/>
    <w:rsid w:val="004943DD"/>
    <w:rsid w:val="00494610"/>
    <w:rsid w:val="0049546E"/>
    <w:rsid w:val="004956B2"/>
    <w:rsid w:val="0049715C"/>
    <w:rsid w:val="00497A34"/>
    <w:rsid w:val="004A035B"/>
    <w:rsid w:val="004A0528"/>
    <w:rsid w:val="004A0A53"/>
    <w:rsid w:val="004A0B6E"/>
    <w:rsid w:val="004A1565"/>
    <w:rsid w:val="004A2108"/>
    <w:rsid w:val="004A337E"/>
    <w:rsid w:val="004A38D7"/>
    <w:rsid w:val="004A5328"/>
    <w:rsid w:val="004A65BF"/>
    <w:rsid w:val="004A778C"/>
    <w:rsid w:val="004B1C36"/>
    <w:rsid w:val="004B2709"/>
    <w:rsid w:val="004B29B4"/>
    <w:rsid w:val="004B2CE6"/>
    <w:rsid w:val="004B3A87"/>
    <w:rsid w:val="004B4248"/>
    <w:rsid w:val="004B48C7"/>
    <w:rsid w:val="004B7C6B"/>
    <w:rsid w:val="004C1DD8"/>
    <w:rsid w:val="004C2C7C"/>
    <w:rsid w:val="004C2E6A"/>
    <w:rsid w:val="004C397F"/>
    <w:rsid w:val="004C4BE8"/>
    <w:rsid w:val="004C520B"/>
    <w:rsid w:val="004C64B8"/>
    <w:rsid w:val="004C7B6C"/>
    <w:rsid w:val="004D1BA4"/>
    <w:rsid w:val="004D2A2D"/>
    <w:rsid w:val="004D4165"/>
    <w:rsid w:val="004D479F"/>
    <w:rsid w:val="004D48EB"/>
    <w:rsid w:val="004D6689"/>
    <w:rsid w:val="004D6D00"/>
    <w:rsid w:val="004D7B12"/>
    <w:rsid w:val="004E12CF"/>
    <w:rsid w:val="004E1D1D"/>
    <w:rsid w:val="004E3935"/>
    <w:rsid w:val="004E4A13"/>
    <w:rsid w:val="004E50B3"/>
    <w:rsid w:val="004E5E40"/>
    <w:rsid w:val="004E717B"/>
    <w:rsid w:val="004E7AC8"/>
    <w:rsid w:val="004F0872"/>
    <w:rsid w:val="004F09C1"/>
    <w:rsid w:val="004F0C94"/>
    <w:rsid w:val="004F1289"/>
    <w:rsid w:val="004F1DB0"/>
    <w:rsid w:val="004F2C6C"/>
    <w:rsid w:val="004F4E2E"/>
    <w:rsid w:val="004F6D6B"/>
    <w:rsid w:val="005002DD"/>
    <w:rsid w:val="00501011"/>
    <w:rsid w:val="0050139A"/>
    <w:rsid w:val="005019AE"/>
    <w:rsid w:val="005021EF"/>
    <w:rsid w:val="005029A7"/>
    <w:rsid w:val="00503749"/>
    <w:rsid w:val="00503D4E"/>
    <w:rsid w:val="00504269"/>
    <w:rsid w:val="005043D3"/>
    <w:rsid w:val="005049A8"/>
    <w:rsid w:val="00504CF4"/>
    <w:rsid w:val="00504E1D"/>
    <w:rsid w:val="005051AE"/>
    <w:rsid w:val="0050635B"/>
    <w:rsid w:val="0050659E"/>
    <w:rsid w:val="00507090"/>
    <w:rsid w:val="005071EC"/>
    <w:rsid w:val="00513C81"/>
    <w:rsid w:val="00514CC0"/>
    <w:rsid w:val="005151C2"/>
    <w:rsid w:val="00517395"/>
    <w:rsid w:val="00522C2E"/>
    <w:rsid w:val="00522FF2"/>
    <w:rsid w:val="005234B8"/>
    <w:rsid w:val="00524B15"/>
    <w:rsid w:val="0052573F"/>
    <w:rsid w:val="00527B0E"/>
    <w:rsid w:val="00527DE2"/>
    <w:rsid w:val="00527EB0"/>
    <w:rsid w:val="005303E2"/>
    <w:rsid w:val="00531152"/>
    <w:rsid w:val="0053199F"/>
    <w:rsid w:val="00531E12"/>
    <w:rsid w:val="00531FDE"/>
    <w:rsid w:val="005320F8"/>
    <w:rsid w:val="00532723"/>
    <w:rsid w:val="00533B90"/>
    <w:rsid w:val="00534304"/>
    <w:rsid w:val="005346DD"/>
    <w:rsid w:val="00537290"/>
    <w:rsid w:val="0054073A"/>
    <w:rsid w:val="005410F8"/>
    <w:rsid w:val="0054280D"/>
    <w:rsid w:val="005448EC"/>
    <w:rsid w:val="00545963"/>
    <w:rsid w:val="0054638D"/>
    <w:rsid w:val="00547DC9"/>
    <w:rsid w:val="00550256"/>
    <w:rsid w:val="005502B3"/>
    <w:rsid w:val="00551FBB"/>
    <w:rsid w:val="00552CE8"/>
    <w:rsid w:val="00553165"/>
    <w:rsid w:val="00553958"/>
    <w:rsid w:val="00553F80"/>
    <w:rsid w:val="005547D4"/>
    <w:rsid w:val="00554A8E"/>
    <w:rsid w:val="00554C3C"/>
    <w:rsid w:val="005565C3"/>
    <w:rsid w:val="00556945"/>
    <w:rsid w:val="00556BB7"/>
    <w:rsid w:val="005571A7"/>
    <w:rsid w:val="0055763D"/>
    <w:rsid w:val="00557755"/>
    <w:rsid w:val="00557E6C"/>
    <w:rsid w:val="00560AD0"/>
    <w:rsid w:val="00561516"/>
    <w:rsid w:val="005621F2"/>
    <w:rsid w:val="00562D53"/>
    <w:rsid w:val="00563789"/>
    <w:rsid w:val="00564B5B"/>
    <w:rsid w:val="00565836"/>
    <w:rsid w:val="005665FD"/>
    <w:rsid w:val="005668E3"/>
    <w:rsid w:val="00567B58"/>
    <w:rsid w:val="0057088B"/>
    <w:rsid w:val="00571223"/>
    <w:rsid w:val="005718AC"/>
    <w:rsid w:val="00572B28"/>
    <w:rsid w:val="00574BDA"/>
    <w:rsid w:val="00575370"/>
    <w:rsid w:val="005763E0"/>
    <w:rsid w:val="00580444"/>
    <w:rsid w:val="00581136"/>
    <w:rsid w:val="0058178D"/>
    <w:rsid w:val="00581EB8"/>
    <w:rsid w:val="0058321D"/>
    <w:rsid w:val="00586F10"/>
    <w:rsid w:val="005911D8"/>
    <w:rsid w:val="00592379"/>
    <w:rsid w:val="00592996"/>
    <w:rsid w:val="00595489"/>
    <w:rsid w:val="00595BED"/>
    <w:rsid w:val="00596AA9"/>
    <w:rsid w:val="00596C13"/>
    <w:rsid w:val="005A0A81"/>
    <w:rsid w:val="005A13D3"/>
    <w:rsid w:val="005A1412"/>
    <w:rsid w:val="005A1942"/>
    <w:rsid w:val="005A27CA"/>
    <w:rsid w:val="005A43BD"/>
    <w:rsid w:val="005A4D2A"/>
    <w:rsid w:val="005A4F33"/>
    <w:rsid w:val="005A6130"/>
    <w:rsid w:val="005A63AC"/>
    <w:rsid w:val="005A7110"/>
    <w:rsid w:val="005A79E5"/>
    <w:rsid w:val="005B1B0B"/>
    <w:rsid w:val="005B24F0"/>
    <w:rsid w:val="005B2D1A"/>
    <w:rsid w:val="005B3339"/>
    <w:rsid w:val="005B354F"/>
    <w:rsid w:val="005B4211"/>
    <w:rsid w:val="005B66AF"/>
    <w:rsid w:val="005C0189"/>
    <w:rsid w:val="005C1C92"/>
    <w:rsid w:val="005C1F14"/>
    <w:rsid w:val="005C329E"/>
    <w:rsid w:val="005C394E"/>
    <w:rsid w:val="005C42BC"/>
    <w:rsid w:val="005C5D0D"/>
    <w:rsid w:val="005C61B4"/>
    <w:rsid w:val="005C7B43"/>
    <w:rsid w:val="005C7EA7"/>
    <w:rsid w:val="005D0336"/>
    <w:rsid w:val="005D034C"/>
    <w:rsid w:val="005D092E"/>
    <w:rsid w:val="005D0EF2"/>
    <w:rsid w:val="005D1272"/>
    <w:rsid w:val="005D2247"/>
    <w:rsid w:val="005D2604"/>
    <w:rsid w:val="005D30EB"/>
    <w:rsid w:val="005D3D86"/>
    <w:rsid w:val="005D6840"/>
    <w:rsid w:val="005D74B1"/>
    <w:rsid w:val="005D7FD1"/>
    <w:rsid w:val="005E0032"/>
    <w:rsid w:val="005E0B1E"/>
    <w:rsid w:val="005E0ED4"/>
    <w:rsid w:val="005E1D22"/>
    <w:rsid w:val="005E1FEB"/>
    <w:rsid w:val="005E226E"/>
    <w:rsid w:val="005E2492"/>
    <w:rsid w:val="005E2493"/>
    <w:rsid w:val="005E2621"/>
    <w:rsid w:val="005E2629"/>
    <w:rsid w:val="005E2636"/>
    <w:rsid w:val="005E3FB8"/>
    <w:rsid w:val="005E6FF6"/>
    <w:rsid w:val="005E766E"/>
    <w:rsid w:val="005F057E"/>
    <w:rsid w:val="005F0891"/>
    <w:rsid w:val="005F1211"/>
    <w:rsid w:val="005F1329"/>
    <w:rsid w:val="005F2553"/>
    <w:rsid w:val="005F2D8C"/>
    <w:rsid w:val="005F38D0"/>
    <w:rsid w:val="005F465B"/>
    <w:rsid w:val="005F77FC"/>
    <w:rsid w:val="0060039C"/>
    <w:rsid w:val="006015D7"/>
    <w:rsid w:val="006016A7"/>
    <w:rsid w:val="006016E7"/>
    <w:rsid w:val="00601B21"/>
    <w:rsid w:val="00602200"/>
    <w:rsid w:val="006035E0"/>
    <w:rsid w:val="006041F0"/>
    <w:rsid w:val="006047F0"/>
    <w:rsid w:val="00604B8D"/>
    <w:rsid w:val="00605C6D"/>
    <w:rsid w:val="0060797C"/>
    <w:rsid w:val="00611DA1"/>
    <w:rsid w:val="006120CA"/>
    <w:rsid w:val="00614553"/>
    <w:rsid w:val="00615104"/>
    <w:rsid w:val="00617037"/>
    <w:rsid w:val="00617473"/>
    <w:rsid w:val="0061784A"/>
    <w:rsid w:val="00617E3C"/>
    <w:rsid w:val="0062061D"/>
    <w:rsid w:val="006208F9"/>
    <w:rsid w:val="00620A07"/>
    <w:rsid w:val="00621241"/>
    <w:rsid w:val="00621257"/>
    <w:rsid w:val="00622D6D"/>
    <w:rsid w:val="006236B9"/>
    <w:rsid w:val="00624174"/>
    <w:rsid w:val="00624A97"/>
    <w:rsid w:val="00624D85"/>
    <w:rsid w:val="00625736"/>
    <w:rsid w:val="00625FA3"/>
    <w:rsid w:val="00626886"/>
    <w:rsid w:val="00626CF8"/>
    <w:rsid w:val="00630293"/>
    <w:rsid w:val="006303D5"/>
    <w:rsid w:val="006312C3"/>
    <w:rsid w:val="006314AF"/>
    <w:rsid w:val="006328D9"/>
    <w:rsid w:val="00634573"/>
    <w:rsid w:val="00634ED8"/>
    <w:rsid w:val="0063527D"/>
    <w:rsid w:val="0063532F"/>
    <w:rsid w:val="00636246"/>
    <w:rsid w:val="00636844"/>
    <w:rsid w:val="00636D7D"/>
    <w:rsid w:val="00637408"/>
    <w:rsid w:val="00640C0A"/>
    <w:rsid w:val="00642868"/>
    <w:rsid w:val="006442D7"/>
    <w:rsid w:val="00644591"/>
    <w:rsid w:val="006449BE"/>
    <w:rsid w:val="00644F3A"/>
    <w:rsid w:val="00646372"/>
    <w:rsid w:val="00646C7D"/>
    <w:rsid w:val="00646CEC"/>
    <w:rsid w:val="00646EFC"/>
    <w:rsid w:val="00647AFE"/>
    <w:rsid w:val="006512BC"/>
    <w:rsid w:val="00651CC6"/>
    <w:rsid w:val="00653754"/>
    <w:rsid w:val="00653A5A"/>
    <w:rsid w:val="00655056"/>
    <w:rsid w:val="006554AC"/>
    <w:rsid w:val="006555EF"/>
    <w:rsid w:val="006559DA"/>
    <w:rsid w:val="00656679"/>
    <w:rsid w:val="006575A3"/>
    <w:rsid w:val="006575F4"/>
    <w:rsid w:val="006579E6"/>
    <w:rsid w:val="00657F64"/>
    <w:rsid w:val="0066056C"/>
    <w:rsid w:val="00660682"/>
    <w:rsid w:val="006607F9"/>
    <w:rsid w:val="00660F74"/>
    <w:rsid w:val="00661C39"/>
    <w:rsid w:val="00662166"/>
    <w:rsid w:val="0066386E"/>
    <w:rsid w:val="00663915"/>
    <w:rsid w:val="00663EDC"/>
    <w:rsid w:val="00665581"/>
    <w:rsid w:val="00665B9F"/>
    <w:rsid w:val="00665F04"/>
    <w:rsid w:val="00667228"/>
    <w:rsid w:val="0066799A"/>
    <w:rsid w:val="00667E20"/>
    <w:rsid w:val="00667EA0"/>
    <w:rsid w:val="00671078"/>
    <w:rsid w:val="00671FAA"/>
    <w:rsid w:val="00672242"/>
    <w:rsid w:val="00673C2D"/>
    <w:rsid w:val="0067436C"/>
    <w:rsid w:val="00674666"/>
    <w:rsid w:val="006749EA"/>
    <w:rsid w:val="0067534C"/>
    <w:rsid w:val="00675456"/>
    <w:rsid w:val="006754E2"/>
    <w:rsid w:val="006758CA"/>
    <w:rsid w:val="00675903"/>
    <w:rsid w:val="00677100"/>
    <w:rsid w:val="0067720E"/>
    <w:rsid w:val="00680A04"/>
    <w:rsid w:val="006811B7"/>
    <w:rsid w:val="00681252"/>
    <w:rsid w:val="006855E9"/>
    <w:rsid w:val="00686D80"/>
    <w:rsid w:val="0068718F"/>
    <w:rsid w:val="00691011"/>
    <w:rsid w:val="00693492"/>
    <w:rsid w:val="00693FE2"/>
    <w:rsid w:val="00694816"/>
    <w:rsid w:val="00694895"/>
    <w:rsid w:val="00697400"/>
    <w:rsid w:val="00697E2E"/>
    <w:rsid w:val="006A02E9"/>
    <w:rsid w:val="006A0929"/>
    <w:rsid w:val="006A23B2"/>
    <w:rsid w:val="006A25A2"/>
    <w:rsid w:val="006A3733"/>
    <w:rsid w:val="006A3B00"/>
    <w:rsid w:val="006A3B87"/>
    <w:rsid w:val="006A475B"/>
    <w:rsid w:val="006A55A3"/>
    <w:rsid w:val="006A5D5B"/>
    <w:rsid w:val="006A66F5"/>
    <w:rsid w:val="006A6AFA"/>
    <w:rsid w:val="006A74B9"/>
    <w:rsid w:val="006A75F9"/>
    <w:rsid w:val="006A78D1"/>
    <w:rsid w:val="006A7A1C"/>
    <w:rsid w:val="006B0E73"/>
    <w:rsid w:val="006B1E3D"/>
    <w:rsid w:val="006B1FE8"/>
    <w:rsid w:val="006B3C9C"/>
    <w:rsid w:val="006B3E89"/>
    <w:rsid w:val="006B484E"/>
    <w:rsid w:val="006B4A4D"/>
    <w:rsid w:val="006B5695"/>
    <w:rsid w:val="006B5BB5"/>
    <w:rsid w:val="006B691E"/>
    <w:rsid w:val="006B7615"/>
    <w:rsid w:val="006B7B2E"/>
    <w:rsid w:val="006B7ED8"/>
    <w:rsid w:val="006C09E5"/>
    <w:rsid w:val="006C1F66"/>
    <w:rsid w:val="006C288D"/>
    <w:rsid w:val="006C645C"/>
    <w:rsid w:val="006C78EB"/>
    <w:rsid w:val="006D03B1"/>
    <w:rsid w:val="006D0E6B"/>
    <w:rsid w:val="006D1660"/>
    <w:rsid w:val="006D1A8B"/>
    <w:rsid w:val="006D35FA"/>
    <w:rsid w:val="006D4825"/>
    <w:rsid w:val="006D4A97"/>
    <w:rsid w:val="006D56B2"/>
    <w:rsid w:val="006D5A1A"/>
    <w:rsid w:val="006D5CFA"/>
    <w:rsid w:val="006D63E5"/>
    <w:rsid w:val="006D6528"/>
    <w:rsid w:val="006D66C6"/>
    <w:rsid w:val="006E0067"/>
    <w:rsid w:val="006E0DA4"/>
    <w:rsid w:val="006E1753"/>
    <w:rsid w:val="006E1852"/>
    <w:rsid w:val="006E3363"/>
    <w:rsid w:val="006E3801"/>
    <w:rsid w:val="006E3911"/>
    <w:rsid w:val="006E3BA2"/>
    <w:rsid w:val="006E3C46"/>
    <w:rsid w:val="006E4107"/>
    <w:rsid w:val="006E468A"/>
    <w:rsid w:val="006E56F0"/>
    <w:rsid w:val="006E69C3"/>
    <w:rsid w:val="006E6B90"/>
    <w:rsid w:val="006E75A2"/>
    <w:rsid w:val="006F06AB"/>
    <w:rsid w:val="006F1B67"/>
    <w:rsid w:val="006F2797"/>
    <w:rsid w:val="006F3AE4"/>
    <w:rsid w:val="006F3F34"/>
    <w:rsid w:val="006F4D9C"/>
    <w:rsid w:val="006F5140"/>
    <w:rsid w:val="006F56A4"/>
    <w:rsid w:val="006F79DA"/>
    <w:rsid w:val="006F7F62"/>
    <w:rsid w:val="0070091D"/>
    <w:rsid w:val="00700A47"/>
    <w:rsid w:val="00700E91"/>
    <w:rsid w:val="00702854"/>
    <w:rsid w:val="00703618"/>
    <w:rsid w:val="00703FDC"/>
    <w:rsid w:val="007041FD"/>
    <w:rsid w:val="007046BA"/>
    <w:rsid w:val="00707DE2"/>
    <w:rsid w:val="00712139"/>
    <w:rsid w:val="0071293D"/>
    <w:rsid w:val="0071395E"/>
    <w:rsid w:val="00713EF6"/>
    <w:rsid w:val="00714D47"/>
    <w:rsid w:val="00715074"/>
    <w:rsid w:val="00715EFE"/>
    <w:rsid w:val="00715F3F"/>
    <w:rsid w:val="00716097"/>
    <w:rsid w:val="00716ADD"/>
    <w:rsid w:val="0071736A"/>
    <w:rsid w:val="0071741C"/>
    <w:rsid w:val="007201AA"/>
    <w:rsid w:val="0072053D"/>
    <w:rsid w:val="00721008"/>
    <w:rsid w:val="00721BC1"/>
    <w:rsid w:val="00721DAE"/>
    <w:rsid w:val="00723994"/>
    <w:rsid w:val="007254F9"/>
    <w:rsid w:val="007261D7"/>
    <w:rsid w:val="00726D39"/>
    <w:rsid w:val="00730BA9"/>
    <w:rsid w:val="00734321"/>
    <w:rsid w:val="00734354"/>
    <w:rsid w:val="00734476"/>
    <w:rsid w:val="007347C6"/>
    <w:rsid w:val="0073713B"/>
    <w:rsid w:val="00740699"/>
    <w:rsid w:val="00740E3B"/>
    <w:rsid w:val="00740E62"/>
    <w:rsid w:val="00741D22"/>
    <w:rsid w:val="007423C3"/>
    <w:rsid w:val="0074246E"/>
    <w:rsid w:val="00742B90"/>
    <w:rsid w:val="007440E0"/>
    <w:rsid w:val="0074434D"/>
    <w:rsid w:val="00744793"/>
    <w:rsid w:val="0074676B"/>
    <w:rsid w:val="00747F84"/>
    <w:rsid w:val="007514FA"/>
    <w:rsid w:val="00752F17"/>
    <w:rsid w:val="0075338D"/>
    <w:rsid w:val="007533BF"/>
    <w:rsid w:val="007549CF"/>
    <w:rsid w:val="007568E5"/>
    <w:rsid w:val="007570C4"/>
    <w:rsid w:val="007605B8"/>
    <w:rsid w:val="0076107E"/>
    <w:rsid w:val="00761C53"/>
    <w:rsid w:val="0076607F"/>
    <w:rsid w:val="00766A98"/>
    <w:rsid w:val="00767C38"/>
    <w:rsid w:val="00770292"/>
    <w:rsid w:val="007708F2"/>
    <w:rsid w:val="007709A0"/>
    <w:rsid w:val="007709F1"/>
    <w:rsid w:val="007718FA"/>
    <w:rsid w:val="00771B1E"/>
    <w:rsid w:val="007726B9"/>
    <w:rsid w:val="00772B13"/>
    <w:rsid w:val="00772F9F"/>
    <w:rsid w:val="00773C95"/>
    <w:rsid w:val="00773D74"/>
    <w:rsid w:val="00773D9D"/>
    <w:rsid w:val="00774568"/>
    <w:rsid w:val="007757A4"/>
    <w:rsid w:val="00776831"/>
    <w:rsid w:val="00776890"/>
    <w:rsid w:val="007774A7"/>
    <w:rsid w:val="00777B84"/>
    <w:rsid w:val="0078171E"/>
    <w:rsid w:val="0078292F"/>
    <w:rsid w:val="007830EA"/>
    <w:rsid w:val="00784A8B"/>
    <w:rsid w:val="007850BE"/>
    <w:rsid w:val="00785F41"/>
    <w:rsid w:val="0078658E"/>
    <w:rsid w:val="00790544"/>
    <w:rsid w:val="0079157F"/>
    <w:rsid w:val="00791598"/>
    <w:rsid w:val="0079160E"/>
    <w:rsid w:val="007918CF"/>
    <w:rsid w:val="00791E77"/>
    <w:rsid w:val="007920E2"/>
    <w:rsid w:val="00792D7B"/>
    <w:rsid w:val="00793C4D"/>
    <w:rsid w:val="00794857"/>
    <w:rsid w:val="00794F43"/>
    <w:rsid w:val="007951FF"/>
    <w:rsid w:val="0079566E"/>
    <w:rsid w:val="00795B34"/>
    <w:rsid w:val="00796106"/>
    <w:rsid w:val="007A00F8"/>
    <w:rsid w:val="007A067F"/>
    <w:rsid w:val="007A0977"/>
    <w:rsid w:val="007A0A18"/>
    <w:rsid w:val="007A139B"/>
    <w:rsid w:val="007A1612"/>
    <w:rsid w:val="007A2A51"/>
    <w:rsid w:val="007A2F43"/>
    <w:rsid w:val="007A30E8"/>
    <w:rsid w:val="007A4475"/>
    <w:rsid w:val="007A50F6"/>
    <w:rsid w:val="007A6655"/>
    <w:rsid w:val="007A6CED"/>
    <w:rsid w:val="007A75B4"/>
    <w:rsid w:val="007B09E7"/>
    <w:rsid w:val="007B1770"/>
    <w:rsid w:val="007B2B2E"/>
    <w:rsid w:val="007B3089"/>
    <w:rsid w:val="007B3379"/>
    <w:rsid w:val="007B3753"/>
    <w:rsid w:val="007B46A8"/>
    <w:rsid w:val="007B4BA2"/>
    <w:rsid w:val="007B4D3E"/>
    <w:rsid w:val="007B53AE"/>
    <w:rsid w:val="007B59A0"/>
    <w:rsid w:val="007B59A4"/>
    <w:rsid w:val="007B60FA"/>
    <w:rsid w:val="007B68C3"/>
    <w:rsid w:val="007B6C08"/>
    <w:rsid w:val="007B7895"/>
    <w:rsid w:val="007B7C70"/>
    <w:rsid w:val="007B7DC1"/>
    <w:rsid w:val="007B7DEB"/>
    <w:rsid w:val="007C0449"/>
    <w:rsid w:val="007C05C6"/>
    <w:rsid w:val="007C0E2E"/>
    <w:rsid w:val="007C1610"/>
    <w:rsid w:val="007C3DD4"/>
    <w:rsid w:val="007C4F96"/>
    <w:rsid w:val="007C64CF"/>
    <w:rsid w:val="007C6850"/>
    <w:rsid w:val="007C6A7D"/>
    <w:rsid w:val="007C736E"/>
    <w:rsid w:val="007C7C7B"/>
    <w:rsid w:val="007C7D46"/>
    <w:rsid w:val="007D0688"/>
    <w:rsid w:val="007D069E"/>
    <w:rsid w:val="007D0A71"/>
    <w:rsid w:val="007D0EF6"/>
    <w:rsid w:val="007D15F5"/>
    <w:rsid w:val="007D2151"/>
    <w:rsid w:val="007D2508"/>
    <w:rsid w:val="007D36D6"/>
    <w:rsid w:val="007D3B90"/>
    <w:rsid w:val="007D42CC"/>
    <w:rsid w:val="007D4563"/>
    <w:rsid w:val="007D54CE"/>
    <w:rsid w:val="007D5DE4"/>
    <w:rsid w:val="007D6174"/>
    <w:rsid w:val="007D7C3A"/>
    <w:rsid w:val="007E0777"/>
    <w:rsid w:val="007E0A4B"/>
    <w:rsid w:val="007E0B08"/>
    <w:rsid w:val="007E1341"/>
    <w:rsid w:val="007E1B41"/>
    <w:rsid w:val="007E1EC4"/>
    <w:rsid w:val="007E2AA5"/>
    <w:rsid w:val="007E30B9"/>
    <w:rsid w:val="007E4A6C"/>
    <w:rsid w:val="007E59C1"/>
    <w:rsid w:val="007E5A0A"/>
    <w:rsid w:val="007E5A12"/>
    <w:rsid w:val="007E6001"/>
    <w:rsid w:val="007E66DE"/>
    <w:rsid w:val="007E6D7D"/>
    <w:rsid w:val="007E74F1"/>
    <w:rsid w:val="007E7A9B"/>
    <w:rsid w:val="007F0F0C"/>
    <w:rsid w:val="007F1288"/>
    <w:rsid w:val="007F1FAC"/>
    <w:rsid w:val="007F2B10"/>
    <w:rsid w:val="007F45AA"/>
    <w:rsid w:val="0080018F"/>
    <w:rsid w:val="00800A8A"/>
    <w:rsid w:val="00800C1B"/>
    <w:rsid w:val="0080155C"/>
    <w:rsid w:val="00801A50"/>
    <w:rsid w:val="00801B78"/>
    <w:rsid w:val="008052E1"/>
    <w:rsid w:val="0080753E"/>
    <w:rsid w:val="00807913"/>
    <w:rsid w:val="00810AF5"/>
    <w:rsid w:val="0081109A"/>
    <w:rsid w:val="0081192B"/>
    <w:rsid w:val="00811966"/>
    <w:rsid w:val="00812DCA"/>
    <w:rsid w:val="00813E8F"/>
    <w:rsid w:val="0081438D"/>
    <w:rsid w:val="00814A0E"/>
    <w:rsid w:val="00815017"/>
    <w:rsid w:val="00816B64"/>
    <w:rsid w:val="00820B4C"/>
    <w:rsid w:val="00822834"/>
    <w:rsid w:val="00822F2C"/>
    <w:rsid w:val="00823DEE"/>
    <w:rsid w:val="00824139"/>
    <w:rsid w:val="00824162"/>
    <w:rsid w:val="00824FDF"/>
    <w:rsid w:val="00825347"/>
    <w:rsid w:val="0082536E"/>
    <w:rsid w:val="0082759F"/>
    <w:rsid w:val="008305E8"/>
    <w:rsid w:val="00830C3F"/>
    <w:rsid w:val="00830F66"/>
    <w:rsid w:val="00832488"/>
    <w:rsid w:val="00832AF1"/>
    <w:rsid w:val="0083330F"/>
    <w:rsid w:val="00835945"/>
    <w:rsid w:val="00836165"/>
    <w:rsid w:val="00837B38"/>
    <w:rsid w:val="00840FF0"/>
    <w:rsid w:val="00841411"/>
    <w:rsid w:val="00842F35"/>
    <w:rsid w:val="008430DB"/>
    <w:rsid w:val="008435E2"/>
    <w:rsid w:val="008448DE"/>
    <w:rsid w:val="00844C6E"/>
    <w:rsid w:val="00844E4A"/>
    <w:rsid w:val="00845E21"/>
    <w:rsid w:val="0084640C"/>
    <w:rsid w:val="008473B2"/>
    <w:rsid w:val="00850300"/>
    <w:rsid w:val="00850DF6"/>
    <w:rsid w:val="0085146B"/>
    <w:rsid w:val="008538D1"/>
    <w:rsid w:val="00853D5E"/>
    <w:rsid w:val="008542FA"/>
    <w:rsid w:val="00855E0D"/>
    <w:rsid w:val="00856088"/>
    <w:rsid w:val="00857A3F"/>
    <w:rsid w:val="00860166"/>
    <w:rsid w:val="00860826"/>
    <w:rsid w:val="00860E21"/>
    <w:rsid w:val="00860EAD"/>
    <w:rsid w:val="00861B80"/>
    <w:rsid w:val="00861C88"/>
    <w:rsid w:val="0086303F"/>
    <w:rsid w:val="00863117"/>
    <w:rsid w:val="0086388B"/>
    <w:rsid w:val="008642E5"/>
    <w:rsid w:val="00864488"/>
    <w:rsid w:val="00865231"/>
    <w:rsid w:val="00866466"/>
    <w:rsid w:val="00866CA1"/>
    <w:rsid w:val="008672A7"/>
    <w:rsid w:val="0087024F"/>
    <w:rsid w:val="008708AB"/>
    <w:rsid w:val="00870A36"/>
    <w:rsid w:val="00872955"/>
    <w:rsid w:val="00872D93"/>
    <w:rsid w:val="00873779"/>
    <w:rsid w:val="008739F7"/>
    <w:rsid w:val="00874CD1"/>
    <w:rsid w:val="00875308"/>
    <w:rsid w:val="00875340"/>
    <w:rsid w:val="00875C1F"/>
    <w:rsid w:val="00877863"/>
    <w:rsid w:val="00880470"/>
    <w:rsid w:val="00880D94"/>
    <w:rsid w:val="008813CC"/>
    <w:rsid w:val="0088165F"/>
    <w:rsid w:val="00881B15"/>
    <w:rsid w:val="00883A6E"/>
    <w:rsid w:val="00883E7C"/>
    <w:rsid w:val="00884C51"/>
    <w:rsid w:val="00884E63"/>
    <w:rsid w:val="00884FA0"/>
    <w:rsid w:val="008850E4"/>
    <w:rsid w:val="00885926"/>
    <w:rsid w:val="00885FCF"/>
    <w:rsid w:val="0088694E"/>
    <w:rsid w:val="00886AB2"/>
    <w:rsid w:val="00886F64"/>
    <w:rsid w:val="008923EC"/>
    <w:rsid w:val="008924DE"/>
    <w:rsid w:val="008937D7"/>
    <w:rsid w:val="00894D20"/>
    <w:rsid w:val="00894FD9"/>
    <w:rsid w:val="00896ADE"/>
    <w:rsid w:val="008A04F6"/>
    <w:rsid w:val="008A05AB"/>
    <w:rsid w:val="008A189B"/>
    <w:rsid w:val="008A26C4"/>
    <w:rsid w:val="008A3755"/>
    <w:rsid w:val="008A46BF"/>
    <w:rsid w:val="008A568F"/>
    <w:rsid w:val="008A58A3"/>
    <w:rsid w:val="008A68E9"/>
    <w:rsid w:val="008A6AAF"/>
    <w:rsid w:val="008B0767"/>
    <w:rsid w:val="008B1600"/>
    <w:rsid w:val="008B19DC"/>
    <w:rsid w:val="008B264F"/>
    <w:rsid w:val="008B2FA0"/>
    <w:rsid w:val="008B45B7"/>
    <w:rsid w:val="008B4AC4"/>
    <w:rsid w:val="008B4D1A"/>
    <w:rsid w:val="008B6F83"/>
    <w:rsid w:val="008B792A"/>
    <w:rsid w:val="008B7FD8"/>
    <w:rsid w:val="008C02BC"/>
    <w:rsid w:val="008C0C4F"/>
    <w:rsid w:val="008C1108"/>
    <w:rsid w:val="008C1DC0"/>
    <w:rsid w:val="008C2973"/>
    <w:rsid w:val="008C3150"/>
    <w:rsid w:val="008C4DC5"/>
    <w:rsid w:val="008C5A0A"/>
    <w:rsid w:val="008C6324"/>
    <w:rsid w:val="008C64C4"/>
    <w:rsid w:val="008C65CE"/>
    <w:rsid w:val="008C6D7C"/>
    <w:rsid w:val="008C7AC1"/>
    <w:rsid w:val="008D10C0"/>
    <w:rsid w:val="008D2CDD"/>
    <w:rsid w:val="008D370B"/>
    <w:rsid w:val="008D424A"/>
    <w:rsid w:val="008D42C8"/>
    <w:rsid w:val="008D42D2"/>
    <w:rsid w:val="008D4991"/>
    <w:rsid w:val="008D4FD9"/>
    <w:rsid w:val="008D5A49"/>
    <w:rsid w:val="008D5AF1"/>
    <w:rsid w:val="008D5E68"/>
    <w:rsid w:val="008D60A0"/>
    <w:rsid w:val="008D74D5"/>
    <w:rsid w:val="008E0ED1"/>
    <w:rsid w:val="008E1BEB"/>
    <w:rsid w:val="008E1E3A"/>
    <w:rsid w:val="008E2288"/>
    <w:rsid w:val="008E3A07"/>
    <w:rsid w:val="008E537B"/>
    <w:rsid w:val="008E682A"/>
    <w:rsid w:val="008E780D"/>
    <w:rsid w:val="008E7C93"/>
    <w:rsid w:val="008E7E7E"/>
    <w:rsid w:val="008F026D"/>
    <w:rsid w:val="008F2526"/>
    <w:rsid w:val="008F252F"/>
    <w:rsid w:val="008F29BE"/>
    <w:rsid w:val="008F2B72"/>
    <w:rsid w:val="008F3179"/>
    <w:rsid w:val="008F3C2A"/>
    <w:rsid w:val="008F45A4"/>
    <w:rsid w:val="008F4AE5"/>
    <w:rsid w:val="008F5027"/>
    <w:rsid w:val="008F51EB"/>
    <w:rsid w:val="008F539F"/>
    <w:rsid w:val="008F5786"/>
    <w:rsid w:val="008F6DF9"/>
    <w:rsid w:val="008F7679"/>
    <w:rsid w:val="008F76C1"/>
    <w:rsid w:val="00900197"/>
    <w:rsid w:val="00901691"/>
    <w:rsid w:val="0090175E"/>
    <w:rsid w:val="009017F8"/>
    <w:rsid w:val="00901BFC"/>
    <w:rsid w:val="00902F55"/>
    <w:rsid w:val="009048F9"/>
    <w:rsid w:val="009049B7"/>
    <w:rsid w:val="0090582B"/>
    <w:rsid w:val="009060C0"/>
    <w:rsid w:val="00906229"/>
    <w:rsid w:val="009065A3"/>
    <w:rsid w:val="00906BF7"/>
    <w:rsid w:val="00906C83"/>
    <w:rsid w:val="009111E2"/>
    <w:rsid w:val="009114A2"/>
    <w:rsid w:val="009133F5"/>
    <w:rsid w:val="00913F6F"/>
    <w:rsid w:val="00915ADD"/>
    <w:rsid w:val="00915E79"/>
    <w:rsid w:val="00915FF3"/>
    <w:rsid w:val="00916BAA"/>
    <w:rsid w:val="0091756F"/>
    <w:rsid w:val="00917D40"/>
    <w:rsid w:val="00920A27"/>
    <w:rsid w:val="00921216"/>
    <w:rsid w:val="009216CC"/>
    <w:rsid w:val="00921A08"/>
    <w:rsid w:val="00923E2A"/>
    <w:rsid w:val="0092453B"/>
    <w:rsid w:val="00924F83"/>
    <w:rsid w:val="00925C15"/>
    <w:rsid w:val="00926083"/>
    <w:rsid w:val="00926799"/>
    <w:rsid w:val="009269A8"/>
    <w:rsid w:val="00927030"/>
    <w:rsid w:val="00927A66"/>
    <w:rsid w:val="0093038C"/>
    <w:rsid w:val="00930D08"/>
    <w:rsid w:val="00931466"/>
    <w:rsid w:val="00932D69"/>
    <w:rsid w:val="00933762"/>
    <w:rsid w:val="0093421E"/>
    <w:rsid w:val="00935589"/>
    <w:rsid w:val="00935934"/>
    <w:rsid w:val="00935C9F"/>
    <w:rsid w:val="009367AF"/>
    <w:rsid w:val="00936FDE"/>
    <w:rsid w:val="0094443F"/>
    <w:rsid w:val="00944647"/>
    <w:rsid w:val="009447E9"/>
    <w:rsid w:val="00944B59"/>
    <w:rsid w:val="00945077"/>
    <w:rsid w:val="0094542E"/>
    <w:rsid w:val="00945CE6"/>
    <w:rsid w:val="009464E7"/>
    <w:rsid w:val="009503D9"/>
    <w:rsid w:val="0095105E"/>
    <w:rsid w:val="00951F0C"/>
    <w:rsid w:val="009523DE"/>
    <w:rsid w:val="0095327F"/>
    <w:rsid w:val="00953C12"/>
    <w:rsid w:val="0095478F"/>
    <w:rsid w:val="0095565C"/>
    <w:rsid w:val="00961522"/>
    <w:rsid w:val="00963955"/>
    <w:rsid w:val="00963C71"/>
    <w:rsid w:val="00964AB6"/>
    <w:rsid w:val="00966BB2"/>
    <w:rsid w:val="00966C10"/>
    <w:rsid w:val="00966F9A"/>
    <w:rsid w:val="00967118"/>
    <w:rsid w:val="00970E01"/>
    <w:rsid w:val="00971D29"/>
    <w:rsid w:val="00971E2D"/>
    <w:rsid w:val="00971E7E"/>
    <w:rsid w:val="00972203"/>
    <w:rsid w:val="00974DC4"/>
    <w:rsid w:val="00975B77"/>
    <w:rsid w:val="009762CB"/>
    <w:rsid w:val="009772D3"/>
    <w:rsid w:val="00977683"/>
    <w:rsid w:val="00977B8A"/>
    <w:rsid w:val="009802E1"/>
    <w:rsid w:val="009805FA"/>
    <w:rsid w:val="009825DB"/>
    <w:rsid w:val="00982971"/>
    <w:rsid w:val="00982CE4"/>
    <w:rsid w:val="00983A8E"/>
    <w:rsid w:val="009845AD"/>
    <w:rsid w:val="00984835"/>
    <w:rsid w:val="00985EED"/>
    <w:rsid w:val="0098639B"/>
    <w:rsid w:val="00986A7B"/>
    <w:rsid w:val="0098748D"/>
    <w:rsid w:val="00987893"/>
    <w:rsid w:val="00990821"/>
    <w:rsid w:val="009933EF"/>
    <w:rsid w:val="00994E96"/>
    <w:rsid w:val="00995B4B"/>
    <w:rsid w:val="00995BA0"/>
    <w:rsid w:val="00995F8E"/>
    <w:rsid w:val="00997199"/>
    <w:rsid w:val="00997C72"/>
    <w:rsid w:val="009A08AD"/>
    <w:rsid w:val="009A1641"/>
    <w:rsid w:val="009A225C"/>
    <w:rsid w:val="009A29EB"/>
    <w:rsid w:val="009A3779"/>
    <w:rsid w:val="009A4093"/>
    <w:rsid w:val="009A418B"/>
    <w:rsid w:val="009A426F"/>
    <w:rsid w:val="009A42D5"/>
    <w:rsid w:val="009A4473"/>
    <w:rsid w:val="009A4DD6"/>
    <w:rsid w:val="009A4F44"/>
    <w:rsid w:val="009A5FFD"/>
    <w:rsid w:val="009A6496"/>
    <w:rsid w:val="009B05C9"/>
    <w:rsid w:val="009B0C01"/>
    <w:rsid w:val="009B1FC5"/>
    <w:rsid w:val="009B286C"/>
    <w:rsid w:val="009B28E9"/>
    <w:rsid w:val="009B35B2"/>
    <w:rsid w:val="009B485E"/>
    <w:rsid w:val="009B695C"/>
    <w:rsid w:val="009B71AA"/>
    <w:rsid w:val="009B7A63"/>
    <w:rsid w:val="009C135F"/>
    <w:rsid w:val="009C151C"/>
    <w:rsid w:val="009C2CA8"/>
    <w:rsid w:val="009C3573"/>
    <w:rsid w:val="009C440A"/>
    <w:rsid w:val="009C56CD"/>
    <w:rsid w:val="009C6019"/>
    <w:rsid w:val="009C6DF0"/>
    <w:rsid w:val="009C79D0"/>
    <w:rsid w:val="009D2740"/>
    <w:rsid w:val="009D28D8"/>
    <w:rsid w:val="009D2DF9"/>
    <w:rsid w:val="009D301A"/>
    <w:rsid w:val="009D3F2B"/>
    <w:rsid w:val="009D4E77"/>
    <w:rsid w:val="009D5125"/>
    <w:rsid w:val="009D60B8"/>
    <w:rsid w:val="009D76BB"/>
    <w:rsid w:val="009D7D4B"/>
    <w:rsid w:val="009E1B40"/>
    <w:rsid w:val="009E1DAB"/>
    <w:rsid w:val="009E2046"/>
    <w:rsid w:val="009E2252"/>
    <w:rsid w:val="009E32F5"/>
    <w:rsid w:val="009E36ED"/>
    <w:rsid w:val="009E3C8C"/>
    <w:rsid w:val="009E4276"/>
    <w:rsid w:val="009E470C"/>
    <w:rsid w:val="009E54BA"/>
    <w:rsid w:val="009E56F4"/>
    <w:rsid w:val="009E59BB"/>
    <w:rsid w:val="009E6B77"/>
    <w:rsid w:val="009F04F7"/>
    <w:rsid w:val="009F2679"/>
    <w:rsid w:val="009F2E65"/>
    <w:rsid w:val="009F3330"/>
    <w:rsid w:val="009F39AF"/>
    <w:rsid w:val="009F3C2E"/>
    <w:rsid w:val="009F460A"/>
    <w:rsid w:val="009F4810"/>
    <w:rsid w:val="009F59A2"/>
    <w:rsid w:val="009F61AC"/>
    <w:rsid w:val="009F7F3A"/>
    <w:rsid w:val="00A001B2"/>
    <w:rsid w:val="00A030AE"/>
    <w:rsid w:val="00A03A1D"/>
    <w:rsid w:val="00A03A8A"/>
    <w:rsid w:val="00A03C0C"/>
    <w:rsid w:val="00A043FB"/>
    <w:rsid w:val="00A049DE"/>
    <w:rsid w:val="00A04C5A"/>
    <w:rsid w:val="00A05181"/>
    <w:rsid w:val="00A0550B"/>
    <w:rsid w:val="00A056DC"/>
    <w:rsid w:val="00A06BE4"/>
    <w:rsid w:val="00A06DAA"/>
    <w:rsid w:val="00A0729C"/>
    <w:rsid w:val="00A072FF"/>
    <w:rsid w:val="00A07779"/>
    <w:rsid w:val="00A10FB4"/>
    <w:rsid w:val="00A1166A"/>
    <w:rsid w:val="00A11F32"/>
    <w:rsid w:val="00A1256B"/>
    <w:rsid w:val="00A125C5"/>
    <w:rsid w:val="00A12AF2"/>
    <w:rsid w:val="00A12C42"/>
    <w:rsid w:val="00A1543E"/>
    <w:rsid w:val="00A16F8C"/>
    <w:rsid w:val="00A176B9"/>
    <w:rsid w:val="00A20B2E"/>
    <w:rsid w:val="00A219C3"/>
    <w:rsid w:val="00A22155"/>
    <w:rsid w:val="00A221F8"/>
    <w:rsid w:val="00A226C8"/>
    <w:rsid w:val="00A22F24"/>
    <w:rsid w:val="00A23613"/>
    <w:rsid w:val="00A24F33"/>
    <w:rsid w:val="00A25069"/>
    <w:rsid w:val="00A253D3"/>
    <w:rsid w:val="00A257DF"/>
    <w:rsid w:val="00A258FD"/>
    <w:rsid w:val="00A25A52"/>
    <w:rsid w:val="00A25C47"/>
    <w:rsid w:val="00A26065"/>
    <w:rsid w:val="00A2684F"/>
    <w:rsid w:val="00A26E6B"/>
    <w:rsid w:val="00A2704F"/>
    <w:rsid w:val="00A3068F"/>
    <w:rsid w:val="00A3145B"/>
    <w:rsid w:val="00A31A28"/>
    <w:rsid w:val="00A32DCB"/>
    <w:rsid w:val="00A33661"/>
    <w:rsid w:val="00A339D0"/>
    <w:rsid w:val="00A340DE"/>
    <w:rsid w:val="00A34652"/>
    <w:rsid w:val="00A34922"/>
    <w:rsid w:val="00A36034"/>
    <w:rsid w:val="00A36463"/>
    <w:rsid w:val="00A36FE7"/>
    <w:rsid w:val="00A37E4E"/>
    <w:rsid w:val="00A406BF"/>
    <w:rsid w:val="00A41002"/>
    <w:rsid w:val="00A4201A"/>
    <w:rsid w:val="00A4394F"/>
    <w:rsid w:val="00A43F59"/>
    <w:rsid w:val="00A46809"/>
    <w:rsid w:val="00A47319"/>
    <w:rsid w:val="00A51291"/>
    <w:rsid w:val="00A5465D"/>
    <w:rsid w:val="00A549E7"/>
    <w:rsid w:val="00A553CE"/>
    <w:rsid w:val="00A562D0"/>
    <w:rsid w:val="00A5677A"/>
    <w:rsid w:val="00A56DCC"/>
    <w:rsid w:val="00A62164"/>
    <w:rsid w:val="00A62456"/>
    <w:rsid w:val="00A625E8"/>
    <w:rsid w:val="00A62829"/>
    <w:rsid w:val="00A63074"/>
    <w:rsid w:val="00A63DFF"/>
    <w:rsid w:val="00A64669"/>
    <w:rsid w:val="00A6490D"/>
    <w:rsid w:val="00A6535F"/>
    <w:rsid w:val="00A653FB"/>
    <w:rsid w:val="00A658E0"/>
    <w:rsid w:val="00A66506"/>
    <w:rsid w:val="00A70917"/>
    <w:rsid w:val="00A712B1"/>
    <w:rsid w:val="00A71A4B"/>
    <w:rsid w:val="00A71F62"/>
    <w:rsid w:val="00A73DD4"/>
    <w:rsid w:val="00A7415D"/>
    <w:rsid w:val="00A75194"/>
    <w:rsid w:val="00A76050"/>
    <w:rsid w:val="00A769BD"/>
    <w:rsid w:val="00A80363"/>
    <w:rsid w:val="00A80939"/>
    <w:rsid w:val="00A81E6A"/>
    <w:rsid w:val="00A826A8"/>
    <w:rsid w:val="00A82E37"/>
    <w:rsid w:val="00A83E9D"/>
    <w:rsid w:val="00A84059"/>
    <w:rsid w:val="00A84719"/>
    <w:rsid w:val="00A84C17"/>
    <w:rsid w:val="00A84DA7"/>
    <w:rsid w:val="00A84DDC"/>
    <w:rsid w:val="00A86926"/>
    <w:rsid w:val="00A87C05"/>
    <w:rsid w:val="00A90113"/>
    <w:rsid w:val="00A91465"/>
    <w:rsid w:val="00A9169D"/>
    <w:rsid w:val="00A91BD7"/>
    <w:rsid w:val="00A935D1"/>
    <w:rsid w:val="00A950B3"/>
    <w:rsid w:val="00A95945"/>
    <w:rsid w:val="00A96CB8"/>
    <w:rsid w:val="00A97CC0"/>
    <w:rsid w:val="00AA0565"/>
    <w:rsid w:val="00AA0D50"/>
    <w:rsid w:val="00AA0ECB"/>
    <w:rsid w:val="00AA12A9"/>
    <w:rsid w:val="00AA12BC"/>
    <w:rsid w:val="00AA240C"/>
    <w:rsid w:val="00AA3B77"/>
    <w:rsid w:val="00AA4919"/>
    <w:rsid w:val="00AA4C78"/>
    <w:rsid w:val="00AA55BC"/>
    <w:rsid w:val="00AA5794"/>
    <w:rsid w:val="00AA5818"/>
    <w:rsid w:val="00AA7341"/>
    <w:rsid w:val="00AB2351"/>
    <w:rsid w:val="00AB2BAA"/>
    <w:rsid w:val="00AB3A88"/>
    <w:rsid w:val="00AB437B"/>
    <w:rsid w:val="00AB4BF5"/>
    <w:rsid w:val="00AB528B"/>
    <w:rsid w:val="00AB72FB"/>
    <w:rsid w:val="00AC101C"/>
    <w:rsid w:val="00AC1BC0"/>
    <w:rsid w:val="00AC2277"/>
    <w:rsid w:val="00AC4631"/>
    <w:rsid w:val="00AC52EC"/>
    <w:rsid w:val="00AC66AB"/>
    <w:rsid w:val="00AC779D"/>
    <w:rsid w:val="00AC7BBA"/>
    <w:rsid w:val="00AD0994"/>
    <w:rsid w:val="00AD1537"/>
    <w:rsid w:val="00AD21D9"/>
    <w:rsid w:val="00AD4CF1"/>
    <w:rsid w:val="00AD5988"/>
    <w:rsid w:val="00AD5F9C"/>
    <w:rsid w:val="00AD6293"/>
    <w:rsid w:val="00AD6B1E"/>
    <w:rsid w:val="00AD782D"/>
    <w:rsid w:val="00AE21E8"/>
    <w:rsid w:val="00AE5C4E"/>
    <w:rsid w:val="00AE69BA"/>
    <w:rsid w:val="00AE7214"/>
    <w:rsid w:val="00AE779D"/>
    <w:rsid w:val="00AF0BC0"/>
    <w:rsid w:val="00AF1B19"/>
    <w:rsid w:val="00AF1BA8"/>
    <w:rsid w:val="00AF2A13"/>
    <w:rsid w:val="00AF3801"/>
    <w:rsid w:val="00AF3BB4"/>
    <w:rsid w:val="00AF4A51"/>
    <w:rsid w:val="00AF6BA5"/>
    <w:rsid w:val="00AF7800"/>
    <w:rsid w:val="00AF7E6B"/>
    <w:rsid w:val="00B0082D"/>
    <w:rsid w:val="00B00CF5"/>
    <w:rsid w:val="00B02DEC"/>
    <w:rsid w:val="00B05FEB"/>
    <w:rsid w:val="00B072E0"/>
    <w:rsid w:val="00B077E9"/>
    <w:rsid w:val="00B1007E"/>
    <w:rsid w:val="00B10F1B"/>
    <w:rsid w:val="00B10FF8"/>
    <w:rsid w:val="00B1256C"/>
    <w:rsid w:val="00B125BC"/>
    <w:rsid w:val="00B12D43"/>
    <w:rsid w:val="00B13AB1"/>
    <w:rsid w:val="00B14425"/>
    <w:rsid w:val="00B145BD"/>
    <w:rsid w:val="00B157E2"/>
    <w:rsid w:val="00B1602A"/>
    <w:rsid w:val="00B1609E"/>
    <w:rsid w:val="00B16AB6"/>
    <w:rsid w:val="00B2034D"/>
    <w:rsid w:val="00B20765"/>
    <w:rsid w:val="00B20FA5"/>
    <w:rsid w:val="00B211BC"/>
    <w:rsid w:val="00B22D2C"/>
    <w:rsid w:val="00B253F6"/>
    <w:rsid w:val="00B26675"/>
    <w:rsid w:val="00B269CA"/>
    <w:rsid w:val="00B26DE3"/>
    <w:rsid w:val="00B26F0F"/>
    <w:rsid w:val="00B2706F"/>
    <w:rsid w:val="00B271F3"/>
    <w:rsid w:val="00B305DB"/>
    <w:rsid w:val="00B313B7"/>
    <w:rsid w:val="00B332F8"/>
    <w:rsid w:val="00B33A0B"/>
    <w:rsid w:val="00B33B49"/>
    <w:rsid w:val="00B347DD"/>
    <w:rsid w:val="00B3485C"/>
    <w:rsid w:val="00B3492B"/>
    <w:rsid w:val="00B34AC9"/>
    <w:rsid w:val="00B34E83"/>
    <w:rsid w:val="00B35732"/>
    <w:rsid w:val="00B35843"/>
    <w:rsid w:val="00B363F4"/>
    <w:rsid w:val="00B36AB7"/>
    <w:rsid w:val="00B36EF6"/>
    <w:rsid w:val="00B37105"/>
    <w:rsid w:val="00B375C1"/>
    <w:rsid w:val="00B37F8B"/>
    <w:rsid w:val="00B4089C"/>
    <w:rsid w:val="00B40A43"/>
    <w:rsid w:val="00B41BB2"/>
    <w:rsid w:val="00B4240F"/>
    <w:rsid w:val="00B42F17"/>
    <w:rsid w:val="00B45CBA"/>
    <w:rsid w:val="00B4646F"/>
    <w:rsid w:val="00B464C1"/>
    <w:rsid w:val="00B46553"/>
    <w:rsid w:val="00B50BA8"/>
    <w:rsid w:val="00B51FB8"/>
    <w:rsid w:val="00B54F4E"/>
    <w:rsid w:val="00B55C7D"/>
    <w:rsid w:val="00B56460"/>
    <w:rsid w:val="00B5650D"/>
    <w:rsid w:val="00B5690A"/>
    <w:rsid w:val="00B56923"/>
    <w:rsid w:val="00B56BB8"/>
    <w:rsid w:val="00B57EA3"/>
    <w:rsid w:val="00B602A5"/>
    <w:rsid w:val="00B606FA"/>
    <w:rsid w:val="00B60D17"/>
    <w:rsid w:val="00B617C5"/>
    <w:rsid w:val="00B63038"/>
    <w:rsid w:val="00B64628"/>
    <w:rsid w:val="00B6495C"/>
    <w:rsid w:val="00B64BD8"/>
    <w:rsid w:val="00B64D18"/>
    <w:rsid w:val="00B657AF"/>
    <w:rsid w:val="00B66F35"/>
    <w:rsid w:val="00B701D1"/>
    <w:rsid w:val="00B70612"/>
    <w:rsid w:val="00B70921"/>
    <w:rsid w:val="00B72E99"/>
    <w:rsid w:val="00B7315A"/>
    <w:rsid w:val="00B73AF2"/>
    <w:rsid w:val="00B7551A"/>
    <w:rsid w:val="00B7601A"/>
    <w:rsid w:val="00B76C99"/>
    <w:rsid w:val="00B773F1"/>
    <w:rsid w:val="00B77681"/>
    <w:rsid w:val="00B80011"/>
    <w:rsid w:val="00B8116F"/>
    <w:rsid w:val="00B8203D"/>
    <w:rsid w:val="00B82E4F"/>
    <w:rsid w:val="00B82FFE"/>
    <w:rsid w:val="00B833BC"/>
    <w:rsid w:val="00B83806"/>
    <w:rsid w:val="00B847EB"/>
    <w:rsid w:val="00B8548F"/>
    <w:rsid w:val="00B85962"/>
    <w:rsid w:val="00B85CB9"/>
    <w:rsid w:val="00B86AB1"/>
    <w:rsid w:val="00B91204"/>
    <w:rsid w:val="00B91748"/>
    <w:rsid w:val="00B923D7"/>
    <w:rsid w:val="00B92662"/>
    <w:rsid w:val="00B92BF8"/>
    <w:rsid w:val="00B9365C"/>
    <w:rsid w:val="00B93B5B"/>
    <w:rsid w:val="00B94412"/>
    <w:rsid w:val="00B94B8C"/>
    <w:rsid w:val="00B96DBF"/>
    <w:rsid w:val="00B97A88"/>
    <w:rsid w:val="00B97F07"/>
    <w:rsid w:val="00BA1091"/>
    <w:rsid w:val="00BA24A8"/>
    <w:rsid w:val="00BA3262"/>
    <w:rsid w:val="00BA32CA"/>
    <w:rsid w:val="00BA433C"/>
    <w:rsid w:val="00BA57D9"/>
    <w:rsid w:val="00BA5B91"/>
    <w:rsid w:val="00BA66E2"/>
    <w:rsid w:val="00BA7110"/>
    <w:rsid w:val="00BA72FA"/>
    <w:rsid w:val="00BA7E28"/>
    <w:rsid w:val="00BA7EBA"/>
    <w:rsid w:val="00BB0CEE"/>
    <w:rsid w:val="00BB1571"/>
    <w:rsid w:val="00BB241A"/>
    <w:rsid w:val="00BB29B1"/>
    <w:rsid w:val="00BB2A06"/>
    <w:rsid w:val="00BB2B7B"/>
    <w:rsid w:val="00BB2CBB"/>
    <w:rsid w:val="00BB302B"/>
    <w:rsid w:val="00BB321C"/>
    <w:rsid w:val="00BB3EA9"/>
    <w:rsid w:val="00BB4198"/>
    <w:rsid w:val="00BB4F03"/>
    <w:rsid w:val="00BB63C1"/>
    <w:rsid w:val="00BB64E4"/>
    <w:rsid w:val="00BB6735"/>
    <w:rsid w:val="00BB7788"/>
    <w:rsid w:val="00BB7A78"/>
    <w:rsid w:val="00BB7A88"/>
    <w:rsid w:val="00BC03EE"/>
    <w:rsid w:val="00BC0605"/>
    <w:rsid w:val="00BC1BBB"/>
    <w:rsid w:val="00BC2499"/>
    <w:rsid w:val="00BC45CE"/>
    <w:rsid w:val="00BC5302"/>
    <w:rsid w:val="00BC59F1"/>
    <w:rsid w:val="00BC64EA"/>
    <w:rsid w:val="00BC6FC4"/>
    <w:rsid w:val="00BC72D4"/>
    <w:rsid w:val="00BD0C3D"/>
    <w:rsid w:val="00BD1351"/>
    <w:rsid w:val="00BD1420"/>
    <w:rsid w:val="00BD291B"/>
    <w:rsid w:val="00BD4B0A"/>
    <w:rsid w:val="00BD6BA6"/>
    <w:rsid w:val="00BE2076"/>
    <w:rsid w:val="00BE25E6"/>
    <w:rsid w:val="00BE2C3B"/>
    <w:rsid w:val="00BE3DC2"/>
    <w:rsid w:val="00BE411A"/>
    <w:rsid w:val="00BE4679"/>
    <w:rsid w:val="00BE4ABA"/>
    <w:rsid w:val="00BE6058"/>
    <w:rsid w:val="00BE65DD"/>
    <w:rsid w:val="00BF0FAB"/>
    <w:rsid w:val="00BF1EE7"/>
    <w:rsid w:val="00BF242C"/>
    <w:rsid w:val="00BF3DE1"/>
    <w:rsid w:val="00BF4052"/>
    <w:rsid w:val="00BF4843"/>
    <w:rsid w:val="00BF5205"/>
    <w:rsid w:val="00BF5514"/>
    <w:rsid w:val="00BF79A4"/>
    <w:rsid w:val="00C0068A"/>
    <w:rsid w:val="00C01F90"/>
    <w:rsid w:val="00C0271B"/>
    <w:rsid w:val="00C02AB3"/>
    <w:rsid w:val="00C03A1D"/>
    <w:rsid w:val="00C03F40"/>
    <w:rsid w:val="00C044FC"/>
    <w:rsid w:val="00C047F3"/>
    <w:rsid w:val="00C04CE8"/>
    <w:rsid w:val="00C05132"/>
    <w:rsid w:val="00C056AC"/>
    <w:rsid w:val="00C0697F"/>
    <w:rsid w:val="00C06EC4"/>
    <w:rsid w:val="00C07C04"/>
    <w:rsid w:val="00C1089A"/>
    <w:rsid w:val="00C1095F"/>
    <w:rsid w:val="00C10E2F"/>
    <w:rsid w:val="00C111C4"/>
    <w:rsid w:val="00C1157D"/>
    <w:rsid w:val="00C12508"/>
    <w:rsid w:val="00C12E7B"/>
    <w:rsid w:val="00C1435D"/>
    <w:rsid w:val="00C15A2A"/>
    <w:rsid w:val="00C163F9"/>
    <w:rsid w:val="00C173A6"/>
    <w:rsid w:val="00C21F0D"/>
    <w:rsid w:val="00C222AC"/>
    <w:rsid w:val="00C23728"/>
    <w:rsid w:val="00C252C9"/>
    <w:rsid w:val="00C27A98"/>
    <w:rsid w:val="00C27CAD"/>
    <w:rsid w:val="00C3026C"/>
    <w:rsid w:val="00C313A9"/>
    <w:rsid w:val="00C3330D"/>
    <w:rsid w:val="00C33AA2"/>
    <w:rsid w:val="00C34078"/>
    <w:rsid w:val="00C3633A"/>
    <w:rsid w:val="00C365CA"/>
    <w:rsid w:val="00C36B34"/>
    <w:rsid w:val="00C36F52"/>
    <w:rsid w:val="00C37529"/>
    <w:rsid w:val="00C37E51"/>
    <w:rsid w:val="00C43ECB"/>
    <w:rsid w:val="00C441CF"/>
    <w:rsid w:val="00C448DF"/>
    <w:rsid w:val="00C45AA2"/>
    <w:rsid w:val="00C4792C"/>
    <w:rsid w:val="00C517F1"/>
    <w:rsid w:val="00C55187"/>
    <w:rsid w:val="00C55903"/>
    <w:rsid w:val="00C55BEF"/>
    <w:rsid w:val="00C563D2"/>
    <w:rsid w:val="00C60144"/>
    <w:rsid w:val="00C601AF"/>
    <w:rsid w:val="00C60EDE"/>
    <w:rsid w:val="00C60F3D"/>
    <w:rsid w:val="00C61A63"/>
    <w:rsid w:val="00C62CD6"/>
    <w:rsid w:val="00C6521B"/>
    <w:rsid w:val="00C66296"/>
    <w:rsid w:val="00C66441"/>
    <w:rsid w:val="00C708E6"/>
    <w:rsid w:val="00C709B7"/>
    <w:rsid w:val="00C70F69"/>
    <w:rsid w:val="00C73503"/>
    <w:rsid w:val="00C7394D"/>
    <w:rsid w:val="00C73BBC"/>
    <w:rsid w:val="00C75355"/>
    <w:rsid w:val="00C7596B"/>
    <w:rsid w:val="00C76DCA"/>
    <w:rsid w:val="00C77282"/>
    <w:rsid w:val="00C77C04"/>
    <w:rsid w:val="00C77CEE"/>
    <w:rsid w:val="00C80348"/>
    <w:rsid w:val="00C812A8"/>
    <w:rsid w:val="00C8247F"/>
    <w:rsid w:val="00C828EF"/>
    <w:rsid w:val="00C831EE"/>
    <w:rsid w:val="00C84DE5"/>
    <w:rsid w:val="00C860F0"/>
    <w:rsid w:val="00C86248"/>
    <w:rsid w:val="00C87502"/>
    <w:rsid w:val="00C90855"/>
    <w:rsid w:val="00C90B31"/>
    <w:rsid w:val="00C911EA"/>
    <w:rsid w:val="00C91E4B"/>
    <w:rsid w:val="00C927DC"/>
    <w:rsid w:val="00C936F4"/>
    <w:rsid w:val="00C938A5"/>
    <w:rsid w:val="00C93DBB"/>
    <w:rsid w:val="00C94530"/>
    <w:rsid w:val="00C9671F"/>
    <w:rsid w:val="00C969E5"/>
    <w:rsid w:val="00C96A3C"/>
    <w:rsid w:val="00CA062D"/>
    <w:rsid w:val="00CA0D6F"/>
    <w:rsid w:val="00CA1E50"/>
    <w:rsid w:val="00CA314B"/>
    <w:rsid w:val="00CA349A"/>
    <w:rsid w:val="00CA3B4D"/>
    <w:rsid w:val="00CA3B87"/>
    <w:rsid w:val="00CA4C33"/>
    <w:rsid w:val="00CA5F15"/>
    <w:rsid w:val="00CA6041"/>
    <w:rsid w:val="00CA616E"/>
    <w:rsid w:val="00CA680C"/>
    <w:rsid w:val="00CA6F4A"/>
    <w:rsid w:val="00CA726C"/>
    <w:rsid w:val="00CB02BC"/>
    <w:rsid w:val="00CB0307"/>
    <w:rsid w:val="00CB15D9"/>
    <w:rsid w:val="00CB1E8B"/>
    <w:rsid w:val="00CB4B3F"/>
    <w:rsid w:val="00CB4F54"/>
    <w:rsid w:val="00CB55E3"/>
    <w:rsid w:val="00CB6427"/>
    <w:rsid w:val="00CB71AA"/>
    <w:rsid w:val="00CB78E4"/>
    <w:rsid w:val="00CB7B9E"/>
    <w:rsid w:val="00CB7E3F"/>
    <w:rsid w:val="00CC0B1F"/>
    <w:rsid w:val="00CC0FBE"/>
    <w:rsid w:val="00CC1331"/>
    <w:rsid w:val="00CC3BD4"/>
    <w:rsid w:val="00CC446E"/>
    <w:rsid w:val="00CC4CC2"/>
    <w:rsid w:val="00CC5014"/>
    <w:rsid w:val="00CC5A28"/>
    <w:rsid w:val="00CC65BA"/>
    <w:rsid w:val="00CC65E9"/>
    <w:rsid w:val="00CD1E78"/>
    <w:rsid w:val="00CD2119"/>
    <w:rsid w:val="00CD237A"/>
    <w:rsid w:val="00CD36AC"/>
    <w:rsid w:val="00CD7980"/>
    <w:rsid w:val="00CE13A3"/>
    <w:rsid w:val="00CE17A1"/>
    <w:rsid w:val="00CE1DB3"/>
    <w:rsid w:val="00CE36BC"/>
    <w:rsid w:val="00CE620A"/>
    <w:rsid w:val="00CE78C4"/>
    <w:rsid w:val="00CF1103"/>
    <w:rsid w:val="00CF150D"/>
    <w:rsid w:val="00CF1747"/>
    <w:rsid w:val="00CF60ED"/>
    <w:rsid w:val="00CF7B28"/>
    <w:rsid w:val="00D015FC"/>
    <w:rsid w:val="00D0294A"/>
    <w:rsid w:val="00D0323E"/>
    <w:rsid w:val="00D033CD"/>
    <w:rsid w:val="00D03A55"/>
    <w:rsid w:val="00D03AF9"/>
    <w:rsid w:val="00D04D9D"/>
    <w:rsid w:val="00D05D74"/>
    <w:rsid w:val="00D100D4"/>
    <w:rsid w:val="00D10E0A"/>
    <w:rsid w:val="00D11764"/>
    <w:rsid w:val="00D11B87"/>
    <w:rsid w:val="00D12337"/>
    <w:rsid w:val="00D14910"/>
    <w:rsid w:val="00D15354"/>
    <w:rsid w:val="00D16A55"/>
    <w:rsid w:val="00D174C2"/>
    <w:rsid w:val="00D20230"/>
    <w:rsid w:val="00D208C7"/>
    <w:rsid w:val="00D20C3E"/>
    <w:rsid w:val="00D20C59"/>
    <w:rsid w:val="00D20DDC"/>
    <w:rsid w:val="00D21AB5"/>
    <w:rsid w:val="00D21BC8"/>
    <w:rsid w:val="00D227FF"/>
    <w:rsid w:val="00D23323"/>
    <w:rsid w:val="00D2342B"/>
    <w:rsid w:val="00D2392A"/>
    <w:rsid w:val="00D25ACA"/>
    <w:rsid w:val="00D25FFE"/>
    <w:rsid w:val="00D26CDA"/>
    <w:rsid w:val="00D27F4C"/>
    <w:rsid w:val="00D30BBE"/>
    <w:rsid w:val="00D3159F"/>
    <w:rsid w:val="00D31CC1"/>
    <w:rsid w:val="00D3207F"/>
    <w:rsid w:val="00D3214C"/>
    <w:rsid w:val="00D33C3D"/>
    <w:rsid w:val="00D35E54"/>
    <w:rsid w:val="00D37198"/>
    <w:rsid w:val="00D37D80"/>
    <w:rsid w:val="00D4104D"/>
    <w:rsid w:val="00D444E4"/>
    <w:rsid w:val="00D4476F"/>
    <w:rsid w:val="00D46B4B"/>
    <w:rsid w:val="00D4709A"/>
    <w:rsid w:val="00D47C73"/>
    <w:rsid w:val="00D47F84"/>
    <w:rsid w:val="00D50573"/>
    <w:rsid w:val="00D506C3"/>
    <w:rsid w:val="00D506FE"/>
    <w:rsid w:val="00D51099"/>
    <w:rsid w:val="00D514F9"/>
    <w:rsid w:val="00D51506"/>
    <w:rsid w:val="00D51FD7"/>
    <w:rsid w:val="00D52EE9"/>
    <w:rsid w:val="00D53100"/>
    <w:rsid w:val="00D54D50"/>
    <w:rsid w:val="00D560B4"/>
    <w:rsid w:val="00D60A00"/>
    <w:rsid w:val="00D60D7E"/>
    <w:rsid w:val="00D60EC2"/>
    <w:rsid w:val="00D615EB"/>
    <w:rsid w:val="00D61C01"/>
    <w:rsid w:val="00D623F4"/>
    <w:rsid w:val="00D62668"/>
    <w:rsid w:val="00D62795"/>
    <w:rsid w:val="00D63D62"/>
    <w:rsid w:val="00D662F8"/>
    <w:rsid w:val="00D665E1"/>
    <w:rsid w:val="00D66797"/>
    <w:rsid w:val="00D672B4"/>
    <w:rsid w:val="00D7030C"/>
    <w:rsid w:val="00D7074B"/>
    <w:rsid w:val="00D7074F"/>
    <w:rsid w:val="00D7087C"/>
    <w:rsid w:val="00D70C3C"/>
    <w:rsid w:val="00D7125D"/>
    <w:rsid w:val="00D71DF7"/>
    <w:rsid w:val="00D72BE5"/>
    <w:rsid w:val="00D73F04"/>
    <w:rsid w:val="00D74437"/>
    <w:rsid w:val="00D74D3E"/>
    <w:rsid w:val="00D76411"/>
    <w:rsid w:val="00D76BBA"/>
    <w:rsid w:val="00D775CB"/>
    <w:rsid w:val="00D81462"/>
    <w:rsid w:val="00D82F26"/>
    <w:rsid w:val="00D83876"/>
    <w:rsid w:val="00D84BEE"/>
    <w:rsid w:val="00D85030"/>
    <w:rsid w:val="00D851D2"/>
    <w:rsid w:val="00D863D0"/>
    <w:rsid w:val="00D86B00"/>
    <w:rsid w:val="00D86FB9"/>
    <w:rsid w:val="00D875C6"/>
    <w:rsid w:val="00D87665"/>
    <w:rsid w:val="00D87C87"/>
    <w:rsid w:val="00D90BB4"/>
    <w:rsid w:val="00D90E07"/>
    <w:rsid w:val="00D92656"/>
    <w:rsid w:val="00D92761"/>
    <w:rsid w:val="00D932C2"/>
    <w:rsid w:val="00D9376C"/>
    <w:rsid w:val="00D938DB"/>
    <w:rsid w:val="00D93E34"/>
    <w:rsid w:val="00D95B17"/>
    <w:rsid w:val="00D960BD"/>
    <w:rsid w:val="00D96621"/>
    <w:rsid w:val="00DA20A3"/>
    <w:rsid w:val="00DA6030"/>
    <w:rsid w:val="00DB087B"/>
    <w:rsid w:val="00DB0B98"/>
    <w:rsid w:val="00DB1367"/>
    <w:rsid w:val="00DB2910"/>
    <w:rsid w:val="00DB2AAE"/>
    <w:rsid w:val="00DB2DE8"/>
    <w:rsid w:val="00DB305A"/>
    <w:rsid w:val="00DB39CF"/>
    <w:rsid w:val="00DB3D3B"/>
    <w:rsid w:val="00DB3D6A"/>
    <w:rsid w:val="00DB7256"/>
    <w:rsid w:val="00DB75B2"/>
    <w:rsid w:val="00DC0401"/>
    <w:rsid w:val="00DC07EE"/>
    <w:rsid w:val="00DC09A4"/>
    <w:rsid w:val="00DC196D"/>
    <w:rsid w:val="00DC20BD"/>
    <w:rsid w:val="00DC363A"/>
    <w:rsid w:val="00DC5CBD"/>
    <w:rsid w:val="00DC5CD2"/>
    <w:rsid w:val="00DD015F"/>
    <w:rsid w:val="00DD0BCD"/>
    <w:rsid w:val="00DD1457"/>
    <w:rsid w:val="00DD2567"/>
    <w:rsid w:val="00DD2B7C"/>
    <w:rsid w:val="00DD2F69"/>
    <w:rsid w:val="00DD3F35"/>
    <w:rsid w:val="00DD447A"/>
    <w:rsid w:val="00DD5718"/>
    <w:rsid w:val="00DD768C"/>
    <w:rsid w:val="00DE0452"/>
    <w:rsid w:val="00DE0B4A"/>
    <w:rsid w:val="00DE3B20"/>
    <w:rsid w:val="00DE3B5A"/>
    <w:rsid w:val="00DE46C6"/>
    <w:rsid w:val="00DE4BEB"/>
    <w:rsid w:val="00DE51B0"/>
    <w:rsid w:val="00DE545A"/>
    <w:rsid w:val="00DE6C94"/>
    <w:rsid w:val="00DE6FD7"/>
    <w:rsid w:val="00DF012D"/>
    <w:rsid w:val="00DF1F46"/>
    <w:rsid w:val="00DF25D8"/>
    <w:rsid w:val="00DF305E"/>
    <w:rsid w:val="00DF30C5"/>
    <w:rsid w:val="00DF51DD"/>
    <w:rsid w:val="00DF55CA"/>
    <w:rsid w:val="00DF7D79"/>
    <w:rsid w:val="00DF7E85"/>
    <w:rsid w:val="00E00B82"/>
    <w:rsid w:val="00E02202"/>
    <w:rsid w:val="00E02850"/>
    <w:rsid w:val="00E03734"/>
    <w:rsid w:val="00E03B76"/>
    <w:rsid w:val="00E067E3"/>
    <w:rsid w:val="00E069F3"/>
    <w:rsid w:val="00E072C8"/>
    <w:rsid w:val="00E076AD"/>
    <w:rsid w:val="00E07F76"/>
    <w:rsid w:val="00E107E4"/>
    <w:rsid w:val="00E1097B"/>
    <w:rsid w:val="00E12FB0"/>
    <w:rsid w:val="00E13118"/>
    <w:rsid w:val="00E132E3"/>
    <w:rsid w:val="00E13545"/>
    <w:rsid w:val="00E13D7C"/>
    <w:rsid w:val="00E13F76"/>
    <w:rsid w:val="00E1622A"/>
    <w:rsid w:val="00E166BF"/>
    <w:rsid w:val="00E17BCD"/>
    <w:rsid w:val="00E20A39"/>
    <w:rsid w:val="00E214AF"/>
    <w:rsid w:val="00E21CA4"/>
    <w:rsid w:val="00E22120"/>
    <w:rsid w:val="00E23271"/>
    <w:rsid w:val="00E23C33"/>
    <w:rsid w:val="00E23F1F"/>
    <w:rsid w:val="00E24F80"/>
    <w:rsid w:val="00E259F3"/>
    <w:rsid w:val="00E30873"/>
    <w:rsid w:val="00E30985"/>
    <w:rsid w:val="00E30AFF"/>
    <w:rsid w:val="00E316B6"/>
    <w:rsid w:val="00E317CB"/>
    <w:rsid w:val="00E326E6"/>
    <w:rsid w:val="00E32DDB"/>
    <w:rsid w:val="00E32FC1"/>
    <w:rsid w:val="00E33238"/>
    <w:rsid w:val="00E33C07"/>
    <w:rsid w:val="00E36546"/>
    <w:rsid w:val="00E376B7"/>
    <w:rsid w:val="00E4126D"/>
    <w:rsid w:val="00E41D8C"/>
    <w:rsid w:val="00E4202E"/>
    <w:rsid w:val="00E4205F"/>
    <w:rsid w:val="00E42F5D"/>
    <w:rsid w:val="00E4348A"/>
    <w:rsid w:val="00E4486C"/>
    <w:rsid w:val="00E451C1"/>
    <w:rsid w:val="00E4603C"/>
    <w:rsid w:val="00E460B6"/>
    <w:rsid w:val="00E463F2"/>
    <w:rsid w:val="00E46935"/>
    <w:rsid w:val="00E47A71"/>
    <w:rsid w:val="00E47FBA"/>
    <w:rsid w:val="00E50D15"/>
    <w:rsid w:val="00E511D5"/>
    <w:rsid w:val="00E539ED"/>
    <w:rsid w:val="00E53A9F"/>
    <w:rsid w:val="00E54B56"/>
    <w:rsid w:val="00E5559E"/>
    <w:rsid w:val="00E56218"/>
    <w:rsid w:val="00E60249"/>
    <w:rsid w:val="00E61307"/>
    <w:rsid w:val="00E61CAC"/>
    <w:rsid w:val="00E61E25"/>
    <w:rsid w:val="00E62D52"/>
    <w:rsid w:val="00E63036"/>
    <w:rsid w:val="00E6348B"/>
    <w:rsid w:val="00E64648"/>
    <w:rsid w:val="00E65269"/>
    <w:rsid w:val="00E664FA"/>
    <w:rsid w:val="00E66D13"/>
    <w:rsid w:val="00E67033"/>
    <w:rsid w:val="00E672BA"/>
    <w:rsid w:val="00E67FBB"/>
    <w:rsid w:val="00E7092A"/>
    <w:rsid w:val="00E70BB0"/>
    <w:rsid w:val="00E74627"/>
    <w:rsid w:val="00E747F5"/>
    <w:rsid w:val="00E74924"/>
    <w:rsid w:val="00E75C5D"/>
    <w:rsid w:val="00E760A2"/>
    <w:rsid w:val="00E76D66"/>
    <w:rsid w:val="00E7709A"/>
    <w:rsid w:val="00E80336"/>
    <w:rsid w:val="00E8044A"/>
    <w:rsid w:val="00E829B3"/>
    <w:rsid w:val="00E84247"/>
    <w:rsid w:val="00E86E4B"/>
    <w:rsid w:val="00E87360"/>
    <w:rsid w:val="00E90239"/>
    <w:rsid w:val="00E90CCC"/>
    <w:rsid w:val="00E911A5"/>
    <w:rsid w:val="00E919FD"/>
    <w:rsid w:val="00E91EEA"/>
    <w:rsid w:val="00E92B2F"/>
    <w:rsid w:val="00E935FB"/>
    <w:rsid w:val="00E93806"/>
    <w:rsid w:val="00E943C6"/>
    <w:rsid w:val="00E9487F"/>
    <w:rsid w:val="00E94CFD"/>
    <w:rsid w:val="00E959FA"/>
    <w:rsid w:val="00E95A3E"/>
    <w:rsid w:val="00E97ACD"/>
    <w:rsid w:val="00EA06C9"/>
    <w:rsid w:val="00EA24C6"/>
    <w:rsid w:val="00EA5DF3"/>
    <w:rsid w:val="00EA5F7A"/>
    <w:rsid w:val="00EA6A83"/>
    <w:rsid w:val="00EA6B47"/>
    <w:rsid w:val="00EA796A"/>
    <w:rsid w:val="00EA7AA9"/>
    <w:rsid w:val="00EB0981"/>
    <w:rsid w:val="00EB1856"/>
    <w:rsid w:val="00EB271D"/>
    <w:rsid w:val="00EB42AE"/>
    <w:rsid w:val="00EB5459"/>
    <w:rsid w:val="00EB5A7B"/>
    <w:rsid w:val="00EB5DFA"/>
    <w:rsid w:val="00EB776E"/>
    <w:rsid w:val="00EB783B"/>
    <w:rsid w:val="00EB7B49"/>
    <w:rsid w:val="00EB7DCD"/>
    <w:rsid w:val="00EB7E72"/>
    <w:rsid w:val="00EC1034"/>
    <w:rsid w:val="00EC26F3"/>
    <w:rsid w:val="00EC280E"/>
    <w:rsid w:val="00EC393D"/>
    <w:rsid w:val="00EC41FD"/>
    <w:rsid w:val="00EC50CE"/>
    <w:rsid w:val="00EC5B34"/>
    <w:rsid w:val="00EC5D66"/>
    <w:rsid w:val="00EC7281"/>
    <w:rsid w:val="00EC7E48"/>
    <w:rsid w:val="00EC7F69"/>
    <w:rsid w:val="00ED021E"/>
    <w:rsid w:val="00ED03C0"/>
    <w:rsid w:val="00ED0653"/>
    <w:rsid w:val="00ED190B"/>
    <w:rsid w:val="00ED1BCC"/>
    <w:rsid w:val="00ED20F3"/>
    <w:rsid w:val="00ED2370"/>
    <w:rsid w:val="00ED323C"/>
    <w:rsid w:val="00ED3C90"/>
    <w:rsid w:val="00ED49AB"/>
    <w:rsid w:val="00ED4BF7"/>
    <w:rsid w:val="00ED4F6D"/>
    <w:rsid w:val="00ED6720"/>
    <w:rsid w:val="00ED7017"/>
    <w:rsid w:val="00EE0E57"/>
    <w:rsid w:val="00EE19DB"/>
    <w:rsid w:val="00EE1A9F"/>
    <w:rsid w:val="00EE2472"/>
    <w:rsid w:val="00EE2C64"/>
    <w:rsid w:val="00EE2D5C"/>
    <w:rsid w:val="00EE3657"/>
    <w:rsid w:val="00EE38F7"/>
    <w:rsid w:val="00EE466D"/>
    <w:rsid w:val="00EE4ADE"/>
    <w:rsid w:val="00EE4DB7"/>
    <w:rsid w:val="00EE4DE8"/>
    <w:rsid w:val="00EE4F37"/>
    <w:rsid w:val="00EE5CB7"/>
    <w:rsid w:val="00EE7C1C"/>
    <w:rsid w:val="00EF036F"/>
    <w:rsid w:val="00EF2A0D"/>
    <w:rsid w:val="00EF4D6E"/>
    <w:rsid w:val="00EF5514"/>
    <w:rsid w:val="00EF565A"/>
    <w:rsid w:val="00EF5B1D"/>
    <w:rsid w:val="00EF6011"/>
    <w:rsid w:val="00EF7208"/>
    <w:rsid w:val="00F010B6"/>
    <w:rsid w:val="00F011B3"/>
    <w:rsid w:val="00F01652"/>
    <w:rsid w:val="00F024FE"/>
    <w:rsid w:val="00F03F50"/>
    <w:rsid w:val="00F04800"/>
    <w:rsid w:val="00F05AD4"/>
    <w:rsid w:val="00F10EB6"/>
    <w:rsid w:val="00F11F63"/>
    <w:rsid w:val="00F13053"/>
    <w:rsid w:val="00F13F07"/>
    <w:rsid w:val="00F140B2"/>
    <w:rsid w:val="00F16877"/>
    <w:rsid w:val="00F17473"/>
    <w:rsid w:val="00F21492"/>
    <w:rsid w:val="00F23077"/>
    <w:rsid w:val="00F235A4"/>
    <w:rsid w:val="00F25970"/>
    <w:rsid w:val="00F26CD9"/>
    <w:rsid w:val="00F276EA"/>
    <w:rsid w:val="00F311A9"/>
    <w:rsid w:val="00F34864"/>
    <w:rsid w:val="00F359DB"/>
    <w:rsid w:val="00F36193"/>
    <w:rsid w:val="00F36B98"/>
    <w:rsid w:val="00F412BB"/>
    <w:rsid w:val="00F42184"/>
    <w:rsid w:val="00F42E15"/>
    <w:rsid w:val="00F43509"/>
    <w:rsid w:val="00F470B6"/>
    <w:rsid w:val="00F47F03"/>
    <w:rsid w:val="00F47FB2"/>
    <w:rsid w:val="00F5180D"/>
    <w:rsid w:val="00F5202A"/>
    <w:rsid w:val="00F522B9"/>
    <w:rsid w:val="00F543A1"/>
    <w:rsid w:val="00F5657A"/>
    <w:rsid w:val="00F602D5"/>
    <w:rsid w:val="00F6106B"/>
    <w:rsid w:val="00F61394"/>
    <w:rsid w:val="00F61EED"/>
    <w:rsid w:val="00F63367"/>
    <w:rsid w:val="00F63781"/>
    <w:rsid w:val="00F63DB3"/>
    <w:rsid w:val="00F65F56"/>
    <w:rsid w:val="00F66B23"/>
    <w:rsid w:val="00F67496"/>
    <w:rsid w:val="00F677C5"/>
    <w:rsid w:val="00F67C03"/>
    <w:rsid w:val="00F711F2"/>
    <w:rsid w:val="00F727E9"/>
    <w:rsid w:val="00F74869"/>
    <w:rsid w:val="00F74A91"/>
    <w:rsid w:val="00F7575C"/>
    <w:rsid w:val="00F76E2B"/>
    <w:rsid w:val="00F7773B"/>
    <w:rsid w:val="00F801BA"/>
    <w:rsid w:val="00F80721"/>
    <w:rsid w:val="00F8098C"/>
    <w:rsid w:val="00F80CB2"/>
    <w:rsid w:val="00F826AD"/>
    <w:rsid w:val="00F829C8"/>
    <w:rsid w:val="00F84886"/>
    <w:rsid w:val="00F85C9D"/>
    <w:rsid w:val="00F85FF3"/>
    <w:rsid w:val="00F87E75"/>
    <w:rsid w:val="00F913EB"/>
    <w:rsid w:val="00F91D4C"/>
    <w:rsid w:val="00F920F9"/>
    <w:rsid w:val="00F9333E"/>
    <w:rsid w:val="00F9366A"/>
    <w:rsid w:val="00F9430B"/>
    <w:rsid w:val="00F946C9"/>
    <w:rsid w:val="00F96C92"/>
    <w:rsid w:val="00F973E4"/>
    <w:rsid w:val="00F97DEE"/>
    <w:rsid w:val="00FA019D"/>
    <w:rsid w:val="00FA0C5B"/>
    <w:rsid w:val="00FA0EA5"/>
    <w:rsid w:val="00FA18EE"/>
    <w:rsid w:val="00FA2E71"/>
    <w:rsid w:val="00FA3EC1"/>
    <w:rsid w:val="00FA5017"/>
    <w:rsid w:val="00FA5E3E"/>
    <w:rsid w:val="00FA74EE"/>
    <w:rsid w:val="00FA7C08"/>
    <w:rsid w:val="00FA7E21"/>
    <w:rsid w:val="00FB21AE"/>
    <w:rsid w:val="00FB2CF1"/>
    <w:rsid w:val="00FB309F"/>
    <w:rsid w:val="00FB34E5"/>
    <w:rsid w:val="00FB380E"/>
    <w:rsid w:val="00FB439E"/>
    <w:rsid w:val="00FB4D78"/>
    <w:rsid w:val="00FB69D5"/>
    <w:rsid w:val="00FB7585"/>
    <w:rsid w:val="00FB7BA1"/>
    <w:rsid w:val="00FC02E7"/>
    <w:rsid w:val="00FC02E8"/>
    <w:rsid w:val="00FC0660"/>
    <w:rsid w:val="00FC07DC"/>
    <w:rsid w:val="00FC127E"/>
    <w:rsid w:val="00FC2C22"/>
    <w:rsid w:val="00FC360F"/>
    <w:rsid w:val="00FC3711"/>
    <w:rsid w:val="00FC38E4"/>
    <w:rsid w:val="00FC3B29"/>
    <w:rsid w:val="00FC42D2"/>
    <w:rsid w:val="00FC46E0"/>
    <w:rsid w:val="00FC46E4"/>
    <w:rsid w:val="00FC46E7"/>
    <w:rsid w:val="00FC4DFD"/>
    <w:rsid w:val="00FC5D25"/>
    <w:rsid w:val="00FC6DFF"/>
    <w:rsid w:val="00FD0D4C"/>
    <w:rsid w:val="00FD0D67"/>
    <w:rsid w:val="00FD0D7E"/>
    <w:rsid w:val="00FD161E"/>
    <w:rsid w:val="00FD2236"/>
    <w:rsid w:val="00FD31D1"/>
    <w:rsid w:val="00FD3A9D"/>
    <w:rsid w:val="00FD3EAA"/>
    <w:rsid w:val="00FD3F18"/>
    <w:rsid w:val="00FD410D"/>
    <w:rsid w:val="00FD4FFB"/>
    <w:rsid w:val="00FD574F"/>
    <w:rsid w:val="00FD619F"/>
    <w:rsid w:val="00FD69A5"/>
    <w:rsid w:val="00FD6A01"/>
    <w:rsid w:val="00FD6A66"/>
    <w:rsid w:val="00FD6E06"/>
    <w:rsid w:val="00FD7201"/>
    <w:rsid w:val="00FD79EF"/>
    <w:rsid w:val="00FE141C"/>
    <w:rsid w:val="00FE146D"/>
    <w:rsid w:val="00FE1CF7"/>
    <w:rsid w:val="00FE2761"/>
    <w:rsid w:val="00FE3FCB"/>
    <w:rsid w:val="00FE45BF"/>
    <w:rsid w:val="00FE4F71"/>
    <w:rsid w:val="00FE50F1"/>
    <w:rsid w:val="00FE52FE"/>
    <w:rsid w:val="00FE5C7F"/>
    <w:rsid w:val="00FE6578"/>
    <w:rsid w:val="00FE6AB7"/>
    <w:rsid w:val="00FE6E13"/>
    <w:rsid w:val="00FE7E0F"/>
    <w:rsid w:val="00FE7EDC"/>
    <w:rsid w:val="00FF0119"/>
    <w:rsid w:val="00FF01BB"/>
    <w:rsid w:val="00FF15F6"/>
    <w:rsid w:val="00FF4705"/>
    <w:rsid w:val="00FF527C"/>
    <w:rsid w:val="00FF54C0"/>
    <w:rsid w:val="00FF556A"/>
    <w:rsid w:val="00FF5B58"/>
    <w:rsid w:val="00FF65CD"/>
    <w:rsid w:val="00FF66BF"/>
    <w:rsid w:val="00FF7CE5"/>
    <w:rsid w:val="014D7B1D"/>
    <w:rsid w:val="018901C8"/>
    <w:rsid w:val="01C3456C"/>
    <w:rsid w:val="01D5CD19"/>
    <w:rsid w:val="01D83D7C"/>
    <w:rsid w:val="0239A9FF"/>
    <w:rsid w:val="02843FEE"/>
    <w:rsid w:val="02D5DEEC"/>
    <w:rsid w:val="03393B81"/>
    <w:rsid w:val="0340DAE6"/>
    <w:rsid w:val="0358427F"/>
    <w:rsid w:val="0372CC62"/>
    <w:rsid w:val="0394C210"/>
    <w:rsid w:val="04360656"/>
    <w:rsid w:val="043E4637"/>
    <w:rsid w:val="04B47A58"/>
    <w:rsid w:val="04C3FB3B"/>
    <w:rsid w:val="04D173D6"/>
    <w:rsid w:val="04D952C6"/>
    <w:rsid w:val="0547F4ED"/>
    <w:rsid w:val="0551E9B8"/>
    <w:rsid w:val="05684A07"/>
    <w:rsid w:val="05D56E29"/>
    <w:rsid w:val="0606CD94"/>
    <w:rsid w:val="06898B26"/>
    <w:rsid w:val="06C8533C"/>
    <w:rsid w:val="06EE7BC8"/>
    <w:rsid w:val="07491F38"/>
    <w:rsid w:val="078AA754"/>
    <w:rsid w:val="079A4EBF"/>
    <w:rsid w:val="07E74F1B"/>
    <w:rsid w:val="086AFB14"/>
    <w:rsid w:val="091CDCAF"/>
    <w:rsid w:val="098437A4"/>
    <w:rsid w:val="098F6296"/>
    <w:rsid w:val="09F2AA07"/>
    <w:rsid w:val="0A012870"/>
    <w:rsid w:val="0A061FFA"/>
    <w:rsid w:val="0A1BBDBB"/>
    <w:rsid w:val="0A1BDAA0"/>
    <w:rsid w:val="0A88C8EA"/>
    <w:rsid w:val="0ACCD662"/>
    <w:rsid w:val="0AD4CB94"/>
    <w:rsid w:val="0AF1FAE6"/>
    <w:rsid w:val="0B055B18"/>
    <w:rsid w:val="0B2BF8B7"/>
    <w:rsid w:val="0B2F07F1"/>
    <w:rsid w:val="0B30C08A"/>
    <w:rsid w:val="0C039C51"/>
    <w:rsid w:val="0C10CDE2"/>
    <w:rsid w:val="0C539000"/>
    <w:rsid w:val="0C60ACAD"/>
    <w:rsid w:val="0C7E03E0"/>
    <w:rsid w:val="0C8007FF"/>
    <w:rsid w:val="0C9D51F8"/>
    <w:rsid w:val="0CB61356"/>
    <w:rsid w:val="0CDB821C"/>
    <w:rsid w:val="0CF8FB40"/>
    <w:rsid w:val="0D0FA30F"/>
    <w:rsid w:val="0D64EC70"/>
    <w:rsid w:val="0DB4ED5D"/>
    <w:rsid w:val="0DC92171"/>
    <w:rsid w:val="0DF87C89"/>
    <w:rsid w:val="0EA758A4"/>
    <w:rsid w:val="0EFCDF8B"/>
    <w:rsid w:val="0F2BFA12"/>
    <w:rsid w:val="0F3CFE5B"/>
    <w:rsid w:val="0F4AAD6F"/>
    <w:rsid w:val="0F577A91"/>
    <w:rsid w:val="0F80B40A"/>
    <w:rsid w:val="0FAF81C6"/>
    <w:rsid w:val="0FE2E272"/>
    <w:rsid w:val="0FE58A01"/>
    <w:rsid w:val="0FEC5D90"/>
    <w:rsid w:val="0FFCC29A"/>
    <w:rsid w:val="1016AFA1"/>
    <w:rsid w:val="104C964E"/>
    <w:rsid w:val="104F01A1"/>
    <w:rsid w:val="1077B315"/>
    <w:rsid w:val="10A25175"/>
    <w:rsid w:val="10A37D27"/>
    <w:rsid w:val="10A86DB7"/>
    <w:rsid w:val="10C29F70"/>
    <w:rsid w:val="10C389A7"/>
    <w:rsid w:val="110E89F3"/>
    <w:rsid w:val="11608DD8"/>
    <w:rsid w:val="11C3552C"/>
    <w:rsid w:val="11FE687A"/>
    <w:rsid w:val="120A0BBE"/>
    <w:rsid w:val="122E1705"/>
    <w:rsid w:val="125AF4CB"/>
    <w:rsid w:val="1265AEE5"/>
    <w:rsid w:val="127033D8"/>
    <w:rsid w:val="1282ACEB"/>
    <w:rsid w:val="1285F7EF"/>
    <w:rsid w:val="128D52A5"/>
    <w:rsid w:val="1297B088"/>
    <w:rsid w:val="12A36EAD"/>
    <w:rsid w:val="12A7F8CA"/>
    <w:rsid w:val="12B183C5"/>
    <w:rsid w:val="134AB04C"/>
    <w:rsid w:val="138F0A02"/>
    <w:rsid w:val="139DCE2B"/>
    <w:rsid w:val="13A4755E"/>
    <w:rsid w:val="13C34274"/>
    <w:rsid w:val="1403F2C5"/>
    <w:rsid w:val="14082CBE"/>
    <w:rsid w:val="1465931A"/>
    <w:rsid w:val="14AA3DFF"/>
    <w:rsid w:val="14D3CF22"/>
    <w:rsid w:val="1589330F"/>
    <w:rsid w:val="15B77181"/>
    <w:rsid w:val="15C0CAAD"/>
    <w:rsid w:val="15DDDFD4"/>
    <w:rsid w:val="15ED5E34"/>
    <w:rsid w:val="161536E2"/>
    <w:rsid w:val="161FF3C7"/>
    <w:rsid w:val="16572B4B"/>
    <w:rsid w:val="1675B153"/>
    <w:rsid w:val="16781789"/>
    <w:rsid w:val="169566C3"/>
    <w:rsid w:val="16957E51"/>
    <w:rsid w:val="16BA0EAE"/>
    <w:rsid w:val="1737661D"/>
    <w:rsid w:val="1745337D"/>
    <w:rsid w:val="17D03983"/>
    <w:rsid w:val="18159FB7"/>
    <w:rsid w:val="184A3674"/>
    <w:rsid w:val="18D710A6"/>
    <w:rsid w:val="18E07265"/>
    <w:rsid w:val="18F740E2"/>
    <w:rsid w:val="18F875C4"/>
    <w:rsid w:val="1920D4BC"/>
    <w:rsid w:val="194705DA"/>
    <w:rsid w:val="1982E087"/>
    <w:rsid w:val="1A03E83C"/>
    <w:rsid w:val="1A14FEFA"/>
    <w:rsid w:val="1A1B2A02"/>
    <w:rsid w:val="1A201AEA"/>
    <w:rsid w:val="1A35FE83"/>
    <w:rsid w:val="1A8DC95D"/>
    <w:rsid w:val="1AB20D5F"/>
    <w:rsid w:val="1B8E8F5C"/>
    <w:rsid w:val="1BCD6DC7"/>
    <w:rsid w:val="1BEC171A"/>
    <w:rsid w:val="1C179699"/>
    <w:rsid w:val="1C368655"/>
    <w:rsid w:val="1C547FB4"/>
    <w:rsid w:val="1C85188F"/>
    <w:rsid w:val="1C9590EB"/>
    <w:rsid w:val="1CC86E97"/>
    <w:rsid w:val="1CF595FB"/>
    <w:rsid w:val="1CFBD5F7"/>
    <w:rsid w:val="1D258E9C"/>
    <w:rsid w:val="1D3939E7"/>
    <w:rsid w:val="1D447439"/>
    <w:rsid w:val="1D61BD87"/>
    <w:rsid w:val="1D70A715"/>
    <w:rsid w:val="1D98281D"/>
    <w:rsid w:val="1D99EB8C"/>
    <w:rsid w:val="1DBB2D8B"/>
    <w:rsid w:val="1DE648C0"/>
    <w:rsid w:val="1E97B194"/>
    <w:rsid w:val="1EA668F9"/>
    <w:rsid w:val="1EDF16EE"/>
    <w:rsid w:val="1EE8B2C9"/>
    <w:rsid w:val="1EEE28F5"/>
    <w:rsid w:val="1F32A5D8"/>
    <w:rsid w:val="1F3919BA"/>
    <w:rsid w:val="1F45AD1F"/>
    <w:rsid w:val="1F533BC2"/>
    <w:rsid w:val="1F8A3E4C"/>
    <w:rsid w:val="1FC6118B"/>
    <w:rsid w:val="20234FC1"/>
    <w:rsid w:val="205BB6CC"/>
    <w:rsid w:val="20897B92"/>
    <w:rsid w:val="20A797F1"/>
    <w:rsid w:val="20EE76A6"/>
    <w:rsid w:val="20F9497D"/>
    <w:rsid w:val="2150E173"/>
    <w:rsid w:val="21B47A44"/>
    <w:rsid w:val="2275BBFE"/>
    <w:rsid w:val="230FC122"/>
    <w:rsid w:val="231004DD"/>
    <w:rsid w:val="2356D653"/>
    <w:rsid w:val="23B2FA74"/>
    <w:rsid w:val="23D960FE"/>
    <w:rsid w:val="2402FCF3"/>
    <w:rsid w:val="24047F81"/>
    <w:rsid w:val="244C6155"/>
    <w:rsid w:val="2489F5F6"/>
    <w:rsid w:val="24A21E7E"/>
    <w:rsid w:val="24CF5426"/>
    <w:rsid w:val="24EB39BC"/>
    <w:rsid w:val="24ECF985"/>
    <w:rsid w:val="25320653"/>
    <w:rsid w:val="25340953"/>
    <w:rsid w:val="2572257F"/>
    <w:rsid w:val="2572830E"/>
    <w:rsid w:val="259D3556"/>
    <w:rsid w:val="25A80A8A"/>
    <w:rsid w:val="261DB4BE"/>
    <w:rsid w:val="26495E5C"/>
    <w:rsid w:val="26A5EE2A"/>
    <w:rsid w:val="26DA64E1"/>
    <w:rsid w:val="26E51F5E"/>
    <w:rsid w:val="26F61E25"/>
    <w:rsid w:val="2708D778"/>
    <w:rsid w:val="274301B3"/>
    <w:rsid w:val="2792DF1D"/>
    <w:rsid w:val="27EA3AE9"/>
    <w:rsid w:val="280F91D2"/>
    <w:rsid w:val="28103EDC"/>
    <w:rsid w:val="2814E5F8"/>
    <w:rsid w:val="28179395"/>
    <w:rsid w:val="2843067E"/>
    <w:rsid w:val="28871294"/>
    <w:rsid w:val="28999EF9"/>
    <w:rsid w:val="28D34CFB"/>
    <w:rsid w:val="28D4A982"/>
    <w:rsid w:val="2923D166"/>
    <w:rsid w:val="292BE9C8"/>
    <w:rsid w:val="29552D85"/>
    <w:rsid w:val="295EAF0D"/>
    <w:rsid w:val="2978484F"/>
    <w:rsid w:val="29D78A08"/>
    <w:rsid w:val="29DD55F3"/>
    <w:rsid w:val="2A0389D6"/>
    <w:rsid w:val="2A07C584"/>
    <w:rsid w:val="2A26FCAF"/>
    <w:rsid w:val="2A5D2CC5"/>
    <w:rsid w:val="2AF06C28"/>
    <w:rsid w:val="2AFB751B"/>
    <w:rsid w:val="2B896AB0"/>
    <w:rsid w:val="2BCFF5A3"/>
    <w:rsid w:val="2BDB309F"/>
    <w:rsid w:val="2BDDF9E7"/>
    <w:rsid w:val="2BF60B59"/>
    <w:rsid w:val="2BFBDAD6"/>
    <w:rsid w:val="2C59346B"/>
    <w:rsid w:val="2C5DA1AF"/>
    <w:rsid w:val="2CB38D2B"/>
    <w:rsid w:val="2CB3C8EB"/>
    <w:rsid w:val="2CD7BCFC"/>
    <w:rsid w:val="2CF62E98"/>
    <w:rsid w:val="2CFA1296"/>
    <w:rsid w:val="2D56D40A"/>
    <w:rsid w:val="2DBDF86A"/>
    <w:rsid w:val="2E574C41"/>
    <w:rsid w:val="2E8F0D5F"/>
    <w:rsid w:val="2F07F2B7"/>
    <w:rsid w:val="2F25D28F"/>
    <w:rsid w:val="2F3B6B42"/>
    <w:rsid w:val="2F40BFD2"/>
    <w:rsid w:val="2F5F2FA5"/>
    <w:rsid w:val="2F64F347"/>
    <w:rsid w:val="2F6A6A80"/>
    <w:rsid w:val="2F895779"/>
    <w:rsid w:val="2FD239C6"/>
    <w:rsid w:val="301C94B6"/>
    <w:rsid w:val="302AAE80"/>
    <w:rsid w:val="30C0E6B2"/>
    <w:rsid w:val="30C46440"/>
    <w:rsid w:val="31240C75"/>
    <w:rsid w:val="31A04A5D"/>
    <w:rsid w:val="31A5B1AD"/>
    <w:rsid w:val="31E9F488"/>
    <w:rsid w:val="3223CB8A"/>
    <w:rsid w:val="328EA665"/>
    <w:rsid w:val="32BE2D3F"/>
    <w:rsid w:val="32F5B84E"/>
    <w:rsid w:val="330B48F8"/>
    <w:rsid w:val="330F4FD6"/>
    <w:rsid w:val="334F32B4"/>
    <w:rsid w:val="33683431"/>
    <w:rsid w:val="33701E64"/>
    <w:rsid w:val="339DE40F"/>
    <w:rsid w:val="33C831E8"/>
    <w:rsid w:val="3414DB5A"/>
    <w:rsid w:val="3435180E"/>
    <w:rsid w:val="34509531"/>
    <w:rsid w:val="348192FE"/>
    <w:rsid w:val="348211B1"/>
    <w:rsid w:val="348540EF"/>
    <w:rsid w:val="34A5F09E"/>
    <w:rsid w:val="34BE3F1F"/>
    <w:rsid w:val="34DFD688"/>
    <w:rsid w:val="35096CE1"/>
    <w:rsid w:val="350FD3CA"/>
    <w:rsid w:val="352641F1"/>
    <w:rsid w:val="352A49F6"/>
    <w:rsid w:val="353D33B8"/>
    <w:rsid w:val="355FE4C8"/>
    <w:rsid w:val="361317FC"/>
    <w:rsid w:val="3642066D"/>
    <w:rsid w:val="364A6082"/>
    <w:rsid w:val="3659F5BD"/>
    <w:rsid w:val="36A362BA"/>
    <w:rsid w:val="36C8E486"/>
    <w:rsid w:val="36FAC38E"/>
    <w:rsid w:val="36FFB9E6"/>
    <w:rsid w:val="377748D0"/>
    <w:rsid w:val="37A3DAAF"/>
    <w:rsid w:val="3A30FB68"/>
    <w:rsid w:val="3A759660"/>
    <w:rsid w:val="3A8DBA7A"/>
    <w:rsid w:val="3A94D8D4"/>
    <w:rsid w:val="3AA0006C"/>
    <w:rsid w:val="3AC866A6"/>
    <w:rsid w:val="3AD75473"/>
    <w:rsid w:val="3B39CFDA"/>
    <w:rsid w:val="3B86D69E"/>
    <w:rsid w:val="3B9757A6"/>
    <w:rsid w:val="3BF853D2"/>
    <w:rsid w:val="3C12A539"/>
    <w:rsid w:val="3C265878"/>
    <w:rsid w:val="3C9804EA"/>
    <w:rsid w:val="3D14329B"/>
    <w:rsid w:val="3D542EEB"/>
    <w:rsid w:val="3D5F8F4C"/>
    <w:rsid w:val="3DBFF7BA"/>
    <w:rsid w:val="3DD93037"/>
    <w:rsid w:val="3E7C7F43"/>
    <w:rsid w:val="3E809B4E"/>
    <w:rsid w:val="3EBC88D3"/>
    <w:rsid w:val="3EC6CCA7"/>
    <w:rsid w:val="3F4D3EC8"/>
    <w:rsid w:val="3F6D4C73"/>
    <w:rsid w:val="3FA471DA"/>
    <w:rsid w:val="3FAE25E2"/>
    <w:rsid w:val="400D87BF"/>
    <w:rsid w:val="40E7EA51"/>
    <w:rsid w:val="40EC5939"/>
    <w:rsid w:val="41337CB9"/>
    <w:rsid w:val="41DD9752"/>
    <w:rsid w:val="41F234BC"/>
    <w:rsid w:val="4219FC2D"/>
    <w:rsid w:val="4257DDB3"/>
    <w:rsid w:val="426E6FFD"/>
    <w:rsid w:val="42808C92"/>
    <w:rsid w:val="42A612BF"/>
    <w:rsid w:val="42A98F8F"/>
    <w:rsid w:val="43273A4F"/>
    <w:rsid w:val="434CAF20"/>
    <w:rsid w:val="43782DBC"/>
    <w:rsid w:val="43C53DAF"/>
    <w:rsid w:val="440BBB55"/>
    <w:rsid w:val="443AF3CA"/>
    <w:rsid w:val="44517D01"/>
    <w:rsid w:val="44834691"/>
    <w:rsid w:val="4494CF0B"/>
    <w:rsid w:val="449BFCBF"/>
    <w:rsid w:val="449D378A"/>
    <w:rsid w:val="44A30D07"/>
    <w:rsid w:val="44C53792"/>
    <w:rsid w:val="44CB005A"/>
    <w:rsid w:val="44E61631"/>
    <w:rsid w:val="44FA363B"/>
    <w:rsid w:val="45258BA1"/>
    <w:rsid w:val="4533D755"/>
    <w:rsid w:val="45E67700"/>
    <w:rsid w:val="45E77026"/>
    <w:rsid w:val="462672B8"/>
    <w:rsid w:val="463029AB"/>
    <w:rsid w:val="46428E5E"/>
    <w:rsid w:val="467FA062"/>
    <w:rsid w:val="4688FA93"/>
    <w:rsid w:val="469BC92F"/>
    <w:rsid w:val="46BC5C38"/>
    <w:rsid w:val="46CD7AEA"/>
    <w:rsid w:val="46D94E87"/>
    <w:rsid w:val="47175229"/>
    <w:rsid w:val="47219DFE"/>
    <w:rsid w:val="47800A37"/>
    <w:rsid w:val="47B7D3EA"/>
    <w:rsid w:val="47D11623"/>
    <w:rsid w:val="485DD3D0"/>
    <w:rsid w:val="4880BB01"/>
    <w:rsid w:val="489DAA17"/>
    <w:rsid w:val="48EFBD7C"/>
    <w:rsid w:val="48F037CF"/>
    <w:rsid w:val="49652D04"/>
    <w:rsid w:val="49C20709"/>
    <w:rsid w:val="49C82170"/>
    <w:rsid w:val="4A33444D"/>
    <w:rsid w:val="4A7339CC"/>
    <w:rsid w:val="4A7F3420"/>
    <w:rsid w:val="4A8EE531"/>
    <w:rsid w:val="4A965711"/>
    <w:rsid w:val="4AC57513"/>
    <w:rsid w:val="4AD77CCF"/>
    <w:rsid w:val="4AF28F0F"/>
    <w:rsid w:val="4AF4AF6A"/>
    <w:rsid w:val="4AFBEEFD"/>
    <w:rsid w:val="4B2B6592"/>
    <w:rsid w:val="4B38FBB6"/>
    <w:rsid w:val="4B582361"/>
    <w:rsid w:val="4BA18FA5"/>
    <w:rsid w:val="4BAAF94F"/>
    <w:rsid w:val="4C24DB33"/>
    <w:rsid w:val="4C4FBC68"/>
    <w:rsid w:val="4C5DE882"/>
    <w:rsid w:val="4CD3E670"/>
    <w:rsid w:val="4CD588E0"/>
    <w:rsid w:val="4D155F93"/>
    <w:rsid w:val="4D3D2469"/>
    <w:rsid w:val="4D3FBE70"/>
    <w:rsid w:val="4D695376"/>
    <w:rsid w:val="4D8AFA51"/>
    <w:rsid w:val="4D8BE11B"/>
    <w:rsid w:val="4D9952F3"/>
    <w:rsid w:val="4DB5D255"/>
    <w:rsid w:val="4DCEA588"/>
    <w:rsid w:val="4E18D759"/>
    <w:rsid w:val="4E44FEC1"/>
    <w:rsid w:val="4E6DED1B"/>
    <w:rsid w:val="4EB4C2BB"/>
    <w:rsid w:val="4F004622"/>
    <w:rsid w:val="4F5A221B"/>
    <w:rsid w:val="4FBF042B"/>
    <w:rsid w:val="4FD3FD3D"/>
    <w:rsid w:val="4FE50EFA"/>
    <w:rsid w:val="502DF79C"/>
    <w:rsid w:val="50302AF9"/>
    <w:rsid w:val="503C3B0B"/>
    <w:rsid w:val="504AF61C"/>
    <w:rsid w:val="50B05430"/>
    <w:rsid w:val="50B124D3"/>
    <w:rsid w:val="50EEC59A"/>
    <w:rsid w:val="5112308D"/>
    <w:rsid w:val="51351704"/>
    <w:rsid w:val="51C5F43E"/>
    <w:rsid w:val="51FDABF4"/>
    <w:rsid w:val="520CF49D"/>
    <w:rsid w:val="52157DE0"/>
    <w:rsid w:val="525D5699"/>
    <w:rsid w:val="5282E102"/>
    <w:rsid w:val="52B04081"/>
    <w:rsid w:val="52B308E3"/>
    <w:rsid w:val="52BE36AD"/>
    <w:rsid w:val="52D882CE"/>
    <w:rsid w:val="52ECE5E7"/>
    <w:rsid w:val="52EF8333"/>
    <w:rsid w:val="53093ECA"/>
    <w:rsid w:val="532DF138"/>
    <w:rsid w:val="5342E3EA"/>
    <w:rsid w:val="534E6D85"/>
    <w:rsid w:val="53535C2F"/>
    <w:rsid w:val="5370F908"/>
    <w:rsid w:val="538C2F29"/>
    <w:rsid w:val="541CCB24"/>
    <w:rsid w:val="5484A04E"/>
    <w:rsid w:val="548B7113"/>
    <w:rsid w:val="54A2CA7F"/>
    <w:rsid w:val="54C4FC60"/>
    <w:rsid w:val="54CDB345"/>
    <w:rsid w:val="54F88B3E"/>
    <w:rsid w:val="54FCFC31"/>
    <w:rsid w:val="5586DC5A"/>
    <w:rsid w:val="567F2C4B"/>
    <w:rsid w:val="56A44100"/>
    <w:rsid w:val="56AE8BE9"/>
    <w:rsid w:val="56FAF0C1"/>
    <w:rsid w:val="574225DC"/>
    <w:rsid w:val="5770DE07"/>
    <w:rsid w:val="578B27F9"/>
    <w:rsid w:val="5796D624"/>
    <w:rsid w:val="579CF5DB"/>
    <w:rsid w:val="57CD79D3"/>
    <w:rsid w:val="58272B8A"/>
    <w:rsid w:val="5862CBE8"/>
    <w:rsid w:val="587D6A9C"/>
    <w:rsid w:val="588BA268"/>
    <w:rsid w:val="58B086C6"/>
    <w:rsid w:val="58C23DC0"/>
    <w:rsid w:val="58EE9E9E"/>
    <w:rsid w:val="5915E9EA"/>
    <w:rsid w:val="59350495"/>
    <w:rsid w:val="594FAF5E"/>
    <w:rsid w:val="5A3900C2"/>
    <w:rsid w:val="5AB8F0D3"/>
    <w:rsid w:val="5AD9C4DE"/>
    <w:rsid w:val="5B0FC038"/>
    <w:rsid w:val="5B2A8060"/>
    <w:rsid w:val="5B3D0096"/>
    <w:rsid w:val="5B6624ED"/>
    <w:rsid w:val="5BA214D4"/>
    <w:rsid w:val="5BAE2FA4"/>
    <w:rsid w:val="5BB8FFBF"/>
    <w:rsid w:val="5BFF237E"/>
    <w:rsid w:val="5C19AF27"/>
    <w:rsid w:val="5C1F8A3B"/>
    <w:rsid w:val="5C20E911"/>
    <w:rsid w:val="5C4AE62E"/>
    <w:rsid w:val="5C61BA2A"/>
    <w:rsid w:val="5C91C3EB"/>
    <w:rsid w:val="5CCEE632"/>
    <w:rsid w:val="5D00D08D"/>
    <w:rsid w:val="5D01B407"/>
    <w:rsid w:val="5D1914E9"/>
    <w:rsid w:val="5DDFD57E"/>
    <w:rsid w:val="5DF158CF"/>
    <w:rsid w:val="5E5B6BAE"/>
    <w:rsid w:val="5FD597B6"/>
    <w:rsid w:val="5FEF6C56"/>
    <w:rsid w:val="60173469"/>
    <w:rsid w:val="60A505C9"/>
    <w:rsid w:val="60CB5EA6"/>
    <w:rsid w:val="60F00720"/>
    <w:rsid w:val="60FA2EA2"/>
    <w:rsid w:val="610503D9"/>
    <w:rsid w:val="6108B75F"/>
    <w:rsid w:val="61206653"/>
    <w:rsid w:val="6152E7F4"/>
    <w:rsid w:val="61945D18"/>
    <w:rsid w:val="61B0BF1C"/>
    <w:rsid w:val="61BB9960"/>
    <w:rsid w:val="61D0B339"/>
    <w:rsid w:val="61DE7FA7"/>
    <w:rsid w:val="61E27731"/>
    <w:rsid w:val="61EA8DC0"/>
    <w:rsid w:val="620A453E"/>
    <w:rsid w:val="6259C16D"/>
    <w:rsid w:val="627A6198"/>
    <w:rsid w:val="62A32C34"/>
    <w:rsid w:val="62EBCF83"/>
    <w:rsid w:val="62FCBEF0"/>
    <w:rsid w:val="6305841D"/>
    <w:rsid w:val="63A6C421"/>
    <w:rsid w:val="63E363D0"/>
    <w:rsid w:val="642E7A1B"/>
    <w:rsid w:val="64902E19"/>
    <w:rsid w:val="64A2FD6B"/>
    <w:rsid w:val="64CC4663"/>
    <w:rsid w:val="64D51203"/>
    <w:rsid w:val="65139AF6"/>
    <w:rsid w:val="652BD661"/>
    <w:rsid w:val="65668DCF"/>
    <w:rsid w:val="65CA9FDE"/>
    <w:rsid w:val="65F0027D"/>
    <w:rsid w:val="65F3DDF7"/>
    <w:rsid w:val="6602BD84"/>
    <w:rsid w:val="66373EAA"/>
    <w:rsid w:val="664CF396"/>
    <w:rsid w:val="668C2F2D"/>
    <w:rsid w:val="66C2955C"/>
    <w:rsid w:val="6758AEA7"/>
    <w:rsid w:val="6760CFEE"/>
    <w:rsid w:val="678E9E77"/>
    <w:rsid w:val="679247ED"/>
    <w:rsid w:val="67A8CD68"/>
    <w:rsid w:val="67C404B7"/>
    <w:rsid w:val="67E57A10"/>
    <w:rsid w:val="67EB7816"/>
    <w:rsid w:val="67F76714"/>
    <w:rsid w:val="681C9515"/>
    <w:rsid w:val="68533EBA"/>
    <w:rsid w:val="68C13520"/>
    <w:rsid w:val="68C694ED"/>
    <w:rsid w:val="68DD42B6"/>
    <w:rsid w:val="6930A12B"/>
    <w:rsid w:val="695CF37E"/>
    <w:rsid w:val="697BF6B6"/>
    <w:rsid w:val="69CB9044"/>
    <w:rsid w:val="69F68D32"/>
    <w:rsid w:val="6A34FDD1"/>
    <w:rsid w:val="6A4110B4"/>
    <w:rsid w:val="6A530F00"/>
    <w:rsid w:val="6AB2C017"/>
    <w:rsid w:val="6AB5370E"/>
    <w:rsid w:val="6AD39717"/>
    <w:rsid w:val="6B05D7B4"/>
    <w:rsid w:val="6B0ADD5C"/>
    <w:rsid w:val="6B17BFD6"/>
    <w:rsid w:val="6BE35A32"/>
    <w:rsid w:val="6BF2E11F"/>
    <w:rsid w:val="6BF3FD8B"/>
    <w:rsid w:val="6BFC29E2"/>
    <w:rsid w:val="6C34E105"/>
    <w:rsid w:val="6C4C12BA"/>
    <w:rsid w:val="6CA1BC0A"/>
    <w:rsid w:val="6D122884"/>
    <w:rsid w:val="6D68204A"/>
    <w:rsid w:val="6DB184DE"/>
    <w:rsid w:val="6DD6E1E4"/>
    <w:rsid w:val="6DE4C460"/>
    <w:rsid w:val="6DF0985A"/>
    <w:rsid w:val="6E05BD6D"/>
    <w:rsid w:val="6E0B4337"/>
    <w:rsid w:val="6E778B2D"/>
    <w:rsid w:val="6EA5EA10"/>
    <w:rsid w:val="6EB2D364"/>
    <w:rsid w:val="6EF1DD67"/>
    <w:rsid w:val="6F0781C1"/>
    <w:rsid w:val="6F0D4D24"/>
    <w:rsid w:val="6F15B09D"/>
    <w:rsid w:val="6F4A50F2"/>
    <w:rsid w:val="6F97A867"/>
    <w:rsid w:val="6F97FBAE"/>
    <w:rsid w:val="6FF42084"/>
    <w:rsid w:val="700CD98E"/>
    <w:rsid w:val="70358C88"/>
    <w:rsid w:val="70FFE8A2"/>
    <w:rsid w:val="71241135"/>
    <w:rsid w:val="71A672B0"/>
    <w:rsid w:val="71B24A3D"/>
    <w:rsid w:val="71B69017"/>
    <w:rsid w:val="71D82C26"/>
    <w:rsid w:val="725BEAEF"/>
    <w:rsid w:val="726F29E9"/>
    <w:rsid w:val="72969BFE"/>
    <w:rsid w:val="72B588CB"/>
    <w:rsid w:val="7339BAC1"/>
    <w:rsid w:val="738CE67F"/>
    <w:rsid w:val="73F1003C"/>
    <w:rsid w:val="746D6226"/>
    <w:rsid w:val="74DE713F"/>
    <w:rsid w:val="75335B78"/>
    <w:rsid w:val="754357ED"/>
    <w:rsid w:val="755EE217"/>
    <w:rsid w:val="75CDCBAB"/>
    <w:rsid w:val="75EBAB62"/>
    <w:rsid w:val="75FBBFAF"/>
    <w:rsid w:val="76383484"/>
    <w:rsid w:val="7665D112"/>
    <w:rsid w:val="7670A020"/>
    <w:rsid w:val="76917BC3"/>
    <w:rsid w:val="773AC2B4"/>
    <w:rsid w:val="7755364F"/>
    <w:rsid w:val="776766A9"/>
    <w:rsid w:val="77C9F36F"/>
    <w:rsid w:val="77F155FB"/>
    <w:rsid w:val="77F8677E"/>
    <w:rsid w:val="7803CE2D"/>
    <w:rsid w:val="7844F1E9"/>
    <w:rsid w:val="784DE1F5"/>
    <w:rsid w:val="7888F42B"/>
    <w:rsid w:val="78BE1156"/>
    <w:rsid w:val="78C60230"/>
    <w:rsid w:val="78DE690E"/>
    <w:rsid w:val="79786628"/>
    <w:rsid w:val="799054E4"/>
    <w:rsid w:val="79A0EE2E"/>
    <w:rsid w:val="79A0F67B"/>
    <w:rsid w:val="79B3CDB5"/>
    <w:rsid w:val="79C3052F"/>
    <w:rsid w:val="79DFDE6E"/>
    <w:rsid w:val="7A47CAA7"/>
    <w:rsid w:val="7A56C437"/>
    <w:rsid w:val="7A63861D"/>
    <w:rsid w:val="7AD99D8F"/>
    <w:rsid w:val="7AF74ECE"/>
    <w:rsid w:val="7AFAD601"/>
    <w:rsid w:val="7B2632A5"/>
    <w:rsid w:val="7B2826F2"/>
    <w:rsid w:val="7B3CD080"/>
    <w:rsid w:val="7B4C3307"/>
    <w:rsid w:val="7BFF958F"/>
    <w:rsid w:val="7C2D16B5"/>
    <w:rsid w:val="7C2DB21D"/>
    <w:rsid w:val="7C8E8971"/>
    <w:rsid w:val="7C8EB9C6"/>
    <w:rsid w:val="7CB25129"/>
    <w:rsid w:val="7CF0D10E"/>
    <w:rsid w:val="7D0EDFC5"/>
    <w:rsid w:val="7D9AE5DA"/>
    <w:rsid w:val="7DD71134"/>
    <w:rsid w:val="7E178F6C"/>
    <w:rsid w:val="7E994717"/>
    <w:rsid w:val="7EA3FECB"/>
    <w:rsid w:val="7F23218A"/>
    <w:rsid w:val="7F98E283"/>
    <w:rsid w:val="7FAD062E"/>
    <w:rsid w:val="7FBCDC17"/>
    <w:rsid w:val="7FD004D4"/>
    <w:rsid w:val="7FEABDA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64ACE1FE-7F64-4EAA-BDA3-ABE0164E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BA"/>
    <w:rPr>
      <w:rFonts w:ascii="Segoe UI" w:hAnsi="Segoe UI"/>
      <w:sz w:val="21"/>
      <w:lang w:eastAsia="en-GB"/>
    </w:rPr>
  </w:style>
  <w:style w:type="paragraph" w:styleId="Heading1">
    <w:name w:val="heading 1"/>
    <w:basedOn w:val="Normal"/>
    <w:next w:val="Normal"/>
    <w:link w:val="Heading1Char"/>
    <w:uiPriority w:val="1"/>
    <w:qFormat/>
    <w:rsid w:val="00517395"/>
    <w:pPr>
      <w:keepNext/>
      <w:spacing w:after="360"/>
      <w:outlineLvl w:val="0"/>
    </w:pPr>
    <w:rPr>
      <w:b/>
      <w:color w:val="23305D"/>
      <w:spacing w:val="-10"/>
      <w:sz w:val="72"/>
      <w:szCs w:val="72"/>
      <w:lang w:val="en-GB"/>
    </w:rPr>
  </w:style>
  <w:style w:type="paragraph" w:styleId="Heading2">
    <w:name w:val="heading 2"/>
    <w:basedOn w:val="Normal"/>
    <w:next w:val="Normal"/>
    <w:link w:val="Heading2Char"/>
    <w:uiPriority w:val="1"/>
    <w:qFormat/>
    <w:rsid w:val="00517395"/>
    <w:pPr>
      <w:keepNext/>
      <w:spacing w:before="480" w:after="180"/>
      <w:outlineLvl w:val="1"/>
    </w:pPr>
    <w:rPr>
      <w:b/>
      <w:color w:val="0A6AB4"/>
      <w:spacing w:val="-5"/>
      <w:sz w:val="48"/>
      <w:szCs w:val="48"/>
      <w:lang w:val="en-GB"/>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link w:val="TableTextChar"/>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517395"/>
    <w:rPr>
      <w:rFonts w:ascii="Segoe UI" w:hAnsi="Segoe UI"/>
      <w:b/>
      <w:color w:val="23305D"/>
      <w:spacing w:val="-10"/>
      <w:sz w:val="72"/>
      <w:szCs w:val="72"/>
      <w:lang w:val="en-GB"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17395"/>
    <w:rPr>
      <w:rFonts w:ascii="Segoe UI" w:hAnsi="Segoe UI"/>
      <w:b/>
      <w:color w:val="0A6AB4"/>
      <w:spacing w:val="-5"/>
      <w:sz w:val="48"/>
      <w:szCs w:val="48"/>
      <w:lang w:val="en-GB"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character" w:customStyle="1" w:styleId="BulletChar">
    <w:name w:val="Bullet Char"/>
    <w:link w:val="Bullet"/>
    <w:locked/>
    <w:rsid w:val="002B32BD"/>
    <w:rPr>
      <w:rFonts w:ascii="Segoe UI" w:hAnsi="Segoe UI"/>
      <w:sz w:val="21"/>
      <w:lang w:eastAsia="en-GB"/>
    </w:rPr>
  </w:style>
  <w:style w:type="paragraph" w:customStyle="1" w:styleId="CabStandard">
    <w:name w:val="CabStandard"/>
    <w:basedOn w:val="Normal"/>
    <w:link w:val="CabStandardChar"/>
    <w:rsid w:val="002B32BD"/>
    <w:pPr>
      <w:keepLines/>
      <w:numPr>
        <w:numId w:val="33"/>
      </w:numPr>
      <w:spacing w:after="240"/>
    </w:pPr>
    <w:rPr>
      <w:rFonts w:ascii="Times New Roman" w:hAnsi="Times New Roman"/>
      <w:sz w:val="24"/>
      <w:lang w:val="en-GB" w:eastAsia="ja-JP"/>
    </w:rPr>
  </w:style>
  <w:style w:type="paragraph" w:customStyle="1" w:styleId="Second-levelbullets">
    <w:name w:val="Second-level bullets"/>
    <w:basedOn w:val="Bullet"/>
    <w:uiPriority w:val="3"/>
    <w:qFormat/>
    <w:rsid w:val="002B32BD"/>
    <w:pPr>
      <w:keepLines/>
      <w:numPr>
        <w:numId w:val="0"/>
      </w:numPr>
      <w:spacing w:before="0" w:after="160"/>
      <w:ind w:left="851" w:hanging="360"/>
    </w:pPr>
    <w:rPr>
      <w:rFonts w:asciiTheme="minorHAnsi" w:eastAsia="Segoe UI" w:hAnsiTheme="minorHAnsi" w:cstheme="minorHAnsi"/>
      <w:sz w:val="22"/>
      <w:szCs w:val="22"/>
      <w:lang w:val="en-GB" w:eastAsia="ja-JP"/>
    </w:rPr>
  </w:style>
  <w:style w:type="character" w:customStyle="1" w:styleId="CabStandardChar">
    <w:name w:val="CabStandard Char"/>
    <w:basedOn w:val="DefaultParagraphFont"/>
    <w:link w:val="CabStandard"/>
    <w:rsid w:val="002B32BD"/>
    <w:rPr>
      <w:sz w:val="24"/>
      <w:lang w:val="en-GB" w:eastAsia="ja-JP"/>
    </w:rPr>
  </w:style>
  <w:style w:type="character" w:styleId="UnresolvedMention">
    <w:name w:val="Unresolved Mention"/>
    <w:basedOn w:val="DefaultParagraphFont"/>
    <w:uiPriority w:val="99"/>
    <w:semiHidden/>
    <w:unhideWhenUsed/>
    <w:rsid w:val="002B68B9"/>
    <w:rPr>
      <w:color w:val="605E5C"/>
      <w:shd w:val="clear" w:color="auto" w:fill="E1DFDD"/>
    </w:rPr>
  </w:style>
  <w:style w:type="character" w:customStyle="1" w:styleId="FigureChar">
    <w:name w:val="Figure Char"/>
    <w:link w:val="Figure"/>
    <w:locked/>
    <w:rsid w:val="002B68B9"/>
    <w:rPr>
      <w:rFonts w:ascii="Segoe UI" w:hAnsi="Segoe UI"/>
      <w:b/>
      <w:lang w:eastAsia="en-GB"/>
    </w:rPr>
  </w:style>
  <w:style w:type="paragraph" w:customStyle="1" w:styleId="pf0">
    <w:name w:val="pf0"/>
    <w:basedOn w:val="Normal"/>
    <w:rsid w:val="002B68B9"/>
    <w:pPr>
      <w:keepLines/>
      <w:spacing w:before="100" w:beforeAutospacing="1" w:after="100" w:afterAutospacing="1"/>
    </w:pPr>
    <w:rPr>
      <w:rFonts w:ascii="Times New Roman" w:hAnsi="Times New Roman"/>
      <w:sz w:val="24"/>
      <w:szCs w:val="24"/>
      <w:lang w:eastAsia="en-NZ"/>
    </w:rPr>
  </w:style>
  <w:style w:type="paragraph" w:styleId="Caption">
    <w:name w:val="caption"/>
    <w:basedOn w:val="Normal"/>
    <w:next w:val="Normal"/>
    <w:unhideWhenUsed/>
    <w:qFormat/>
    <w:rsid w:val="002B68B9"/>
    <w:pPr>
      <w:spacing w:after="200"/>
    </w:pPr>
    <w:rPr>
      <w:i/>
      <w:iCs/>
      <w:color w:val="1F497D" w:themeColor="text2"/>
      <w:sz w:val="18"/>
      <w:szCs w:val="18"/>
    </w:rPr>
  </w:style>
  <w:style w:type="paragraph" w:customStyle="1" w:styleId="Tablebullets">
    <w:name w:val="Table bullets"/>
    <w:basedOn w:val="ListParagraph"/>
    <w:link w:val="TablebulletsChar"/>
    <w:qFormat/>
    <w:rsid w:val="00457CAC"/>
    <w:pPr>
      <w:keepLines/>
      <w:numPr>
        <w:numId w:val="36"/>
      </w:numPr>
      <w:spacing w:before="60" w:after="60"/>
      <w:ind w:left="284"/>
      <w:contextualSpacing w:val="0"/>
    </w:pPr>
    <w:rPr>
      <w:rFonts w:asciiTheme="minorHAnsi" w:eastAsia="Calibri" w:hAnsiTheme="minorHAnsi" w:cstheme="minorHAnsi"/>
      <w:sz w:val="20"/>
      <w:lang w:eastAsia="en-US"/>
    </w:rPr>
  </w:style>
  <w:style w:type="character" w:customStyle="1" w:styleId="TablebulletsChar">
    <w:name w:val="Table bullets Char"/>
    <w:basedOn w:val="DefaultParagraphFont"/>
    <w:link w:val="Tablebullets"/>
    <w:rsid w:val="00457CAC"/>
    <w:rPr>
      <w:rFonts w:asciiTheme="minorHAnsi" w:eastAsia="Calibri" w:hAnsiTheme="minorHAnsi" w:cstheme="minorHAnsi"/>
      <w:lang w:eastAsia="en-US"/>
    </w:rPr>
  </w:style>
  <w:style w:type="paragraph" w:styleId="ListParagraph">
    <w:name w:val="List Paragraph"/>
    <w:aliases w:val="Level 3,List Paragraph1,List Paragraph numbered,List Bullet indent,Normal text,Bullet Normal,numbered,FooterText,Paragraphe de liste1,Bulletr List Paragraph,列出段落,列出段落1,Bullet List,Board paper bullet list,#List Paragraph,target,Rec para,L"/>
    <w:basedOn w:val="Normal"/>
    <w:link w:val="ListParagraphChar"/>
    <w:uiPriority w:val="34"/>
    <w:qFormat/>
    <w:rsid w:val="00457CAC"/>
    <w:pPr>
      <w:ind w:left="720"/>
      <w:contextualSpacing/>
    </w:pPr>
  </w:style>
  <w:style w:type="character" w:customStyle="1" w:styleId="ListParagraphChar">
    <w:name w:val="List Paragraph Char"/>
    <w:aliases w:val="Level 3 Char,List Paragraph1 Char,List Paragraph numbered Char,List Bullet indent Char,Normal text Char,Bullet Normal Char,numbered Char,FooterText Char,Paragraphe de liste1 Char,Bulletr List Paragraph Char,列出段落 Char,列出段落1 Char"/>
    <w:basedOn w:val="DefaultParagraphFont"/>
    <w:link w:val="ListParagraph"/>
    <w:uiPriority w:val="34"/>
    <w:qFormat/>
    <w:rsid w:val="002422D8"/>
    <w:rPr>
      <w:rFonts w:ascii="Segoe UI" w:hAnsi="Segoe UI"/>
      <w:sz w:val="21"/>
      <w:lang w:eastAsia="en-GB"/>
    </w:rPr>
  </w:style>
  <w:style w:type="character" w:customStyle="1" w:styleId="TableTextChar">
    <w:name w:val="TableText Char"/>
    <w:link w:val="TableText"/>
    <w:rsid w:val="008B792A"/>
    <w:rPr>
      <w:rFonts w:ascii="Segoe UI" w:hAnsi="Segoe UI"/>
      <w:sz w:val="18"/>
      <w:lang w:eastAsia="en-GB"/>
    </w:rPr>
  </w:style>
  <w:style w:type="paragraph" w:styleId="TOCHeading">
    <w:name w:val="TOC Heading"/>
    <w:basedOn w:val="Heading1"/>
    <w:next w:val="Normal"/>
    <w:uiPriority w:val="39"/>
    <w:unhideWhenUsed/>
    <w:qFormat/>
    <w:rsid w:val="009049B7"/>
    <w:pPr>
      <w:keepLines/>
      <w:spacing w:before="240" w:after="0" w:line="259" w:lineRule="auto"/>
      <w:outlineLvl w:val="9"/>
    </w:pPr>
    <w:rPr>
      <w:rFonts w:asciiTheme="majorHAnsi" w:eastAsiaTheme="majorEastAsia" w:hAnsiTheme="majorHAnsi" w:cstheme="majorBidi"/>
      <w:b w:val="0"/>
      <w:color w:val="365F91" w:themeColor="accent1" w:themeShade="BF"/>
      <w:spacing w:val="0"/>
      <w:sz w:val="32"/>
      <w:szCs w:val="32"/>
      <w:lang w:val="en-US" w:eastAsia="en-US"/>
    </w:rPr>
  </w:style>
  <w:style w:type="character" w:customStyle="1" w:styleId="ui-provider">
    <w:name w:val="ui-provider"/>
    <w:basedOn w:val="DefaultParagraphFont"/>
    <w:rsid w:val="00667EA0"/>
  </w:style>
  <w:style w:type="paragraph" w:styleId="CommentText">
    <w:name w:val="annotation text"/>
    <w:basedOn w:val="Normal"/>
    <w:link w:val="CommentTextChar"/>
    <w:uiPriority w:val="99"/>
    <w:unhideWhenUsed/>
    <w:rsid w:val="00F522B9"/>
    <w:rPr>
      <w:sz w:val="20"/>
    </w:rPr>
  </w:style>
  <w:style w:type="character" w:customStyle="1" w:styleId="CommentTextChar">
    <w:name w:val="Comment Text Char"/>
    <w:basedOn w:val="DefaultParagraphFont"/>
    <w:link w:val="CommentText"/>
    <w:uiPriority w:val="99"/>
    <w:rsid w:val="00F522B9"/>
    <w:rPr>
      <w:rFonts w:ascii="Segoe UI" w:hAnsi="Segoe UI"/>
      <w:lang w:eastAsia="en-GB"/>
    </w:rPr>
  </w:style>
  <w:style w:type="character" w:styleId="CommentReference">
    <w:name w:val="annotation reference"/>
    <w:basedOn w:val="DefaultParagraphFont"/>
    <w:uiPriority w:val="99"/>
    <w:semiHidden/>
    <w:unhideWhenUsed/>
    <w:rsid w:val="00F522B9"/>
    <w:rPr>
      <w:sz w:val="16"/>
      <w:szCs w:val="16"/>
    </w:rPr>
  </w:style>
  <w:style w:type="character" w:styleId="Mention">
    <w:name w:val="Mention"/>
    <w:basedOn w:val="DefaultParagraphFont"/>
    <w:uiPriority w:val="99"/>
    <w:unhideWhenUsed/>
    <w:rsid w:val="005C7B4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84DDC"/>
    <w:rPr>
      <w:b/>
      <w:bCs/>
    </w:rPr>
  </w:style>
  <w:style w:type="character" w:customStyle="1" w:styleId="CommentSubjectChar">
    <w:name w:val="Comment Subject Char"/>
    <w:basedOn w:val="CommentTextChar"/>
    <w:link w:val="CommentSubject"/>
    <w:uiPriority w:val="99"/>
    <w:semiHidden/>
    <w:rsid w:val="00A84DDC"/>
    <w:rPr>
      <w:rFonts w:ascii="Segoe UI" w:hAnsi="Segoe UI"/>
      <w:b/>
      <w:bCs/>
      <w:lang w:eastAsia="en-GB"/>
    </w:rPr>
  </w:style>
  <w:style w:type="character" w:customStyle="1" w:styleId="normaltextrun">
    <w:name w:val="normaltextrun"/>
    <w:basedOn w:val="DefaultParagraphFont"/>
    <w:rsid w:val="00740E3B"/>
  </w:style>
  <w:style w:type="character" w:styleId="FollowedHyperlink">
    <w:name w:val="FollowedHyperlink"/>
    <w:basedOn w:val="DefaultParagraphFont"/>
    <w:uiPriority w:val="99"/>
    <w:semiHidden/>
    <w:unhideWhenUsed/>
    <w:rsid w:val="00FD69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800">
      <w:bodyDiv w:val="1"/>
      <w:marLeft w:val="0"/>
      <w:marRight w:val="0"/>
      <w:marTop w:val="0"/>
      <w:marBottom w:val="0"/>
      <w:divBdr>
        <w:top w:val="none" w:sz="0" w:space="0" w:color="auto"/>
        <w:left w:val="none" w:sz="0" w:space="0" w:color="auto"/>
        <w:bottom w:val="none" w:sz="0" w:space="0" w:color="auto"/>
        <w:right w:val="none" w:sz="0" w:space="0" w:color="auto"/>
      </w:divBdr>
    </w:div>
    <w:div w:id="127944729">
      <w:bodyDiv w:val="1"/>
      <w:marLeft w:val="0"/>
      <w:marRight w:val="0"/>
      <w:marTop w:val="0"/>
      <w:marBottom w:val="0"/>
      <w:divBdr>
        <w:top w:val="none" w:sz="0" w:space="0" w:color="auto"/>
        <w:left w:val="none" w:sz="0" w:space="0" w:color="auto"/>
        <w:bottom w:val="none" w:sz="0" w:space="0" w:color="auto"/>
        <w:right w:val="none" w:sz="0" w:space="0" w:color="auto"/>
      </w:divBdr>
    </w:div>
    <w:div w:id="289748464">
      <w:bodyDiv w:val="1"/>
      <w:marLeft w:val="0"/>
      <w:marRight w:val="0"/>
      <w:marTop w:val="0"/>
      <w:marBottom w:val="0"/>
      <w:divBdr>
        <w:top w:val="none" w:sz="0" w:space="0" w:color="auto"/>
        <w:left w:val="none" w:sz="0" w:space="0" w:color="auto"/>
        <w:bottom w:val="none" w:sz="0" w:space="0" w:color="auto"/>
        <w:right w:val="none" w:sz="0" w:space="0" w:color="auto"/>
      </w:divBdr>
    </w:div>
    <w:div w:id="944188332">
      <w:bodyDiv w:val="1"/>
      <w:marLeft w:val="0"/>
      <w:marRight w:val="0"/>
      <w:marTop w:val="0"/>
      <w:marBottom w:val="0"/>
      <w:divBdr>
        <w:top w:val="none" w:sz="0" w:space="0" w:color="auto"/>
        <w:left w:val="none" w:sz="0" w:space="0" w:color="auto"/>
        <w:bottom w:val="none" w:sz="0" w:space="0" w:color="auto"/>
        <w:right w:val="none" w:sz="0" w:space="0" w:color="auto"/>
      </w:divBdr>
    </w:div>
    <w:div w:id="1015884705">
      <w:bodyDiv w:val="1"/>
      <w:marLeft w:val="0"/>
      <w:marRight w:val="0"/>
      <w:marTop w:val="0"/>
      <w:marBottom w:val="0"/>
      <w:divBdr>
        <w:top w:val="none" w:sz="0" w:space="0" w:color="auto"/>
        <w:left w:val="none" w:sz="0" w:space="0" w:color="auto"/>
        <w:bottom w:val="none" w:sz="0" w:space="0" w:color="auto"/>
        <w:right w:val="none" w:sz="0" w:space="0" w:color="auto"/>
      </w:divBdr>
    </w:div>
    <w:div w:id="1098216662">
      <w:bodyDiv w:val="1"/>
      <w:marLeft w:val="0"/>
      <w:marRight w:val="0"/>
      <w:marTop w:val="0"/>
      <w:marBottom w:val="0"/>
      <w:divBdr>
        <w:top w:val="none" w:sz="0" w:space="0" w:color="auto"/>
        <w:left w:val="none" w:sz="0" w:space="0" w:color="auto"/>
        <w:bottom w:val="none" w:sz="0" w:space="0" w:color="auto"/>
        <w:right w:val="none" w:sz="0" w:space="0" w:color="auto"/>
      </w:divBdr>
    </w:div>
    <w:div w:id="1317757924">
      <w:bodyDiv w:val="1"/>
      <w:marLeft w:val="0"/>
      <w:marRight w:val="0"/>
      <w:marTop w:val="0"/>
      <w:marBottom w:val="0"/>
      <w:divBdr>
        <w:top w:val="none" w:sz="0" w:space="0" w:color="auto"/>
        <w:left w:val="none" w:sz="0" w:space="0" w:color="auto"/>
        <w:bottom w:val="none" w:sz="0" w:space="0" w:color="auto"/>
        <w:right w:val="none" w:sz="0" w:space="0" w:color="auto"/>
      </w:divBdr>
    </w:div>
    <w:div w:id="1567715451">
      <w:bodyDiv w:val="1"/>
      <w:marLeft w:val="0"/>
      <w:marRight w:val="0"/>
      <w:marTop w:val="0"/>
      <w:marBottom w:val="0"/>
      <w:divBdr>
        <w:top w:val="none" w:sz="0" w:space="0" w:color="auto"/>
        <w:left w:val="none" w:sz="0" w:space="0" w:color="auto"/>
        <w:bottom w:val="none" w:sz="0" w:space="0" w:color="auto"/>
        <w:right w:val="none" w:sz="0" w:space="0" w:color="auto"/>
      </w:divBdr>
    </w:div>
    <w:div w:id="1857764416">
      <w:bodyDiv w:val="1"/>
      <w:marLeft w:val="0"/>
      <w:marRight w:val="0"/>
      <w:marTop w:val="0"/>
      <w:marBottom w:val="0"/>
      <w:divBdr>
        <w:top w:val="none" w:sz="0" w:space="0" w:color="auto"/>
        <w:left w:val="none" w:sz="0" w:space="0" w:color="auto"/>
        <w:bottom w:val="none" w:sz="0" w:space="0" w:color="auto"/>
        <w:right w:val="none" w:sz="0" w:space="0" w:color="auto"/>
      </w:divBdr>
    </w:div>
    <w:div w:id="20651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health.govt.nz/strategies-initiatives/health-strategies/new-zealand-health-strategy" TargetMode="Externa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hyperlink" Target="https://auc-word-edit.officeapps.live.com/we/wordeditorframe.aspx?ui=en-US&amp;rs=en-NZ&amp;actnavid=eyJjIjo3MDc1ODc1MjF9&amp;wopisrc=https%3A%2F%2Fmohgovtnz.sharepoint.com%2Fsites%2Fmoh-ecm-MentHealSPL%2F_vti_bin%2Fwopi.ashx%2Ffiles%2Fa3806fa4fd9e4b98b488767ab7e69147&amp;wdenableroaming=1&amp;mscc=1&amp;hid=F4E337A1-B0D6-3000-8C5F-80FAED400C7B.0&amp;uih=sharepointcom&amp;wdlcid=en-US&amp;jsapi=1&amp;jsapiver=v2&amp;corrid=209f2671-9f91-15ad-85e0-6c06f0f0173f&amp;usid=209f2671-9f91-15ad-85e0-6c06f0f0173f&amp;newsession=1&amp;sftc=1&amp;uihit=docaspx&amp;muv=1&amp;cac=1&amp;sams=1&amp;mtf=1&amp;sfp=1&amp;sdp=1&amp;hch=1&amp;hwfh=1&amp;dchat=1&amp;sc=%7B%22pmo%22%3A%22https%3A%2F%2Fmohgovtnz.sharepoint.com%22%2C%22pmshare%22%3Atrue%7D&amp;ctp=LeastProtected&amp;rct=Normal&amp;wdorigin=Outlook-Body.Sharing.DirectLink&amp;wdhostclicktime=1719800065323&amp;instantedit=1&amp;wopicomplete=1&amp;wdredirectionreason=Unified_SingleFlush"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t.nz/publications/measuring-the-burden-of-gambling-harm-in-new-zealand" TargetMode="External"/><Relationship Id="rId2" Type="http://schemas.openxmlformats.org/officeDocument/2006/relationships/hyperlink" Target="http://www.hpa.org.nz/research-library/research-publications/new-zealanders-participation-in-gambling-results-from-the-2016-health-and-lifestyles-survey" TargetMode="External"/><Relationship Id="rId1" Type="http://schemas.openxmlformats.org/officeDocument/2006/relationships/hyperlink" Target="http://www.dia.govt.nz/gambling-statistics-expenditure" TargetMode="External"/><Relationship Id="rId5" Type="http://schemas.openxmlformats.org/officeDocument/2006/relationships/hyperlink" Target="https://www.gamblingcommission.govt.nz/GCwebsite.nsf/Files/Problem-Gambling-Levy-Report-2022/$file/Problem-Gambling-Levy-Report-2022.pdf" TargetMode="External"/><Relationship Id="rId4" Type="http://schemas.openxmlformats.org/officeDocument/2006/relationships/hyperlink" Target="https://www.health.govt.nz/statistics-research/statistics-and-data-sets/problem-gambling/gambling-harm-services-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61" ma:contentTypeDescription="Create a new document." ma:contentTypeScope="" ma:versionID="040d7f83dec44107ebaabb31d293222f">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42af7a6d3f9f7f10dd6560d3e42f50e3"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Strategy</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Preventing &amp; Minimising Gambling Harm</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Strategy and policy</CategoryName>
    <PRADateTrigger xmlns="4f9c820c-e7e2-444d-97ee-45f2b3485c1d" xsi:nil="true"/>
    <PRAText2 xmlns="4f9c820c-e7e2-444d-97ee-45f2b3485c1d" xsi:nil="true"/>
    <zLegacyID xmlns="184c05c4-c568-455d-94a4-7e009b164348" xsi:nil="true"/>
    <_dlc_DocId xmlns="c5b47098-0215-444c-9096-523bda4ac5c6">MOHECM-952532665-29933</_dlc_DocId>
    <_dlc_DocIdUrl xmlns="c5b47098-0215-444c-9096-523bda4ac5c6">
      <Url>https://mohgovtnz.sharepoint.com/sites/moh-ecm-MentHealSPL/_layouts/15/DocIdRedir.aspx?ID=MOHECM-952532665-29933</Url>
      <Description>MOHECM-952532665-29933</Description>
    </_dlc_DocIdUrl>
  </documentManagement>
</p:properties>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507356F0-23F3-40B6-A8A1-CDD816C58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088DF-9A63-429D-8273-5E41D1BFCC22}">
  <ds:schemaRefs>
    <ds:schemaRef ds:uri="http://schemas.microsoft.com/sharepoint/events"/>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c5b47098-0215-444c-9096-523bda4ac5c6"/>
    <ds:schemaRef ds:uri="d0b61010-d6f3-4072-b934-7bbb13e97771"/>
    <ds:schemaRef ds:uri="54904628-6268-4ac5-9416-97794f1d508d"/>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TotalTime>
  <Pages>27</Pages>
  <Words>8005</Words>
  <Characters>47920</Characters>
  <Application>Microsoft Office Word</Application>
  <DocSecurity>0</DocSecurity>
  <Lines>399</Lines>
  <Paragraphs>111</Paragraphs>
  <ScaleCrop>false</ScaleCrop>
  <HeadingPairs>
    <vt:vector size="2" baseType="variant">
      <vt:variant>
        <vt:lpstr>Title</vt:lpstr>
      </vt:variant>
      <vt:variant>
        <vt:i4>1</vt:i4>
      </vt:variant>
    </vt:vector>
  </HeadingPairs>
  <TitlesOfParts>
    <vt:vector size="1" baseType="lpstr">
      <vt:lpstr>trategy to Prevent and Minimise Gambling Harm 2025/26 to 2027/28: Proposals document</vt:lpstr>
    </vt:vector>
  </TitlesOfParts>
  <Company>Microsoft</Company>
  <LinksUpToDate>false</LinksUpToDate>
  <CharactersWithSpaces>55814</CharactersWithSpaces>
  <SharedDoc>false</SharedDoc>
  <HLinks>
    <vt:vector size="222" baseType="variant">
      <vt:variant>
        <vt:i4>6619136</vt:i4>
      </vt:variant>
      <vt:variant>
        <vt:i4>213</vt:i4>
      </vt:variant>
      <vt:variant>
        <vt:i4>0</vt:i4>
      </vt:variant>
      <vt:variant>
        <vt:i4>5</vt:i4>
      </vt:variant>
      <vt:variant>
        <vt:lpwstr>https://auc-word-edit.officeapps.live.com/we/wordeditorframe.aspx?ui=en-US&amp;rs=en-NZ&amp;actnavid=eyJjIjo3MDc1ODc1MjF9&amp;wopisrc=https%3A%2F%2Fmohgovtnz.sharepoint.com%2Fsites%2Fmoh-ecm-MentHealSPL%2F_vti_bin%2Fwopi.ashx%2Ffiles%2Fa3806fa4fd9e4b98b488767ab7e69147&amp;wdenableroaming=1&amp;mscc=1&amp;hid=F4E337A1-B0D6-3000-8C5F-80FAED400C7B.0&amp;uih=sharepointcom&amp;wdlcid=en-US&amp;jsapi=1&amp;jsapiver=v2&amp;corrid=209f2671-9f91-15ad-85e0-6c06f0f0173f&amp;usid=209f2671-9f91-15ad-85e0-6c06f0f0173f&amp;newsession=1&amp;sftc=1&amp;uihit=docaspx&amp;muv=1&amp;cac=1&amp;sams=1&amp;mtf=1&amp;sfp=1&amp;sdp=1&amp;hch=1&amp;hwfh=1&amp;dchat=1&amp;sc=%7B%22pmo%22%3A%22https%3A%2F%2Fmohgovtnz.sharepoint.com%22%2C%22pmshare%22%3Atrue%7D&amp;ctp=LeastProtected&amp;rct=Normal&amp;wdorigin=Outlook-Body.Sharing.DirectLink&amp;wdhostclicktime=1719800065323&amp;instantedit=1&amp;wopicomplete=1&amp;wdredirectionreason=Unified_SingleFlush</vt:lpwstr>
      </vt:variant>
      <vt:variant>
        <vt:lpwstr>_ftn1</vt:lpwstr>
      </vt:variant>
      <vt:variant>
        <vt:i4>1703995</vt:i4>
      </vt:variant>
      <vt:variant>
        <vt:i4>188</vt:i4>
      </vt:variant>
      <vt:variant>
        <vt:i4>0</vt:i4>
      </vt:variant>
      <vt:variant>
        <vt:i4>5</vt:i4>
      </vt:variant>
      <vt:variant>
        <vt:lpwstr/>
      </vt:variant>
      <vt:variant>
        <vt:lpwstr>_Toc188007226</vt:lpwstr>
      </vt:variant>
      <vt:variant>
        <vt:i4>1703995</vt:i4>
      </vt:variant>
      <vt:variant>
        <vt:i4>182</vt:i4>
      </vt:variant>
      <vt:variant>
        <vt:i4>0</vt:i4>
      </vt:variant>
      <vt:variant>
        <vt:i4>5</vt:i4>
      </vt:variant>
      <vt:variant>
        <vt:lpwstr/>
      </vt:variant>
      <vt:variant>
        <vt:lpwstr>_Toc188007225</vt:lpwstr>
      </vt:variant>
      <vt:variant>
        <vt:i4>1703995</vt:i4>
      </vt:variant>
      <vt:variant>
        <vt:i4>176</vt:i4>
      </vt:variant>
      <vt:variant>
        <vt:i4>0</vt:i4>
      </vt:variant>
      <vt:variant>
        <vt:i4>5</vt:i4>
      </vt:variant>
      <vt:variant>
        <vt:lpwstr/>
      </vt:variant>
      <vt:variant>
        <vt:lpwstr>_Toc188007224</vt:lpwstr>
      </vt:variant>
      <vt:variant>
        <vt:i4>1703995</vt:i4>
      </vt:variant>
      <vt:variant>
        <vt:i4>170</vt:i4>
      </vt:variant>
      <vt:variant>
        <vt:i4>0</vt:i4>
      </vt:variant>
      <vt:variant>
        <vt:i4>5</vt:i4>
      </vt:variant>
      <vt:variant>
        <vt:lpwstr/>
      </vt:variant>
      <vt:variant>
        <vt:lpwstr>_Toc188007223</vt:lpwstr>
      </vt:variant>
      <vt:variant>
        <vt:i4>1703995</vt:i4>
      </vt:variant>
      <vt:variant>
        <vt:i4>164</vt:i4>
      </vt:variant>
      <vt:variant>
        <vt:i4>0</vt:i4>
      </vt:variant>
      <vt:variant>
        <vt:i4>5</vt:i4>
      </vt:variant>
      <vt:variant>
        <vt:lpwstr/>
      </vt:variant>
      <vt:variant>
        <vt:lpwstr>_Toc188007222</vt:lpwstr>
      </vt:variant>
      <vt:variant>
        <vt:i4>1703995</vt:i4>
      </vt:variant>
      <vt:variant>
        <vt:i4>158</vt:i4>
      </vt:variant>
      <vt:variant>
        <vt:i4>0</vt:i4>
      </vt:variant>
      <vt:variant>
        <vt:i4>5</vt:i4>
      </vt:variant>
      <vt:variant>
        <vt:lpwstr/>
      </vt:variant>
      <vt:variant>
        <vt:lpwstr>_Toc188007221</vt:lpwstr>
      </vt:variant>
      <vt:variant>
        <vt:i4>1769523</vt:i4>
      </vt:variant>
      <vt:variant>
        <vt:i4>149</vt:i4>
      </vt:variant>
      <vt:variant>
        <vt:i4>0</vt:i4>
      </vt:variant>
      <vt:variant>
        <vt:i4>5</vt:i4>
      </vt:variant>
      <vt:variant>
        <vt:lpwstr/>
      </vt:variant>
      <vt:variant>
        <vt:lpwstr>_Toc193899845</vt:lpwstr>
      </vt:variant>
      <vt:variant>
        <vt:i4>1769523</vt:i4>
      </vt:variant>
      <vt:variant>
        <vt:i4>143</vt:i4>
      </vt:variant>
      <vt:variant>
        <vt:i4>0</vt:i4>
      </vt:variant>
      <vt:variant>
        <vt:i4>5</vt:i4>
      </vt:variant>
      <vt:variant>
        <vt:lpwstr/>
      </vt:variant>
      <vt:variant>
        <vt:lpwstr>_Toc193899844</vt:lpwstr>
      </vt:variant>
      <vt:variant>
        <vt:i4>1441840</vt:i4>
      </vt:variant>
      <vt:variant>
        <vt:i4>134</vt:i4>
      </vt:variant>
      <vt:variant>
        <vt:i4>0</vt:i4>
      </vt:variant>
      <vt:variant>
        <vt:i4>5</vt:i4>
      </vt:variant>
      <vt:variant>
        <vt:lpwstr/>
      </vt:variant>
      <vt:variant>
        <vt:lpwstr>_Toc192534090</vt:lpwstr>
      </vt:variant>
      <vt:variant>
        <vt:i4>1507376</vt:i4>
      </vt:variant>
      <vt:variant>
        <vt:i4>128</vt:i4>
      </vt:variant>
      <vt:variant>
        <vt:i4>0</vt:i4>
      </vt:variant>
      <vt:variant>
        <vt:i4>5</vt:i4>
      </vt:variant>
      <vt:variant>
        <vt:lpwstr/>
      </vt:variant>
      <vt:variant>
        <vt:lpwstr>_Toc192534089</vt:lpwstr>
      </vt:variant>
      <vt:variant>
        <vt:i4>1507376</vt:i4>
      </vt:variant>
      <vt:variant>
        <vt:i4>122</vt:i4>
      </vt:variant>
      <vt:variant>
        <vt:i4>0</vt:i4>
      </vt:variant>
      <vt:variant>
        <vt:i4>5</vt:i4>
      </vt:variant>
      <vt:variant>
        <vt:lpwstr/>
      </vt:variant>
      <vt:variant>
        <vt:lpwstr>_Toc192534088</vt:lpwstr>
      </vt:variant>
      <vt:variant>
        <vt:i4>1507376</vt:i4>
      </vt:variant>
      <vt:variant>
        <vt:i4>116</vt:i4>
      </vt:variant>
      <vt:variant>
        <vt:i4>0</vt:i4>
      </vt:variant>
      <vt:variant>
        <vt:i4>5</vt:i4>
      </vt:variant>
      <vt:variant>
        <vt:lpwstr/>
      </vt:variant>
      <vt:variant>
        <vt:lpwstr>_Toc192534087</vt:lpwstr>
      </vt:variant>
      <vt:variant>
        <vt:i4>1507376</vt:i4>
      </vt:variant>
      <vt:variant>
        <vt:i4>110</vt:i4>
      </vt:variant>
      <vt:variant>
        <vt:i4>0</vt:i4>
      </vt:variant>
      <vt:variant>
        <vt:i4>5</vt:i4>
      </vt:variant>
      <vt:variant>
        <vt:lpwstr/>
      </vt:variant>
      <vt:variant>
        <vt:lpwstr>_Toc192534086</vt:lpwstr>
      </vt:variant>
      <vt:variant>
        <vt:i4>1507376</vt:i4>
      </vt:variant>
      <vt:variant>
        <vt:i4>104</vt:i4>
      </vt:variant>
      <vt:variant>
        <vt:i4>0</vt:i4>
      </vt:variant>
      <vt:variant>
        <vt:i4>5</vt:i4>
      </vt:variant>
      <vt:variant>
        <vt:lpwstr/>
      </vt:variant>
      <vt:variant>
        <vt:lpwstr>_Toc192534085</vt:lpwstr>
      </vt:variant>
      <vt:variant>
        <vt:i4>1507376</vt:i4>
      </vt:variant>
      <vt:variant>
        <vt:i4>98</vt:i4>
      </vt:variant>
      <vt:variant>
        <vt:i4>0</vt:i4>
      </vt:variant>
      <vt:variant>
        <vt:i4>5</vt:i4>
      </vt:variant>
      <vt:variant>
        <vt:lpwstr/>
      </vt:variant>
      <vt:variant>
        <vt:lpwstr>_Toc192534084</vt:lpwstr>
      </vt:variant>
      <vt:variant>
        <vt:i4>1507376</vt:i4>
      </vt:variant>
      <vt:variant>
        <vt:i4>92</vt:i4>
      </vt:variant>
      <vt:variant>
        <vt:i4>0</vt:i4>
      </vt:variant>
      <vt:variant>
        <vt:i4>5</vt:i4>
      </vt:variant>
      <vt:variant>
        <vt:lpwstr/>
      </vt:variant>
      <vt:variant>
        <vt:lpwstr>_Toc192534083</vt:lpwstr>
      </vt:variant>
      <vt:variant>
        <vt:i4>1507376</vt:i4>
      </vt:variant>
      <vt:variant>
        <vt:i4>86</vt:i4>
      </vt:variant>
      <vt:variant>
        <vt:i4>0</vt:i4>
      </vt:variant>
      <vt:variant>
        <vt:i4>5</vt:i4>
      </vt:variant>
      <vt:variant>
        <vt:lpwstr/>
      </vt:variant>
      <vt:variant>
        <vt:lpwstr>_Toc192534082</vt:lpwstr>
      </vt:variant>
      <vt:variant>
        <vt:i4>1507376</vt:i4>
      </vt:variant>
      <vt:variant>
        <vt:i4>80</vt:i4>
      </vt:variant>
      <vt:variant>
        <vt:i4>0</vt:i4>
      </vt:variant>
      <vt:variant>
        <vt:i4>5</vt:i4>
      </vt:variant>
      <vt:variant>
        <vt:lpwstr/>
      </vt:variant>
      <vt:variant>
        <vt:lpwstr>_Toc192534081</vt:lpwstr>
      </vt:variant>
      <vt:variant>
        <vt:i4>1507376</vt:i4>
      </vt:variant>
      <vt:variant>
        <vt:i4>74</vt:i4>
      </vt:variant>
      <vt:variant>
        <vt:i4>0</vt:i4>
      </vt:variant>
      <vt:variant>
        <vt:i4>5</vt:i4>
      </vt:variant>
      <vt:variant>
        <vt:lpwstr/>
      </vt:variant>
      <vt:variant>
        <vt:lpwstr>_Toc192534080</vt:lpwstr>
      </vt:variant>
      <vt:variant>
        <vt:i4>1572912</vt:i4>
      </vt:variant>
      <vt:variant>
        <vt:i4>68</vt:i4>
      </vt:variant>
      <vt:variant>
        <vt:i4>0</vt:i4>
      </vt:variant>
      <vt:variant>
        <vt:i4>5</vt:i4>
      </vt:variant>
      <vt:variant>
        <vt:lpwstr/>
      </vt:variant>
      <vt:variant>
        <vt:lpwstr>_Toc192534079</vt:lpwstr>
      </vt:variant>
      <vt:variant>
        <vt:i4>1572912</vt:i4>
      </vt:variant>
      <vt:variant>
        <vt:i4>62</vt:i4>
      </vt:variant>
      <vt:variant>
        <vt:i4>0</vt:i4>
      </vt:variant>
      <vt:variant>
        <vt:i4>5</vt:i4>
      </vt:variant>
      <vt:variant>
        <vt:lpwstr/>
      </vt:variant>
      <vt:variant>
        <vt:lpwstr>_Toc192534078</vt:lpwstr>
      </vt:variant>
      <vt:variant>
        <vt:i4>1572912</vt:i4>
      </vt:variant>
      <vt:variant>
        <vt:i4>56</vt:i4>
      </vt:variant>
      <vt:variant>
        <vt:i4>0</vt:i4>
      </vt:variant>
      <vt:variant>
        <vt:i4>5</vt:i4>
      </vt:variant>
      <vt:variant>
        <vt:lpwstr/>
      </vt:variant>
      <vt:variant>
        <vt:lpwstr>_Toc192534077</vt:lpwstr>
      </vt:variant>
      <vt:variant>
        <vt:i4>1572912</vt:i4>
      </vt:variant>
      <vt:variant>
        <vt:i4>50</vt:i4>
      </vt:variant>
      <vt:variant>
        <vt:i4>0</vt:i4>
      </vt:variant>
      <vt:variant>
        <vt:i4>5</vt:i4>
      </vt:variant>
      <vt:variant>
        <vt:lpwstr/>
      </vt:variant>
      <vt:variant>
        <vt:lpwstr>_Toc192534076</vt:lpwstr>
      </vt:variant>
      <vt:variant>
        <vt:i4>1572912</vt:i4>
      </vt:variant>
      <vt:variant>
        <vt:i4>44</vt:i4>
      </vt:variant>
      <vt:variant>
        <vt:i4>0</vt:i4>
      </vt:variant>
      <vt:variant>
        <vt:i4>5</vt:i4>
      </vt:variant>
      <vt:variant>
        <vt:lpwstr/>
      </vt:variant>
      <vt:variant>
        <vt:lpwstr>_Toc192534075</vt:lpwstr>
      </vt:variant>
      <vt:variant>
        <vt:i4>1572912</vt:i4>
      </vt:variant>
      <vt:variant>
        <vt:i4>38</vt:i4>
      </vt:variant>
      <vt:variant>
        <vt:i4>0</vt:i4>
      </vt:variant>
      <vt:variant>
        <vt:i4>5</vt:i4>
      </vt:variant>
      <vt:variant>
        <vt:lpwstr/>
      </vt:variant>
      <vt:variant>
        <vt:lpwstr>_Toc192534074</vt:lpwstr>
      </vt:variant>
      <vt:variant>
        <vt:i4>1572912</vt:i4>
      </vt:variant>
      <vt:variant>
        <vt:i4>32</vt:i4>
      </vt:variant>
      <vt:variant>
        <vt:i4>0</vt:i4>
      </vt:variant>
      <vt:variant>
        <vt:i4>5</vt:i4>
      </vt:variant>
      <vt:variant>
        <vt:lpwstr/>
      </vt:variant>
      <vt:variant>
        <vt:lpwstr>_Toc192534073</vt:lpwstr>
      </vt:variant>
      <vt:variant>
        <vt:i4>1572912</vt:i4>
      </vt:variant>
      <vt:variant>
        <vt:i4>26</vt:i4>
      </vt:variant>
      <vt:variant>
        <vt:i4>0</vt:i4>
      </vt:variant>
      <vt:variant>
        <vt:i4>5</vt:i4>
      </vt:variant>
      <vt:variant>
        <vt:lpwstr/>
      </vt:variant>
      <vt:variant>
        <vt:lpwstr>_Toc192534072</vt:lpwstr>
      </vt:variant>
      <vt:variant>
        <vt:i4>1572912</vt:i4>
      </vt:variant>
      <vt:variant>
        <vt:i4>20</vt:i4>
      </vt:variant>
      <vt:variant>
        <vt:i4>0</vt:i4>
      </vt:variant>
      <vt:variant>
        <vt:i4>5</vt:i4>
      </vt:variant>
      <vt:variant>
        <vt:lpwstr/>
      </vt:variant>
      <vt:variant>
        <vt:lpwstr>_Toc192534071</vt:lpwstr>
      </vt:variant>
      <vt:variant>
        <vt:i4>1572912</vt:i4>
      </vt:variant>
      <vt:variant>
        <vt:i4>14</vt:i4>
      </vt:variant>
      <vt:variant>
        <vt:i4>0</vt:i4>
      </vt:variant>
      <vt:variant>
        <vt:i4>5</vt:i4>
      </vt:variant>
      <vt:variant>
        <vt:lpwstr/>
      </vt:variant>
      <vt:variant>
        <vt:lpwstr>_Toc192534070</vt:lpwstr>
      </vt:variant>
      <vt:variant>
        <vt:i4>1638448</vt:i4>
      </vt:variant>
      <vt:variant>
        <vt:i4>8</vt:i4>
      </vt:variant>
      <vt:variant>
        <vt:i4>0</vt:i4>
      </vt:variant>
      <vt:variant>
        <vt:i4>5</vt:i4>
      </vt:variant>
      <vt:variant>
        <vt:lpwstr/>
      </vt:variant>
      <vt:variant>
        <vt:lpwstr>_Toc192534069</vt:lpwstr>
      </vt:variant>
      <vt:variant>
        <vt:i4>1638448</vt:i4>
      </vt:variant>
      <vt:variant>
        <vt:i4>2</vt:i4>
      </vt:variant>
      <vt:variant>
        <vt:i4>0</vt:i4>
      </vt:variant>
      <vt:variant>
        <vt:i4>5</vt:i4>
      </vt:variant>
      <vt:variant>
        <vt:lpwstr/>
      </vt:variant>
      <vt:variant>
        <vt:lpwstr>_Toc192534068</vt:lpwstr>
      </vt:variant>
      <vt:variant>
        <vt:i4>4653143</vt:i4>
      </vt:variant>
      <vt:variant>
        <vt:i4>12</vt:i4>
      </vt:variant>
      <vt:variant>
        <vt:i4>0</vt:i4>
      </vt:variant>
      <vt:variant>
        <vt:i4>5</vt:i4>
      </vt:variant>
      <vt:variant>
        <vt:lpwstr>https://www.gamblingcommission.govt.nz/GCwebsite.nsf/Files/Problem-Gambling-Levy-Report-2022/$file/Problem-Gambling-Levy-Report-2022.pdf</vt:lpwstr>
      </vt:variant>
      <vt:variant>
        <vt:lpwstr/>
      </vt:variant>
      <vt:variant>
        <vt:i4>4980801</vt:i4>
      </vt:variant>
      <vt:variant>
        <vt:i4>9</vt:i4>
      </vt:variant>
      <vt:variant>
        <vt:i4>0</vt:i4>
      </vt:variant>
      <vt:variant>
        <vt:i4>5</vt:i4>
      </vt:variant>
      <vt:variant>
        <vt:lpwstr>http://www.health.govt.nz/our-work/mental-health-and-addiction/addiction/gambling/service-user-data/intervention-client-data</vt:lpwstr>
      </vt:variant>
      <vt:variant>
        <vt:lpwstr/>
      </vt:variant>
      <vt:variant>
        <vt:i4>1704019</vt:i4>
      </vt:variant>
      <vt:variant>
        <vt:i4>6</vt:i4>
      </vt:variant>
      <vt:variant>
        <vt:i4>0</vt:i4>
      </vt:variant>
      <vt:variant>
        <vt:i4>5</vt:i4>
      </vt:variant>
      <vt:variant>
        <vt:lpwstr>http://www.health.govt.nz/publication/measuring-burden-gambling-harm-new-zealand</vt:lpwstr>
      </vt:variant>
      <vt:variant>
        <vt:lpwstr/>
      </vt:variant>
      <vt:variant>
        <vt:i4>4653077</vt:i4>
      </vt:variant>
      <vt:variant>
        <vt:i4>3</vt:i4>
      </vt:variant>
      <vt:variant>
        <vt:i4>0</vt:i4>
      </vt:variant>
      <vt:variant>
        <vt:i4>5</vt:i4>
      </vt:variant>
      <vt:variant>
        <vt:lpwstr>http://www.hpa.org.nz/research-library/research-publications/new-zealanders-participation-in-gambling-results-from-the-2016-health-and-lifestyles-survey</vt:lpwstr>
      </vt:variant>
      <vt:variant>
        <vt:lpwstr/>
      </vt:variant>
      <vt:variant>
        <vt:i4>2424958</vt:i4>
      </vt:variant>
      <vt:variant>
        <vt:i4>0</vt:i4>
      </vt:variant>
      <vt:variant>
        <vt:i4>0</vt:i4>
      </vt:variant>
      <vt:variant>
        <vt:i4>5</vt:i4>
      </vt:variant>
      <vt:variant>
        <vt:lpwstr>http://www.dia.govt.nz/gambling-statistics-expenditure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to Prevent and Minimise Gambling Harm 2025/26 to 2027/28</dc:title>
  <dc:subject/>
  <dc:creator>Ministry of Health</dc:creator>
  <cp:keywords/>
  <cp:lastModifiedBy>Ministry of Health</cp:lastModifiedBy>
  <cp:revision>3</cp:revision>
  <cp:lastPrinted>2025-08-28T23:42:00Z</cp:lastPrinted>
  <dcterms:created xsi:type="dcterms:W3CDTF">2025-08-28T23:41:00Z</dcterms:created>
  <dcterms:modified xsi:type="dcterms:W3CDTF">2025-08-28T23:42:00Z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MediaServiceImageTags">
    <vt:lpwstr/>
  </property>
  <property fmtid="{D5CDD505-2E9C-101B-9397-08002B2CF9AE}" pid="4" name="_dlc_DocIdItemGuid">
    <vt:lpwstr>3b983427-e5e1-4eee-9b53-7039fa9e3e0d</vt:lpwstr>
  </property>
</Properties>
</file>