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5161" w14:textId="3AFF0AA3" w:rsidR="00C86248" w:rsidRPr="008C23DD" w:rsidRDefault="00383DF6" w:rsidP="008C23DD">
      <w:pPr>
        <w:pStyle w:val="Title"/>
        <w:ind w:right="2693"/>
        <w:rPr>
          <w:sz w:val="64"/>
          <w:szCs w:val="64"/>
        </w:rPr>
      </w:pPr>
      <w:r w:rsidRPr="00383DF6">
        <w:rPr>
          <w:sz w:val="64"/>
          <w:szCs w:val="64"/>
        </w:rPr>
        <w:t xml:space="preserve">Consultation on </w:t>
      </w:r>
      <w:r w:rsidR="00430372">
        <w:rPr>
          <w:sz w:val="64"/>
          <w:szCs w:val="64"/>
        </w:rPr>
        <w:t>A</w:t>
      </w:r>
      <w:r w:rsidRPr="00383DF6">
        <w:rPr>
          <w:sz w:val="64"/>
          <w:szCs w:val="64"/>
        </w:rPr>
        <w:t xml:space="preserve">mendments to the </w:t>
      </w:r>
      <w:r w:rsidR="00430372">
        <w:rPr>
          <w:sz w:val="64"/>
          <w:szCs w:val="64"/>
        </w:rPr>
        <w:t>S</w:t>
      </w:r>
      <w:r w:rsidRPr="00383DF6">
        <w:rPr>
          <w:sz w:val="64"/>
          <w:szCs w:val="64"/>
        </w:rPr>
        <w:t xml:space="preserve">pecified </w:t>
      </w:r>
      <w:r w:rsidR="00430372">
        <w:rPr>
          <w:sz w:val="64"/>
          <w:szCs w:val="64"/>
        </w:rPr>
        <w:t>P</w:t>
      </w:r>
      <w:r w:rsidRPr="00383DF6">
        <w:rPr>
          <w:sz w:val="64"/>
          <w:szCs w:val="64"/>
        </w:rPr>
        <w:t xml:space="preserve">rescription </w:t>
      </w:r>
      <w:r w:rsidR="00430372">
        <w:rPr>
          <w:sz w:val="64"/>
          <w:szCs w:val="64"/>
        </w:rPr>
        <w:t>M</w:t>
      </w:r>
      <w:r w:rsidRPr="00383DF6">
        <w:rPr>
          <w:sz w:val="64"/>
          <w:szCs w:val="64"/>
        </w:rPr>
        <w:t xml:space="preserve">edicines </w:t>
      </w:r>
      <w:r w:rsidR="00430372">
        <w:rPr>
          <w:sz w:val="64"/>
          <w:szCs w:val="64"/>
        </w:rPr>
        <w:t>L</w:t>
      </w:r>
      <w:r w:rsidRPr="00383DF6">
        <w:rPr>
          <w:sz w:val="64"/>
          <w:szCs w:val="64"/>
        </w:rPr>
        <w:t xml:space="preserve">ist for </w:t>
      </w:r>
      <w:r w:rsidR="00430372">
        <w:rPr>
          <w:sz w:val="64"/>
          <w:szCs w:val="64"/>
        </w:rPr>
        <w:t>D</w:t>
      </w:r>
      <w:r w:rsidRPr="00383DF6">
        <w:rPr>
          <w:sz w:val="64"/>
          <w:szCs w:val="64"/>
        </w:rPr>
        <w:t xml:space="preserve">esignated </w:t>
      </w:r>
      <w:r w:rsidR="00430372">
        <w:rPr>
          <w:sz w:val="64"/>
          <w:szCs w:val="64"/>
        </w:rPr>
        <w:t>P</w:t>
      </w:r>
      <w:r w:rsidRPr="00383DF6">
        <w:rPr>
          <w:sz w:val="64"/>
          <w:szCs w:val="64"/>
        </w:rPr>
        <w:t xml:space="preserve">harmacist </w:t>
      </w:r>
      <w:r w:rsidR="00430372">
        <w:rPr>
          <w:sz w:val="64"/>
          <w:szCs w:val="64"/>
        </w:rPr>
        <w:t>P</w:t>
      </w:r>
      <w:r w:rsidRPr="00383DF6">
        <w:rPr>
          <w:sz w:val="64"/>
          <w:szCs w:val="64"/>
        </w:rPr>
        <w:t>rescribers</w:t>
      </w:r>
    </w:p>
    <w:p w14:paraId="2B4FAC6A" w14:textId="6547E9A7" w:rsidR="00C05132" w:rsidRDefault="00C05132" w:rsidP="00926083">
      <w:pPr>
        <w:pStyle w:val="Subhead"/>
      </w:pPr>
    </w:p>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2"/>
          <w:footerReference w:type="default" r:id="rId13"/>
          <w:pgSz w:w="11907" w:h="16834" w:code="9"/>
          <w:pgMar w:top="5670" w:right="1134" w:bottom="1134" w:left="1134" w:header="567" w:footer="851" w:gutter="0"/>
          <w:pgNumType w:start="1"/>
          <w:cols w:space="720"/>
        </w:sectPr>
      </w:pPr>
    </w:p>
    <w:p w14:paraId="32A4C763" w14:textId="77777777" w:rsidR="009A42D5" w:rsidRPr="00A63DFF" w:rsidRDefault="009A42D5" w:rsidP="00C05132">
      <w:pPr>
        <w:rPr>
          <w:rFonts w:asciiTheme="minorHAnsi" w:hAnsiTheme="minorHAnsi" w:cstheme="minorHAnsi"/>
          <w:b/>
          <w:spacing w:val="10"/>
          <w:sz w:val="36"/>
          <w:szCs w:val="36"/>
        </w:rPr>
      </w:pPr>
      <w:r w:rsidRPr="00A63DFF">
        <w:rPr>
          <w:rFonts w:asciiTheme="minorHAnsi" w:hAnsiTheme="minorHAnsi" w:cstheme="minorHAnsi"/>
          <w:b/>
          <w:spacing w:val="10"/>
          <w:sz w:val="36"/>
          <w:szCs w:val="36"/>
        </w:rPr>
        <w:lastRenderedPageBreak/>
        <w:t>Acknowledgements</w:t>
      </w:r>
    </w:p>
    <w:p w14:paraId="7681E00D" w14:textId="3920C03F" w:rsidR="009A42D5" w:rsidRPr="00C05132" w:rsidRDefault="00383DF6" w:rsidP="00C05132">
      <w:pPr>
        <w:spacing w:before="120"/>
        <w:rPr>
          <w:rFonts w:cs="Segoe UI"/>
          <w:sz w:val="20"/>
        </w:rPr>
      </w:pPr>
      <w:r w:rsidRPr="00383DF6">
        <w:rPr>
          <w:rFonts w:cs="Segoe UI"/>
          <w:sz w:val="20"/>
        </w:rPr>
        <w:t>The Ministry of Health engaged with several key stakeholders when developing this consultation in partnership with the Pharmacy Council of New Zealand – Te Pou Whakamana Kaimatū o Aotearoa.</w:t>
      </w:r>
    </w:p>
    <w:p w14:paraId="358CE3BA" w14:textId="11C333D6" w:rsidR="00A80363" w:rsidRPr="00C05132" w:rsidRDefault="00A80363" w:rsidP="00A63DFF">
      <w:pPr>
        <w:pStyle w:val="Imprint"/>
        <w:spacing w:before="1200"/>
        <w:rPr>
          <w:rFonts w:cs="Segoe UI"/>
        </w:rPr>
      </w:pPr>
      <w:r w:rsidRPr="00C05132">
        <w:rPr>
          <w:rFonts w:cs="Segoe UI"/>
        </w:rPr>
        <w:t xml:space="preserve">Citation: </w:t>
      </w:r>
      <w:r w:rsidR="00442C1C" w:rsidRPr="00C05132">
        <w:rPr>
          <w:rFonts w:cs="Segoe UI"/>
        </w:rPr>
        <w:t xml:space="preserve">Ministry of Health. </w:t>
      </w:r>
      <w:r w:rsidR="008C23DD">
        <w:rPr>
          <w:rFonts w:cs="Segoe UI"/>
        </w:rPr>
        <w:t>2025</w:t>
      </w:r>
      <w:r w:rsidR="00442C1C" w:rsidRPr="00C05132">
        <w:rPr>
          <w:rFonts w:cs="Segoe UI"/>
        </w:rPr>
        <w:t xml:space="preserve">. </w:t>
      </w:r>
      <w:r w:rsidR="00383DF6" w:rsidRPr="00383DF6">
        <w:rPr>
          <w:rFonts w:cs="Segoe UI"/>
          <w:i/>
        </w:rPr>
        <w:t xml:space="preserve">Consultation on </w:t>
      </w:r>
      <w:r w:rsidR="00430372">
        <w:rPr>
          <w:rFonts w:cs="Segoe UI"/>
          <w:i/>
        </w:rPr>
        <w:t>A</w:t>
      </w:r>
      <w:r w:rsidR="00383DF6" w:rsidRPr="00383DF6">
        <w:rPr>
          <w:rFonts w:cs="Segoe UI"/>
          <w:i/>
        </w:rPr>
        <w:t xml:space="preserve">mendments to the </w:t>
      </w:r>
      <w:r w:rsidR="00430372">
        <w:rPr>
          <w:rFonts w:cs="Segoe UI"/>
          <w:i/>
        </w:rPr>
        <w:t>S</w:t>
      </w:r>
      <w:r w:rsidR="00383DF6" w:rsidRPr="00383DF6">
        <w:rPr>
          <w:rFonts w:cs="Segoe UI"/>
          <w:i/>
        </w:rPr>
        <w:t xml:space="preserve">pecified </w:t>
      </w:r>
      <w:r w:rsidR="00430372">
        <w:rPr>
          <w:rFonts w:cs="Segoe UI"/>
          <w:i/>
        </w:rPr>
        <w:t>P</w:t>
      </w:r>
      <w:r w:rsidR="00383DF6" w:rsidRPr="00383DF6">
        <w:rPr>
          <w:rFonts w:cs="Segoe UI"/>
          <w:i/>
        </w:rPr>
        <w:t xml:space="preserve">rescription </w:t>
      </w:r>
      <w:r w:rsidR="00430372">
        <w:rPr>
          <w:rFonts w:cs="Segoe UI"/>
          <w:i/>
        </w:rPr>
        <w:t>M</w:t>
      </w:r>
      <w:r w:rsidR="00383DF6" w:rsidRPr="00383DF6">
        <w:rPr>
          <w:rFonts w:cs="Segoe UI"/>
          <w:i/>
        </w:rPr>
        <w:t xml:space="preserve">edicines </w:t>
      </w:r>
      <w:r w:rsidR="00430372">
        <w:rPr>
          <w:rFonts w:cs="Segoe UI"/>
          <w:i/>
        </w:rPr>
        <w:t>L</w:t>
      </w:r>
      <w:r w:rsidR="00383DF6" w:rsidRPr="00383DF6">
        <w:rPr>
          <w:rFonts w:cs="Segoe UI"/>
          <w:i/>
        </w:rPr>
        <w:t xml:space="preserve">ist for </w:t>
      </w:r>
      <w:r w:rsidR="00430372">
        <w:rPr>
          <w:rFonts w:cs="Segoe UI"/>
          <w:i/>
        </w:rPr>
        <w:t>D</w:t>
      </w:r>
      <w:r w:rsidR="00383DF6" w:rsidRPr="00383DF6">
        <w:rPr>
          <w:rFonts w:cs="Segoe UI"/>
          <w:i/>
        </w:rPr>
        <w:t xml:space="preserve">esignated </w:t>
      </w:r>
      <w:r w:rsidR="00430372">
        <w:rPr>
          <w:rFonts w:cs="Segoe UI"/>
          <w:i/>
        </w:rPr>
        <w:t>P</w:t>
      </w:r>
      <w:r w:rsidR="00383DF6" w:rsidRPr="00383DF6">
        <w:rPr>
          <w:rFonts w:cs="Segoe UI"/>
          <w:i/>
        </w:rPr>
        <w:t xml:space="preserve">harmacist </w:t>
      </w:r>
      <w:r w:rsidR="00430372">
        <w:rPr>
          <w:rFonts w:cs="Segoe UI"/>
          <w:i/>
        </w:rPr>
        <w:t>P</w:t>
      </w:r>
      <w:r w:rsidR="00383DF6" w:rsidRPr="00383DF6">
        <w:rPr>
          <w:rFonts w:cs="Segoe UI"/>
          <w:i/>
        </w:rPr>
        <w:t>rescribers</w:t>
      </w:r>
      <w:r w:rsidR="00442C1C" w:rsidRPr="00C05132">
        <w:rPr>
          <w:rFonts w:cs="Segoe UI"/>
        </w:rPr>
        <w:t>. Wellington: Ministry of Health.</w:t>
      </w:r>
    </w:p>
    <w:p w14:paraId="7909192E" w14:textId="338378B7" w:rsidR="00C86248" w:rsidRDefault="00C86248">
      <w:pPr>
        <w:pStyle w:val="Imprint"/>
      </w:pPr>
      <w:r>
        <w:t>Published in</w:t>
      </w:r>
      <w:r w:rsidR="00623908">
        <w:t xml:space="preserve"> September</w:t>
      </w:r>
      <w:r w:rsidR="008C23DD">
        <w:t xml:space="preserve"> 2025</w:t>
      </w:r>
      <w:r w:rsidR="00A63DFF">
        <w:t xml:space="preserve">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7E0FD823" w14:textId="6AD57827" w:rsidR="00383DF6" w:rsidRPr="007373D3" w:rsidRDefault="00383DF6" w:rsidP="00383DF6">
      <w:pPr>
        <w:pStyle w:val="Imprint"/>
        <w:rPr>
          <w:sz w:val="21"/>
          <w:szCs w:val="21"/>
          <w:lang w:val="en-GB"/>
        </w:rPr>
      </w:pPr>
      <w:r w:rsidRPr="00706CBB">
        <w:rPr>
          <w:sz w:val="21"/>
          <w:szCs w:val="21"/>
          <w:lang w:val="en-GB"/>
        </w:rPr>
        <w:t>HP 91</w:t>
      </w:r>
      <w:r w:rsidR="00706CBB">
        <w:rPr>
          <w:sz w:val="21"/>
          <w:szCs w:val="21"/>
          <w:lang w:val="en-GB"/>
        </w:rPr>
        <w:t>40</w:t>
      </w:r>
    </w:p>
    <w:p w14:paraId="48DBDA36" w14:textId="7263F306" w:rsidR="00C86248" w:rsidRDefault="00EA608C" w:rsidP="00A63DFF">
      <w:r w:rsidRPr="003D7765">
        <w:rPr>
          <w:noProof/>
        </w:rPr>
        <w:drawing>
          <wp:inline distT="0" distB="0" distL="0" distR="0" wp14:anchorId="7F6F146D" wp14:editId="1389585C">
            <wp:extent cx="1216800" cy="494305"/>
            <wp:effectExtent l="0" t="0" r="2540" b="1270"/>
            <wp:docPr id="1472750415" name="Picture 1472750415"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A blue and white sign with white text&#10;&#10;Description automatically generated"/>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5569ABB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13E3A6E4" w:rsidR="007E74F1" w:rsidRPr="001F45A7" w:rsidRDefault="007E74F1" w:rsidP="00A63DFF"/>
    <w:p w14:paraId="2113CC0B" w14:textId="77777777" w:rsidR="00C86248" w:rsidRDefault="00C86248">
      <w:pPr>
        <w:jc w:val="center"/>
        <w:sectPr w:rsidR="00C86248" w:rsidSect="00C05132">
          <w:footerReference w:type="even" r:id="rId16"/>
          <w:footerReference w:type="default" r:id="rId17"/>
          <w:pgSz w:w="11907" w:h="16834" w:code="9"/>
          <w:pgMar w:top="1701" w:right="2268" w:bottom="1134" w:left="2268" w:header="0" w:footer="0" w:gutter="0"/>
          <w:cols w:space="720"/>
          <w:vAlign w:val="bottom"/>
        </w:sectPr>
      </w:pPr>
    </w:p>
    <w:p w14:paraId="648D4F84" w14:textId="77777777" w:rsidR="00C86248" w:rsidRDefault="00C86248" w:rsidP="00025A6F">
      <w:pPr>
        <w:pStyle w:val="IntroHead"/>
      </w:pPr>
      <w:bookmarkStart w:id="0" w:name="_Toc405792991"/>
      <w:bookmarkStart w:id="1" w:name="_Toc405793224"/>
      <w:r>
        <w:lastRenderedPageBreak/>
        <w:t>Contents</w:t>
      </w:r>
      <w:bookmarkEnd w:id="0"/>
      <w:bookmarkEnd w:id="1"/>
    </w:p>
    <w:p w14:paraId="176F1411" w14:textId="53692686" w:rsidR="00E00C76" w:rsidRDefault="00E00C76">
      <w:pPr>
        <w:pStyle w:val="TOC1"/>
        <w:rPr>
          <w:rFonts w:asciiTheme="minorHAnsi" w:eastAsiaTheme="minorEastAsia" w:hAnsiTheme="minorHAnsi" w:cstheme="minorBidi"/>
          <w:noProof/>
          <w:kern w:val="2"/>
          <w:sz w:val="22"/>
          <w:szCs w:val="22"/>
          <w:lang w:eastAsia="en-NZ"/>
          <w14:ligatures w14:val="standardContextual"/>
        </w:rPr>
      </w:pPr>
      <w:r>
        <w:rPr>
          <w:b/>
        </w:rPr>
        <w:fldChar w:fldCharType="begin"/>
      </w:r>
      <w:r>
        <w:rPr>
          <w:b/>
        </w:rPr>
        <w:instrText xml:space="preserve"> TOC \o "1-2" \h \z </w:instrText>
      </w:r>
      <w:r>
        <w:rPr>
          <w:b/>
        </w:rPr>
        <w:fldChar w:fldCharType="separate"/>
      </w:r>
      <w:hyperlink w:anchor="_Toc208827518" w:history="1">
        <w:r w:rsidRPr="0034586F">
          <w:rPr>
            <w:rStyle w:val="Hyperlink"/>
            <w:noProof/>
          </w:rPr>
          <w:t>Purpose</w:t>
        </w:r>
        <w:r>
          <w:rPr>
            <w:noProof/>
            <w:webHidden/>
          </w:rPr>
          <w:tab/>
        </w:r>
        <w:r>
          <w:rPr>
            <w:noProof/>
            <w:webHidden/>
          </w:rPr>
          <w:fldChar w:fldCharType="begin"/>
        </w:r>
        <w:r>
          <w:rPr>
            <w:noProof/>
            <w:webHidden/>
          </w:rPr>
          <w:instrText xml:space="preserve"> PAGEREF _Toc208827518 \h </w:instrText>
        </w:r>
        <w:r>
          <w:rPr>
            <w:noProof/>
            <w:webHidden/>
          </w:rPr>
        </w:r>
        <w:r>
          <w:rPr>
            <w:noProof/>
            <w:webHidden/>
          </w:rPr>
          <w:fldChar w:fldCharType="separate"/>
        </w:r>
        <w:r w:rsidR="00604258">
          <w:rPr>
            <w:noProof/>
            <w:webHidden/>
          </w:rPr>
          <w:t>1</w:t>
        </w:r>
        <w:r>
          <w:rPr>
            <w:noProof/>
            <w:webHidden/>
          </w:rPr>
          <w:fldChar w:fldCharType="end"/>
        </w:r>
      </w:hyperlink>
    </w:p>
    <w:p w14:paraId="1B6195B6" w14:textId="24089B1F" w:rsidR="00E00C76" w:rsidRDefault="00604258">
      <w:pPr>
        <w:pStyle w:val="TOC1"/>
        <w:rPr>
          <w:rFonts w:asciiTheme="minorHAnsi" w:eastAsiaTheme="minorEastAsia" w:hAnsiTheme="minorHAnsi" w:cstheme="minorBidi"/>
          <w:noProof/>
          <w:kern w:val="2"/>
          <w:sz w:val="22"/>
          <w:szCs w:val="22"/>
          <w:lang w:eastAsia="en-NZ"/>
          <w14:ligatures w14:val="standardContextual"/>
        </w:rPr>
      </w:pPr>
      <w:hyperlink w:anchor="_Toc208827519" w:history="1">
        <w:r w:rsidR="00E00C76" w:rsidRPr="0034586F">
          <w:rPr>
            <w:rStyle w:val="Hyperlink"/>
            <w:noProof/>
          </w:rPr>
          <w:t>Background</w:t>
        </w:r>
        <w:r w:rsidR="00E00C76">
          <w:rPr>
            <w:noProof/>
            <w:webHidden/>
          </w:rPr>
          <w:tab/>
        </w:r>
        <w:r w:rsidR="00E00C76">
          <w:rPr>
            <w:noProof/>
            <w:webHidden/>
          </w:rPr>
          <w:fldChar w:fldCharType="begin"/>
        </w:r>
        <w:r w:rsidR="00E00C76">
          <w:rPr>
            <w:noProof/>
            <w:webHidden/>
          </w:rPr>
          <w:instrText xml:space="preserve"> PAGEREF _Toc208827519 \h </w:instrText>
        </w:r>
        <w:r w:rsidR="00E00C76">
          <w:rPr>
            <w:noProof/>
            <w:webHidden/>
          </w:rPr>
        </w:r>
        <w:r w:rsidR="00E00C76">
          <w:rPr>
            <w:noProof/>
            <w:webHidden/>
          </w:rPr>
          <w:fldChar w:fldCharType="separate"/>
        </w:r>
        <w:r>
          <w:rPr>
            <w:noProof/>
            <w:webHidden/>
          </w:rPr>
          <w:t>2</w:t>
        </w:r>
        <w:r w:rsidR="00E00C76">
          <w:rPr>
            <w:noProof/>
            <w:webHidden/>
          </w:rPr>
          <w:fldChar w:fldCharType="end"/>
        </w:r>
      </w:hyperlink>
    </w:p>
    <w:p w14:paraId="09B9302D" w14:textId="5120A804" w:rsidR="00E00C76" w:rsidRDefault="00604258">
      <w:pPr>
        <w:pStyle w:val="TOC1"/>
        <w:rPr>
          <w:rFonts w:asciiTheme="minorHAnsi" w:eastAsiaTheme="minorEastAsia" w:hAnsiTheme="minorHAnsi" w:cstheme="minorBidi"/>
          <w:noProof/>
          <w:kern w:val="2"/>
          <w:sz w:val="22"/>
          <w:szCs w:val="22"/>
          <w:lang w:eastAsia="en-NZ"/>
          <w14:ligatures w14:val="standardContextual"/>
        </w:rPr>
      </w:pPr>
      <w:hyperlink w:anchor="_Toc208827520" w:history="1">
        <w:r w:rsidR="00E00C76" w:rsidRPr="0034586F">
          <w:rPr>
            <w:rStyle w:val="Hyperlink"/>
            <w:noProof/>
            <w:lang w:val="en-GB"/>
          </w:rPr>
          <w:t>Requirements for designated pharmacist prescribers</w:t>
        </w:r>
        <w:r w:rsidR="00E00C76">
          <w:rPr>
            <w:noProof/>
            <w:webHidden/>
          </w:rPr>
          <w:tab/>
        </w:r>
        <w:r w:rsidR="00E00C76">
          <w:rPr>
            <w:noProof/>
            <w:webHidden/>
          </w:rPr>
          <w:fldChar w:fldCharType="begin"/>
        </w:r>
        <w:r w:rsidR="00E00C76">
          <w:rPr>
            <w:noProof/>
            <w:webHidden/>
          </w:rPr>
          <w:instrText xml:space="preserve"> PAGEREF _Toc208827520 \h </w:instrText>
        </w:r>
        <w:r w:rsidR="00E00C76">
          <w:rPr>
            <w:noProof/>
            <w:webHidden/>
          </w:rPr>
        </w:r>
        <w:r w:rsidR="00E00C76">
          <w:rPr>
            <w:noProof/>
            <w:webHidden/>
          </w:rPr>
          <w:fldChar w:fldCharType="separate"/>
        </w:r>
        <w:r>
          <w:rPr>
            <w:noProof/>
            <w:webHidden/>
          </w:rPr>
          <w:t>3</w:t>
        </w:r>
        <w:r w:rsidR="00E00C76">
          <w:rPr>
            <w:noProof/>
            <w:webHidden/>
          </w:rPr>
          <w:fldChar w:fldCharType="end"/>
        </w:r>
      </w:hyperlink>
    </w:p>
    <w:p w14:paraId="2079E5A6" w14:textId="16A727AD" w:rsidR="00E00C76" w:rsidRDefault="00604258">
      <w:pPr>
        <w:pStyle w:val="TOC1"/>
        <w:rPr>
          <w:rFonts w:asciiTheme="minorHAnsi" w:eastAsiaTheme="minorEastAsia" w:hAnsiTheme="minorHAnsi" w:cstheme="minorBidi"/>
          <w:noProof/>
          <w:kern w:val="2"/>
          <w:sz w:val="22"/>
          <w:szCs w:val="22"/>
          <w:lang w:eastAsia="en-NZ"/>
          <w14:ligatures w14:val="standardContextual"/>
        </w:rPr>
      </w:pPr>
      <w:hyperlink w:anchor="_Toc208827521" w:history="1">
        <w:r w:rsidR="00E00C76" w:rsidRPr="0034586F">
          <w:rPr>
            <w:rStyle w:val="Hyperlink"/>
            <w:noProof/>
          </w:rPr>
          <w:t>Additional information</w:t>
        </w:r>
        <w:r w:rsidR="00E00C76">
          <w:rPr>
            <w:noProof/>
            <w:webHidden/>
          </w:rPr>
          <w:tab/>
        </w:r>
        <w:r w:rsidR="00E00C76">
          <w:rPr>
            <w:noProof/>
            <w:webHidden/>
          </w:rPr>
          <w:fldChar w:fldCharType="begin"/>
        </w:r>
        <w:r w:rsidR="00E00C76">
          <w:rPr>
            <w:noProof/>
            <w:webHidden/>
          </w:rPr>
          <w:instrText xml:space="preserve"> PAGEREF _Toc208827521 \h </w:instrText>
        </w:r>
        <w:r w:rsidR="00E00C76">
          <w:rPr>
            <w:noProof/>
            <w:webHidden/>
          </w:rPr>
        </w:r>
        <w:r w:rsidR="00E00C76">
          <w:rPr>
            <w:noProof/>
            <w:webHidden/>
          </w:rPr>
          <w:fldChar w:fldCharType="separate"/>
        </w:r>
        <w:r>
          <w:rPr>
            <w:noProof/>
            <w:webHidden/>
          </w:rPr>
          <w:t>5</w:t>
        </w:r>
        <w:r w:rsidR="00E00C76">
          <w:rPr>
            <w:noProof/>
            <w:webHidden/>
          </w:rPr>
          <w:fldChar w:fldCharType="end"/>
        </w:r>
      </w:hyperlink>
    </w:p>
    <w:p w14:paraId="7F6BC6BA" w14:textId="00E0DEB0" w:rsidR="00E00C76" w:rsidRDefault="00604258">
      <w:pPr>
        <w:pStyle w:val="TOC1"/>
        <w:rPr>
          <w:rFonts w:asciiTheme="minorHAnsi" w:eastAsiaTheme="minorEastAsia" w:hAnsiTheme="minorHAnsi" w:cstheme="minorBidi"/>
          <w:noProof/>
          <w:kern w:val="2"/>
          <w:sz w:val="22"/>
          <w:szCs w:val="22"/>
          <w:lang w:eastAsia="en-NZ"/>
          <w14:ligatures w14:val="standardContextual"/>
        </w:rPr>
      </w:pPr>
      <w:hyperlink w:anchor="_Toc208827522" w:history="1">
        <w:r w:rsidR="00E00C76" w:rsidRPr="0034586F">
          <w:rPr>
            <w:rStyle w:val="Hyperlink"/>
            <w:noProof/>
          </w:rPr>
          <w:t>The proposed additions to the medicines list</w:t>
        </w:r>
        <w:r w:rsidR="00E00C76">
          <w:rPr>
            <w:noProof/>
            <w:webHidden/>
          </w:rPr>
          <w:tab/>
        </w:r>
        <w:r w:rsidR="00E00C76">
          <w:rPr>
            <w:noProof/>
            <w:webHidden/>
          </w:rPr>
          <w:fldChar w:fldCharType="begin"/>
        </w:r>
        <w:r w:rsidR="00E00C76">
          <w:rPr>
            <w:noProof/>
            <w:webHidden/>
          </w:rPr>
          <w:instrText xml:space="preserve"> PAGEREF _Toc208827522 \h </w:instrText>
        </w:r>
        <w:r w:rsidR="00E00C76">
          <w:rPr>
            <w:noProof/>
            <w:webHidden/>
          </w:rPr>
        </w:r>
        <w:r w:rsidR="00E00C76">
          <w:rPr>
            <w:noProof/>
            <w:webHidden/>
          </w:rPr>
          <w:fldChar w:fldCharType="separate"/>
        </w:r>
        <w:r>
          <w:rPr>
            <w:noProof/>
            <w:webHidden/>
          </w:rPr>
          <w:t>6</w:t>
        </w:r>
        <w:r w:rsidR="00E00C76">
          <w:rPr>
            <w:noProof/>
            <w:webHidden/>
          </w:rPr>
          <w:fldChar w:fldCharType="end"/>
        </w:r>
      </w:hyperlink>
    </w:p>
    <w:p w14:paraId="64B3BAF7" w14:textId="1972C1C1" w:rsidR="00E00C76" w:rsidRDefault="00604258">
      <w:pPr>
        <w:pStyle w:val="TOC1"/>
        <w:rPr>
          <w:rFonts w:asciiTheme="minorHAnsi" w:eastAsiaTheme="minorEastAsia" w:hAnsiTheme="minorHAnsi" w:cstheme="minorBidi"/>
          <w:noProof/>
          <w:kern w:val="2"/>
          <w:sz w:val="22"/>
          <w:szCs w:val="22"/>
          <w:lang w:eastAsia="en-NZ"/>
          <w14:ligatures w14:val="standardContextual"/>
        </w:rPr>
      </w:pPr>
      <w:hyperlink w:anchor="_Toc208827523" w:history="1">
        <w:r w:rsidR="00E00C76" w:rsidRPr="0034586F">
          <w:rPr>
            <w:rStyle w:val="Hyperlink"/>
            <w:noProof/>
          </w:rPr>
          <w:t>The proposed deletions from the medicines list</w:t>
        </w:r>
        <w:r w:rsidR="00E00C76">
          <w:rPr>
            <w:noProof/>
            <w:webHidden/>
          </w:rPr>
          <w:tab/>
        </w:r>
        <w:r w:rsidR="00E00C76">
          <w:rPr>
            <w:noProof/>
            <w:webHidden/>
          </w:rPr>
          <w:fldChar w:fldCharType="begin"/>
        </w:r>
        <w:r w:rsidR="00E00C76">
          <w:rPr>
            <w:noProof/>
            <w:webHidden/>
          </w:rPr>
          <w:instrText xml:space="preserve"> PAGEREF _Toc208827523 \h </w:instrText>
        </w:r>
        <w:r w:rsidR="00E00C76">
          <w:rPr>
            <w:noProof/>
            <w:webHidden/>
          </w:rPr>
        </w:r>
        <w:r w:rsidR="00E00C76">
          <w:rPr>
            <w:noProof/>
            <w:webHidden/>
          </w:rPr>
          <w:fldChar w:fldCharType="separate"/>
        </w:r>
        <w:r>
          <w:rPr>
            <w:noProof/>
            <w:webHidden/>
          </w:rPr>
          <w:t>8</w:t>
        </w:r>
        <w:r w:rsidR="00E00C76">
          <w:rPr>
            <w:noProof/>
            <w:webHidden/>
          </w:rPr>
          <w:fldChar w:fldCharType="end"/>
        </w:r>
      </w:hyperlink>
    </w:p>
    <w:p w14:paraId="5E187710" w14:textId="5D74F05B" w:rsidR="00E00C76" w:rsidRDefault="00604258">
      <w:pPr>
        <w:pStyle w:val="TOC1"/>
        <w:rPr>
          <w:rFonts w:asciiTheme="minorHAnsi" w:eastAsiaTheme="minorEastAsia" w:hAnsiTheme="minorHAnsi" w:cstheme="minorBidi"/>
          <w:noProof/>
          <w:kern w:val="2"/>
          <w:sz w:val="22"/>
          <w:szCs w:val="22"/>
          <w:lang w:eastAsia="en-NZ"/>
          <w14:ligatures w14:val="standardContextual"/>
        </w:rPr>
      </w:pPr>
      <w:hyperlink w:anchor="_Toc208827524" w:history="1">
        <w:r w:rsidR="00E00C76" w:rsidRPr="0034586F">
          <w:rPr>
            <w:rStyle w:val="Hyperlink"/>
            <w:noProof/>
          </w:rPr>
          <w:t>Appendix: Safeguards for designated pharmacist prescribing practise (Pharmacy Council)</w:t>
        </w:r>
        <w:r w:rsidR="00E00C76">
          <w:rPr>
            <w:noProof/>
            <w:webHidden/>
          </w:rPr>
          <w:tab/>
        </w:r>
        <w:r w:rsidR="00E00C76">
          <w:rPr>
            <w:noProof/>
            <w:webHidden/>
          </w:rPr>
          <w:fldChar w:fldCharType="begin"/>
        </w:r>
        <w:r w:rsidR="00E00C76">
          <w:rPr>
            <w:noProof/>
            <w:webHidden/>
          </w:rPr>
          <w:instrText xml:space="preserve"> PAGEREF _Toc208827524 \h </w:instrText>
        </w:r>
        <w:r w:rsidR="00E00C76">
          <w:rPr>
            <w:noProof/>
            <w:webHidden/>
          </w:rPr>
        </w:r>
        <w:r w:rsidR="00E00C76">
          <w:rPr>
            <w:noProof/>
            <w:webHidden/>
          </w:rPr>
          <w:fldChar w:fldCharType="separate"/>
        </w:r>
        <w:r>
          <w:rPr>
            <w:noProof/>
            <w:webHidden/>
          </w:rPr>
          <w:t>9</w:t>
        </w:r>
        <w:r w:rsidR="00E00C76">
          <w:rPr>
            <w:noProof/>
            <w:webHidden/>
          </w:rPr>
          <w:fldChar w:fldCharType="end"/>
        </w:r>
      </w:hyperlink>
    </w:p>
    <w:p w14:paraId="133A9219" w14:textId="6B9C78C7" w:rsidR="00C86248" w:rsidRDefault="00E00C76">
      <w:r>
        <w:rPr>
          <w:rFonts w:ascii="Segoe UI Semibold" w:hAnsi="Segoe UI Semibold"/>
          <w:b/>
          <w:sz w:val="24"/>
        </w:rPr>
        <w:fldChar w:fldCharType="end"/>
      </w:r>
    </w:p>
    <w:p w14:paraId="4A6797B1" w14:textId="223C65A9" w:rsidR="002B76A7" w:rsidRDefault="002B76A7" w:rsidP="003A5FEA"/>
    <w:p w14:paraId="03333094" w14:textId="14FCDE7B" w:rsidR="00AD23F3" w:rsidRDefault="00AD23F3" w:rsidP="003A5FEA">
      <w:r>
        <w:br w:type="page"/>
      </w:r>
    </w:p>
    <w:p w14:paraId="43EFD892" w14:textId="2DB2901F" w:rsidR="00AD23F3" w:rsidRDefault="00AD23F3" w:rsidP="003A5FEA">
      <w:r>
        <w:lastRenderedPageBreak/>
        <w:br w:type="page"/>
      </w:r>
    </w:p>
    <w:p w14:paraId="364FC8CF" w14:textId="77777777" w:rsidR="001D3E4E" w:rsidRDefault="001D3E4E" w:rsidP="003A5FEA">
      <w:pPr>
        <w:sectPr w:rsidR="001D3E4E" w:rsidSect="0078658E">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1D01B3F7" w14:textId="3271ACC8" w:rsidR="001D3E4E" w:rsidRDefault="00383DF6" w:rsidP="00AF497B">
      <w:pPr>
        <w:ind w:right="-143"/>
        <w:rPr>
          <w:b/>
          <w:bCs/>
        </w:rPr>
      </w:pPr>
      <w:r w:rsidRPr="00383DF6">
        <w:rPr>
          <w:b/>
          <w:bCs/>
        </w:rPr>
        <w:lastRenderedPageBreak/>
        <w:t>Consultation on amendments to the specified prescription medicines list for designated pharmacist prescribers under the Medicines (Designated Pharmacist—Prescribers) Regulations 2013</w:t>
      </w:r>
    </w:p>
    <w:p w14:paraId="36E95E29" w14:textId="77777777" w:rsidR="00AF497B" w:rsidRDefault="00AF497B" w:rsidP="00AF497B">
      <w:pPr>
        <w:pStyle w:val="Heading1"/>
      </w:pPr>
      <w:bookmarkStart w:id="2" w:name="_Toc208827518"/>
      <w:r>
        <w:t>Purpose</w:t>
      </w:r>
      <w:bookmarkEnd w:id="2"/>
    </w:p>
    <w:p w14:paraId="4F66EE8F" w14:textId="77777777" w:rsidR="00383DF6" w:rsidRPr="00D96006" w:rsidRDefault="00383DF6" w:rsidP="00383DF6">
      <w:pPr>
        <w:rPr>
          <w:rFonts w:cs="Segoe UI"/>
          <w:szCs w:val="21"/>
          <w:lang w:val="en-GB"/>
        </w:rPr>
      </w:pPr>
      <w:bookmarkStart w:id="3" w:name="_Toc206573654"/>
      <w:r w:rsidRPr="00D96006">
        <w:rPr>
          <w:rFonts w:cs="Segoe UI"/>
          <w:szCs w:val="21"/>
          <w:lang w:val="en-GB"/>
        </w:rPr>
        <w:t>The Ministry of Health – Manatū Hauora (the Ministry) invites submissions on proposed amendments to the specified prescription medicines list for designated pharmacist prescribers</w:t>
      </w:r>
      <w:r>
        <w:rPr>
          <w:rFonts w:cs="Segoe UI"/>
          <w:szCs w:val="21"/>
          <w:lang w:val="en-GB"/>
        </w:rPr>
        <w:t xml:space="preserve"> (pharmacist prescribers)</w:t>
      </w:r>
      <w:r w:rsidRPr="00D96006">
        <w:rPr>
          <w:rFonts w:cs="Segoe UI"/>
          <w:szCs w:val="21"/>
          <w:lang w:val="en-GB"/>
        </w:rPr>
        <w:t>.</w:t>
      </w:r>
    </w:p>
    <w:p w14:paraId="3ADACE6C" w14:textId="77777777" w:rsidR="00383DF6" w:rsidRPr="00D96006" w:rsidRDefault="00383DF6" w:rsidP="00383DF6">
      <w:pPr>
        <w:rPr>
          <w:rFonts w:cs="Segoe UI"/>
          <w:szCs w:val="21"/>
          <w:lang w:val="en-GB"/>
        </w:rPr>
      </w:pPr>
    </w:p>
    <w:p w14:paraId="772DE357" w14:textId="77777777" w:rsidR="00383DF6" w:rsidRPr="00D96006" w:rsidRDefault="00383DF6" w:rsidP="00383DF6">
      <w:pPr>
        <w:rPr>
          <w:rFonts w:cs="Segoe UI"/>
          <w:szCs w:val="21"/>
          <w:lang w:val="en-GB"/>
        </w:rPr>
      </w:pPr>
      <w:r w:rsidRPr="00D96006">
        <w:rPr>
          <w:rFonts w:cs="Segoe UI"/>
          <w:szCs w:val="21"/>
          <w:lang w:val="en-GB"/>
        </w:rPr>
        <w:t>The Ministry, on behalf of the Director-General of Health, must consult with those people or organisations that may be affected by a change to the schedules before making a legal change by Gazette notice.</w:t>
      </w:r>
    </w:p>
    <w:p w14:paraId="36778634" w14:textId="77777777" w:rsidR="00383DF6" w:rsidRPr="00D96006" w:rsidRDefault="00383DF6" w:rsidP="00383DF6">
      <w:pPr>
        <w:rPr>
          <w:rFonts w:cs="Segoe UI"/>
          <w:szCs w:val="21"/>
          <w:lang w:val="en-GB"/>
        </w:rPr>
      </w:pPr>
    </w:p>
    <w:p w14:paraId="22644DA3" w14:textId="77777777" w:rsidR="00383DF6" w:rsidRDefault="00383DF6" w:rsidP="00383DF6">
      <w:pPr>
        <w:rPr>
          <w:rFonts w:cs="Segoe UI"/>
          <w:szCs w:val="21"/>
          <w:lang w:val="en-GB"/>
        </w:rPr>
      </w:pPr>
      <w:r w:rsidRPr="00D96006">
        <w:rPr>
          <w:rFonts w:cs="Segoe UI"/>
          <w:szCs w:val="21"/>
          <w:lang w:val="en-GB"/>
        </w:rPr>
        <w:t>This submission will allow you to provide feedback on the proposed medicines, or to propose medicines that have not been referenced.</w:t>
      </w:r>
    </w:p>
    <w:p w14:paraId="7D032A65" w14:textId="77777777" w:rsidR="00383DF6" w:rsidRPr="00D96006" w:rsidRDefault="00383DF6" w:rsidP="00383DF6">
      <w:pPr>
        <w:rPr>
          <w:rFonts w:cs="Segoe UI"/>
          <w:szCs w:val="21"/>
          <w:lang w:val="en-GB"/>
        </w:rPr>
      </w:pPr>
    </w:p>
    <w:p w14:paraId="7D7E7021" w14:textId="657F0B46" w:rsidR="00383DF6" w:rsidRPr="00F726BF" w:rsidRDefault="00F726BF" w:rsidP="00383DF6">
      <w:pPr>
        <w:pStyle w:val="Bullet"/>
        <w:tabs>
          <w:tab w:val="num" w:pos="0"/>
          <w:tab w:val="left" w:pos="567"/>
        </w:tabs>
        <w:spacing w:before="0"/>
        <w:ind w:left="0" w:firstLine="0"/>
        <w:rPr>
          <w:rStyle w:val="Hyperlink"/>
          <w:rFonts w:cs="Segoe UI"/>
          <w:bCs/>
          <w:color w:val="000000" w:themeColor="text1"/>
          <w:szCs w:val="21"/>
          <w:lang w:val="en-GB"/>
        </w:rPr>
      </w:pPr>
      <w:r w:rsidRPr="00136720">
        <w:rPr>
          <w:rFonts w:cs="Segoe UI"/>
          <w:bCs/>
          <w:szCs w:val="21"/>
          <w:lang w:val="en-GB"/>
        </w:rPr>
        <w:t>You can</w:t>
      </w:r>
      <w:r>
        <w:rPr>
          <w:rFonts w:cs="Segoe UI"/>
          <w:b/>
          <w:szCs w:val="21"/>
          <w:lang w:val="en-GB"/>
        </w:rPr>
        <w:t xml:space="preserve"> </w:t>
      </w:r>
      <w:r w:rsidRPr="00136720">
        <w:rPr>
          <w:rFonts w:cs="Segoe UI"/>
          <w:bCs/>
          <w:szCs w:val="21"/>
          <w:lang w:val="en-GB"/>
        </w:rPr>
        <w:t>v</w:t>
      </w:r>
      <w:r w:rsidR="00383DF6" w:rsidRPr="00136720">
        <w:rPr>
          <w:rFonts w:cs="Segoe UI"/>
          <w:bCs/>
          <w:szCs w:val="21"/>
          <w:lang w:val="en-GB"/>
        </w:rPr>
        <w:t>iew the proposed medicines list</w:t>
      </w:r>
      <w:r w:rsidR="001F3F3A">
        <w:rPr>
          <w:rFonts w:cs="Segoe UI"/>
          <w:bCs/>
          <w:szCs w:val="21"/>
          <w:lang w:val="en-GB"/>
        </w:rPr>
        <w:t xml:space="preserve"> </w:t>
      </w:r>
      <w:r w:rsidR="00F12021">
        <w:rPr>
          <w:rFonts w:cs="Segoe UI"/>
          <w:bCs/>
          <w:szCs w:val="21"/>
          <w:lang w:val="en-GB"/>
        </w:rPr>
        <w:t>with</w:t>
      </w:r>
      <w:r w:rsidR="001F3F3A">
        <w:rPr>
          <w:rFonts w:cs="Segoe UI"/>
          <w:bCs/>
          <w:szCs w:val="21"/>
          <w:lang w:val="en-GB"/>
        </w:rPr>
        <w:t>in this document.</w:t>
      </w:r>
    </w:p>
    <w:p w14:paraId="76A0A389" w14:textId="77777777" w:rsidR="00383DF6" w:rsidRPr="00F726BF" w:rsidRDefault="00383DF6" w:rsidP="00383DF6">
      <w:pPr>
        <w:rPr>
          <w:rFonts w:cs="Segoe UI"/>
          <w:bCs/>
          <w:szCs w:val="21"/>
          <w:lang w:val="en-GB"/>
        </w:rPr>
      </w:pPr>
    </w:p>
    <w:p w14:paraId="0BAEC139" w14:textId="782EC9C4" w:rsidR="00383DF6" w:rsidRPr="00D96006" w:rsidRDefault="00383DF6" w:rsidP="00383DF6">
      <w:pPr>
        <w:rPr>
          <w:rFonts w:cs="Segoe UI"/>
          <w:color w:val="000000"/>
          <w:szCs w:val="21"/>
          <w:lang w:val="en-GB"/>
        </w:rPr>
      </w:pPr>
      <w:r w:rsidRPr="00D96006">
        <w:rPr>
          <w:rFonts w:cs="Segoe UI"/>
          <w:szCs w:val="21"/>
          <w:lang w:val="en-GB"/>
        </w:rPr>
        <w:t xml:space="preserve">Please submit your feedback on the proposed amendments by </w:t>
      </w:r>
      <w:r w:rsidRPr="00A91E9E">
        <w:rPr>
          <w:rFonts w:cs="Segoe UI"/>
          <w:b/>
          <w:bCs/>
          <w:szCs w:val="21"/>
          <w:lang w:val="en-GB"/>
        </w:rPr>
        <w:t>1</w:t>
      </w:r>
      <w:r w:rsidR="005D361A" w:rsidRPr="00A91E9E">
        <w:rPr>
          <w:rFonts w:cs="Segoe UI"/>
          <w:b/>
          <w:bCs/>
          <w:szCs w:val="21"/>
          <w:lang w:val="en-GB"/>
        </w:rPr>
        <w:t>7</w:t>
      </w:r>
      <w:r w:rsidR="006D4701" w:rsidRPr="00A91E9E">
        <w:rPr>
          <w:rFonts w:cs="Segoe UI"/>
          <w:b/>
          <w:bCs/>
          <w:szCs w:val="21"/>
          <w:lang w:val="en-GB"/>
        </w:rPr>
        <w:t xml:space="preserve"> October</w:t>
      </w:r>
      <w:r w:rsidRPr="00A91E9E">
        <w:rPr>
          <w:rFonts w:cs="Segoe UI"/>
          <w:b/>
          <w:bCs/>
          <w:szCs w:val="21"/>
          <w:lang w:val="en-GB"/>
        </w:rPr>
        <w:t xml:space="preserve"> 2025</w:t>
      </w:r>
      <w:r w:rsidRPr="00D96006">
        <w:rPr>
          <w:rFonts w:cs="Segoe UI"/>
          <w:bCs/>
          <w:szCs w:val="21"/>
          <w:lang w:val="en-GB"/>
        </w:rPr>
        <w:t>.</w:t>
      </w:r>
    </w:p>
    <w:p w14:paraId="4A376453" w14:textId="77777777" w:rsidR="00383DF6" w:rsidRPr="00D96006" w:rsidRDefault="00383DF6" w:rsidP="00383DF6">
      <w:pPr>
        <w:rPr>
          <w:rFonts w:cs="Segoe UI"/>
          <w:szCs w:val="21"/>
          <w:lang w:val="en-GB"/>
        </w:rPr>
      </w:pPr>
    </w:p>
    <w:p w14:paraId="4A109BF8" w14:textId="77777777" w:rsidR="00383DF6" w:rsidRPr="00D96006" w:rsidRDefault="00383DF6" w:rsidP="00383DF6">
      <w:pPr>
        <w:rPr>
          <w:rFonts w:cs="Segoe UI"/>
          <w:szCs w:val="21"/>
          <w:lang w:val="en-GB"/>
        </w:rPr>
      </w:pPr>
      <w:r w:rsidRPr="00D96006">
        <w:rPr>
          <w:rFonts w:cs="Segoe UI"/>
          <w:szCs w:val="21"/>
          <w:lang w:val="en-GB"/>
        </w:rPr>
        <w:t xml:space="preserve">Note that specific questions you may have about the proposed prescription medicines for pharmacist prescribers should be directed to the </w:t>
      </w:r>
      <w:hyperlink r:id="rId22" w:history="1">
        <w:r w:rsidRPr="00D96006">
          <w:rPr>
            <w:rStyle w:val="Hyperlink"/>
            <w:rFonts w:eastAsiaTheme="majorEastAsia" w:cs="Segoe UI"/>
            <w:szCs w:val="21"/>
            <w:lang w:val="en-GB"/>
          </w:rPr>
          <w:t>Pharmacy Council</w:t>
        </w:r>
      </w:hyperlink>
      <w:r w:rsidRPr="00D96006">
        <w:rPr>
          <w:rFonts w:cs="Segoe UI"/>
          <w:szCs w:val="21"/>
          <w:lang w:val="en-GB"/>
        </w:rPr>
        <w:t>.</w:t>
      </w:r>
    </w:p>
    <w:p w14:paraId="079475E3" w14:textId="77777777" w:rsidR="00383DF6" w:rsidRDefault="00383DF6" w:rsidP="00952AA6">
      <w:pPr>
        <w:pStyle w:val="Heading1"/>
        <w:spacing w:before="0"/>
        <w:sectPr w:rsidR="00383DF6" w:rsidSect="00AD23F3">
          <w:footerReference w:type="even" r:id="rId23"/>
          <w:pgSz w:w="11907" w:h="16840" w:code="9"/>
          <w:pgMar w:top="1418" w:right="1701" w:bottom="1134" w:left="1843" w:header="284" w:footer="425" w:gutter="284"/>
          <w:pgNumType w:start="1"/>
          <w:cols w:space="720"/>
        </w:sectPr>
      </w:pPr>
    </w:p>
    <w:p w14:paraId="7DD22133" w14:textId="77777777" w:rsidR="00AF497B" w:rsidRPr="00AD23F3" w:rsidRDefault="00AF497B" w:rsidP="00952AA6">
      <w:pPr>
        <w:pStyle w:val="Heading1"/>
        <w:spacing w:before="0"/>
      </w:pPr>
      <w:bookmarkStart w:id="4" w:name="_Toc208827519"/>
      <w:r w:rsidRPr="00AD23F3">
        <w:lastRenderedPageBreak/>
        <w:t>Background</w:t>
      </w:r>
      <w:bookmarkEnd w:id="3"/>
      <w:bookmarkEnd w:id="4"/>
    </w:p>
    <w:p w14:paraId="005C1CD9" w14:textId="6283B702" w:rsidR="00383DF6" w:rsidRPr="00D96006" w:rsidRDefault="00383DF6" w:rsidP="00383DF6">
      <w:pPr>
        <w:rPr>
          <w:rFonts w:cs="Segoe UI"/>
          <w:szCs w:val="21"/>
          <w:lang w:val="en-GB"/>
        </w:rPr>
      </w:pPr>
      <w:r>
        <w:rPr>
          <w:rFonts w:cs="Segoe UI"/>
          <w:szCs w:val="21"/>
          <w:lang w:val="en-GB"/>
        </w:rPr>
        <w:t>P</w:t>
      </w:r>
      <w:r w:rsidRPr="00D96006">
        <w:rPr>
          <w:rFonts w:cs="Segoe UI"/>
          <w:szCs w:val="21"/>
          <w:lang w:val="en-GB"/>
        </w:rPr>
        <w:t>harmacist prescribers have met specific requirements and are registered in an additional scope of practice by the Pharmacy Council.</w:t>
      </w:r>
      <w:r>
        <w:rPr>
          <w:rStyle w:val="FootnoteReference"/>
          <w:rFonts w:cs="Segoe UI"/>
          <w:szCs w:val="21"/>
          <w:lang w:val="en-GB"/>
        </w:rPr>
        <w:footnoteReference w:id="1"/>
      </w:r>
      <w:r w:rsidRPr="00D96006">
        <w:rPr>
          <w:rFonts w:cs="Segoe UI"/>
          <w:szCs w:val="21"/>
          <w:lang w:val="en-GB"/>
        </w:rPr>
        <w:t xml:space="preserve"> They work in collaborative multidisciplinary health care teams and only prescribe medicines within their specific area of practice. Additional information on requirements and practice context is provided </w:t>
      </w:r>
      <w:r>
        <w:rPr>
          <w:rFonts w:cs="Segoe UI"/>
          <w:szCs w:val="21"/>
          <w:lang w:val="en-GB"/>
        </w:rPr>
        <w:t>below.</w:t>
      </w:r>
    </w:p>
    <w:p w14:paraId="68CB644E" w14:textId="77777777" w:rsidR="00383DF6" w:rsidRPr="00D96006" w:rsidRDefault="00383DF6" w:rsidP="00383DF6">
      <w:pPr>
        <w:rPr>
          <w:rFonts w:cs="Segoe UI"/>
          <w:szCs w:val="21"/>
          <w:lang w:val="en-GB"/>
        </w:rPr>
      </w:pPr>
    </w:p>
    <w:p w14:paraId="5DD3FC5F" w14:textId="77777777" w:rsidR="00383DF6" w:rsidRPr="00D96006" w:rsidRDefault="00383DF6" w:rsidP="00383DF6">
      <w:pPr>
        <w:keepLines/>
        <w:rPr>
          <w:rFonts w:cs="Segoe UI"/>
          <w:szCs w:val="21"/>
          <w:lang w:val="en-GB"/>
        </w:rPr>
      </w:pPr>
      <w:r w:rsidRPr="00D96006">
        <w:rPr>
          <w:rFonts w:cs="Segoe UI"/>
          <w:szCs w:val="21"/>
          <w:lang w:val="en-GB"/>
        </w:rPr>
        <w:t xml:space="preserve">The current </w:t>
      </w:r>
      <w:r>
        <w:rPr>
          <w:rFonts w:cs="Segoe UI"/>
          <w:szCs w:val="21"/>
          <w:lang w:val="en-GB"/>
        </w:rPr>
        <w:t>list</w:t>
      </w:r>
      <w:r w:rsidRPr="00D96006">
        <w:rPr>
          <w:rFonts w:cs="Segoe UI"/>
          <w:szCs w:val="21"/>
          <w:lang w:val="en-GB"/>
        </w:rPr>
        <w:t xml:space="preserve"> of 1,</w:t>
      </w:r>
      <w:r>
        <w:rPr>
          <w:rFonts w:cs="Segoe UI"/>
          <w:szCs w:val="21"/>
          <w:lang w:val="en-GB"/>
        </w:rPr>
        <w:t>722</w:t>
      </w:r>
      <w:r w:rsidRPr="00D96006">
        <w:rPr>
          <w:rFonts w:cs="Segoe UI"/>
          <w:szCs w:val="21"/>
          <w:lang w:val="en-GB"/>
        </w:rPr>
        <w:t xml:space="preserve"> prescription medicines has been in effect since the Medicines (Designated Pharmacist</w:t>
      </w:r>
      <w:r>
        <w:rPr>
          <w:rFonts w:cs="Segoe UI"/>
          <w:szCs w:val="21"/>
          <w:lang w:val="en-GB"/>
        </w:rPr>
        <w:t>—</w:t>
      </w:r>
      <w:r w:rsidRPr="00D96006">
        <w:rPr>
          <w:rFonts w:cs="Segoe UI"/>
          <w:szCs w:val="21"/>
          <w:lang w:val="en-GB"/>
        </w:rPr>
        <w:t>Prescribers) Regulations passed into legislation in June 2013</w:t>
      </w:r>
      <w:r>
        <w:rPr>
          <w:rFonts w:cs="Segoe UI"/>
          <w:szCs w:val="21"/>
          <w:lang w:val="en-GB"/>
        </w:rPr>
        <w:t xml:space="preserve"> (updated 8 October 2021 and 27 May 2022)</w:t>
      </w:r>
      <w:r w:rsidRPr="00D96006">
        <w:rPr>
          <w:rFonts w:cs="Segoe UI"/>
          <w:szCs w:val="21"/>
          <w:lang w:val="en-GB"/>
        </w:rPr>
        <w:t xml:space="preserve">. Since then, additional medicines have become available in New Zealand, to which wider access would benefit patients. The </w:t>
      </w:r>
      <w:r>
        <w:rPr>
          <w:rFonts w:cs="Segoe UI"/>
          <w:szCs w:val="21"/>
          <w:lang w:val="en-GB"/>
        </w:rPr>
        <w:t>list</w:t>
      </w:r>
      <w:r w:rsidRPr="00D96006">
        <w:rPr>
          <w:rFonts w:cs="Segoe UI"/>
          <w:szCs w:val="21"/>
          <w:lang w:val="en-GB"/>
        </w:rPr>
        <w:t xml:space="preserve"> needs to be amended to reflect these additional medicines.</w:t>
      </w:r>
    </w:p>
    <w:p w14:paraId="2885B04A" w14:textId="77777777" w:rsidR="00383DF6" w:rsidRDefault="00383DF6" w:rsidP="00383DF6">
      <w:pPr>
        <w:rPr>
          <w:rFonts w:cs="Segoe UI"/>
          <w:szCs w:val="21"/>
          <w:lang w:val="en-GB"/>
        </w:rPr>
      </w:pPr>
    </w:p>
    <w:p w14:paraId="2BC8D050" w14:textId="77777777" w:rsidR="00383DF6" w:rsidRDefault="00383DF6" w:rsidP="00383DF6">
      <w:pPr>
        <w:rPr>
          <w:rFonts w:cs="Segoe UI"/>
          <w:szCs w:val="21"/>
          <w:lang w:val="en-GB"/>
        </w:rPr>
      </w:pPr>
      <w:r w:rsidRPr="00D96006">
        <w:rPr>
          <w:rFonts w:cs="Segoe UI"/>
          <w:szCs w:val="21"/>
          <w:lang w:val="en-GB"/>
        </w:rPr>
        <w:t xml:space="preserve">Following work with pharmacist prescribers and </w:t>
      </w:r>
      <w:r>
        <w:rPr>
          <w:rFonts w:cs="Segoe UI"/>
          <w:szCs w:val="21"/>
          <w:lang w:val="en-GB"/>
        </w:rPr>
        <w:t xml:space="preserve">the </w:t>
      </w:r>
      <w:r w:rsidRPr="00D96006">
        <w:rPr>
          <w:rFonts w:cs="Segoe UI"/>
          <w:szCs w:val="21"/>
          <w:lang w:val="en-GB"/>
        </w:rPr>
        <w:t xml:space="preserve">Ministry, the Pharmacy Council recommends </w:t>
      </w:r>
      <w:r>
        <w:rPr>
          <w:rFonts w:cs="Segoe UI"/>
          <w:szCs w:val="21"/>
          <w:lang w:val="en-GB"/>
        </w:rPr>
        <w:t>that 21</w:t>
      </w:r>
      <w:r w:rsidRPr="00D96006">
        <w:rPr>
          <w:rFonts w:cs="Segoe UI"/>
          <w:szCs w:val="21"/>
          <w:lang w:val="en-GB"/>
        </w:rPr>
        <w:t xml:space="preserve"> prescription medicines</w:t>
      </w:r>
      <w:r>
        <w:rPr>
          <w:rFonts w:cs="Segoe UI"/>
          <w:szCs w:val="21"/>
          <w:lang w:val="en-GB"/>
        </w:rPr>
        <w:t>, and vaccines as a class,</w:t>
      </w:r>
      <w:r w:rsidRPr="00D96006">
        <w:rPr>
          <w:rFonts w:cs="Segoe UI"/>
          <w:szCs w:val="21"/>
          <w:lang w:val="en-GB"/>
        </w:rPr>
        <w:t xml:space="preserve"> should be added to the </w:t>
      </w:r>
      <w:r>
        <w:rPr>
          <w:rFonts w:cs="Segoe UI"/>
          <w:szCs w:val="21"/>
          <w:lang w:val="en-GB"/>
        </w:rPr>
        <w:t xml:space="preserve">specified prescription medicines list for pharmacist prescribers under the </w:t>
      </w:r>
      <w:r w:rsidRPr="00D96006">
        <w:rPr>
          <w:rFonts w:cs="Segoe UI"/>
          <w:szCs w:val="21"/>
          <w:lang w:val="en-GB"/>
        </w:rPr>
        <w:t>Medicines (Designated Pharmacist</w:t>
      </w:r>
      <w:r>
        <w:rPr>
          <w:rFonts w:cs="Segoe UI"/>
          <w:szCs w:val="21"/>
          <w:lang w:val="en-GB"/>
        </w:rPr>
        <w:t>—</w:t>
      </w:r>
      <w:r w:rsidRPr="00D96006">
        <w:rPr>
          <w:rFonts w:cs="Segoe UI"/>
          <w:szCs w:val="21"/>
          <w:lang w:val="en-GB"/>
        </w:rPr>
        <w:t>Prescribers) Regulations 2013.</w:t>
      </w:r>
      <w:r w:rsidRPr="00431E31">
        <w:rPr>
          <w:rFonts w:cs="Segoe UI"/>
          <w:szCs w:val="21"/>
          <w:lang w:val="en-GB"/>
        </w:rPr>
        <w:t xml:space="preserve"> </w:t>
      </w:r>
      <w:r>
        <w:rPr>
          <w:rFonts w:cs="Segoe UI"/>
          <w:szCs w:val="21"/>
          <w:lang w:val="en-GB"/>
        </w:rPr>
        <w:t>Two medicines are recommended to be removed.</w:t>
      </w:r>
    </w:p>
    <w:p w14:paraId="1218431C" w14:textId="2A2E1F17" w:rsidR="00AF497B" w:rsidRPr="007373D3" w:rsidRDefault="00AF497B" w:rsidP="00AF497B">
      <w:pPr>
        <w:keepLines/>
        <w:rPr>
          <w:rFonts w:cs="Segoe UI"/>
          <w:color w:val="000000" w:themeColor="text1"/>
          <w:szCs w:val="21"/>
          <w:lang w:val="en-GB"/>
        </w:rPr>
      </w:pPr>
    </w:p>
    <w:p w14:paraId="15385C26" w14:textId="77777777" w:rsidR="00AD23F3" w:rsidRDefault="00AD23F3" w:rsidP="00AD23F3">
      <w:pPr>
        <w:pStyle w:val="Heading1"/>
        <w:rPr>
          <w:lang w:val="en-GB"/>
        </w:rPr>
        <w:sectPr w:rsidR="00AD23F3" w:rsidSect="00F47079">
          <w:pgSz w:w="11907" w:h="16840" w:code="9"/>
          <w:pgMar w:top="1418" w:right="1701" w:bottom="1134" w:left="1843" w:header="284" w:footer="425" w:gutter="284"/>
          <w:cols w:space="720"/>
        </w:sectPr>
      </w:pPr>
      <w:bookmarkStart w:id="5" w:name="_Who/What_is_a"/>
      <w:bookmarkStart w:id="6" w:name="_Ref86305060"/>
      <w:bookmarkStart w:id="7" w:name="_Toc206573655"/>
      <w:bookmarkEnd w:id="5"/>
    </w:p>
    <w:p w14:paraId="47D33155" w14:textId="6D6386A8" w:rsidR="00AF497B" w:rsidRPr="007373D3" w:rsidRDefault="00AF497B" w:rsidP="00AD23F3">
      <w:pPr>
        <w:pStyle w:val="Heading1"/>
        <w:spacing w:before="0"/>
        <w:rPr>
          <w:lang w:val="en-GB"/>
        </w:rPr>
      </w:pPr>
      <w:bookmarkStart w:id="8" w:name="_Toc208827520"/>
      <w:r w:rsidRPr="007373D3">
        <w:rPr>
          <w:lang w:val="en-GB"/>
        </w:rPr>
        <w:lastRenderedPageBreak/>
        <w:t xml:space="preserve">Requirements for </w:t>
      </w:r>
      <w:bookmarkEnd w:id="6"/>
      <w:bookmarkEnd w:id="7"/>
      <w:r w:rsidR="00383DF6" w:rsidRPr="00383DF6">
        <w:rPr>
          <w:lang w:val="en-GB"/>
        </w:rPr>
        <w:t>designated pharmacist prescribers</w:t>
      </w:r>
      <w:bookmarkEnd w:id="8"/>
    </w:p>
    <w:p w14:paraId="2CD9BD59" w14:textId="77777777" w:rsidR="00383DF6" w:rsidRPr="00D96006" w:rsidRDefault="00383DF6" w:rsidP="00383DF6">
      <w:pPr>
        <w:rPr>
          <w:rFonts w:cs="Segoe UI"/>
          <w:szCs w:val="21"/>
          <w:lang w:val="en-GB"/>
        </w:rPr>
      </w:pPr>
      <w:r w:rsidRPr="00D96006">
        <w:rPr>
          <w:rFonts w:cs="Segoe UI"/>
          <w:szCs w:val="21"/>
          <w:lang w:val="en-GB"/>
        </w:rPr>
        <w:t>The Medicines (Designated Pharmacist Prescribers) Regulations 2013 and Misuse of Drugs Regulations 1977 permit pharmacist prescribers to prescribe specified prescription medicines.</w:t>
      </w:r>
    </w:p>
    <w:p w14:paraId="3841DB45" w14:textId="77777777" w:rsidR="00383DF6" w:rsidRPr="00D96006" w:rsidRDefault="00383DF6" w:rsidP="00383DF6">
      <w:pPr>
        <w:rPr>
          <w:rFonts w:cs="Segoe UI"/>
          <w:szCs w:val="21"/>
          <w:lang w:val="en-GB"/>
        </w:rPr>
      </w:pPr>
    </w:p>
    <w:p w14:paraId="5185BB09" w14:textId="77777777" w:rsidR="00383DF6" w:rsidRPr="00D96006" w:rsidRDefault="00383DF6" w:rsidP="00383DF6">
      <w:pPr>
        <w:rPr>
          <w:rFonts w:cs="Segoe UI"/>
          <w:szCs w:val="21"/>
          <w:lang w:val="en-GB"/>
        </w:rPr>
      </w:pPr>
      <w:r w:rsidRPr="00D96006">
        <w:rPr>
          <w:rFonts w:cs="Segoe UI"/>
          <w:szCs w:val="21"/>
          <w:lang w:val="en-GB"/>
        </w:rPr>
        <w:t xml:space="preserve">Pharmacy Council sets the Pharmacist Prescriber scope of practice and the required qualifications to enter the scope. These are published in a </w:t>
      </w:r>
      <w:hyperlink r:id="rId24" w:history="1">
        <w:r w:rsidRPr="00383DF6">
          <w:rPr>
            <w:rStyle w:val="Hyperlink"/>
          </w:rPr>
          <w:t>Gazette notice</w:t>
        </w:r>
      </w:hyperlink>
      <w:r w:rsidRPr="00D96006">
        <w:rPr>
          <w:rFonts w:cs="Segoe UI"/>
          <w:szCs w:val="21"/>
          <w:lang w:val="en-GB"/>
        </w:rPr>
        <w:t>. The prescribing activities of pharmacist prescribers are therefore tightly regulated via the Medicines Act 1981, the Misuse of Drugs Act 1975, and the Health Practitioners Competence Assurance Act 2003.</w:t>
      </w:r>
    </w:p>
    <w:p w14:paraId="1265215D" w14:textId="77777777" w:rsidR="00383DF6" w:rsidRPr="00D96006" w:rsidRDefault="00383DF6" w:rsidP="00383DF6">
      <w:pPr>
        <w:rPr>
          <w:rFonts w:cs="Segoe UI"/>
          <w:szCs w:val="21"/>
          <w:lang w:val="en-GB"/>
        </w:rPr>
      </w:pPr>
    </w:p>
    <w:p w14:paraId="4CBD9F23" w14:textId="77777777" w:rsidR="00383DF6" w:rsidRPr="00D96006" w:rsidRDefault="00383DF6" w:rsidP="00383DF6">
      <w:pPr>
        <w:rPr>
          <w:rFonts w:cs="Segoe UI"/>
          <w:szCs w:val="21"/>
          <w:lang w:val="en-GB"/>
        </w:rPr>
      </w:pPr>
      <w:r w:rsidRPr="00D96006">
        <w:rPr>
          <w:rFonts w:cs="Segoe UI"/>
          <w:szCs w:val="21"/>
          <w:lang w:val="en-GB"/>
        </w:rPr>
        <w:t xml:space="preserve">Pharmacy Council also sets expected levels of competence and requirements for entry into the </w:t>
      </w:r>
      <w:r>
        <w:rPr>
          <w:rFonts w:cs="Segoe UI"/>
          <w:szCs w:val="21"/>
          <w:lang w:val="en-GB"/>
        </w:rPr>
        <w:t xml:space="preserve">Pharmacist Prescriber </w:t>
      </w:r>
      <w:r w:rsidRPr="00D96006">
        <w:rPr>
          <w:rFonts w:cs="Segoe UI"/>
          <w:szCs w:val="21"/>
          <w:lang w:val="en-GB"/>
        </w:rPr>
        <w:t>scope</w:t>
      </w:r>
      <w:r>
        <w:rPr>
          <w:rFonts w:cs="Segoe UI"/>
          <w:szCs w:val="21"/>
          <w:lang w:val="en-GB"/>
        </w:rPr>
        <w:t xml:space="preserve"> of practice</w:t>
      </w:r>
      <w:r w:rsidRPr="00D96006">
        <w:rPr>
          <w:rFonts w:cs="Segoe UI"/>
          <w:szCs w:val="21"/>
          <w:lang w:val="en-GB"/>
        </w:rPr>
        <w:t>. Requirements include:</w:t>
      </w:r>
    </w:p>
    <w:p w14:paraId="218EDDF4" w14:textId="77777777" w:rsidR="00383DF6" w:rsidRPr="00383DF6" w:rsidRDefault="00383DF6" w:rsidP="00383DF6">
      <w:pPr>
        <w:pStyle w:val="Bullet"/>
      </w:pPr>
      <w:r w:rsidRPr="00383DF6">
        <w:t>holding an annual practising certificate in the Pharmacist scope of practice</w:t>
      </w:r>
    </w:p>
    <w:p w14:paraId="00E5A420" w14:textId="77777777" w:rsidR="00383DF6" w:rsidRPr="00383DF6" w:rsidRDefault="00383DF6" w:rsidP="00383DF6">
      <w:pPr>
        <w:pStyle w:val="Bullet"/>
      </w:pPr>
      <w:r w:rsidRPr="00383DF6">
        <w:t>having at least two years of recent and appropriate post-registration experience working in a collaborative patient-facing health care team environment relevant to the area of practice in which they plan to prescribe</w:t>
      </w:r>
    </w:p>
    <w:p w14:paraId="04D601DF" w14:textId="77777777" w:rsidR="00383DF6" w:rsidRPr="00383DF6" w:rsidRDefault="00383DF6" w:rsidP="00383DF6">
      <w:pPr>
        <w:pStyle w:val="Bullet"/>
      </w:pPr>
      <w:r w:rsidRPr="00383DF6">
        <w:t>holding a qualification prescribed by the Pharmacy Council for entry into the Pharmacist Prescriber scope (eg, a postgraduate certiﬁcate in prescribing)</w:t>
      </w:r>
    </w:p>
    <w:p w14:paraId="21127BDE" w14:textId="77777777" w:rsidR="00383DF6" w:rsidRPr="00383DF6" w:rsidRDefault="00383DF6" w:rsidP="00383DF6">
      <w:pPr>
        <w:pStyle w:val="Bullet"/>
      </w:pPr>
      <w:r w:rsidRPr="00383DF6">
        <w:t>the course content must include clinical reasoning and decision-making, physical assessment and diagnostic skills, the 'mechanics' of prescribing, pharmacoeconomic considerations, and completion of a practicum with a medical practitioner or nurse practitioner</w:t>
      </w:r>
    </w:p>
    <w:p w14:paraId="5D26A6EE" w14:textId="77777777" w:rsidR="00383DF6" w:rsidRPr="00383DF6" w:rsidRDefault="00383DF6" w:rsidP="00383DF6">
      <w:pPr>
        <w:pStyle w:val="Bullet"/>
      </w:pPr>
      <w:r w:rsidRPr="00383DF6">
        <w:t>the practicum must demonstrate knowledge to safely prescribe speciﬁed prescription medicines and knowledge of the regulatory framework for prescribing</w:t>
      </w:r>
    </w:p>
    <w:p w14:paraId="2EDEEA9E" w14:textId="77777777" w:rsidR="00383DF6" w:rsidRPr="00383DF6" w:rsidRDefault="00383DF6" w:rsidP="00383DF6">
      <w:pPr>
        <w:pStyle w:val="Bullet"/>
      </w:pPr>
      <w:r w:rsidRPr="00383DF6">
        <w:t>submission of a practice plan which is endorsed by the clinical lead of their collaborative health care team</w:t>
      </w:r>
    </w:p>
    <w:p w14:paraId="18629D4C" w14:textId="77777777" w:rsidR="00383DF6" w:rsidRDefault="00383DF6" w:rsidP="00383DF6">
      <w:pPr>
        <w:pStyle w:val="Bullet"/>
      </w:pPr>
      <w:r w:rsidRPr="00383DF6">
        <w:t>review of practice and submission of a new or modiﬁed practice plan if the prescriber amends or expands their deﬁned area or practice or changes the collaborative team in which they work</w:t>
      </w:r>
    </w:p>
    <w:p w14:paraId="54BD4DEA" w14:textId="01928D7D" w:rsidR="00383DF6" w:rsidRPr="00383DF6" w:rsidRDefault="00383DF6" w:rsidP="00383DF6">
      <w:pPr>
        <w:pStyle w:val="Bullet"/>
      </w:pPr>
      <w:r w:rsidRPr="00383DF6">
        <w:lastRenderedPageBreak/>
        <w:t>a declaration that their current practice meets relevant standards</w:t>
      </w:r>
      <w:r>
        <w:rPr>
          <w:rStyle w:val="FootnoteReference"/>
        </w:rPr>
        <w:footnoteReference w:id="2"/>
      </w:r>
      <w:r w:rsidRPr="00383DF6">
        <w:t xml:space="preserve"> from the Competence Standards for the Pharmacy Profession, and all the Pharmacist Prescriber Competence Standards.</w:t>
      </w:r>
      <w:r>
        <w:rPr>
          <w:rStyle w:val="FootnoteReference"/>
        </w:rPr>
        <w:footnoteReference w:id="3"/>
      </w:r>
    </w:p>
    <w:p w14:paraId="7D62F3F4" w14:textId="77777777" w:rsidR="00383DF6" w:rsidRDefault="00383DF6" w:rsidP="00383DF6">
      <w:pPr>
        <w:rPr>
          <w:lang w:val="en-GB"/>
        </w:rPr>
      </w:pPr>
    </w:p>
    <w:p w14:paraId="5835D1B3" w14:textId="3353B333" w:rsidR="00383DF6" w:rsidRDefault="00383DF6" w:rsidP="00383DF6">
      <w:pPr>
        <w:rPr>
          <w:lang w:val="en-GB"/>
        </w:rPr>
      </w:pPr>
      <w:r w:rsidRPr="00CA2D77">
        <w:rPr>
          <w:lang w:val="en-GB"/>
        </w:rPr>
        <w:t xml:space="preserve">Of the </w:t>
      </w:r>
      <w:r>
        <w:rPr>
          <w:lang w:val="en-GB"/>
        </w:rPr>
        <w:t>4,463 practising</w:t>
      </w:r>
      <w:r w:rsidRPr="00CA2D77">
        <w:rPr>
          <w:lang w:val="en-GB"/>
        </w:rPr>
        <w:t xml:space="preserve"> pharmacists</w:t>
      </w:r>
      <w:r>
        <w:rPr>
          <w:rStyle w:val="FootnoteReference"/>
          <w:rFonts w:cs="Segoe UI"/>
          <w:szCs w:val="21"/>
          <w:lang w:val="en-GB"/>
        </w:rPr>
        <w:footnoteReference w:id="4"/>
      </w:r>
      <w:r w:rsidRPr="00CA2D77">
        <w:rPr>
          <w:lang w:val="en-GB"/>
        </w:rPr>
        <w:t xml:space="preserve"> in New Zealand, there are </w:t>
      </w:r>
      <w:r>
        <w:rPr>
          <w:lang w:val="en-GB"/>
        </w:rPr>
        <w:t>99</w:t>
      </w:r>
      <w:r w:rsidRPr="00CA2D77">
        <w:rPr>
          <w:lang w:val="en-GB"/>
        </w:rPr>
        <w:t xml:space="preserve"> registered pharmacist prescribers (at 31 March 2025). Of these, the majority are working in general practice (66%) and secondary care (33%) settings</w:t>
      </w:r>
      <w:r>
        <w:rPr>
          <w:lang w:val="en-GB"/>
        </w:rPr>
        <w:t>.</w:t>
      </w:r>
      <w:r>
        <w:rPr>
          <w:rStyle w:val="FootnoteReference"/>
          <w:rFonts w:cs="Segoe UI"/>
          <w:szCs w:val="21"/>
          <w:lang w:val="en-GB"/>
        </w:rPr>
        <w:footnoteReference w:id="5"/>
      </w:r>
      <w:r w:rsidRPr="00CA2D77">
        <w:rPr>
          <w:lang w:val="en-GB"/>
        </w:rPr>
        <w:t xml:space="preserve"> </w:t>
      </w:r>
      <w:r>
        <w:rPr>
          <w:lang w:val="en-GB"/>
        </w:rPr>
        <w:t>There has been an increase in the number of pharmacist prescribers from previous year (73 in March 2024). While the numbers of pharmacist prescribers remain reasonably small, they continue to increase.</w:t>
      </w:r>
    </w:p>
    <w:p w14:paraId="23BA95D3" w14:textId="77777777" w:rsidR="00383DF6" w:rsidRPr="00CA2D77" w:rsidRDefault="00383DF6" w:rsidP="00383DF6">
      <w:pPr>
        <w:rPr>
          <w:lang w:val="en-GB"/>
        </w:rPr>
      </w:pPr>
    </w:p>
    <w:p w14:paraId="4812724E" w14:textId="77777777" w:rsidR="00383DF6" w:rsidRDefault="00383DF6" w:rsidP="00383DF6">
      <w:pPr>
        <w:rPr>
          <w:lang w:val="en-GB"/>
        </w:rPr>
      </w:pPr>
      <w:r w:rsidRPr="00CA2D77">
        <w:rPr>
          <w:lang w:val="en-GB"/>
        </w:rPr>
        <w:t xml:space="preserve">Pharmacist prescribers prescribe from </w:t>
      </w:r>
      <w:r>
        <w:rPr>
          <w:lang w:val="en-GB"/>
        </w:rPr>
        <w:t xml:space="preserve">a specified prescription medicines list </w:t>
      </w:r>
      <w:r w:rsidRPr="00CA2D77">
        <w:rPr>
          <w:lang w:val="en-GB"/>
        </w:rPr>
        <w:t>gazetted by the Director</w:t>
      </w:r>
      <w:r>
        <w:rPr>
          <w:lang w:val="en-GB"/>
        </w:rPr>
        <w:t>-</w:t>
      </w:r>
      <w:r w:rsidRPr="00CA2D77">
        <w:rPr>
          <w:lang w:val="en-GB"/>
        </w:rPr>
        <w:t>General of Health. There are 1,722 medicines on the pharmacist prescriber list.</w:t>
      </w:r>
    </w:p>
    <w:p w14:paraId="06B7EC16" w14:textId="77777777" w:rsidR="00383DF6" w:rsidRDefault="00383DF6" w:rsidP="00383DF6">
      <w:pPr>
        <w:rPr>
          <w:lang w:val="en-GB"/>
        </w:rPr>
      </w:pPr>
    </w:p>
    <w:p w14:paraId="58E8C1FC" w14:textId="77777777" w:rsidR="00383DF6" w:rsidRPr="00565177" w:rsidRDefault="00383DF6" w:rsidP="00383DF6">
      <w:pPr>
        <w:rPr>
          <w:lang w:val="en-GB"/>
        </w:rPr>
      </w:pPr>
      <w:r w:rsidRPr="00565177">
        <w:rPr>
          <w:lang w:val="en-GB"/>
        </w:rPr>
        <w:t>Pharmacist prescribers are required to prescribe as part of a collaborative and multidisciplinary health care team. Additional information is provided in the Appendix.</w:t>
      </w:r>
    </w:p>
    <w:p w14:paraId="7466D103" w14:textId="77777777" w:rsidR="00383DF6" w:rsidRDefault="00383DF6" w:rsidP="00383DF6">
      <w:pPr>
        <w:rPr>
          <w:lang w:val="en-GB"/>
        </w:rPr>
      </w:pPr>
    </w:p>
    <w:p w14:paraId="276D5295" w14:textId="77777777" w:rsidR="00383DF6" w:rsidRPr="00D96006" w:rsidRDefault="00383DF6" w:rsidP="00383DF6">
      <w:pPr>
        <w:rPr>
          <w:lang w:val="en-GB"/>
        </w:rPr>
      </w:pPr>
      <w:r w:rsidRPr="00D96006">
        <w:rPr>
          <w:lang w:val="en-GB"/>
        </w:rPr>
        <w:t>The pharmacist prescriber must only prescribe within the limits of their professional expertise, competence, and ethical codes of practice. They are responsible and accountable for the prescribing decisions they make and the care they provide. A pharmacist prescriber may only prescribe a medicine if:</w:t>
      </w:r>
    </w:p>
    <w:p w14:paraId="2805E696" w14:textId="77777777" w:rsidR="00383DF6" w:rsidRPr="00383DF6" w:rsidRDefault="00383DF6" w:rsidP="00383DF6">
      <w:pPr>
        <w:pStyle w:val="Bullet"/>
      </w:pPr>
      <w:r w:rsidRPr="00383DF6">
        <w:t>they possess the appropriate knowledge and competence (both clinical and cultural)</w:t>
      </w:r>
    </w:p>
    <w:p w14:paraId="056BD4C6" w14:textId="77777777" w:rsidR="00383DF6" w:rsidRPr="00383DF6" w:rsidRDefault="00383DF6" w:rsidP="00383DF6">
      <w:pPr>
        <w:pStyle w:val="Bullet"/>
      </w:pPr>
      <w:r w:rsidRPr="00383DF6">
        <w:t>the condition and medicine lie within their specified clinical area of practice</w:t>
      </w:r>
    </w:p>
    <w:p w14:paraId="14CE5FF6" w14:textId="77777777" w:rsidR="00383DF6" w:rsidRPr="00383DF6" w:rsidRDefault="00383DF6" w:rsidP="00383DF6">
      <w:pPr>
        <w:pStyle w:val="Bullet"/>
      </w:pPr>
      <w:r w:rsidRPr="00383DF6">
        <w:t>the clinical lead of the collaborative team is satisfied that pharmacist prescribing of the medicine is safe, aligns with legal and workplace protocols, and is in the best interests of the patient.</w:t>
      </w:r>
    </w:p>
    <w:p w14:paraId="4C442467" w14:textId="77777777" w:rsidR="00383DF6" w:rsidRPr="00D96006" w:rsidRDefault="00383DF6" w:rsidP="00383DF6">
      <w:pPr>
        <w:rPr>
          <w:lang w:val="en-GB"/>
        </w:rPr>
      </w:pPr>
    </w:p>
    <w:p w14:paraId="6D355A8F" w14:textId="77777777" w:rsidR="00383DF6" w:rsidRPr="00D96006" w:rsidRDefault="00383DF6" w:rsidP="00383DF6">
      <w:pPr>
        <w:rPr>
          <w:lang w:val="en-GB"/>
        </w:rPr>
      </w:pPr>
      <w:r w:rsidRPr="00D96006">
        <w:rPr>
          <w:lang w:val="en-GB"/>
        </w:rPr>
        <w:t xml:space="preserve">Additional information on pharmacist prescribers including requirements to enter the scope of practice and competence standards can be found on the Pharmacy Council </w:t>
      </w:r>
      <w:hyperlink r:id="rId25" w:history="1">
        <w:r w:rsidRPr="00D96006">
          <w:rPr>
            <w:rStyle w:val="Hyperlink"/>
            <w:rFonts w:cs="Segoe UI"/>
            <w:szCs w:val="21"/>
            <w:lang w:val="en-GB"/>
          </w:rPr>
          <w:t>website</w:t>
        </w:r>
      </w:hyperlink>
      <w:r w:rsidRPr="00D96006">
        <w:rPr>
          <w:lang w:val="en-GB"/>
        </w:rPr>
        <w:t>.</w:t>
      </w:r>
    </w:p>
    <w:p w14:paraId="3E1038BC" w14:textId="77777777" w:rsidR="00383DF6" w:rsidRDefault="00383DF6" w:rsidP="00383DF6">
      <w:pPr>
        <w:rPr>
          <w:rFonts w:eastAsia="Calibri"/>
          <w:lang w:val="en-GB"/>
        </w:rPr>
        <w:sectPr w:rsidR="00383DF6" w:rsidSect="00AD23F3">
          <w:pgSz w:w="11907" w:h="16840" w:code="9"/>
          <w:pgMar w:top="1418" w:right="1701" w:bottom="1134" w:left="1843" w:header="284" w:footer="425" w:gutter="284"/>
          <w:cols w:space="720"/>
        </w:sectPr>
      </w:pPr>
    </w:p>
    <w:p w14:paraId="288ED428" w14:textId="77777777" w:rsidR="00AF497B" w:rsidRPr="00AD23F3" w:rsidRDefault="00AF497B" w:rsidP="00AD23F3">
      <w:pPr>
        <w:pStyle w:val="Heading1"/>
        <w:spacing w:before="0"/>
      </w:pPr>
      <w:bookmarkStart w:id="9" w:name="_Toc206573656"/>
      <w:bookmarkStart w:id="10" w:name="_Toc208827521"/>
      <w:r w:rsidRPr="00AD23F3">
        <w:lastRenderedPageBreak/>
        <w:t>Additional information</w:t>
      </w:r>
      <w:bookmarkEnd w:id="9"/>
      <w:bookmarkEnd w:id="10"/>
    </w:p>
    <w:p w14:paraId="000155DA" w14:textId="77777777" w:rsidR="00383DF6" w:rsidRPr="00A679E0" w:rsidRDefault="00383DF6" w:rsidP="00383DF6">
      <w:pPr>
        <w:pStyle w:val="Number"/>
        <w:ind w:left="426" w:hanging="426"/>
        <w:rPr>
          <w:lang w:val="en-GB"/>
        </w:rPr>
      </w:pPr>
      <w:r w:rsidRPr="00A679E0">
        <w:rPr>
          <w:lang w:val="en-GB"/>
        </w:rPr>
        <w:t>The existing pharmacist prescribers</w:t>
      </w:r>
      <w:r>
        <w:rPr>
          <w:lang w:val="en-GB"/>
        </w:rPr>
        <w:t>’</w:t>
      </w:r>
      <w:r w:rsidRPr="00A679E0">
        <w:rPr>
          <w:lang w:val="en-GB"/>
        </w:rPr>
        <w:t xml:space="preserve"> specified prescription medicines list is available on the New Zealand Gazette: </w:t>
      </w:r>
      <w:hyperlink r:id="rId26" w:history="1">
        <w:r w:rsidRPr="00A679E0">
          <w:rPr>
            <w:rStyle w:val="Hyperlink"/>
            <w:rFonts w:cs="Segoe UI"/>
            <w:spacing w:val="-3"/>
            <w:szCs w:val="21"/>
            <w:lang w:val="en-GB"/>
          </w:rPr>
          <w:t>Speciﬁed Prescription Medicines for Designated Pharmacist Prescriber</w:t>
        </w:r>
        <w:r>
          <w:rPr>
            <w:rStyle w:val="Hyperlink"/>
            <w:rFonts w:cs="Segoe UI"/>
            <w:spacing w:val="-3"/>
            <w:szCs w:val="21"/>
            <w:lang w:val="en-GB"/>
          </w:rPr>
          <w:t>s</w:t>
        </w:r>
        <w:r w:rsidRPr="00A679E0">
          <w:rPr>
            <w:rStyle w:val="Hyperlink"/>
            <w:rFonts w:cs="Segoe UI"/>
            <w:spacing w:val="-3"/>
            <w:szCs w:val="21"/>
            <w:lang w:val="en-GB"/>
          </w:rPr>
          <w:t>, 30 May 2022</w:t>
        </w:r>
      </w:hyperlink>
      <w:r w:rsidRPr="00A679E0">
        <w:rPr>
          <w:lang w:val="en-GB"/>
        </w:rPr>
        <w:t>.</w:t>
      </w:r>
    </w:p>
    <w:p w14:paraId="4E474331" w14:textId="77777777" w:rsidR="00383DF6" w:rsidRPr="00A679E0" w:rsidRDefault="00383DF6" w:rsidP="00383DF6">
      <w:pPr>
        <w:pStyle w:val="Number"/>
        <w:ind w:left="426" w:hanging="426"/>
        <w:rPr>
          <w:lang w:val="en-GB"/>
        </w:rPr>
      </w:pPr>
      <w:r w:rsidRPr="00A679E0">
        <w:rPr>
          <w:lang w:val="en-GB"/>
        </w:rPr>
        <w:t xml:space="preserve">The controlled drugs (eg, morphine, tramadol and zopiclone) the pharmacist prescribers can prescribe are listed under the Misuse of Drugs Regulations 1977, </w:t>
      </w:r>
      <w:hyperlink r:id="rId27" w:anchor=":~:text=Schedule%C2%A01B,pharmacists%20may%20prescribe" w:history="1">
        <w:r w:rsidRPr="00A679E0">
          <w:rPr>
            <w:rStyle w:val="Hyperlink"/>
            <w:rFonts w:cs="Segoe UI"/>
            <w:spacing w:val="-3"/>
            <w:szCs w:val="21"/>
            <w:lang w:val="en-GB"/>
          </w:rPr>
          <w:t>Schedule 1B, Controlled drugs that designated prescriber pharmacists may prescribe</w:t>
        </w:r>
      </w:hyperlink>
      <w:r w:rsidRPr="00A679E0">
        <w:rPr>
          <w:lang w:val="en-GB"/>
        </w:rPr>
        <w:t>. A review of the scheduled controlled drugs that pharmacist prescribers can prescribe is outside of the scope for this consultation.</w:t>
      </w:r>
    </w:p>
    <w:p w14:paraId="1EE99515" w14:textId="77777777" w:rsidR="00383DF6" w:rsidRPr="00A679E0" w:rsidRDefault="00383DF6" w:rsidP="00383DF6">
      <w:pPr>
        <w:pStyle w:val="Number"/>
        <w:ind w:left="426" w:hanging="426"/>
        <w:rPr>
          <w:lang w:val="en-GB"/>
        </w:rPr>
      </w:pPr>
      <w:r w:rsidRPr="00A679E0">
        <w:rPr>
          <w:lang w:val="en-GB"/>
        </w:rPr>
        <w:t xml:space="preserve">Pharmacist prescribers </w:t>
      </w:r>
      <w:r>
        <w:rPr>
          <w:lang w:val="en-GB"/>
        </w:rPr>
        <w:t>can</w:t>
      </w:r>
      <w:r w:rsidRPr="00A679E0">
        <w:rPr>
          <w:lang w:val="en-GB"/>
        </w:rPr>
        <w:t xml:space="preserve"> prescribe non-prescription medicines, including pharmacist only (restricted), pharmacy-only, and general sales medicines. Hence, these medicines have not been considered under this consultation.</w:t>
      </w:r>
    </w:p>
    <w:p w14:paraId="020905A6" w14:textId="77777777" w:rsidR="00383DF6" w:rsidRPr="00A679E0" w:rsidRDefault="00383DF6" w:rsidP="00383DF6">
      <w:pPr>
        <w:pStyle w:val="Number"/>
        <w:ind w:left="426" w:right="-568" w:hanging="426"/>
        <w:rPr>
          <w:lang w:val="en-GB"/>
        </w:rPr>
      </w:pPr>
      <w:r w:rsidRPr="00A679E0">
        <w:rPr>
          <w:lang w:val="en-GB"/>
        </w:rPr>
        <w:t xml:space="preserve">Combination products (eg, triamcinolone + neomycin + gramicidin + nystatin) must have all their individual chemical ingredients (active pharmaceutical ingredient) listed (if these are prescription medicines) before being available to the </w:t>
      </w:r>
      <w:r>
        <w:rPr>
          <w:lang w:val="en-GB"/>
        </w:rPr>
        <w:t xml:space="preserve">pharmacist </w:t>
      </w:r>
      <w:r w:rsidRPr="00A679E0">
        <w:rPr>
          <w:lang w:val="en-GB"/>
        </w:rPr>
        <w:t>prescriber.</w:t>
      </w:r>
    </w:p>
    <w:p w14:paraId="2F2A5B91" w14:textId="77777777" w:rsidR="00383DF6" w:rsidRPr="00A679E0" w:rsidRDefault="00383DF6" w:rsidP="00383DF6">
      <w:pPr>
        <w:pStyle w:val="Number"/>
        <w:ind w:left="426" w:hanging="426"/>
        <w:rPr>
          <w:lang w:val="en-GB"/>
        </w:rPr>
      </w:pPr>
      <w:bookmarkStart w:id="11" w:name="_Hlk205301664"/>
      <w:r w:rsidRPr="00A679E0">
        <w:rPr>
          <w:lang w:val="en-GB"/>
        </w:rPr>
        <w:t>Some medicines, while not currently available in New Zealand, have been suggested to future proof the list in anticipation that they may be introduced into New Zealand in the near future</w:t>
      </w:r>
      <w:bookmarkEnd w:id="11"/>
      <w:r w:rsidRPr="00A679E0">
        <w:rPr>
          <w:lang w:val="en-GB"/>
        </w:rPr>
        <w:t>.</w:t>
      </w:r>
    </w:p>
    <w:p w14:paraId="07078E3E" w14:textId="77777777" w:rsidR="00383DF6" w:rsidRPr="00A679E0" w:rsidRDefault="00383DF6" w:rsidP="00383DF6">
      <w:pPr>
        <w:pStyle w:val="Number"/>
        <w:ind w:left="426" w:hanging="426"/>
        <w:rPr>
          <w:lang w:val="en-GB"/>
        </w:rPr>
      </w:pPr>
      <w:r w:rsidRPr="00A679E0">
        <w:rPr>
          <w:lang w:val="en-GB"/>
        </w:rPr>
        <w:t>Not all of the medicines proposed are currently Medsafe approved. Current legislation does not authorise pharmacist prescribers to prescribe unapproved products, therefore these proposals are forward-looking to avoid barriers accessing important medicines which may become available in New Zealand.</w:t>
      </w:r>
    </w:p>
    <w:p w14:paraId="47E88C5B" w14:textId="77777777" w:rsidR="00383DF6" w:rsidRPr="00A679E0" w:rsidRDefault="00383DF6" w:rsidP="00383DF6">
      <w:pPr>
        <w:pStyle w:val="Number"/>
        <w:ind w:left="426" w:hanging="426"/>
        <w:rPr>
          <w:lang w:val="en-GB"/>
        </w:rPr>
      </w:pPr>
      <w:r w:rsidRPr="00A679E0">
        <w:rPr>
          <w:lang w:val="en-GB"/>
        </w:rPr>
        <w:t xml:space="preserve">When gazetted, the chemical name as in the Medicines Regulation 1984 (Schedule 1) will be used. This means that the spelling may differ to that used in the NZ </w:t>
      </w:r>
      <w:r>
        <w:rPr>
          <w:lang w:val="en-GB"/>
        </w:rPr>
        <w:t>F</w:t>
      </w:r>
      <w:r w:rsidRPr="00A679E0">
        <w:rPr>
          <w:lang w:val="en-GB"/>
        </w:rPr>
        <w:t xml:space="preserve">ormulary and/or on medicine labelling (eg, ‘bendrofluazide’ and </w:t>
      </w:r>
      <w:r>
        <w:rPr>
          <w:lang w:val="en-GB"/>
        </w:rPr>
        <w:t>‘</w:t>
      </w:r>
      <w:r w:rsidRPr="00A679E0">
        <w:rPr>
          <w:lang w:val="en-GB"/>
        </w:rPr>
        <w:t>lignocaine</w:t>
      </w:r>
      <w:r>
        <w:rPr>
          <w:lang w:val="en-GB"/>
        </w:rPr>
        <w:t>’</w:t>
      </w:r>
      <w:r w:rsidRPr="00A679E0">
        <w:rPr>
          <w:lang w:val="en-GB"/>
        </w:rPr>
        <w:t xml:space="preserve"> (the old British approved names (BAN) used in the Medicines Regulations) versus ‘bendroflumethiazide’ and </w:t>
      </w:r>
      <w:r>
        <w:rPr>
          <w:lang w:val="en-GB"/>
        </w:rPr>
        <w:t>‘</w:t>
      </w:r>
      <w:r w:rsidRPr="00A679E0">
        <w:rPr>
          <w:lang w:val="en-GB"/>
        </w:rPr>
        <w:t>lidocaine</w:t>
      </w:r>
      <w:r>
        <w:rPr>
          <w:lang w:val="en-GB"/>
        </w:rPr>
        <w:t>’</w:t>
      </w:r>
      <w:r w:rsidRPr="00A679E0">
        <w:rPr>
          <w:lang w:val="en-GB"/>
        </w:rPr>
        <w:t xml:space="preserve"> (the recognised international non-proprietary name (rINN) used in the NZ</w:t>
      </w:r>
      <w:r>
        <w:rPr>
          <w:lang w:val="en-GB"/>
        </w:rPr>
        <w:t xml:space="preserve"> </w:t>
      </w:r>
      <w:r w:rsidRPr="00A679E0">
        <w:rPr>
          <w:lang w:val="en-GB"/>
        </w:rPr>
        <w:t>F</w:t>
      </w:r>
      <w:r>
        <w:rPr>
          <w:lang w:val="en-GB"/>
        </w:rPr>
        <w:t>ormulary</w:t>
      </w:r>
      <w:r w:rsidRPr="00A679E0">
        <w:rPr>
          <w:lang w:val="en-GB"/>
        </w:rPr>
        <w:t xml:space="preserve"> and on product labelling).</w:t>
      </w:r>
    </w:p>
    <w:p w14:paraId="3F5D62DD" w14:textId="77777777" w:rsidR="00383DF6" w:rsidRDefault="00383DF6" w:rsidP="00383DF6">
      <w:pPr>
        <w:pStyle w:val="Number"/>
        <w:ind w:left="426" w:hanging="426"/>
        <w:rPr>
          <w:lang w:val="en-GB"/>
        </w:rPr>
      </w:pPr>
      <w:r w:rsidRPr="00A679E0">
        <w:rPr>
          <w:lang w:val="en-GB"/>
        </w:rPr>
        <w:t>Some medicines may be indicated for multiple uses</w:t>
      </w:r>
      <w:r>
        <w:rPr>
          <w:lang w:val="en-GB"/>
        </w:rPr>
        <w:t>. F</w:t>
      </w:r>
      <w:r w:rsidRPr="00A679E0">
        <w:rPr>
          <w:lang w:val="en-GB"/>
        </w:rPr>
        <w:t>or example</w:t>
      </w:r>
      <w:r>
        <w:rPr>
          <w:lang w:val="en-GB"/>
        </w:rPr>
        <w:t>,</w:t>
      </w:r>
      <w:r w:rsidRPr="00A679E0">
        <w:rPr>
          <w:lang w:val="en-GB"/>
        </w:rPr>
        <w:t xml:space="preserve"> haloperidol may be used as an antipsychotic or in palliative care for the management of nausea and vomiting. The gazetted list generally does not specify a specific indication. Pharmacist prescribers must be aware of all medicines that are on their gazetted list and through agreement with their collaborative team and</w:t>
      </w:r>
      <w:r>
        <w:rPr>
          <w:lang w:val="en-GB"/>
        </w:rPr>
        <w:t>/</w:t>
      </w:r>
      <w:r w:rsidRPr="00A679E0">
        <w:rPr>
          <w:lang w:val="en-GB"/>
        </w:rPr>
        <w:t xml:space="preserve">or </w:t>
      </w:r>
      <w:r>
        <w:rPr>
          <w:lang w:val="en-GB"/>
        </w:rPr>
        <w:t>clinical lead</w:t>
      </w:r>
      <w:r w:rsidRPr="00A679E0">
        <w:rPr>
          <w:lang w:val="en-GB"/>
        </w:rPr>
        <w:t xml:space="preserve"> decide which medicines are appropriate to be prescribed within the </w:t>
      </w:r>
      <w:r>
        <w:rPr>
          <w:lang w:val="en-GB"/>
        </w:rPr>
        <w:t xml:space="preserve">pharmacist </w:t>
      </w:r>
      <w:r w:rsidRPr="00A679E0">
        <w:rPr>
          <w:lang w:val="en-GB"/>
        </w:rPr>
        <w:t>prescriber’s area of practice</w:t>
      </w:r>
      <w:r>
        <w:rPr>
          <w:lang w:val="en-GB"/>
        </w:rPr>
        <w:t>,</w:t>
      </w:r>
      <w:r w:rsidRPr="00A679E0">
        <w:rPr>
          <w:lang w:val="en-GB"/>
        </w:rPr>
        <w:t xml:space="preserve"> irrespective of the medicine being listed.</w:t>
      </w:r>
    </w:p>
    <w:p w14:paraId="7CA69006" w14:textId="77777777" w:rsidR="00383DF6" w:rsidRDefault="00383DF6" w:rsidP="00383DF6">
      <w:pPr>
        <w:pStyle w:val="Number"/>
        <w:ind w:left="426" w:hanging="426"/>
        <w:rPr>
          <w:lang w:val="en-GB"/>
        </w:rPr>
      </w:pPr>
      <w:r>
        <w:rPr>
          <w:lang w:val="en-GB"/>
        </w:rPr>
        <w:t>Inclusion of a medicine on the gazetted specified prescription medicines list for pharmacist prescribers does not give a pharmacist prescriber automatic approval to prescribe the medicine. At all times, the pharmacist prescriber must operate within legislative frameworks (eg, the Medicines Act and regulations; including not prescribing unapproved medicines), funding restrictions (if applicable), within the prescriber’s area of practice, experience and competence, and within the collaborative team and the limits set by the prescriber’s mentor.</w:t>
      </w:r>
    </w:p>
    <w:p w14:paraId="413A5650" w14:textId="77777777" w:rsidR="00AF497B" w:rsidRPr="00952AA6" w:rsidRDefault="00AF497B" w:rsidP="00383DF6">
      <w:pPr>
        <w:pStyle w:val="Heading1"/>
        <w:ind w:right="-1"/>
      </w:pPr>
      <w:bookmarkStart w:id="12" w:name="_The_proposed_additions"/>
      <w:bookmarkStart w:id="13" w:name="_The_proposed_additions_1"/>
      <w:bookmarkStart w:id="14" w:name="_Toc206573657"/>
      <w:bookmarkStart w:id="15" w:name="_Toc208827522"/>
      <w:bookmarkEnd w:id="12"/>
      <w:bookmarkEnd w:id="13"/>
      <w:r w:rsidRPr="00952AA6">
        <w:lastRenderedPageBreak/>
        <w:t>The proposed additions to the medicines list</w:t>
      </w:r>
      <w:bookmarkEnd w:id="14"/>
      <w:bookmarkEnd w:id="15"/>
    </w:p>
    <w:tbl>
      <w:tblPr>
        <w:tblStyle w:val="TableGrid"/>
        <w:tblW w:w="7938"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478"/>
        <w:gridCol w:w="1917"/>
        <w:gridCol w:w="3543"/>
      </w:tblGrid>
      <w:tr w:rsidR="00383DF6" w:rsidRPr="00F47079" w14:paraId="758AA7F4" w14:textId="77777777" w:rsidTr="00F47079">
        <w:trPr>
          <w:tblHeader/>
        </w:trPr>
        <w:tc>
          <w:tcPr>
            <w:tcW w:w="2478" w:type="dxa"/>
            <w:tcBorders>
              <w:top w:val="nil"/>
              <w:bottom w:val="nil"/>
            </w:tcBorders>
            <w:shd w:val="clear" w:color="auto" w:fill="BFBFBF" w:themeFill="background1" w:themeFillShade="BF"/>
          </w:tcPr>
          <w:p w14:paraId="6735E7F4" w14:textId="212F6826" w:rsidR="00383DF6" w:rsidRPr="00F47079" w:rsidRDefault="00383DF6" w:rsidP="00F47079">
            <w:pPr>
              <w:pStyle w:val="TableText"/>
              <w:rPr>
                <w:b/>
                <w:bCs/>
                <w:szCs w:val="18"/>
              </w:rPr>
            </w:pPr>
            <w:bookmarkStart w:id="16" w:name="_Hlk205301477"/>
            <w:r w:rsidRPr="00F47079">
              <w:rPr>
                <w:b/>
                <w:bCs/>
                <w:szCs w:val="18"/>
              </w:rPr>
              <w:t>Broad therapeutic group</w:t>
            </w:r>
            <w:r w:rsidRPr="00F47079">
              <w:rPr>
                <w:rStyle w:val="FootnoteReference"/>
                <w:b/>
                <w:bCs/>
                <w:szCs w:val="18"/>
              </w:rPr>
              <w:footnoteReference w:id="6"/>
            </w:r>
          </w:p>
        </w:tc>
        <w:tc>
          <w:tcPr>
            <w:tcW w:w="1917" w:type="dxa"/>
            <w:tcBorders>
              <w:top w:val="nil"/>
              <w:bottom w:val="nil"/>
            </w:tcBorders>
            <w:shd w:val="clear" w:color="auto" w:fill="BFBFBF" w:themeFill="background1" w:themeFillShade="BF"/>
          </w:tcPr>
          <w:p w14:paraId="1A106179" w14:textId="77777777" w:rsidR="00383DF6" w:rsidRPr="00F47079" w:rsidRDefault="00383DF6" w:rsidP="00F47079">
            <w:pPr>
              <w:pStyle w:val="TableText"/>
              <w:rPr>
                <w:b/>
                <w:bCs/>
                <w:szCs w:val="18"/>
              </w:rPr>
            </w:pPr>
            <w:r w:rsidRPr="00F47079">
              <w:rPr>
                <w:b/>
                <w:bCs/>
                <w:szCs w:val="18"/>
              </w:rPr>
              <w:t>Proposed additional medicine</w:t>
            </w:r>
          </w:p>
        </w:tc>
        <w:tc>
          <w:tcPr>
            <w:tcW w:w="3543" w:type="dxa"/>
            <w:tcBorders>
              <w:top w:val="nil"/>
              <w:bottom w:val="nil"/>
            </w:tcBorders>
            <w:shd w:val="clear" w:color="auto" w:fill="BFBFBF" w:themeFill="background1" w:themeFillShade="BF"/>
          </w:tcPr>
          <w:p w14:paraId="01780CAB" w14:textId="77777777" w:rsidR="00383DF6" w:rsidRPr="00F47079" w:rsidRDefault="00383DF6" w:rsidP="00F47079">
            <w:pPr>
              <w:pStyle w:val="TableText"/>
              <w:rPr>
                <w:b/>
                <w:bCs/>
                <w:szCs w:val="18"/>
              </w:rPr>
            </w:pPr>
            <w:r w:rsidRPr="00F47079">
              <w:rPr>
                <w:b/>
                <w:bCs/>
                <w:szCs w:val="18"/>
              </w:rPr>
              <w:t>Rationale</w:t>
            </w:r>
          </w:p>
        </w:tc>
      </w:tr>
      <w:tr w:rsidR="00383DF6" w:rsidRPr="00F47079" w14:paraId="13753BB2" w14:textId="77777777" w:rsidTr="00383DF6">
        <w:tc>
          <w:tcPr>
            <w:tcW w:w="7938" w:type="dxa"/>
            <w:gridSpan w:val="3"/>
            <w:tcBorders>
              <w:top w:val="nil"/>
              <w:bottom w:val="nil"/>
            </w:tcBorders>
            <w:shd w:val="clear" w:color="auto" w:fill="D9D9D9" w:themeFill="background1" w:themeFillShade="D9"/>
          </w:tcPr>
          <w:p w14:paraId="635A1F72" w14:textId="77777777" w:rsidR="00383DF6" w:rsidRPr="00F47079" w:rsidRDefault="00383DF6" w:rsidP="00F47079">
            <w:pPr>
              <w:pStyle w:val="TableText"/>
              <w:rPr>
                <w:b/>
                <w:bCs/>
                <w:szCs w:val="18"/>
              </w:rPr>
            </w:pPr>
            <w:r w:rsidRPr="00F47079">
              <w:rPr>
                <w:b/>
                <w:bCs/>
                <w:szCs w:val="18"/>
              </w:rPr>
              <w:t>Anaesthesia</w:t>
            </w:r>
          </w:p>
        </w:tc>
      </w:tr>
      <w:tr w:rsidR="00383DF6" w:rsidRPr="00D96006" w14:paraId="6E047D41" w14:textId="77777777" w:rsidTr="00383DF6">
        <w:trPr>
          <w:trHeight w:val="666"/>
        </w:trPr>
        <w:tc>
          <w:tcPr>
            <w:tcW w:w="2478" w:type="dxa"/>
            <w:tcBorders>
              <w:top w:val="nil"/>
            </w:tcBorders>
          </w:tcPr>
          <w:p w14:paraId="137FE8FE" w14:textId="77777777" w:rsidR="00383DF6" w:rsidRPr="00F47079" w:rsidRDefault="00383DF6" w:rsidP="00F47079">
            <w:pPr>
              <w:pStyle w:val="TableText"/>
              <w:rPr>
                <w:szCs w:val="18"/>
              </w:rPr>
            </w:pPr>
            <w:r w:rsidRPr="00F47079">
              <w:rPr>
                <w:szCs w:val="18"/>
              </w:rPr>
              <w:t>Drugs for opioid or benzodiazepine antagonism</w:t>
            </w:r>
          </w:p>
        </w:tc>
        <w:tc>
          <w:tcPr>
            <w:tcW w:w="1917" w:type="dxa"/>
            <w:tcBorders>
              <w:top w:val="nil"/>
            </w:tcBorders>
          </w:tcPr>
          <w:p w14:paraId="2D1A1D22" w14:textId="77777777" w:rsidR="00383DF6" w:rsidRPr="00F47079" w:rsidRDefault="00383DF6" w:rsidP="00F47079">
            <w:pPr>
              <w:pStyle w:val="TableText"/>
              <w:rPr>
                <w:szCs w:val="18"/>
              </w:rPr>
            </w:pPr>
            <w:r w:rsidRPr="00F47079">
              <w:rPr>
                <w:szCs w:val="18"/>
              </w:rPr>
              <w:t>Nalmefene</w:t>
            </w:r>
          </w:p>
        </w:tc>
        <w:tc>
          <w:tcPr>
            <w:tcW w:w="3543" w:type="dxa"/>
            <w:tcBorders>
              <w:top w:val="nil"/>
            </w:tcBorders>
          </w:tcPr>
          <w:p w14:paraId="5DDC786B" w14:textId="77777777" w:rsidR="00383DF6" w:rsidRPr="00F47079" w:rsidRDefault="00383DF6" w:rsidP="00F47079">
            <w:pPr>
              <w:pStyle w:val="TableText"/>
              <w:rPr>
                <w:szCs w:val="18"/>
              </w:rPr>
            </w:pPr>
            <w:r w:rsidRPr="00F47079">
              <w:rPr>
                <w:szCs w:val="18"/>
              </w:rPr>
              <w:t>Treatment of opioid overdose</w:t>
            </w:r>
          </w:p>
        </w:tc>
      </w:tr>
      <w:tr w:rsidR="00383DF6" w:rsidRPr="00383DF6" w14:paraId="627851D4" w14:textId="77777777" w:rsidTr="00383DF6">
        <w:tc>
          <w:tcPr>
            <w:tcW w:w="2478" w:type="dxa"/>
            <w:tcBorders>
              <w:bottom w:val="nil"/>
            </w:tcBorders>
          </w:tcPr>
          <w:p w14:paraId="3D462564" w14:textId="77777777" w:rsidR="00383DF6" w:rsidRPr="00F47079" w:rsidRDefault="00383DF6" w:rsidP="00F47079">
            <w:pPr>
              <w:pStyle w:val="TableText"/>
              <w:rPr>
                <w:szCs w:val="18"/>
              </w:rPr>
            </w:pPr>
            <w:r w:rsidRPr="00F47079">
              <w:rPr>
                <w:szCs w:val="18"/>
              </w:rPr>
              <w:t>Volatile liquid anaesthetics</w:t>
            </w:r>
          </w:p>
        </w:tc>
        <w:tc>
          <w:tcPr>
            <w:tcW w:w="1917" w:type="dxa"/>
            <w:tcBorders>
              <w:bottom w:val="nil"/>
            </w:tcBorders>
          </w:tcPr>
          <w:p w14:paraId="4715540E" w14:textId="77777777" w:rsidR="00383DF6" w:rsidRPr="00F47079" w:rsidRDefault="00383DF6" w:rsidP="00F47079">
            <w:pPr>
              <w:pStyle w:val="TableText"/>
              <w:rPr>
                <w:szCs w:val="18"/>
              </w:rPr>
            </w:pPr>
            <w:r w:rsidRPr="00F47079">
              <w:rPr>
                <w:szCs w:val="18"/>
              </w:rPr>
              <w:t>Methoxyﬂurane</w:t>
            </w:r>
          </w:p>
        </w:tc>
        <w:tc>
          <w:tcPr>
            <w:tcW w:w="3543" w:type="dxa"/>
            <w:tcBorders>
              <w:bottom w:val="nil"/>
            </w:tcBorders>
          </w:tcPr>
          <w:p w14:paraId="1846780D" w14:textId="77777777" w:rsidR="00383DF6" w:rsidRPr="00F47079" w:rsidRDefault="00383DF6" w:rsidP="00F47079">
            <w:pPr>
              <w:pStyle w:val="TableText"/>
              <w:rPr>
                <w:szCs w:val="18"/>
              </w:rPr>
            </w:pPr>
            <w:r w:rsidRPr="00F47079">
              <w:rPr>
                <w:rFonts w:eastAsia="Tahoma"/>
                <w:szCs w:val="18"/>
              </w:rPr>
              <w:t>For the short-term relief of moderate to severe pain after injury or during some short medical procedures</w:t>
            </w:r>
          </w:p>
        </w:tc>
      </w:tr>
      <w:tr w:rsidR="00383DF6" w:rsidRPr="00F47079" w14:paraId="2F466946" w14:textId="77777777" w:rsidTr="00383DF6">
        <w:tc>
          <w:tcPr>
            <w:tcW w:w="7938" w:type="dxa"/>
            <w:gridSpan w:val="3"/>
            <w:tcBorders>
              <w:top w:val="nil"/>
              <w:bottom w:val="nil"/>
            </w:tcBorders>
            <w:shd w:val="clear" w:color="auto" w:fill="D9D9D9" w:themeFill="background1" w:themeFillShade="D9"/>
          </w:tcPr>
          <w:p w14:paraId="3CE81A51" w14:textId="77777777" w:rsidR="00383DF6" w:rsidRPr="00F47079" w:rsidRDefault="00383DF6" w:rsidP="00F47079">
            <w:pPr>
              <w:pStyle w:val="TableText"/>
              <w:rPr>
                <w:rFonts w:eastAsia="Tahoma"/>
                <w:b/>
                <w:bCs/>
                <w:szCs w:val="18"/>
              </w:rPr>
            </w:pPr>
            <w:r w:rsidRPr="00F47079">
              <w:rPr>
                <w:rFonts w:eastAsia="Tahoma"/>
                <w:b/>
                <w:bCs/>
                <w:szCs w:val="18"/>
              </w:rPr>
              <w:t>Cardiovascular</w:t>
            </w:r>
          </w:p>
        </w:tc>
      </w:tr>
      <w:tr w:rsidR="00383DF6" w:rsidRPr="00D96006" w14:paraId="67D633B1" w14:textId="77777777" w:rsidTr="00383DF6">
        <w:tc>
          <w:tcPr>
            <w:tcW w:w="2478" w:type="dxa"/>
            <w:tcBorders>
              <w:top w:val="nil"/>
            </w:tcBorders>
          </w:tcPr>
          <w:p w14:paraId="3B415FB9" w14:textId="77777777" w:rsidR="00383DF6" w:rsidRPr="00F47079" w:rsidRDefault="00383DF6" w:rsidP="00F47079">
            <w:pPr>
              <w:pStyle w:val="TableText"/>
              <w:rPr>
                <w:szCs w:val="18"/>
              </w:rPr>
            </w:pPr>
            <w:r w:rsidRPr="00F47079">
              <w:rPr>
                <w:szCs w:val="18"/>
              </w:rPr>
              <w:t>Cardiovascular system</w:t>
            </w:r>
          </w:p>
        </w:tc>
        <w:tc>
          <w:tcPr>
            <w:tcW w:w="1917" w:type="dxa"/>
            <w:tcBorders>
              <w:top w:val="nil"/>
            </w:tcBorders>
          </w:tcPr>
          <w:p w14:paraId="56020603" w14:textId="77777777" w:rsidR="00383DF6" w:rsidRPr="00F47079" w:rsidRDefault="00383DF6" w:rsidP="00F47079">
            <w:pPr>
              <w:pStyle w:val="TableText"/>
              <w:rPr>
                <w:szCs w:val="18"/>
              </w:rPr>
            </w:pPr>
            <w:r w:rsidRPr="00F47079">
              <w:rPr>
                <w:szCs w:val="18"/>
              </w:rPr>
              <w:t>Mavacamten</w:t>
            </w:r>
          </w:p>
        </w:tc>
        <w:tc>
          <w:tcPr>
            <w:tcW w:w="3543" w:type="dxa"/>
            <w:tcBorders>
              <w:top w:val="nil"/>
            </w:tcBorders>
          </w:tcPr>
          <w:p w14:paraId="26AD77B5" w14:textId="77777777" w:rsidR="00383DF6" w:rsidRPr="00F47079" w:rsidRDefault="00383DF6" w:rsidP="00F47079">
            <w:pPr>
              <w:pStyle w:val="TableText"/>
              <w:rPr>
                <w:rFonts w:eastAsia="Tahoma"/>
                <w:szCs w:val="18"/>
              </w:rPr>
            </w:pPr>
            <w:r w:rsidRPr="00F47079">
              <w:rPr>
                <w:rFonts w:eastAsia="Tahoma"/>
                <w:szCs w:val="18"/>
              </w:rPr>
              <w:t>Future proofing; to treat obstructive hypertrophic cardiomyopathy</w:t>
            </w:r>
          </w:p>
        </w:tc>
      </w:tr>
      <w:tr w:rsidR="00383DF6" w:rsidRPr="00D96006" w14:paraId="64D44E5D" w14:textId="77777777" w:rsidTr="00383DF6">
        <w:trPr>
          <w:trHeight w:val="453"/>
        </w:trPr>
        <w:tc>
          <w:tcPr>
            <w:tcW w:w="2478" w:type="dxa"/>
          </w:tcPr>
          <w:p w14:paraId="1F89FE72" w14:textId="77777777" w:rsidR="00383DF6" w:rsidRPr="00F47079" w:rsidRDefault="00383DF6" w:rsidP="00F47079">
            <w:pPr>
              <w:pStyle w:val="TableText"/>
              <w:rPr>
                <w:szCs w:val="18"/>
              </w:rPr>
            </w:pPr>
            <w:r w:rsidRPr="00F47079">
              <w:rPr>
                <w:szCs w:val="18"/>
              </w:rPr>
              <w:t>Antiplatelet drugs</w:t>
            </w:r>
          </w:p>
        </w:tc>
        <w:tc>
          <w:tcPr>
            <w:tcW w:w="1917" w:type="dxa"/>
          </w:tcPr>
          <w:p w14:paraId="0BF31988" w14:textId="77777777" w:rsidR="00383DF6" w:rsidRPr="00F47079" w:rsidRDefault="00383DF6" w:rsidP="00F47079">
            <w:pPr>
              <w:pStyle w:val="TableText"/>
              <w:rPr>
                <w:szCs w:val="18"/>
              </w:rPr>
            </w:pPr>
            <w:r w:rsidRPr="00F47079">
              <w:rPr>
                <w:szCs w:val="18"/>
              </w:rPr>
              <w:t>Selexipag</w:t>
            </w:r>
          </w:p>
        </w:tc>
        <w:tc>
          <w:tcPr>
            <w:tcW w:w="3543" w:type="dxa"/>
          </w:tcPr>
          <w:p w14:paraId="08274024" w14:textId="77777777" w:rsidR="00383DF6" w:rsidRPr="00F47079" w:rsidRDefault="00383DF6" w:rsidP="00F47079">
            <w:pPr>
              <w:pStyle w:val="TableText"/>
              <w:rPr>
                <w:rFonts w:eastAsia="Tahoma"/>
                <w:szCs w:val="18"/>
              </w:rPr>
            </w:pPr>
            <w:r w:rsidRPr="00F47079">
              <w:rPr>
                <w:szCs w:val="18"/>
              </w:rPr>
              <w:t>Antithrombotic agent for use in hospital settings</w:t>
            </w:r>
          </w:p>
        </w:tc>
      </w:tr>
      <w:tr w:rsidR="00383DF6" w:rsidRPr="00D96006" w14:paraId="6F2AAD30" w14:textId="77777777" w:rsidTr="00383DF6">
        <w:trPr>
          <w:trHeight w:val="632"/>
        </w:trPr>
        <w:tc>
          <w:tcPr>
            <w:tcW w:w="2478" w:type="dxa"/>
            <w:tcBorders>
              <w:bottom w:val="nil"/>
            </w:tcBorders>
          </w:tcPr>
          <w:p w14:paraId="3FCF22D9" w14:textId="77777777" w:rsidR="00383DF6" w:rsidRPr="00F47079" w:rsidRDefault="00383DF6" w:rsidP="00F47079">
            <w:pPr>
              <w:pStyle w:val="TableText"/>
              <w:rPr>
                <w:szCs w:val="18"/>
              </w:rPr>
            </w:pPr>
            <w:r w:rsidRPr="00F47079">
              <w:rPr>
                <w:szCs w:val="18"/>
              </w:rPr>
              <w:t>Lipid-regulating medicines</w:t>
            </w:r>
          </w:p>
        </w:tc>
        <w:tc>
          <w:tcPr>
            <w:tcW w:w="1917" w:type="dxa"/>
            <w:tcBorders>
              <w:bottom w:val="nil"/>
            </w:tcBorders>
          </w:tcPr>
          <w:p w14:paraId="0878A93D" w14:textId="77777777" w:rsidR="00383DF6" w:rsidRPr="00F47079" w:rsidRDefault="00383DF6" w:rsidP="00F47079">
            <w:pPr>
              <w:pStyle w:val="TableText"/>
              <w:rPr>
                <w:szCs w:val="18"/>
              </w:rPr>
            </w:pPr>
            <w:r w:rsidRPr="00F47079">
              <w:rPr>
                <w:szCs w:val="18"/>
              </w:rPr>
              <w:t>Alirocumab</w:t>
            </w:r>
          </w:p>
          <w:p w14:paraId="18014ACD" w14:textId="77777777" w:rsidR="00383DF6" w:rsidRPr="00F47079" w:rsidRDefault="00383DF6" w:rsidP="00F47079">
            <w:pPr>
              <w:pStyle w:val="TableText"/>
              <w:rPr>
                <w:szCs w:val="18"/>
              </w:rPr>
            </w:pPr>
            <w:r w:rsidRPr="00F47079">
              <w:rPr>
                <w:szCs w:val="18"/>
              </w:rPr>
              <w:t>Inclisiran</w:t>
            </w:r>
          </w:p>
        </w:tc>
        <w:tc>
          <w:tcPr>
            <w:tcW w:w="3543" w:type="dxa"/>
            <w:tcBorders>
              <w:bottom w:val="nil"/>
            </w:tcBorders>
          </w:tcPr>
          <w:p w14:paraId="049F5273" w14:textId="77777777" w:rsidR="00383DF6" w:rsidRPr="00F47079" w:rsidRDefault="00383DF6" w:rsidP="00F47079">
            <w:pPr>
              <w:pStyle w:val="TableText"/>
              <w:rPr>
                <w:szCs w:val="18"/>
              </w:rPr>
            </w:pPr>
            <w:r w:rsidRPr="00F47079">
              <w:rPr>
                <w:szCs w:val="18"/>
              </w:rPr>
              <w:t>Future proofing the list in anticipation that they may be introduced / funded into New Zealand in the near future</w:t>
            </w:r>
          </w:p>
        </w:tc>
      </w:tr>
      <w:tr w:rsidR="00383DF6" w:rsidRPr="00F47079" w14:paraId="4B5B6596" w14:textId="77777777" w:rsidTr="00383DF6">
        <w:tc>
          <w:tcPr>
            <w:tcW w:w="7938" w:type="dxa"/>
            <w:gridSpan w:val="3"/>
            <w:tcBorders>
              <w:top w:val="nil"/>
              <w:bottom w:val="nil"/>
            </w:tcBorders>
            <w:shd w:val="clear" w:color="auto" w:fill="D9D9D9" w:themeFill="background1" w:themeFillShade="D9"/>
          </w:tcPr>
          <w:p w14:paraId="5342F91B" w14:textId="77777777" w:rsidR="00383DF6" w:rsidRPr="00F47079" w:rsidRDefault="00383DF6" w:rsidP="00F47079">
            <w:pPr>
              <w:pStyle w:val="TableText"/>
              <w:rPr>
                <w:rFonts w:eastAsia="Tahoma"/>
                <w:b/>
                <w:bCs/>
                <w:szCs w:val="18"/>
              </w:rPr>
            </w:pPr>
            <w:r w:rsidRPr="00F47079">
              <w:rPr>
                <w:rFonts w:eastAsia="Tahoma"/>
                <w:b/>
                <w:bCs/>
                <w:szCs w:val="18"/>
              </w:rPr>
              <w:t>Central nervous system</w:t>
            </w:r>
          </w:p>
        </w:tc>
      </w:tr>
      <w:tr w:rsidR="00383DF6" w:rsidRPr="00D96006" w14:paraId="44A6F106" w14:textId="77777777" w:rsidTr="00383DF6">
        <w:trPr>
          <w:trHeight w:val="269"/>
        </w:trPr>
        <w:tc>
          <w:tcPr>
            <w:tcW w:w="2478" w:type="dxa"/>
            <w:tcBorders>
              <w:top w:val="nil"/>
            </w:tcBorders>
          </w:tcPr>
          <w:p w14:paraId="0C551119" w14:textId="77777777" w:rsidR="00383DF6" w:rsidRPr="00F47079" w:rsidRDefault="00383DF6" w:rsidP="00F47079">
            <w:pPr>
              <w:pStyle w:val="TableText"/>
              <w:rPr>
                <w:szCs w:val="18"/>
              </w:rPr>
            </w:pPr>
            <w:r w:rsidRPr="00F47079">
              <w:rPr>
                <w:szCs w:val="18"/>
              </w:rPr>
              <w:t>Dopaminergic drugs used in Parkinson's disease</w:t>
            </w:r>
          </w:p>
        </w:tc>
        <w:tc>
          <w:tcPr>
            <w:tcW w:w="1917" w:type="dxa"/>
            <w:tcBorders>
              <w:top w:val="nil"/>
            </w:tcBorders>
          </w:tcPr>
          <w:p w14:paraId="367DAB3F" w14:textId="77777777" w:rsidR="00383DF6" w:rsidRPr="00F47079" w:rsidRDefault="00383DF6" w:rsidP="00F47079">
            <w:pPr>
              <w:pStyle w:val="TableText"/>
              <w:rPr>
                <w:szCs w:val="18"/>
              </w:rPr>
            </w:pPr>
            <w:r w:rsidRPr="00F47079">
              <w:rPr>
                <w:szCs w:val="18"/>
              </w:rPr>
              <w:t>Foscarbidopa</w:t>
            </w:r>
          </w:p>
          <w:p w14:paraId="0E1F6E73" w14:textId="77777777" w:rsidR="00383DF6" w:rsidRPr="00F47079" w:rsidRDefault="00383DF6" w:rsidP="00F47079">
            <w:pPr>
              <w:pStyle w:val="TableText"/>
              <w:rPr>
                <w:szCs w:val="18"/>
              </w:rPr>
            </w:pPr>
            <w:r w:rsidRPr="00F47079">
              <w:rPr>
                <w:szCs w:val="18"/>
              </w:rPr>
              <w:t>Foslevodopa</w:t>
            </w:r>
          </w:p>
        </w:tc>
        <w:tc>
          <w:tcPr>
            <w:tcW w:w="3543" w:type="dxa"/>
            <w:tcBorders>
              <w:top w:val="nil"/>
            </w:tcBorders>
          </w:tcPr>
          <w:p w14:paraId="66DCEE18" w14:textId="77777777" w:rsidR="00383DF6" w:rsidRPr="00F47079" w:rsidRDefault="00383DF6" w:rsidP="00F47079">
            <w:pPr>
              <w:pStyle w:val="TableText"/>
              <w:rPr>
                <w:rFonts w:eastAsia="Tahoma"/>
                <w:szCs w:val="18"/>
              </w:rPr>
            </w:pPr>
            <w:r w:rsidRPr="00F47079">
              <w:rPr>
                <w:rFonts w:eastAsia="Tahoma"/>
                <w:szCs w:val="18"/>
              </w:rPr>
              <w:t>Treatment of Parkinson’s disease</w:t>
            </w:r>
          </w:p>
        </w:tc>
      </w:tr>
      <w:tr w:rsidR="00383DF6" w:rsidRPr="00D96006" w14:paraId="0288C538" w14:textId="77777777" w:rsidTr="00383DF6">
        <w:tc>
          <w:tcPr>
            <w:tcW w:w="2478" w:type="dxa"/>
          </w:tcPr>
          <w:p w14:paraId="53795902" w14:textId="77777777" w:rsidR="00383DF6" w:rsidRPr="00F47079" w:rsidRDefault="00383DF6" w:rsidP="00F47079">
            <w:pPr>
              <w:pStyle w:val="TableText"/>
              <w:rPr>
                <w:szCs w:val="18"/>
              </w:rPr>
            </w:pPr>
            <w:r w:rsidRPr="00F47079">
              <w:rPr>
                <w:szCs w:val="18"/>
              </w:rPr>
              <w:t>Hypnotics</w:t>
            </w:r>
          </w:p>
        </w:tc>
        <w:tc>
          <w:tcPr>
            <w:tcW w:w="1917" w:type="dxa"/>
          </w:tcPr>
          <w:p w14:paraId="715875CB" w14:textId="77777777" w:rsidR="00383DF6" w:rsidRPr="00F47079" w:rsidRDefault="00383DF6" w:rsidP="00F47079">
            <w:pPr>
              <w:pStyle w:val="TableText"/>
              <w:rPr>
                <w:szCs w:val="18"/>
              </w:rPr>
            </w:pPr>
            <w:r w:rsidRPr="00F47079">
              <w:rPr>
                <w:szCs w:val="18"/>
              </w:rPr>
              <w:t>Lemborexant</w:t>
            </w:r>
          </w:p>
        </w:tc>
        <w:tc>
          <w:tcPr>
            <w:tcW w:w="3543" w:type="dxa"/>
          </w:tcPr>
          <w:p w14:paraId="69ABE54E" w14:textId="77777777" w:rsidR="00383DF6" w:rsidRPr="00F47079" w:rsidRDefault="00383DF6" w:rsidP="00F47079">
            <w:pPr>
              <w:pStyle w:val="TableText"/>
              <w:rPr>
                <w:rFonts w:eastAsia="Tahoma"/>
                <w:szCs w:val="18"/>
              </w:rPr>
            </w:pPr>
            <w:r w:rsidRPr="00F47079">
              <w:rPr>
                <w:rFonts w:eastAsia="Tahoma"/>
                <w:szCs w:val="18"/>
              </w:rPr>
              <w:t>Insomnia characterised by difficulties with sleep onset and/or sleep maintenance</w:t>
            </w:r>
          </w:p>
        </w:tc>
      </w:tr>
      <w:tr w:rsidR="00383DF6" w:rsidRPr="00D96006" w14:paraId="65076D2D" w14:textId="77777777" w:rsidTr="00383DF6">
        <w:tc>
          <w:tcPr>
            <w:tcW w:w="2478" w:type="dxa"/>
          </w:tcPr>
          <w:p w14:paraId="5402ADB0" w14:textId="77777777" w:rsidR="00383DF6" w:rsidRPr="00F47079" w:rsidRDefault="00383DF6" w:rsidP="00F47079">
            <w:pPr>
              <w:pStyle w:val="TableText"/>
              <w:rPr>
                <w:szCs w:val="18"/>
              </w:rPr>
            </w:pPr>
            <w:r w:rsidRPr="00F47079">
              <w:rPr>
                <w:szCs w:val="18"/>
              </w:rPr>
              <w:t>Other nervous system drugs</w:t>
            </w:r>
          </w:p>
        </w:tc>
        <w:tc>
          <w:tcPr>
            <w:tcW w:w="1917" w:type="dxa"/>
          </w:tcPr>
          <w:p w14:paraId="05CE2990" w14:textId="77777777" w:rsidR="00383DF6" w:rsidRPr="00F47079" w:rsidRDefault="00383DF6" w:rsidP="00F47079">
            <w:pPr>
              <w:pStyle w:val="TableText"/>
              <w:rPr>
                <w:szCs w:val="18"/>
              </w:rPr>
            </w:pPr>
            <w:r w:rsidRPr="00F47079">
              <w:rPr>
                <w:szCs w:val="18"/>
              </w:rPr>
              <w:t>Patisiran</w:t>
            </w:r>
          </w:p>
        </w:tc>
        <w:tc>
          <w:tcPr>
            <w:tcW w:w="3543" w:type="dxa"/>
          </w:tcPr>
          <w:p w14:paraId="511D1DA7" w14:textId="77777777" w:rsidR="00383DF6" w:rsidRPr="00F47079" w:rsidRDefault="00383DF6" w:rsidP="00F47079">
            <w:pPr>
              <w:pStyle w:val="TableText"/>
              <w:rPr>
                <w:rFonts w:eastAsia="Tahoma"/>
                <w:szCs w:val="18"/>
              </w:rPr>
            </w:pPr>
            <w:r w:rsidRPr="00F47079">
              <w:rPr>
                <w:rFonts w:eastAsia="Tahoma"/>
                <w:szCs w:val="18"/>
              </w:rPr>
              <w:t>Treatment of treat polyneuropathy of hereditary transthyretin-mediated amyloidosis</w:t>
            </w:r>
          </w:p>
        </w:tc>
      </w:tr>
      <w:tr w:rsidR="00383DF6" w:rsidRPr="00D96006" w14:paraId="7CDDF8FC" w14:textId="77777777" w:rsidTr="00F47079">
        <w:tc>
          <w:tcPr>
            <w:tcW w:w="2478" w:type="dxa"/>
            <w:tcBorders>
              <w:bottom w:val="nil"/>
            </w:tcBorders>
          </w:tcPr>
          <w:p w14:paraId="68F44B8F" w14:textId="77777777" w:rsidR="00383DF6" w:rsidRPr="00F47079" w:rsidRDefault="00383DF6" w:rsidP="00F47079">
            <w:pPr>
              <w:pStyle w:val="TableText"/>
              <w:rPr>
                <w:szCs w:val="18"/>
              </w:rPr>
            </w:pPr>
            <w:r w:rsidRPr="00F47079">
              <w:rPr>
                <w:szCs w:val="18"/>
              </w:rPr>
              <w:t>Prophylaxis of migraine</w:t>
            </w:r>
          </w:p>
        </w:tc>
        <w:tc>
          <w:tcPr>
            <w:tcW w:w="1917" w:type="dxa"/>
            <w:tcBorders>
              <w:bottom w:val="nil"/>
            </w:tcBorders>
          </w:tcPr>
          <w:p w14:paraId="7F03A295" w14:textId="77777777" w:rsidR="00383DF6" w:rsidRPr="00F47079" w:rsidRDefault="00383DF6" w:rsidP="00F47079">
            <w:pPr>
              <w:pStyle w:val="TableText"/>
              <w:rPr>
                <w:szCs w:val="18"/>
              </w:rPr>
            </w:pPr>
            <w:r w:rsidRPr="00F47079">
              <w:rPr>
                <w:szCs w:val="18"/>
              </w:rPr>
              <w:t>Atogepant</w:t>
            </w:r>
          </w:p>
        </w:tc>
        <w:tc>
          <w:tcPr>
            <w:tcW w:w="3543" w:type="dxa"/>
            <w:tcBorders>
              <w:bottom w:val="nil"/>
            </w:tcBorders>
          </w:tcPr>
          <w:p w14:paraId="49813513" w14:textId="77777777" w:rsidR="00383DF6" w:rsidRPr="00F47079" w:rsidRDefault="00383DF6" w:rsidP="00F47079">
            <w:pPr>
              <w:pStyle w:val="TableText"/>
              <w:rPr>
                <w:rFonts w:eastAsia="Tahoma"/>
                <w:szCs w:val="18"/>
              </w:rPr>
            </w:pPr>
            <w:r w:rsidRPr="00F47079">
              <w:rPr>
                <w:szCs w:val="18"/>
              </w:rPr>
              <w:t>For migraine prophylaxis</w:t>
            </w:r>
          </w:p>
        </w:tc>
      </w:tr>
      <w:tr w:rsidR="00383DF6" w:rsidRPr="00F47079" w14:paraId="750F2766" w14:textId="77777777" w:rsidTr="00383DF6">
        <w:tc>
          <w:tcPr>
            <w:tcW w:w="7938" w:type="dxa"/>
            <w:gridSpan w:val="3"/>
            <w:tcBorders>
              <w:top w:val="nil"/>
              <w:bottom w:val="nil"/>
            </w:tcBorders>
            <w:shd w:val="clear" w:color="auto" w:fill="D9D9D9" w:themeFill="background1" w:themeFillShade="D9"/>
          </w:tcPr>
          <w:p w14:paraId="6AA5C8A4" w14:textId="77777777" w:rsidR="00383DF6" w:rsidRPr="00F47079" w:rsidRDefault="00383DF6" w:rsidP="00F47079">
            <w:pPr>
              <w:pStyle w:val="TableText"/>
              <w:rPr>
                <w:rFonts w:eastAsia="Tahoma"/>
                <w:b/>
                <w:bCs/>
                <w:szCs w:val="18"/>
              </w:rPr>
            </w:pPr>
            <w:r w:rsidRPr="00F47079">
              <w:rPr>
                <w:rFonts w:eastAsia="Tahoma"/>
                <w:b/>
                <w:bCs/>
                <w:szCs w:val="18"/>
              </w:rPr>
              <w:t>Endocrine system</w:t>
            </w:r>
          </w:p>
        </w:tc>
      </w:tr>
      <w:tr w:rsidR="00383DF6" w:rsidRPr="00D96006" w14:paraId="41799465" w14:textId="77777777" w:rsidTr="00F47079">
        <w:tc>
          <w:tcPr>
            <w:tcW w:w="2478" w:type="dxa"/>
            <w:tcBorders>
              <w:top w:val="nil"/>
              <w:bottom w:val="nil"/>
            </w:tcBorders>
          </w:tcPr>
          <w:p w14:paraId="61675C81" w14:textId="77777777" w:rsidR="00383DF6" w:rsidRPr="00F47079" w:rsidRDefault="00383DF6" w:rsidP="00F47079">
            <w:pPr>
              <w:pStyle w:val="TableText"/>
              <w:rPr>
                <w:szCs w:val="18"/>
              </w:rPr>
            </w:pPr>
            <w:r w:rsidRPr="00F47079">
              <w:rPr>
                <w:szCs w:val="18"/>
              </w:rPr>
              <w:t>Diabetes mellitus</w:t>
            </w:r>
          </w:p>
        </w:tc>
        <w:tc>
          <w:tcPr>
            <w:tcW w:w="1917" w:type="dxa"/>
            <w:tcBorders>
              <w:top w:val="nil"/>
              <w:bottom w:val="nil"/>
            </w:tcBorders>
          </w:tcPr>
          <w:p w14:paraId="5554A2CB" w14:textId="77777777" w:rsidR="00383DF6" w:rsidRPr="00F47079" w:rsidRDefault="00383DF6" w:rsidP="00F47079">
            <w:pPr>
              <w:pStyle w:val="TableText"/>
              <w:rPr>
                <w:szCs w:val="18"/>
              </w:rPr>
            </w:pPr>
            <w:r w:rsidRPr="00F47079">
              <w:rPr>
                <w:szCs w:val="18"/>
              </w:rPr>
              <w:t>Tirzepatide</w:t>
            </w:r>
          </w:p>
        </w:tc>
        <w:tc>
          <w:tcPr>
            <w:tcW w:w="3543" w:type="dxa"/>
            <w:tcBorders>
              <w:top w:val="nil"/>
              <w:bottom w:val="nil"/>
            </w:tcBorders>
          </w:tcPr>
          <w:p w14:paraId="2AF62F19" w14:textId="77777777" w:rsidR="00383DF6" w:rsidRPr="00F47079" w:rsidRDefault="00383DF6" w:rsidP="00F47079">
            <w:pPr>
              <w:pStyle w:val="TableText"/>
              <w:rPr>
                <w:szCs w:val="18"/>
              </w:rPr>
            </w:pPr>
            <w:r w:rsidRPr="00F47079">
              <w:rPr>
                <w:rFonts w:eastAsia="Tahoma"/>
                <w:szCs w:val="18"/>
              </w:rPr>
              <w:t>Future prooﬁng for new antidiabetic dual glucose-dependent insulinotropic polypeptide (GIP) and glucagon-like peptide-1 (GLP-1) receptor agonist. Dual GIP/GLP-1 agonists tirzepatide</w:t>
            </w:r>
          </w:p>
        </w:tc>
      </w:tr>
      <w:tr w:rsidR="00383DF6" w:rsidRPr="00F47079" w14:paraId="30FFE381" w14:textId="77777777" w:rsidTr="00F47079">
        <w:tc>
          <w:tcPr>
            <w:tcW w:w="7938" w:type="dxa"/>
            <w:gridSpan w:val="3"/>
            <w:tcBorders>
              <w:top w:val="nil"/>
              <w:bottom w:val="nil"/>
            </w:tcBorders>
            <w:shd w:val="clear" w:color="auto" w:fill="D9D9D9" w:themeFill="background1" w:themeFillShade="D9"/>
          </w:tcPr>
          <w:p w14:paraId="703EB703" w14:textId="77777777" w:rsidR="00383DF6" w:rsidRPr="00F47079" w:rsidRDefault="00383DF6" w:rsidP="00F47079">
            <w:pPr>
              <w:pStyle w:val="TableText"/>
              <w:rPr>
                <w:rFonts w:eastAsia="Tahoma"/>
                <w:b/>
                <w:bCs/>
                <w:szCs w:val="18"/>
              </w:rPr>
            </w:pPr>
            <w:r w:rsidRPr="00F47079">
              <w:rPr>
                <w:b/>
                <w:bCs/>
                <w:szCs w:val="18"/>
              </w:rPr>
              <w:t>Immunological products and vaccines</w:t>
            </w:r>
          </w:p>
        </w:tc>
      </w:tr>
      <w:tr w:rsidR="00383DF6" w:rsidRPr="00D96006" w14:paraId="661C2ACB" w14:textId="77777777" w:rsidTr="00F47079">
        <w:tc>
          <w:tcPr>
            <w:tcW w:w="2478" w:type="dxa"/>
            <w:tcBorders>
              <w:top w:val="nil"/>
              <w:bottom w:val="nil"/>
            </w:tcBorders>
          </w:tcPr>
          <w:p w14:paraId="63C7979D" w14:textId="77777777" w:rsidR="00383DF6" w:rsidRPr="00F47079" w:rsidRDefault="00383DF6" w:rsidP="00F47079">
            <w:pPr>
              <w:pStyle w:val="TableText"/>
              <w:rPr>
                <w:szCs w:val="18"/>
              </w:rPr>
            </w:pPr>
            <w:r w:rsidRPr="00F47079">
              <w:rPr>
                <w:szCs w:val="18"/>
              </w:rPr>
              <w:t>Immunological products and vaccines</w:t>
            </w:r>
          </w:p>
        </w:tc>
        <w:tc>
          <w:tcPr>
            <w:tcW w:w="1917" w:type="dxa"/>
            <w:tcBorders>
              <w:top w:val="nil"/>
              <w:bottom w:val="nil"/>
            </w:tcBorders>
          </w:tcPr>
          <w:p w14:paraId="7B10545F" w14:textId="77777777" w:rsidR="00383DF6" w:rsidRPr="00F47079" w:rsidRDefault="00383DF6" w:rsidP="00F47079">
            <w:pPr>
              <w:pStyle w:val="TableText"/>
              <w:rPr>
                <w:szCs w:val="18"/>
              </w:rPr>
            </w:pPr>
            <w:r w:rsidRPr="00F47079">
              <w:rPr>
                <w:szCs w:val="18"/>
              </w:rPr>
              <w:t>Vaccines as a class</w:t>
            </w:r>
          </w:p>
        </w:tc>
        <w:tc>
          <w:tcPr>
            <w:tcW w:w="3543" w:type="dxa"/>
            <w:tcBorders>
              <w:top w:val="nil"/>
              <w:bottom w:val="nil"/>
            </w:tcBorders>
          </w:tcPr>
          <w:p w14:paraId="3C81C7C2" w14:textId="77777777" w:rsidR="00383DF6" w:rsidRPr="00F47079" w:rsidRDefault="00383DF6" w:rsidP="00F47079">
            <w:pPr>
              <w:pStyle w:val="TableText"/>
              <w:rPr>
                <w:rFonts w:eastAsia="Tahoma"/>
                <w:szCs w:val="18"/>
              </w:rPr>
            </w:pPr>
            <w:r w:rsidRPr="00F47079">
              <w:rPr>
                <w:rFonts w:eastAsia="Tahoma"/>
                <w:szCs w:val="18"/>
              </w:rPr>
              <w:t xml:space="preserve">Future prooﬁng the speciﬁed list for new vaccines that are approved for use in </w:t>
            </w:r>
            <w:r w:rsidRPr="00F47079">
              <w:rPr>
                <w:rFonts w:eastAsia="Tahoma"/>
                <w:szCs w:val="18"/>
              </w:rPr>
              <w:lastRenderedPageBreak/>
              <w:t>New Zealand against variety of infectious disease/ pandemic/ outbreaks, for example, mpox vaccine (orthopoxvirus vaccine)</w:t>
            </w:r>
          </w:p>
          <w:p w14:paraId="59D93212" w14:textId="77777777" w:rsidR="00383DF6" w:rsidRPr="00F47079" w:rsidRDefault="00383DF6" w:rsidP="00F47079">
            <w:pPr>
              <w:pStyle w:val="TableText"/>
              <w:rPr>
                <w:rFonts w:eastAsia="Tahoma"/>
                <w:szCs w:val="18"/>
              </w:rPr>
            </w:pPr>
            <w:r w:rsidRPr="00F47079">
              <w:rPr>
                <w:rFonts w:eastAsia="Tahoma"/>
                <w:szCs w:val="18"/>
              </w:rPr>
              <w:t>This will bring the following vaccines into the pharmacist prescribers medicines list.</w:t>
            </w:r>
          </w:p>
          <w:p w14:paraId="7C62B926" w14:textId="77777777" w:rsidR="00383DF6" w:rsidRPr="00F47079" w:rsidRDefault="00383DF6" w:rsidP="00F47079">
            <w:pPr>
              <w:pStyle w:val="TableBullet"/>
              <w:rPr>
                <w:rFonts w:eastAsia="Verdana"/>
                <w:szCs w:val="18"/>
              </w:rPr>
            </w:pPr>
            <w:r w:rsidRPr="00F47079">
              <w:rPr>
                <w:szCs w:val="18"/>
              </w:rPr>
              <w:t>Dengue virus vaccines</w:t>
            </w:r>
          </w:p>
          <w:p w14:paraId="7265D41F" w14:textId="77777777" w:rsidR="00383DF6" w:rsidRPr="00F47079" w:rsidRDefault="00383DF6" w:rsidP="00F47079">
            <w:pPr>
              <w:pStyle w:val="TableBullet"/>
              <w:rPr>
                <w:rFonts w:eastAsia="Verdana"/>
                <w:szCs w:val="18"/>
              </w:rPr>
            </w:pPr>
            <w:r w:rsidRPr="00F47079">
              <w:rPr>
                <w:szCs w:val="18"/>
              </w:rPr>
              <w:t>Ebola vaccines</w:t>
            </w:r>
          </w:p>
          <w:p w14:paraId="4787AA10" w14:textId="77777777" w:rsidR="00383DF6" w:rsidRPr="00F47079" w:rsidRDefault="00383DF6" w:rsidP="00F47079">
            <w:pPr>
              <w:pStyle w:val="TableBullet"/>
              <w:rPr>
                <w:szCs w:val="18"/>
              </w:rPr>
            </w:pPr>
            <w:r w:rsidRPr="00F47079">
              <w:rPr>
                <w:szCs w:val="18"/>
              </w:rPr>
              <w:t>Enterovirus 71 vaccines</w:t>
            </w:r>
          </w:p>
          <w:p w14:paraId="3A940AF1" w14:textId="77777777" w:rsidR="00383DF6" w:rsidRPr="00F47079" w:rsidRDefault="00383DF6" w:rsidP="00F47079">
            <w:pPr>
              <w:pStyle w:val="TableBullet"/>
              <w:rPr>
                <w:rFonts w:eastAsia="Verdana"/>
                <w:szCs w:val="18"/>
              </w:rPr>
            </w:pPr>
            <w:r w:rsidRPr="00F47079">
              <w:rPr>
                <w:szCs w:val="18"/>
              </w:rPr>
              <w:t>Mpox vaccines</w:t>
            </w:r>
          </w:p>
          <w:p w14:paraId="5C74A54D" w14:textId="77777777" w:rsidR="00383DF6" w:rsidRPr="00F47079" w:rsidRDefault="00383DF6" w:rsidP="00F47079">
            <w:pPr>
              <w:pStyle w:val="TableBullet"/>
              <w:rPr>
                <w:szCs w:val="18"/>
              </w:rPr>
            </w:pPr>
            <w:r w:rsidRPr="00F47079">
              <w:rPr>
                <w:szCs w:val="18"/>
              </w:rPr>
              <w:t>Respiratory syncytial virus vaccines</w:t>
            </w:r>
          </w:p>
          <w:p w14:paraId="01F66E71" w14:textId="77777777" w:rsidR="00383DF6" w:rsidRPr="00F47079" w:rsidRDefault="00383DF6" w:rsidP="00F47079">
            <w:pPr>
              <w:pStyle w:val="TableBullet"/>
              <w:rPr>
                <w:rFonts w:eastAsia="Tahoma"/>
                <w:szCs w:val="18"/>
              </w:rPr>
            </w:pPr>
            <w:r w:rsidRPr="00F47079">
              <w:rPr>
                <w:szCs w:val="18"/>
              </w:rPr>
              <w:t>Smallpox vaccine</w:t>
            </w:r>
          </w:p>
          <w:p w14:paraId="65F79501" w14:textId="77777777" w:rsidR="00383DF6" w:rsidRPr="00F47079" w:rsidRDefault="00383DF6" w:rsidP="00F47079">
            <w:pPr>
              <w:pStyle w:val="TableText"/>
              <w:rPr>
                <w:rFonts w:eastAsia="Tahoma"/>
                <w:szCs w:val="18"/>
              </w:rPr>
            </w:pPr>
            <w:r w:rsidRPr="00F47079">
              <w:rPr>
                <w:szCs w:val="18"/>
              </w:rPr>
              <w:t>Exclusion: Yellow fever vaccine unless meet WHO requirements</w:t>
            </w:r>
          </w:p>
        </w:tc>
      </w:tr>
      <w:tr w:rsidR="00383DF6" w:rsidRPr="00F47079" w14:paraId="36E16D01" w14:textId="77777777" w:rsidTr="00F47079">
        <w:tc>
          <w:tcPr>
            <w:tcW w:w="7938" w:type="dxa"/>
            <w:gridSpan w:val="3"/>
            <w:tcBorders>
              <w:top w:val="nil"/>
              <w:bottom w:val="nil"/>
            </w:tcBorders>
            <w:shd w:val="clear" w:color="auto" w:fill="D9D9D9" w:themeFill="background1" w:themeFillShade="D9"/>
          </w:tcPr>
          <w:p w14:paraId="61A2A003" w14:textId="77777777" w:rsidR="00383DF6" w:rsidRPr="00F47079" w:rsidRDefault="00383DF6" w:rsidP="00F47079">
            <w:pPr>
              <w:pStyle w:val="TableText"/>
              <w:rPr>
                <w:b/>
                <w:bCs/>
                <w:szCs w:val="18"/>
              </w:rPr>
            </w:pPr>
            <w:r w:rsidRPr="00F47079">
              <w:rPr>
                <w:b/>
                <w:bCs/>
                <w:szCs w:val="18"/>
              </w:rPr>
              <w:lastRenderedPageBreak/>
              <w:t>Infections</w:t>
            </w:r>
          </w:p>
        </w:tc>
      </w:tr>
      <w:tr w:rsidR="00383DF6" w:rsidRPr="00D96006" w14:paraId="0C92E1E0" w14:textId="77777777" w:rsidTr="00F47079">
        <w:tc>
          <w:tcPr>
            <w:tcW w:w="2478" w:type="dxa"/>
            <w:tcBorders>
              <w:top w:val="nil"/>
              <w:bottom w:val="nil"/>
            </w:tcBorders>
          </w:tcPr>
          <w:p w14:paraId="011F9802" w14:textId="77777777" w:rsidR="00383DF6" w:rsidRPr="00F47079" w:rsidRDefault="00383DF6" w:rsidP="00F47079">
            <w:pPr>
              <w:pStyle w:val="TableText"/>
              <w:rPr>
                <w:szCs w:val="18"/>
              </w:rPr>
            </w:pPr>
            <w:r w:rsidRPr="00F47079">
              <w:rPr>
                <w:szCs w:val="18"/>
              </w:rPr>
              <w:t>HIV infection</w:t>
            </w:r>
          </w:p>
        </w:tc>
        <w:tc>
          <w:tcPr>
            <w:tcW w:w="1917" w:type="dxa"/>
            <w:tcBorders>
              <w:top w:val="nil"/>
              <w:bottom w:val="nil"/>
            </w:tcBorders>
          </w:tcPr>
          <w:p w14:paraId="341733A2" w14:textId="77777777" w:rsidR="00383DF6" w:rsidRPr="00F47079" w:rsidRDefault="00383DF6" w:rsidP="00F47079">
            <w:pPr>
              <w:pStyle w:val="TableText"/>
              <w:rPr>
                <w:szCs w:val="18"/>
              </w:rPr>
            </w:pPr>
            <w:r w:rsidRPr="00F47079">
              <w:rPr>
                <w:szCs w:val="18"/>
              </w:rPr>
              <w:t>Lenacapavir</w:t>
            </w:r>
          </w:p>
        </w:tc>
        <w:tc>
          <w:tcPr>
            <w:tcW w:w="3543" w:type="dxa"/>
            <w:tcBorders>
              <w:top w:val="nil"/>
              <w:bottom w:val="nil"/>
            </w:tcBorders>
          </w:tcPr>
          <w:p w14:paraId="79249C73" w14:textId="77777777" w:rsidR="00383DF6" w:rsidRPr="00F47079" w:rsidRDefault="00383DF6" w:rsidP="00F47079">
            <w:pPr>
              <w:pStyle w:val="TableText"/>
              <w:rPr>
                <w:szCs w:val="18"/>
              </w:rPr>
            </w:pPr>
            <w:r w:rsidRPr="00F47079">
              <w:rPr>
                <w:szCs w:val="18"/>
              </w:rPr>
              <w:t>Treatment of HIV infection</w:t>
            </w:r>
          </w:p>
        </w:tc>
      </w:tr>
      <w:tr w:rsidR="00383DF6" w:rsidRPr="00F47079" w14:paraId="0A4CB9CC" w14:textId="77777777" w:rsidTr="00F47079">
        <w:tc>
          <w:tcPr>
            <w:tcW w:w="7938" w:type="dxa"/>
            <w:gridSpan w:val="3"/>
            <w:tcBorders>
              <w:top w:val="nil"/>
              <w:bottom w:val="nil"/>
            </w:tcBorders>
            <w:shd w:val="clear" w:color="auto" w:fill="D9D9D9" w:themeFill="background1" w:themeFillShade="D9"/>
          </w:tcPr>
          <w:p w14:paraId="79F0146E" w14:textId="77777777" w:rsidR="00383DF6" w:rsidRPr="00F47079" w:rsidRDefault="00383DF6" w:rsidP="00F47079">
            <w:pPr>
              <w:pStyle w:val="TableText"/>
              <w:rPr>
                <w:rFonts w:eastAsia="Tahoma"/>
                <w:b/>
                <w:bCs/>
                <w:szCs w:val="18"/>
              </w:rPr>
            </w:pPr>
            <w:r w:rsidRPr="00F47079">
              <w:rPr>
                <w:b/>
                <w:bCs/>
                <w:szCs w:val="18"/>
              </w:rPr>
              <w:t>Musculoskeletal and joint diseases</w:t>
            </w:r>
          </w:p>
        </w:tc>
      </w:tr>
      <w:tr w:rsidR="00383DF6" w:rsidRPr="00D96006" w14:paraId="47BF3507" w14:textId="77777777" w:rsidTr="00F47079">
        <w:tc>
          <w:tcPr>
            <w:tcW w:w="2478" w:type="dxa"/>
            <w:tcBorders>
              <w:top w:val="nil"/>
              <w:bottom w:val="nil"/>
            </w:tcBorders>
          </w:tcPr>
          <w:p w14:paraId="3C808813" w14:textId="77777777" w:rsidR="00383DF6" w:rsidRPr="00F47079" w:rsidRDefault="00383DF6" w:rsidP="00F47079">
            <w:pPr>
              <w:pStyle w:val="TableText"/>
              <w:rPr>
                <w:szCs w:val="18"/>
              </w:rPr>
            </w:pPr>
            <w:r w:rsidRPr="00F47079">
              <w:rPr>
                <w:szCs w:val="18"/>
              </w:rPr>
              <w:t>Enzymes</w:t>
            </w:r>
          </w:p>
        </w:tc>
        <w:tc>
          <w:tcPr>
            <w:tcW w:w="1917" w:type="dxa"/>
            <w:tcBorders>
              <w:top w:val="nil"/>
              <w:bottom w:val="nil"/>
            </w:tcBorders>
          </w:tcPr>
          <w:p w14:paraId="29F106E3" w14:textId="77777777" w:rsidR="00383DF6" w:rsidRPr="00F47079" w:rsidRDefault="00383DF6" w:rsidP="00F47079">
            <w:pPr>
              <w:pStyle w:val="TableText"/>
              <w:rPr>
                <w:szCs w:val="18"/>
              </w:rPr>
            </w:pPr>
            <w:r w:rsidRPr="00F47079">
              <w:rPr>
                <w:szCs w:val="18"/>
              </w:rPr>
              <w:t>Hyaluronidase</w:t>
            </w:r>
          </w:p>
        </w:tc>
        <w:tc>
          <w:tcPr>
            <w:tcW w:w="3543" w:type="dxa"/>
            <w:tcBorders>
              <w:top w:val="nil"/>
              <w:bottom w:val="nil"/>
            </w:tcBorders>
          </w:tcPr>
          <w:p w14:paraId="1EA1FEF8" w14:textId="77777777" w:rsidR="00383DF6" w:rsidRPr="00F47079" w:rsidRDefault="00383DF6" w:rsidP="00F47079">
            <w:pPr>
              <w:pStyle w:val="TableText"/>
              <w:rPr>
                <w:szCs w:val="18"/>
              </w:rPr>
            </w:pPr>
            <w:r w:rsidRPr="00F47079">
              <w:rPr>
                <w:szCs w:val="18"/>
              </w:rPr>
              <w:t>To improve the absorption and dispersion of parenterally (eg, subcutaneous or intramuscular) administered fluids, medicines, and contrast agents</w:t>
            </w:r>
          </w:p>
        </w:tc>
      </w:tr>
      <w:tr w:rsidR="00383DF6" w:rsidRPr="00F47079" w14:paraId="0A2EA509" w14:textId="77777777" w:rsidTr="00F47079">
        <w:tc>
          <w:tcPr>
            <w:tcW w:w="7938" w:type="dxa"/>
            <w:gridSpan w:val="3"/>
            <w:tcBorders>
              <w:top w:val="nil"/>
              <w:bottom w:val="nil"/>
            </w:tcBorders>
            <w:shd w:val="clear" w:color="auto" w:fill="D9D9D9" w:themeFill="background1" w:themeFillShade="D9"/>
          </w:tcPr>
          <w:p w14:paraId="0D622B95" w14:textId="77777777" w:rsidR="00383DF6" w:rsidRPr="00F47079" w:rsidRDefault="00383DF6" w:rsidP="00F47079">
            <w:pPr>
              <w:pStyle w:val="TableText"/>
              <w:rPr>
                <w:b/>
                <w:bCs/>
                <w:szCs w:val="18"/>
              </w:rPr>
            </w:pPr>
            <w:r w:rsidRPr="00F47079">
              <w:rPr>
                <w:b/>
                <w:bCs/>
                <w:szCs w:val="18"/>
              </w:rPr>
              <w:t>Nutrition and blood</w:t>
            </w:r>
          </w:p>
        </w:tc>
      </w:tr>
      <w:tr w:rsidR="00383DF6" w:rsidRPr="00D96006" w14:paraId="5321057E" w14:textId="77777777" w:rsidTr="00F47079">
        <w:trPr>
          <w:trHeight w:val="60"/>
        </w:trPr>
        <w:tc>
          <w:tcPr>
            <w:tcW w:w="2478" w:type="dxa"/>
            <w:tcBorders>
              <w:top w:val="nil"/>
            </w:tcBorders>
          </w:tcPr>
          <w:p w14:paraId="3A7DFCB2" w14:textId="77777777" w:rsidR="00383DF6" w:rsidRPr="00F47079" w:rsidRDefault="00383DF6" w:rsidP="00F47079">
            <w:pPr>
              <w:pStyle w:val="TableText"/>
              <w:rPr>
                <w:szCs w:val="18"/>
              </w:rPr>
            </w:pPr>
            <w:r w:rsidRPr="00F47079">
              <w:rPr>
                <w:szCs w:val="18"/>
              </w:rPr>
              <w:t>Drugs used in metabolic disorders</w:t>
            </w:r>
          </w:p>
        </w:tc>
        <w:tc>
          <w:tcPr>
            <w:tcW w:w="1917" w:type="dxa"/>
            <w:tcBorders>
              <w:top w:val="nil"/>
            </w:tcBorders>
          </w:tcPr>
          <w:p w14:paraId="0E541BDF" w14:textId="77777777" w:rsidR="00383DF6" w:rsidRPr="00F47079" w:rsidRDefault="00383DF6" w:rsidP="00F47079">
            <w:pPr>
              <w:pStyle w:val="TableText"/>
              <w:rPr>
                <w:szCs w:val="18"/>
              </w:rPr>
            </w:pPr>
            <w:r w:rsidRPr="00F47079">
              <w:rPr>
                <w:szCs w:val="18"/>
              </w:rPr>
              <w:t>Trientine</w:t>
            </w:r>
          </w:p>
        </w:tc>
        <w:tc>
          <w:tcPr>
            <w:tcW w:w="3543" w:type="dxa"/>
            <w:tcBorders>
              <w:top w:val="nil"/>
            </w:tcBorders>
          </w:tcPr>
          <w:p w14:paraId="4BBE005E" w14:textId="77777777" w:rsidR="00383DF6" w:rsidRPr="00F47079" w:rsidRDefault="00383DF6" w:rsidP="00F47079">
            <w:pPr>
              <w:pStyle w:val="TableText"/>
              <w:rPr>
                <w:szCs w:val="18"/>
              </w:rPr>
            </w:pPr>
            <w:r w:rsidRPr="00F47079">
              <w:rPr>
                <w:szCs w:val="18"/>
              </w:rPr>
              <w:t>Treatment of Wilson’s disease</w:t>
            </w:r>
          </w:p>
        </w:tc>
      </w:tr>
      <w:tr w:rsidR="00383DF6" w:rsidRPr="00D96006" w14:paraId="08B2F061" w14:textId="77777777" w:rsidTr="00F47079">
        <w:trPr>
          <w:trHeight w:val="237"/>
        </w:trPr>
        <w:tc>
          <w:tcPr>
            <w:tcW w:w="2478" w:type="dxa"/>
            <w:tcBorders>
              <w:bottom w:val="nil"/>
            </w:tcBorders>
          </w:tcPr>
          <w:p w14:paraId="34DC8977" w14:textId="77777777" w:rsidR="00383DF6" w:rsidRPr="00F47079" w:rsidRDefault="00383DF6" w:rsidP="00F47079">
            <w:pPr>
              <w:pStyle w:val="TableText"/>
              <w:rPr>
                <w:szCs w:val="18"/>
              </w:rPr>
            </w:pPr>
            <w:r w:rsidRPr="00F47079">
              <w:rPr>
                <w:szCs w:val="18"/>
              </w:rPr>
              <w:t>Renal anaemias</w:t>
            </w:r>
          </w:p>
        </w:tc>
        <w:tc>
          <w:tcPr>
            <w:tcW w:w="1917" w:type="dxa"/>
            <w:tcBorders>
              <w:bottom w:val="nil"/>
            </w:tcBorders>
          </w:tcPr>
          <w:p w14:paraId="0B927A24" w14:textId="77777777" w:rsidR="00383DF6" w:rsidRPr="00F47079" w:rsidRDefault="00383DF6" w:rsidP="00F47079">
            <w:pPr>
              <w:pStyle w:val="TableText"/>
              <w:rPr>
                <w:szCs w:val="18"/>
              </w:rPr>
            </w:pPr>
            <w:r w:rsidRPr="00F47079">
              <w:rPr>
                <w:szCs w:val="18"/>
              </w:rPr>
              <w:t>Daprodustat</w:t>
            </w:r>
          </w:p>
          <w:p w14:paraId="0D647DBD" w14:textId="77777777" w:rsidR="00383DF6" w:rsidRPr="00F47079" w:rsidRDefault="00383DF6" w:rsidP="00F47079">
            <w:pPr>
              <w:pStyle w:val="TableText"/>
              <w:rPr>
                <w:szCs w:val="18"/>
              </w:rPr>
            </w:pPr>
            <w:r w:rsidRPr="00F47079">
              <w:rPr>
                <w:szCs w:val="18"/>
              </w:rPr>
              <w:t>Roxadustat</w:t>
            </w:r>
          </w:p>
        </w:tc>
        <w:tc>
          <w:tcPr>
            <w:tcW w:w="3543" w:type="dxa"/>
            <w:tcBorders>
              <w:bottom w:val="nil"/>
            </w:tcBorders>
          </w:tcPr>
          <w:p w14:paraId="63387A26" w14:textId="77777777" w:rsidR="00383DF6" w:rsidRPr="00F47079" w:rsidRDefault="00383DF6" w:rsidP="00F47079">
            <w:pPr>
              <w:pStyle w:val="TableText"/>
              <w:rPr>
                <w:szCs w:val="18"/>
              </w:rPr>
            </w:pPr>
            <w:r w:rsidRPr="00F47079">
              <w:rPr>
                <w:rFonts w:eastAsia="Tahoma"/>
                <w:szCs w:val="18"/>
              </w:rPr>
              <w:t>Proposal for hospital-based pharmacist prescribers working in renal services; to prescribe antianaemic preparations</w:t>
            </w:r>
          </w:p>
        </w:tc>
      </w:tr>
      <w:tr w:rsidR="00383DF6" w:rsidRPr="00F47079" w14:paraId="7FC5CD16" w14:textId="77777777" w:rsidTr="00F47079">
        <w:trPr>
          <w:trHeight w:val="261"/>
        </w:trPr>
        <w:tc>
          <w:tcPr>
            <w:tcW w:w="7938" w:type="dxa"/>
            <w:gridSpan w:val="3"/>
            <w:tcBorders>
              <w:top w:val="nil"/>
              <w:bottom w:val="nil"/>
            </w:tcBorders>
            <w:shd w:val="clear" w:color="auto" w:fill="D9D9D9" w:themeFill="background1" w:themeFillShade="D9"/>
          </w:tcPr>
          <w:p w14:paraId="53BC7448" w14:textId="77777777" w:rsidR="00383DF6" w:rsidRPr="00F47079" w:rsidRDefault="00383DF6" w:rsidP="00F47079">
            <w:pPr>
              <w:pStyle w:val="TableText"/>
              <w:rPr>
                <w:b/>
                <w:bCs/>
                <w:szCs w:val="18"/>
              </w:rPr>
            </w:pPr>
            <w:r w:rsidRPr="00F47079">
              <w:rPr>
                <w:b/>
                <w:bCs/>
                <w:szCs w:val="18"/>
              </w:rPr>
              <w:t>Respiratory system</w:t>
            </w:r>
          </w:p>
        </w:tc>
      </w:tr>
      <w:tr w:rsidR="00383DF6" w:rsidRPr="00D96006" w14:paraId="32E27964" w14:textId="77777777" w:rsidTr="00F47079">
        <w:tc>
          <w:tcPr>
            <w:tcW w:w="2478" w:type="dxa"/>
            <w:tcBorders>
              <w:top w:val="nil"/>
              <w:bottom w:val="nil"/>
            </w:tcBorders>
          </w:tcPr>
          <w:p w14:paraId="6259CA83" w14:textId="77777777" w:rsidR="00383DF6" w:rsidRPr="00F47079" w:rsidRDefault="00383DF6" w:rsidP="00F47079">
            <w:pPr>
              <w:pStyle w:val="TableText"/>
              <w:rPr>
                <w:szCs w:val="18"/>
              </w:rPr>
            </w:pPr>
            <w:r w:rsidRPr="00F47079">
              <w:rPr>
                <w:szCs w:val="18"/>
              </w:rPr>
              <w:t>Mucolytics and others</w:t>
            </w:r>
          </w:p>
        </w:tc>
        <w:tc>
          <w:tcPr>
            <w:tcW w:w="1917" w:type="dxa"/>
            <w:tcBorders>
              <w:top w:val="nil"/>
              <w:bottom w:val="nil"/>
            </w:tcBorders>
          </w:tcPr>
          <w:p w14:paraId="29BAF7CE" w14:textId="77777777" w:rsidR="00383DF6" w:rsidRPr="00F47079" w:rsidRDefault="00383DF6" w:rsidP="00F47079">
            <w:pPr>
              <w:pStyle w:val="TableText"/>
              <w:rPr>
                <w:szCs w:val="18"/>
              </w:rPr>
            </w:pPr>
            <w:r w:rsidRPr="00F47079">
              <w:rPr>
                <w:szCs w:val="18"/>
              </w:rPr>
              <w:t>Elexacaftor</w:t>
            </w:r>
          </w:p>
          <w:p w14:paraId="04C1691D" w14:textId="77777777" w:rsidR="00383DF6" w:rsidRPr="00F47079" w:rsidRDefault="00383DF6" w:rsidP="00F47079">
            <w:pPr>
              <w:pStyle w:val="TableText"/>
              <w:rPr>
                <w:szCs w:val="18"/>
              </w:rPr>
            </w:pPr>
            <w:r w:rsidRPr="00F47079">
              <w:rPr>
                <w:szCs w:val="18"/>
              </w:rPr>
              <w:t>Tezacaftor</w:t>
            </w:r>
          </w:p>
        </w:tc>
        <w:tc>
          <w:tcPr>
            <w:tcW w:w="3543" w:type="dxa"/>
            <w:tcBorders>
              <w:top w:val="nil"/>
              <w:bottom w:val="nil"/>
            </w:tcBorders>
          </w:tcPr>
          <w:p w14:paraId="0AEA37C2" w14:textId="77777777" w:rsidR="00383DF6" w:rsidRPr="00F47079" w:rsidRDefault="00383DF6" w:rsidP="00F47079">
            <w:pPr>
              <w:pStyle w:val="TableText"/>
              <w:rPr>
                <w:szCs w:val="18"/>
              </w:rPr>
            </w:pPr>
            <w:r w:rsidRPr="00F47079">
              <w:rPr>
                <w:szCs w:val="18"/>
              </w:rPr>
              <w:t xml:space="preserve">Proposal from hospital-based pharmacist prescribers working in respiratory services; Trikafta (ivacaftor,  tezacaftor and elexacaftor) for inpatients. </w:t>
            </w:r>
          </w:p>
          <w:p w14:paraId="5669C61F" w14:textId="77777777" w:rsidR="00383DF6" w:rsidRPr="00F47079" w:rsidRDefault="00383DF6" w:rsidP="00F47079">
            <w:pPr>
              <w:pStyle w:val="TableText"/>
              <w:rPr>
                <w:rFonts w:eastAsia="Tahoma"/>
                <w:szCs w:val="18"/>
              </w:rPr>
            </w:pPr>
            <w:r w:rsidRPr="00F47079">
              <w:rPr>
                <w:szCs w:val="18"/>
              </w:rPr>
              <w:t>Noting that ivacaftor is already included on the gazetted list</w:t>
            </w:r>
          </w:p>
        </w:tc>
      </w:tr>
      <w:tr w:rsidR="00383DF6" w:rsidRPr="00F47079" w14:paraId="01AA3E5C" w14:textId="77777777" w:rsidTr="00F47079">
        <w:tc>
          <w:tcPr>
            <w:tcW w:w="7938" w:type="dxa"/>
            <w:gridSpan w:val="3"/>
            <w:tcBorders>
              <w:top w:val="nil"/>
              <w:bottom w:val="nil"/>
            </w:tcBorders>
            <w:shd w:val="clear" w:color="auto" w:fill="D9D9D9" w:themeFill="background1" w:themeFillShade="D9"/>
          </w:tcPr>
          <w:p w14:paraId="3557BAE9" w14:textId="77777777" w:rsidR="00383DF6" w:rsidRPr="00F47079" w:rsidRDefault="00383DF6" w:rsidP="00F47079">
            <w:pPr>
              <w:pStyle w:val="TableText"/>
              <w:rPr>
                <w:b/>
                <w:bCs/>
                <w:szCs w:val="18"/>
              </w:rPr>
            </w:pPr>
            <w:r w:rsidRPr="00F47079">
              <w:rPr>
                <w:b/>
                <w:bCs/>
                <w:szCs w:val="18"/>
              </w:rPr>
              <w:t>Skin</w:t>
            </w:r>
          </w:p>
        </w:tc>
      </w:tr>
      <w:tr w:rsidR="00383DF6" w:rsidRPr="00D96006" w14:paraId="5E1F7512" w14:textId="77777777" w:rsidTr="00F47079">
        <w:tc>
          <w:tcPr>
            <w:tcW w:w="2478" w:type="dxa"/>
            <w:tcBorders>
              <w:top w:val="nil"/>
            </w:tcBorders>
          </w:tcPr>
          <w:p w14:paraId="7B270E5C" w14:textId="77777777" w:rsidR="00383DF6" w:rsidRPr="00F47079" w:rsidRDefault="00383DF6" w:rsidP="00F47079">
            <w:pPr>
              <w:pStyle w:val="TableText"/>
              <w:rPr>
                <w:szCs w:val="18"/>
              </w:rPr>
            </w:pPr>
            <w:r w:rsidRPr="00F47079">
              <w:rPr>
                <w:szCs w:val="18"/>
              </w:rPr>
              <w:t>Acne</w:t>
            </w:r>
          </w:p>
        </w:tc>
        <w:tc>
          <w:tcPr>
            <w:tcW w:w="1917" w:type="dxa"/>
            <w:tcBorders>
              <w:top w:val="nil"/>
            </w:tcBorders>
          </w:tcPr>
          <w:p w14:paraId="245ECF71" w14:textId="77777777" w:rsidR="00383DF6" w:rsidRPr="00F47079" w:rsidRDefault="00383DF6" w:rsidP="00F47079">
            <w:pPr>
              <w:pStyle w:val="TableText"/>
              <w:rPr>
                <w:szCs w:val="18"/>
              </w:rPr>
            </w:pPr>
            <w:r w:rsidRPr="00F47079">
              <w:rPr>
                <w:szCs w:val="18"/>
              </w:rPr>
              <w:t>Clascoterone</w:t>
            </w:r>
          </w:p>
        </w:tc>
        <w:tc>
          <w:tcPr>
            <w:tcW w:w="3543" w:type="dxa"/>
            <w:tcBorders>
              <w:top w:val="nil"/>
            </w:tcBorders>
          </w:tcPr>
          <w:p w14:paraId="6448F658" w14:textId="77777777" w:rsidR="00383DF6" w:rsidRPr="00F47079" w:rsidRDefault="00383DF6" w:rsidP="00F47079">
            <w:pPr>
              <w:pStyle w:val="TableText"/>
              <w:rPr>
                <w:szCs w:val="18"/>
              </w:rPr>
            </w:pPr>
            <w:r w:rsidRPr="00F47079">
              <w:rPr>
                <w:szCs w:val="18"/>
              </w:rPr>
              <w:t>Treatment of acne</w:t>
            </w:r>
          </w:p>
        </w:tc>
      </w:tr>
      <w:tr w:rsidR="00383DF6" w:rsidRPr="00D96006" w14:paraId="7956FFBF" w14:textId="77777777" w:rsidTr="00383DF6">
        <w:trPr>
          <w:trHeight w:val="60"/>
        </w:trPr>
        <w:tc>
          <w:tcPr>
            <w:tcW w:w="2478" w:type="dxa"/>
          </w:tcPr>
          <w:p w14:paraId="77DB0AFA" w14:textId="77777777" w:rsidR="00383DF6" w:rsidRPr="00F47079" w:rsidRDefault="00383DF6" w:rsidP="00F47079">
            <w:pPr>
              <w:pStyle w:val="TableText"/>
              <w:rPr>
                <w:szCs w:val="18"/>
              </w:rPr>
            </w:pPr>
            <w:r w:rsidRPr="00F47079">
              <w:rPr>
                <w:szCs w:val="18"/>
              </w:rPr>
              <w:t>Psoriasis</w:t>
            </w:r>
          </w:p>
        </w:tc>
        <w:tc>
          <w:tcPr>
            <w:tcW w:w="1917" w:type="dxa"/>
          </w:tcPr>
          <w:p w14:paraId="2941180D" w14:textId="77777777" w:rsidR="00383DF6" w:rsidRPr="00F47079" w:rsidRDefault="00383DF6" w:rsidP="00F47079">
            <w:pPr>
              <w:pStyle w:val="TableText"/>
              <w:rPr>
                <w:szCs w:val="18"/>
              </w:rPr>
            </w:pPr>
            <w:r w:rsidRPr="00F47079">
              <w:rPr>
                <w:szCs w:val="18"/>
              </w:rPr>
              <w:t>Deucravacitinib</w:t>
            </w:r>
          </w:p>
        </w:tc>
        <w:tc>
          <w:tcPr>
            <w:tcW w:w="3543" w:type="dxa"/>
          </w:tcPr>
          <w:p w14:paraId="41446EAF" w14:textId="77777777" w:rsidR="00383DF6" w:rsidRPr="00F47079" w:rsidRDefault="00383DF6" w:rsidP="00F47079">
            <w:pPr>
              <w:pStyle w:val="TableText"/>
              <w:rPr>
                <w:szCs w:val="18"/>
              </w:rPr>
            </w:pPr>
            <w:r w:rsidRPr="00F47079">
              <w:rPr>
                <w:szCs w:val="18"/>
              </w:rPr>
              <w:t>Treatment of psoriasis</w:t>
            </w:r>
          </w:p>
        </w:tc>
      </w:tr>
      <w:bookmarkEnd w:id="16"/>
    </w:tbl>
    <w:p w14:paraId="01945E37" w14:textId="77777777" w:rsidR="00F47079" w:rsidRDefault="00F47079" w:rsidP="00AF497B">
      <w:pPr>
        <w:rPr>
          <w:rFonts w:cs="Segoe UI"/>
          <w:sz w:val="12"/>
          <w:szCs w:val="12"/>
          <w:lang w:val="en-GB"/>
        </w:rPr>
        <w:sectPr w:rsidR="00F47079" w:rsidSect="00952AA6">
          <w:headerReference w:type="default" r:id="rId28"/>
          <w:pgSz w:w="11907" w:h="16840" w:code="9"/>
          <w:pgMar w:top="1418" w:right="1701" w:bottom="1134" w:left="1843" w:header="284" w:footer="425" w:gutter="284"/>
          <w:cols w:space="720"/>
        </w:sectPr>
      </w:pPr>
    </w:p>
    <w:p w14:paraId="47226E91" w14:textId="77777777" w:rsidR="00F47079" w:rsidRDefault="00F47079" w:rsidP="00F47079">
      <w:pPr>
        <w:pStyle w:val="Heading1"/>
        <w:spacing w:before="0"/>
      </w:pPr>
      <w:bookmarkStart w:id="17" w:name="_Toc206592119"/>
      <w:bookmarkStart w:id="18" w:name="_Toc208827523"/>
      <w:r w:rsidRPr="00F47079">
        <w:lastRenderedPageBreak/>
        <w:t>The proposed deletions from the medicines list</w:t>
      </w:r>
      <w:bookmarkEnd w:id="17"/>
      <w:bookmarkEnd w:id="18"/>
    </w:p>
    <w:tbl>
      <w:tblPr>
        <w:tblStyle w:val="TableGrid"/>
        <w:tblW w:w="7938"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478"/>
        <w:gridCol w:w="1917"/>
        <w:gridCol w:w="3543"/>
      </w:tblGrid>
      <w:tr w:rsidR="00F47079" w:rsidRPr="00F47079" w14:paraId="20C27612" w14:textId="77777777" w:rsidTr="00130A31">
        <w:trPr>
          <w:tblHeader/>
        </w:trPr>
        <w:tc>
          <w:tcPr>
            <w:tcW w:w="2478" w:type="dxa"/>
            <w:tcBorders>
              <w:top w:val="nil"/>
              <w:bottom w:val="nil"/>
            </w:tcBorders>
            <w:shd w:val="clear" w:color="auto" w:fill="BFBFBF" w:themeFill="background1" w:themeFillShade="BF"/>
          </w:tcPr>
          <w:p w14:paraId="3D4448E9" w14:textId="0159F582" w:rsidR="00F47079" w:rsidRPr="00F47079" w:rsidRDefault="00F47079" w:rsidP="00F47079">
            <w:pPr>
              <w:pStyle w:val="TableText"/>
              <w:rPr>
                <w:b/>
                <w:bCs/>
              </w:rPr>
            </w:pPr>
            <w:r w:rsidRPr="00F47079">
              <w:rPr>
                <w:b/>
                <w:bCs/>
              </w:rPr>
              <w:t>Therapeutic group</w:t>
            </w:r>
          </w:p>
        </w:tc>
        <w:tc>
          <w:tcPr>
            <w:tcW w:w="1917" w:type="dxa"/>
            <w:tcBorders>
              <w:top w:val="nil"/>
              <w:bottom w:val="nil"/>
            </w:tcBorders>
            <w:shd w:val="clear" w:color="auto" w:fill="BFBFBF" w:themeFill="background1" w:themeFillShade="BF"/>
          </w:tcPr>
          <w:p w14:paraId="7FADDD92" w14:textId="029BEDA5" w:rsidR="00F47079" w:rsidRPr="00F47079" w:rsidRDefault="00F47079" w:rsidP="00F47079">
            <w:pPr>
              <w:pStyle w:val="TableText"/>
              <w:rPr>
                <w:b/>
                <w:bCs/>
              </w:rPr>
            </w:pPr>
            <w:r w:rsidRPr="00F47079">
              <w:rPr>
                <w:b/>
                <w:bCs/>
              </w:rPr>
              <w:t>Proposed additional medicine</w:t>
            </w:r>
          </w:p>
        </w:tc>
        <w:tc>
          <w:tcPr>
            <w:tcW w:w="3543" w:type="dxa"/>
            <w:tcBorders>
              <w:top w:val="nil"/>
              <w:bottom w:val="nil"/>
            </w:tcBorders>
            <w:shd w:val="clear" w:color="auto" w:fill="BFBFBF" w:themeFill="background1" w:themeFillShade="BF"/>
          </w:tcPr>
          <w:p w14:paraId="4C1A1C74" w14:textId="01441FD4" w:rsidR="00F47079" w:rsidRPr="00F47079" w:rsidRDefault="00F47079" w:rsidP="00F47079">
            <w:pPr>
              <w:pStyle w:val="TableText"/>
              <w:rPr>
                <w:b/>
                <w:bCs/>
              </w:rPr>
            </w:pPr>
            <w:r w:rsidRPr="00F47079">
              <w:rPr>
                <w:b/>
                <w:bCs/>
              </w:rPr>
              <w:t>Rationale</w:t>
            </w:r>
          </w:p>
        </w:tc>
      </w:tr>
      <w:tr w:rsidR="00F47079" w:rsidRPr="00F47079" w14:paraId="0C374365" w14:textId="77777777" w:rsidTr="00130A31">
        <w:tc>
          <w:tcPr>
            <w:tcW w:w="7938" w:type="dxa"/>
            <w:gridSpan w:val="3"/>
            <w:tcBorders>
              <w:top w:val="nil"/>
              <w:bottom w:val="nil"/>
            </w:tcBorders>
            <w:shd w:val="clear" w:color="auto" w:fill="D9D9D9" w:themeFill="background1" w:themeFillShade="D9"/>
          </w:tcPr>
          <w:p w14:paraId="5F38418A" w14:textId="09AE64B1" w:rsidR="00F47079" w:rsidRPr="00F47079" w:rsidRDefault="00F47079" w:rsidP="00130A31">
            <w:pPr>
              <w:pStyle w:val="TableText"/>
              <w:rPr>
                <w:b/>
                <w:bCs/>
              </w:rPr>
            </w:pPr>
            <w:r w:rsidRPr="00F47079">
              <w:rPr>
                <w:b/>
                <w:bCs/>
              </w:rPr>
              <w:t>Malignant disease and immunosuppression</w:t>
            </w:r>
          </w:p>
        </w:tc>
      </w:tr>
      <w:tr w:rsidR="00F47079" w:rsidRPr="00F47079" w14:paraId="3FEF3CF2" w14:textId="77777777" w:rsidTr="00130A31">
        <w:trPr>
          <w:trHeight w:val="666"/>
        </w:trPr>
        <w:tc>
          <w:tcPr>
            <w:tcW w:w="2478" w:type="dxa"/>
            <w:tcBorders>
              <w:top w:val="nil"/>
            </w:tcBorders>
          </w:tcPr>
          <w:p w14:paraId="3F21419F" w14:textId="7502FE90" w:rsidR="00F47079" w:rsidRPr="00F47079" w:rsidRDefault="00F47079" w:rsidP="00F47079">
            <w:pPr>
              <w:pStyle w:val="TableText"/>
            </w:pPr>
            <w:r w:rsidRPr="00F47079">
              <w:t>Other immunomodulating drugs</w:t>
            </w:r>
          </w:p>
        </w:tc>
        <w:tc>
          <w:tcPr>
            <w:tcW w:w="1917" w:type="dxa"/>
            <w:tcBorders>
              <w:top w:val="nil"/>
            </w:tcBorders>
          </w:tcPr>
          <w:p w14:paraId="2D7CA33D" w14:textId="77777777" w:rsidR="00F47079" w:rsidRPr="00F47079" w:rsidRDefault="00F47079" w:rsidP="00F47079">
            <w:pPr>
              <w:pStyle w:val="TableText"/>
            </w:pPr>
            <w:r w:rsidRPr="00F47079">
              <w:t>Lenalidomide</w:t>
            </w:r>
          </w:p>
          <w:p w14:paraId="79DF58FC" w14:textId="218F2A49" w:rsidR="00F47079" w:rsidRPr="00F47079" w:rsidRDefault="00F47079" w:rsidP="00F47079">
            <w:pPr>
              <w:pStyle w:val="TableText"/>
            </w:pPr>
            <w:r w:rsidRPr="00F47079">
              <w:t>Pomalidomide</w:t>
            </w:r>
          </w:p>
        </w:tc>
        <w:tc>
          <w:tcPr>
            <w:tcW w:w="3543" w:type="dxa"/>
            <w:tcBorders>
              <w:top w:val="nil"/>
            </w:tcBorders>
          </w:tcPr>
          <w:p w14:paraId="1647DF29" w14:textId="77777777" w:rsidR="00F47079" w:rsidRPr="00F47079" w:rsidRDefault="00F47079" w:rsidP="00F47079">
            <w:pPr>
              <w:pStyle w:val="TableText"/>
            </w:pPr>
            <w:r w:rsidRPr="00F47079">
              <w:t>Medical practitioners can only prescribe these medicines:</w:t>
            </w:r>
          </w:p>
          <w:p w14:paraId="5E48EE67" w14:textId="77777777" w:rsidR="00F47079" w:rsidRPr="00F47079" w:rsidRDefault="00604258" w:rsidP="00F47079">
            <w:pPr>
              <w:pStyle w:val="TableBullet"/>
              <w:rPr>
                <w:rStyle w:val="Hyperlink"/>
              </w:rPr>
            </w:pPr>
            <w:hyperlink r:id="rId29" w:history="1">
              <w:r w:rsidR="00F47079" w:rsidRPr="00F47079">
                <w:rPr>
                  <w:rStyle w:val="Hyperlink"/>
                </w:rPr>
                <w:t>Provisional Consent to the Distribution of New Medicines - 2024-go2115- New Zealand Gazette</w:t>
              </w:r>
            </w:hyperlink>
          </w:p>
          <w:p w14:paraId="2EEEBC56" w14:textId="77777777" w:rsidR="00F47079" w:rsidRPr="00F47079" w:rsidRDefault="00604258" w:rsidP="00F47079">
            <w:pPr>
              <w:pStyle w:val="TableBullet"/>
              <w:rPr>
                <w:rStyle w:val="Hyperlink"/>
              </w:rPr>
            </w:pPr>
            <w:hyperlink r:id="rId30" w:history="1">
              <w:r w:rsidR="00F47079" w:rsidRPr="00F47079">
                <w:rPr>
                  <w:rStyle w:val="Hyperlink"/>
                </w:rPr>
                <w:t>https://gazette.govt.nz/notice/id/2023-go5784</w:t>
              </w:r>
            </w:hyperlink>
          </w:p>
          <w:p w14:paraId="0865AECA" w14:textId="17BBFDB2" w:rsidR="00F47079" w:rsidRPr="00F47079" w:rsidRDefault="00F47079" w:rsidP="00F47079">
            <w:pPr>
              <w:pStyle w:val="TableText"/>
            </w:pPr>
            <w:r w:rsidRPr="00F47079">
              <w:t>It is therefore inappropriate for these medicines to be included in the designated pharmacist prescriber specified prescription medicines list. It is proposed that they are removed from the medicines list.</w:t>
            </w:r>
          </w:p>
        </w:tc>
      </w:tr>
    </w:tbl>
    <w:p w14:paraId="1F06FD3B" w14:textId="77777777" w:rsidR="00F47079" w:rsidRDefault="00F47079" w:rsidP="00F47079"/>
    <w:p w14:paraId="70DAD43D" w14:textId="77777777" w:rsidR="00F47079" w:rsidRDefault="00F47079" w:rsidP="00F47079"/>
    <w:p w14:paraId="112B9109" w14:textId="77777777" w:rsidR="00F47079" w:rsidRPr="00F47079" w:rsidRDefault="00F47079" w:rsidP="00F47079"/>
    <w:p w14:paraId="0947038A" w14:textId="77777777" w:rsidR="00F47079" w:rsidRPr="00C9572E" w:rsidRDefault="00F47079" w:rsidP="00F47079">
      <w:pPr>
        <w:rPr>
          <w:rFonts w:eastAsia="Calibri" w:cs="Segoe UI"/>
          <w:color w:val="000000" w:themeColor="text1"/>
          <w:spacing w:val="-1"/>
          <w:lang w:val="en-GB"/>
        </w:rPr>
      </w:pPr>
      <w:r w:rsidRPr="00C9572E">
        <w:rPr>
          <w:rFonts w:cs="Segoe UI"/>
          <w:color w:val="000000" w:themeColor="text1"/>
          <w:spacing w:val="-1"/>
          <w:lang w:val="en-GB"/>
        </w:rPr>
        <w:br w:type="page"/>
      </w:r>
    </w:p>
    <w:p w14:paraId="4369DEBB" w14:textId="1267EDC9" w:rsidR="00AF497B" w:rsidRPr="00952AA6" w:rsidRDefault="00AF497B" w:rsidP="00952AA6">
      <w:pPr>
        <w:pStyle w:val="Heading1"/>
        <w:rPr>
          <w:sz w:val="60"/>
          <w:szCs w:val="60"/>
        </w:rPr>
      </w:pPr>
      <w:bookmarkStart w:id="19" w:name="_Toc206573658"/>
      <w:bookmarkStart w:id="20" w:name="_Toc208827524"/>
      <w:r w:rsidRPr="00952AA6">
        <w:rPr>
          <w:sz w:val="60"/>
          <w:szCs w:val="60"/>
        </w:rPr>
        <w:lastRenderedPageBreak/>
        <w:t xml:space="preserve">Appendix: </w:t>
      </w:r>
      <w:r w:rsidR="00F47079" w:rsidRPr="00F47079">
        <w:rPr>
          <w:sz w:val="60"/>
          <w:szCs w:val="60"/>
        </w:rPr>
        <w:t>Safeguards for designated pharmacist prescribing practise (Pharmacy Council)</w:t>
      </w:r>
      <w:bookmarkEnd w:id="19"/>
      <w:bookmarkEnd w:id="20"/>
    </w:p>
    <w:p w14:paraId="4F92821A" w14:textId="2FB65B97" w:rsidR="00AF497B" w:rsidRPr="007373D3" w:rsidRDefault="00F47079" w:rsidP="00952AA6">
      <w:pPr>
        <w:rPr>
          <w:rFonts w:eastAsia="Calibri"/>
          <w:lang w:val="en-GB"/>
        </w:rPr>
      </w:pPr>
      <w:r w:rsidRPr="00F47079">
        <w:rPr>
          <w:rFonts w:eastAsia="Calibri"/>
          <w:lang w:val="en-GB"/>
        </w:rPr>
        <w:t xml:space="preserve">Safeguards for pharmacist prescribing practice are outlined more fully in the main document. In summary, pharmacist prescribers must hold postgraduate qualifications, work in a collaborative team environment, are not the primary diagnostician and must prescribe within the limits of their professional expertise and competence. See </w:t>
      </w:r>
      <w:r w:rsidR="00623908">
        <w:rPr>
          <w:rFonts w:eastAsia="Calibri"/>
          <w:lang w:val="en-GB"/>
        </w:rPr>
        <w:t>F</w:t>
      </w:r>
      <w:r w:rsidRPr="00F47079">
        <w:rPr>
          <w:rFonts w:eastAsia="Calibri"/>
          <w:lang w:val="en-GB"/>
        </w:rPr>
        <w:t>igure</w:t>
      </w:r>
      <w:r w:rsidR="00623908">
        <w:rPr>
          <w:rFonts w:eastAsia="Calibri"/>
          <w:lang w:val="en-GB"/>
        </w:rPr>
        <w:t xml:space="preserve"> 1</w:t>
      </w:r>
      <w:r w:rsidRPr="00F47079">
        <w:rPr>
          <w:rFonts w:eastAsia="Calibri"/>
          <w:lang w:val="en-GB"/>
        </w:rPr>
        <w:t>.</w:t>
      </w:r>
    </w:p>
    <w:p w14:paraId="4295F4F0" w14:textId="77777777" w:rsidR="00AF497B" w:rsidRDefault="00AF497B" w:rsidP="00AF497B">
      <w:pPr>
        <w:rPr>
          <w:rFonts w:eastAsia="Calibri" w:cs="Segoe UI"/>
          <w:szCs w:val="21"/>
          <w:lang w:val="en-GB"/>
        </w:rPr>
      </w:pPr>
    </w:p>
    <w:p w14:paraId="6DF58245" w14:textId="1AC21B1B" w:rsidR="00623908" w:rsidRPr="007373D3" w:rsidRDefault="00623908" w:rsidP="006D4701">
      <w:pPr>
        <w:pStyle w:val="Figure"/>
        <w:rPr>
          <w:rFonts w:eastAsia="Calibri"/>
          <w:lang w:val="en-GB"/>
        </w:rPr>
      </w:pPr>
      <w:r>
        <w:rPr>
          <w:rFonts w:eastAsia="Calibri"/>
          <w:lang w:val="en-GB"/>
        </w:rPr>
        <w:lastRenderedPageBreak/>
        <w:t>Figure 1: Safeguards for designated pharm</w:t>
      </w:r>
      <w:r w:rsidR="00DA31E9">
        <w:rPr>
          <w:rFonts w:eastAsia="Calibri"/>
          <w:lang w:val="en-GB"/>
        </w:rPr>
        <w:t>acist prescribing practise (Pharmacy Council)</w:t>
      </w:r>
    </w:p>
    <w:p w14:paraId="0DE27EB2" w14:textId="12D9214E" w:rsidR="00AF497B" w:rsidRDefault="00F47079" w:rsidP="00AF497B">
      <w:pPr>
        <w:jc w:val="center"/>
        <w:rPr>
          <w:rFonts w:cs="Segoe UI"/>
          <w:szCs w:val="21"/>
          <w:lang w:val="en-GB"/>
        </w:rPr>
      </w:pPr>
      <w:r>
        <w:rPr>
          <w:rFonts w:eastAsia="Calibri" w:cs="Segoe UI"/>
          <w:noProof/>
          <w:szCs w:val="21"/>
          <w:lang w:val="en-GB"/>
        </w:rPr>
        <w:drawing>
          <wp:inline distT="0" distB="0" distL="0" distR="0" wp14:anchorId="2EDF5C9E" wp14:editId="4A07AEE8">
            <wp:extent cx="4577080" cy="5848578"/>
            <wp:effectExtent l="19050" t="19050" r="13970" b="19050"/>
            <wp:docPr id="89759368" name="Picture 1"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9368" name="Picture 1" descr="A screenshot of a diagram&#10;&#10;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90288" cy="5865456"/>
                    </a:xfrm>
                    <a:prstGeom prst="rect">
                      <a:avLst/>
                    </a:prstGeom>
                    <a:ln>
                      <a:solidFill>
                        <a:schemeClr val="accent1"/>
                      </a:solidFill>
                    </a:ln>
                  </pic:spPr>
                </pic:pic>
              </a:graphicData>
            </a:graphic>
          </wp:inline>
        </w:drawing>
      </w:r>
    </w:p>
    <w:sectPr w:rsidR="00AF497B" w:rsidSect="00952AA6">
      <w:pgSz w:w="11907" w:h="16840"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50C63" w14:textId="77777777" w:rsidR="005E4419" w:rsidRDefault="005E4419">
      <w:r>
        <w:separator/>
      </w:r>
    </w:p>
    <w:p w14:paraId="0C68F9C0" w14:textId="77777777" w:rsidR="005E4419" w:rsidRDefault="005E4419"/>
  </w:endnote>
  <w:endnote w:type="continuationSeparator" w:id="0">
    <w:p w14:paraId="266E37F8" w14:textId="77777777" w:rsidR="005E4419" w:rsidRDefault="005E4419">
      <w:r>
        <w:continuationSeparator/>
      </w:r>
    </w:p>
    <w:p w14:paraId="6D65E5C1" w14:textId="77777777" w:rsidR="005E4419" w:rsidRDefault="005E4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8357" w14:textId="2929F6A1" w:rsidR="005A79E5" w:rsidRPr="00581136" w:rsidRDefault="005A79E5" w:rsidP="005A79E5">
    <w:pPr>
      <w:pStyle w:val="Footer"/>
      <w:pBdr>
        <w:bottom w:val="single" w:sz="4" w:space="1" w:color="auto"/>
      </w:pBdr>
      <w:tabs>
        <w:tab w:val="right" w:pos="9639"/>
      </w:tabs>
      <w:rPr>
        <w:b/>
      </w:rPr>
    </w:pPr>
    <w:r w:rsidRPr="00581136">
      <w:rPr>
        <w:b/>
      </w:rPr>
      <w:t>Released 20</w:t>
    </w:r>
    <w:r w:rsidR="00651CC6">
      <w:rPr>
        <w:b/>
      </w:rPr>
      <w:t>2</w:t>
    </w:r>
    <w:r w:rsidR="008C23DD">
      <w:rPr>
        <w:b/>
      </w:rPr>
      <w:t>5</w:t>
    </w:r>
    <w:r w:rsidRPr="00581136">
      <w:rPr>
        <w:b/>
      </w:rPr>
      <w:tab/>
      <w:t>health.govt.nz</w:t>
    </w:r>
  </w:p>
  <w:p w14:paraId="524869F6" w14:textId="77777777" w:rsidR="005A79E5" w:rsidRPr="005A79E5" w:rsidRDefault="005A79E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A70" w14:textId="77777777" w:rsidR="00926083" w:rsidRDefault="00926083"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0E96" w14:textId="77777777" w:rsidR="00926083" w:rsidRDefault="00926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4C3A3BF7" w14:textId="77777777" w:rsidTr="00D662F8">
      <w:trPr>
        <w:cantSplit/>
      </w:trPr>
      <w:tc>
        <w:tcPr>
          <w:tcW w:w="709" w:type="dxa"/>
          <w:vAlign w:val="center"/>
        </w:tcPr>
        <w:p w14:paraId="28F87ED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005BB5">
            <w:rPr>
              <w:rStyle w:val="PageNumber"/>
              <w:noProof/>
            </w:rPr>
            <w:t>vi</w:t>
          </w:r>
          <w:r w:rsidRPr="00931466">
            <w:rPr>
              <w:rStyle w:val="PageNumber"/>
            </w:rPr>
            <w:fldChar w:fldCharType="end"/>
          </w:r>
        </w:p>
      </w:tc>
      <w:tc>
        <w:tcPr>
          <w:tcW w:w="8080" w:type="dxa"/>
          <w:vAlign w:val="center"/>
        </w:tcPr>
        <w:p w14:paraId="6026D159" w14:textId="32CA882D" w:rsidR="00D662F8" w:rsidRDefault="00383DF6" w:rsidP="00926083">
          <w:pPr>
            <w:pStyle w:val="RectoFooter"/>
            <w:jc w:val="left"/>
          </w:pPr>
          <w:r w:rsidRPr="00383DF6">
            <w:t xml:space="preserve">Consultation on amendments to the specified prescription medicines list </w:t>
          </w:r>
          <w:r>
            <w:br/>
          </w:r>
          <w:r w:rsidRPr="00383DF6">
            <w:t>for designated pharmacist prescribers</w:t>
          </w:r>
        </w:p>
      </w:tc>
    </w:tr>
  </w:tbl>
  <w:p w14:paraId="711B5D80" w14:textId="77777777" w:rsidR="00926083" w:rsidRPr="00571223" w:rsidRDefault="00926083"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58AAB149" w14:textId="77777777" w:rsidTr="00D662F8">
      <w:trPr>
        <w:cantSplit/>
      </w:trPr>
      <w:tc>
        <w:tcPr>
          <w:tcW w:w="8080" w:type="dxa"/>
          <w:vAlign w:val="center"/>
        </w:tcPr>
        <w:p w14:paraId="20E2F0CC" w14:textId="360FE710" w:rsidR="00D662F8" w:rsidRDefault="00383DF6" w:rsidP="00926083">
          <w:pPr>
            <w:pStyle w:val="RectoFooter"/>
          </w:pPr>
          <w:r w:rsidRPr="00383DF6">
            <w:t xml:space="preserve">Consultation on amendments to the specified prescription medicines list </w:t>
          </w:r>
          <w:r>
            <w:br/>
          </w:r>
          <w:r w:rsidRPr="00383DF6">
            <w:t>for designated pharmacist prescribers</w:t>
          </w:r>
        </w:p>
      </w:tc>
      <w:tc>
        <w:tcPr>
          <w:tcW w:w="709" w:type="dxa"/>
          <w:vAlign w:val="center"/>
        </w:tcPr>
        <w:p w14:paraId="3D3C9847"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w:t>
          </w:r>
          <w:r w:rsidRPr="00931466">
            <w:rPr>
              <w:rStyle w:val="PageNumber"/>
            </w:rPr>
            <w:fldChar w:fldCharType="end"/>
          </w:r>
        </w:p>
      </w:tc>
    </w:tr>
  </w:tbl>
  <w:p w14:paraId="27602107" w14:textId="77777777" w:rsidR="00D05D74" w:rsidRPr="00581EB8" w:rsidRDefault="00D05D74"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AD23F3" w14:paraId="3A64CEA8" w14:textId="77777777" w:rsidTr="00130A31">
      <w:trPr>
        <w:cantSplit/>
      </w:trPr>
      <w:tc>
        <w:tcPr>
          <w:tcW w:w="709" w:type="dxa"/>
          <w:vAlign w:val="center"/>
        </w:tcPr>
        <w:p w14:paraId="3814F668" w14:textId="77777777" w:rsidR="00AD23F3" w:rsidRPr="00931466" w:rsidRDefault="00AD23F3" w:rsidP="00AD23F3">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viii</w:t>
          </w:r>
          <w:r w:rsidRPr="00931466">
            <w:rPr>
              <w:rStyle w:val="PageNumber"/>
            </w:rPr>
            <w:fldChar w:fldCharType="end"/>
          </w:r>
        </w:p>
      </w:tc>
      <w:tc>
        <w:tcPr>
          <w:tcW w:w="8080" w:type="dxa"/>
          <w:vAlign w:val="center"/>
        </w:tcPr>
        <w:p w14:paraId="173DD6C4" w14:textId="3B36A42B" w:rsidR="00AD23F3" w:rsidRDefault="00383DF6" w:rsidP="00AD23F3">
          <w:pPr>
            <w:pStyle w:val="RectoFooter"/>
            <w:jc w:val="left"/>
          </w:pPr>
          <w:r w:rsidRPr="00383DF6">
            <w:t xml:space="preserve">Consultation on amendments to the specified prescription medicines list </w:t>
          </w:r>
          <w:r>
            <w:br/>
          </w:r>
          <w:r w:rsidRPr="00383DF6">
            <w:t>for designated pharmacist prescribers</w:t>
          </w:r>
        </w:p>
      </w:tc>
    </w:tr>
  </w:tbl>
  <w:p w14:paraId="7CA52C00" w14:textId="77777777" w:rsidR="00926083" w:rsidRPr="00571223" w:rsidRDefault="00926083" w:rsidP="00571223">
    <w:pPr>
      <w:pStyle w:val="Verso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E4C94" w14:textId="77777777" w:rsidR="005E4419" w:rsidRPr="00A26E6B" w:rsidRDefault="005E4419" w:rsidP="00A26E6B"/>
  </w:footnote>
  <w:footnote w:type="continuationSeparator" w:id="0">
    <w:p w14:paraId="3B184616" w14:textId="77777777" w:rsidR="005E4419" w:rsidRDefault="005E4419">
      <w:r>
        <w:continuationSeparator/>
      </w:r>
    </w:p>
    <w:p w14:paraId="2D458333" w14:textId="77777777" w:rsidR="005E4419" w:rsidRDefault="005E4419"/>
  </w:footnote>
  <w:footnote w:id="1">
    <w:p w14:paraId="257B78B2" w14:textId="053522C6" w:rsidR="00383DF6" w:rsidRPr="00383DF6" w:rsidRDefault="00383DF6">
      <w:pPr>
        <w:pStyle w:val="FootnoteText"/>
        <w:rPr>
          <w:lang w:val="en-US"/>
        </w:rPr>
      </w:pPr>
      <w:r>
        <w:rPr>
          <w:rStyle w:val="FootnoteReference"/>
        </w:rPr>
        <w:footnoteRef/>
      </w:r>
      <w:r>
        <w:t xml:space="preserve"> </w:t>
      </w:r>
      <w:r w:rsidRPr="00383DF6">
        <w:t>Pharmacy Council is the regulator for the pharmacy profession (including designated pharmacist prescribers) in Aotearoa New Zealand and is mandated by the Health Practitioners Competence Assurance Act 2003.</w:t>
      </w:r>
    </w:p>
  </w:footnote>
  <w:footnote w:id="2">
    <w:p w14:paraId="364873E6" w14:textId="5E7AA8DA" w:rsidR="00383DF6" w:rsidRPr="00383DF6" w:rsidRDefault="00383DF6">
      <w:pPr>
        <w:pStyle w:val="FootnoteText"/>
        <w:rPr>
          <w:lang w:val="en-US"/>
        </w:rPr>
      </w:pPr>
      <w:r>
        <w:rPr>
          <w:rStyle w:val="FootnoteReference"/>
        </w:rPr>
        <w:footnoteRef/>
      </w:r>
      <w:r>
        <w:t xml:space="preserve"> </w:t>
      </w:r>
      <w:r w:rsidRPr="00383DF6">
        <w:t>Refer to guidance on pages 13 &amp; 14 of the ‘Competence Standards for Aotearoa New Zealand Pharmacist Prescribers’</w:t>
      </w:r>
    </w:p>
  </w:footnote>
  <w:footnote w:id="3">
    <w:p w14:paraId="1E2EAB0B" w14:textId="51234A1B" w:rsidR="00383DF6" w:rsidRPr="00383DF6" w:rsidRDefault="00383DF6">
      <w:pPr>
        <w:pStyle w:val="FootnoteText"/>
        <w:rPr>
          <w:lang w:val="en-US"/>
        </w:rPr>
      </w:pPr>
      <w:r>
        <w:rPr>
          <w:rStyle w:val="FootnoteReference"/>
        </w:rPr>
        <w:footnoteRef/>
      </w:r>
      <w:r>
        <w:t xml:space="preserve"> </w:t>
      </w:r>
      <w:r w:rsidRPr="00383DF6">
        <w:t xml:space="preserve">View the ‘Competence Standards for Aotearoa New Zealand Pharmacy Profession 2023’ and the ‘Competence Standards for Aotearoa New Zealand Pharmacist Prescribers’ at </w:t>
      </w:r>
      <w:hyperlink r:id="rId1" w:history="1">
        <w:r w:rsidRPr="00383DF6">
          <w:rPr>
            <w:rStyle w:val="Hyperlink"/>
          </w:rPr>
          <w:t>https://pharmacycouncil.org.nz/pharmacist/competence-standards/</w:t>
        </w:r>
      </w:hyperlink>
      <w:r w:rsidRPr="00E32407">
        <w:t>.</w:t>
      </w:r>
    </w:p>
  </w:footnote>
  <w:footnote w:id="4">
    <w:p w14:paraId="41E0B816" w14:textId="2187713D" w:rsidR="00383DF6" w:rsidRPr="00383DF6" w:rsidRDefault="00383DF6">
      <w:pPr>
        <w:pStyle w:val="FootnoteText"/>
        <w:rPr>
          <w:lang w:val="en-US"/>
        </w:rPr>
      </w:pPr>
      <w:r>
        <w:rPr>
          <w:rStyle w:val="FootnoteReference"/>
        </w:rPr>
        <w:footnoteRef/>
      </w:r>
      <w:r>
        <w:t xml:space="preserve"> </w:t>
      </w:r>
      <w:r w:rsidRPr="00383DF6">
        <w:t>Pharmacist practising on 31 March 2025 (including pharmacist prescribers)</w:t>
      </w:r>
    </w:p>
  </w:footnote>
  <w:footnote w:id="5">
    <w:p w14:paraId="75D06B41" w14:textId="3D1D97C2" w:rsidR="00383DF6" w:rsidRPr="00383DF6" w:rsidRDefault="00383DF6">
      <w:pPr>
        <w:pStyle w:val="FootnoteText"/>
        <w:rPr>
          <w:lang w:val="en-US"/>
        </w:rPr>
      </w:pPr>
      <w:r>
        <w:rPr>
          <w:rStyle w:val="FootnoteReference"/>
        </w:rPr>
        <w:footnoteRef/>
      </w:r>
      <w:r>
        <w:t xml:space="preserve"> </w:t>
      </w:r>
      <w:r w:rsidRPr="00383DF6">
        <w:t>Survey of pharmacist prescribers between 19 Feb and 4 March 2024 with a response rate of 82.4%.</w:t>
      </w:r>
    </w:p>
  </w:footnote>
  <w:footnote w:id="6">
    <w:p w14:paraId="6DD904E6" w14:textId="79A56523" w:rsidR="00383DF6" w:rsidRPr="00383DF6" w:rsidRDefault="00383DF6">
      <w:pPr>
        <w:pStyle w:val="FootnoteText"/>
        <w:rPr>
          <w:lang w:val="en-US"/>
        </w:rPr>
      </w:pPr>
      <w:r>
        <w:rPr>
          <w:rStyle w:val="FootnoteReference"/>
        </w:rPr>
        <w:footnoteRef/>
      </w:r>
      <w:r>
        <w:t xml:space="preserve"> </w:t>
      </w:r>
      <w:r w:rsidRPr="00383DF6">
        <w:t>Based on the New Zealand Formulary (NZF) v158 – 01 Aug 2025. Available from www.nzf.org.nz. Please note that the therapeutic group is not gazetted, only the chemical name.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5A79E5" w14:paraId="11530A0D" w14:textId="77777777" w:rsidTr="008F2B72">
      <w:trPr>
        <w:cantSplit/>
      </w:trPr>
      <w:tc>
        <w:tcPr>
          <w:tcW w:w="5210" w:type="dxa"/>
          <w:vAlign w:val="center"/>
        </w:tcPr>
        <w:p w14:paraId="2BDE3162" w14:textId="4E67EED4" w:rsidR="005A79E5" w:rsidRDefault="00B26F0F" w:rsidP="00B26F0F">
          <w:pPr>
            <w:pStyle w:val="Header"/>
          </w:pPr>
          <w:r>
            <w:rPr>
              <w:noProof/>
              <w:lang w:eastAsia="en-NZ"/>
            </w:rPr>
            <w:drawing>
              <wp:inline distT="0" distB="0" distL="0" distR="0" wp14:anchorId="04421456" wp14:editId="7B96F0A7">
                <wp:extent cx="2294626" cy="542925"/>
                <wp:effectExtent l="0" t="0" r="0" b="0"/>
                <wp:docPr id="1"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6193D58" w14:textId="31929113" w:rsidR="005A79E5" w:rsidRDefault="008F2B72" w:rsidP="00301815">
          <w:pPr>
            <w:pStyle w:val="Header"/>
            <w:jc w:val="right"/>
          </w:pPr>
          <w:r>
            <w:rPr>
              <w:noProof/>
            </w:rPr>
            <w:drawing>
              <wp:anchor distT="0" distB="0" distL="114300" distR="114300" simplePos="0" relativeHeight="251658240" behindDoc="0" locked="0" layoutInCell="1" allowOverlap="1" wp14:anchorId="1D75C094" wp14:editId="5146BD88">
                <wp:simplePos x="0" y="0"/>
                <wp:positionH relativeFrom="column">
                  <wp:posOffset>1365885</wp:posOffset>
                </wp:positionH>
                <wp:positionV relativeFrom="paragraph">
                  <wp:posOffset>-2540</wp:posOffset>
                </wp:positionV>
                <wp:extent cx="1518285" cy="718185"/>
                <wp:effectExtent l="0" t="0" r="0" b="0"/>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2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AC8EC99" w14:textId="1B35D83E" w:rsidR="005665FD" w:rsidRDefault="0056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2E4F" w14:textId="77777777" w:rsidR="00E42F5D" w:rsidRDefault="00E42F5D"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17B0" w14:textId="77777777" w:rsidR="00660F74" w:rsidRDefault="00660F74"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EC00" w14:textId="77777777" w:rsidR="00926083" w:rsidRDefault="00926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E016A9F"/>
    <w:multiLevelType w:val="hybridMultilevel"/>
    <w:tmpl w:val="4268E01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 w15:restartNumberingAfterBreak="0">
    <w:nsid w:val="1EE029E3"/>
    <w:multiLevelType w:val="hybridMultilevel"/>
    <w:tmpl w:val="84461880"/>
    <w:lvl w:ilvl="0" w:tplc="CCC42890">
      <w:start w:val="1"/>
      <w:numFmt w:val="decimal"/>
      <w:lvlText w:val="%1."/>
      <w:lvlJc w:val="left"/>
      <w:pPr>
        <w:ind w:left="4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FC45C35"/>
    <w:multiLevelType w:val="hybridMultilevel"/>
    <w:tmpl w:val="A0B247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3746B2"/>
    <w:multiLevelType w:val="hybridMultilevel"/>
    <w:tmpl w:val="C8B0B4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0090480"/>
    <w:multiLevelType w:val="hybridMultilevel"/>
    <w:tmpl w:val="A2EE1D9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9" w15:restartNumberingAfterBreak="0">
    <w:nsid w:val="71051F40"/>
    <w:multiLevelType w:val="hybridMultilevel"/>
    <w:tmpl w:val="02CEF7C6"/>
    <w:lvl w:ilvl="0" w:tplc="EE664BD6">
      <w:start w:val="3"/>
      <w:numFmt w:val="decimal"/>
      <w:lvlText w:val="%1."/>
      <w:lvlJc w:val="left"/>
      <w:pPr>
        <w:ind w:left="840" w:hanging="360"/>
      </w:pPr>
      <w:rPr>
        <w:rFonts w:ascii="Calibri" w:eastAsia="Calibri" w:hAnsi="Calibri" w:hint="default"/>
        <w:spacing w:val="-1"/>
        <w:w w:val="112"/>
        <w:sz w:val="24"/>
        <w:szCs w:val="24"/>
      </w:rPr>
    </w:lvl>
    <w:lvl w:ilvl="1" w:tplc="BDDAD3C2">
      <w:start w:val="1"/>
      <w:numFmt w:val="bullet"/>
      <w:lvlText w:val="•"/>
      <w:lvlJc w:val="left"/>
      <w:pPr>
        <w:ind w:left="1682" w:hanging="360"/>
      </w:pPr>
      <w:rPr>
        <w:rFonts w:hint="default"/>
      </w:rPr>
    </w:lvl>
    <w:lvl w:ilvl="2" w:tplc="4DBA3BA0">
      <w:start w:val="1"/>
      <w:numFmt w:val="bullet"/>
      <w:lvlText w:val="•"/>
      <w:lvlJc w:val="left"/>
      <w:pPr>
        <w:ind w:left="2525" w:hanging="360"/>
      </w:pPr>
      <w:rPr>
        <w:rFonts w:hint="default"/>
      </w:rPr>
    </w:lvl>
    <w:lvl w:ilvl="3" w:tplc="BC882C82">
      <w:start w:val="1"/>
      <w:numFmt w:val="bullet"/>
      <w:lvlText w:val="•"/>
      <w:lvlJc w:val="left"/>
      <w:pPr>
        <w:ind w:left="3367" w:hanging="360"/>
      </w:pPr>
      <w:rPr>
        <w:rFonts w:hint="default"/>
      </w:rPr>
    </w:lvl>
    <w:lvl w:ilvl="4" w:tplc="C1709564">
      <w:start w:val="1"/>
      <w:numFmt w:val="bullet"/>
      <w:lvlText w:val="•"/>
      <w:lvlJc w:val="left"/>
      <w:pPr>
        <w:ind w:left="4210" w:hanging="360"/>
      </w:pPr>
      <w:rPr>
        <w:rFonts w:hint="default"/>
      </w:rPr>
    </w:lvl>
    <w:lvl w:ilvl="5" w:tplc="C0028A08">
      <w:start w:val="1"/>
      <w:numFmt w:val="bullet"/>
      <w:lvlText w:val="•"/>
      <w:lvlJc w:val="left"/>
      <w:pPr>
        <w:ind w:left="5053" w:hanging="360"/>
      </w:pPr>
      <w:rPr>
        <w:rFonts w:hint="default"/>
      </w:rPr>
    </w:lvl>
    <w:lvl w:ilvl="6" w:tplc="E18C6662">
      <w:start w:val="1"/>
      <w:numFmt w:val="bullet"/>
      <w:lvlText w:val="•"/>
      <w:lvlJc w:val="left"/>
      <w:pPr>
        <w:ind w:left="5895" w:hanging="360"/>
      </w:pPr>
      <w:rPr>
        <w:rFonts w:hint="default"/>
      </w:rPr>
    </w:lvl>
    <w:lvl w:ilvl="7" w:tplc="315C219A">
      <w:start w:val="1"/>
      <w:numFmt w:val="bullet"/>
      <w:lvlText w:val="•"/>
      <w:lvlJc w:val="left"/>
      <w:pPr>
        <w:ind w:left="6738" w:hanging="360"/>
      </w:pPr>
      <w:rPr>
        <w:rFonts w:hint="default"/>
      </w:rPr>
    </w:lvl>
    <w:lvl w:ilvl="8" w:tplc="78720CC2">
      <w:start w:val="1"/>
      <w:numFmt w:val="bullet"/>
      <w:lvlText w:val="•"/>
      <w:lvlJc w:val="left"/>
      <w:pPr>
        <w:ind w:left="7581" w:hanging="360"/>
      </w:pPr>
      <w:rPr>
        <w:rFonts w:hint="default"/>
      </w:rPr>
    </w:lvl>
  </w:abstractNum>
  <w:abstractNum w:abstractNumId="10" w15:restartNumberingAfterBreak="0">
    <w:nsid w:val="74983CDA"/>
    <w:multiLevelType w:val="hybridMultilevel"/>
    <w:tmpl w:val="8B3AA6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16cid:durableId="1510607381">
    <w:abstractNumId w:val="11"/>
  </w:num>
  <w:num w:numId="2" w16cid:durableId="72776646">
    <w:abstractNumId w:val="5"/>
  </w:num>
  <w:num w:numId="3" w16cid:durableId="1477456725">
    <w:abstractNumId w:val="6"/>
  </w:num>
  <w:num w:numId="4" w16cid:durableId="1664773935">
    <w:abstractNumId w:val="0"/>
  </w:num>
  <w:num w:numId="5" w16cid:durableId="497965942">
    <w:abstractNumId w:val="4"/>
  </w:num>
  <w:num w:numId="6" w16cid:durableId="1653413556">
    <w:abstractNumId w:val="2"/>
  </w:num>
  <w:num w:numId="7" w16cid:durableId="415131198">
    <w:abstractNumId w:val="3"/>
  </w:num>
  <w:num w:numId="8" w16cid:durableId="1104882562">
    <w:abstractNumId w:val="7"/>
  </w:num>
  <w:num w:numId="9" w16cid:durableId="526140117">
    <w:abstractNumId w:val="8"/>
  </w:num>
  <w:num w:numId="10" w16cid:durableId="197477567">
    <w:abstractNumId w:val="9"/>
  </w:num>
  <w:num w:numId="11" w16cid:durableId="1708023333">
    <w:abstractNumId w:val="10"/>
  </w:num>
  <w:num w:numId="12" w16cid:durableId="154038739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4CF4"/>
    <w:rsid w:val="00025A6F"/>
    <w:rsid w:val="0002618D"/>
    <w:rsid w:val="00030B26"/>
    <w:rsid w:val="00030E84"/>
    <w:rsid w:val="00032C0A"/>
    <w:rsid w:val="00035257"/>
    <w:rsid w:val="00035D68"/>
    <w:rsid w:val="00054B44"/>
    <w:rsid w:val="00054DFC"/>
    <w:rsid w:val="0006228D"/>
    <w:rsid w:val="00070DE3"/>
    <w:rsid w:val="00072BD6"/>
    <w:rsid w:val="00075B78"/>
    <w:rsid w:val="000763E9"/>
    <w:rsid w:val="00082CD6"/>
    <w:rsid w:val="0008437D"/>
    <w:rsid w:val="00085AFE"/>
    <w:rsid w:val="00094800"/>
    <w:rsid w:val="000A41ED"/>
    <w:rsid w:val="000B0730"/>
    <w:rsid w:val="000D19F4"/>
    <w:rsid w:val="000D58DD"/>
    <w:rsid w:val="000E318D"/>
    <w:rsid w:val="000F2AE2"/>
    <w:rsid w:val="000F2BFF"/>
    <w:rsid w:val="00102063"/>
    <w:rsid w:val="0010541C"/>
    <w:rsid w:val="00106F93"/>
    <w:rsid w:val="00111D50"/>
    <w:rsid w:val="00113B8E"/>
    <w:rsid w:val="0012053C"/>
    <w:rsid w:val="00122363"/>
    <w:rsid w:val="001342C7"/>
    <w:rsid w:val="0013585C"/>
    <w:rsid w:val="00136720"/>
    <w:rsid w:val="00142261"/>
    <w:rsid w:val="00142954"/>
    <w:rsid w:val="001460E0"/>
    <w:rsid w:val="001472F0"/>
    <w:rsid w:val="00147F71"/>
    <w:rsid w:val="00150A6E"/>
    <w:rsid w:val="0016304B"/>
    <w:rsid w:val="0016468A"/>
    <w:rsid w:val="00175BF2"/>
    <w:rsid w:val="0018662D"/>
    <w:rsid w:val="00197427"/>
    <w:rsid w:val="001A21B4"/>
    <w:rsid w:val="001A5CF5"/>
    <w:rsid w:val="001B39D2"/>
    <w:rsid w:val="001B4BF8"/>
    <w:rsid w:val="001C4326"/>
    <w:rsid w:val="001C665E"/>
    <w:rsid w:val="001D3541"/>
    <w:rsid w:val="001D3E4E"/>
    <w:rsid w:val="001E254A"/>
    <w:rsid w:val="001E7386"/>
    <w:rsid w:val="001F3F3A"/>
    <w:rsid w:val="001F45A7"/>
    <w:rsid w:val="00201A01"/>
    <w:rsid w:val="0020754B"/>
    <w:rsid w:val="002104D3"/>
    <w:rsid w:val="00213A33"/>
    <w:rsid w:val="0021763B"/>
    <w:rsid w:val="00246DB1"/>
    <w:rsid w:val="002476B5"/>
    <w:rsid w:val="002520CC"/>
    <w:rsid w:val="00253ECF"/>
    <w:rsid w:val="002546A1"/>
    <w:rsid w:val="002628F4"/>
    <w:rsid w:val="00275D08"/>
    <w:rsid w:val="002858E3"/>
    <w:rsid w:val="00286A2A"/>
    <w:rsid w:val="0029190A"/>
    <w:rsid w:val="00292C5A"/>
    <w:rsid w:val="00295241"/>
    <w:rsid w:val="002A4DFC"/>
    <w:rsid w:val="002B047D"/>
    <w:rsid w:val="002B732B"/>
    <w:rsid w:val="002B76A7"/>
    <w:rsid w:val="002C2219"/>
    <w:rsid w:val="002C2552"/>
    <w:rsid w:val="002C380A"/>
    <w:rsid w:val="002D0DF2"/>
    <w:rsid w:val="002D23BD"/>
    <w:rsid w:val="002E0B47"/>
    <w:rsid w:val="002F4685"/>
    <w:rsid w:val="002F7213"/>
    <w:rsid w:val="0030382F"/>
    <w:rsid w:val="0030408D"/>
    <w:rsid w:val="003060E4"/>
    <w:rsid w:val="003160E7"/>
    <w:rsid w:val="0031739E"/>
    <w:rsid w:val="003309CA"/>
    <w:rsid w:val="003325AB"/>
    <w:rsid w:val="003332D1"/>
    <w:rsid w:val="0033412B"/>
    <w:rsid w:val="00341161"/>
    <w:rsid w:val="00343365"/>
    <w:rsid w:val="003445F4"/>
    <w:rsid w:val="00353501"/>
    <w:rsid w:val="00353734"/>
    <w:rsid w:val="003606F8"/>
    <w:rsid w:val="003648EF"/>
    <w:rsid w:val="003673E6"/>
    <w:rsid w:val="00377264"/>
    <w:rsid w:val="003779D2"/>
    <w:rsid w:val="00383DF6"/>
    <w:rsid w:val="00385E38"/>
    <w:rsid w:val="003A26A5"/>
    <w:rsid w:val="003A3761"/>
    <w:rsid w:val="003A512D"/>
    <w:rsid w:val="003A5FEA"/>
    <w:rsid w:val="003B1D10"/>
    <w:rsid w:val="003C76D4"/>
    <w:rsid w:val="003D137D"/>
    <w:rsid w:val="003D2CC5"/>
    <w:rsid w:val="003D7765"/>
    <w:rsid w:val="003E04C1"/>
    <w:rsid w:val="003E0887"/>
    <w:rsid w:val="003E74C8"/>
    <w:rsid w:val="003E7C46"/>
    <w:rsid w:val="003F2106"/>
    <w:rsid w:val="003F52A7"/>
    <w:rsid w:val="003F7013"/>
    <w:rsid w:val="0040240C"/>
    <w:rsid w:val="00413021"/>
    <w:rsid w:val="004301C6"/>
    <w:rsid w:val="00430372"/>
    <w:rsid w:val="0043478F"/>
    <w:rsid w:val="0043602B"/>
    <w:rsid w:val="00440BE0"/>
    <w:rsid w:val="00442C1C"/>
    <w:rsid w:val="0044584B"/>
    <w:rsid w:val="00447CB7"/>
    <w:rsid w:val="004527B0"/>
    <w:rsid w:val="00455CC9"/>
    <w:rsid w:val="00460826"/>
    <w:rsid w:val="00460EA7"/>
    <w:rsid w:val="0046195B"/>
    <w:rsid w:val="0046362D"/>
    <w:rsid w:val="0046596D"/>
    <w:rsid w:val="00487C04"/>
    <w:rsid w:val="004907E1"/>
    <w:rsid w:val="004A035B"/>
    <w:rsid w:val="004A2108"/>
    <w:rsid w:val="004A38D7"/>
    <w:rsid w:val="004A778C"/>
    <w:rsid w:val="004B43AB"/>
    <w:rsid w:val="004B48C7"/>
    <w:rsid w:val="004C2E6A"/>
    <w:rsid w:val="004C64B8"/>
    <w:rsid w:val="004D2A2D"/>
    <w:rsid w:val="004D479F"/>
    <w:rsid w:val="004D6689"/>
    <w:rsid w:val="004E1D1D"/>
    <w:rsid w:val="004E7AC8"/>
    <w:rsid w:val="004F0C94"/>
    <w:rsid w:val="004F7A8A"/>
    <w:rsid w:val="005019AE"/>
    <w:rsid w:val="00503749"/>
    <w:rsid w:val="00504CF4"/>
    <w:rsid w:val="0050635B"/>
    <w:rsid w:val="005151C2"/>
    <w:rsid w:val="0053199F"/>
    <w:rsid w:val="00531E12"/>
    <w:rsid w:val="00533B90"/>
    <w:rsid w:val="005410F8"/>
    <w:rsid w:val="005448EC"/>
    <w:rsid w:val="00545963"/>
    <w:rsid w:val="00550256"/>
    <w:rsid w:val="00553165"/>
    <w:rsid w:val="00553958"/>
    <w:rsid w:val="00556BB7"/>
    <w:rsid w:val="0055763D"/>
    <w:rsid w:val="00561516"/>
    <w:rsid w:val="005621F2"/>
    <w:rsid w:val="005665FD"/>
    <w:rsid w:val="00567B58"/>
    <w:rsid w:val="00571223"/>
    <w:rsid w:val="005763E0"/>
    <w:rsid w:val="00581136"/>
    <w:rsid w:val="00581EB8"/>
    <w:rsid w:val="005A27CA"/>
    <w:rsid w:val="005A43BD"/>
    <w:rsid w:val="005A4F0B"/>
    <w:rsid w:val="005A79E5"/>
    <w:rsid w:val="005D034C"/>
    <w:rsid w:val="005D361A"/>
    <w:rsid w:val="005E226E"/>
    <w:rsid w:val="005E2636"/>
    <w:rsid w:val="005E4419"/>
    <w:rsid w:val="005F77FC"/>
    <w:rsid w:val="006015D7"/>
    <w:rsid w:val="00601B21"/>
    <w:rsid w:val="006041F0"/>
    <w:rsid w:val="00604258"/>
    <w:rsid w:val="00605C6D"/>
    <w:rsid w:val="006120CA"/>
    <w:rsid w:val="00623908"/>
    <w:rsid w:val="00624174"/>
    <w:rsid w:val="006241A1"/>
    <w:rsid w:val="00626CF8"/>
    <w:rsid w:val="006314AF"/>
    <w:rsid w:val="00634ED8"/>
    <w:rsid w:val="00636D7D"/>
    <w:rsid w:val="00637408"/>
    <w:rsid w:val="00642868"/>
    <w:rsid w:val="0064773B"/>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6D80"/>
    <w:rsid w:val="00694895"/>
    <w:rsid w:val="00697E2E"/>
    <w:rsid w:val="006A25A2"/>
    <w:rsid w:val="006A3B87"/>
    <w:rsid w:val="006B0E73"/>
    <w:rsid w:val="006B1E3D"/>
    <w:rsid w:val="006B4A4D"/>
    <w:rsid w:val="006B5695"/>
    <w:rsid w:val="006B7B2E"/>
    <w:rsid w:val="006C78EB"/>
    <w:rsid w:val="006D1660"/>
    <w:rsid w:val="006D4701"/>
    <w:rsid w:val="006D63E5"/>
    <w:rsid w:val="006E1753"/>
    <w:rsid w:val="006E3911"/>
    <w:rsid w:val="006E4142"/>
    <w:rsid w:val="006F1B67"/>
    <w:rsid w:val="006F4D9C"/>
    <w:rsid w:val="0070091D"/>
    <w:rsid w:val="00702854"/>
    <w:rsid w:val="00706CBB"/>
    <w:rsid w:val="0071741C"/>
    <w:rsid w:val="00742B90"/>
    <w:rsid w:val="0074434D"/>
    <w:rsid w:val="007570C4"/>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D2151"/>
    <w:rsid w:val="007D3B90"/>
    <w:rsid w:val="007D42CC"/>
    <w:rsid w:val="007D5DE4"/>
    <w:rsid w:val="007D7C3A"/>
    <w:rsid w:val="007E0777"/>
    <w:rsid w:val="007E1341"/>
    <w:rsid w:val="007E1B41"/>
    <w:rsid w:val="007E1EC4"/>
    <w:rsid w:val="007E30B9"/>
    <w:rsid w:val="007E74F1"/>
    <w:rsid w:val="007F0F0C"/>
    <w:rsid w:val="007F1288"/>
    <w:rsid w:val="00800A8A"/>
    <w:rsid w:val="0080155C"/>
    <w:rsid w:val="008052E1"/>
    <w:rsid w:val="00813277"/>
    <w:rsid w:val="00815765"/>
    <w:rsid w:val="00821491"/>
    <w:rsid w:val="00822F2C"/>
    <w:rsid w:val="00823DEE"/>
    <w:rsid w:val="008305E8"/>
    <w:rsid w:val="00836165"/>
    <w:rsid w:val="0084640C"/>
    <w:rsid w:val="00856088"/>
    <w:rsid w:val="00857766"/>
    <w:rsid w:val="00860826"/>
    <w:rsid w:val="00860E21"/>
    <w:rsid w:val="00863117"/>
    <w:rsid w:val="0086388B"/>
    <w:rsid w:val="008642E5"/>
    <w:rsid w:val="00864488"/>
    <w:rsid w:val="00870A36"/>
    <w:rsid w:val="00872D93"/>
    <w:rsid w:val="00880470"/>
    <w:rsid w:val="00880D94"/>
    <w:rsid w:val="00886F64"/>
    <w:rsid w:val="008919E9"/>
    <w:rsid w:val="008924DE"/>
    <w:rsid w:val="008A3755"/>
    <w:rsid w:val="008B19DC"/>
    <w:rsid w:val="008B264F"/>
    <w:rsid w:val="008B6F83"/>
    <w:rsid w:val="008B7FD8"/>
    <w:rsid w:val="008C1108"/>
    <w:rsid w:val="008C23DD"/>
    <w:rsid w:val="008C2973"/>
    <w:rsid w:val="008C6324"/>
    <w:rsid w:val="008C64C4"/>
    <w:rsid w:val="008D2CDD"/>
    <w:rsid w:val="008D74D5"/>
    <w:rsid w:val="008E0ED1"/>
    <w:rsid w:val="008E3A07"/>
    <w:rsid w:val="008E537B"/>
    <w:rsid w:val="008F29BE"/>
    <w:rsid w:val="008F2B72"/>
    <w:rsid w:val="008F4AE5"/>
    <w:rsid w:val="008F51EB"/>
    <w:rsid w:val="008F546C"/>
    <w:rsid w:val="008F5D63"/>
    <w:rsid w:val="00900197"/>
    <w:rsid w:val="00902F55"/>
    <w:rsid w:val="0090582B"/>
    <w:rsid w:val="009060C0"/>
    <w:rsid w:val="009114A2"/>
    <w:rsid w:val="009133F5"/>
    <w:rsid w:val="0091756F"/>
    <w:rsid w:val="00920A27"/>
    <w:rsid w:val="00921216"/>
    <w:rsid w:val="009216CC"/>
    <w:rsid w:val="00926083"/>
    <w:rsid w:val="00930D08"/>
    <w:rsid w:val="00931466"/>
    <w:rsid w:val="00932D69"/>
    <w:rsid w:val="00935589"/>
    <w:rsid w:val="00944647"/>
    <w:rsid w:val="00952AA6"/>
    <w:rsid w:val="0095565C"/>
    <w:rsid w:val="00964AB6"/>
    <w:rsid w:val="00966F9A"/>
    <w:rsid w:val="00977B8A"/>
    <w:rsid w:val="00982971"/>
    <w:rsid w:val="009845AD"/>
    <w:rsid w:val="00984835"/>
    <w:rsid w:val="0098639B"/>
    <w:rsid w:val="009933EF"/>
    <w:rsid w:val="00995BA0"/>
    <w:rsid w:val="009A418B"/>
    <w:rsid w:val="009A426F"/>
    <w:rsid w:val="009A42D5"/>
    <w:rsid w:val="009A4473"/>
    <w:rsid w:val="009B05C9"/>
    <w:rsid w:val="009B286C"/>
    <w:rsid w:val="009C151C"/>
    <w:rsid w:val="009C440A"/>
    <w:rsid w:val="009D5125"/>
    <w:rsid w:val="009D60B8"/>
    <w:rsid w:val="009D7D4B"/>
    <w:rsid w:val="009E36ED"/>
    <w:rsid w:val="009E3C8C"/>
    <w:rsid w:val="009E6B77"/>
    <w:rsid w:val="009F460A"/>
    <w:rsid w:val="00A043FB"/>
    <w:rsid w:val="00A06BE4"/>
    <w:rsid w:val="00A0729C"/>
    <w:rsid w:val="00A07779"/>
    <w:rsid w:val="00A1166A"/>
    <w:rsid w:val="00A20B2E"/>
    <w:rsid w:val="00A24F33"/>
    <w:rsid w:val="00A25069"/>
    <w:rsid w:val="00A26E6B"/>
    <w:rsid w:val="00A3068F"/>
    <w:rsid w:val="00A3145B"/>
    <w:rsid w:val="00A339D0"/>
    <w:rsid w:val="00A41002"/>
    <w:rsid w:val="00A4201A"/>
    <w:rsid w:val="00A5465D"/>
    <w:rsid w:val="00A553CE"/>
    <w:rsid w:val="00A5677A"/>
    <w:rsid w:val="00A56DCC"/>
    <w:rsid w:val="00A625E8"/>
    <w:rsid w:val="00A63DFF"/>
    <w:rsid w:val="00A6490D"/>
    <w:rsid w:val="00A7415D"/>
    <w:rsid w:val="00A80363"/>
    <w:rsid w:val="00A80939"/>
    <w:rsid w:val="00A83E9D"/>
    <w:rsid w:val="00A8530E"/>
    <w:rsid w:val="00A87C05"/>
    <w:rsid w:val="00A9169D"/>
    <w:rsid w:val="00A91E9E"/>
    <w:rsid w:val="00AA240C"/>
    <w:rsid w:val="00AC101C"/>
    <w:rsid w:val="00AD23F3"/>
    <w:rsid w:val="00AD4CF1"/>
    <w:rsid w:val="00AD5988"/>
    <w:rsid w:val="00AD6293"/>
    <w:rsid w:val="00AF1BA8"/>
    <w:rsid w:val="00AF497B"/>
    <w:rsid w:val="00AF7800"/>
    <w:rsid w:val="00B00CF5"/>
    <w:rsid w:val="00B072E0"/>
    <w:rsid w:val="00B1007E"/>
    <w:rsid w:val="00B253F6"/>
    <w:rsid w:val="00B26675"/>
    <w:rsid w:val="00B26F0F"/>
    <w:rsid w:val="00B305DB"/>
    <w:rsid w:val="00B332F8"/>
    <w:rsid w:val="00B3492B"/>
    <w:rsid w:val="00B4646F"/>
    <w:rsid w:val="00B55C7D"/>
    <w:rsid w:val="00B63038"/>
    <w:rsid w:val="00B64BD8"/>
    <w:rsid w:val="00B701D1"/>
    <w:rsid w:val="00B73AF2"/>
    <w:rsid w:val="00B7551A"/>
    <w:rsid w:val="00B773F1"/>
    <w:rsid w:val="00B869E6"/>
    <w:rsid w:val="00B86AB1"/>
    <w:rsid w:val="00B97F07"/>
    <w:rsid w:val="00BA7EBA"/>
    <w:rsid w:val="00BB2A06"/>
    <w:rsid w:val="00BB2CBB"/>
    <w:rsid w:val="00BB4198"/>
    <w:rsid w:val="00BC03EE"/>
    <w:rsid w:val="00BC59F1"/>
    <w:rsid w:val="00BF3DE1"/>
    <w:rsid w:val="00BF4843"/>
    <w:rsid w:val="00BF5205"/>
    <w:rsid w:val="00C05132"/>
    <w:rsid w:val="00C12508"/>
    <w:rsid w:val="00C23728"/>
    <w:rsid w:val="00C3026C"/>
    <w:rsid w:val="00C313A9"/>
    <w:rsid w:val="00C441CF"/>
    <w:rsid w:val="00C45AA2"/>
    <w:rsid w:val="00C4792C"/>
    <w:rsid w:val="00C55BEF"/>
    <w:rsid w:val="00C601AF"/>
    <w:rsid w:val="00C61A63"/>
    <w:rsid w:val="00C66296"/>
    <w:rsid w:val="00C7394D"/>
    <w:rsid w:val="00C77282"/>
    <w:rsid w:val="00C84DE5"/>
    <w:rsid w:val="00C86248"/>
    <w:rsid w:val="00C90B31"/>
    <w:rsid w:val="00CA0D6F"/>
    <w:rsid w:val="00CA4C33"/>
    <w:rsid w:val="00CA6F4A"/>
    <w:rsid w:val="00CB6427"/>
    <w:rsid w:val="00CC0FBE"/>
    <w:rsid w:val="00CD2119"/>
    <w:rsid w:val="00CD237A"/>
    <w:rsid w:val="00CD36AC"/>
    <w:rsid w:val="00CE13A3"/>
    <w:rsid w:val="00CE2AAC"/>
    <w:rsid w:val="00CE36BC"/>
    <w:rsid w:val="00CF1747"/>
    <w:rsid w:val="00CF60ED"/>
    <w:rsid w:val="00D05D74"/>
    <w:rsid w:val="00D20C59"/>
    <w:rsid w:val="00D23323"/>
    <w:rsid w:val="00D2392A"/>
    <w:rsid w:val="00D25FFE"/>
    <w:rsid w:val="00D26BC1"/>
    <w:rsid w:val="00D37D80"/>
    <w:rsid w:val="00D4476F"/>
    <w:rsid w:val="00D50573"/>
    <w:rsid w:val="00D54D50"/>
    <w:rsid w:val="00D560B4"/>
    <w:rsid w:val="00D662F8"/>
    <w:rsid w:val="00D66797"/>
    <w:rsid w:val="00D7074B"/>
    <w:rsid w:val="00D7087C"/>
    <w:rsid w:val="00D70C3C"/>
    <w:rsid w:val="00D71DF7"/>
    <w:rsid w:val="00D72BE5"/>
    <w:rsid w:val="00D81462"/>
    <w:rsid w:val="00D82F26"/>
    <w:rsid w:val="00D863D0"/>
    <w:rsid w:val="00D86B00"/>
    <w:rsid w:val="00D86FB9"/>
    <w:rsid w:val="00D87C87"/>
    <w:rsid w:val="00D90BB4"/>
    <w:rsid w:val="00D90E07"/>
    <w:rsid w:val="00D932C2"/>
    <w:rsid w:val="00DA31E9"/>
    <w:rsid w:val="00DB39CF"/>
    <w:rsid w:val="00DB7256"/>
    <w:rsid w:val="00DC0401"/>
    <w:rsid w:val="00DC20BD"/>
    <w:rsid w:val="00DD0BCD"/>
    <w:rsid w:val="00DD447A"/>
    <w:rsid w:val="00DD4D53"/>
    <w:rsid w:val="00DE3B20"/>
    <w:rsid w:val="00DE6C94"/>
    <w:rsid w:val="00DE6FD7"/>
    <w:rsid w:val="00DF1BBC"/>
    <w:rsid w:val="00E00C76"/>
    <w:rsid w:val="00E23271"/>
    <w:rsid w:val="00E24F80"/>
    <w:rsid w:val="00E259F3"/>
    <w:rsid w:val="00E30985"/>
    <w:rsid w:val="00E33238"/>
    <w:rsid w:val="00E376B7"/>
    <w:rsid w:val="00E42F5D"/>
    <w:rsid w:val="00E4486C"/>
    <w:rsid w:val="00E460B6"/>
    <w:rsid w:val="00E511D5"/>
    <w:rsid w:val="00E53A9F"/>
    <w:rsid w:val="00E60249"/>
    <w:rsid w:val="00E65269"/>
    <w:rsid w:val="00E76D66"/>
    <w:rsid w:val="00E96CBC"/>
    <w:rsid w:val="00EA2B8C"/>
    <w:rsid w:val="00EA608C"/>
    <w:rsid w:val="00EA6F1A"/>
    <w:rsid w:val="00EA796A"/>
    <w:rsid w:val="00EB1856"/>
    <w:rsid w:val="00EC50CE"/>
    <w:rsid w:val="00EC5B34"/>
    <w:rsid w:val="00ED021E"/>
    <w:rsid w:val="00ED323C"/>
    <w:rsid w:val="00EE1FD7"/>
    <w:rsid w:val="00EE2D5C"/>
    <w:rsid w:val="00EE4ADE"/>
    <w:rsid w:val="00EE4DE8"/>
    <w:rsid w:val="00EE5CB7"/>
    <w:rsid w:val="00F024FE"/>
    <w:rsid w:val="00F05AD4"/>
    <w:rsid w:val="00F10EB6"/>
    <w:rsid w:val="00F12021"/>
    <w:rsid w:val="00F13F07"/>
    <w:rsid w:val="00F140B2"/>
    <w:rsid w:val="00F25970"/>
    <w:rsid w:val="00F311A9"/>
    <w:rsid w:val="00F47079"/>
    <w:rsid w:val="00F5180D"/>
    <w:rsid w:val="00F63781"/>
    <w:rsid w:val="00F67496"/>
    <w:rsid w:val="00F726BF"/>
    <w:rsid w:val="00F801BA"/>
    <w:rsid w:val="00F9366A"/>
    <w:rsid w:val="00F946C9"/>
    <w:rsid w:val="00FA0EA5"/>
    <w:rsid w:val="00FA74EE"/>
    <w:rsid w:val="00FC3711"/>
    <w:rsid w:val="00FC46E7"/>
    <w:rsid w:val="00FC5D25"/>
    <w:rsid w:val="00FD0D7E"/>
    <w:rsid w:val="00FD4FFB"/>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1"/>
    <w:qFormat/>
    <w:rsid w:val="002B76A7"/>
    <w:pPr>
      <w:tabs>
        <w:tab w:val="right" w:pos="8080"/>
      </w:tabs>
      <w:spacing w:before="60"/>
      <w:ind w:left="284" w:right="567"/>
    </w:pPr>
    <w:rPr>
      <w:sz w:val="22"/>
    </w:rPr>
  </w:style>
  <w:style w:type="paragraph" w:styleId="TOC3">
    <w:name w:val="toc 3"/>
    <w:basedOn w:val="Normal"/>
    <w:next w:val="Normal"/>
    <w:uiPriority w:val="1"/>
    <w:qFormat/>
    <w:rsid w:val="002B76A7"/>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uiPriority w:val="99"/>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uiPriority w:val="99"/>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table" w:customStyle="1" w:styleId="TableNormal1">
    <w:name w:val="Table Normal1"/>
    <w:uiPriority w:val="2"/>
    <w:semiHidden/>
    <w:unhideWhenUsed/>
    <w:qFormat/>
    <w:rsid w:val="00AF497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OC4">
    <w:name w:val="toc 4"/>
    <w:basedOn w:val="Normal"/>
    <w:uiPriority w:val="1"/>
    <w:qFormat/>
    <w:rsid w:val="00AF497B"/>
    <w:pPr>
      <w:widowControl w:val="0"/>
      <w:spacing w:before="149"/>
      <w:ind w:left="599"/>
    </w:pPr>
    <w:rPr>
      <w:rFonts w:ascii="Tahoma" w:eastAsia="Tahoma" w:hAnsi="Tahoma" w:cstheme="minorBidi"/>
      <w:sz w:val="24"/>
      <w:szCs w:val="24"/>
      <w:lang w:val="en-US" w:eastAsia="en-US"/>
    </w:rPr>
  </w:style>
  <w:style w:type="paragraph" w:styleId="BodyText">
    <w:name w:val="Body Text"/>
    <w:basedOn w:val="Normal"/>
    <w:link w:val="BodyTextChar"/>
    <w:uiPriority w:val="1"/>
    <w:qFormat/>
    <w:rsid w:val="00AF497B"/>
    <w:pPr>
      <w:widowControl w:val="0"/>
      <w:ind w:left="100"/>
    </w:pPr>
    <w:rPr>
      <w:rFonts w:ascii="Calibri" w:eastAsia="Calibri" w:hAnsi="Calibri" w:cstheme="minorBidi"/>
      <w:sz w:val="22"/>
      <w:szCs w:val="22"/>
      <w:lang w:val="en-US" w:eastAsia="en-US"/>
    </w:rPr>
  </w:style>
  <w:style w:type="character" w:customStyle="1" w:styleId="BodyTextChar">
    <w:name w:val="Body Text Char"/>
    <w:basedOn w:val="DefaultParagraphFont"/>
    <w:link w:val="BodyText"/>
    <w:uiPriority w:val="1"/>
    <w:rsid w:val="00AF497B"/>
    <w:rPr>
      <w:rFonts w:ascii="Calibri" w:eastAsia="Calibri" w:hAnsi="Calibri" w:cstheme="minorBidi"/>
      <w:sz w:val="22"/>
      <w:szCs w:val="22"/>
      <w:lang w:val="en-US" w:eastAsia="en-US"/>
    </w:rPr>
  </w:style>
  <w:style w:type="paragraph" w:styleId="ListParagraph">
    <w:name w:val="List Paragraph"/>
    <w:basedOn w:val="Normal"/>
    <w:uiPriority w:val="1"/>
    <w:qFormat/>
    <w:rsid w:val="00AF497B"/>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AF497B"/>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AF497B"/>
    <w:rPr>
      <w:color w:val="605E5C"/>
      <w:shd w:val="clear" w:color="auto" w:fill="E1DFDD"/>
    </w:rPr>
  </w:style>
  <w:style w:type="character" w:styleId="FollowedHyperlink">
    <w:name w:val="FollowedHyperlink"/>
    <w:basedOn w:val="DefaultParagraphFont"/>
    <w:uiPriority w:val="99"/>
    <w:semiHidden/>
    <w:unhideWhenUsed/>
    <w:rsid w:val="00AF497B"/>
    <w:rPr>
      <w:color w:val="800080" w:themeColor="followedHyperlink"/>
      <w:u w:val="single"/>
    </w:rPr>
  </w:style>
  <w:style w:type="paragraph" w:customStyle="1" w:styleId="Documentsubtitleanddate">
    <w:name w:val="Document sub title and date"/>
    <w:qFormat/>
    <w:rsid w:val="00AF497B"/>
    <w:pPr>
      <w:spacing w:line="264" w:lineRule="auto"/>
    </w:pPr>
    <w:rPr>
      <w:rFonts w:ascii="Segoe UI" w:eastAsiaTheme="minorHAnsi" w:hAnsi="Segoe UI" w:cstheme="minorBidi"/>
      <w:b/>
      <w:kern w:val="2"/>
      <w:sz w:val="26"/>
      <w:szCs w:val="22"/>
      <w:lang w:eastAsia="en-US"/>
      <w14:ligatures w14:val="standardContextual"/>
    </w:rPr>
  </w:style>
  <w:style w:type="paragraph" w:styleId="TOCHeading">
    <w:name w:val="TOC Heading"/>
    <w:basedOn w:val="Heading1"/>
    <w:next w:val="Normal"/>
    <w:uiPriority w:val="39"/>
    <w:unhideWhenUsed/>
    <w:qFormat/>
    <w:rsid w:val="00AF497B"/>
    <w:pPr>
      <w:keepLines/>
      <w:spacing w:before="240" w:after="0" w:line="259" w:lineRule="auto"/>
      <w:outlineLvl w:val="9"/>
    </w:pPr>
    <w:rPr>
      <w:rFonts w:asciiTheme="majorHAnsi" w:eastAsiaTheme="majorEastAsia" w:hAnsiTheme="majorHAnsi" w:cstheme="majorBidi"/>
      <w:b w:val="0"/>
      <w:color w:val="365F91" w:themeColor="accent1" w:themeShade="BF"/>
      <w:spacing w:val="0"/>
      <w:sz w:val="32"/>
      <w:szCs w:val="32"/>
      <w:lang w:val="en-US" w:eastAsia="en-US"/>
    </w:rPr>
  </w:style>
  <w:style w:type="character" w:customStyle="1" w:styleId="BulletChar">
    <w:name w:val="Bullet Char"/>
    <w:link w:val="Bullet"/>
    <w:locked/>
    <w:rsid w:val="00AF497B"/>
    <w:rPr>
      <w:rFonts w:ascii="Segoe UI" w:hAnsi="Segoe UI"/>
      <w:sz w:val="21"/>
      <w:lang w:eastAsia="en-GB"/>
    </w:rPr>
  </w:style>
  <w:style w:type="character" w:styleId="CommentReference">
    <w:name w:val="annotation reference"/>
    <w:basedOn w:val="DefaultParagraphFont"/>
    <w:uiPriority w:val="99"/>
    <w:semiHidden/>
    <w:unhideWhenUsed/>
    <w:rsid w:val="00AF497B"/>
    <w:rPr>
      <w:sz w:val="16"/>
      <w:szCs w:val="16"/>
    </w:rPr>
  </w:style>
  <w:style w:type="paragraph" w:styleId="CommentText">
    <w:name w:val="annotation text"/>
    <w:basedOn w:val="Normal"/>
    <w:link w:val="CommentTextChar"/>
    <w:uiPriority w:val="99"/>
    <w:unhideWhenUsed/>
    <w:rsid w:val="00AF497B"/>
    <w:pPr>
      <w:widowControl w:val="0"/>
    </w:pPr>
    <w:rPr>
      <w:rFonts w:asciiTheme="minorHAnsi" w:eastAsiaTheme="minorHAnsi" w:hAnsiTheme="minorHAnsi" w:cstheme="minorBidi"/>
      <w:sz w:val="20"/>
      <w:lang w:val="en-US" w:eastAsia="en-US"/>
    </w:rPr>
  </w:style>
  <w:style w:type="character" w:customStyle="1" w:styleId="CommentTextChar">
    <w:name w:val="Comment Text Char"/>
    <w:basedOn w:val="DefaultParagraphFont"/>
    <w:link w:val="CommentText"/>
    <w:uiPriority w:val="99"/>
    <w:rsid w:val="00AF497B"/>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AF497B"/>
    <w:rPr>
      <w:b/>
      <w:bCs/>
    </w:rPr>
  </w:style>
  <w:style w:type="character" w:customStyle="1" w:styleId="CommentSubjectChar">
    <w:name w:val="Comment Subject Char"/>
    <w:basedOn w:val="CommentTextChar"/>
    <w:link w:val="CommentSubject"/>
    <w:uiPriority w:val="99"/>
    <w:semiHidden/>
    <w:rsid w:val="00AF497B"/>
    <w:rPr>
      <w:rFonts w:asciiTheme="minorHAnsi" w:eastAsiaTheme="minorHAnsi" w:hAnsiTheme="minorHAnsi" w:cstheme="minorBidi"/>
      <w:b/>
      <w:bCs/>
      <w:lang w:val="en-US" w:eastAsia="en-US"/>
    </w:rPr>
  </w:style>
  <w:style w:type="character" w:customStyle="1" w:styleId="cf01">
    <w:name w:val="cf01"/>
    <w:basedOn w:val="DefaultParagraphFont"/>
    <w:rsid w:val="00AF497B"/>
    <w:rPr>
      <w:rFonts w:ascii="Segoe UI" w:hAnsi="Segoe UI" w:cs="Segoe UI" w:hint="default"/>
      <w:sz w:val="18"/>
      <w:szCs w:val="18"/>
    </w:rPr>
  </w:style>
  <w:style w:type="character" w:styleId="Mention">
    <w:name w:val="Mention"/>
    <w:basedOn w:val="DefaultParagraphFont"/>
    <w:uiPriority w:val="99"/>
    <w:unhideWhenUsed/>
    <w:rsid w:val="00AF497B"/>
    <w:rPr>
      <w:color w:val="2B579A"/>
      <w:shd w:val="clear" w:color="auto" w:fill="E1DFDD"/>
    </w:rPr>
  </w:style>
  <w:style w:type="character" w:customStyle="1" w:styleId="normaltextrun">
    <w:name w:val="normaltextrun"/>
    <w:basedOn w:val="DefaultParagraphFont"/>
    <w:rsid w:val="00AF497B"/>
  </w:style>
  <w:style w:type="paragraph" w:styleId="EndnoteText">
    <w:name w:val="endnote text"/>
    <w:basedOn w:val="Normal"/>
    <w:link w:val="EndnoteTextChar"/>
    <w:uiPriority w:val="99"/>
    <w:unhideWhenUsed/>
    <w:rsid w:val="00AF497B"/>
    <w:rPr>
      <w:rFonts w:asciiTheme="minorHAnsi" w:eastAsiaTheme="minorHAnsi" w:hAnsiTheme="minorHAnsi" w:cstheme="minorBidi"/>
      <w:kern w:val="2"/>
      <w:sz w:val="20"/>
      <w:lang w:eastAsia="en-US"/>
      <w14:ligatures w14:val="standardContextual"/>
    </w:rPr>
  </w:style>
  <w:style w:type="character" w:customStyle="1" w:styleId="EndnoteTextChar">
    <w:name w:val="Endnote Text Char"/>
    <w:basedOn w:val="DefaultParagraphFont"/>
    <w:link w:val="EndnoteText"/>
    <w:uiPriority w:val="99"/>
    <w:rsid w:val="00AF497B"/>
    <w:rPr>
      <w:rFonts w:asciiTheme="minorHAnsi" w:eastAsiaTheme="minorHAnsi" w:hAnsiTheme="minorHAnsi" w:cstheme="minorBidi"/>
      <w:kern w:val="2"/>
      <w:lang w:eastAsia="en-US"/>
      <w14:ligatures w14:val="standardContextual"/>
    </w:rPr>
  </w:style>
  <w:style w:type="character" w:styleId="EndnoteReference">
    <w:name w:val="endnote reference"/>
    <w:basedOn w:val="DefaultParagraphFont"/>
    <w:uiPriority w:val="99"/>
    <w:semiHidden/>
    <w:unhideWhenUsed/>
    <w:rsid w:val="00AF49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gazette.govt.nz/notice/id/2022-go2107"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harmacycouncil.org.nz/pharmacist/pharmacist-prescriber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gazette.govt.nz/notice/id/2024-go211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azette.govt.nz/notice/id/2014-gs6347"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6.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enquiries@pharmacycouncil.org.nz" TargetMode="External"/><Relationship Id="rId27" Type="http://schemas.openxmlformats.org/officeDocument/2006/relationships/hyperlink" Target="https://www.legislation.govt.nz/regulation/public/1977/0037/latest/DLM5461161.html" TargetMode="External"/><Relationship Id="rId30" Type="http://schemas.openxmlformats.org/officeDocument/2006/relationships/hyperlink" Target="https://gazette.govt.nz/notice/id/2023-go57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harmacycouncil.org.nz/pharmacist/competence-standar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17D17873F08F9643B2FAC8932CB87EA5" ma:contentTypeVersion="121" ma:contentTypeDescription="Create a new document." ma:contentTypeScope="" ma:versionID="3acdc7dad5a52d61bd67ff26ceff9389">
  <xsd:schema xmlns:xsd="http://www.w3.org/2001/XMLSchema" xmlns:xs="http://www.w3.org/2001/XMLSchema" xmlns:p="http://schemas.microsoft.com/office/2006/metadata/properties" xmlns:ns2="178160d6-c4f3-45a5-9fab-63f567cc7f6f" xmlns:ns3="4f9c820c-e7e2-444d-97ee-45f2b3485c1d" xmlns:ns4="15ffb055-6eb4-45a1-bc20-bf2ac0d420da" xmlns:ns5="725c79e5-42ce-4aa0-ac78-b6418001f0d2" xmlns:ns6="c91a514c-9034-4fa3-897a-8352025b26ed" xmlns:ns7="d0b61010-d6f3-4072-b934-7bbb13e97771" xmlns:ns8="184c05c4-c568-455d-94a4-7e009b164348" xmlns:ns10="010488e4-b9d5-423b-986c-ca7bae9bcc03" targetNamespace="http://schemas.microsoft.com/office/2006/metadata/properties" ma:root="true" ma:fieldsID="bc5a0603722dfd0e853dba2686592ebf" ns2:_="" ns3:_="" ns4:_="" ns5:_="" ns6:_="" ns7:_="" ns8:_="" ns10:_="">
    <xsd:import namespace="178160d6-c4f3-45a5-9fab-63f567cc7f6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10:MediaServiceMetadata" minOccurs="0"/>
                <xsd:element ref="ns10:MediaServiceFastMetadata" minOccurs="0"/>
                <xsd:element ref="ns10:MediaServiceAutoKeyPoints" minOccurs="0"/>
                <xsd:element ref="ns10:MediaServiceKeyPoints" minOccurs="0"/>
                <xsd:element ref="ns2:SharedWithUsers" minOccurs="0"/>
                <xsd:element ref="ns2:SharedWithDetails" minOccurs="0"/>
                <xsd:element ref="ns10:lcf76f155ced4ddcb4097134ff3c332f" minOccurs="0"/>
                <xsd:element ref="ns2:TaxCatchAll" minOccurs="0"/>
                <xsd:element ref="ns10:MediaServiceOCR" minOccurs="0"/>
                <xsd:element ref="ns10:MediaServiceGenerationTime" minOccurs="0"/>
                <xsd:element ref="ns10:MediaServiceEventHashCode" minOccurs="0"/>
                <xsd:element ref="ns10:MediaServiceObjectDetectorVersions" minOccurs="0"/>
                <xsd:element ref="ns10:MediaServiceDateTaken" minOccurs="0"/>
                <xsd:element ref="ns10:MediaLengthInSeconds" minOccurs="0"/>
                <xsd:element ref="ns10:MediaServiceSearchProperties" minOccurs="0"/>
                <xsd:element ref="ns10: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60d6-c4f3-45a5-9fab-63f567cc7f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b9b5c1db-975b-4739-93a8-8f71e7761aed}" ma:internalName="TaxCatchAll" ma:showField="CatchAllData" ma:web="178160d6-c4f3-45a5-9fab-63f567cc7f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Chief Allied Health Professionals"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linical Leadership" ma:hidden="true" ma:internalName="FunctionGroup" ma:readOnly="false">
      <xsd:simpleType>
        <xsd:restriction base="dms:Text">
          <xsd:maxLength value="255"/>
        </xsd:restriction>
      </xsd:simpleType>
    </xsd:element>
    <xsd:element name="Function" ma:index="22" nillable="true" ma:displayName="Function" ma:default="Chief Allied Health Professional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hief Allied Health Professional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T10M"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ObjectDetectorVersions" ma:index="63" nillable="true" ma:displayName="MediaServiceObjectDetectorVersions" ma:hidden="true" ma:indexed="true" ma:internalName="MediaServiceObjectDetectorVersions"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SearchProperties" ma:index="66" nillable="true" ma:displayName="MediaServiceSearchProperties" ma:hidden="true" ma:internalName="MediaServiceSearchProperties" ma:readOnly="true">
      <xsd:simpleType>
        <xsd:restriction base="dms:Note"/>
      </xsd:simpleType>
    </xsd:element>
    <xsd:element name="MediaServiceLocation" ma:index="6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Prescribing</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Chief Allied Health Professionals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Chief Allied Health Professionals</Team>
    <Project xmlns="4f9c820c-e7e2-444d-97ee-45f2b3485c1d">NA</Project>
    <HasNHI xmlns="184c05c4-c568-455d-94a4-7e009b164348">false</HasNHI>
    <FunctionGroup xmlns="4f9c820c-e7e2-444d-97ee-45f2b3485c1d">Clinical Leadership</FunctionGroup>
    <Function xmlns="4f9c820c-e7e2-444d-97ee-45f2b3485c1d">Chief Allied Health Professionals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Pharmacist Prescribing list review 2025</CategoryName>
    <PRADateTrigger xmlns="4f9c820c-e7e2-444d-97ee-45f2b3485c1d" xsi:nil="true"/>
    <PRAText2 xmlns="4f9c820c-e7e2-444d-97ee-45f2b3485c1d" xsi:nil="true"/>
    <zLegacyID xmlns="184c05c4-c568-455d-94a4-7e009b164348" xsi:nil="true"/>
    <TaxCatchAll xmlns="178160d6-c4f3-45a5-9fab-63f567cc7f6f" xsi:nil="true"/>
    <lcf76f155ced4ddcb4097134ff3c332f xmlns="010488e4-b9d5-423b-986c-ca7bae9bcc03">
      <Terms xmlns="http://schemas.microsoft.com/office/infopath/2007/PartnerControls"/>
    </lcf76f155ced4ddcb4097134ff3c332f>
    <_dlc_DocId xmlns="178160d6-c4f3-45a5-9fab-63f567cc7f6f">MOHECM-614058924-6149</_dlc_DocId>
    <_dlc_DocIdUrl xmlns="178160d6-c4f3-45a5-9fab-63f567cc7f6f">
      <Url>https://mohgovtnz.sharepoint.com/sites/moh-ecm-ChfAllied/_layouts/15/DocIdRedir.aspx?ID=MOHECM-614058924-6149</Url>
      <Description>MOHECM-614058924-6149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6F60C-06E7-473E-B578-B497E2629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60d6-c4f3-45a5-9fab-63f567cc7f6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3.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4.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178160d6-c4f3-45a5-9fab-63f567cc7f6f"/>
    <ds:schemaRef ds:uri="010488e4-b9d5-423b-986c-ca7bae9bcc03"/>
  </ds:schemaRefs>
</ds:datastoreItem>
</file>

<file path=customXml/itemProps5.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0</TotalTime>
  <Pages>14</Pages>
  <Words>1936</Words>
  <Characters>13304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Amendments to the Specified Prescription Medicines List for Designated Pharmacist Prescribers</dc:title>
  <dc:creator>Ministry of Health</dc:creator>
  <cp:lastModifiedBy>Ministry of Health</cp:lastModifiedBy>
  <cp:revision>3</cp:revision>
  <cp:lastPrinted>2025-09-15T03:46:00Z</cp:lastPrinted>
  <dcterms:created xsi:type="dcterms:W3CDTF">2025-09-15T03:46:00Z</dcterms:created>
  <dcterms:modified xsi:type="dcterms:W3CDTF">2025-09-15T03:46:00Z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0x01010017D17873F08F9643B2FAC8932CB87EA5</vt:lpwstr>
  </property>
  <property fmtid="{D5CDD505-2E9C-101B-9397-08002B2CF9AE}" pid="3" name="_dlc_DocIdItemGuid">
    <vt:lpwstr>e3400481-4096-4488-b2d9-ceed1c86f4df</vt:lpwstr>
  </property>
  <property fmtid="{D5CDD505-2E9C-101B-9397-08002B2CF9AE}" pid="4" name="MediaServiceImageTags">
    <vt:lpwstr/>
  </property>
</Properties>
</file>