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4DE0E01E" w:rsidR="00C86248" w:rsidRPr="00926083" w:rsidRDefault="006B4A33" w:rsidP="002B32BD">
      <w:pPr>
        <w:pStyle w:val="Title"/>
        <w:ind w:right="2835"/>
      </w:pPr>
      <w:r w:rsidRPr="00A87BDD">
        <w:rPr>
          <w:b w:val="0"/>
          <w:bCs/>
        </w:rPr>
        <w:t>Appendices:</w:t>
      </w:r>
      <w:r w:rsidRPr="006B4A33">
        <w:t xml:space="preserve"> </w:t>
      </w:r>
      <w:r w:rsidR="00835945" w:rsidRPr="006B4A33">
        <w:rPr>
          <w:rFonts w:ascii="Segoe UI" w:hAnsi="Segoe UI" w:cs="Segoe UI"/>
        </w:rPr>
        <w:t xml:space="preserve">Strategy to Prevent and Minimise </w:t>
      </w:r>
      <w:r w:rsidR="00835945" w:rsidRPr="006B4A33" w:rsidDel="00114F62">
        <w:rPr>
          <w:rFonts w:ascii="Segoe UI" w:hAnsi="Segoe UI" w:cs="Segoe UI"/>
        </w:rPr>
        <w:t xml:space="preserve">Gambling Harm </w:t>
      </w:r>
      <w:r w:rsidR="00835945" w:rsidRPr="006B4A33">
        <w:rPr>
          <w:rFonts w:ascii="Segoe UI" w:hAnsi="Segoe UI" w:cs="Segoe UI"/>
        </w:rPr>
        <w:t>2025/26 to 2027/28</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even" r:id="rId12"/>
          <w:headerReference w:type="default" r:id="rId13"/>
          <w:footerReference w:type="even" r:id="rId14"/>
          <w:footerReference w:type="default" r:id="rId15"/>
          <w:pgSz w:w="11907" w:h="16834" w:code="9"/>
          <w:pgMar w:top="5670" w:right="1134" w:bottom="1134" w:left="1134" w:header="567" w:footer="851" w:gutter="0"/>
          <w:pgNumType w:start="1"/>
          <w:cols w:space="720"/>
        </w:sectPr>
      </w:pPr>
    </w:p>
    <w:p w14:paraId="613F9A90" w14:textId="7A30135B" w:rsidR="004474B8" w:rsidRPr="00C05132" w:rsidRDefault="004474B8" w:rsidP="52103CC6">
      <w:pPr>
        <w:spacing w:before="120"/>
        <w:rPr>
          <w:rFonts w:cs="Segoe UI"/>
          <w:sz w:val="20"/>
        </w:rPr>
      </w:pPr>
      <w:r w:rsidRPr="52103CC6">
        <w:rPr>
          <w:rFonts w:cs="Segoe UI"/>
          <w:sz w:val="20"/>
        </w:rPr>
        <w:lastRenderedPageBreak/>
        <w:t>These appendices provide additional information and should be read in conjunction with the Strategy to Prevent and Minimise Gambling Harm 2025</w:t>
      </w:r>
      <w:r w:rsidR="009D26C2" w:rsidRPr="52103CC6">
        <w:rPr>
          <w:rFonts w:cs="Segoe UI"/>
          <w:sz w:val="20"/>
        </w:rPr>
        <w:t>/</w:t>
      </w:r>
      <w:r w:rsidRPr="52103CC6">
        <w:rPr>
          <w:rFonts w:cs="Segoe UI"/>
          <w:sz w:val="20"/>
        </w:rPr>
        <w:t>26 to 2027/28</w:t>
      </w:r>
      <w:r w:rsidR="004C7DE7" w:rsidRPr="52103CC6">
        <w:rPr>
          <w:rFonts w:cs="Segoe UI"/>
          <w:sz w:val="20"/>
        </w:rPr>
        <w:t>.</w:t>
      </w:r>
    </w:p>
    <w:p w14:paraId="358CE3BA" w14:textId="461D6673"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EF0587">
        <w:rPr>
          <w:rFonts w:cs="Segoe UI"/>
        </w:rPr>
        <w:t>2025</w:t>
      </w:r>
      <w:r w:rsidR="00835945">
        <w:rPr>
          <w:rFonts w:cs="Segoe UI"/>
        </w:rPr>
        <w:t>.</w:t>
      </w:r>
      <w:r w:rsidR="00442C1C" w:rsidRPr="00C05132">
        <w:rPr>
          <w:rFonts w:cs="Segoe UI"/>
        </w:rPr>
        <w:t xml:space="preserve"> </w:t>
      </w:r>
      <w:r w:rsidR="006B4A33" w:rsidRPr="006B4A33">
        <w:rPr>
          <w:rFonts w:cs="Segoe UI"/>
          <w:i/>
          <w:iCs/>
        </w:rPr>
        <w:t>Appendices:</w:t>
      </w:r>
      <w:r w:rsidR="006B4A33">
        <w:rPr>
          <w:rFonts w:cs="Segoe UI"/>
        </w:rPr>
        <w:t xml:space="preserve"> </w:t>
      </w:r>
      <w:r w:rsidR="00835945" w:rsidRPr="00835945">
        <w:rPr>
          <w:rFonts w:cs="Segoe UI"/>
          <w:i/>
        </w:rPr>
        <w:t>Strategy to Prevent and Minimise Gambling Harm 2025/26 to 2027/28</w:t>
      </w:r>
      <w:r w:rsidR="00442C1C" w:rsidRPr="00C05132">
        <w:rPr>
          <w:rFonts w:cs="Segoe UI"/>
        </w:rPr>
        <w:t>. Wellington: Ministry of Health.</w:t>
      </w:r>
    </w:p>
    <w:p w14:paraId="7909192E" w14:textId="75253FC2" w:rsidR="00C86248" w:rsidRDefault="00C86248">
      <w:pPr>
        <w:pStyle w:val="Imprint"/>
      </w:pPr>
      <w:r>
        <w:t xml:space="preserve">Published in </w:t>
      </w:r>
      <w:r w:rsidR="00CB4A13" w:rsidRPr="003E344F">
        <w:t>May</w:t>
      </w:r>
      <w:r w:rsidR="00835945" w:rsidRPr="003E344F">
        <w:t xml:space="preserve"> </w:t>
      </w:r>
      <w:r w:rsidR="009016AD" w:rsidRPr="003E344F">
        <w:t>2025</w:t>
      </w:r>
      <w:r w:rsidR="009016AD">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2C6B1EFE" w:rsidR="00082CD6" w:rsidRPr="00DD6373" w:rsidRDefault="00082CD6" w:rsidP="52103CC6">
      <w:pPr>
        <w:rPr>
          <w:sz w:val="20"/>
          <w:highlight w:val="yellow"/>
        </w:rPr>
      </w:pPr>
      <w:r w:rsidRPr="00DD6373">
        <w:rPr>
          <w:sz w:val="20"/>
        </w:rPr>
        <w:t xml:space="preserve">HP </w:t>
      </w:r>
      <w:r w:rsidR="001C0A2D" w:rsidRPr="00DD6373">
        <w:rPr>
          <w:sz w:val="20"/>
        </w:rPr>
        <w:t>9126</w:t>
      </w:r>
    </w:p>
    <w:p w14:paraId="4FCD0B7C" w14:textId="77777777" w:rsidR="00583072" w:rsidRPr="004A3ED9" w:rsidRDefault="00583072" w:rsidP="004A3ED9">
      <w:pPr>
        <w:rPr>
          <w:rFonts w:ascii="Calibri" w:hAnsi="Calibri"/>
          <w:color w:val="000000"/>
          <w:sz w:val="22"/>
          <w:lang w:eastAsia="en-NZ"/>
        </w:rPr>
      </w:pPr>
    </w:p>
    <w:p w14:paraId="48DBDA36" w14:textId="6503DA26" w:rsidR="00C86248" w:rsidRDefault="00235C06" w:rsidP="00A63DFF">
      <w:r w:rsidRPr="003D7765">
        <w:rPr>
          <w:noProof/>
        </w:rPr>
        <w:drawing>
          <wp:inline distT="0" distB="0" distL="0" distR="0" wp14:anchorId="5FD4BF24" wp14:editId="7FB5B206">
            <wp:extent cx="1216800" cy="494305"/>
            <wp:effectExtent l="0" t="0" r="2540" b="1270"/>
            <wp:docPr id="1472750415" name="Picture 1472750415"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0415" name="Picture 1472750415" descr="A blue and white sign with white text&#10;&#10;Description automatically generated"/>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216800" cy="494305"/>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52103CC6">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6331166A" w:rsidR="00A63DFF" w:rsidRPr="00A63DFF" w:rsidRDefault="00A63DFF" w:rsidP="52103CC6">
            <w:pPr>
              <w:rPr>
                <w:rFonts w:cs="Segoe UI"/>
                <w:sz w:val="15"/>
                <w:szCs w:val="15"/>
              </w:rPr>
            </w:pPr>
            <w:r w:rsidRPr="52103CC6">
              <w:rPr>
                <w:rFonts w:cs="Segoe UI"/>
                <w:sz w:val="15"/>
                <w:szCs w:val="15"/>
              </w:rPr>
              <w:t xml:space="preserve">This work is licensed under the Creative Commons Attribution 4.0 International licence. In essence, you are free to: share </w:t>
            </w:r>
            <w:r w:rsidR="00BE3CDD" w:rsidRPr="52103CC6">
              <w:rPr>
                <w:rFonts w:cs="Segoe UI"/>
                <w:sz w:val="15"/>
                <w:szCs w:val="15"/>
              </w:rPr>
              <w:t>i.e.</w:t>
            </w:r>
            <w:r w:rsidRPr="52103CC6">
              <w:rPr>
                <w:rFonts w:cs="Segoe UI"/>
                <w:sz w:val="15"/>
                <w:szCs w:val="15"/>
              </w:rPr>
              <w:t xml:space="preserve">, copy and redistribute the material in any medium or format; adapt </w:t>
            </w:r>
            <w:r w:rsidR="00BE3CDD" w:rsidRPr="52103CC6">
              <w:rPr>
                <w:rFonts w:cs="Segoe UI"/>
                <w:sz w:val="15"/>
                <w:szCs w:val="15"/>
              </w:rPr>
              <w:t>i.e.</w:t>
            </w:r>
            <w:r w:rsidRPr="52103CC6">
              <w:rPr>
                <w:rFonts w:cs="Segoe UI"/>
                <w:sz w:val="15"/>
                <w:szCs w:val="15"/>
              </w:rPr>
              <w:t>, remix, transform and build upon the material. 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headerReference w:type="even" r:id="rId18"/>
          <w:footerReference w:type="even" r:id="rId19"/>
          <w:footerReference w:type="default" r:id="rId20"/>
          <w:pgSz w:w="11907" w:h="16834" w:code="9"/>
          <w:pgMar w:top="1701" w:right="2268" w:bottom="1134" w:left="2268" w:header="0" w:footer="0" w:gutter="0"/>
          <w:cols w:space="720"/>
          <w:vAlign w:val="bottom"/>
        </w:sectPr>
      </w:pPr>
    </w:p>
    <w:p w14:paraId="648D4F84" w14:textId="4A32FE51" w:rsidR="00C86248" w:rsidRDefault="00C86248" w:rsidP="00172194">
      <w:pPr>
        <w:pStyle w:val="IntroHead"/>
      </w:pPr>
      <w:bookmarkStart w:id="0" w:name="_Toc405792991"/>
      <w:bookmarkStart w:id="1" w:name="_Toc405793224"/>
      <w:r>
        <w:lastRenderedPageBreak/>
        <w:t>Contents</w:t>
      </w:r>
      <w:bookmarkEnd w:id="0"/>
      <w:bookmarkEnd w:id="1"/>
    </w:p>
    <w:p w14:paraId="112B09C3" w14:textId="49DCFBA9" w:rsidR="005A02AA" w:rsidRDefault="0089731B">
      <w:pPr>
        <w:pStyle w:val="TOC1"/>
        <w:rPr>
          <w:rFonts w:asciiTheme="minorHAnsi" w:eastAsiaTheme="minorEastAsia" w:hAnsiTheme="minorHAnsi" w:cstheme="minorBidi"/>
          <w:noProof/>
          <w:sz w:val="22"/>
          <w:szCs w:val="22"/>
          <w:lang w:val="en-AU" w:eastAsia="en-AU"/>
        </w:rPr>
      </w:pPr>
      <w:r>
        <w:rPr>
          <w:b/>
        </w:rPr>
        <w:fldChar w:fldCharType="begin"/>
      </w:r>
      <w:r>
        <w:rPr>
          <w:b/>
        </w:rPr>
        <w:instrText xml:space="preserve"> TOC \o "1-2" \h \z </w:instrText>
      </w:r>
      <w:r>
        <w:rPr>
          <w:b/>
        </w:rPr>
        <w:fldChar w:fldCharType="separate"/>
      </w:r>
      <w:hyperlink w:anchor="_Toc197534182" w:history="1">
        <w:r w:rsidR="005A02AA" w:rsidRPr="004D7E8B">
          <w:rPr>
            <w:rStyle w:val="Hyperlink"/>
            <w:noProof/>
          </w:rPr>
          <w:t>Appendix One: Further detail about gambling in New Zealand</w:t>
        </w:r>
        <w:r w:rsidR="005A02AA">
          <w:rPr>
            <w:noProof/>
            <w:webHidden/>
          </w:rPr>
          <w:tab/>
        </w:r>
        <w:r w:rsidR="005A02AA">
          <w:rPr>
            <w:noProof/>
            <w:webHidden/>
          </w:rPr>
          <w:fldChar w:fldCharType="begin"/>
        </w:r>
        <w:r w:rsidR="005A02AA">
          <w:rPr>
            <w:noProof/>
            <w:webHidden/>
          </w:rPr>
          <w:instrText xml:space="preserve"> PAGEREF _Toc197534182 \h </w:instrText>
        </w:r>
        <w:r w:rsidR="005A02AA">
          <w:rPr>
            <w:noProof/>
            <w:webHidden/>
          </w:rPr>
        </w:r>
        <w:r w:rsidR="005A02AA">
          <w:rPr>
            <w:noProof/>
            <w:webHidden/>
          </w:rPr>
          <w:fldChar w:fldCharType="separate"/>
        </w:r>
        <w:r w:rsidR="004C6C7B">
          <w:rPr>
            <w:noProof/>
            <w:webHidden/>
          </w:rPr>
          <w:t>1</w:t>
        </w:r>
        <w:r w:rsidR="005A02AA">
          <w:rPr>
            <w:noProof/>
            <w:webHidden/>
          </w:rPr>
          <w:fldChar w:fldCharType="end"/>
        </w:r>
      </w:hyperlink>
    </w:p>
    <w:p w14:paraId="3B22427A" w14:textId="229D3D6D" w:rsidR="005A02AA" w:rsidRDefault="00D60679">
      <w:pPr>
        <w:pStyle w:val="TOC2"/>
        <w:rPr>
          <w:rFonts w:asciiTheme="minorHAnsi" w:eastAsiaTheme="minorEastAsia" w:hAnsiTheme="minorHAnsi" w:cstheme="minorBidi"/>
          <w:noProof/>
          <w:szCs w:val="22"/>
          <w:lang w:val="en-AU" w:eastAsia="en-AU"/>
        </w:rPr>
      </w:pPr>
      <w:hyperlink w:anchor="_Toc197534183" w:history="1">
        <w:r w:rsidR="005A02AA" w:rsidRPr="004D7E8B">
          <w:rPr>
            <w:rStyle w:val="Hyperlink"/>
            <w:noProof/>
          </w:rPr>
          <w:t>Legislation</w:t>
        </w:r>
        <w:r w:rsidR="005A02AA">
          <w:rPr>
            <w:noProof/>
            <w:webHidden/>
          </w:rPr>
          <w:tab/>
        </w:r>
        <w:r w:rsidR="005A02AA">
          <w:rPr>
            <w:noProof/>
            <w:webHidden/>
          </w:rPr>
          <w:fldChar w:fldCharType="begin"/>
        </w:r>
        <w:r w:rsidR="005A02AA">
          <w:rPr>
            <w:noProof/>
            <w:webHidden/>
          </w:rPr>
          <w:instrText xml:space="preserve"> PAGEREF _Toc197534183 \h </w:instrText>
        </w:r>
        <w:r w:rsidR="005A02AA">
          <w:rPr>
            <w:noProof/>
            <w:webHidden/>
          </w:rPr>
        </w:r>
        <w:r w:rsidR="005A02AA">
          <w:rPr>
            <w:noProof/>
            <w:webHidden/>
          </w:rPr>
          <w:fldChar w:fldCharType="separate"/>
        </w:r>
        <w:r w:rsidR="004C6C7B">
          <w:rPr>
            <w:noProof/>
            <w:webHidden/>
          </w:rPr>
          <w:t>1</w:t>
        </w:r>
        <w:r w:rsidR="005A02AA">
          <w:rPr>
            <w:noProof/>
            <w:webHidden/>
          </w:rPr>
          <w:fldChar w:fldCharType="end"/>
        </w:r>
      </w:hyperlink>
    </w:p>
    <w:p w14:paraId="2C5D047C" w14:textId="0AB7B158" w:rsidR="005A02AA" w:rsidRDefault="00D60679">
      <w:pPr>
        <w:pStyle w:val="TOC2"/>
        <w:rPr>
          <w:rFonts w:asciiTheme="minorHAnsi" w:eastAsiaTheme="minorEastAsia" w:hAnsiTheme="minorHAnsi" w:cstheme="minorBidi"/>
          <w:noProof/>
          <w:szCs w:val="22"/>
          <w:lang w:val="en-AU" w:eastAsia="en-AU"/>
        </w:rPr>
      </w:pPr>
      <w:hyperlink w:anchor="_Toc197534184" w:history="1">
        <w:r w:rsidR="005A02AA" w:rsidRPr="004D7E8B">
          <w:rPr>
            <w:rStyle w:val="Hyperlink"/>
            <w:noProof/>
          </w:rPr>
          <w:t>Types of gambling</w:t>
        </w:r>
        <w:r w:rsidR="005A02AA">
          <w:rPr>
            <w:noProof/>
            <w:webHidden/>
          </w:rPr>
          <w:tab/>
        </w:r>
        <w:r w:rsidR="005A02AA">
          <w:rPr>
            <w:noProof/>
            <w:webHidden/>
          </w:rPr>
          <w:fldChar w:fldCharType="begin"/>
        </w:r>
        <w:r w:rsidR="005A02AA">
          <w:rPr>
            <w:noProof/>
            <w:webHidden/>
          </w:rPr>
          <w:instrText xml:space="preserve"> PAGEREF _Toc197534184 \h </w:instrText>
        </w:r>
        <w:r w:rsidR="005A02AA">
          <w:rPr>
            <w:noProof/>
            <w:webHidden/>
          </w:rPr>
        </w:r>
        <w:r w:rsidR="005A02AA">
          <w:rPr>
            <w:noProof/>
            <w:webHidden/>
          </w:rPr>
          <w:fldChar w:fldCharType="separate"/>
        </w:r>
        <w:r w:rsidR="004C6C7B">
          <w:rPr>
            <w:noProof/>
            <w:webHidden/>
          </w:rPr>
          <w:t>2</w:t>
        </w:r>
        <w:r w:rsidR="005A02AA">
          <w:rPr>
            <w:noProof/>
            <w:webHidden/>
          </w:rPr>
          <w:fldChar w:fldCharType="end"/>
        </w:r>
      </w:hyperlink>
    </w:p>
    <w:p w14:paraId="0781CB70" w14:textId="63DBE30A" w:rsidR="005A02AA" w:rsidRDefault="00D60679">
      <w:pPr>
        <w:pStyle w:val="TOC2"/>
        <w:rPr>
          <w:rFonts w:asciiTheme="minorHAnsi" w:eastAsiaTheme="minorEastAsia" w:hAnsiTheme="minorHAnsi" w:cstheme="minorBidi"/>
          <w:noProof/>
          <w:szCs w:val="22"/>
          <w:lang w:val="en-AU" w:eastAsia="en-AU"/>
        </w:rPr>
      </w:pPr>
      <w:hyperlink w:anchor="_Toc197534185" w:history="1">
        <w:r w:rsidR="005A02AA" w:rsidRPr="004D7E8B">
          <w:rPr>
            <w:rStyle w:val="Hyperlink"/>
            <w:noProof/>
          </w:rPr>
          <w:t>Participation in different gambling activities</w:t>
        </w:r>
        <w:r w:rsidR="005A02AA">
          <w:rPr>
            <w:noProof/>
            <w:webHidden/>
          </w:rPr>
          <w:tab/>
        </w:r>
        <w:r w:rsidR="005A02AA">
          <w:rPr>
            <w:noProof/>
            <w:webHidden/>
          </w:rPr>
          <w:fldChar w:fldCharType="begin"/>
        </w:r>
        <w:r w:rsidR="005A02AA">
          <w:rPr>
            <w:noProof/>
            <w:webHidden/>
          </w:rPr>
          <w:instrText xml:space="preserve"> PAGEREF _Toc197534185 \h </w:instrText>
        </w:r>
        <w:r w:rsidR="005A02AA">
          <w:rPr>
            <w:noProof/>
            <w:webHidden/>
          </w:rPr>
        </w:r>
        <w:r w:rsidR="005A02AA">
          <w:rPr>
            <w:noProof/>
            <w:webHidden/>
          </w:rPr>
          <w:fldChar w:fldCharType="separate"/>
        </w:r>
        <w:r w:rsidR="004C6C7B">
          <w:rPr>
            <w:noProof/>
            <w:webHidden/>
          </w:rPr>
          <w:t>4</w:t>
        </w:r>
        <w:r w:rsidR="005A02AA">
          <w:rPr>
            <w:noProof/>
            <w:webHidden/>
          </w:rPr>
          <w:fldChar w:fldCharType="end"/>
        </w:r>
      </w:hyperlink>
    </w:p>
    <w:p w14:paraId="1966389E" w14:textId="2DB8CD42" w:rsidR="005A02AA" w:rsidRDefault="00D60679">
      <w:pPr>
        <w:pStyle w:val="TOC2"/>
        <w:rPr>
          <w:rFonts w:asciiTheme="minorHAnsi" w:eastAsiaTheme="minorEastAsia" w:hAnsiTheme="minorHAnsi" w:cstheme="minorBidi"/>
          <w:noProof/>
          <w:szCs w:val="22"/>
          <w:lang w:val="en-AU" w:eastAsia="en-AU"/>
        </w:rPr>
      </w:pPr>
      <w:hyperlink w:anchor="_Toc197534186" w:history="1">
        <w:r w:rsidR="005A02AA" w:rsidRPr="004D7E8B">
          <w:rPr>
            <w:rStyle w:val="Hyperlink"/>
            <w:noProof/>
          </w:rPr>
          <w:t>Expenditure (net player losses)</w:t>
        </w:r>
        <w:r w:rsidR="005A02AA">
          <w:rPr>
            <w:noProof/>
            <w:webHidden/>
          </w:rPr>
          <w:tab/>
        </w:r>
        <w:r w:rsidR="005A02AA">
          <w:rPr>
            <w:noProof/>
            <w:webHidden/>
          </w:rPr>
          <w:fldChar w:fldCharType="begin"/>
        </w:r>
        <w:r w:rsidR="005A02AA">
          <w:rPr>
            <w:noProof/>
            <w:webHidden/>
          </w:rPr>
          <w:instrText xml:space="preserve"> PAGEREF _Toc197534186 \h </w:instrText>
        </w:r>
        <w:r w:rsidR="005A02AA">
          <w:rPr>
            <w:noProof/>
            <w:webHidden/>
          </w:rPr>
        </w:r>
        <w:r w:rsidR="005A02AA">
          <w:rPr>
            <w:noProof/>
            <w:webHidden/>
          </w:rPr>
          <w:fldChar w:fldCharType="separate"/>
        </w:r>
        <w:r w:rsidR="004C6C7B">
          <w:rPr>
            <w:noProof/>
            <w:webHidden/>
          </w:rPr>
          <w:t>5</w:t>
        </w:r>
        <w:r w:rsidR="005A02AA">
          <w:rPr>
            <w:noProof/>
            <w:webHidden/>
          </w:rPr>
          <w:fldChar w:fldCharType="end"/>
        </w:r>
      </w:hyperlink>
    </w:p>
    <w:p w14:paraId="0196D055" w14:textId="1782090B" w:rsidR="005A02AA" w:rsidRDefault="00D60679">
      <w:pPr>
        <w:pStyle w:val="TOC2"/>
        <w:rPr>
          <w:rFonts w:asciiTheme="minorHAnsi" w:eastAsiaTheme="minorEastAsia" w:hAnsiTheme="minorHAnsi" w:cstheme="minorBidi"/>
          <w:noProof/>
          <w:szCs w:val="22"/>
          <w:lang w:val="en-AU" w:eastAsia="en-AU"/>
        </w:rPr>
      </w:pPr>
      <w:hyperlink w:anchor="_Toc197534187" w:history="1">
        <w:r w:rsidR="005A02AA" w:rsidRPr="004D7E8B">
          <w:rPr>
            <w:rStyle w:val="Hyperlink"/>
            <w:noProof/>
          </w:rPr>
          <w:t>The effects of gambling on people and communities</w:t>
        </w:r>
        <w:r w:rsidR="005A02AA">
          <w:rPr>
            <w:noProof/>
            <w:webHidden/>
          </w:rPr>
          <w:tab/>
        </w:r>
        <w:r w:rsidR="005A02AA">
          <w:rPr>
            <w:noProof/>
            <w:webHidden/>
          </w:rPr>
          <w:fldChar w:fldCharType="begin"/>
        </w:r>
        <w:r w:rsidR="005A02AA">
          <w:rPr>
            <w:noProof/>
            <w:webHidden/>
          </w:rPr>
          <w:instrText xml:space="preserve"> PAGEREF _Toc197534187 \h </w:instrText>
        </w:r>
        <w:r w:rsidR="005A02AA">
          <w:rPr>
            <w:noProof/>
            <w:webHidden/>
          </w:rPr>
        </w:r>
        <w:r w:rsidR="005A02AA">
          <w:rPr>
            <w:noProof/>
            <w:webHidden/>
          </w:rPr>
          <w:fldChar w:fldCharType="separate"/>
        </w:r>
        <w:r w:rsidR="004C6C7B">
          <w:rPr>
            <w:noProof/>
            <w:webHidden/>
          </w:rPr>
          <w:t>6</w:t>
        </w:r>
        <w:r w:rsidR="005A02AA">
          <w:rPr>
            <w:noProof/>
            <w:webHidden/>
          </w:rPr>
          <w:fldChar w:fldCharType="end"/>
        </w:r>
      </w:hyperlink>
    </w:p>
    <w:p w14:paraId="11C2F292" w14:textId="419C07D7" w:rsidR="005A02AA" w:rsidRDefault="00D60679">
      <w:pPr>
        <w:pStyle w:val="TOC1"/>
        <w:rPr>
          <w:rFonts w:asciiTheme="minorHAnsi" w:eastAsiaTheme="minorEastAsia" w:hAnsiTheme="minorHAnsi" w:cstheme="minorBidi"/>
          <w:noProof/>
          <w:sz w:val="22"/>
          <w:szCs w:val="22"/>
          <w:lang w:val="en-AU" w:eastAsia="en-AU"/>
        </w:rPr>
      </w:pPr>
      <w:hyperlink w:anchor="_Toc197534188" w:history="1">
        <w:r w:rsidR="005A02AA" w:rsidRPr="004D7E8B">
          <w:rPr>
            <w:rStyle w:val="Hyperlink"/>
            <w:noProof/>
          </w:rPr>
          <w:t>Appendix Two: Roles and responsibilities</w:t>
        </w:r>
        <w:r w:rsidR="005A02AA">
          <w:rPr>
            <w:noProof/>
            <w:webHidden/>
          </w:rPr>
          <w:tab/>
        </w:r>
        <w:r w:rsidR="005A02AA">
          <w:rPr>
            <w:noProof/>
            <w:webHidden/>
          </w:rPr>
          <w:fldChar w:fldCharType="begin"/>
        </w:r>
        <w:r w:rsidR="005A02AA">
          <w:rPr>
            <w:noProof/>
            <w:webHidden/>
          </w:rPr>
          <w:instrText xml:space="preserve"> PAGEREF _Toc197534188 \h </w:instrText>
        </w:r>
        <w:r w:rsidR="005A02AA">
          <w:rPr>
            <w:noProof/>
            <w:webHidden/>
          </w:rPr>
        </w:r>
        <w:r w:rsidR="005A02AA">
          <w:rPr>
            <w:noProof/>
            <w:webHidden/>
          </w:rPr>
          <w:fldChar w:fldCharType="separate"/>
        </w:r>
        <w:r w:rsidR="004C6C7B">
          <w:rPr>
            <w:noProof/>
            <w:webHidden/>
          </w:rPr>
          <w:t>13</w:t>
        </w:r>
        <w:r w:rsidR="005A02AA">
          <w:rPr>
            <w:noProof/>
            <w:webHidden/>
          </w:rPr>
          <w:fldChar w:fldCharType="end"/>
        </w:r>
      </w:hyperlink>
    </w:p>
    <w:p w14:paraId="7EE08C86" w14:textId="16A659E7" w:rsidR="005A02AA" w:rsidRDefault="00D60679">
      <w:pPr>
        <w:pStyle w:val="TOC2"/>
        <w:rPr>
          <w:rFonts w:asciiTheme="minorHAnsi" w:eastAsiaTheme="minorEastAsia" w:hAnsiTheme="minorHAnsi" w:cstheme="minorBidi"/>
          <w:noProof/>
          <w:szCs w:val="22"/>
          <w:lang w:val="en-AU" w:eastAsia="en-AU"/>
        </w:rPr>
      </w:pPr>
      <w:hyperlink w:anchor="_Toc197534189" w:history="1">
        <w:r w:rsidR="005A02AA" w:rsidRPr="004D7E8B">
          <w:rPr>
            <w:rStyle w:val="Hyperlink"/>
            <w:noProof/>
          </w:rPr>
          <w:t>The Ministry of Health | Manatū Hauora</w:t>
        </w:r>
        <w:r w:rsidR="005A02AA">
          <w:rPr>
            <w:noProof/>
            <w:webHidden/>
          </w:rPr>
          <w:tab/>
        </w:r>
        <w:r w:rsidR="005A02AA">
          <w:rPr>
            <w:noProof/>
            <w:webHidden/>
          </w:rPr>
          <w:fldChar w:fldCharType="begin"/>
        </w:r>
        <w:r w:rsidR="005A02AA">
          <w:rPr>
            <w:noProof/>
            <w:webHidden/>
          </w:rPr>
          <w:instrText xml:space="preserve"> PAGEREF _Toc197534189 \h </w:instrText>
        </w:r>
        <w:r w:rsidR="005A02AA">
          <w:rPr>
            <w:noProof/>
            <w:webHidden/>
          </w:rPr>
        </w:r>
        <w:r w:rsidR="005A02AA">
          <w:rPr>
            <w:noProof/>
            <w:webHidden/>
          </w:rPr>
          <w:fldChar w:fldCharType="separate"/>
        </w:r>
        <w:r w:rsidR="004C6C7B">
          <w:rPr>
            <w:noProof/>
            <w:webHidden/>
          </w:rPr>
          <w:t>13</w:t>
        </w:r>
        <w:r w:rsidR="005A02AA">
          <w:rPr>
            <w:noProof/>
            <w:webHidden/>
          </w:rPr>
          <w:fldChar w:fldCharType="end"/>
        </w:r>
      </w:hyperlink>
    </w:p>
    <w:p w14:paraId="077BF2F2" w14:textId="01B17636" w:rsidR="005A02AA" w:rsidRDefault="00D60679">
      <w:pPr>
        <w:pStyle w:val="TOC2"/>
        <w:rPr>
          <w:rFonts w:asciiTheme="minorHAnsi" w:eastAsiaTheme="minorEastAsia" w:hAnsiTheme="minorHAnsi" w:cstheme="minorBidi"/>
          <w:noProof/>
          <w:szCs w:val="22"/>
          <w:lang w:val="en-AU" w:eastAsia="en-AU"/>
        </w:rPr>
      </w:pPr>
      <w:hyperlink w:anchor="_Toc197534190" w:history="1">
        <w:r w:rsidR="005A02AA" w:rsidRPr="004D7E8B">
          <w:rPr>
            <w:rStyle w:val="Hyperlink"/>
            <w:noProof/>
          </w:rPr>
          <w:t>Health New Zealand | Te Whatu Ora</w:t>
        </w:r>
        <w:r w:rsidR="005A02AA">
          <w:rPr>
            <w:noProof/>
            <w:webHidden/>
          </w:rPr>
          <w:tab/>
        </w:r>
        <w:r w:rsidR="005A02AA">
          <w:rPr>
            <w:noProof/>
            <w:webHidden/>
          </w:rPr>
          <w:fldChar w:fldCharType="begin"/>
        </w:r>
        <w:r w:rsidR="005A02AA">
          <w:rPr>
            <w:noProof/>
            <w:webHidden/>
          </w:rPr>
          <w:instrText xml:space="preserve"> PAGEREF _Toc197534190 \h </w:instrText>
        </w:r>
        <w:r w:rsidR="005A02AA">
          <w:rPr>
            <w:noProof/>
            <w:webHidden/>
          </w:rPr>
        </w:r>
        <w:r w:rsidR="005A02AA">
          <w:rPr>
            <w:noProof/>
            <w:webHidden/>
          </w:rPr>
          <w:fldChar w:fldCharType="separate"/>
        </w:r>
        <w:r w:rsidR="004C6C7B">
          <w:rPr>
            <w:noProof/>
            <w:webHidden/>
          </w:rPr>
          <w:t>13</w:t>
        </w:r>
        <w:r w:rsidR="005A02AA">
          <w:rPr>
            <w:noProof/>
            <w:webHidden/>
          </w:rPr>
          <w:fldChar w:fldCharType="end"/>
        </w:r>
      </w:hyperlink>
    </w:p>
    <w:p w14:paraId="3923EC54" w14:textId="6992D6A2" w:rsidR="005A02AA" w:rsidRDefault="00D60679">
      <w:pPr>
        <w:pStyle w:val="TOC2"/>
        <w:rPr>
          <w:rFonts w:asciiTheme="minorHAnsi" w:eastAsiaTheme="minorEastAsia" w:hAnsiTheme="minorHAnsi" w:cstheme="minorBidi"/>
          <w:noProof/>
          <w:szCs w:val="22"/>
          <w:lang w:val="en-AU" w:eastAsia="en-AU"/>
        </w:rPr>
      </w:pPr>
      <w:hyperlink w:anchor="_Toc197534191" w:history="1">
        <w:r w:rsidR="005A02AA" w:rsidRPr="004D7E8B">
          <w:rPr>
            <w:rStyle w:val="Hyperlink"/>
            <w:noProof/>
          </w:rPr>
          <w:t>Department of Internal Affairs</w:t>
        </w:r>
        <w:r w:rsidR="005A02AA">
          <w:rPr>
            <w:noProof/>
            <w:webHidden/>
          </w:rPr>
          <w:tab/>
        </w:r>
        <w:r w:rsidR="005A02AA">
          <w:rPr>
            <w:noProof/>
            <w:webHidden/>
          </w:rPr>
          <w:fldChar w:fldCharType="begin"/>
        </w:r>
        <w:r w:rsidR="005A02AA">
          <w:rPr>
            <w:noProof/>
            <w:webHidden/>
          </w:rPr>
          <w:instrText xml:space="preserve"> PAGEREF _Toc197534191 \h </w:instrText>
        </w:r>
        <w:r w:rsidR="005A02AA">
          <w:rPr>
            <w:noProof/>
            <w:webHidden/>
          </w:rPr>
        </w:r>
        <w:r w:rsidR="005A02AA">
          <w:rPr>
            <w:noProof/>
            <w:webHidden/>
          </w:rPr>
          <w:fldChar w:fldCharType="separate"/>
        </w:r>
        <w:r w:rsidR="004C6C7B">
          <w:rPr>
            <w:noProof/>
            <w:webHidden/>
          </w:rPr>
          <w:t>13</w:t>
        </w:r>
        <w:r w:rsidR="005A02AA">
          <w:rPr>
            <w:noProof/>
            <w:webHidden/>
          </w:rPr>
          <w:fldChar w:fldCharType="end"/>
        </w:r>
      </w:hyperlink>
    </w:p>
    <w:p w14:paraId="322E381F" w14:textId="74243602" w:rsidR="005A02AA" w:rsidRDefault="00D60679">
      <w:pPr>
        <w:pStyle w:val="TOC2"/>
        <w:rPr>
          <w:rFonts w:asciiTheme="minorHAnsi" w:eastAsiaTheme="minorEastAsia" w:hAnsiTheme="minorHAnsi" w:cstheme="minorBidi"/>
          <w:noProof/>
          <w:szCs w:val="22"/>
          <w:lang w:val="en-AU" w:eastAsia="en-AU"/>
        </w:rPr>
      </w:pPr>
      <w:hyperlink w:anchor="_Toc197534192" w:history="1">
        <w:r w:rsidR="005A02AA" w:rsidRPr="004D7E8B">
          <w:rPr>
            <w:rStyle w:val="Hyperlink"/>
            <w:noProof/>
          </w:rPr>
          <w:t>Territorial authorities</w:t>
        </w:r>
        <w:r w:rsidR="005A02AA">
          <w:rPr>
            <w:noProof/>
            <w:webHidden/>
          </w:rPr>
          <w:tab/>
        </w:r>
        <w:r w:rsidR="005A02AA">
          <w:rPr>
            <w:noProof/>
            <w:webHidden/>
          </w:rPr>
          <w:fldChar w:fldCharType="begin"/>
        </w:r>
        <w:r w:rsidR="005A02AA">
          <w:rPr>
            <w:noProof/>
            <w:webHidden/>
          </w:rPr>
          <w:instrText xml:space="preserve"> PAGEREF _Toc197534192 \h </w:instrText>
        </w:r>
        <w:r w:rsidR="005A02AA">
          <w:rPr>
            <w:noProof/>
            <w:webHidden/>
          </w:rPr>
        </w:r>
        <w:r w:rsidR="005A02AA">
          <w:rPr>
            <w:noProof/>
            <w:webHidden/>
          </w:rPr>
          <w:fldChar w:fldCharType="separate"/>
        </w:r>
        <w:r w:rsidR="004C6C7B">
          <w:rPr>
            <w:noProof/>
            <w:webHidden/>
          </w:rPr>
          <w:t>15</w:t>
        </w:r>
        <w:r w:rsidR="005A02AA">
          <w:rPr>
            <w:noProof/>
            <w:webHidden/>
          </w:rPr>
          <w:fldChar w:fldCharType="end"/>
        </w:r>
      </w:hyperlink>
    </w:p>
    <w:p w14:paraId="322BBC6D" w14:textId="1D6BABDD" w:rsidR="005A02AA" w:rsidRDefault="00D60679">
      <w:pPr>
        <w:pStyle w:val="TOC2"/>
        <w:rPr>
          <w:rFonts w:asciiTheme="minorHAnsi" w:eastAsiaTheme="minorEastAsia" w:hAnsiTheme="minorHAnsi" w:cstheme="minorBidi"/>
          <w:noProof/>
          <w:szCs w:val="22"/>
          <w:lang w:val="en-AU" w:eastAsia="en-AU"/>
        </w:rPr>
      </w:pPr>
      <w:hyperlink w:anchor="_Toc197534193" w:history="1">
        <w:r w:rsidR="005A02AA" w:rsidRPr="004D7E8B">
          <w:rPr>
            <w:rStyle w:val="Hyperlink"/>
            <w:noProof/>
          </w:rPr>
          <w:t>Gambling Commission</w:t>
        </w:r>
        <w:r w:rsidR="005A02AA">
          <w:rPr>
            <w:noProof/>
            <w:webHidden/>
          </w:rPr>
          <w:tab/>
        </w:r>
        <w:r w:rsidR="005A02AA">
          <w:rPr>
            <w:noProof/>
            <w:webHidden/>
          </w:rPr>
          <w:fldChar w:fldCharType="begin"/>
        </w:r>
        <w:r w:rsidR="005A02AA">
          <w:rPr>
            <w:noProof/>
            <w:webHidden/>
          </w:rPr>
          <w:instrText xml:space="preserve"> PAGEREF _Toc197534193 \h </w:instrText>
        </w:r>
        <w:r w:rsidR="005A02AA">
          <w:rPr>
            <w:noProof/>
            <w:webHidden/>
          </w:rPr>
        </w:r>
        <w:r w:rsidR="005A02AA">
          <w:rPr>
            <w:noProof/>
            <w:webHidden/>
          </w:rPr>
          <w:fldChar w:fldCharType="separate"/>
        </w:r>
        <w:r w:rsidR="004C6C7B">
          <w:rPr>
            <w:noProof/>
            <w:webHidden/>
          </w:rPr>
          <w:t>15</w:t>
        </w:r>
        <w:r w:rsidR="005A02AA">
          <w:rPr>
            <w:noProof/>
            <w:webHidden/>
          </w:rPr>
          <w:fldChar w:fldCharType="end"/>
        </w:r>
      </w:hyperlink>
    </w:p>
    <w:p w14:paraId="52E88028" w14:textId="773DB0BD" w:rsidR="005A02AA" w:rsidRDefault="00D60679">
      <w:pPr>
        <w:pStyle w:val="TOC1"/>
        <w:rPr>
          <w:rFonts w:asciiTheme="minorHAnsi" w:eastAsiaTheme="minorEastAsia" w:hAnsiTheme="minorHAnsi" w:cstheme="minorBidi"/>
          <w:noProof/>
          <w:sz w:val="22"/>
          <w:szCs w:val="22"/>
          <w:lang w:val="en-AU" w:eastAsia="en-AU"/>
        </w:rPr>
      </w:pPr>
      <w:hyperlink w:anchor="_Toc197534194" w:history="1">
        <w:r w:rsidR="005A02AA" w:rsidRPr="004D7E8B">
          <w:rPr>
            <w:rStyle w:val="Hyperlink"/>
            <w:noProof/>
          </w:rPr>
          <w:t>Appendix Three: Public health approach and activity during 2022/23 – 2024/25</w:t>
        </w:r>
        <w:r w:rsidR="005A02AA">
          <w:rPr>
            <w:noProof/>
            <w:webHidden/>
          </w:rPr>
          <w:tab/>
        </w:r>
        <w:r w:rsidR="005A02AA">
          <w:rPr>
            <w:noProof/>
            <w:webHidden/>
          </w:rPr>
          <w:fldChar w:fldCharType="begin"/>
        </w:r>
        <w:r w:rsidR="005A02AA">
          <w:rPr>
            <w:noProof/>
            <w:webHidden/>
          </w:rPr>
          <w:instrText xml:space="preserve"> PAGEREF _Toc197534194 \h </w:instrText>
        </w:r>
        <w:r w:rsidR="005A02AA">
          <w:rPr>
            <w:noProof/>
            <w:webHidden/>
          </w:rPr>
        </w:r>
        <w:r w:rsidR="005A02AA">
          <w:rPr>
            <w:noProof/>
            <w:webHidden/>
          </w:rPr>
          <w:fldChar w:fldCharType="separate"/>
        </w:r>
        <w:r w:rsidR="004C6C7B">
          <w:rPr>
            <w:noProof/>
            <w:webHidden/>
          </w:rPr>
          <w:t>16</w:t>
        </w:r>
        <w:r w:rsidR="005A02AA">
          <w:rPr>
            <w:noProof/>
            <w:webHidden/>
          </w:rPr>
          <w:fldChar w:fldCharType="end"/>
        </w:r>
      </w:hyperlink>
    </w:p>
    <w:p w14:paraId="3C896136" w14:textId="11A878E8" w:rsidR="005A02AA" w:rsidRDefault="00D60679">
      <w:pPr>
        <w:pStyle w:val="TOC2"/>
        <w:rPr>
          <w:rFonts w:asciiTheme="minorHAnsi" w:eastAsiaTheme="minorEastAsia" w:hAnsiTheme="minorHAnsi" w:cstheme="minorBidi"/>
          <w:noProof/>
          <w:szCs w:val="22"/>
          <w:lang w:val="en-AU" w:eastAsia="en-AU"/>
        </w:rPr>
      </w:pPr>
      <w:hyperlink w:anchor="_Toc197534195" w:history="1">
        <w:r w:rsidR="005A02AA" w:rsidRPr="004D7E8B">
          <w:rPr>
            <w:rStyle w:val="Hyperlink"/>
            <w:noProof/>
          </w:rPr>
          <w:t>The public health approach to addressing gambling harm</w:t>
        </w:r>
        <w:r w:rsidR="005A02AA">
          <w:rPr>
            <w:noProof/>
            <w:webHidden/>
          </w:rPr>
          <w:tab/>
        </w:r>
        <w:r w:rsidR="005A02AA">
          <w:rPr>
            <w:noProof/>
            <w:webHidden/>
          </w:rPr>
          <w:fldChar w:fldCharType="begin"/>
        </w:r>
        <w:r w:rsidR="005A02AA">
          <w:rPr>
            <w:noProof/>
            <w:webHidden/>
          </w:rPr>
          <w:instrText xml:space="preserve"> PAGEREF _Toc197534195 \h </w:instrText>
        </w:r>
        <w:r w:rsidR="005A02AA">
          <w:rPr>
            <w:noProof/>
            <w:webHidden/>
          </w:rPr>
        </w:r>
        <w:r w:rsidR="005A02AA">
          <w:rPr>
            <w:noProof/>
            <w:webHidden/>
          </w:rPr>
          <w:fldChar w:fldCharType="separate"/>
        </w:r>
        <w:r w:rsidR="004C6C7B">
          <w:rPr>
            <w:noProof/>
            <w:webHidden/>
          </w:rPr>
          <w:t>16</w:t>
        </w:r>
        <w:r w:rsidR="005A02AA">
          <w:rPr>
            <w:noProof/>
            <w:webHidden/>
          </w:rPr>
          <w:fldChar w:fldCharType="end"/>
        </w:r>
      </w:hyperlink>
    </w:p>
    <w:p w14:paraId="7D6336EB" w14:textId="4CD67850" w:rsidR="005A02AA" w:rsidRDefault="00D60679">
      <w:pPr>
        <w:pStyle w:val="TOC2"/>
        <w:rPr>
          <w:rFonts w:asciiTheme="minorHAnsi" w:eastAsiaTheme="minorEastAsia" w:hAnsiTheme="minorHAnsi" w:cstheme="minorBidi"/>
          <w:noProof/>
          <w:szCs w:val="22"/>
          <w:lang w:val="en-AU" w:eastAsia="en-AU"/>
        </w:rPr>
      </w:pPr>
      <w:hyperlink w:anchor="_Toc197534196" w:history="1">
        <w:r w:rsidR="005A02AA" w:rsidRPr="004D7E8B">
          <w:rPr>
            <w:rStyle w:val="Hyperlink"/>
            <w:noProof/>
          </w:rPr>
          <w:t>Activity under the current Strategy 2022/23 to 2024/25</w:t>
        </w:r>
        <w:r w:rsidR="005A02AA">
          <w:rPr>
            <w:noProof/>
            <w:webHidden/>
          </w:rPr>
          <w:tab/>
        </w:r>
        <w:r w:rsidR="005A02AA">
          <w:rPr>
            <w:noProof/>
            <w:webHidden/>
          </w:rPr>
          <w:fldChar w:fldCharType="begin"/>
        </w:r>
        <w:r w:rsidR="005A02AA">
          <w:rPr>
            <w:noProof/>
            <w:webHidden/>
          </w:rPr>
          <w:instrText xml:space="preserve"> PAGEREF _Toc197534196 \h </w:instrText>
        </w:r>
        <w:r w:rsidR="005A02AA">
          <w:rPr>
            <w:noProof/>
            <w:webHidden/>
          </w:rPr>
        </w:r>
        <w:r w:rsidR="005A02AA">
          <w:rPr>
            <w:noProof/>
            <w:webHidden/>
          </w:rPr>
          <w:fldChar w:fldCharType="separate"/>
        </w:r>
        <w:r w:rsidR="004C6C7B">
          <w:rPr>
            <w:noProof/>
            <w:webHidden/>
          </w:rPr>
          <w:t>17</w:t>
        </w:r>
        <w:r w:rsidR="005A02AA">
          <w:rPr>
            <w:noProof/>
            <w:webHidden/>
          </w:rPr>
          <w:fldChar w:fldCharType="end"/>
        </w:r>
      </w:hyperlink>
    </w:p>
    <w:p w14:paraId="623EE18F" w14:textId="55B34890" w:rsidR="005A02AA" w:rsidRDefault="00D60679">
      <w:pPr>
        <w:pStyle w:val="TOC1"/>
        <w:rPr>
          <w:rFonts w:asciiTheme="minorHAnsi" w:eastAsiaTheme="minorEastAsia" w:hAnsiTheme="minorHAnsi" w:cstheme="minorBidi"/>
          <w:noProof/>
          <w:sz w:val="22"/>
          <w:szCs w:val="22"/>
          <w:lang w:val="en-AU" w:eastAsia="en-AU"/>
        </w:rPr>
      </w:pPr>
      <w:hyperlink w:anchor="_Toc197534197" w:history="1">
        <w:r w:rsidR="005A02AA" w:rsidRPr="004D7E8B">
          <w:rPr>
            <w:rStyle w:val="Hyperlink"/>
            <w:noProof/>
          </w:rPr>
          <w:t>Appendix Four: Further detail about the strategic framework</w:t>
        </w:r>
        <w:r w:rsidR="005A02AA">
          <w:rPr>
            <w:noProof/>
            <w:webHidden/>
          </w:rPr>
          <w:tab/>
        </w:r>
        <w:r w:rsidR="005A02AA">
          <w:rPr>
            <w:noProof/>
            <w:webHidden/>
          </w:rPr>
          <w:fldChar w:fldCharType="begin"/>
        </w:r>
        <w:r w:rsidR="005A02AA">
          <w:rPr>
            <w:noProof/>
            <w:webHidden/>
          </w:rPr>
          <w:instrText xml:space="preserve"> PAGEREF _Toc197534197 \h </w:instrText>
        </w:r>
        <w:r w:rsidR="005A02AA">
          <w:rPr>
            <w:noProof/>
            <w:webHidden/>
          </w:rPr>
        </w:r>
        <w:r w:rsidR="005A02AA">
          <w:rPr>
            <w:noProof/>
            <w:webHidden/>
          </w:rPr>
          <w:fldChar w:fldCharType="separate"/>
        </w:r>
        <w:r w:rsidR="004C6C7B">
          <w:rPr>
            <w:noProof/>
            <w:webHidden/>
          </w:rPr>
          <w:t>23</w:t>
        </w:r>
        <w:r w:rsidR="005A02AA">
          <w:rPr>
            <w:noProof/>
            <w:webHidden/>
          </w:rPr>
          <w:fldChar w:fldCharType="end"/>
        </w:r>
      </w:hyperlink>
    </w:p>
    <w:p w14:paraId="21602576" w14:textId="7377A972" w:rsidR="005A02AA" w:rsidRDefault="00D60679">
      <w:pPr>
        <w:pStyle w:val="TOC2"/>
        <w:rPr>
          <w:rFonts w:asciiTheme="minorHAnsi" w:eastAsiaTheme="minorEastAsia" w:hAnsiTheme="minorHAnsi" w:cstheme="minorBidi"/>
          <w:noProof/>
          <w:szCs w:val="22"/>
          <w:lang w:val="en-AU" w:eastAsia="en-AU"/>
        </w:rPr>
      </w:pPr>
      <w:hyperlink w:anchor="_Toc197534198" w:history="1">
        <w:r w:rsidR="005A02AA" w:rsidRPr="004D7E8B">
          <w:rPr>
            <w:rStyle w:val="Hyperlink"/>
            <w:noProof/>
          </w:rPr>
          <w:t>The goal</w:t>
        </w:r>
        <w:r w:rsidR="005A02AA">
          <w:rPr>
            <w:noProof/>
            <w:webHidden/>
          </w:rPr>
          <w:tab/>
        </w:r>
        <w:r w:rsidR="005A02AA">
          <w:rPr>
            <w:noProof/>
            <w:webHidden/>
          </w:rPr>
          <w:fldChar w:fldCharType="begin"/>
        </w:r>
        <w:r w:rsidR="005A02AA">
          <w:rPr>
            <w:noProof/>
            <w:webHidden/>
          </w:rPr>
          <w:instrText xml:space="preserve"> PAGEREF _Toc197534198 \h </w:instrText>
        </w:r>
        <w:r w:rsidR="005A02AA">
          <w:rPr>
            <w:noProof/>
            <w:webHidden/>
          </w:rPr>
        </w:r>
        <w:r w:rsidR="005A02AA">
          <w:rPr>
            <w:noProof/>
            <w:webHidden/>
          </w:rPr>
          <w:fldChar w:fldCharType="separate"/>
        </w:r>
        <w:r w:rsidR="004C6C7B">
          <w:rPr>
            <w:noProof/>
            <w:webHidden/>
          </w:rPr>
          <w:t>23</w:t>
        </w:r>
        <w:r w:rsidR="005A02AA">
          <w:rPr>
            <w:noProof/>
            <w:webHidden/>
          </w:rPr>
          <w:fldChar w:fldCharType="end"/>
        </w:r>
      </w:hyperlink>
    </w:p>
    <w:p w14:paraId="0089D2AC" w14:textId="02704204" w:rsidR="005A02AA" w:rsidRDefault="00D60679">
      <w:pPr>
        <w:pStyle w:val="TOC2"/>
        <w:rPr>
          <w:rFonts w:asciiTheme="minorHAnsi" w:eastAsiaTheme="minorEastAsia" w:hAnsiTheme="minorHAnsi" w:cstheme="minorBidi"/>
          <w:noProof/>
          <w:szCs w:val="22"/>
          <w:lang w:val="en-AU" w:eastAsia="en-AU"/>
        </w:rPr>
      </w:pPr>
      <w:hyperlink w:anchor="_Toc197534199" w:history="1">
        <w:r w:rsidR="005A02AA" w:rsidRPr="004D7E8B">
          <w:rPr>
            <w:rStyle w:val="Hyperlink"/>
            <w:noProof/>
          </w:rPr>
          <w:t>The priorities</w:t>
        </w:r>
        <w:r w:rsidR="005A02AA">
          <w:rPr>
            <w:noProof/>
            <w:webHidden/>
          </w:rPr>
          <w:tab/>
        </w:r>
        <w:r w:rsidR="005A02AA">
          <w:rPr>
            <w:noProof/>
            <w:webHidden/>
          </w:rPr>
          <w:fldChar w:fldCharType="begin"/>
        </w:r>
        <w:r w:rsidR="005A02AA">
          <w:rPr>
            <w:noProof/>
            <w:webHidden/>
          </w:rPr>
          <w:instrText xml:space="preserve"> PAGEREF _Toc197534199 \h </w:instrText>
        </w:r>
        <w:r w:rsidR="005A02AA">
          <w:rPr>
            <w:noProof/>
            <w:webHidden/>
          </w:rPr>
        </w:r>
        <w:r w:rsidR="005A02AA">
          <w:rPr>
            <w:noProof/>
            <w:webHidden/>
          </w:rPr>
          <w:fldChar w:fldCharType="separate"/>
        </w:r>
        <w:r w:rsidR="004C6C7B">
          <w:rPr>
            <w:noProof/>
            <w:webHidden/>
          </w:rPr>
          <w:t>23</w:t>
        </w:r>
        <w:r w:rsidR="005A02AA">
          <w:rPr>
            <w:noProof/>
            <w:webHidden/>
          </w:rPr>
          <w:fldChar w:fldCharType="end"/>
        </w:r>
      </w:hyperlink>
    </w:p>
    <w:p w14:paraId="4263C9CE" w14:textId="71840620" w:rsidR="005A02AA" w:rsidRDefault="00D60679">
      <w:pPr>
        <w:pStyle w:val="TOC2"/>
        <w:rPr>
          <w:rFonts w:asciiTheme="minorHAnsi" w:eastAsiaTheme="minorEastAsia" w:hAnsiTheme="minorHAnsi" w:cstheme="minorBidi"/>
          <w:noProof/>
          <w:szCs w:val="22"/>
          <w:lang w:val="en-AU" w:eastAsia="en-AU"/>
        </w:rPr>
      </w:pPr>
      <w:hyperlink w:anchor="_Toc197534200" w:history="1">
        <w:r w:rsidR="005A02AA" w:rsidRPr="004D7E8B">
          <w:rPr>
            <w:rStyle w:val="Hyperlink"/>
            <w:noProof/>
          </w:rPr>
          <w:t>Strategic outcomes</w:t>
        </w:r>
        <w:r w:rsidR="005A02AA">
          <w:rPr>
            <w:noProof/>
            <w:webHidden/>
          </w:rPr>
          <w:tab/>
        </w:r>
        <w:r w:rsidR="005A02AA">
          <w:rPr>
            <w:noProof/>
            <w:webHidden/>
          </w:rPr>
          <w:fldChar w:fldCharType="begin"/>
        </w:r>
        <w:r w:rsidR="005A02AA">
          <w:rPr>
            <w:noProof/>
            <w:webHidden/>
          </w:rPr>
          <w:instrText xml:space="preserve"> PAGEREF _Toc197534200 \h </w:instrText>
        </w:r>
        <w:r w:rsidR="005A02AA">
          <w:rPr>
            <w:noProof/>
            <w:webHidden/>
          </w:rPr>
        </w:r>
        <w:r w:rsidR="005A02AA">
          <w:rPr>
            <w:noProof/>
            <w:webHidden/>
          </w:rPr>
          <w:fldChar w:fldCharType="separate"/>
        </w:r>
        <w:r w:rsidR="004C6C7B">
          <w:rPr>
            <w:noProof/>
            <w:webHidden/>
          </w:rPr>
          <w:t>25</w:t>
        </w:r>
        <w:r w:rsidR="005A02AA">
          <w:rPr>
            <w:noProof/>
            <w:webHidden/>
          </w:rPr>
          <w:fldChar w:fldCharType="end"/>
        </w:r>
      </w:hyperlink>
    </w:p>
    <w:p w14:paraId="0941BBF5" w14:textId="2397BCE9" w:rsidR="005A02AA" w:rsidRDefault="00D60679">
      <w:pPr>
        <w:pStyle w:val="TOC2"/>
        <w:rPr>
          <w:rFonts w:asciiTheme="minorHAnsi" w:eastAsiaTheme="minorEastAsia" w:hAnsiTheme="minorHAnsi" w:cstheme="minorBidi"/>
          <w:noProof/>
          <w:szCs w:val="22"/>
          <w:lang w:val="en-AU" w:eastAsia="en-AU"/>
        </w:rPr>
      </w:pPr>
      <w:hyperlink w:anchor="_Toc197534201" w:history="1">
        <w:r w:rsidR="005A02AA" w:rsidRPr="004D7E8B">
          <w:rPr>
            <w:rStyle w:val="Hyperlink"/>
            <w:noProof/>
          </w:rPr>
          <w:t>Actions</w:t>
        </w:r>
        <w:r w:rsidR="005A02AA">
          <w:rPr>
            <w:noProof/>
            <w:webHidden/>
          </w:rPr>
          <w:tab/>
        </w:r>
        <w:r w:rsidR="005A02AA">
          <w:rPr>
            <w:noProof/>
            <w:webHidden/>
          </w:rPr>
          <w:fldChar w:fldCharType="begin"/>
        </w:r>
        <w:r w:rsidR="005A02AA">
          <w:rPr>
            <w:noProof/>
            <w:webHidden/>
          </w:rPr>
          <w:instrText xml:space="preserve"> PAGEREF _Toc197534201 \h </w:instrText>
        </w:r>
        <w:r w:rsidR="005A02AA">
          <w:rPr>
            <w:noProof/>
            <w:webHidden/>
          </w:rPr>
        </w:r>
        <w:r w:rsidR="005A02AA">
          <w:rPr>
            <w:noProof/>
            <w:webHidden/>
          </w:rPr>
          <w:fldChar w:fldCharType="separate"/>
        </w:r>
        <w:r w:rsidR="004C6C7B">
          <w:rPr>
            <w:noProof/>
            <w:webHidden/>
          </w:rPr>
          <w:t>27</w:t>
        </w:r>
        <w:r w:rsidR="005A02AA">
          <w:rPr>
            <w:noProof/>
            <w:webHidden/>
          </w:rPr>
          <w:fldChar w:fldCharType="end"/>
        </w:r>
      </w:hyperlink>
    </w:p>
    <w:p w14:paraId="39D455F5" w14:textId="48B4F973" w:rsidR="005A02AA" w:rsidRDefault="00D60679">
      <w:pPr>
        <w:pStyle w:val="TOC2"/>
        <w:rPr>
          <w:rFonts w:asciiTheme="minorHAnsi" w:eastAsiaTheme="minorEastAsia" w:hAnsiTheme="minorHAnsi" w:cstheme="minorBidi"/>
          <w:noProof/>
          <w:szCs w:val="22"/>
          <w:lang w:val="en-AU" w:eastAsia="en-AU"/>
        </w:rPr>
      </w:pPr>
      <w:hyperlink w:anchor="_Toc197534202" w:history="1">
        <w:r w:rsidR="005A02AA" w:rsidRPr="004D7E8B">
          <w:rPr>
            <w:rStyle w:val="Hyperlink"/>
            <w:noProof/>
          </w:rPr>
          <w:t>Links to other strategic documents</w:t>
        </w:r>
        <w:r w:rsidR="005A02AA">
          <w:rPr>
            <w:noProof/>
            <w:webHidden/>
          </w:rPr>
          <w:tab/>
        </w:r>
        <w:r w:rsidR="005A02AA">
          <w:rPr>
            <w:noProof/>
            <w:webHidden/>
          </w:rPr>
          <w:fldChar w:fldCharType="begin"/>
        </w:r>
        <w:r w:rsidR="005A02AA">
          <w:rPr>
            <w:noProof/>
            <w:webHidden/>
          </w:rPr>
          <w:instrText xml:space="preserve"> PAGEREF _Toc197534202 \h </w:instrText>
        </w:r>
        <w:r w:rsidR="005A02AA">
          <w:rPr>
            <w:noProof/>
            <w:webHidden/>
          </w:rPr>
        </w:r>
        <w:r w:rsidR="005A02AA">
          <w:rPr>
            <w:noProof/>
            <w:webHidden/>
          </w:rPr>
          <w:fldChar w:fldCharType="separate"/>
        </w:r>
        <w:r w:rsidR="004C6C7B">
          <w:rPr>
            <w:noProof/>
            <w:webHidden/>
          </w:rPr>
          <w:t>27</w:t>
        </w:r>
        <w:r w:rsidR="005A02AA">
          <w:rPr>
            <w:noProof/>
            <w:webHidden/>
          </w:rPr>
          <w:fldChar w:fldCharType="end"/>
        </w:r>
      </w:hyperlink>
    </w:p>
    <w:p w14:paraId="21F27B70" w14:textId="6783C564" w:rsidR="005A02AA" w:rsidRDefault="00D60679">
      <w:pPr>
        <w:pStyle w:val="TOC1"/>
        <w:rPr>
          <w:rFonts w:asciiTheme="minorHAnsi" w:eastAsiaTheme="minorEastAsia" w:hAnsiTheme="minorHAnsi" w:cstheme="minorBidi"/>
          <w:noProof/>
          <w:sz w:val="22"/>
          <w:szCs w:val="22"/>
          <w:lang w:val="en-AU" w:eastAsia="en-AU"/>
        </w:rPr>
      </w:pPr>
      <w:hyperlink w:anchor="_Toc197534203" w:history="1">
        <w:r w:rsidR="005A02AA" w:rsidRPr="004D7E8B">
          <w:rPr>
            <w:rStyle w:val="Hyperlink"/>
            <w:noProof/>
          </w:rPr>
          <w:t>Appendix Five: Further detail about the service plan</w:t>
        </w:r>
        <w:r w:rsidR="005A02AA">
          <w:rPr>
            <w:noProof/>
            <w:webHidden/>
          </w:rPr>
          <w:tab/>
        </w:r>
        <w:r w:rsidR="005A02AA">
          <w:rPr>
            <w:noProof/>
            <w:webHidden/>
          </w:rPr>
          <w:fldChar w:fldCharType="begin"/>
        </w:r>
        <w:r w:rsidR="005A02AA">
          <w:rPr>
            <w:noProof/>
            <w:webHidden/>
          </w:rPr>
          <w:instrText xml:space="preserve"> PAGEREF _Toc197534203 \h </w:instrText>
        </w:r>
        <w:r w:rsidR="005A02AA">
          <w:rPr>
            <w:noProof/>
            <w:webHidden/>
          </w:rPr>
        </w:r>
        <w:r w:rsidR="005A02AA">
          <w:rPr>
            <w:noProof/>
            <w:webHidden/>
          </w:rPr>
          <w:fldChar w:fldCharType="separate"/>
        </w:r>
        <w:r w:rsidR="004C6C7B">
          <w:rPr>
            <w:noProof/>
            <w:webHidden/>
          </w:rPr>
          <w:t>29</w:t>
        </w:r>
        <w:r w:rsidR="005A02AA">
          <w:rPr>
            <w:noProof/>
            <w:webHidden/>
          </w:rPr>
          <w:fldChar w:fldCharType="end"/>
        </w:r>
      </w:hyperlink>
    </w:p>
    <w:p w14:paraId="6E762C96" w14:textId="259A6C14" w:rsidR="005A02AA" w:rsidRDefault="00D60679">
      <w:pPr>
        <w:pStyle w:val="TOC2"/>
        <w:rPr>
          <w:rFonts w:asciiTheme="minorHAnsi" w:eastAsiaTheme="minorEastAsia" w:hAnsiTheme="minorHAnsi" w:cstheme="minorBidi"/>
          <w:noProof/>
          <w:szCs w:val="22"/>
          <w:lang w:val="en-AU" w:eastAsia="en-AU"/>
        </w:rPr>
      </w:pPr>
      <w:hyperlink w:anchor="_Toc197534204" w:history="1">
        <w:r w:rsidR="005A02AA" w:rsidRPr="004D7E8B">
          <w:rPr>
            <w:rStyle w:val="Hyperlink"/>
            <w:noProof/>
          </w:rPr>
          <w:t>Indicative budget compared with the budget for the current levy period</w:t>
        </w:r>
        <w:r w:rsidR="005A02AA">
          <w:rPr>
            <w:noProof/>
            <w:webHidden/>
          </w:rPr>
          <w:tab/>
        </w:r>
        <w:r w:rsidR="005A02AA">
          <w:rPr>
            <w:noProof/>
            <w:webHidden/>
          </w:rPr>
          <w:fldChar w:fldCharType="begin"/>
        </w:r>
        <w:r w:rsidR="005A02AA">
          <w:rPr>
            <w:noProof/>
            <w:webHidden/>
          </w:rPr>
          <w:instrText xml:space="preserve"> PAGEREF _Toc197534204 \h </w:instrText>
        </w:r>
        <w:r w:rsidR="005A02AA">
          <w:rPr>
            <w:noProof/>
            <w:webHidden/>
          </w:rPr>
        </w:r>
        <w:r w:rsidR="005A02AA">
          <w:rPr>
            <w:noProof/>
            <w:webHidden/>
          </w:rPr>
          <w:fldChar w:fldCharType="separate"/>
        </w:r>
        <w:r w:rsidR="004C6C7B">
          <w:rPr>
            <w:noProof/>
            <w:webHidden/>
          </w:rPr>
          <w:t>29</w:t>
        </w:r>
        <w:r w:rsidR="005A02AA">
          <w:rPr>
            <w:noProof/>
            <w:webHidden/>
          </w:rPr>
          <w:fldChar w:fldCharType="end"/>
        </w:r>
      </w:hyperlink>
    </w:p>
    <w:p w14:paraId="46995979" w14:textId="65F23F41" w:rsidR="005A02AA" w:rsidRDefault="00D60679">
      <w:pPr>
        <w:pStyle w:val="TOC2"/>
        <w:rPr>
          <w:rFonts w:asciiTheme="minorHAnsi" w:eastAsiaTheme="minorEastAsia" w:hAnsiTheme="minorHAnsi" w:cstheme="minorBidi"/>
          <w:noProof/>
          <w:szCs w:val="22"/>
          <w:lang w:val="en-AU" w:eastAsia="en-AU"/>
        </w:rPr>
      </w:pPr>
      <w:hyperlink w:anchor="_Toc197534205" w:history="1">
        <w:r w:rsidR="005A02AA" w:rsidRPr="004D7E8B">
          <w:rPr>
            <w:rStyle w:val="Hyperlink"/>
            <w:noProof/>
          </w:rPr>
          <w:t>Detailed service plan priority tables</w:t>
        </w:r>
        <w:r w:rsidR="005A02AA">
          <w:rPr>
            <w:noProof/>
            <w:webHidden/>
          </w:rPr>
          <w:tab/>
        </w:r>
        <w:r w:rsidR="005A02AA">
          <w:rPr>
            <w:noProof/>
            <w:webHidden/>
          </w:rPr>
          <w:fldChar w:fldCharType="begin"/>
        </w:r>
        <w:r w:rsidR="005A02AA">
          <w:rPr>
            <w:noProof/>
            <w:webHidden/>
          </w:rPr>
          <w:instrText xml:space="preserve"> PAGEREF _Toc197534205 \h </w:instrText>
        </w:r>
        <w:r w:rsidR="005A02AA">
          <w:rPr>
            <w:noProof/>
            <w:webHidden/>
          </w:rPr>
        </w:r>
        <w:r w:rsidR="005A02AA">
          <w:rPr>
            <w:noProof/>
            <w:webHidden/>
          </w:rPr>
          <w:fldChar w:fldCharType="separate"/>
        </w:r>
        <w:r w:rsidR="004C6C7B">
          <w:rPr>
            <w:noProof/>
            <w:webHidden/>
          </w:rPr>
          <w:t>30</w:t>
        </w:r>
        <w:r w:rsidR="005A02AA">
          <w:rPr>
            <w:noProof/>
            <w:webHidden/>
          </w:rPr>
          <w:fldChar w:fldCharType="end"/>
        </w:r>
      </w:hyperlink>
    </w:p>
    <w:p w14:paraId="040A4EDA" w14:textId="3516DBE9" w:rsidR="005A02AA" w:rsidRDefault="00D60679">
      <w:pPr>
        <w:pStyle w:val="TOC2"/>
        <w:rPr>
          <w:rFonts w:asciiTheme="minorHAnsi" w:eastAsiaTheme="minorEastAsia" w:hAnsiTheme="minorHAnsi" w:cstheme="minorBidi"/>
          <w:noProof/>
          <w:szCs w:val="22"/>
          <w:lang w:val="en-AU" w:eastAsia="en-AU"/>
        </w:rPr>
      </w:pPr>
      <w:hyperlink w:anchor="_Toc197534206" w:history="1">
        <w:r w:rsidR="005A02AA" w:rsidRPr="004D7E8B">
          <w:rPr>
            <w:rStyle w:val="Hyperlink"/>
            <w:noProof/>
          </w:rPr>
          <w:t>Summary tables by service area</w:t>
        </w:r>
        <w:r w:rsidR="005A02AA">
          <w:rPr>
            <w:noProof/>
            <w:webHidden/>
          </w:rPr>
          <w:tab/>
        </w:r>
        <w:r w:rsidR="005A02AA">
          <w:rPr>
            <w:noProof/>
            <w:webHidden/>
          </w:rPr>
          <w:fldChar w:fldCharType="begin"/>
        </w:r>
        <w:r w:rsidR="005A02AA">
          <w:rPr>
            <w:noProof/>
            <w:webHidden/>
          </w:rPr>
          <w:instrText xml:space="preserve"> PAGEREF _Toc197534206 \h </w:instrText>
        </w:r>
        <w:r w:rsidR="005A02AA">
          <w:rPr>
            <w:noProof/>
            <w:webHidden/>
          </w:rPr>
        </w:r>
        <w:r w:rsidR="005A02AA">
          <w:rPr>
            <w:noProof/>
            <w:webHidden/>
          </w:rPr>
          <w:fldChar w:fldCharType="separate"/>
        </w:r>
        <w:r w:rsidR="004C6C7B">
          <w:rPr>
            <w:noProof/>
            <w:webHidden/>
          </w:rPr>
          <w:t>44</w:t>
        </w:r>
        <w:r w:rsidR="005A02AA">
          <w:rPr>
            <w:noProof/>
            <w:webHidden/>
          </w:rPr>
          <w:fldChar w:fldCharType="end"/>
        </w:r>
      </w:hyperlink>
    </w:p>
    <w:p w14:paraId="1A7FB725" w14:textId="0740C191" w:rsidR="005A02AA" w:rsidRDefault="00D60679">
      <w:pPr>
        <w:pStyle w:val="TOC2"/>
        <w:rPr>
          <w:rFonts w:asciiTheme="minorHAnsi" w:eastAsiaTheme="minorEastAsia" w:hAnsiTheme="minorHAnsi" w:cstheme="minorBidi"/>
          <w:noProof/>
          <w:szCs w:val="22"/>
          <w:lang w:val="en-AU" w:eastAsia="en-AU"/>
        </w:rPr>
      </w:pPr>
      <w:hyperlink w:anchor="_Toc197534207" w:history="1">
        <w:r w:rsidR="005A02AA" w:rsidRPr="004D7E8B">
          <w:rPr>
            <w:rStyle w:val="Hyperlink"/>
            <w:noProof/>
          </w:rPr>
          <w:t>Research and evaluation priorities</w:t>
        </w:r>
        <w:r w:rsidR="005A02AA">
          <w:rPr>
            <w:noProof/>
            <w:webHidden/>
          </w:rPr>
          <w:tab/>
        </w:r>
        <w:r w:rsidR="005A02AA">
          <w:rPr>
            <w:noProof/>
            <w:webHidden/>
          </w:rPr>
          <w:fldChar w:fldCharType="begin"/>
        </w:r>
        <w:r w:rsidR="005A02AA">
          <w:rPr>
            <w:noProof/>
            <w:webHidden/>
          </w:rPr>
          <w:instrText xml:space="preserve"> PAGEREF _Toc197534207 \h </w:instrText>
        </w:r>
        <w:r w:rsidR="005A02AA">
          <w:rPr>
            <w:noProof/>
            <w:webHidden/>
          </w:rPr>
        </w:r>
        <w:r w:rsidR="005A02AA">
          <w:rPr>
            <w:noProof/>
            <w:webHidden/>
          </w:rPr>
          <w:fldChar w:fldCharType="separate"/>
        </w:r>
        <w:r w:rsidR="004C6C7B">
          <w:rPr>
            <w:noProof/>
            <w:webHidden/>
          </w:rPr>
          <w:t>45</w:t>
        </w:r>
        <w:r w:rsidR="005A02AA">
          <w:rPr>
            <w:noProof/>
            <w:webHidden/>
          </w:rPr>
          <w:fldChar w:fldCharType="end"/>
        </w:r>
      </w:hyperlink>
    </w:p>
    <w:p w14:paraId="30A1D7E4" w14:textId="119C3016" w:rsidR="005A02AA" w:rsidRDefault="00D60679">
      <w:pPr>
        <w:pStyle w:val="TOC2"/>
        <w:rPr>
          <w:rFonts w:asciiTheme="minorHAnsi" w:eastAsiaTheme="minorEastAsia" w:hAnsiTheme="minorHAnsi" w:cstheme="minorBidi"/>
          <w:noProof/>
          <w:szCs w:val="22"/>
          <w:lang w:val="en-AU" w:eastAsia="en-AU"/>
        </w:rPr>
      </w:pPr>
      <w:hyperlink w:anchor="_Toc197534208" w:history="1">
        <w:r w:rsidR="005A02AA" w:rsidRPr="004D7E8B">
          <w:rPr>
            <w:rStyle w:val="Hyperlink"/>
            <w:noProof/>
          </w:rPr>
          <w:t>Agency operating costs</w:t>
        </w:r>
        <w:r w:rsidR="005A02AA">
          <w:rPr>
            <w:noProof/>
            <w:webHidden/>
          </w:rPr>
          <w:tab/>
        </w:r>
        <w:r w:rsidR="005A02AA">
          <w:rPr>
            <w:noProof/>
            <w:webHidden/>
          </w:rPr>
          <w:fldChar w:fldCharType="begin"/>
        </w:r>
        <w:r w:rsidR="005A02AA">
          <w:rPr>
            <w:noProof/>
            <w:webHidden/>
          </w:rPr>
          <w:instrText xml:space="preserve"> PAGEREF _Toc197534208 \h </w:instrText>
        </w:r>
        <w:r w:rsidR="005A02AA">
          <w:rPr>
            <w:noProof/>
            <w:webHidden/>
          </w:rPr>
        </w:r>
        <w:r w:rsidR="005A02AA">
          <w:rPr>
            <w:noProof/>
            <w:webHidden/>
          </w:rPr>
          <w:fldChar w:fldCharType="separate"/>
        </w:r>
        <w:r w:rsidR="004C6C7B">
          <w:rPr>
            <w:noProof/>
            <w:webHidden/>
          </w:rPr>
          <w:t>47</w:t>
        </w:r>
        <w:r w:rsidR="005A02AA">
          <w:rPr>
            <w:noProof/>
            <w:webHidden/>
          </w:rPr>
          <w:fldChar w:fldCharType="end"/>
        </w:r>
      </w:hyperlink>
    </w:p>
    <w:p w14:paraId="4BE40A50" w14:textId="42DFE002" w:rsidR="005A02AA" w:rsidRDefault="00D60679">
      <w:pPr>
        <w:pStyle w:val="TOC1"/>
        <w:rPr>
          <w:rFonts w:asciiTheme="minorHAnsi" w:eastAsiaTheme="minorEastAsia" w:hAnsiTheme="minorHAnsi" w:cstheme="minorBidi"/>
          <w:noProof/>
          <w:sz w:val="22"/>
          <w:szCs w:val="22"/>
          <w:lang w:val="en-AU" w:eastAsia="en-AU"/>
        </w:rPr>
      </w:pPr>
      <w:hyperlink w:anchor="_Toc197534209" w:history="1">
        <w:r w:rsidR="005A02AA" w:rsidRPr="004D7E8B">
          <w:rPr>
            <w:rStyle w:val="Hyperlink"/>
            <w:noProof/>
          </w:rPr>
          <w:t>Appendix Six: Inputs and calculating the problem gambling levy</w:t>
        </w:r>
        <w:r w:rsidR="005A02AA">
          <w:rPr>
            <w:noProof/>
            <w:webHidden/>
          </w:rPr>
          <w:tab/>
        </w:r>
        <w:r w:rsidR="005A02AA">
          <w:rPr>
            <w:noProof/>
            <w:webHidden/>
          </w:rPr>
          <w:fldChar w:fldCharType="begin"/>
        </w:r>
        <w:r w:rsidR="005A02AA">
          <w:rPr>
            <w:noProof/>
            <w:webHidden/>
          </w:rPr>
          <w:instrText xml:space="preserve"> PAGEREF _Toc197534209 \h </w:instrText>
        </w:r>
        <w:r w:rsidR="005A02AA">
          <w:rPr>
            <w:noProof/>
            <w:webHidden/>
          </w:rPr>
        </w:r>
        <w:r w:rsidR="005A02AA">
          <w:rPr>
            <w:noProof/>
            <w:webHidden/>
          </w:rPr>
          <w:fldChar w:fldCharType="separate"/>
        </w:r>
        <w:r w:rsidR="004C6C7B">
          <w:rPr>
            <w:noProof/>
            <w:webHidden/>
          </w:rPr>
          <w:t>48</w:t>
        </w:r>
        <w:r w:rsidR="005A02AA">
          <w:rPr>
            <w:noProof/>
            <w:webHidden/>
          </w:rPr>
          <w:fldChar w:fldCharType="end"/>
        </w:r>
      </w:hyperlink>
    </w:p>
    <w:p w14:paraId="066C79A8" w14:textId="4B66C959" w:rsidR="005A02AA" w:rsidRDefault="00D60679">
      <w:pPr>
        <w:pStyle w:val="TOC2"/>
        <w:rPr>
          <w:rFonts w:asciiTheme="minorHAnsi" w:eastAsiaTheme="minorEastAsia" w:hAnsiTheme="minorHAnsi" w:cstheme="minorBidi"/>
          <w:noProof/>
          <w:szCs w:val="22"/>
          <w:lang w:val="en-AU" w:eastAsia="en-AU"/>
        </w:rPr>
      </w:pPr>
      <w:hyperlink w:anchor="_Toc197534210" w:history="1">
        <w:r w:rsidR="005A02AA" w:rsidRPr="004D7E8B">
          <w:rPr>
            <w:rStyle w:val="Hyperlink"/>
            <w:noProof/>
          </w:rPr>
          <w:t>(A) Estimated current player expenditure</w:t>
        </w:r>
        <w:r w:rsidR="005A02AA">
          <w:rPr>
            <w:noProof/>
            <w:webHidden/>
          </w:rPr>
          <w:tab/>
        </w:r>
        <w:r w:rsidR="005A02AA">
          <w:rPr>
            <w:noProof/>
            <w:webHidden/>
          </w:rPr>
          <w:fldChar w:fldCharType="begin"/>
        </w:r>
        <w:r w:rsidR="005A02AA">
          <w:rPr>
            <w:noProof/>
            <w:webHidden/>
          </w:rPr>
          <w:instrText xml:space="preserve"> PAGEREF _Toc197534210 \h </w:instrText>
        </w:r>
        <w:r w:rsidR="005A02AA">
          <w:rPr>
            <w:noProof/>
            <w:webHidden/>
          </w:rPr>
        </w:r>
        <w:r w:rsidR="005A02AA">
          <w:rPr>
            <w:noProof/>
            <w:webHidden/>
          </w:rPr>
          <w:fldChar w:fldCharType="separate"/>
        </w:r>
        <w:r w:rsidR="004C6C7B">
          <w:rPr>
            <w:noProof/>
            <w:webHidden/>
          </w:rPr>
          <w:t>48</w:t>
        </w:r>
        <w:r w:rsidR="005A02AA">
          <w:rPr>
            <w:noProof/>
            <w:webHidden/>
          </w:rPr>
          <w:fldChar w:fldCharType="end"/>
        </w:r>
      </w:hyperlink>
    </w:p>
    <w:p w14:paraId="0A83C64D" w14:textId="6664CCE9" w:rsidR="005A02AA" w:rsidRDefault="00D60679">
      <w:pPr>
        <w:pStyle w:val="TOC2"/>
        <w:rPr>
          <w:rFonts w:asciiTheme="minorHAnsi" w:eastAsiaTheme="minorEastAsia" w:hAnsiTheme="minorHAnsi" w:cstheme="minorBidi"/>
          <w:noProof/>
          <w:szCs w:val="22"/>
          <w:lang w:val="en-AU" w:eastAsia="en-AU"/>
        </w:rPr>
      </w:pPr>
      <w:hyperlink w:anchor="_Toc197534211" w:history="1">
        <w:r w:rsidR="005A02AA" w:rsidRPr="004D7E8B">
          <w:rPr>
            <w:rStyle w:val="Hyperlink"/>
            <w:noProof/>
          </w:rPr>
          <w:t>(B) Customer presentations</w:t>
        </w:r>
        <w:r w:rsidR="005A02AA">
          <w:rPr>
            <w:noProof/>
            <w:webHidden/>
          </w:rPr>
          <w:tab/>
        </w:r>
        <w:r w:rsidR="005A02AA">
          <w:rPr>
            <w:noProof/>
            <w:webHidden/>
          </w:rPr>
          <w:fldChar w:fldCharType="begin"/>
        </w:r>
        <w:r w:rsidR="005A02AA">
          <w:rPr>
            <w:noProof/>
            <w:webHidden/>
          </w:rPr>
          <w:instrText xml:space="preserve"> PAGEREF _Toc197534211 \h </w:instrText>
        </w:r>
        <w:r w:rsidR="005A02AA">
          <w:rPr>
            <w:noProof/>
            <w:webHidden/>
          </w:rPr>
        </w:r>
        <w:r w:rsidR="005A02AA">
          <w:rPr>
            <w:noProof/>
            <w:webHidden/>
          </w:rPr>
          <w:fldChar w:fldCharType="separate"/>
        </w:r>
        <w:r w:rsidR="004C6C7B">
          <w:rPr>
            <w:noProof/>
            <w:webHidden/>
          </w:rPr>
          <w:t>48</w:t>
        </w:r>
        <w:r w:rsidR="005A02AA">
          <w:rPr>
            <w:noProof/>
            <w:webHidden/>
          </w:rPr>
          <w:fldChar w:fldCharType="end"/>
        </w:r>
      </w:hyperlink>
    </w:p>
    <w:p w14:paraId="7C5B2826" w14:textId="17EFB419" w:rsidR="005A02AA" w:rsidRDefault="00D60679">
      <w:pPr>
        <w:pStyle w:val="TOC2"/>
        <w:rPr>
          <w:rFonts w:asciiTheme="minorHAnsi" w:eastAsiaTheme="minorEastAsia" w:hAnsiTheme="minorHAnsi" w:cstheme="minorBidi"/>
          <w:noProof/>
          <w:szCs w:val="22"/>
          <w:lang w:val="en-AU" w:eastAsia="en-AU"/>
        </w:rPr>
      </w:pPr>
      <w:hyperlink w:anchor="_Toc197534212" w:history="1">
        <w:r w:rsidR="005A02AA" w:rsidRPr="004D7E8B">
          <w:rPr>
            <w:rStyle w:val="Hyperlink"/>
            <w:noProof/>
          </w:rPr>
          <w:t>(C) The funding requirement</w:t>
        </w:r>
        <w:r w:rsidR="005A02AA">
          <w:rPr>
            <w:noProof/>
            <w:webHidden/>
          </w:rPr>
          <w:tab/>
        </w:r>
        <w:r w:rsidR="005A02AA">
          <w:rPr>
            <w:noProof/>
            <w:webHidden/>
          </w:rPr>
          <w:fldChar w:fldCharType="begin"/>
        </w:r>
        <w:r w:rsidR="005A02AA">
          <w:rPr>
            <w:noProof/>
            <w:webHidden/>
          </w:rPr>
          <w:instrText xml:space="preserve"> PAGEREF _Toc197534212 \h </w:instrText>
        </w:r>
        <w:r w:rsidR="005A02AA">
          <w:rPr>
            <w:noProof/>
            <w:webHidden/>
          </w:rPr>
        </w:r>
        <w:r w:rsidR="005A02AA">
          <w:rPr>
            <w:noProof/>
            <w:webHidden/>
          </w:rPr>
          <w:fldChar w:fldCharType="separate"/>
        </w:r>
        <w:r w:rsidR="004C6C7B">
          <w:rPr>
            <w:noProof/>
            <w:webHidden/>
          </w:rPr>
          <w:t>49</w:t>
        </w:r>
        <w:r w:rsidR="005A02AA">
          <w:rPr>
            <w:noProof/>
            <w:webHidden/>
          </w:rPr>
          <w:fldChar w:fldCharType="end"/>
        </w:r>
      </w:hyperlink>
    </w:p>
    <w:p w14:paraId="50203224" w14:textId="731C9B38" w:rsidR="005A02AA" w:rsidRDefault="00D60679">
      <w:pPr>
        <w:pStyle w:val="TOC2"/>
        <w:rPr>
          <w:rFonts w:asciiTheme="minorHAnsi" w:eastAsiaTheme="minorEastAsia" w:hAnsiTheme="minorHAnsi" w:cstheme="minorBidi"/>
          <w:noProof/>
          <w:szCs w:val="22"/>
          <w:lang w:val="en-AU" w:eastAsia="en-AU"/>
        </w:rPr>
      </w:pPr>
      <w:hyperlink w:anchor="_Toc197534213" w:history="1">
        <w:r w:rsidR="005A02AA" w:rsidRPr="004D7E8B">
          <w:rPr>
            <w:rStyle w:val="Hyperlink"/>
            <w:noProof/>
          </w:rPr>
          <w:t>(D) Forecast player expenditure</w:t>
        </w:r>
        <w:r w:rsidR="005A02AA">
          <w:rPr>
            <w:noProof/>
            <w:webHidden/>
          </w:rPr>
          <w:tab/>
        </w:r>
        <w:r w:rsidR="005A02AA">
          <w:rPr>
            <w:noProof/>
            <w:webHidden/>
          </w:rPr>
          <w:fldChar w:fldCharType="begin"/>
        </w:r>
        <w:r w:rsidR="005A02AA">
          <w:rPr>
            <w:noProof/>
            <w:webHidden/>
          </w:rPr>
          <w:instrText xml:space="preserve"> PAGEREF _Toc197534213 \h </w:instrText>
        </w:r>
        <w:r w:rsidR="005A02AA">
          <w:rPr>
            <w:noProof/>
            <w:webHidden/>
          </w:rPr>
        </w:r>
        <w:r w:rsidR="005A02AA">
          <w:rPr>
            <w:noProof/>
            <w:webHidden/>
          </w:rPr>
          <w:fldChar w:fldCharType="separate"/>
        </w:r>
        <w:r w:rsidR="004C6C7B">
          <w:rPr>
            <w:noProof/>
            <w:webHidden/>
          </w:rPr>
          <w:t>49</w:t>
        </w:r>
        <w:r w:rsidR="005A02AA">
          <w:rPr>
            <w:noProof/>
            <w:webHidden/>
          </w:rPr>
          <w:fldChar w:fldCharType="end"/>
        </w:r>
      </w:hyperlink>
    </w:p>
    <w:p w14:paraId="7E305E20" w14:textId="40457A67" w:rsidR="005A02AA" w:rsidRDefault="00D60679">
      <w:pPr>
        <w:pStyle w:val="TOC2"/>
        <w:rPr>
          <w:rFonts w:asciiTheme="minorHAnsi" w:eastAsiaTheme="minorEastAsia" w:hAnsiTheme="minorHAnsi" w:cstheme="minorBidi"/>
          <w:noProof/>
          <w:szCs w:val="22"/>
          <w:lang w:val="en-AU" w:eastAsia="en-AU"/>
        </w:rPr>
      </w:pPr>
      <w:hyperlink w:anchor="_Toc197534214" w:history="1">
        <w:r w:rsidR="005A02AA" w:rsidRPr="004D7E8B">
          <w:rPr>
            <w:rStyle w:val="Hyperlink"/>
            <w:noProof/>
          </w:rPr>
          <w:t>(R) Estimated levy under- or over-recovery, by sector</w:t>
        </w:r>
        <w:r w:rsidR="005A02AA">
          <w:rPr>
            <w:noProof/>
            <w:webHidden/>
          </w:rPr>
          <w:tab/>
        </w:r>
        <w:r w:rsidR="005A02AA">
          <w:rPr>
            <w:noProof/>
            <w:webHidden/>
          </w:rPr>
          <w:fldChar w:fldCharType="begin"/>
        </w:r>
        <w:r w:rsidR="005A02AA">
          <w:rPr>
            <w:noProof/>
            <w:webHidden/>
          </w:rPr>
          <w:instrText xml:space="preserve"> PAGEREF _Toc197534214 \h </w:instrText>
        </w:r>
        <w:r w:rsidR="005A02AA">
          <w:rPr>
            <w:noProof/>
            <w:webHidden/>
          </w:rPr>
        </w:r>
        <w:r w:rsidR="005A02AA">
          <w:rPr>
            <w:noProof/>
            <w:webHidden/>
          </w:rPr>
          <w:fldChar w:fldCharType="separate"/>
        </w:r>
        <w:r w:rsidR="004C6C7B">
          <w:rPr>
            <w:noProof/>
            <w:webHidden/>
          </w:rPr>
          <w:t>52</w:t>
        </w:r>
        <w:r w:rsidR="005A02AA">
          <w:rPr>
            <w:noProof/>
            <w:webHidden/>
          </w:rPr>
          <w:fldChar w:fldCharType="end"/>
        </w:r>
      </w:hyperlink>
    </w:p>
    <w:p w14:paraId="1D0A1994" w14:textId="2097E3AB" w:rsidR="00917D02" w:rsidRDefault="0089731B" w:rsidP="00AA4E79">
      <w:pPr>
        <w:pStyle w:val="TOC2"/>
        <w:sectPr w:rsidR="00917D02" w:rsidSect="00866D15">
          <w:headerReference w:type="even" r:id="rId21"/>
          <w:headerReference w:type="default" r:id="rId22"/>
          <w:footerReference w:type="even" r:id="rId23"/>
          <w:footerReference w:type="default" r:id="rId24"/>
          <w:pgSz w:w="11907" w:h="16840" w:code="9"/>
          <w:pgMar w:top="1191" w:right="1701" w:bottom="1134" w:left="1843" w:header="284" w:footer="425" w:gutter="284"/>
          <w:pgNumType w:fmt="lowerRoman"/>
          <w:cols w:space="720"/>
        </w:sectPr>
      </w:pPr>
      <w:r>
        <w:rPr>
          <w:rFonts w:ascii="Segoe UI Semibold" w:hAnsi="Segoe UI Semibold"/>
          <w:b/>
          <w:sz w:val="24"/>
        </w:rPr>
        <w:fldChar w:fldCharType="end"/>
      </w:r>
    </w:p>
    <w:p w14:paraId="49038387" w14:textId="6905C2AB" w:rsidR="003A5FEA" w:rsidRDefault="003A5FEA" w:rsidP="001D3E4E">
      <w:pPr>
        <w:pStyle w:val="TOC1"/>
        <w:keepNext/>
      </w:pPr>
      <w:r>
        <w:lastRenderedPageBreak/>
        <w:t>List of Figures</w:t>
      </w:r>
    </w:p>
    <w:p w14:paraId="55070BFA" w14:textId="71198A65" w:rsidR="005A02AA" w:rsidRDefault="0089731B">
      <w:pPr>
        <w:pStyle w:val="TOC3"/>
        <w:rPr>
          <w:rFonts w:asciiTheme="minorHAnsi" w:eastAsiaTheme="minorEastAsia" w:hAnsiTheme="minorHAnsi" w:cstheme="minorBidi"/>
          <w:noProof/>
          <w:sz w:val="22"/>
          <w:szCs w:val="22"/>
          <w:lang w:val="en-AU" w:eastAsia="en-AU"/>
        </w:rPr>
      </w:pPr>
      <w:r>
        <w:fldChar w:fldCharType="begin"/>
      </w:r>
      <w:r>
        <w:instrText xml:space="preserve"> TOC \h \z \t "Figure,3" </w:instrText>
      </w:r>
      <w:r>
        <w:fldChar w:fldCharType="separate"/>
      </w:r>
      <w:hyperlink w:anchor="_Toc197534106" w:history="1">
        <w:r w:rsidR="005A02AA" w:rsidRPr="000E4E64">
          <w:rPr>
            <w:rStyle w:val="Hyperlink"/>
            <w:rFonts w:eastAsia="Lucida Sans Unicode"/>
            <w:noProof/>
          </w:rPr>
          <w:t>Figure A1.1: Life course and intergenerational harm</w:t>
        </w:r>
        <w:r w:rsidR="005A02AA">
          <w:rPr>
            <w:noProof/>
            <w:webHidden/>
          </w:rPr>
          <w:tab/>
        </w:r>
        <w:r w:rsidR="005A02AA">
          <w:rPr>
            <w:noProof/>
            <w:webHidden/>
          </w:rPr>
          <w:fldChar w:fldCharType="begin"/>
        </w:r>
        <w:r w:rsidR="005A02AA">
          <w:rPr>
            <w:noProof/>
            <w:webHidden/>
          </w:rPr>
          <w:instrText xml:space="preserve"> PAGEREF _Toc197534106 \h </w:instrText>
        </w:r>
        <w:r w:rsidR="005A02AA">
          <w:rPr>
            <w:noProof/>
            <w:webHidden/>
          </w:rPr>
        </w:r>
        <w:r w:rsidR="005A02AA">
          <w:rPr>
            <w:noProof/>
            <w:webHidden/>
          </w:rPr>
          <w:fldChar w:fldCharType="separate"/>
        </w:r>
        <w:r w:rsidR="004C6C7B">
          <w:rPr>
            <w:noProof/>
            <w:webHidden/>
          </w:rPr>
          <w:t>6</w:t>
        </w:r>
        <w:r w:rsidR="005A02AA">
          <w:rPr>
            <w:noProof/>
            <w:webHidden/>
          </w:rPr>
          <w:fldChar w:fldCharType="end"/>
        </w:r>
      </w:hyperlink>
    </w:p>
    <w:p w14:paraId="0A6360F9" w14:textId="3AAE6D0D" w:rsidR="005A02AA" w:rsidRDefault="00D60679">
      <w:pPr>
        <w:pStyle w:val="TOC3"/>
        <w:rPr>
          <w:rFonts w:asciiTheme="minorHAnsi" w:eastAsiaTheme="minorEastAsia" w:hAnsiTheme="minorHAnsi" w:cstheme="minorBidi"/>
          <w:noProof/>
          <w:sz w:val="22"/>
          <w:szCs w:val="22"/>
          <w:lang w:val="en-AU" w:eastAsia="en-AU"/>
        </w:rPr>
      </w:pPr>
      <w:hyperlink w:anchor="_Toc197534107" w:history="1">
        <w:r w:rsidR="005A02AA" w:rsidRPr="000E4E64">
          <w:rPr>
            <w:rStyle w:val="Hyperlink"/>
            <w:noProof/>
          </w:rPr>
          <w:t>Figure A2.1</w:t>
        </w:r>
        <w:r w:rsidR="005A02AA" w:rsidRPr="000E4E64">
          <w:rPr>
            <w:rStyle w:val="Hyperlink"/>
            <w:rFonts w:eastAsia="Lucida Sans Unicode"/>
            <w:noProof/>
          </w:rPr>
          <w:t>: Continuum of gambling behaviour and responses (based on Korn and Shaffer 1999)</w:t>
        </w:r>
        <w:r w:rsidR="005A02AA">
          <w:rPr>
            <w:noProof/>
            <w:webHidden/>
          </w:rPr>
          <w:tab/>
        </w:r>
        <w:r w:rsidR="005A02AA">
          <w:rPr>
            <w:noProof/>
            <w:webHidden/>
          </w:rPr>
          <w:fldChar w:fldCharType="begin"/>
        </w:r>
        <w:r w:rsidR="005A02AA">
          <w:rPr>
            <w:noProof/>
            <w:webHidden/>
          </w:rPr>
          <w:instrText xml:space="preserve"> PAGEREF _Toc197534107 \h </w:instrText>
        </w:r>
        <w:r w:rsidR="005A02AA">
          <w:rPr>
            <w:noProof/>
            <w:webHidden/>
          </w:rPr>
        </w:r>
        <w:r w:rsidR="005A02AA">
          <w:rPr>
            <w:noProof/>
            <w:webHidden/>
          </w:rPr>
          <w:fldChar w:fldCharType="separate"/>
        </w:r>
        <w:r w:rsidR="004C6C7B">
          <w:rPr>
            <w:noProof/>
            <w:webHidden/>
          </w:rPr>
          <w:t>17</w:t>
        </w:r>
        <w:r w:rsidR="005A02AA">
          <w:rPr>
            <w:noProof/>
            <w:webHidden/>
          </w:rPr>
          <w:fldChar w:fldCharType="end"/>
        </w:r>
      </w:hyperlink>
    </w:p>
    <w:p w14:paraId="05CC63FD" w14:textId="218BDA32" w:rsidR="003A5FEA" w:rsidRDefault="0089731B" w:rsidP="003A5FEA">
      <w:r>
        <w:fldChar w:fldCharType="end"/>
      </w:r>
    </w:p>
    <w:p w14:paraId="0D248541" w14:textId="77777777" w:rsidR="002B76A7" w:rsidRDefault="002B76A7" w:rsidP="002B76A7">
      <w:pPr>
        <w:pStyle w:val="TOC1"/>
        <w:keepNext/>
      </w:pPr>
      <w:r>
        <w:t>List of Tables</w:t>
      </w:r>
    </w:p>
    <w:p w14:paraId="3BC777DC" w14:textId="4E3716FC" w:rsidR="005A02AA" w:rsidRDefault="0089731B">
      <w:pPr>
        <w:pStyle w:val="TOC3"/>
        <w:rPr>
          <w:rFonts w:asciiTheme="minorHAnsi" w:eastAsiaTheme="minorEastAsia" w:hAnsiTheme="minorHAnsi" w:cstheme="minorBidi"/>
          <w:noProof/>
          <w:sz w:val="22"/>
          <w:szCs w:val="22"/>
          <w:lang w:val="en-AU" w:eastAsia="en-AU"/>
        </w:rPr>
      </w:pPr>
      <w:r>
        <w:rPr>
          <w:sz w:val="20"/>
        </w:rPr>
        <w:fldChar w:fldCharType="begin"/>
      </w:r>
      <w:r>
        <w:rPr>
          <w:sz w:val="20"/>
        </w:rPr>
        <w:instrText xml:space="preserve"> TOC \h \z \t "Table,3" </w:instrText>
      </w:r>
      <w:r>
        <w:rPr>
          <w:sz w:val="20"/>
        </w:rPr>
        <w:fldChar w:fldCharType="separate"/>
      </w:r>
      <w:hyperlink w:anchor="_Toc197534215" w:history="1">
        <w:r w:rsidR="005A02AA" w:rsidRPr="00BE1BF5">
          <w:rPr>
            <w:rStyle w:val="Hyperlink"/>
            <w:noProof/>
          </w:rPr>
          <w:t>Table A5.1: Proposed b</w:t>
        </w:r>
        <w:r w:rsidR="005A02AA" w:rsidRPr="00BE1BF5">
          <w:rPr>
            <w:rStyle w:val="Hyperlink"/>
            <w:rFonts w:eastAsia="Lucida Sans Unicode"/>
            <w:noProof/>
          </w:rPr>
          <w:t>udget to prevent and minimise gambling harm (NZ$m, GST exclusive), 2025/26 to 2027/28 compared with 2022/23 to 2024/25 total budget</w:t>
        </w:r>
        <w:r w:rsidR="005A02AA">
          <w:rPr>
            <w:noProof/>
            <w:webHidden/>
          </w:rPr>
          <w:tab/>
        </w:r>
        <w:r w:rsidR="005A02AA">
          <w:rPr>
            <w:noProof/>
            <w:webHidden/>
          </w:rPr>
          <w:fldChar w:fldCharType="begin"/>
        </w:r>
        <w:r w:rsidR="005A02AA">
          <w:rPr>
            <w:noProof/>
            <w:webHidden/>
          </w:rPr>
          <w:instrText xml:space="preserve"> PAGEREF _Toc197534215 \h </w:instrText>
        </w:r>
        <w:r w:rsidR="005A02AA">
          <w:rPr>
            <w:noProof/>
            <w:webHidden/>
          </w:rPr>
        </w:r>
        <w:r w:rsidR="005A02AA">
          <w:rPr>
            <w:noProof/>
            <w:webHidden/>
          </w:rPr>
          <w:fldChar w:fldCharType="separate"/>
        </w:r>
        <w:r w:rsidR="004C6C7B">
          <w:rPr>
            <w:noProof/>
            <w:webHidden/>
          </w:rPr>
          <w:t>29</w:t>
        </w:r>
        <w:r w:rsidR="005A02AA">
          <w:rPr>
            <w:noProof/>
            <w:webHidden/>
          </w:rPr>
          <w:fldChar w:fldCharType="end"/>
        </w:r>
      </w:hyperlink>
    </w:p>
    <w:p w14:paraId="6E4E0EC8" w14:textId="7E39B769" w:rsidR="005A02AA" w:rsidRDefault="00D60679">
      <w:pPr>
        <w:pStyle w:val="TOC3"/>
        <w:rPr>
          <w:rFonts w:asciiTheme="minorHAnsi" w:eastAsiaTheme="minorEastAsia" w:hAnsiTheme="minorHAnsi" w:cstheme="minorBidi"/>
          <w:noProof/>
          <w:sz w:val="22"/>
          <w:szCs w:val="22"/>
          <w:lang w:val="en-AU" w:eastAsia="en-AU"/>
        </w:rPr>
      </w:pPr>
      <w:hyperlink w:anchor="_Toc197534216" w:history="1">
        <w:r w:rsidR="005A02AA" w:rsidRPr="00BE1BF5">
          <w:rPr>
            <w:rStyle w:val="Hyperlink"/>
            <w:noProof/>
          </w:rPr>
          <w:t>Table A5.2: Primary prevention (public health) services, NZ$m</w:t>
        </w:r>
        <w:r w:rsidR="005A02AA">
          <w:rPr>
            <w:noProof/>
            <w:webHidden/>
          </w:rPr>
          <w:tab/>
        </w:r>
        <w:r w:rsidR="005A02AA">
          <w:rPr>
            <w:noProof/>
            <w:webHidden/>
          </w:rPr>
          <w:fldChar w:fldCharType="begin"/>
        </w:r>
        <w:r w:rsidR="005A02AA">
          <w:rPr>
            <w:noProof/>
            <w:webHidden/>
          </w:rPr>
          <w:instrText xml:space="preserve"> PAGEREF _Toc197534216 \h </w:instrText>
        </w:r>
        <w:r w:rsidR="005A02AA">
          <w:rPr>
            <w:noProof/>
            <w:webHidden/>
          </w:rPr>
        </w:r>
        <w:r w:rsidR="005A02AA">
          <w:rPr>
            <w:noProof/>
            <w:webHidden/>
          </w:rPr>
          <w:fldChar w:fldCharType="separate"/>
        </w:r>
        <w:r w:rsidR="004C6C7B">
          <w:rPr>
            <w:noProof/>
            <w:webHidden/>
          </w:rPr>
          <w:t>44</w:t>
        </w:r>
        <w:r w:rsidR="005A02AA">
          <w:rPr>
            <w:noProof/>
            <w:webHidden/>
          </w:rPr>
          <w:fldChar w:fldCharType="end"/>
        </w:r>
      </w:hyperlink>
    </w:p>
    <w:p w14:paraId="439A0305" w14:textId="76C1BB64" w:rsidR="005A02AA" w:rsidRDefault="00D60679">
      <w:pPr>
        <w:pStyle w:val="TOC3"/>
        <w:rPr>
          <w:rFonts w:asciiTheme="minorHAnsi" w:eastAsiaTheme="minorEastAsia" w:hAnsiTheme="minorHAnsi" w:cstheme="minorBidi"/>
          <w:noProof/>
          <w:sz w:val="22"/>
          <w:szCs w:val="22"/>
          <w:lang w:val="en-AU" w:eastAsia="en-AU"/>
        </w:rPr>
      </w:pPr>
      <w:hyperlink w:anchor="_Toc197534217" w:history="1">
        <w:r w:rsidR="005A02AA" w:rsidRPr="00BE1BF5">
          <w:rPr>
            <w:rStyle w:val="Hyperlink"/>
            <w:noProof/>
          </w:rPr>
          <w:t>Table A5.3: Treatment services, NZ$m</w:t>
        </w:r>
        <w:r w:rsidR="005A02AA">
          <w:rPr>
            <w:noProof/>
            <w:webHidden/>
          </w:rPr>
          <w:tab/>
        </w:r>
        <w:r w:rsidR="005A02AA">
          <w:rPr>
            <w:noProof/>
            <w:webHidden/>
          </w:rPr>
          <w:fldChar w:fldCharType="begin"/>
        </w:r>
        <w:r w:rsidR="005A02AA">
          <w:rPr>
            <w:noProof/>
            <w:webHidden/>
          </w:rPr>
          <w:instrText xml:space="preserve"> PAGEREF _Toc197534217 \h </w:instrText>
        </w:r>
        <w:r w:rsidR="005A02AA">
          <w:rPr>
            <w:noProof/>
            <w:webHidden/>
          </w:rPr>
        </w:r>
        <w:r w:rsidR="005A02AA">
          <w:rPr>
            <w:noProof/>
            <w:webHidden/>
          </w:rPr>
          <w:fldChar w:fldCharType="separate"/>
        </w:r>
        <w:r w:rsidR="004C6C7B">
          <w:rPr>
            <w:noProof/>
            <w:webHidden/>
          </w:rPr>
          <w:t>44</w:t>
        </w:r>
        <w:r w:rsidR="005A02AA">
          <w:rPr>
            <w:noProof/>
            <w:webHidden/>
          </w:rPr>
          <w:fldChar w:fldCharType="end"/>
        </w:r>
      </w:hyperlink>
    </w:p>
    <w:p w14:paraId="0672B41B" w14:textId="62385C42" w:rsidR="005A02AA" w:rsidRDefault="00D60679">
      <w:pPr>
        <w:pStyle w:val="TOC3"/>
        <w:rPr>
          <w:rFonts w:asciiTheme="minorHAnsi" w:eastAsiaTheme="minorEastAsia" w:hAnsiTheme="minorHAnsi" w:cstheme="minorBidi"/>
          <w:noProof/>
          <w:sz w:val="22"/>
          <w:szCs w:val="22"/>
          <w:lang w:val="en-AU" w:eastAsia="en-AU"/>
        </w:rPr>
      </w:pPr>
      <w:hyperlink w:anchor="_Toc197534218" w:history="1">
        <w:r w:rsidR="005A02AA" w:rsidRPr="00BE1BF5">
          <w:rPr>
            <w:rStyle w:val="Hyperlink"/>
            <w:noProof/>
          </w:rPr>
          <w:t>Table A5.4: Budget for new services (NZ$m, GST exclusive), 2025/26 to 2027/28</w:t>
        </w:r>
        <w:r w:rsidR="005A02AA">
          <w:rPr>
            <w:noProof/>
            <w:webHidden/>
          </w:rPr>
          <w:tab/>
        </w:r>
        <w:r w:rsidR="005A02AA">
          <w:rPr>
            <w:noProof/>
            <w:webHidden/>
          </w:rPr>
          <w:fldChar w:fldCharType="begin"/>
        </w:r>
        <w:r w:rsidR="005A02AA">
          <w:rPr>
            <w:noProof/>
            <w:webHidden/>
          </w:rPr>
          <w:instrText xml:space="preserve"> PAGEREF _Toc197534218 \h </w:instrText>
        </w:r>
        <w:r w:rsidR="005A02AA">
          <w:rPr>
            <w:noProof/>
            <w:webHidden/>
          </w:rPr>
        </w:r>
        <w:r w:rsidR="005A02AA">
          <w:rPr>
            <w:noProof/>
            <w:webHidden/>
          </w:rPr>
          <w:fldChar w:fldCharType="separate"/>
        </w:r>
        <w:r w:rsidR="004C6C7B">
          <w:rPr>
            <w:noProof/>
            <w:webHidden/>
          </w:rPr>
          <w:t>45</w:t>
        </w:r>
        <w:r w:rsidR="005A02AA">
          <w:rPr>
            <w:noProof/>
            <w:webHidden/>
          </w:rPr>
          <w:fldChar w:fldCharType="end"/>
        </w:r>
      </w:hyperlink>
    </w:p>
    <w:p w14:paraId="797428C0" w14:textId="322D229B" w:rsidR="005A02AA" w:rsidRDefault="00D60679">
      <w:pPr>
        <w:pStyle w:val="TOC3"/>
        <w:rPr>
          <w:rFonts w:asciiTheme="minorHAnsi" w:eastAsiaTheme="minorEastAsia" w:hAnsiTheme="minorHAnsi" w:cstheme="minorBidi"/>
          <w:noProof/>
          <w:sz w:val="22"/>
          <w:szCs w:val="22"/>
          <w:lang w:val="en-AU" w:eastAsia="en-AU"/>
        </w:rPr>
      </w:pPr>
      <w:hyperlink w:anchor="_Toc197534219" w:history="1">
        <w:r w:rsidR="005A02AA" w:rsidRPr="00BE1BF5">
          <w:rPr>
            <w:rStyle w:val="Hyperlink"/>
            <w:noProof/>
          </w:rPr>
          <w:t xml:space="preserve">Table A5.5: </w:t>
        </w:r>
        <w:r w:rsidR="005A02AA" w:rsidRPr="00BE1BF5">
          <w:rPr>
            <w:rStyle w:val="Hyperlink"/>
            <w:rFonts w:eastAsia="Lucida Sans Unicode"/>
            <w:noProof/>
          </w:rPr>
          <w:t>Budget agency operating costs (NZ$m, GST exclusive), 2025/26 to 2027/28</w:t>
        </w:r>
        <w:r w:rsidR="005A02AA">
          <w:rPr>
            <w:noProof/>
            <w:webHidden/>
          </w:rPr>
          <w:tab/>
        </w:r>
        <w:r w:rsidR="005A02AA">
          <w:rPr>
            <w:noProof/>
            <w:webHidden/>
          </w:rPr>
          <w:fldChar w:fldCharType="begin"/>
        </w:r>
        <w:r w:rsidR="005A02AA">
          <w:rPr>
            <w:noProof/>
            <w:webHidden/>
          </w:rPr>
          <w:instrText xml:space="preserve"> PAGEREF _Toc197534219 \h </w:instrText>
        </w:r>
        <w:r w:rsidR="005A02AA">
          <w:rPr>
            <w:noProof/>
            <w:webHidden/>
          </w:rPr>
        </w:r>
        <w:r w:rsidR="005A02AA">
          <w:rPr>
            <w:noProof/>
            <w:webHidden/>
          </w:rPr>
          <w:fldChar w:fldCharType="separate"/>
        </w:r>
        <w:r w:rsidR="004C6C7B">
          <w:rPr>
            <w:noProof/>
            <w:webHidden/>
          </w:rPr>
          <w:t>47</w:t>
        </w:r>
        <w:r w:rsidR="005A02AA">
          <w:rPr>
            <w:noProof/>
            <w:webHidden/>
          </w:rPr>
          <w:fldChar w:fldCharType="end"/>
        </w:r>
      </w:hyperlink>
    </w:p>
    <w:p w14:paraId="784C4FBF" w14:textId="6387E953" w:rsidR="005A02AA" w:rsidRDefault="00D60679">
      <w:pPr>
        <w:pStyle w:val="TOC3"/>
        <w:rPr>
          <w:rFonts w:asciiTheme="minorHAnsi" w:eastAsiaTheme="minorEastAsia" w:hAnsiTheme="minorHAnsi" w:cstheme="minorBidi"/>
          <w:noProof/>
          <w:sz w:val="22"/>
          <w:szCs w:val="22"/>
          <w:lang w:val="en-AU" w:eastAsia="en-AU"/>
        </w:rPr>
      </w:pPr>
      <w:hyperlink w:anchor="_Toc197534220" w:history="1">
        <w:r w:rsidR="005A02AA" w:rsidRPr="00BE1BF5">
          <w:rPr>
            <w:rStyle w:val="Hyperlink"/>
            <w:rFonts w:eastAsia="Segoe UI"/>
            <w:noProof/>
          </w:rPr>
          <w:t>Table A6.3: Forecast expenditure by sector (GST-inclusive), 2025/26 to 2027/28</w:t>
        </w:r>
        <w:r w:rsidR="005A02AA">
          <w:rPr>
            <w:noProof/>
            <w:webHidden/>
          </w:rPr>
          <w:tab/>
        </w:r>
        <w:r w:rsidR="005A02AA">
          <w:rPr>
            <w:noProof/>
            <w:webHidden/>
          </w:rPr>
          <w:fldChar w:fldCharType="begin"/>
        </w:r>
        <w:r w:rsidR="005A02AA">
          <w:rPr>
            <w:noProof/>
            <w:webHidden/>
          </w:rPr>
          <w:instrText xml:space="preserve"> PAGEREF _Toc197534220 \h </w:instrText>
        </w:r>
        <w:r w:rsidR="005A02AA">
          <w:rPr>
            <w:noProof/>
            <w:webHidden/>
          </w:rPr>
        </w:r>
        <w:r w:rsidR="005A02AA">
          <w:rPr>
            <w:noProof/>
            <w:webHidden/>
          </w:rPr>
          <w:fldChar w:fldCharType="separate"/>
        </w:r>
        <w:r w:rsidR="004C6C7B">
          <w:rPr>
            <w:noProof/>
            <w:webHidden/>
          </w:rPr>
          <w:t>51</w:t>
        </w:r>
        <w:r w:rsidR="005A02AA">
          <w:rPr>
            <w:noProof/>
            <w:webHidden/>
          </w:rPr>
          <w:fldChar w:fldCharType="end"/>
        </w:r>
      </w:hyperlink>
    </w:p>
    <w:p w14:paraId="229C5849" w14:textId="0C2C2752" w:rsidR="005A02AA" w:rsidRDefault="00D60679">
      <w:pPr>
        <w:pStyle w:val="TOC3"/>
        <w:rPr>
          <w:rFonts w:asciiTheme="minorHAnsi" w:eastAsiaTheme="minorEastAsia" w:hAnsiTheme="minorHAnsi" w:cstheme="minorBidi"/>
          <w:noProof/>
          <w:sz w:val="22"/>
          <w:szCs w:val="22"/>
          <w:lang w:val="en-AU" w:eastAsia="en-AU"/>
        </w:rPr>
      </w:pPr>
      <w:hyperlink w:anchor="_Toc197534221" w:history="1">
        <w:r w:rsidR="005A02AA" w:rsidRPr="00BE1BF5">
          <w:rPr>
            <w:rStyle w:val="Hyperlink"/>
            <w:rFonts w:eastAsia="Segoe UI"/>
            <w:noProof/>
          </w:rPr>
          <w:t>Table A6.4: Estimated under- or overpayment of problem gambling levy, 2004/05 to 2024/25, by gambling sector</w:t>
        </w:r>
        <w:r w:rsidR="005A02AA">
          <w:rPr>
            <w:noProof/>
            <w:webHidden/>
          </w:rPr>
          <w:tab/>
        </w:r>
        <w:r w:rsidR="005A02AA">
          <w:rPr>
            <w:noProof/>
            <w:webHidden/>
          </w:rPr>
          <w:fldChar w:fldCharType="begin"/>
        </w:r>
        <w:r w:rsidR="005A02AA">
          <w:rPr>
            <w:noProof/>
            <w:webHidden/>
          </w:rPr>
          <w:instrText xml:space="preserve"> PAGEREF _Toc197534221 \h </w:instrText>
        </w:r>
        <w:r w:rsidR="005A02AA">
          <w:rPr>
            <w:noProof/>
            <w:webHidden/>
          </w:rPr>
        </w:r>
        <w:r w:rsidR="005A02AA">
          <w:rPr>
            <w:noProof/>
            <w:webHidden/>
          </w:rPr>
          <w:fldChar w:fldCharType="separate"/>
        </w:r>
        <w:r w:rsidR="004C6C7B">
          <w:rPr>
            <w:noProof/>
            <w:webHidden/>
          </w:rPr>
          <w:t>53</w:t>
        </w:r>
        <w:r w:rsidR="005A02AA">
          <w:rPr>
            <w:noProof/>
            <w:webHidden/>
          </w:rPr>
          <w:fldChar w:fldCharType="end"/>
        </w:r>
      </w:hyperlink>
    </w:p>
    <w:p w14:paraId="4A6797B1" w14:textId="62F3B2C6" w:rsidR="002B76A7" w:rsidRDefault="0089731B" w:rsidP="003A5FEA">
      <w:r>
        <w:rPr>
          <w:sz w:val="20"/>
        </w:rPr>
        <w:fldChar w:fldCharType="end"/>
      </w:r>
    </w:p>
    <w:p w14:paraId="03333094" w14:textId="24DD9B6F" w:rsidR="00913294" w:rsidRPr="00913294" w:rsidRDefault="00913294" w:rsidP="00913294">
      <w:pPr>
        <w:tabs>
          <w:tab w:val="left" w:pos="6060"/>
        </w:tabs>
        <w:sectPr w:rsidR="00913294" w:rsidRPr="00913294" w:rsidSect="0078658E">
          <w:pgSz w:w="11907" w:h="16840" w:code="9"/>
          <w:pgMar w:top="1418" w:right="1701" w:bottom="1134" w:left="1843" w:header="284" w:footer="425" w:gutter="284"/>
          <w:pgNumType w:fmt="lowerRoman"/>
          <w:cols w:space="720"/>
        </w:sectPr>
      </w:pPr>
      <w:r>
        <w:tab/>
      </w:r>
    </w:p>
    <w:p w14:paraId="391E425A" w14:textId="77777777" w:rsidR="009616E5" w:rsidRPr="00835945" w:rsidRDefault="009616E5" w:rsidP="009616E5">
      <w:pPr>
        <w:pStyle w:val="Heading1"/>
      </w:pPr>
      <w:bookmarkStart w:id="2" w:name="_Toc197534182"/>
      <w:r w:rsidRPr="006B4A33">
        <w:lastRenderedPageBreak/>
        <w:t>Appendix One: Further detail about gambling in New Zealand</w:t>
      </w:r>
      <w:bookmarkEnd w:id="2"/>
    </w:p>
    <w:p w14:paraId="4957306D" w14:textId="77777777" w:rsidR="009616E5" w:rsidRPr="00776367" w:rsidRDefault="009616E5" w:rsidP="00776367">
      <w:pPr>
        <w:pStyle w:val="Heading2"/>
      </w:pPr>
      <w:bookmarkStart w:id="3" w:name="_Toc197534183"/>
      <w:r w:rsidRPr="00776367">
        <w:t>Legislation</w:t>
      </w:r>
      <w:bookmarkEnd w:id="3"/>
    </w:p>
    <w:p w14:paraId="30E99758" w14:textId="0FB8DAEA" w:rsidR="009616E5" w:rsidRDefault="009616E5" w:rsidP="00CE5A11">
      <w:r>
        <w:t>Gambling in New Zealand is regulated by the Gambling Act 2003 (the Act) and the Racing Industry Act 2020 (the Racing Act), which are both administered by the Department of Internal Affairs (DIA)</w:t>
      </w:r>
      <w:r w:rsidR="3E63E091">
        <w:t>. M</w:t>
      </w:r>
      <w:r>
        <w:t xml:space="preserve">ore information on DIA’s role is provided in Appendix Two. </w:t>
      </w:r>
    </w:p>
    <w:p w14:paraId="0C5FEB54" w14:textId="77777777" w:rsidR="009616E5" w:rsidRDefault="009616E5" w:rsidP="00CE5A11"/>
    <w:p w14:paraId="56D3BF9E" w14:textId="392F4BC4" w:rsidR="009616E5" w:rsidRDefault="009616E5" w:rsidP="00CE5A11">
      <w:r w:rsidRPr="52103CC6">
        <w:t xml:space="preserve">The Act has multiple purposes </w:t>
      </w:r>
      <w:r w:rsidR="61F7B8BF" w:rsidRPr="52103CC6">
        <w:t xml:space="preserve">which are </w:t>
      </w:r>
      <w:r w:rsidR="7B74B04F" w:rsidRPr="52103CC6">
        <w:t>discussed</w:t>
      </w:r>
      <w:r w:rsidR="61F7B8BF" w:rsidRPr="52103CC6">
        <w:t xml:space="preserve"> below</w:t>
      </w:r>
      <w:r w:rsidRPr="52103CC6">
        <w:t xml:space="preserve">. </w:t>
      </w:r>
      <w:r w:rsidR="7F4AA447" w:rsidRPr="52103CC6">
        <w:t xml:space="preserve">The </w:t>
      </w:r>
      <w:r w:rsidR="08A72EF4" w:rsidRPr="52103CC6">
        <w:t>Act also</w:t>
      </w:r>
      <w:r w:rsidRPr="52103CC6">
        <w:t xml:space="preserve"> includes the requirement for the </w:t>
      </w:r>
      <w:r w:rsidR="3637063C" w:rsidRPr="52103CC6">
        <w:t>g</w:t>
      </w:r>
      <w:r w:rsidRPr="52103CC6">
        <w:t xml:space="preserve">overnment to develop ‘an integrated problem gambling strategy’. </w:t>
      </w:r>
    </w:p>
    <w:p w14:paraId="146B02E4" w14:textId="77777777" w:rsidR="009616E5" w:rsidRDefault="009616E5" w:rsidP="00CE5A11"/>
    <w:p w14:paraId="27F3539F" w14:textId="1EBBCA74" w:rsidR="009616E5" w:rsidRDefault="009616E5" w:rsidP="00CE5A11">
      <w:pPr>
        <w:rPr>
          <w:rFonts w:eastAsia="Lucida Sans Unicode"/>
        </w:rPr>
      </w:pPr>
      <w:r w:rsidRPr="52103CC6">
        <w:t xml:space="preserve">The Racing Act is focused on the racing industry and establishes TAB </w:t>
      </w:r>
      <w:r w:rsidR="67EA54A5" w:rsidRPr="52103CC6">
        <w:t xml:space="preserve">NZ </w:t>
      </w:r>
      <w:r w:rsidRPr="52103CC6">
        <w:t xml:space="preserve">as the sole betting provider for racing and sports in New Zealand. </w:t>
      </w:r>
    </w:p>
    <w:p w14:paraId="0EDC576D" w14:textId="73AC8C6B" w:rsidR="009616E5" w:rsidRDefault="009616E5" w:rsidP="00CE5A11"/>
    <w:p w14:paraId="685AAD48" w14:textId="667A81A2" w:rsidR="009616E5" w:rsidRDefault="009616E5" w:rsidP="00CE5A11">
      <w:pPr>
        <w:rPr>
          <w:rFonts w:eastAsia="Lucida Sans Unicode"/>
        </w:rPr>
      </w:pPr>
      <w:r w:rsidRPr="52103CC6">
        <w:t xml:space="preserve">The </w:t>
      </w:r>
      <w:r w:rsidRPr="52103CC6">
        <w:rPr>
          <w:rFonts w:eastAsia="Lucida Sans Unicode"/>
        </w:rPr>
        <w:t xml:space="preserve">four main regulated gambling sectors in New Zealand are Lotto </w:t>
      </w:r>
      <w:r w:rsidRPr="52103CC6">
        <w:t>NZ</w:t>
      </w:r>
      <w:r w:rsidRPr="52103CC6">
        <w:rPr>
          <w:rFonts w:eastAsia="Lucida Sans Unicode"/>
        </w:rPr>
        <w:t>, TAB</w:t>
      </w:r>
      <w:r w:rsidRPr="52103CC6">
        <w:t xml:space="preserve"> NZ</w:t>
      </w:r>
      <w:r w:rsidRPr="52103CC6">
        <w:rPr>
          <w:rFonts w:eastAsia="Lucida Sans Unicode"/>
        </w:rPr>
        <w:t>, casinos and non-casino gaming machines</w:t>
      </w:r>
      <w:r w:rsidRPr="52103CC6">
        <w:t>. There are two main areas of gambling-like activity that are not currently captured by legislation – online gambling and gaming convergence. The government recently agreed to regulate online casino gambling through a licensing system, which will be designed to minimise harm, support tax collection, and provide consumer protections to New Zealanders. This regime is expected to come into effect in 2026.</w:t>
      </w:r>
      <w:r w:rsidRPr="52103CC6">
        <w:rPr>
          <w:rFonts w:eastAsia="Calibri"/>
        </w:rPr>
        <w:t xml:space="preserve"> </w:t>
      </w:r>
    </w:p>
    <w:p w14:paraId="79B695CB" w14:textId="77777777" w:rsidR="009616E5" w:rsidRDefault="009616E5" w:rsidP="009616E5">
      <w:pPr>
        <w:pStyle w:val="Heading3"/>
      </w:pPr>
      <w:r>
        <w:t>Laws and rules</w:t>
      </w:r>
    </w:p>
    <w:p w14:paraId="6C9D8980" w14:textId="161927C5" w:rsidR="009616E5" w:rsidRPr="00074E77" w:rsidRDefault="009616E5" w:rsidP="009616E5">
      <w:r>
        <w:t>T</w:t>
      </w:r>
      <w:r w:rsidRPr="003E7731">
        <w:t xml:space="preserve">he </w:t>
      </w:r>
      <w:r>
        <w:t xml:space="preserve">Act is administered by DIA. </w:t>
      </w:r>
      <w:r w:rsidRPr="00074E77">
        <w:t>The purpose of the</w:t>
      </w:r>
      <w:r>
        <w:t xml:space="preserve"> </w:t>
      </w:r>
      <w:r w:rsidRPr="00074E77">
        <w:t>Act is to:</w:t>
      </w:r>
    </w:p>
    <w:p w14:paraId="72B0DDF8" w14:textId="77777777" w:rsidR="009616E5" w:rsidRPr="006B4A33" w:rsidRDefault="009616E5" w:rsidP="009616E5">
      <w:pPr>
        <w:pStyle w:val="Bullet"/>
      </w:pPr>
      <w:r w:rsidRPr="006B4A33">
        <w:t>control the growth of gambling</w:t>
      </w:r>
    </w:p>
    <w:p w14:paraId="064077A5" w14:textId="77777777" w:rsidR="009616E5" w:rsidRPr="006B4A33" w:rsidRDefault="009616E5" w:rsidP="009616E5">
      <w:pPr>
        <w:pStyle w:val="Bullet"/>
      </w:pPr>
      <w:r w:rsidRPr="006B4A33">
        <w:t>prevent and minimise the harm caused by gambling, including problem gambling</w:t>
      </w:r>
    </w:p>
    <w:p w14:paraId="723AB4DA" w14:textId="77777777" w:rsidR="009616E5" w:rsidRPr="006B4A33" w:rsidRDefault="009616E5" w:rsidP="009616E5">
      <w:pPr>
        <w:pStyle w:val="Bullet"/>
      </w:pPr>
      <w:r w:rsidRPr="006B4A33">
        <w:t>authorise some gambling and prohibit the rest</w:t>
      </w:r>
    </w:p>
    <w:p w14:paraId="51390D13" w14:textId="77777777" w:rsidR="009616E5" w:rsidRPr="006B4A33" w:rsidRDefault="009616E5" w:rsidP="009616E5">
      <w:pPr>
        <w:pStyle w:val="Bullet"/>
      </w:pPr>
      <w:r w:rsidRPr="006B4A33">
        <w:t>facilitate responsible gambling</w:t>
      </w:r>
    </w:p>
    <w:p w14:paraId="14B771BD" w14:textId="77777777" w:rsidR="009616E5" w:rsidRPr="006B4A33" w:rsidRDefault="009616E5" w:rsidP="009616E5">
      <w:pPr>
        <w:pStyle w:val="Bullet"/>
      </w:pPr>
      <w:r w:rsidRPr="006B4A33">
        <w:t>ensure the fairness and integrity of games</w:t>
      </w:r>
    </w:p>
    <w:p w14:paraId="5C931F59" w14:textId="77777777" w:rsidR="009616E5" w:rsidRPr="006B4A33" w:rsidRDefault="009616E5" w:rsidP="009616E5">
      <w:pPr>
        <w:pStyle w:val="Bullet"/>
      </w:pPr>
      <w:r w:rsidRPr="006B4A33">
        <w:t>limit opportunities for crime and dishonesty associated with gambling</w:t>
      </w:r>
    </w:p>
    <w:p w14:paraId="1326824F" w14:textId="77777777" w:rsidR="009616E5" w:rsidRPr="006B4A33" w:rsidRDefault="009616E5" w:rsidP="009616E5">
      <w:pPr>
        <w:pStyle w:val="Bullet"/>
      </w:pPr>
      <w:r w:rsidRPr="52103CC6">
        <w:t>ensure that money from gambling benefits the community</w:t>
      </w:r>
    </w:p>
    <w:p w14:paraId="4761D688" w14:textId="77777777" w:rsidR="009616E5" w:rsidRDefault="009616E5" w:rsidP="009616E5">
      <w:pPr>
        <w:pStyle w:val="Bullet"/>
      </w:pPr>
      <w:r w:rsidRPr="006B4A33">
        <w:t>facilitate community involvement in decisions about the provision of gambling.</w:t>
      </w:r>
    </w:p>
    <w:p w14:paraId="0F700457" w14:textId="77777777" w:rsidR="009616E5" w:rsidRPr="006B4A33" w:rsidRDefault="009616E5" w:rsidP="009616E5"/>
    <w:p w14:paraId="5763246B" w14:textId="77777777" w:rsidR="009616E5" w:rsidRPr="003F1AFE" w:rsidRDefault="009616E5" w:rsidP="009616E5">
      <w:r w:rsidRPr="0FD73C6D">
        <w:t>As well as the requirement to develop an integrated problem gambling strategy (section 317 of the Act), other aspects of the Act designed to prevent and minimise harm include:</w:t>
      </w:r>
    </w:p>
    <w:p w14:paraId="1178FA29" w14:textId="77777777" w:rsidR="009616E5" w:rsidRPr="006B4A33" w:rsidRDefault="00D60679" w:rsidP="009616E5">
      <w:pPr>
        <w:pStyle w:val="Bullet"/>
      </w:pPr>
      <w:hyperlink r:id="rId25">
        <w:r w:rsidR="009616E5" w:rsidRPr="006B4A33">
          <w:t>prohibiting some forms of gambling</w:t>
        </w:r>
      </w:hyperlink>
      <w:r w:rsidR="009616E5" w:rsidRPr="006B4A33">
        <w:t xml:space="preserve"> and advertising overseas gambling</w:t>
      </w:r>
    </w:p>
    <w:p w14:paraId="6921AFD6" w14:textId="05A6F6EE" w:rsidR="009616E5" w:rsidRPr="006B4A33" w:rsidRDefault="009616E5" w:rsidP="009616E5">
      <w:pPr>
        <w:pStyle w:val="Bullet"/>
      </w:pPr>
      <w:r w:rsidRPr="52103CC6">
        <w:lastRenderedPageBreak/>
        <w:t xml:space="preserve">limits on the number of Class 4 gaming machines in a venue and regulations to prevent and </w:t>
      </w:r>
      <w:r w:rsidR="00FA3BD1" w:rsidRPr="52103CC6">
        <w:t>minimise harm</w:t>
      </w:r>
      <w:r w:rsidR="00D37820" w:rsidRPr="52103CC6">
        <w:t>,</w:t>
      </w:r>
      <w:r w:rsidRPr="52103CC6">
        <w:t xml:space="preserve"> age restrictions, exclusion and self-exclusion processes.</w:t>
      </w:r>
    </w:p>
    <w:p w14:paraId="4C63A6BE" w14:textId="119D0609" w:rsidR="009616E5" w:rsidRDefault="009616E5" w:rsidP="00CE5A11">
      <w:pPr>
        <w:rPr>
          <w:shd w:val="clear" w:color="auto" w:fill="FFFFFF"/>
        </w:rPr>
      </w:pPr>
    </w:p>
    <w:p w14:paraId="01FFA643" w14:textId="3405EEC2" w:rsidR="009616E5" w:rsidRPr="003F1AFE" w:rsidRDefault="009616E5" w:rsidP="00CE5A11">
      <w:r w:rsidRPr="44644BCA">
        <w:rPr>
          <w:shd w:val="clear" w:color="auto" w:fill="FFFFFF"/>
        </w:rPr>
        <w:t xml:space="preserve">Racing and sports betting continues to be administered under the Racing Act 2003 (with some exceptions, such as gaming machine operations in TABs and racing clubs). </w:t>
      </w:r>
    </w:p>
    <w:p w14:paraId="0F3A24DC" w14:textId="77777777" w:rsidR="00CD3009" w:rsidRDefault="00CD3009" w:rsidP="00CE5A11">
      <w:pPr>
        <w:rPr>
          <w:rFonts w:eastAsia="Lucida Sans Unicode"/>
        </w:rPr>
      </w:pPr>
    </w:p>
    <w:p w14:paraId="479A0931" w14:textId="522C7966" w:rsidR="009616E5" w:rsidRPr="00A206AD" w:rsidRDefault="009616E5" w:rsidP="00CE5A11">
      <w:pPr>
        <w:rPr>
          <w:rFonts w:eastAsia="Lucida Sans Unicode"/>
        </w:rPr>
      </w:pPr>
      <w:r>
        <w:rPr>
          <w:rFonts w:eastAsia="Lucida Sans Unicode"/>
        </w:rPr>
        <w:t>The Act also specifies that a</w:t>
      </w:r>
      <w:r w:rsidRPr="00A206AD">
        <w:rPr>
          <w:rFonts w:eastAsia="Lucida Sans Unicode"/>
        </w:rPr>
        <w:t>n integrated problem gambling strategy may be developed</w:t>
      </w:r>
      <w:r>
        <w:rPr>
          <w:rFonts w:eastAsia="Lucida Sans Unicode"/>
        </w:rPr>
        <w:t xml:space="preserve"> (section </w:t>
      </w:r>
      <w:r w:rsidRPr="556E9C02">
        <w:rPr>
          <w:rFonts w:eastAsia="Lucida Sans Unicode"/>
        </w:rPr>
        <w:t>317</w:t>
      </w:r>
      <w:r>
        <w:rPr>
          <w:rFonts w:eastAsia="Lucida Sans Unicode"/>
        </w:rPr>
        <w:t>)</w:t>
      </w:r>
      <w:r w:rsidRPr="00A206AD">
        <w:rPr>
          <w:rFonts w:eastAsia="Lucida Sans Unicode"/>
        </w:rPr>
        <w:t>, and if so,</w:t>
      </w:r>
      <w:r>
        <w:rPr>
          <w:rFonts w:eastAsia="Lucida Sans Unicode"/>
        </w:rPr>
        <w:t xml:space="preserve"> </w:t>
      </w:r>
      <w:r w:rsidRPr="00A206AD">
        <w:rPr>
          <w:rFonts w:eastAsia="Lucida Sans Unicode"/>
        </w:rPr>
        <w:t>must includ</w:t>
      </w:r>
      <w:r>
        <w:rPr>
          <w:rFonts w:eastAsia="Lucida Sans Unicode"/>
        </w:rPr>
        <w:t>e:</w:t>
      </w:r>
    </w:p>
    <w:p w14:paraId="7B5F8720" w14:textId="77777777" w:rsidR="009616E5" w:rsidRPr="006B4A33" w:rsidRDefault="009616E5" w:rsidP="009616E5">
      <w:pPr>
        <w:pStyle w:val="Bullet"/>
        <w:rPr>
          <w:rFonts w:eastAsia="Lucida Sans Unicode"/>
        </w:rPr>
      </w:pPr>
      <w:r w:rsidRPr="006B4A33">
        <w:rPr>
          <w:rFonts w:eastAsia="Lucida Sans Unicode"/>
        </w:rPr>
        <w:t xml:space="preserve">measures to promote public health by preventing and minimising the harm from gambling; </w:t>
      </w:r>
    </w:p>
    <w:p w14:paraId="1ACFBDCE" w14:textId="564C6E8E" w:rsidR="009616E5" w:rsidRPr="006B4A33" w:rsidRDefault="009616E5" w:rsidP="52103CC6">
      <w:pPr>
        <w:pStyle w:val="Bullet"/>
        <w:rPr>
          <w:rFonts w:eastAsia="Lucida Sans Unicode"/>
        </w:rPr>
      </w:pPr>
      <w:r w:rsidRPr="52103CC6">
        <w:rPr>
          <w:rFonts w:eastAsia="Lucida Sans Unicode"/>
        </w:rPr>
        <w:t xml:space="preserve">services to treat and assist problem gamblers and their families and whānau; </w:t>
      </w:r>
    </w:p>
    <w:p w14:paraId="2EB13FF5" w14:textId="77777777" w:rsidR="009616E5" w:rsidRPr="006B4A33" w:rsidRDefault="009616E5" w:rsidP="52103CC6">
      <w:pPr>
        <w:pStyle w:val="Bullet"/>
        <w:rPr>
          <w:rFonts w:eastAsia="Lucida Sans Unicode"/>
        </w:rPr>
      </w:pPr>
      <w:r w:rsidRPr="52103CC6">
        <w:rPr>
          <w:rFonts w:eastAsia="Lucida Sans Unicode"/>
        </w:rPr>
        <w:t>independent scientific research associated with gambling, including (for example) longitudinal research on the social and economic impacts of gambling, particularly the impacts on different cultural groups; and</w:t>
      </w:r>
    </w:p>
    <w:p w14:paraId="60EF75B7" w14:textId="77777777" w:rsidR="009616E5" w:rsidRPr="006B4A33" w:rsidRDefault="009616E5" w:rsidP="009616E5">
      <w:pPr>
        <w:pStyle w:val="Bullet"/>
        <w:rPr>
          <w:rFonts w:eastAsia="Lucida Sans Unicode"/>
        </w:rPr>
      </w:pPr>
      <w:r w:rsidRPr="006B4A33">
        <w:rPr>
          <w:rFonts w:eastAsia="Lucida Sans Unicode"/>
        </w:rPr>
        <w:t>evaluation.</w:t>
      </w:r>
    </w:p>
    <w:p w14:paraId="5D83D3E8" w14:textId="77777777" w:rsidR="009616E5" w:rsidRDefault="009616E5" w:rsidP="009616E5">
      <w:pPr>
        <w:pStyle w:val="Heading2"/>
      </w:pPr>
      <w:bookmarkStart w:id="4" w:name="_Toc197534184"/>
      <w:r>
        <w:t>Types of gambling</w:t>
      </w:r>
      <w:bookmarkEnd w:id="4"/>
    </w:p>
    <w:p w14:paraId="256550BC" w14:textId="77777777" w:rsidR="009616E5" w:rsidRDefault="009616E5" w:rsidP="009616E5">
      <w:pPr>
        <w:pStyle w:val="Heading3"/>
      </w:pPr>
      <w:r>
        <w:t xml:space="preserve">Regulated </w:t>
      </w:r>
      <w:r w:rsidRPr="00340DB9">
        <w:t>gambling</w:t>
      </w:r>
    </w:p>
    <w:p w14:paraId="3AD713E4" w14:textId="77777777" w:rsidR="009616E5" w:rsidRDefault="009616E5" w:rsidP="52103CC6">
      <w:pPr>
        <w:rPr>
          <w:rFonts w:eastAsia="Lucida Sans Unicode"/>
        </w:rPr>
      </w:pPr>
      <w:r w:rsidRPr="52103CC6">
        <w:rPr>
          <w:rFonts w:eastAsia="Lucida Sans Unicode"/>
        </w:rPr>
        <w:t>The four main regulated gambling sectors in New Zealand are: Lotto NZ, TAB NZ, casinos and non-casino gaming machines.</w:t>
      </w:r>
    </w:p>
    <w:p w14:paraId="6822D244" w14:textId="4206EFF0" w:rsidR="009616E5" w:rsidRPr="006B4A33" w:rsidRDefault="009616E5" w:rsidP="009616E5">
      <w:pPr>
        <w:pStyle w:val="Bullet"/>
        <w:rPr>
          <w:rFonts w:eastAsia="Lucida Sans Unicode"/>
        </w:rPr>
      </w:pPr>
      <w:r w:rsidRPr="006B4A33">
        <w:rPr>
          <w:rFonts w:eastAsia="Lucida Sans Unicode"/>
        </w:rPr>
        <w:t>The New Zealand Lotteries Commission</w:t>
      </w:r>
      <w:r w:rsidR="00417579">
        <w:rPr>
          <w:rFonts w:eastAsia="Lucida Sans Unicode"/>
        </w:rPr>
        <w:t xml:space="preserve"> (</w:t>
      </w:r>
      <w:r w:rsidR="00BE06DA">
        <w:rPr>
          <w:rFonts w:eastAsia="Lucida Sans Unicode"/>
        </w:rPr>
        <w:t>Lotto NZ)</w:t>
      </w:r>
      <w:r w:rsidRPr="006B4A33">
        <w:rPr>
          <w:rFonts w:eastAsia="Lucida Sans Unicode"/>
        </w:rPr>
        <w:t xml:space="preserve"> administer</w:t>
      </w:r>
      <w:r w:rsidR="00BE06DA">
        <w:rPr>
          <w:rFonts w:eastAsia="Lucida Sans Unicode"/>
        </w:rPr>
        <w:t>s</w:t>
      </w:r>
      <w:r w:rsidRPr="006B4A33">
        <w:rPr>
          <w:rFonts w:eastAsia="Lucida Sans Unicode"/>
        </w:rPr>
        <w:t xml:space="preserve"> a range of games including Lotto, Keno and a variety of online games known as Instant Kiwi</w:t>
      </w:r>
      <w:r w:rsidR="00533C0B">
        <w:rPr>
          <w:rFonts w:eastAsia="Lucida Sans Unicode"/>
        </w:rPr>
        <w:t xml:space="preserve"> (</w:t>
      </w:r>
      <w:r w:rsidR="00465075">
        <w:rPr>
          <w:rFonts w:eastAsia="Lucida Sans Unicode"/>
        </w:rPr>
        <w:t xml:space="preserve">some of </w:t>
      </w:r>
      <w:r w:rsidR="000324C0">
        <w:rPr>
          <w:rFonts w:eastAsia="Lucida Sans Unicode"/>
        </w:rPr>
        <w:t>which are also available in person)</w:t>
      </w:r>
      <w:r w:rsidRPr="006B4A33">
        <w:rPr>
          <w:rFonts w:eastAsia="Lucida Sans Unicode"/>
        </w:rPr>
        <w:t xml:space="preserve">. It has </w:t>
      </w:r>
      <w:r w:rsidR="00D32400">
        <w:rPr>
          <w:rFonts w:eastAsia="Lucida Sans Unicode"/>
        </w:rPr>
        <w:t xml:space="preserve">1200 retail outlets plus </w:t>
      </w:r>
      <w:r w:rsidRPr="006B4A33">
        <w:rPr>
          <w:rFonts w:eastAsia="Lucida Sans Unicode"/>
        </w:rPr>
        <w:t>online offerings.</w:t>
      </w:r>
    </w:p>
    <w:p w14:paraId="1AE95CA3" w14:textId="41B300C0" w:rsidR="009616E5" w:rsidRPr="006B4A33" w:rsidRDefault="009616E5" w:rsidP="52103CC6">
      <w:pPr>
        <w:pStyle w:val="Bullet"/>
        <w:rPr>
          <w:rFonts w:eastAsia="Lucida Sans Unicode"/>
        </w:rPr>
      </w:pPr>
      <w:r w:rsidRPr="52103CC6">
        <w:rPr>
          <w:rFonts w:eastAsia="Lucida Sans Unicode"/>
        </w:rPr>
        <w:t>As of 30 June 2023, TAB NZ operated 461 retail TAB outlets, offering betting on sports and races.</w:t>
      </w:r>
      <w:r w:rsidRPr="52103CC6">
        <w:rPr>
          <w:rStyle w:val="FootnoteReference"/>
          <w:rFonts w:eastAsia="Lucida Sans Unicode"/>
        </w:rPr>
        <w:footnoteReference w:id="2"/>
      </w:r>
      <w:r w:rsidRPr="52103CC6">
        <w:rPr>
          <w:rFonts w:eastAsia="Lucida Sans Unicode"/>
        </w:rPr>
        <w:t xml:space="preserve"> Of these outlets, 40 hosted 468 gaming machines. TAB also has both land-based and online offerings.</w:t>
      </w:r>
    </w:p>
    <w:p w14:paraId="05939C34" w14:textId="77777777" w:rsidR="009616E5" w:rsidRPr="006B4A33" w:rsidRDefault="009616E5" w:rsidP="52103CC6">
      <w:pPr>
        <w:pStyle w:val="Bullet"/>
        <w:rPr>
          <w:rFonts w:eastAsia="Lucida Sans Unicode"/>
        </w:rPr>
      </w:pPr>
      <w:r w:rsidRPr="52103CC6">
        <w:rPr>
          <w:rFonts w:eastAsia="Lucida Sans Unicode"/>
        </w:rPr>
        <w:t>There are five casinos in New Zealand: one each in Auckland, Hamilton, Christchurch and Dunedin, and one in Queenstown. The casinos operate 2,982 gaming machines, 233 table games and 240 fully automated gambling machines (the latter are all in Auckland). The Act prohibits any more casinos opening in New Zealand.</w:t>
      </w:r>
    </w:p>
    <w:p w14:paraId="0ADC3935" w14:textId="38C2625E" w:rsidR="009616E5" w:rsidRPr="006B4A33" w:rsidRDefault="009616E5" w:rsidP="52103CC6">
      <w:pPr>
        <w:pStyle w:val="Bullet"/>
        <w:rPr>
          <w:rFonts w:eastAsia="Lucida Sans Unicode"/>
        </w:rPr>
      </w:pPr>
      <w:r w:rsidRPr="52103CC6">
        <w:rPr>
          <w:rFonts w:eastAsia="Lucida Sans Unicode"/>
        </w:rPr>
        <w:t xml:space="preserve">Data </w:t>
      </w:r>
      <w:r w:rsidR="00DB1A35">
        <w:rPr>
          <w:rFonts w:eastAsia="Lucida Sans Unicode"/>
        </w:rPr>
        <w:t xml:space="preserve">as at 31 December </w:t>
      </w:r>
      <w:r w:rsidRPr="52103CC6">
        <w:rPr>
          <w:rFonts w:eastAsia="Lucida Sans Unicode"/>
        </w:rPr>
        <w:t>2024 shows there were 9</w:t>
      </w:r>
      <w:r w:rsidR="00D32400">
        <w:rPr>
          <w:rFonts w:eastAsia="Lucida Sans Unicode"/>
        </w:rPr>
        <w:t>77</w:t>
      </w:r>
      <w:r w:rsidRPr="52103CC6">
        <w:rPr>
          <w:rFonts w:eastAsia="Lucida Sans Unicode"/>
        </w:rPr>
        <w:t xml:space="preserve"> active licensed non-casino gaming machines (Class 4) venues, operating </w:t>
      </w:r>
      <w:r w:rsidR="00D32400">
        <w:rPr>
          <w:rFonts w:eastAsia="Lucida Sans Unicode"/>
        </w:rPr>
        <w:t>13,985</w:t>
      </w:r>
      <w:r w:rsidRPr="52103CC6">
        <w:rPr>
          <w:rFonts w:eastAsia="Lucida Sans Unicode"/>
        </w:rPr>
        <w:t xml:space="preserve"> machines. This reflects a decreasing trend </w:t>
      </w:r>
      <w:r w:rsidR="00D32400">
        <w:rPr>
          <w:rFonts w:eastAsia="Lucida Sans Unicode"/>
        </w:rPr>
        <w:t xml:space="preserve">since venues </w:t>
      </w:r>
      <w:r w:rsidRPr="52103CC6">
        <w:rPr>
          <w:rFonts w:eastAsia="Lucida Sans Unicode"/>
        </w:rPr>
        <w:t xml:space="preserve">peaked at </w:t>
      </w:r>
      <w:r w:rsidR="00D32400">
        <w:rPr>
          <w:rFonts w:eastAsia="Lucida Sans Unicode"/>
        </w:rPr>
        <w:t xml:space="preserve">over </w:t>
      </w:r>
      <w:r w:rsidRPr="52103CC6">
        <w:rPr>
          <w:rFonts w:eastAsia="Lucida Sans Unicode"/>
        </w:rPr>
        <w:t>2,200 in the late 1990s and machines peaked at 25,221 in June 2003.</w:t>
      </w:r>
    </w:p>
    <w:p w14:paraId="3D8B5037" w14:textId="77777777" w:rsidR="009616E5" w:rsidRPr="006B4A33" w:rsidRDefault="009616E5" w:rsidP="009616E5">
      <w:pPr>
        <w:pStyle w:val="Heading3"/>
      </w:pPr>
      <w:r w:rsidRPr="006B4A33">
        <w:t>Unregulated outlets</w:t>
      </w:r>
    </w:p>
    <w:p w14:paraId="24911D08" w14:textId="77777777" w:rsidR="009616E5" w:rsidRPr="00575AEA" w:rsidRDefault="009616E5" w:rsidP="009616E5">
      <w:r>
        <w:t xml:space="preserve">In addition to the regulated and levy paying sectors, there are two related areas that are not currently captured by the Gambling Act: online gambling and gaming. </w:t>
      </w:r>
    </w:p>
    <w:p w14:paraId="6E138795" w14:textId="77777777" w:rsidR="009616E5" w:rsidRPr="00125C53" w:rsidRDefault="009616E5" w:rsidP="009616E5">
      <w:pPr>
        <w:pStyle w:val="Heading4"/>
      </w:pPr>
      <w:r w:rsidRPr="00125C53">
        <w:lastRenderedPageBreak/>
        <w:t>Online gambling</w:t>
      </w:r>
    </w:p>
    <w:p w14:paraId="0AE1365C" w14:textId="5935B246" w:rsidR="00A52393" w:rsidRDefault="00A52393" w:rsidP="00CE5A11">
      <w:pPr>
        <w:rPr>
          <w:rFonts w:eastAsia="Lucida Sans Unicode"/>
          <w:lang w:val="en-GB"/>
        </w:rPr>
      </w:pPr>
      <w:r w:rsidRPr="00DD64A3">
        <w:rPr>
          <w:rFonts w:eastAsia="Lucida Sans Unicode"/>
          <w:lang w:val="en-GB"/>
        </w:rPr>
        <w:t>International research shows that gambling prevalence and gambling harm rates are higher for online gambling modes compared with in person gambling.</w:t>
      </w:r>
      <w:r>
        <w:rPr>
          <w:rStyle w:val="FootnoteReference"/>
          <w:rFonts w:eastAsia="Lucida Sans Unicode"/>
          <w:lang w:val="en-GB"/>
        </w:rPr>
        <w:footnoteReference w:id="3"/>
      </w:r>
      <w:r>
        <w:rPr>
          <w:rFonts w:eastAsia="Lucida Sans Unicode"/>
          <w:lang w:val="en-GB"/>
        </w:rPr>
        <w:t xml:space="preserve"> Online gambling products tend to have many of the attributes of the more harmful forms of gambling.</w:t>
      </w:r>
    </w:p>
    <w:p w14:paraId="7C0503D0" w14:textId="77777777" w:rsidR="00CE5A11" w:rsidRPr="00DD64A3" w:rsidRDefault="00CE5A11" w:rsidP="00CE5A11">
      <w:pPr>
        <w:rPr>
          <w:rFonts w:eastAsia="Lucida Sans Unicode"/>
          <w:lang w:val="en-GB"/>
        </w:rPr>
      </w:pPr>
    </w:p>
    <w:p w14:paraId="592A4BA8" w14:textId="6345D0D7" w:rsidR="00243815" w:rsidRDefault="00DD4E79" w:rsidP="00CE5A11">
      <w:pPr>
        <w:rPr>
          <w:rFonts w:eastAsia="Lucida Sans Unicode"/>
        </w:rPr>
      </w:pPr>
      <w:r>
        <w:rPr>
          <w:rFonts w:eastAsia="Lucida Sans Unicode"/>
        </w:rPr>
        <w:t xml:space="preserve">The Lancet Public Health Commission on gambling has </w:t>
      </w:r>
      <w:r w:rsidR="00243815">
        <w:rPr>
          <w:rFonts w:eastAsia="Lucida Sans Unicode"/>
        </w:rPr>
        <w:t>commented</w:t>
      </w:r>
      <w:r w:rsidR="008B2DB5">
        <w:rPr>
          <w:rFonts w:eastAsia="Lucida Sans Unicode"/>
        </w:rPr>
        <w:t>:</w:t>
      </w:r>
      <w:r w:rsidR="00243815">
        <w:rPr>
          <w:rStyle w:val="FootnoteReference"/>
          <w:rFonts w:eastAsia="Lucida Sans Unicode"/>
        </w:rPr>
        <w:footnoteReference w:id="4"/>
      </w:r>
    </w:p>
    <w:p w14:paraId="0869B594" w14:textId="77777777" w:rsidR="00CE5A11" w:rsidRDefault="00CE5A11" w:rsidP="00CE5A11">
      <w:pPr>
        <w:rPr>
          <w:rFonts w:eastAsia="Lucida Sans Unicode"/>
        </w:rPr>
      </w:pPr>
    </w:p>
    <w:p w14:paraId="74EFB2E3" w14:textId="68387696" w:rsidR="00483BE3" w:rsidRPr="00AA4E79" w:rsidRDefault="00483BE3" w:rsidP="00CE5A11">
      <w:pPr>
        <w:ind w:left="567"/>
        <w:rPr>
          <w:rFonts w:eastAsia="Lucida Sans Unicode"/>
        </w:rPr>
      </w:pPr>
      <w:r w:rsidRPr="00AA4E79">
        <w:rPr>
          <w:rFonts w:eastAsia="Lucida Sans Unicode"/>
          <w:i/>
          <w:iCs/>
        </w:rPr>
        <w:t>Online gambling products are designed to be rapid and intensive, characteristics that are associated with higher risk of harm for consumers. The introduction of in-game betting during live matches has made online sports betting instantaneous and increased both its frequency and prevalence. Traditional gambling products, such as lotteries and bingo, now have faster cycles and are continuously accessible through smartphone apps. The boundaries between digital gaming and gambling are becoming blurred, with gaming increasingly acting as a conduit into gambling</w:t>
      </w:r>
      <w:r w:rsidRPr="00AA4E79">
        <w:rPr>
          <w:rFonts w:eastAsia="Lucida Sans Unicode"/>
        </w:rPr>
        <w:t>.</w:t>
      </w:r>
    </w:p>
    <w:p w14:paraId="58878D55" w14:textId="77777777" w:rsidR="00CE5A11" w:rsidRDefault="00CE5A11" w:rsidP="00CE5A11">
      <w:pPr>
        <w:rPr>
          <w:rFonts w:eastAsia="Lucida Sans Unicode"/>
        </w:rPr>
      </w:pPr>
    </w:p>
    <w:p w14:paraId="7E454A7F" w14:textId="67704157" w:rsidR="009616E5" w:rsidRDefault="007E5993" w:rsidP="00CE5A11">
      <w:pPr>
        <w:rPr>
          <w:rFonts w:eastAsia="Lucida Sans Unicode"/>
          <w:lang w:val="en-GB"/>
        </w:rPr>
      </w:pPr>
      <w:r>
        <w:rPr>
          <w:rFonts w:eastAsia="Lucida Sans Unicode"/>
        </w:rPr>
        <w:t xml:space="preserve">Online gambling </w:t>
      </w:r>
      <w:r w:rsidR="00030603">
        <w:rPr>
          <w:rFonts w:eastAsia="Lucida Sans Unicode"/>
        </w:rPr>
        <w:t xml:space="preserve">on offshore sites </w:t>
      </w:r>
      <w:r>
        <w:rPr>
          <w:rFonts w:eastAsia="Lucida Sans Unicode"/>
        </w:rPr>
        <w:t xml:space="preserve">is </w:t>
      </w:r>
      <w:r w:rsidR="00C07D60">
        <w:rPr>
          <w:rFonts w:eastAsia="Lucida Sans Unicode"/>
        </w:rPr>
        <w:t xml:space="preserve">currently </w:t>
      </w:r>
      <w:r>
        <w:rPr>
          <w:rFonts w:eastAsia="Lucida Sans Unicode"/>
        </w:rPr>
        <w:t xml:space="preserve">unregulated </w:t>
      </w:r>
      <w:r w:rsidR="009616E5">
        <w:rPr>
          <w:rFonts w:eastAsia="Lucida Sans Unicode"/>
        </w:rPr>
        <w:t xml:space="preserve">under the Gambling Act, </w:t>
      </w:r>
      <w:r w:rsidR="003E734E">
        <w:rPr>
          <w:rFonts w:eastAsia="Lucida Sans Unicode"/>
        </w:rPr>
        <w:t xml:space="preserve">but </w:t>
      </w:r>
      <w:r w:rsidR="009616E5">
        <w:rPr>
          <w:rFonts w:eastAsia="Lucida Sans Unicode"/>
        </w:rPr>
        <w:t xml:space="preserve">offshore operators are covered by the same GST rules as all other overseas businesses that sell products to New Zealand residents. </w:t>
      </w:r>
      <w:r w:rsidR="009616E5">
        <w:rPr>
          <w:rFonts w:eastAsia="Lucida Sans Unicode"/>
          <w:lang w:val="en-GB"/>
        </w:rPr>
        <w:t>Offshore gambling revenues as reported to Inland Revenue have been growing rapidly since 2016/17.</w:t>
      </w:r>
      <w:r w:rsidR="009616E5">
        <w:rPr>
          <w:rFonts w:eastAsia="Lucida Sans Unicode"/>
          <w:vertAlign w:val="superscript"/>
          <w:lang w:val="en-GB"/>
        </w:rPr>
        <w:footnoteReference w:id="5"/>
      </w:r>
      <w:r w:rsidR="009616E5">
        <w:rPr>
          <w:rFonts w:eastAsia="Lucida Sans Unicode"/>
          <w:vertAlign w:val="superscript"/>
          <w:lang w:val="en-GB"/>
        </w:rPr>
        <w:t xml:space="preserve"> </w:t>
      </w:r>
      <w:r w:rsidR="009616E5">
        <w:rPr>
          <w:rFonts w:eastAsia="Lucida Sans Unicode"/>
          <w:lang w:val="en-GB"/>
        </w:rPr>
        <w:t>Total reported revenue (that is, spend less winnings paid out) was $342.5 million in the year to June 2023.</w:t>
      </w:r>
      <w:r w:rsidR="009616E5">
        <w:rPr>
          <w:rFonts w:eastAsia="Lucida Sans Unicode"/>
          <w:vertAlign w:val="superscript"/>
          <w:lang w:val="en-GB"/>
        </w:rPr>
        <w:footnoteReference w:id="6"/>
      </w:r>
      <w:r w:rsidR="009616E5">
        <w:rPr>
          <w:rFonts w:eastAsia="Lucida Sans Unicode"/>
          <w:lang w:val="en-GB"/>
        </w:rPr>
        <w:t xml:space="preserve"> This is likely to be an underestimate of total gambling losses as not all offshore operators will be registered to pay GST. </w:t>
      </w:r>
    </w:p>
    <w:p w14:paraId="301821BB" w14:textId="77777777" w:rsidR="00BB580D" w:rsidRDefault="00BB580D" w:rsidP="009616E5">
      <w:pPr>
        <w:rPr>
          <w:rFonts w:eastAsia="Lucida Sans Unicode"/>
        </w:rPr>
      </w:pPr>
    </w:p>
    <w:p w14:paraId="3AA509F4" w14:textId="70C93677" w:rsidR="009616E5" w:rsidRDefault="009616E5" w:rsidP="009616E5">
      <w:pPr>
        <w:rPr>
          <w:rFonts w:eastAsia="Lucida Sans Unicode"/>
        </w:rPr>
      </w:pPr>
      <w:r>
        <w:rPr>
          <w:rFonts w:eastAsia="Lucida Sans Unicode"/>
          <w:lang w:val="en-GB"/>
        </w:rPr>
        <w:t xml:space="preserve">The </w:t>
      </w:r>
      <w:r w:rsidR="00357604">
        <w:rPr>
          <w:rFonts w:eastAsia="Lucida Sans Unicode"/>
          <w:lang w:val="en-GB"/>
        </w:rPr>
        <w:t xml:space="preserve">2023/24 </w:t>
      </w:r>
      <w:r w:rsidR="001348DD">
        <w:rPr>
          <w:rFonts w:eastAsia="Lucida Sans Unicode"/>
          <w:lang w:val="en-GB"/>
        </w:rPr>
        <w:t xml:space="preserve">New Zealand Gambling Survey (NZGS) </w:t>
      </w:r>
      <w:r>
        <w:rPr>
          <w:rFonts w:eastAsia="Lucida Sans Unicode"/>
          <w:lang w:val="en-GB"/>
        </w:rPr>
        <w:t xml:space="preserve">estimated that </w:t>
      </w:r>
      <w:r w:rsidR="00357604">
        <w:rPr>
          <w:rFonts w:eastAsia="Lucida Sans Unicode"/>
          <w:lang w:val="en-GB"/>
        </w:rPr>
        <w:t xml:space="preserve">156,000 </w:t>
      </w:r>
      <w:r>
        <w:rPr>
          <w:rFonts w:eastAsia="Lucida Sans Unicode"/>
          <w:lang w:val="en-GB"/>
        </w:rPr>
        <w:t>New Zealanders aged 15 years and over (</w:t>
      </w:r>
      <w:r w:rsidR="00083BD0">
        <w:rPr>
          <w:rFonts w:eastAsia="Lucida Sans Unicode"/>
          <w:lang w:val="en-GB"/>
        </w:rPr>
        <w:t>3.6%</w:t>
      </w:r>
      <w:r>
        <w:rPr>
          <w:rFonts w:eastAsia="Lucida Sans Unicode"/>
          <w:lang w:val="en-GB"/>
        </w:rPr>
        <w:t xml:space="preserve">) participated in </w:t>
      </w:r>
      <w:r w:rsidR="003672D4">
        <w:rPr>
          <w:rFonts w:eastAsia="Lucida Sans Unicode"/>
          <w:lang w:val="en-GB"/>
        </w:rPr>
        <w:t xml:space="preserve">overseas </w:t>
      </w:r>
      <w:r>
        <w:rPr>
          <w:rFonts w:eastAsia="Lucida Sans Unicode"/>
          <w:lang w:val="en-GB"/>
        </w:rPr>
        <w:t xml:space="preserve">online </w:t>
      </w:r>
      <w:r w:rsidR="00FA3BD1">
        <w:rPr>
          <w:rFonts w:eastAsia="Lucida Sans Unicode"/>
          <w:lang w:val="en-GB"/>
        </w:rPr>
        <w:t>gambling</w:t>
      </w:r>
      <w:r w:rsidR="003672D4">
        <w:rPr>
          <w:rFonts w:eastAsia="Lucida Sans Unicode"/>
          <w:lang w:val="en-GB"/>
        </w:rPr>
        <w:t xml:space="preserve"> activity</w:t>
      </w:r>
      <w:r w:rsidR="00D32400">
        <w:rPr>
          <w:rFonts w:eastAsia="Lucida Sans Unicode"/>
          <w:lang w:val="en-GB"/>
        </w:rPr>
        <w:t>, and overall 31% participated in some form of gambling online</w:t>
      </w:r>
      <w:r w:rsidR="00FA3BD1">
        <w:rPr>
          <w:rFonts w:eastAsia="Lucida Sans Unicode"/>
          <w:lang w:val="en-GB"/>
        </w:rPr>
        <w:t>.</w:t>
      </w:r>
      <w:r w:rsidR="00BE71E8">
        <w:rPr>
          <w:rStyle w:val="FootnoteReference"/>
          <w:rFonts w:eastAsia="Lucida Sans Unicode"/>
          <w:lang w:val="en-GB"/>
        </w:rPr>
        <w:footnoteReference w:id="7"/>
      </w:r>
      <w:r w:rsidR="00FA3BD1">
        <w:rPr>
          <w:rFonts w:eastAsia="Lucida Sans Unicode"/>
        </w:rPr>
        <w:t xml:space="preserve"> The</w:t>
      </w:r>
      <w:r w:rsidRPr="00603044">
        <w:rPr>
          <w:rFonts w:eastAsia="Lucida Sans Unicode"/>
        </w:rPr>
        <w:t xml:space="preserve"> increase in online gambling </w:t>
      </w:r>
      <w:r>
        <w:rPr>
          <w:rFonts w:eastAsia="Lucida Sans Unicode"/>
        </w:rPr>
        <w:t xml:space="preserve">here and </w:t>
      </w:r>
      <w:r w:rsidRPr="00603044">
        <w:rPr>
          <w:rFonts w:eastAsia="Lucida Sans Unicode"/>
        </w:rPr>
        <w:t>overseas</w:t>
      </w:r>
      <w:r>
        <w:rPr>
          <w:rFonts w:eastAsia="Lucida Sans Unicode"/>
        </w:rPr>
        <w:t xml:space="preserve"> has been</w:t>
      </w:r>
      <w:r w:rsidRPr="00603044">
        <w:rPr>
          <w:rFonts w:eastAsia="Lucida Sans Unicode"/>
        </w:rPr>
        <w:t xml:space="preserve"> attributed to the growth in </w:t>
      </w:r>
      <w:r>
        <w:rPr>
          <w:rFonts w:eastAsia="Lucida Sans Unicode"/>
        </w:rPr>
        <w:t>offshore</w:t>
      </w:r>
      <w:r w:rsidRPr="00603044">
        <w:rPr>
          <w:rFonts w:eastAsia="Lucida Sans Unicode"/>
        </w:rPr>
        <w:t xml:space="preserve"> online </w:t>
      </w:r>
      <w:r>
        <w:rPr>
          <w:rFonts w:eastAsia="Lucida Sans Unicode"/>
        </w:rPr>
        <w:t>operators</w:t>
      </w:r>
      <w:r w:rsidRPr="00603044">
        <w:rPr>
          <w:rFonts w:eastAsia="Lucida Sans Unicode"/>
        </w:rPr>
        <w:t xml:space="preserve"> and products facilitated by rapid changes in technology, increasing ease of access to the internet and the widespread prevalence of digital devices.</w:t>
      </w:r>
      <w:r>
        <w:rPr>
          <w:rFonts w:eastAsia="Lucida Sans Unicode"/>
        </w:rPr>
        <w:t xml:space="preserve"> </w:t>
      </w:r>
    </w:p>
    <w:p w14:paraId="687BB1A7" w14:textId="77777777" w:rsidR="009616E5" w:rsidRDefault="009616E5" w:rsidP="009616E5">
      <w:pPr>
        <w:rPr>
          <w:rFonts w:eastAsia="Lucida Sans Unicode"/>
        </w:rPr>
      </w:pPr>
    </w:p>
    <w:p w14:paraId="6C5B2F9A" w14:textId="723B6F89" w:rsidR="009616E5" w:rsidRDefault="009616E5" w:rsidP="009616E5">
      <w:pPr>
        <w:rPr>
          <w:rFonts w:eastAsia="Lucida Sans Unicode"/>
        </w:rPr>
      </w:pPr>
      <w:r>
        <w:rPr>
          <w:rFonts w:eastAsia="Lucida Sans Unicode"/>
        </w:rPr>
        <w:t>Lotto NZ and TAB NZ are the only two New Zealand-based operators providing online gambling under the Act. Lotto NZ provides online lotter</w:t>
      </w:r>
      <w:r w:rsidR="00D32400">
        <w:rPr>
          <w:rFonts w:eastAsia="Lucida Sans Unicode"/>
        </w:rPr>
        <w:t>y products that now account for 44% of their total sales. T</w:t>
      </w:r>
      <w:r>
        <w:rPr>
          <w:rFonts w:eastAsia="Lucida Sans Unicode"/>
        </w:rPr>
        <w:t>AB NZ provides online sports and race wagering.</w:t>
      </w:r>
    </w:p>
    <w:p w14:paraId="6D91E6CA" w14:textId="77777777" w:rsidR="00515734" w:rsidRDefault="00515734" w:rsidP="009616E5">
      <w:pPr>
        <w:rPr>
          <w:rFonts w:eastAsia="Lucida Sans Unicode"/>
        </w:rPr>
      </w:pPr>
    </w:p>
    <w:p w14:paraId="47B5D708" w14:textId="47DE98C4" w:rsidR="009616E5" w:rsidRDefault="06131CF0" w:rsidP="009616E5">
      <w:pPr>
        <w:rPr>
          <w:rFonts w:eastAsia="Lucida Sans Unicode"/>
        </w:rPr>
      </w:pPr>
      <w:r w:rsidRPr="485D5947">
        <w:rPr>
          <w:rFonts w:eastAsia="Lucida Sans Unicode"/>
        </w:rPr>
        <w:t>In 2024 t</w:t>
      </w:r>
      <w:r w:rsidR="009616E5" w:rsidRPr="485D5947">
        <w:rPr>
          <w:rFonts w:eastAsia="Lucida Sans Unicode"/>
        </w:rPr>
        <w:t xml:space="preserve">he Government agreed to regulate online casinos through a licensing system. This system will be designed to minimise harm, support tax collection, and provide consumer protections to New Zealanders. The Ministry </w:t>
      </w:r>
      <w:r w:rsidR="00C42A80">
        <w:rPr>
          <w:rFonts w:eastAsia="Lucida Sans Unicode"/>
        </w:rPr>
        <w:t>of Health (the Ministry)</w:t>
      </w:r>
      <w:r w:rsidR="009616E5" w:rsidRPr="485D5947">
        <w:rPr>
          <w:rFonts w:eastAsia="Lucida Sans Unicode"/>
        </w:rPr>
        <w:t xml:space="preserve"> and Health New Zealand have been working closely with </w:t>
      </w:r>
      <w:r w:rsidR="32166FD9" w:rsidRPr="485D5947">
        <w:rPr>
          <w:rFonts w:eastAsia="Lucida Sans Unicode"/>
        </w:rPr>
        <w:t>DIA</w:t>
      </w:r>
      <w:r w:rsidR="009616E5" w:rsidRPr="485D5947">
        <w:rPr>
          <w:rFonts w:eastAsia="Lucida Sans Unicode"/>
        </w:rPr>
        <w:t xml:space="preserve"> on this work and will continue to do so as it progresses from legislation to implementation. The regime is expected to come into </w:t>
      </w:r>
      <w:r w:rsidR="009616E5" w:rsidRPr="485D5947">
        <w:rPr>
          <w:rFonts w:eastAsia="Lucida Sans Unicode"/>
        </w:rPr>
        <w:lastRenderedPageBreak/>
        <w:t xml:space="preserve">effect in 2026. Further discussion about online gambling can be found in the </w:t>
      </w:r>
      <w:r w:rsidR="00237E8E">
        <w:rPr>
          <w:rFonts w:eastAsia="Lucida Sans Unicode"/>
        </w:rPr>
        <w:t xml:space="preserve">2024 </w:t>
      </w:r>
      <w:r w:rsidR="009616E5" w:rsidRPr="485D5947">
        <w:rPr>
          <w:rFonts w:eastAsia="Lucida Sans Unicode"/>
        </w:rPr>
        <w:t>Needs Assessment</w:t>
      </w:r>
      <w:r w:rsidR="00237E8E">
        <w:rPr>
          <w:rStyle w:val="FootnoteReference"/>
          <w:rFonts w:eastAsia="Lucida Sans Unicode"/>
        </w:rPr>
        <w:footnoteReference w:id="8"/>
      </w:r>
      <w:r w:rsidR="009616E5" w:rsidRPr="485D5947">
        <w:rPr>
          <w:rFonts w:eastAsia="Lucida Sans Unicode"/>
        </w:rPr>
        <w:t>.</w:t>
      </w:r>
    </w:p>
    <w:p w14:paraId="26073490" w14:textId="77777777" w:rsidR="009616E5" w:rsidRPr="006B4A33" w:rsidRDefault="009616E5" w:rsidP="009616E5">
      <w:pPr>
        <w:pStyle w:val="Heading4"/>
      </w:pPr>
      <w:r w:rsidRPr="006B4A33">
        <w:t>Gaming convergence</w:t>
      </w:r>
    </w:p>
    <w:p w14:paraId="7D783168" w14:textId="77777777" w:rsidR="009616E5" w:rsidRPr="00301232" w:rsidRDefault="009616E5" w:rsidP="52103CC6">
      <w:pPr>
        <w:rPr>
          <w:rFonts w:eastAsia="Lucida Sans Unicode"/>
        </w:rPr>
      </w:pPr>
      <w:r w:rsidRPr="52103CC6">
        <w:rPr>
          <w:rFonts w:eastAsia="Lucida Sans Unicode"/>
        </w:rPr>
        <w:t>Gaming convergence is the merging of gambling and gaming elements in a single product. The two main examples are when:</w:t>
      </w:r>
    </w:p>
    <w:p w14:paraId="070C4C5C" w14:textId="77777777" w:rsidR="009616E5" w:rsidRPr="006B4A33" w:rsidRDefault="009616E5" w:rsidP="52103CC6">
      <w:pPr>
        <w:pStyle w:val="Bullet"/>
        <w:rPr>
          <w:rFonts w:eastAsia="Lucida Sans Unicode"/>
        </w:rPr>
      </w:pPr>
      <w:r w:rsidRPr="52103CC6">
        <w:rPr>
          <w:rFonts w:eastAsia="Lucida Sans Unicode"/>
        </w:rPr>
        <w:t>gambling takes on the visual and aural cues associated with gaming, such as virtual reality-enabled Instant Kiwi tickets (such forms of gambling are also an example of continuous gambling,</w:t>
      </w:r>
      <w:r w:rsidRPr="52103CC6">
        <w:rPr>
          <w:rStyle w:val="FootnoteReference"/>
          <w:rFonts w:eastAsia="Lucida Sans Unicode"/>
        </w:rPr>
        <w:footnoteReference w:id="9"/>
      </w:r>
      <w:r w:rsidRPr="52103CC6">
        <w:rPr>
          <w:rFonts w:eastAsia="Lucida Sans Unicode"/>
        </w:rPr>
        <w:t xml:space="preserve"> which research shows poses an increased risk of harm</w:t>
      </w:r>
      <w:r w:rsidRPr="52103CC6">
        <w:rPr>
          <w:rStyle w:val="FootnoteReference"/>
          <w:rFonts w:eastAsia="Lucida Sans Unicode"/>
        </w:rPr>
        <w:footnoteReference w:id="10"/>
      </w:r>
      <w:r w:rsidRPr="52103CC6">
        <w:rPr>
          <w:rFonts w:eastAsia="Lucida Sans Unicode"/>
        </w:rPr>
        <w:t>)</w:t>
      </w:r>
    </w:p>
    <w:p w14:paraId="7DDA1659" w14:textId="77777777" w:rsidR="009616E5" w:rsidRPr="006B4A33" w:rsidRDefault="009616E5" w:rsidP="52103CC6">
      <w:pPr>
        <w:pStyle w:val="Bullet"/>
        <w:rPr>
          <w:rFonts w:eastAsia="Lucida Sans Unicode"/>
        </w:rPr>
      </w:pPr>
      <w:r w:rsidRPr="52103CC6">
        <w:rPr>
          <w:rFonts w:eastAsia="Lucida Sans Unicode"/>
        </w:rPr>
        <w:t>video games include elements that may have gambling-like characteristics, for example, purchasing loot boxes</w:t>
      </w:r>
      <w:r w:rsidRPr="52103CC6">
        <w:rPr>
          <w:rStyle w:val="FootnoteReference"/>
          <w:rFonts w:eastAsia="Lucida Sans Unicode"/>
        </w:rPr>
        <w:footnoteReference w:id="11"/>
      </w:r>
      <w:r w:rsidRPr="52103CC6">
        <w:rPr>
          <w:rFonts w:eastAsia="Lucida Sans Unicode"/>
          <w:vertAlign w:val="superscript"/>
        </w:rPr>
        <w:t xml:space="preserve"> </w:t>
      </w:r>
      <w:r w:rsidRPr="52103CC6">
        <w:rPr>
          <w:rFonts w:eastAsia="Lucida Sans Unicode"/>
        </w:rPr>
        <w:t>and spinning wheels to unlock cosmetic changes and ‘power-ups’</w:t>
      </w:r>
      <w:r w:rsidRPr="52103CC6">
        <w:rPr>
          <w:rStyle w:val="FootnoteReference"/>
          <w:rFonts w:eastAsia="Lucida Sans Unicode"/>
        </w:rPr>
        <w:footnoteReference w:id="12"/>
      </w:r>
      <w:r w:rsidRPr="52103CC6">
        <w:rPr>
          <w:rFonts w:eastAsia="Lucida Sans Unicode"/>
        </w:rPr>
        <w:t xml:space="preserve"> or a chance to win a prize.</w:t>
      </w:r>
    </w:p>
    <w:p w14:paraId="329845A0" w14:textId="77777777" w:rsidR="009616E5" w:rsidRDefault="009616E5" w:rsidP="00DB373E">
      <w:pPr>
        <w:rPr>
          <w:rFonts w:eastAsia="Lucida Sans Unicode"/>
        </w:rPr>
      </w:pPr>
    </w:p>
    <w:p w14:paraId="16B3D72E" w14:textId="77777777" w:rsidR="009616E5" w:rsidRDefault="009616E5" w:rsidP="00DB373E">
      <w:pPr>
        <w:rPr>
          <w:rFonts w:eastAsia="Lucida Sans Unicode"/>
        </w:rPr>
      </w:pPr>
      <w:r w:rsidRPr="52103CC6">
        <w:rPr>
          <w:rFonts w:eastAsia="Lucida Sans Unicode"/>
        </w:rPr>
        <w:t xml:space="preserve">Gaming convergence, coupled with associated increased levels of advertising and internet-based payment systems, make it easier to spend money on gambling and gambling-like products. This represents a new level of exposure to high-risk gambling products in New Zealand and the associated probability of related gambling harm. </w:t>
      </w:r>
    </w:p>
    <w:p w14:paraId="2815CACC" w14:textId="77777777" w:rsidR="00CE5A11" w:rsidRDefault="00CE5A11" w:rsidP="00DB373E">
      <w:pPr>
        <w:rPr>
          <w:rFonts w:eastAsia="Lucida Sans Unicode"/>
        </w:rPr>
      </w:pPr>
    </w:p>
    <w:p w14:paraId="0C52C134" w14:textId="4D82A58C" w:rsidR="009616E5" w:rsidRDefault="009616E5" w:rsidP="00DB373E">
      <w:pPr>
        <w:rPr>
          <w:rFonts w:eastAsia="Lucida Sans Unicode"/>
        </w:rPr>
      </w:pPr>
      <w:r w:rsidRPr="00603044">
        <w:rPr>
          <w:rFonts w:eastAsia="Lucida Sans Unicode"/>
        </w:rPr>
        <w:t xml:space="preserve">However, while these games look and feel like gambling, they do not meet the current definition </w:t>
      </w:r>
      <w:r>
        <w:rPr>
          <w:rFonts w:eastAsia="Lucida Sans Unicode"/>
        </w:rPr>
        <w:t xml:space="preserve">of gambling </w:t>
      </w:r>
      <w:r w:rsidRPr="00603044">
        <w:rPr>
          <w:rFonts w:eastAsia="Lucida Sans Unicode"/>
        </w:rPr>
        <w:t>under the Act (because there is no opportunity to stake, win or lose real money</w:t>
      </w:r>
      <w:r>
        <w:rPr>
          <w:rFonts w:eastAsia="Lucida Sans Unicode"/>
        </w:rPr>
        <w:t xml:space="preserve"> or something that can be converted into money</w:t>
      </w:r>
      <w:r w:rsidRPr="00603044">
        <w:rPr>
          <w:rFonts w:eastAsia="Lucida Sans Unicode"/>
        </w:rPr>
        <w:t>).</w:t>
      </w:r>
      <w:r w:rsidR="001253EF">
        <w:rPr>
          <w:rFonts w:eastAsia="Lucida Sans Unicode"/>
        </w:rPr>
        <w:t xml:space="preserve"> Thes</w:t>
      </w:r>
      <w:r w:rsidR="00A515F3">
        <w:rPr>
          <w:rFonts w:eastAsia="Lucida Sans Unicode"/>
        </w:rPr>
        <w:t xml:space="preserve">e games </w:t>
      </w:r>
      <w:r>
        <w:rPr>
          <w:rFonts w:eastAsia="Lucida Sans Unicode"/>
        </w:rPr>
        <w:t xml:space="preserve">therefore unregulated by the Act (though </w:t>
      </w:r>
      <w:r w:rsidR="00A515F3">
        <w:rPr>
          <w:rFonts w:eastAsia="Lucida Sans Unicode"/>
        </w:rPr>
        <w:t>they</w:t>
      </w:r>
      <w:r>
        <w:rPr>
          <w:rFonts w:eastAsia="Lucida Sans Unicode"/>
        </w:rPr>
        <w:t xml:space="preserve"> may be regulated under other legislation, such as the Films, Videos, and Publications Classification Act 1993).</w:t>
      </w:r>
    </w:p>
    <w:p w14:paraId="5DCA91ED" w14:textId="77777777" w:rsidR="009616E5" w:rsidRDefault="009616E5" w:rsidP="009616E5">
      <w:pPr>
        <w:pStyle w:val="Heading2"/>
      </w:pPr>
      <w:bookmarkStart w:id="5" w:name="_Toc197534185"/>
      <w:r>
        <w:t>Participation in different gambling activities</w:t>
      </w:r>
      <w:bookmarkEnd w:id="5"/>
    </w:p>
    <w:p w14:paraId="7EEFF86A" w14:textId="6032E09B" w:rsidR="00353F74" w:rsidRDefault="009616E5" w:rsidP="00CE5A11">
      <w:r w:rsidRPr="52103CC6">
        <w:t>There is some variation in participation rates in different types of gambling activity by ethnicity. According to the</w:t>
      </w:r>
      <w:r w:rsidR="0C826D28" w:rsidRPr="52103CC6">
        <w:rPr>
          <w:rFonts w:eastAsia="Lucida Sans Unicode"/>
        </w:rPr>
        <w:t xml:space="preserve"> </w:t>
      </w:r>
      <w:r w:rsidR="00E27972" w:rsidRPr="52103CC6">
        <w:t>2023/24 NZGS</w:t>
      </w:r>
      <w:r w:rsidR="00353F74">
        <w:t>:</w:t>
      </w:r>
    </w:p>
    <w:p w14:paraId="3829CC26" w14:textId="1ADCB43C" w:rsidR="00353F74" w:rsidRDefault="009616E5" w:rsidP="003D6058">
      <w:pPr>
        <w:pStyle w:val="Bullet"/>
      </w:pPr>
      <w:r w:rsidRPr="52103CC6">
        <w:t>Māori had the highest participation rate</w:t>
      </w:r>
      <w:r w:rsidR="00885EFE" w:rsidRPr="52103CC6">
        <w:t xml:space="preserve"> of any ethnicity</w:t>
      </w:r>
      <w:r w:rsidRPr="52103CC6">
        <w:t xml:space="preserve"> for pokies gambling (</w:t>
      </w:r>
      <w:r w:rsidR="001F5302" w:rsidRPr="52103CC6">
        <w:t>25.8%</w:t>
      </w:r>
      <w:r w:rsidRPr="52103CC6">
        <w:t>)</w:t>
      </w:r>
      <w:r w:rsidR="0018165E" w:rsidRPr="52103CC6">
        <w:t>,</w:t>
      </w:r>
      <w:r w:rsidR="003862B7" w:rsidRPr="52103CC6">
        <w:t xml:space="preserve"> Lotto (57.5%)</w:t>
      </w:r>
      <w:r w:rsidR="00870ACC" w:rsidRPr="52103CC6">
        <w:t xml:space="preserve"> and online gambling (36.5%)</w:t>
      </w:r>
      <w:r w:rsidRPr="52103CC6">
        <w:t xml:space="preserve">. </w:t>
      </w:r>
    </w:p>
    <w:p w14:paraId="056296EB" w14:textId="006B9916" w:rsidR="00353F74" w:rsidRDefault="009616E5" w:rsidP="003D6058">
      <w:pPr>
        <w:pStyle w:val="Bullet"/>
      </w:pPr>
      <w:r w:rsidRPr="52103CC6">
        <w:t xml:space="preserve">The New Zealand European / Other category had the highest gambling rate on </w:t>
      </w:r>
      <w:r w:rsidR="00E313B6" w:rsidRPr="52103CC6">
        <w:t>TAB betting for track or sports (</w:t>
      </w:r>
      <w:r w:rsidR="00365AFC" w:rsidRPr="52103CC6">
        <w:t>14.1%).</w:t>
      </w:r>
      <w:r w:rsidRPr="52103CC6">
        <w:t xml:space="preserve"> </w:t>
      </w:r>
    </w:p>
    <w:p w14:paraId="3F4D071E" w14:textId="70F23F0A" w:rsidR="009616E5" w:rsidRDefault="009616E5" w:rsidP="00CE5A11">
      <w:pPr>
        <w:pStyle w:val="Bullet"/>
      </w:pPr>
      <w:r w:rsidRPr="00CE5A11">
        <w:lastRenderedPageBreak/>
        <w:t>Asian</w:t>
      </w:r>
      <w:r w:rsidRPr="52103CC6">
        <w:t xml:space="preserve"> individuals had the lowest participation rates in all gambling categories (</w:t>
      </w:r>
      <w:r w:rsidR="008F4508" w:rsidRPr="52103CC6">
        <w:t>6.6%</w:t>
      </w:r>
      <w:r w:rsidRPr="52103CC6">
        <w:t xml:space="preserve"> at pokies, </w:t>
      </w:r>
      <w:r w:rsidR="008F4508" w:rsidRPr="52103CC6">
        <w:t>44.7%</w:t>
      </w:r>
      <w:r w:rsidRPr="52103CC6">
        <w:t xml:space="preserve"> on Lotto NZ, </w:t>
      </w:r>
      <w:r w:rsidR="009C76A9" w:rsidRPr="52103CC6">
        <w:t>4.1%</w:t>
      </w:r>
      <w:r w:rsidRPr="52103CC6">
        <w:t xml:space="preserve"> on </w:t>
      </w:r>
      <w:r w:rsidR="00427E54" w:rsidRPr="52103CC6">
        <w:t xml:space="preserve">TAB betting for track or </w:t>
      </w:r>
      <w:r w:rsidRPr="52103CC6">
        <w:t xml:space="preserve">sports, and </w:t>
      </w:r>
      <w:r w:rsidR="00E27972" w:rsidRPr="52103CC6">
        <w:t>25.6</w:t>
      </w:r>
      <w:r w:rsidR="00E75E4B">
        <w:t>%</w:t>
      </w:r>
      <w:r w:rsidRPr="52103CC6">
        <w:t xml:space="preserve"> </w:t>
      </w:r>
      <w:r w:rsidR="00B84210" w:rsidRPr="52103CC6">
        <w:t>for</w:t>
      </w:r>
      <w:r w:rsidRPr="52103CC6">
        <w:t xml:space="preserve"> online</w:t>
      </w:r>
      <w:r w:rsidR="00B84210" w:rsidRPr="52103CC6">
        <w:t xml:space="preserve"> gambling</w:t>
      </w:r>
      <w:r w:rsidRPr="52103CC6">
        <w:t>).</w:t>
      </w:r>
      <w:r w:rsidRPr="52103CC6">
        <w:rPr>
          <w:rStyle w:val="FootnoteReference"/>
        </w:rPr>
        <w:footnoteReference w:id="13"/>
      </w:r>
    </w:p>
    <w:p w14:paraId="0916D175" w14:textId="2F7B4C1B" w:rsidR="009616E5" w:rsidRPr="00301232" w:rsidRDefault="009616E5" w:rsidP="009616E5">
      <w:pPr>
        <w:pStyle w:val="Heading2"/>
      </w:pPr>
      <w:bookmarkStart w:id="6" w:name="_Toc197534186"/>
      <w:r>
        <w:t>E</w:t>
      </w:r>
      <w:r w:rsidRPr="00301232">
        <w:t>xpenditure</w:t>
      </w:r>
      <w:r>
        <w:t xml:space="preserve"> (net player losses)</w:t>
      </w:r>
      <w:bookmarkEnd w:id="6"/>
    </w:p>
    <w:p w14:paraId="60BFA183" w14:textId="67DF02DB" w:rsidR="009616E5" w:rsidRDefault="009616E5" w:rsidP="52103CC6">
      <w:pPr>
        <w:rPr>
          <w:rFonts w:eastAsia="Lucida Sans Unicode"/>
        </w:rPr>
      </w:pPr>
      <w:r w:rsidRPr="52103CC6">
        <w:rPr>
          <w:rFonts w:eastAsia="Lucida Sans Unicode"/>
        </w:rPr>
        <w:t xml:space="preserve">DIA data shows that </w:t>
      </w:r>
      <w:r w:rsidR="00881C51" w:rsidRPr="52103CC6">
        <w:rPr>
          <w:rFonts w:eastAsia="Lucida Sans Unicode"/>
        </w:rPr>
        <w:t>overall</w:t>
      </w:r>
      <w:r w:rsidRPr="52103CC6">
        <w:rPr>
          <w:rFonts w:eastAsia="Lucida Sans Unicode"/>
        </w:rPr>
        <w:t xml:space="preserve"> total gambling expenditure (net player losses) on the four main forms of gambling is continuing to trend upwards each year, and that this results from increasing spend rather than an increasing proportion of losses</w:t>
      </w:r>
      <w:r w:rsidR="5C694863" w:rsidRPr="52103CC6">
        <w:rPr>
          <w:rFonts w:eastAsia="Lucida Sans Unicode"/>
        </w:rPr>
        <w:t>.</w:t>
      </w:r>
      <w:r w:rsidRPr="52103CC6">
        <w:rPr>
          <w:rFonts w:eastAsia="Lucida Sans Unicode"/>
        </w:rPr>
        <w:t xml:space="preserve">  2019/20 and 2021/22 were exceptions to this trend, likely due to the COVID-19 lockdown restrictions (which included venue closures and indoor capacity limits that limited access to gaming venues during these periods).</w:t>
      </w:r>
      <w:r w:rsidRPr="52103CC6">
        <w:rPr>
          <w:rStyle w:val="FootnoteReference"/>
          <w:rFonts w:eastAsia="Lucida Sans Unicode"/>
        </w:rPr>
        <w:footnoteReference w:id="14"/>
      </w:r>
      <w:r w:rsidRPr="52103CC6">
        <w:rPr>
          <w:rFonts w:eastAsia="Lucida Sans Unicode"/>
        </w:rPr>
        <w:t xml:space="preserve"> </w:t>
      </w:r>
    </w:p>
    <w:p w14:paraId="1AB02957" w14:textId="525685F5" w:rsidR="009616E5" w:rsidRDefault="009616E5" w:rsidP="11CAF576">
      <w:pPr>
        <w:rPr>
          <w:rFonts w:eastAsia="Lucida Sans Unicode"/>
        </w:rPr>
      </w:pPr>
    </w:p>
    <w:p w14:paraId="4B6E3AE3" w14:textId="1DBB7CC7" w:rsidR="009616E5" w:rsidRDefault="00962CC1" w:rsidP="52103CC6">
      <w:pPr>
        <w:rPr>
          <w:rFonts w:eastAsia="Lucida Sans Unicode"/>
        </w:rPr>
      </w:pPr>
      <w:r>
        <w:rPr>
          <w:rFonts w:eastAsia="Lucida Sans Unicode"/>
        </w:rPr>
        <w:t>Recent player e</w:t>
      </w:r>
      <w:r w:rsidR="009616E5" w:rsidRPr="52103CC6">
        <w:rPr>
          <w:rFonts w:eastAsia="Lucida Sans Unicode"/>
        </w:rPr>
        <w:t xml:space="preserve">xpenditure </w:t>
      </w:r>
      <w:r>
        <w:rPr>
          <w:rFonts w:eastAsia="Lucida Sans Unicode"/>
        </w:rPr>
        <w:t xml:space="preserve">(net losses) for the period </w:t>
      </w:r>
      <w:r w:rsidR="00885DC5">
        <w:rPr>
          <w:rFonts w:eastAsia="Lucida Sans Unicode"/>
        </w:rPr>
        <w:t>up to 20</w:t>
      </w:r>
      <w:r>
        <w:rPr>
          <w:rFonts w:eastAsia="Lucida Sans Unicode"/>
        </w:rPr>
        <w:t>2</w:t>
      </w:r>
      <w:r w:rsidR="00885DC5">
        <w:rPr>
          <w:rFonts w:eastAsia="Lucida Sans Unicode"/>
        </w:rPr>
        <w:t xml:space="preserve">3/24 </w:t>
      </w:r>
      <w:r w:rsidR="009616E5" w:rsidRPr="52103CC6">
        <w:rPr>
          <w:rFonts w:eastAsia="Lucida Sans Unicode"/>
        </w:rPr>
        <w:t>year shows that there has been a substantial recovery across the four sectors.</w:t>
      </w:r>
      <w:r w:rsidR="009616E5" w:rsidRPr="52103CC6">
        <w:rPr>
          <w:rStyle w:val="FootnoteReference"/>
          <w:rFonts w:eastAsia="Lucida Sans Unicode"/>
        </w:rPr>
        <w:footnoteReference w:id="15"/>
      </w:r>
    </w:p>
    <w:p w14:paraId="5ED5F7F2" w14:textId="63B85BFF" w:rsidR="009616E5" w:rsidRPr="006B4A33" w:rsidRDefault="009616E5" w:rsidP="009616E5">
      <w:pPr>
        <w:pStyle w:val="Bullet"/>
        <w:rPr>
          <w:rFonts w:eastAsia="Lucida Sans Unicode"/>
        </w:rPr>
      </w:pPr>
      <w:r w:rsidRPr="485D5947">
        <w:rPr>
          <w:rFonts w:eastAsia="Lucida Sans Unicode"/>
        </w:rPr>
        <w:t xml:space="preserve">Expenditure on </w:t>
      </w:r>
      <w:r w:rsidR="5471B586" w:rsidRPr="485D5947">
        <w:rPr>
          <w:rFonts w:eastAsia="Lucida Sans Unicode"/>
        </w:rPr>
        <w:t>C</w:t>
      </w:r>
      <w:r w:rsidRPr="485D5947">
        <w:rPr>
          <w:rFonts w:eastAsia="Lucida Sans Unicode"/>
        </w:rPr>
        <w:t>lass 4 gambling increased annually from a low of $806 million in 2013/14 to $924 million in 2018/19. The years 2019/20–2021/22 saw falls in expenditure, which can be primarily attributed to the COVID-19 restrictions. However, expenditure quickly recovered and reached</w:t>
      </w:r>
      <w:r w:rsidR="00CB2B47">
        <w:rPr>
          <w:rFonts w:eastAsia="Lucida Sans Unicode"/>
        </w:rPr>
        <w:t xml:space="preserve"> a record</w:t>
      </w:r>
      <w:r w:rsidRPr="485D5947">
        <w:rPr>
          <w:rFonts w:eastAsia="Lucida Sans Unicode"/>
        </w:rPr>
        <w:t xml:space="preserve"> $1,070 million in the 2022/23 year, the highest since records began in 2007.</w:t>
      </w:r>
      <w:r w:rsidR="00854267">
        <w:rPr>
          <w:rFonts w:eastAsia="Lucida Sans Unicode"/>
        </w:rPr>
        <w:t xml:space="preserve"> </w:t>
      </w:r>
      <w:r w:rsidR="00746B90">
        <w:rPr>
          <w:rFonts w:eastAsia="Lucida Sans Unicode"/>
        </w:rPr>
        <w:t>It dipped slightly to $1,03</w:t>
      </w:r>
      <w:r w:rsidR="00106D7E">
        <w:rPr>
          <w:rFonts w:eastAsia="Lucida Sans Unicode"/>
        </w:rPr>
        <w:t>7</w:t>
      </w:r>
      <w:r w:rsidR="00746B90">
        <w:rPr>
          <w:rFonts w:eastAsia="Lucida Sans Unicode"/>
        </w:rPr>
        <w:t xml:space="preserve"> million in 2023/24</w:t>
      </w:r>
      <w:r w:rsidR="00106D7E">
        <w:rPr>
          <w:rFonts w:eastAsia="Lucida Sans Unicode"/>
        </w:rPr>
        <w:t>.</w:t>
      </w:r>
    </w:p>
    <w:p w14:paraId="5195E4D1" w14:textId="48ABC3C9" w:rsidR="009616E5" w:rsidRPr="006B4A33" w:rsidRDefault="009616E5" w:rsidP="009616E5">
      <w:pPr>
        <w:pStyle w:val="Bullet"/>
        <w:rPr>
          <w:rFonts w:eastAsia="Lucida Sans Unicode"/>
        </w:rPr>
      </w:pPr>
      <w:r w:rsidRPr="006B4A33">
        <w:rPr>
          <w:rFonts w:eastAsia="Lucida Sans Unicode"/>
        </w:rPr>
        <w:t xml:space="preserve">Expenditure on Lotto NZ products has continued to </w:t>
      </w:r>
      <w:r w:rsidR="00CB2B47">
        <w:rPr>
          <w:rFonts w:eastAsia="Lucida Sans Unicode"/>
        </w:rPr>
        <w:t>trend upward</w:t>
      </w:r>
      <w:r w:rsidR="00D35019">
        <w:rPr>
          <w:rFonts w:eastAsia="Lucida Sans Unicode"/>
        </w:rPr>
        <w:t>s</w:t>
      </w:r>
      <w:r w:rsidRPr="006B4A33">
        <w:rPr>
          <w:rFonts w:eastAsia="Lucida Sans Unicode"/>
        </w:rPr>
        <w:t xml:space="preserve">, reaching </w:t>
      </w:r>
      <w:r w:rsidR="00D35019">
        <w:rPr>
          <w:rFonts w:eastAsia="Lucida Sans Unicode"/>
        </w:rPr>
        <w:t xml:space="preserve">a record </w:t>
      </w:r>
      <w:r w:rsidR="00FD472A">
        <w:rPr>
          <w:rFonts w:eastAsia="Lucida Sans Unicode"/>
        </w:rPr>
        <w:t xml:space="preserve">$792 </w:t>
      </w:r>
      <w:r w:rsidRPr="006B4A33">
        <w:rPr>
          <w:rFonts w:eastAsia="Lucida Sans Unicode"/>
        </w:rPr>
        <w:t xml:space="preserve">million in </w:t>
      </w:r>
      <w:r w:rsidR="00FD472A">
        <w:rPr>
          <w:rFonts w:eastAsia="Lucida Sans Unicode"/>
        </w:rPr>
        <w:t>2023/24</w:t>
      </w:r>
      <w:r w:rsidR="00D35019">
        <w:rPr>
          <w:rFonts w:eastAsia="Lucida Sans Unicode"/>
        </w:rPr>
        <w:t xml:space="preserve">. </w:t>
      </w:r>
      <w:r w:rsidRPr="006B4A33">
        <w:rPr>
          <w:rFonts w:eastAsia="Lucida Sans Unicode"/>
        </w:rPr>
        <w:t xml:space="preserve"> This growth is partly attributed to more people using the MyLotto online platform, which was not affected by COVID-19 restrictions. Annual expenditure on Lotto NZ products is volatile, depending on the number and size of Powerball jackpots.</w:t>
      </w:r>
    </w:p>
    <w:p w14:paraId="7E7800F6" w14:textId="2F810493" w:rsidR="009616E5" w:rsidRPr="006B4A33" w:rsidRDefault="009616E5" w:rsidP="52103CC6">
      <w:pPr>
        <w:pStyle w:val="Bullet"/>
        <w:rPr>
          <w:rFonts w:eastAsia="Lucida Sans Unicode"/>
        </w:rPr>
      </w:pPr>
      <w:r w:rsidRPr="52103CC6">
        <w:rPr>
          <w:rFonts w:eastAsia="Lucida Sans Unicode"/>
        </w:rPr>
        <w:t>In contrast, annual expenditure on TAB NZ products remained fairly steady</w:t>
      </w:r>
      <w:r w:rsidR="00D35019">
        <w:rPr>
          <w:rFonts w:eastAsia="Lucida Sans Unicode"/>
        </w:rPr>
        <w:t xml:space="preserve"> over the past three years</w:t>
      </w:r>
      <w:r w:rsidRPr="52103CC6">
        <w:rPr>
          <w:rFonts w:eastAsia="Lucida Sans Unicode"/>
        </w:rPr>
        <w:t>. For 2020/21, expenditure was $385 million, their highest year on record. It reduced to $376 million in 2022/23</w:t>
      </w:r>
      <w:r w:rsidR="00C14CE3" w:rsidRPr="52103CC6">
        <w:rPr>
          <w:rFonts w:eastAsia="Lucida Sans Unicode"/>
        </w:rPr>
        <w:t xml:space="preserve"> and $371 million in 2023/24</w:t>
      </w:r>
      <w:r w:rsidRPr="52103CC6">
        <w:rPr>
          <w:rFonts w:eastAsia="Lucida Sans Unicode"/>
        </w:rPr>
        <w:t xml:space="preserve">. </w:t>
      </w:r>
    </w:p>
    <w:p w14:paraId="5CC9D1CE" w14:textId="497AEFF8" w:rsidR="009616E5" w:rsidRPr="006B4A33" w:rsidRDefault="009616E5" w:rsidP="009616E5">
      <w:pPr>
        <w:pStyle w:val="Bullet"/>
        <w:rPr>
          <w:rFonts w:eastAsia="Lucida Sans Unicode"/>
        </w:rPr>
      </w:pPr>
      <w:r w:rsidRPr="006B4A33">
        <w:rPr>
          <w:rFonts w:eastAsia="Lucida Sans Unicode"/>
        </w:rPr>
        <w:t>In</w:t>
      </w:r>
      <w:r w:rsidR="00F96580">
        <w:rPr>
          <w:rFonts w:eastAsia="Lucida Sans Unicode"/>
        </w:rPr>
        <w:t xml:space="preserve"> 2023/24</w:t>
      </w:r>
      <w:r w:rsidRPr="006B4A33">
        <w:rPr>
          <w:rFonts w:eastAsia="Lucida Sans Unicode"/>
        </w:rPr>
        <w:t xml:space="preserve"> annual expenditure on casinos </w:t>
      </w:r>
      <w:r w:rsidR="00E30F3A">
        <w:rPr>
          <w:rFonts w:eastAsia="Lucida Sans Unicode"/>
        </w:rPr>
        <w:t>de</w:t>
      </w:r>
      <w:r w:rsidRPr="006B4A33">
        <w:rPr>
          <w:rFonts w:eastAsia="Lucida Sans Unicode"/>
        </w:rPr>
        <w:t>creased to</w:t>
      </w:r>
      <w:r w:rsidR="00E30F3A">
        <w:rPr>
          <w:rFonts w:eastAsia="Lucida Sans Unicode"/>
        </w:rPr>
        <w:t xml:space="preserve"> $592 million </w:t>
      </w:r>
      <w:r w:rsidR="00E852D4">
        <w:rPr>
          <w:rFonts w:eastAsia="Lucida Sans Unicode"/>
        </w:rPr>
        <w:t>from</w:t>
      </w:r>
      <w:r w:rsidRPr="006B4A33">
        <w:rPr>
          <w:rFonts w:eastAsia="Lucida Sans Unicode"/>
        </w:rPr>
        <w:t xml:space="preserve"> $604 million </w:t>
      </w:r>
      <w:r w:rsidR="00E852D4">
        <w:rPr>
          <w:rFonts w:eastAsia="Lucida Sans Unicode"/>
        </w:rPr>
        <w:t xml:space="preserve">in 2022/23. </w:t>
      </w:r>
      <w:r w:rsidR="003F43C1">
        <w:rPr>
          <w:rFonts w:eastAsia="Lucida Sans Unicode"/>
        </w:rPr>
        <w:t>Expenditure in 2021/22 was</w:t>
      </w:r>
      <w:r w:rsidRPr="006B4A33">
        <w:rPr>
          <w:rFonts w:eastAsia="Lucida Sans Unicode"/>
        </w:rPr>
        <w:t xml:space="preserve"> $387 million and </w:t>
      </w:r>
      <w:r w:rsidR="008C0FC7">
        <w:rPr>
          <w:rFonts w:eastAsia="Lucida Sans Unicode"/>
        </w:rPr>
        <w:t xml:space="preserve">in 2020/21 was </w:t>
      </w:r>
      <w:r w:rsidRPr="006B4A33">
        <w:rPr>
          <w:rFonts w:eastAsia="Lucida Sans Unicode"/>
        </w:rPr>
        <w:t>$559 million. Again, a key contributing factor for the fluctuation was COVID-19 lockdowns, which forced venues to close and later impose social distancing restrictions, as well as continuing restrictions on international travel. These restrictions appear to have been most impactful on the casino sector.</w:t>
      </w:r>
    </w:p>
    <w:p w14:paraId="4582B02A" w14:textId="77777777" w:rsidR="009616E5" w:rsidRDefault="009616E5" w:rsidP="009616E5">
      <w:pPr>
        <w:pStyle w:val="Heading2"/>
        <w:rPr>
          <w:b w:val="0"/>
          <w:i/>
          <w:sz w:val="28"/>
          <w:szCs w:val="28"/>
        </w:rPr>
      </w:pPr>
      <w:bookmarkStart w:id="7" w:name="_Toc197534187"/>
      <w:r>
        <w:lastRenderedPageBreak/>
        <w:t>The effects of gambling on people and communities</w:t>
      </w:r>
      <w:bookmarkEnd w:id="7"/>
    </w:p>
    <w:p w14:paraId="41AD1D6A" w14:textId="3704FFCE" w:rsidR="009616E5" w:rsidRDefault="009616E5" w:rsidP="00DB373E">
      <w:pPr>
        <w:spacing w:before="120"/>
        <w:rPr>
          <w:rFonts w:eastAsia="Lucida Sans Unicode"/>
        </w:rPr>
      </w:pPr>
      <w:r w:rsidRPr="52103CC6">
        <w:rPr>
          <w:rFonts w:eastAsia="Lucida Sans Unicode"/>
        </w:rPr>
        <w:t xml:space="preserve">While most New Zealanders who gamble do so without experiencing harm, a significant minority experience harm from their own gambling, or their gambling negatively impacts the lives of others. </w:t>
      </w:r>
    </w:p>
    <w:p w14:paraId="55D64D36" w14:textId="77777777" w:rsidR="00DB373E" w:rsidRDefault="00DB373E" w:rsidP="00DB373E">
      <w:pPr>
        <w:spacing w:before="120"/>
        <w:rPr>
          <w:rFonts w:eastAsia="Lucida Sans Unicode"/>
        </w:rPr>
      </w:pPr>
    </w:p>
    <w:p w14:paraId="294E4367" w14:textId="77777777" w:rsidR="009616E5" w:rsidRPr="0041657F" w:rsidRDefault="009616E5" w:rsidP="00DB373E">
      <w:pPr>
        <w:rPr>
          <w:rFonts w:eastAsia="Lucida Sans Unicode"/>
        </w:rPr>
      </w:pPr>
      <w:r w:rsidRPr="52103CC6">
        <w:rPr>
          <w:rFonts w:eastAsia="Lucida Sans Unicode"/>
        </w:rPr>
        <w:t>Figure A1.1 below is a conceptual framework, developed by Central Queensland University and Auckland University of Technology, that shows several different dimensions of harm. The framework also shows that harm occurs over different timeframes. ‘General harms’ are those that arise from the initial engagement with gambling, ‘crisis-level harms’ are those that motivate help seeking or changes to gambling behaviour and ‘legacy harms’ are those that continue to occur after the person is no longer gambling or is no longer exposed to gambling.</w:t>
      </w:r>
      <w:r w:rsidRPr="52103CC6">
        <w:rPr>
          <w:rStyle w:val="FootnoteReference"/>
          <w:rFonts w:eastAsia="Lucida Sans Unicode"/>
        </w:rPr>
        <w:footnoteReference w:id="16"/>
      </w:r>
    </w:p>
    <w:p w14:paraId="3A7C7C5E" w14:textId="77777777" w:rsidR="009616E5" w:rsidRPr="006B4A33" w:rsidRDefault="009616E5" w:rsidP="009616E5">
      <w:pPr>
        <w:pStyle w:val="Figure"/>
        <w:rPr>
          <w:rFonts w:eastAsia="Lucida Sans Unicode"/>
        </w:rPr>
      </w:pPr>
      <w:bookmarkStart w:id="8" w:name="_Toc197534106"/>
      <w:r w:rsidRPr="006B4A33">
        <w:rPr>
          <w:rFonts w:eastAsia="Lucida Sans Unicode"/>
        </w:rPr>
        <w:t>Figure A1.1: Life course and intergenerational harm</w:t>
      </w:r>
      <w:bookmarkEnd w:id="8"/>
    </w:p>
    <w:p w14:paraId="54BBF398" w14:textId="77777777" w:rsidR="009616E5" w:rsidRDefault="009616E5" w:rsidP="009616E5">
      <w:pPr>
        <w:spacing w:after="120"/>
        <w:rPr>
          <w:rFonts w:eastAsia="Lucida Sans Unicode"/>
        </w:rPr>
      </w:pPr>
      <w:r>
        <w:rPr>
          <w:noProof/>
        </w:rPr>
        <w:drawing>
          <wp:inline distT="0" distB="0" distL="0" distR="0" wp14:anchorId="20954FEE" wp14:editId="148B212C">
            <wp:extent cx="5162550" cy="2723010"/>
            <wp:effectExtent l="0" t="0" r="0" b="1270"/>
            <wp:docPr id="212039032" name="Picture 212039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9032" name="Picture 21203903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162550" cy="2723010"/>
                    </a:xfrm>
                    <a:prstGeom prst="rect">
                      <a:avLst/>
                    </a:prstGeom>
                  </pic:spPr>
                </pic:pic>
              </a:graphicData>
            </a:graphic>
          </wp:inline>
        </w:drawing>
      </w:r>
    </w:p>
    <w:p w14:paraId="497CF911" w14:textId="77777777" w:rsidR="009616E5" w:rsidRDefault="009616E5" w:rsidP="52103CC6">
      <w:pPr>
        <w:rPr>
          <w:rFonts w:eastAsia="Lucida Sans Unicode"/>
        </w:rPr>
      </w:pPr>
      <w:r w:rsidRPr="52103CC6">
        <w:rPr>
          <w:rFonts w:eastAsia="Lucida Sans Unicode"/>
        </w:rPr>
        <w:t xml:space="preserve">Most harm affecting a population will occur in the large number of people with low levels of risk, rather than in the very small number of individuals with extremely high risk. </w:t>
      </w:r>
    </w:p>
    <w:p w14:paraId="5A6BDBC3" w14:textId="77777777" w:rsidR="009616E5" w:rsidRDefault="009616E5" w:rsidP="009616E5">
      <w:pPr>
        <w:pStyle w:val="Heading3"/>
      </w:pPr>
      <w:r>
        <w:t>Defining and m</w:t>
      </w:r>
      <w:r w:rsidRPr="00301232">
        <w:t>easuring harm</w:t>
      </w:r>
      <w:r>
        <w:t>: point in time</w:t>
      </w:r>
    </w:p>
    <w:p w14:paraId="76DAB8D4" w14:textId="75988ADC" w:rsidR="009616E5" w:rsidRDefault="009616E5" w:rsidP="009616E5">
      <w:pPr>
        <w:rPr>
          <w:rFonts w:eastAsia="Lucida Sans Unicode"/>
        </w:rPr>
      </w:pPr>
      <w:r w:rsidRPr="00F65C1B">
        <w:rPr>
          <w:rFonts w:eastAsia="Lucida Sans Unicode"/>
        </w:rPr>
        <w:t>We can measure gambling harm at both the individual and population level.</w:t>
      </w:r>
      <w:r>
        <w:rPr>
          <w:rFonts w:eastAsia="Lucida Sans Unicode"/>
        </w:rPr>
        <w:t xml:space="preserve"> </w:t>
      </w:r>
      <w:r w:rsidR="082857E2" w:rsidRPr="2CA6FE50">
        <w:rPr>
          <w:rFonts w:eastAsia="Lucida Sans Unicode"/>
        </w:rPr>
        <w:t xml:space="preserve">In the past, </w:t>
      </w:r>
      <w:r w:rsidRPr="2CA6FE50">
        <w:rPr>
          <w:rFonts w:eastAsia="Lucida Sans Unicode"/>
        </w:rPr>
        <w:t xml:space="preserve">The </w:t>
      </w:r>
      <w:r w:rsidR="005045D4">
        <w:rPr>
          <w:rFonts w:eastAsia="Lucida Sans Unicode"/>
        </w:rPr>
        <w:t>Health and Lifestyles Survey (</w:t>
      </w:r>
      <w:r w:rsidRPr="2CA6FE50">
        <w:rPr>
          <w:rFonts w:eastAsia="Lucida Sans Unicode"/>
        </w:rPr>
        <w:t>HLS</w:t>
      </w:r>
      <w:r w:rsidR="005045D4">
        <w:rPr>
          <w:rFonts w:eastAsia="Lucida Sans Unicode"/>
        </w:rPr>
        <w:t>)</w:t>
      </w:r>
      <w:r w:rsidRPr="2CA6FE50">
        <w:rPr>
          <w:rFonts w:eastAsia="Lucida Sans Unicode"/>
        </w:rPr>
        <w:t xml:space="preserve"> </w:t>
      </w:r>
      <w:r w:rsidR="64E2DF9A" w:rsidRPr="2CA6FE50">
        <w:rPr>
          <w:rFonts w:eastAsia="Lucida Sans Unicode"/>
        </w:rPr>
        <w:t>has been</w:t>
      </w:r>
      <w:r>
        <w:rPr>
          <w:rFonts w:eastAsia="Lucida Sans Unicode"/>
        </w:rPr>
        <w:t xml:space="preserve"> our main source of information about individuals’ gambling risk. The most recent HLS data we have is from 2020</w:t>
      </w:r>
      <w:r w:rsidR="5DAC1B1C" w:rsidRPr="2CA6FE50">
        <w:rPr>
          <w:rFonts w:eastAsia="Lucida Sans Unicode"/>
        </w:rPr>
        <w:t xml:space="preserve">. In 2023, </w:t>
      </w:r>
      <w:r>
        <w:rPr>
          <w:rFonts w:eastAsia="Lucida Sans Unicode"/>
        </w:rPr>
        <w:t xml:space="preserve">the Ministry commissioned a new </w:t>
      </w:r>
      <w:r w:rsidR="3D4E4BEF" w:rsidRPr="5B7DCC16">
        <w:rPr>
          <w:rFonts w:eastAsia="Lucida Sans Unicode"/>
        </w:rPr>
        <w:t>New Zealand G</w:t>
      </w:r>
      <w:r w:rsidRPr="5B7DCC16">
        <w:rPr>
          <w:rFonts w:eastAsia="Lucida Sans Unicode"/>
        </w:rPr>
        <w:t xml:space="preserve">ambling </w:t>
      </w:r>
      <w:r w:rsidR="1D8C6810" w:rsidRPr="5B7DCC16">
        <w:rPr>
          <w:rFonts w:eastAsia="Lucida Sans Unicode"/>
        </w:rPr>
        <w:t>S</w:t>
      </w:r>
      <w:r w:rsidRPr="5B7DCC16">
        <w:rPr>
          <w:rFonts w:eastAsia="Lucida Sans Unicode"/>
        </w:rPr>
        <w:t>urvey</w:t>
      </w:r>
      <w:r>
        <w:rPr>
          <w:rFonts w:eastAsia="Lucida Sans Unicode"/>
        </w:rPr>
        <w:t xml:space="preserve"> </w:t>
      </w:r>
      <w:r w:rsidR="665F46CE" w:rsidRPr="11C297A0">
        <w:rPr>
          <w:rFonts w:eastAsia="Lucida Sans Unicode"/>
        </w:rPr>
        <w:t>(</w:t>
      </w:r>
      <w:r w:rsidR="665F46CE" w:rsidRPr="755C4634">
        <w:rPr>
          <w:rFonts w:eastAsia="Lucida Sans Unicode"/>
        </w:rPr>
        <w:t xml:space="preserve">NZGS) </w:t>
      </w:r>
      <w:r w:rsidRPr="755C4634">
        <w:rPr>
          <w:rFonts w:eastAsia="Lucida Sans Unicode"/>
        </w:rPr>
        <w:t>whose</w:t>
      </w:r>
      <w:r>
        <w:rPr>
          <w:rFonts w:eastAsia="Lucida Sans Unicode"/>
        </w:rPr>
        <w:t xml:space="preserve"> results are </w:t>
      </w:r>
      <w:r w:rsidR="2CE34FBE" w:rsidRPr="2CA6FE50">
        <w:rPr>
          <w:rFonts w:eastAsia="Lucida Sans Unicode"/>
        </w:rPr>
        <w:t xml:space="preserve">set out below. </w:t>
      </w:r>
      <w:r>
        <w:rPr>
          <w:rFonts w:eastAsia="Lucida Sans Unicode"/>
        </w:rPr>
        <w:t xml:space="preserve"> </w:t>
      </w:r>
    </w:p>
    <w:p w14:paraId="3FF199EC" w14:textId="77777777" w:rsidR="009616E5" w:rsidRDefault="009616E5" w:rsidP="009616E5">
      <w:pPr>
        <w:rPr>
          <w:rFonts w:eastAsia="Lucida Sans Unicode"/>
        </w:rPr>
      </w:pPr>
    </w:p>
    <w:p w14:paraId="32AAC4C8" w14:textId="0E64A084" w:rsidR="009616E5" w:rsidRPr="00B75848" w:rsidRDefault="009616E5" w:rsidP="52103CC6">
      <w:pPr>
        <w:rPr>
          <w:rFonts w:eastAsia="Lucida Sans Unicode"/>
        </w:rPr>
      </w:pPr>
      <w:r w:rsidRPr="00DD16A6">
        <w:rPr>
          <w:rFonts w:eastAsia="Lucida Sans Unicode"/>
        </w:rPr>
        <w:lastRenderedPageBreak/>
        <w:t xml:space="preserve">The </w:t>
      </w:r>
      <w:r w:rsidR="00FF2032" w:rsidRPr="52103CC6">
        <w:rPr>
          <w:rFonts w:eastAsia="Lucida Sans Unicode"/>
        </w:rPr>
        <w:t xml:space="preserve">NZGS </w:t>
      </w:r>
      <w:r w:rsidRPr="52103CC6">
        <w:rPr>
          <w:rFonts w:eastAsia="Lucida Sans Unicode"/>
        </w:rPr>
        <w:t>uses the internationally validated Problem Gambling Severity Index (PGSI).</w:t>
      </w:r>
      <w:r w:rsidRPr="52103CC6">
        <w:rPr>
          <w:rStyle w:val="FootnoteReference"/>
          <w:rFonts w:eastAsia="Lucida Sans Unicode"/>
        </w:rPr>
        <w:footnoteReference w:id="17"/>
      </w:r>
      <w:r w:rsidRPr="52103CC6">
        <w:rPr>
          <w:rFonts w:eastAsia="Lucida Sans Unicode"/>
        </w:rPr>
        <w:t xml:space="preserve"> The PGSI identifies levels of gambling risk as reported by individuals. </w:t>
      </w:r>
      <w:r w:rsidRPr="00DD16A6">
        <w:rPr>
          <w:rFonts w:eastAsia="Lucida Sans Unicode"/>
        </w:rPr>
        <w:t xml:space="preserve">In </w:t>
      </w:r>
      <w:r w:rsidR="008025B0" w:rsidRPr="52103CC6">
        <w:rPr>
          <w:rFonts w:eastAsia="Lucida Sans Unicode"/>
        </w:rPr>
        <w:t>2023/24</w:t>
      </w:r>
      <w:r w:rsidRPr="52103CC6">
        <w:rPr>
          <w:rFonts w:eastAsia="Lucida Sans Unicode"/>
        </w:rPr>
        <w:t xml:space="preserve">, of the </w:t>
      </w:r>
      <w:r w:rsidR="005B3264" w:rsidRPr="52103CC6">
        <w:rPr>
          <w:rFonts w:eastAsia="Lucida Sans Unicode"/>
        </w:rPr>
        <w:t>64%</w:t>
      </w:r>
      <w:r w:rsidRPr="52103CC6">
        <w:rPr>
          <w:rFonts w:eastAsia="Lucida Sans Unicode"/>
        </w:rPr>
        <w:t xml:space="preserve"> of New Zealanders who gambled in the past 12 months:</w:t>
      </w:r>
    </w:p>
    <w:p w14:paraId="5C4C0286" w14:textId="456E8EFE" w:rsidR="009616E5" w:rsidRPr="006B4A33" w:rsidRDefault="006924A2" w:rsidP="009616E5">
      <w:pPr>
        <w:pStyle w:val="Bullet"/>
        <w:rPr>
          <w:rFonts w:eastAsia="Lucida Sans Unicode"/>
        </w:rPr>
      </w:pPr>
      <w:r>
        <w:rPr>
          <w:rFonts w:eastAsia="Lucida Sans Unicode"/>
        </w:rPr>
        <w:t>8</w:t>
      </w:r>
      <w:r w:rsidR="008D7F27">
        <w:rPr>
          <w:rFonts w:eastAsia="Lucida Sans Unicode"/>
        </w:rPr>
        <w:t>1.7</w:t>
      </w:r>
      <w:r>
        <w:rPr>
          <w:rFonts w:eastAsia="Lucida Sans Unicode"/>
        </w:rPr>
        <w:t xml:space="preserve">% </w:t>
      </w:r>
      <w:r w:rsidR="009616E5" w:rsidRPr="006B4A33">
        <w:rPr>
          <w:rFonts w:eastAsia="Lucida Sans Unicode"/>
        </w:rPr>
        <w:t>were non-problem gamblers</w:t>
      </w:r>
    </w:p>
    <w:p w14:paraId="6B09AEA9" w14:textId="1DD62265" w:rsidR="009616E5" w:rsidRPr="006B4A33" w:rsidRDefault="00D73F7A" w:rsidP="52103CC6">
      <w:pPr>
        <w:pStyle w:val="Bullet"/>
        <w:rPr>
          <w:rFonts w:eastAsia="Lucida Sans Unicode"/>
        </w:rPr>
      </w:pPr>
      <w:r w:rsidRPr="52103CC6">
        <w:rPr>
          <w:rFonts w:eastAsia="Lucida Sans Unicode"/>
        </w:rPr>
        <w:t>9.</w:t>
      </w:r>
      <w:r w:rsidR="005E1D7A">
        <w:rPr>
          <w:rFonts w:eastAsia="Lucida Sans Unicode"/>
        </w:rPr>
        <w:t>2</w:t>
      </w:r>
      <w:r w:rsidRPr="52103CC6">
        <w:rPr>
          <w:rFonts w:eastAsia="Lucida Sans Unicode"/>
        </w:rPr>
        <w:t>%</w:t>
      </w:r>
      <w:r w:rsidR="009616E5" w:rsidRPr="52103CC6">
        <w:rPr>
          <w:rFonts w:eastAsia="Lucida Sans Unicode"/>
        </w:rPr>
        <w:t xml:space="preserve"> (</w:t>
      </w:r>
      <w:r w:rsidRPr="52103CC6">
        <w:rPr>
          <w:rFonts w:eastAsia="Lucida Sans Unicode"/>
        </w:rPr>
        <w:t xml:space="preserve">255,000 </w:t>
      </w:r>
      <w:r w:rsidR="009616E5" w:rsidRPr="52103CC6">
        <w:rPr>
          <w:rFonts w:eastAsia="Lucida Sans Unicode"/>
        </w:rPr>
        <w:t>people) were at low risk of harm from gambling</w:t>
      </w:r>
    </w:p>
    <w:p w14:paraId="4DF5C505" w14:textId="789ECE3F" w:rsidR="0079553C" w:rsidRDefault="00872DC2" w:rsidP="52103CC6">
      <w:pPr>
        <w:pStyle w:val="Bullet"/>
        <w:rPr>
          <w:rFonts w:eastAsia="Lucida Sans Unicode"/>
        </w:rPr>
      </w:pPr>
      <w:r>
        <w:rPr>
          <w:rFonts w:eastAsia="Lucida Sans Unicode"/>
        </w:rPr>
        <w:t>3.8</w:t>
      </w:r>
      <w:r w:rsidR="0046519F" w:rsidRPr="52103CC6">
        <w:rPr>
          <w:rFonts w:eastAsia="Lucida Sans Unicode"/>
        </w:rPr>
        <w:t>%</w:t>
      </w:r>
      <w:r w:rsidR="009616E5" w:rsidRPr="52103CC6">
        <w:rPr>
          <w:rFonts w:eastAsia="Lucida Sans Unicode"/>
        </w:rPr>
        <w:t xml:space="preserve"> (</w:t>
      </w:r>
      <w:r w:rsidR="00FF2032" w:rsidRPr="52103CC6">
        <w:rPr>
          <w:rFonts w:eastAsia="Lucida Sans Unicode"/>
        </w:rPr>
        <w:t xml:space="preserve">104,000 </w:t>
      </w:r>
      <w:r w:rsidR="009616E5" w:rsidRPr="52103CC6">
        <w:rPr>
          <w:rFonts w:eastAsia="Lucida Sans Unicode"/>
        </w:rPr>
        <w:t>people) were at moderate or high risk of harm from gambling.</w:t>
      </w:r>
    </w:p>
    <w:p w14:paraId="6D7E7D62" w14:textId="61534C6F" w:rsidR="009616E5" w:rsidRPr="006B4A33" w:rsidRDefault="00A531F4" w:rsidP="52103CC6">
      <w:pPr>
        <w:pStyle w:val="Bullet"/>
        <w:rPr>
          <w:rFonts w:eastAsia="Lucida Sans Unicode"/>
        </w:rPr>
      </w:pPr>
      <w:r>
        <w:rPr>
          <w:rFonts w:eastAsia="Lucida Sans Unicode"/>
        </w:rPr>
        <w:t xml:space="preserve">For </w:t>
      </w:r>
      <w:r w:rsidR="00123E0F">
        <w:rPr>
          <w:rFonts w:eastAsia="Lucida Sans Unicode"/>
        </w:rPr>
        <w:t>5.3% (</w:t>
      </w:r>
      <w:r>
        <w:rPr>
          <w:rFonts w:eastAsia="Lucida Sans Unicode"/>
        </w:rPr>
        <w:t xml:space="preserve">146,000 people) the PGSI </w:t>
      </w:r>
      <w:r w:rsidR="00953B5B">
        <w:rPr>
          <w:rFonts w:eastAsia="Lucida Sans Unicode"/>
        </w:rPr>
        <w:t>score was unknown.</w:t>
      </w:r>
      <w:r w:rsidR="009616E5" w:rsidRPr="52103CC6">
        <w:rPr>
          <w:rStyle w:val="FootnoteReference"/>
          <w:rFonts w:eastAsia="Lucida Sans Unicode"/>
        </w:rPr>
        <w:footnoteReference w:id="18"/>
      </w:r>
    </w:p>
    <w:p w14:paraId="289CF956" w14:textId="77777777" w:rsidR="009616E5" w:rsidRDefault="009616E5" w:rsidP="009616E5">
      <w:pPr>
        <w:rPr>
          <w:rFonts w:eastAsia="Lucida Sans Unicode"/>
        </w:rPr>
      </w:pPr>
    </w:p>
    <w:p w14:paraId="29161EE7" w14:textId="0E7F840D" w:rsidR="009616E5" w:rsidRDefault="009616E5" w:rsidP="52103CC6">
      <w:pPr>
        <w:rPr>
          <w:rFonts w:eastAsia="Lucida Sans Unicode"/>
        </w:rPr>
      </w:pPr>
      <w:r w:rsidRPr="52103CC6">
        <w:rPr>
          <w:rFonts w:eastAsia="Lucida Sans Unicode"/>
        </w:rPr>
        <w:t xml:space="preserve">These percentages have been stable for some years. However, this does not mean that the extent of gambling harm in communities is static, because although </w:t>
      </w:r>
      <w:r w:rsidRPr="52103CC6">
        <w:rPr>
          <w:rFonts w:eastAsia="Lucida Sans Unicode"/>
          <w:i/>
          <w:iCs/>
        </w:rPr>
        <w:t xml:space="preserve">percentages </w:t>
      </w:r>
      <w:r w:rsidRPr="52103CC6">
        <w:rPr>
          <w:rFonts w:eastAsia="Lucida Sans Unicode"/>
        </w:rPr>
        <w:t xml:space="preserve">have not changed significantly, the adult population </w:t>
      </w:r>
      <w:r w:rsidRPr="52103CC6">
        <w:rPr>
          <w:rFonts w:eastAsia="Lucida Sans Unicode"/>
          <w:i/>
          <w:iCs/>
        </w:rPr>
        <w:t>has grown</w:t>
      </w:r>
      <w:r w:rsidRPr="52103CC6">
        <w:rPr>
          <w:rFonts w:eastAsia="Lucida Sans Unicode"/>
        </w:rPr>
        <w:t xml:space="preserve">. This means that the </w:t>
      </w:r>
      <w:r w:rsidRPr="52103CC6">
        <w:rPr>
          <w:rFonts w:eastAsia="Lucida Sans Unicode"/>
          <w:i/>
          <w:iCs/>
        </w:rPr>
        <w:t>actual number</w:t>
      </w:r>
      <w:r w:rsidRPr="52103CC6">
        <w:rPr>
          <w:rFonts w:eastAsia="Lucida Sans Unicode"/>
        </w:rPr>
        <w:t xml:space="preserve"> of people who are experiencing gambling-related harm has increased.</w:t>
      </w:r>
      <w:r w:rsidRPr="52103CC6">
        <w:rPr>
          <w:rStyle w:val="FootnoteReference"/>
          <w:rFonts w:eastAsia="Lucida Sans Unicode"/>
        </w:rPr>
        <w:footnoteReference w:id="19"/>
      </w:r>
    </w:p>
    <w:p w14:paraId="50AC4268" w14:textId="77777777" w:rsidR="009616E5" w:rsidRDefault="009616E5" w:rsidP="009616E5">
      <w:pPr>
        <w:rPr>
          <w:rFonts w:eastAsia="Lucida Sans Unicode"/>
        </w:rPr>
      </w:pPr>
      <w:r>
        <w:rPr>
          <w:rFonts w:eastAsia="Lucida Sans Unicode"/>
        </w:rPr>
        <w:t xml:space="preserve"> </w:t>
      </w:r>
    </w:p>
    <w:p w14:paraId="7B7C7C59" w14:textId="09BD10D3" w:rsidR="009616E5" w:rsidRDefault="00702393" w:rsidP="52103CC6">
      <w:pPr>
        <w:rPr>
          <w:rFonts w:eastAsia="Lucida Sans Unicode"/>
        </w:rPr>
      </w:pPr>
      <w:r w:rsidRPr="52103CC6">
        <w:rPr>
          <w:rFonts w:eastAsia="Lucida Sans Unicode"/>
        </w:rPr>
        <w:t xml:space="preserve">The </w:t>
      </w:r>
      <w:r w:rsidR="00EB3D2F" w:rsidRPr="52103CC6">
        <w:rPr>
          <w:rFonts w:eastAsia="Lucida Sans Unicode"/>
        </w:rPr>
        <w:t>NZGS</w:t>
      </w:r>
      <w:r w:rsidR="00D22947">
        <w:rPr>
          <w:rFonts w:eastAsia="Lucida Sans Unicode"/>
        </w:rPr>
        <w:t xml:space="preserve"> </w:t>
      </w:r>
      <w:r w:rsidR="009B2D22" w:rsidRPr="52103CC6">
        <w:rPr>
          <w:rFonts w:eastAsia="Lucida Sans Unicode"/>
        </w:rPr>
        <w:t>shows</w:t>
      </w:r>
      <w:r w:rsidR="00C337D6" w:rsidRPr="52103CC6">
        <w:rPr>
          <w:rFonts w:eastAsia="Lucida Sans Unicode"/>
        </w:rPr>
        <w:t xml:space="preserve"> that</w:t>
      </w:r>
      <w:r w:rsidR="009616E5" w:rsidRPr="00301CAF">
        <w:rPr>
          <w:rFonts w:eastAsia="Lucida Sans Unicode"/>
        </w:rPr>
        <w:t>,</w:t>
      </w:r>
      <w:r w:rsidR="009616E5" w:rsidRPr="52103CC6">
        <w:rPr>
          <w:rFonts w:eastAsia="Lucida Sans Unicode"/>
        </w:rPr>
        <w:t xml:space="preserve"> while only </w:t>
      </w:r>
      <w:r w:rsidR="00DC4F29" w:rsidRPr="52103CC6">
        <w:rPr>
          <w:rFonts w:eastAsia="Lucida Sans Unicode"/>
        </w:rPr>
        <w:t>2.1%</w:t>
      </w:r>
      <w:r w:rsidR="009616E5" w:rsidRPr="52103CC6">
        <w:rPr>
          <w:rFonts w:eastAsia="Lucida Sans Unicode"/>
        </w:rPr>
        <w:t xml:space="preserve"> of people living in the least deprived areas have moderate or </w:t>
      </w:r>
      <w:r w:rsidR="00635511" w:rsidRPr="52103CC6">
        <w:rPr>
          <w:rFonts w:eastAsia="Lucida Sans Unicode"/>
        </w:rPr>
        <w:t xml:space="preserve">high </w:t>
      </w:r>
      <w:r w:rsidR="009616E5" w:rsidRPr="52103CC6">
        <w:rPr>
          <w:rFonts w:eastAsia="Lucida Sans Unicode"/>
        </w:rPr>
        <w:t xml:space="preserve">PGSI levels, </w:t>
      </w:r>
      <w:r w:rsidR="006838D2" w:rsidRPr="52103CC6">
        <w:rPr>
          <w:rFonts w:eastAsia="Lucida Sans Unicode"/>
        </w:rPr>
        <w:t>3.6%</w:t>
      </w:r>
      <w:r w:rsidR="009616E5" w:rsidRPr="52103CC6">
        <w:rPr>
          <w:rFonts w:eastAsia="Lucida Sans Unicode"/>
        </w:rPr>
        <w:t xml:space="preserve"> of those in the most deprived areas do. This demonstrates how gambling harm affects communities, not just individuals.</w:t>
      </w:r>
    </w:p>
    <w:p w14:paraId="71BB6A19" w14:textId="77777777" w:rsidR="009616E5" w:rsidRDefault="009616E5" w:rsidP="009616E5">
      <w:pPr>
        <w:pStyle w:val="Heading3"/>
      </w:pPr>
      <w:r>
        <w:t>Defining and measuring harm: broader perspectives</w:t>
      </w:r>
    </w:p>
    <w:p w14:paraId="29A76780" w14:textId="353B3503" w:rsidR="004F0C91" w:rsidRDefault="009616E5" w:rsidP="52103CC6">
      <w:pPr>
        <w:rPr>
          <w:rFonts w:eastAsia="Lucida Sans Unicode"/>
        </w:rPr>
      </w:pPr>
      <w:r w:rsidRPr="52103CC6">
        <w:rPr>
          <w:rFonts w:eastAsia="Lucida Sans Unicode"/>
        </w:rPr>
        <w:t xml:space="preserve">However, not everybody who will experience gambling risk or harm experiences it in a specific 12-month period. Data from the 2016 HLS shows that about 22% of New Zealanders had been affected by their own or others gambling at some time in their lives. </w:t>
      </w:r>
    </w:p>
    <w:p w14:paraId="2E24EE4C" w14:textId="77777777" w:rsidR="004F0C91" w:rsidRDefault="004F0C91" w:rsidP="52103CC6">
      <w:pPr>
        <w:rPr>
          <w:rFonts w:eastAsia="Lucida Sans Unicode"/>
        </w:rPr>
      </w:pPr>
    </w:p>
    <w:p w14:paraId="294B7614" w14:textId="6864C40D" w:rsidR="00766B44" w:rsidRPr="00AA4E79" w:rsidRDefault="009616E5" w:rsidP="00AA4E79">
      <w:pPr>
        <w:rPr>
          <w:rFonts w:eastAsia="Lucida Sans Unicode"/>
        </w:rPr>
      </w:pPr>
      <w:r w:rsidRPr="00E91568">
        <w:rPr>
          <w:rFonts w:eastAsia="Lucida Sans Unicode"/>
        </w:rPr>
        <w:t>In the 2020 HLS, about</w:t>
      </w:r>
      <w:r w:rsidRPr="52103CC6">
        <w:rPr>
          <w:rFonts w:eastAsia="Lucida Sans Unicode"/>
        </w:rPr>
        <w:t xml:space="preserve"> 183,000 adults report</w:t>
      </w:r>
      <w:r w:rsidR="005B672D">
        <w:rPr>
          <w:rFonts w:eastAsia="Lucida Sans Unicode"/>
        </w:rPr>
        <w:t>ed</w:t>
      </w:r>
      <w:r w:rsidR="00A653C6">
        <w:rPr>
          <w:rFonts w:eastAsia="Lucida Sans Unicode"/>
        </w:rPr>
        <w:t xml:space="preserve"> </w:t>
      </w:r>
      <w:r w:rsidRPr="52103CC6">
        <w:rPr>
          <w:rFonts w:eastAsia="Lucida Sans Unicode"/>
        </w:rPr>
        <w:t>second-hand gambling harm in their wider families or households in the past year, for example, arguments or ‘going without’ because of gambling.</w:t>
      </w:r>
      <w:r w:rsidRPr="52103CC6">
        <w:rPr>
          <w:rStyle w:val="FootnoteReference"/>
          <w:rFonts w:eastAsia="Lucida Sans Unicode"/>
        </w:rPr>
        <w:footnoteReference w:id="20"/>
      </w:r>
      <w:r w:rsidR="00E5245C">
        <w:rPr>
          <w:rFonts w:eastAsia="Lucida Sans Unicode"/>
        </w:rPr>
        <w:t xml:space="preserve"> </w:t>
      </w:r>
      <w:r w:rsidR="00766B44" w:rsidRPr="00AA4E79">
        <w:rPr>
          <w:rFonts w:eastAsia="Lucida Sans Unicode"/>
        </w:rPr>
        <w:t>In the 2023/24 NZGS</w:t>
      </w:r>
      <w:r w:rsidR="00F873E2">
        <w:rPr>
          <w:rFonts w:eastAsia="Lucida Sans Unicode"/>
        </w:rPr>
        <w:t>,</w:t>
      </w:r>
      <w:r w:rsidR="00766B44" w:rsidRPr="00AA4E79">
        <w:rPr>
          <w:rFonts w:eastAsia="Lucida Sans Unicode"/>
        </w:rPr>
        <w:t xml:space="preserve"> </w:t>
      </w:r>
      <w:r w:rsidR="00D457D0">
        <w:rPr>
          <w:rFonts w:eastAsia="Lucida Sans Unicode"/>
        </w:rPr>
        <w:t xml:space="preserve">381,000 adults (8.9%) </w:t>
      </w:r>
      <w:r w:rsidR="002B5B9B">
        <w:rPr>
          <w:rFonts w:eastAsia="Lucida Sans Unicode"/>
        </w:rPr>
        <w:t xml:space="preserve">reported </w:t>
      </w:r>
      <w:r w:rsidR="008F1AFE">
        <w:rPr>
          <w:rFonts w:eastAsia="Lucida Sans Unicode"/>
        </w:rPr>
        <w:t>experien</w:t>
      </w:r>
      <w:r w:rsidR="002B5B9B">
        <w:rPr>
          <w:rFonts w:eastAsia="Lucida Sans Unicode"/>
        </w:rPr>
        <w:t xml:space="preserve">cing </w:t>
      </w:r>
      <w:r w:rsidR="00E50EC3">
        <w:rPr>
          <w:rFonts w:eastAsia="Lucida Sans Unicode"/>
        </w:rPr>
        <w:t xml:space="preserve">at least one form </w:t>
      </w:r>
      <w:r w:rsidR="00A07C84">
        <w:rPr>
          <w:rFonts w:eastAsia="Lucida Sans Unicode"/>
        </w:rPr>
        <w:t>of</w:t>
      </w:r>
      <w:r w:rsidR="00AF6823">
        <w:rPr>
          <w:rFonts w:eastAsia="Lucida Sans Unicode"/>
        </w:rPr>
        <w:t xml:space="preserve"> household-level</w:t>
      </w:r>
      <w:r w:rsidR="00766B44" w:rsidRPr="00AA4E79">
        <w:rPr>
          <w:rFonts w:eastAsia="Lucida Sans Unicode"/>
        </w:rPr>
        <w:t xml:space="preserve"> gambling harm </w:t>
      </w:r>
      <w:r w:rsidR="00CC01F7">
        <w:rPr>
          <w:rFonts w:eastAsia="Lucida Sans Unicode"/>
        </w:rPr>
        <w:t>in the past year.</w:t>
      </w:r>
      <w:r w:rsidR="005E29EC">
        <w:rPr>
          <w:rStyle w:val="FootnoteReference"/>
          <w:rFonts w:eastAsia="Lucida Sans Unicode"/>
        </w:rPr>
        <w:footnoteReference w:id="21"/>
      </w:r>
    </w:p>
    <w:p w14:paraId="29968F23" w14:textId="77777777" w:rsidR="00DB373E" w:rsidRDefault="00DB373E" w:rsidP="00DB373E">
      <w:pPr>
        <w:rPr>
          <w:rFonts w:eastAsia="Lucida Sans Unicode"/>
        </w:rPr>
      </w:pPr>
    </w:p>
    <w:p w14:paraId="3E2E5E38" w14:textId="7F81974E" w:rsidR="00F873E2" w:rsidRDefault="009616E5" w:rsidP="00DB373E">
      <w:pPr>
        <w:rPr>
          <w:rFonts w:eastAsia="Lucida Sans Unicode"/>
        </w:rPr>
      </w:pPr>
      <w:r>
        <w:rPr>
          <w:rFonts w:eastAsia="Lucida Sans Unicode"/>
        </w:rPr>
        <w:t>Other</w:t>
      </w:r>
      <w:r w:rsidRPr="000009DB">
        <w:rPr>
          <w:rFonts w:eastAsia="Lucida Sans Unicode"/>
        </w:rPr>
        <w:t xml:space="preserve"> </w:t>
      </w:r>
      <w:r>
        <w:rPr>
          <w:rFonts w:eastAsia="Lucida Sans Unicode"/>
        </w:rPr>
        <w:t xml:space="preserve">ways of looking at the broader impact of </w:t>
      </w:r>
      <w:r w:rsidRPr="000009DB">
        <w:rPr>
          <w:rFonts w:eastAsia="Lucida Sans Unicode"/>
        </w:rPr>
        <w:t>gambling harm</w:t>
      </w:r>
      <w:r>
        <w:rPr>
          <w:rFonts w:eastAsia="Lucida Sans Unicode"/>
        </w:rPr>
        <w:t xml:space="preserve"> include considering </w:t>
      </w:r>
      <w:r w:rsidRPr="000009DB">
        <w:rPr>
          <w:rFonts w:eastAsia="Lucida Sans Unicode"/>
        </w:rPr>
        <w:t>the burden-of-harm impact on health-related quality of life</w:t>
      </w:r>
      <w:r>
        <w:rPr>
          <w:rFonts w:eastAsia="Lucida Sans Unicode"/>
        </w:rPr>
        <w:t xml:space="preserve"> and considering how long effects last</w:t>
      </w:r>
      <w:r w:rsidRPr="000009DB">
        <w:rPr>
          <w:rFonts w:eastAsia="Lucida Sans Unicode"/>
        </w:rPr>
        <w:t xml:space="preserve">. </w:t>
      </w:r>
      <w:r w:rsidR="0000642B">
        <w:rPr>
          <w:rFonts w:eastAsia="Lucida Sans Unicode"/>
        </w:rPr>
        <w:t xml:space="preserve"> </w:t>
      </w:r>
      <w:r>
        <w:rPr>
          <w:rFonts w:eastAsia="Lucida Sans Unicode"/>
        </w:rPr>
        <w:t>A 2017 study found that</w:t>
      </w:r>
      <w:r w:rsidRPr="000009DB">
        <w:rPr>
          <w:rFonts w:eastAsia="Lucida Sans Unicode"/>
        </w:rPr>
        <w:t xml:space="preserve"> the total burden of harm</w:t>
      </w:r>
      <w:r>
        <w:rPr>
          <w:rFonts w:eastAsia="Lucida Sans Unicode"/>
        </w:rPr>
        <w:t xml:space="preserve"> experienced by</w:t>
      </w:r>
      <w:r w:rsidRPr="000009DB">
        <w:rPr>
          <w:rFonts w:eastAsia="Lucida Sans Unicode"/>
        </w:rPr>
        <w:t xml:space="preserve"> people who gamble, in terms of the </w:t>
      </w:r>
      <w:r>
        <w:rPr>
          <w:rFonts w:eastAsia="Lucida Sans Unicode"/>
        </w:rPr>
        <w:t>reduction</w:t>
      </w:r>
      <w:r w:rsidRPr="000009DB">
        <w:rPr>
          <w:rFonts w:eastAsia="Lucida Sans Unicode"/>
        </w:rPr>
        <w:t xml:space="preserve"> in health-related quality of life years, is greater than the harm they experience from common health conditions, such as diabetes and arthritis,</w:t>
      </w:r>
      <w:r>
        <w:rPr>
          <w:rFonts w:eastAsia="Lucida Sans Unicode"/>
        </w:rPr>
        <w:t xml:space="preserve"> reaching about two-thirds of the impacts of </w:t>
      </w:r>
      <w:r w:rsidRPr="000009DB">
        <w:rPr>
          <w:rFonts w:eastAsia="Lucida Sans Unicode"/>
        </w:rPr>
        <w:t>anxiety and depressive disorders</w:t>
      </w:r>
      <w:r>
        <w:rPr>
          <w:rFonts w:eastAsia="Lucida Sans Unicode"/>
        </w:rPr>
        <w:t>.</w:t>
      </w:r>
      <w:r>
        <w:rPr>
          <w:rStyle w:val="FootnoteReference"/>
          <w:rFonts w:eastAsia="Lucida Sans Unicode"/>
        </w:rPr>
        <w:footnoteReference w:id="22"/>
      </w:r>
      <w:r>
        <w:rPr>
          <w:rFonts w:eastAsia="Lucida Sans Unicode"/>
        </w:rPr>
        <w:t xml:space="preserve"> </w:t>
      </w:r>
    </w:p>
    <w:p w14:paraId="7C70E900" w14:textId="77777777" w:rsidR="00F873E2" w:rsidRDefault="00F873E2" w:rsidP="009616E5">
      <w:pPr>
        <w:rPr>
          <w:rFonts w:eastAsia="Lucida Sans Unicode"/>
        </w:rPr>
      </w:pPr>
    </w:p>
    <w:p w14:paraId="19F57F98" w14:textId="52575BFD" w:rsidR="009616E5" w:rsidRDefault="009616E5" w:rsidP="009616E5">
      <w:pPr>
        <w:rPr>
          <w:rFonts w:eastAsia="Lucida Sans Unicode"/>
        </w:rPr>
      </w:pPr>
      <w:r>
        <w:rPr>
          <w:rFonts w:eastAsia="Lucida Sans Unicode"/>
        </w:rPr>
        <w:t xml:space="preserve">Additionally, it is known that people with gambling disorder (especially younger people) have an elevated risk of death from any cause, in a given time period, compared with the </w:t>
      </w:r>
      <w:r>
        <w:rPr>
          <w:rFonts w:eastAsia="Lucida Sans Unicode"/>
        </w:rPr>
        <w:lastRenderedPageBreak/>
        <w:t>general population.</w:t>
      </w:r>
      <w:r>
        <w:rPr>
          <w:rStyle w:val="FootnoteReference"/>
          <w:rFonts w:eastAsia="Lucida Sans Unicode"/>
        </w:rPr>
        <w:footnoteReference w:id="23"/>
      </w:r>
      <w:r>
        <w:rPr>
          <w:rFonts w:eastAsia="Lucida Sans Unicode"/>
        </w:rPr>
        <w:t xml:space="preserve"> Suicide is one of the key issues that has been studied in relation to gambling, especially gambling disorder, and the association between the two has been known for some years.</w:t>
      </w:r>
      <w:r>
        <w:rPr>
          <w:rStyle w:val="FootnoteReference"/>
          <w:rFonts w:eastAsia="Lucida Sans Unicode"/>
        </w:rPr>
        <w:footnoteReference w:id="24"/>
      </w:r>
    </w:p>
    <w:p w14:paraId="7A2C9E97" w14:textId="77777777" w:rsidR="009616E5" w:rsidRDefault="009616E5" w:rsidP="009616E5">
      <w:pPr>
        <w:rPr>
          <w:rFonts w:eastAsia="Lucida Sans Unicode"/>
        </w:rPr>
      </w:pPr>
    </w:p>
    <w:p w14:paraId="1CCD05C9" w14:textId="5A74A75B" w:rsidR="009616E5" w:rsidRDefault="009616E5" w:rsidP="52103CC6">
      <w:pPr>
        <w:rPr>
          <w:rFonts w:eastAsia="Lucida Sans Unicode"/>
        </w:rPr>
      </w:pPr>
      <w:r w:rsidRPr="52103CC6">
        <w:rPr>
          <w:rFonts w:eastAsia="Lucida Sans Unicode"/>
        </w:rPr>
        <w:t>Harm from gambling does not only occur at the point when the person is gambling but extends into the future. The half-life of gambling harm (that is, the point in time where it is 50% likely that the original harm is no longer being experienced) is around four years from most types of gambling harm. However, some types of gambling harm last much longer, such as financial harm.</w:t>
      </w:r>
      <w:r w:rsidRPr="52103CC6">
        <w:rPr>
          <w:rStyle w:val="FootnoteReference"/>
          <w:rFonts w:eastAsia="Lucida Sans Unicode"/>
        </w:rPr>
        <w:footnoteReference w:id="25"/>
      </w:r>
      <w:r w:rsidRPr="52103CC6">
        <w:rPr>
          <w:rFonts w:eastAsia="Lucida Sans Unicode"/>
        </w:rPr>
        <w:t xml:space="preserve"> </w:t>
      </w:r>
      <w:r w:rsidR="7F97ABFC" w:rsidRPr="52103CC6">
        <w:rPr>
          <w:rFonts w:eastAsia="Lucida Sans Unicode"/>
        </w:rPr>
        <w:t>One</w:t>
      </w:r>
      <w:r w:rsidRPr="52103CC6">
        <w:rPr>
          <w:rFonts w:eastAsia="Lucida Sans Unicode"/>
        </w:rPr>
        <w:t xml:space="preserve"> study found that about one-quarter of total gambling harm experienced by individuals who gamble happens after most of </w:t>
      </w:r>
      <w:r w:rsidR="00A64C65" w:rsidRPr="52103CC6">
        <w:rPr>
          <w:rFonts w:eastAsia="Lucida Sans Unicode"/>
        </w:rPr>
        <w:t>their gambling</w:t>
      </w:r>
      <w:r w:rsidRPr="52103CC6">
        <w:rPr>
          <w:rFonts w:eastAsia="Lucida Sans Unicode"/>
        </w:rPr>
        <w:t xml:space="preserve"> problems have ended.</w:t>
      </w:r>
      <w:r w:rsidRPr="52103CC6">
        <w:rPr>
          <w:rStyle w:val="FootnoteReference"/>
          <w:rFonts w:eastAsia="Lucida Sans Unicode"/>
        </w:rPr>
        <w:footnoteReference w:id="26"/>
      </w:r>
    </w:p>
    <w:p w14:paraId="0063BE79" w14:textId="2229BF56" w:rsidR="009616E5" w:rsidRDefault="009616E5" w:rsidP="009616E5">
      <w:pPr>
        <w:pStyle w:val="Heading3"/>
      </w:pPr>
      <w:r w:rsidRPr="00F65C1B">
        <w:t xml:space="preserve">Who is </w:t>
      </w:r>
      <w:r>
        <w:t xml:space="preserve">experiencing </w:t>
      </w:r>
      <w:r w:rsidRPr="00F65C1B">
        <w:t>gambling harm?</w:t>
      </w:r>
    </w:p>
    <w:p w14:paraId="6118A9D0" w14:textId="7D9463AC" w:rsidR="00907A05" w:rsidRPr="00907A05" w:rsidRDefault="00907A05" w:rsidP="00727AAD">
      <w:r w:rsidRPr="001037C2">
        <w:t xml:space="preserve">As part of the development of the </w:t>
      </w:r>
      <w:r w:rsidR="008D421A" w:rsidRPr="001037C2">
        <w:t>Strategy, the Ministry undertakes a needs assessment</w:t>
      </w:r>
      <w:r w:rsidR="009C650C" w:rsidRPr="001037C2">
        <w:t xml:space="preserve">, consistent with section 318 (1) (a) of the Gambling Act 2003. </w:t>
      </w:r>
      <w:r w:rsidR="00196F1A" w:rsidRPr="001037C2">
        <w:t xml:space="preserve">The needs assessment </w:t>
      </w:r>
      <w:r w:rsidR="00727F15" w:rsidRPr="001037C2">
        <w:t>includes a focus on how well</w:t>
      </w:r>
      <w:r w:rsidR="00037859" w:rsidRPr="001037C2">
        <w:t xml:space="preserve"> service provision aligns with the research evidence base and population needs</w:t>
      </w:r>
      <w:r w:rsidR="00451C62" w:rsidRPr="001037C2">
        <w:t xml:space="preserve">, </w:t>
      </w:r>
      <w:r w:rsidR="00CC22DE" w:rsidRPr="001037C2">
        <w:t>which</w:t>
      </w:r>
      <w:r w:rsidR="00E73ADF" w:rsidRPr="001037C2">
        <w:t xml:space="preserve"> is </w:t>
      </w:r>
      <w:r w:rsidR="006D62A7" w:rsidRPr="001037C2">
        <w:t>consistent</w:t>
      </w:r>
      <w:r w:rsidR="009B4AC9" w:rsidRPr="001037C2">
        <w:t xml:space="preserve"> with </w:t>
      </w:r>
      <w:r w:rsidR="003F129C" w:rsidRPr="001037C2">
        <w:t>identify</w:t>
      </w:r>
      <w:r w:rsidR="00915A00" w:rsidRPr="001037C2">
        <w:t>ing</w:t>
      </w:r>
      <w:r w:rsidR="003F129C" w:rsidRPr="001037C2">
        <w:t xml:space="preserve"> impacts on ‘different cultural groups’ </w:t>
      </w:r>
      <w:r w:rsidR="008D2367" w:rsidRPr="001037C2">
        <w:t>as per</w:t>
      </w:r>
      <w:r w:rsidR="000C5780" w:rsidRPr="001037C2">
        <w:t xml:space="preserve"> section 317 (2) (c) of the Act. </w:t>
      </w:r>
      <w:r w:rsidR="001F166E" w:rsidRPr="001037C2">
        <w:t>Together with research and service data, t</w:t>
      </w:r>
      <w:r w:rsidR="00C9352A" w:rsidRPr="001037C2">
        <w:t xml:space="preserve">he needs assessment </w:t>
      </w:r>
      <w:r w:rsidR="001F166E" w:rsidRPr="001037C2">
        <w:t xml:space="preserve">helps to inform </w:t>
      </w:r>
      <w:r w:rsidR="00C9352A" w:rsidRPr="001037C2">
        <w:t xml:space="preserve">the analytical case for targeted investment </w:t>
      </w:r>
      <w:r w:rsidR="00727AAD" w:rsidRPr="001037C2">
        <w:t xml:space="preserve">to support services </w:t>
      </w:r>
      <w:r w:rsidR="00101DB4" w:rsidRPr="001037C2">
        <w:t xml:space="preserve">for </w:t>
      </w:r>
      <w:r w:rsidR="00727AAD" w:rsidRPr="001037C2">
        <w:t>specific population groups. Key population related information is presented below.</w:t>
      </w:r>
      <w:r w:rsidR="00727AAD">
        <w:t xml:space="preserve"> </w:t>
      </w:r>
    </w:p>
    <w:p w14:paraId="0D8EE241" w14:textId="77777777" w:rsidR="009616E5" w:rsidRDefault="009616E5" w:rsidP="009616E5">
      <w:pPr>
        <w:pStyle w:val="Heading4"/>
      </w:pPr>
      <w:r>
        <w:t>M</w:t>
      </w:r>
      <w:r>
        <w:rPr>
          <w:rFonts w:cstheme="minorHAnsi"/>
        </w:rPr>
        <w:t>ā</w:t>
      </w:r>
      <w:r>
        <w:t xml:space="preserve">ori </w:t>
      </w:r>
    </w:p>
    <w:p w14:paraId="3D8A973B" w14:textId="5150FA12" w:rsidR="009616E5" w:rsidRPr="002078A3" w:rsidRDefault="009616E5" w:rsidP="009616E5">
      <w:pPr>
        <w:rPr>
          <w:rFonts w:eastAsia="Lucida Sans Unicode"/>
        </w:rPr>
      </w:pPr>
      <w:r w:rsidRPr="76F688A2">
        <w:rPr>
          <w:rFonts w:eastAsia="Lucida Sans Unicode"/>
        </w:rPr>
        <w:t>Māori are more likely to be affected by gambling harm compared to non-</w:t>
      </w:r>
      <w:r w:rsidR="00FA3BD1" w:rsidRPr="76F688A2">
        <w:rPr>
          <w:rFonts w:eastAsia="Lucida Sans Unicode"/>
        </w:rPr>
        <w:t>Māori.</w:t>
      </w:r>
      <w:r w:rsidRPr="76F688A2">
        <w:rPr>
          <w:rFonts w:eastAsia="Lucida Sans Unicode"/>
        </w:rPr>
        <w:t xml:space="preserve"> They are also more likely to have other risk factors for gambling harm, such as low incomes and living in low socioeconomic communities where some forms of gambling, particularly </w:t>
      </w:r>
      <w:r w:rsidR="0AC99222" w:rsidRPr="02D24A12">
        <w:rPr>
          <w:rFonts w:eastAsia="Lucida Sans Unicode"/>
        </w:rPr>
        <w:t>C</w:t>
      </w:r>
      <w:r w:rsidRPr="76F688A2">
        <w:rPr>
          <w:rFonts w:eastAsia="Lucida Sans Unicode"/>
        </w:rPr>
        <w:t xml:space="preserve">lass 4, are more accessible. The </w:t>
      </w:r>
      <w:r w:rsidR="00910CF2">
        <w:rPr>
          <w:rFonts w:eastAsia="Lucida Sans Unicode"/>
        </w:rPr>
        <w:t xml:space="preserve">2023/24 NZGS </w:t>
      </w:r>
      <w:r w:rsidRPr="76F688A2">
        <w:rPr>
          <w:rFonts w:eastAsia="Lucida Sans Unicode"/>
        </w:rPr>
        <w:t>found that</w:t>
      </w:r>
      <w:r w:rsidR="007031C2">
        <w:rPr>
          <w:rFonts w:eastAsia="Lucida Sans Unicode"/>
        </w:rPr>
        <w:t xml:space="preserve"> </w:t>
      </w:r>
      <w:r w:rsidR="00BC52B1">
        <w:rPr>
          <w:rFonts w:eastAsia="Lucida Sans Unicode"/>
        </w:rPr>
        <w:t xml:space="preserve">in </w:t>
      </w:r>
      <w:r w:rsidR="00234849">
        <w:rPr>
          <w:rFonts w:eastAsia="Lucida Sans Unicode"/>
        </w:rPr>
        <w:t>the previous 12 months</w:t>
      </w:r>
      <w:r w:rsidRPr="76F688A2">
        <w:rPr>
          <w:rFonts w:eastAsia="Lucida Sans Unicode"/>
        </w:rPr>
        <w:t>:</w:t>
      </w:r>
    </w:p>
    <w:p w14:paraId="075E64C9" w14:textId="70F5A10B" w:rsidR="00673DE9" w:rsidRPr="002B68B9" w:rsidRDefault="009616E5" w:rsidP="00673DE9">
      <w:pPr>
        <w:pStyle w:val="Bullet"/>
        <w:rPr>
          <w:rFonts w:eastAsia="Lucida Sans Unicode"/>
        </w:rPr>
      </w:pPr>
      <w:r w:rsidRPr="00253706">
        <w:rPr>
          <w:rFonts w:eastAsia="Lucida Sans Unicode"/>
        </w:rPr>
        <w:t xml:space="preserve">In the Māori adult population, approximately </w:t>
      </w:r>
      <w:r w:rsidR="00781A48">
        <w:rPr>
          <w:rFonts w:eastAsia="Lucida Sans Unicode"/>
        </w:rPr>
        <w:t>4.9%</w:t>
      </w:r>
      <w:r w:rsidRPr="00253706">
        <w:rPr>
          <w:rFonts w:eastAsia="Lucida Sans Unicode"/>
        </w:rPr>
        <w:t xml:space="preserve"> were moderate-risk or </w:t>
      </w:r>
      <w:r w:rsidR="000E6D86">
        <w:rPr>
          <w:rFonts w:eastAsia="Lucida Sans Unicode"/>
        </w:rPr>
        <w:t xml:space="preserve">high-risk </w:t>
      </w:r>
      <w:r w:rsidRPr="00253706">
        <w:rPr>
          <w:rFonts w:eastAsia="Lucida Sans Unicode"/>
        </w:rPr>
        <w:t xml:space="preserve">gamblers, and </w:t>
      </w:r>
      <w:r w:rsidR="000E6D86">
        <w:rPr>
          <w:rFonts w:eastAsia="Lucida Sans Unicode"/>
        </w:rPr>
        <w:t>9.5%</w:t>
      </w:r>
      <w:r w:rsidRPr="00253706">
        <w:rPr>
          <w:rFonts w:eastAsia="Lucida Sans Unicode"/>
        </w:rPr>
        <w:t xml:space="preserve"> were low-risk gamblers.</w:t>
      </w:r>
      <w:r w:rsidR="00673DE9">
        <w:rPr>
          <w:rFonts w:eastAsia="Lucida Sans Unicode"/>
        </w:rPr>
        <w:t xml:space="preserve"> Māori </w:t>
      </w:r>
      <w:r w:rsidR="00673DE9" w:rsidRPr="002B68B9">
        <w:rPr>
          <w:rFonts w:eastAsia="Lucida Sans Unicode"/>
        </w:rPr>
        <w:t xml:space="preserve">were </w:t>
      </w:r>
      <w:r w:rsidR="00673DE9">
        <w:rPr>
          <w:rFonts w:eastAsia="Lucida Sans Unicode"/>
        </w:rPr>
        <w:t>2.24</w:t>
      </w:r>
      <w:r w:rsidR="00673DE9" w:rsidRPr="002B68B9">
        <w:rPr>
          <w:rFonts w:eastAsia="Lucida Sans Unicode"/>
        </w:rPr>
        <w:t xml:space="preserve"> times more likely to be moderate-risk or </w:t>
      </w:r>
      <w:r w:rsidR="00673DE9">
        <w:rPr>
          <w:rFonts w:eastAsia="Lucida Sans Unicode"/>
        </w:rPr>
        <w:t>high-risk</w:t>
      </w:r>
      <w:r w:rsidR="00673DE9" w:rsidRPr="002B68B9">
        <w:rPr>
          <w:rFonts w:eastAsia="Lucida Sans Unicode"/>
        </w:rPr>
        <w:t xml:space="preserve"> gamblers than non-Māori. </w:t>
      </w:r>
    </w:p>
    <w:p w14:paraId="742AEE70" w14:textId="11A413AC" w:rsidR="009616E5" w:rsidRPr="00253706" w:rsidRDefault="009616E5" w:rsidP="009616E5">
      <w:pPr>
        <w:pStyle w:val="Bullet"/>
        <w:rPr>
          <w:rFonts w:eastAsia="Lucida Sans Unicode"/>
        </w:rPr>
      </w:pPr>
      <w:r w:rsidRPr="00253706">
        <w:rPr>
          <w:rFonts w:eastAsia="Lucida Sans Unicode"/>
        </w:rPr>
        <w:t xml:space="preserve">Māori were more likely to report gambling-related arguments </w:t>
      </w:r>
      <w:r w:rsidR="004E66AE">
        <w:rPr>
          <w:rFonts w:eastAsia="Lucida Sans Unicode"/>
        </w:rPr>
        <w:t>and</w:t>
      </w:r>
      <w:r w:rsidRPr="00253706">
        <w:rPr>
          <w:rFonts w:eastAsia="Lucida Sans Unicode"/>
        </w:rPr>
        <w:t xml:space="preserve"> money problems related to gambling compared with non-Māori and non-Pacific people. </w:t>
      </w:r>
    </w:p>
    <w:p w14:paraId="2E0A3467" w14:textId="4B5A176A" w:rsidR="009616E5" w:rsidRPr="00253706" w:rsidRDefault="009616E5" w:rsidP="52103CC6">
      <w:pPr>
        <w:pStyle w:val="Bullet"/>
        <w:rPr>
          <w:rFonts w:eastAsia="Lucida Sans Unicode"/>
        </w:rPr>
      </w:pPr>
      <w:r w:rsidRPr="52103CC6">
        <w:rPr>
          <w:rFonts w:eastAsia="Lucida Sans Unicode"/>
        </w:rPr>
        <w:t xml:space="preserve">Māori </w:t>
      </w:r>
      <w:r w:rsidR="006232F5" w:rsidRPr="52103CC6">
        <w:rPr>
          <w:rFonts w:eastAsia="Lucida Sans Unicode"/>
        </w:rPr>
        <w:t>were</w:t>
      </w:r>
      <w:r w:rsidRPr="52103CC6">
        <w:rPr>
          <w:rFonts w:eastAsia="Lucida Sans Unicode"/>
        </w:rPr>
        <w:t xml:space="preserve"> significantly more likely to </w:t>
      </w:r>
      <w:r w:rsidR="00F054F1" w:rsidRPr="52103CC6">
        <w:rPr>
          <w:rFonts w:eastAsia="Lucida Sans Unicode"/>
        </w:rPr>
        <w:t>bet more than they could afford to lose</w:t>
      </w:r>
      <w:r w:rsidRPr="52103CC6">
        <w:rPr>
          <w:rFonts w:eastAsia="Lucida Sans Unicode"/>
        </w:rPr>
        <w:t xml:space="preserve"> compared with other population groups and were more likely than other groups to have participated in </w:t>
      </w:r>
      <w:r w:rsidR="0032301C" w:rsidRPr="52103CC6">
        <w:rPr>
          <w:rFonts w:eastAsia="Lucida Sans Unicode"/>
        </w:rPr>
        <w:t xml:space="preserve">three </w:t>
      </w:r>
      <w:r w:rsidRPr="52103CC6">
        <w:rPr>
          <w:rFonts w:eastAsia="Lucida Sans Unicode"/>
        </w:rPr>
        <w:t>or more forms of gambling.</w:t>
      </w:r>
    </w:p>
    <w:p w14:paraId="588914AE" w14:textId="5A41200A" w:rsidR="009616E5" w:rsidRPr="00253706" w:rsidRDefault="009616E5" w:rsidP="009616E5">
      <w:pPr>
        <w:pStyle w:val="Bullet"/>
        <w:rPr>
          <w:rFonts w:eastAsia="Lucida Sans Unicode"/>
        </w:rPr>
      </w:pPr>
      <w:r w:rsidRPr="00253706">
        <w:rPr>
          <w:rFonts w:eastAsia="Lucida Sans Unicode"/>
        </w:rPr>
        <w:t xml:space="preserve">Māori </w:t>
      </w:r>
      <w:r w:rsidR="002E20B0">
        <w:rPr>
          <w:rFonts w:eastAsia="Lucida Sans Unicode"/>
        </w:rPr>
        <w:t>were</w:t>
      </w:r>
      <w:r w:rsidRPr="00253706">
        <w:rPr>
          <w:rFonts w:eastAsia="Lucida Sans Unicode"/>
        </w:rPr>
        <w:t xml:space="preserve"> more likely to be concerned about the level of gambling in the community compared with Asian and New Zealand European people.</w:t>
      </w:r>
    </w:p>
    <w:p w14:paraId="1DEB3912" w14:textId="77777777" w:rsidR="009616E5" w:rsidRDefault="009616E5" w:rsidP="009616E5">
      <w:pPr>
        <w:pStyle w:val="Heading4"/>
      </w:pPr>
      <w:r>
        <w:lastRenderedPageBreak/>
        <w:t>Pacific peoples</w:t>
      </w:r>
    </w:p>
    <w:p w14:paraId="63F9238E" w14:textId="617B9211" w:rsidR="009616E5" w:rsidRPr="00F65C1B" w:rsidRDefault="009616E5" w:rsidP="52103CC6">
      <w:pPr>
        <w:rPr>
          <w:rFonts w:eastAsia="Lucida Sans Unicode"/>
        </w:rPr>
      </w:pPr>
      <w:r w:rsidRPr="52103CC6">
        <w:rPr>
          <w:rFonts w:eastAsia="Lucida Sans Unicode"/>
        </w:rPr>
        <w:t xml:space="preserve">Pacific peoples are also at high risk of gambling harm. Like Māori, they are also more likely to have other risk factors from gambling harm, such as low incomes and living in communities where some forms of gambling, particularly </w:t>
      </w:r>
      <w:r w:rsidR="345D3D96" w:rsidRPr="52103CC6">
        <w:rPr>
          <w:rFonts w:eastAsia="Lucida Sans Unicode"/>
        </w:rPr>
        <w:t>C</w:t>
      </w:r>
      <w:r w:rsidRPr="52103CC6">
        <w:rPr>
          <w:rFonts w:eastAsia="Lucida Sans Unicode"/>
        </w:rPr>
        <w:t xml:space="preserve">lass 4 machines, are more accessible. The </w:t>
      </w:r>
      <w:r w:rsidR="00E24B5C" w:rsidRPr="52103CC6">
        <w:rPr>
          <w:rFonts w:eastAsia="Lucida Sans Unicode"/>
        </w:rPr>
        <w:t xml:space="preserve">2023/24 NZGS </w:t>
      </w:r>
      <w:r w:rsidRPr="52103CC6">
        <w:rPr>
          <w:rFonts w:eastAsia="Lucida Sans Unicode"/>
        </w:rPr>
        <w:t>found the following.</w:t>
      </w:r>
    </w:p>
    <w:p w14:paraId="67D5EB61" w14:textId="481BA99A" w:rsidR="009616E5" w:rsidRDefault="009616E5" w:rsidP="009616E5">
      <w:pPr>
        <w:pStyle w:val="Bullet"/>
        <w:rPr>
          <w:rFonts w:eastAsia="Lucida Sans Unicode"/>
        </w:rPr>
      </w:pPr>
      <w:r w:rsidRPr="00253706">
        <w:rPr>
          <w:rFonts w:eastAsia="Lucida Sans Unicode"/>
        </w:rPr>
        <w:t xml:space="preserve">An estimated </w:t>
      </w:r>
      <w:r w:rsidR="00212D3A">
        <w:rPr>
          <w:rFonts w:eastAsia="Lucida Sans Unicode"/>
        </w:rPr>
        <w:t>5.7%</w:t>
      </w:r>
      <w:r w:rsidRPr="00253706">
        <w:rPr>
          <w:rFonts w:eastAsia="Lucida Sans Unicode"/>
        </w:rPr>
        <w:t xml:space="preserve"> of Pacific adults were moderate-risk or </w:t>
      </w:r>
      <w:r w:rsidR="00212D3A">
        <w:rPr>
          <w:rFonts w:eastAsia="Lucida Sans Unicode"/>
        </w:rPr>
        <w:t xml:space="preserve">high-risk </w:t>
      </w:r>
      <w:r w:rsidRPr="00253706">
        <w:rPr>
          <w:rFonts w:eastAsia="Lucida Sans Unicode"/>
        </w:rPr>
        <w:t xml:space="preserve">gamblers, and </w:t>
      </w:r>
      <w:r w:rsidR="009B414D">
        <w:rPr>
          <w:rFonts w:eastAsia="Lucida Sans Unicode"/>
        </w:rPr>
        <w:t>10.4%</w:t>
      </w:r>
      <w:r w:rsidRPr="00253706">
        <w:rPr>
          <w:rFonts w:eastAsia="Lucida Sans Unicode"/>
        </w:rPr>
        <w:t xml:space="preserve"> were low-risk gamblers.</w:t>
      </w:r>
      <w:r w:rsidR="00D21930" w:rsidRPr="00D21930">
        <w:rPr>
          <w:rFonts w:eastAsia="Lucida Sans Unicode"/>
        </w:rPr>
        <w:t xml:space="preserve"> </w:t>
      </w:r>
      <w:r w:rsidR="00066697">
        <w:rPr>
          <w:rFonts w:eastAsia="Lucida Sans Unicode"/>
        </w:rPr>
        <w:t xml:space="preserve">Pacific adults were </w:t>
      </w:r>
      <w:r w:rsidR="00D21930">
        <w:rPr>
          <w:rFonts w:eastAsia="Lucida Sans Unicode"/>
        </w:rPr>
        <w:t>2.31</w:t>
      </w:r>
      <w:r w:rsidR="00D21930" w:rsidRPr="002B68B9">
        <w:rPr>
          <w:rFonts w:eastAsia="Lucida Sans Unicode"/>
        </w:rPr>
        <w:t xml:space="preserve"> times more likely to be moderate-risk or </w:t>
      </w:r>
      <w:r w:rsidR="00D21930">
        <w:rPr>
          <w:rFonts w:eastAsia="Lucida Sans Unicode"/>
        </w:rPr>
        <w:t>high-risk</w:t>
      </w:r>
      <w:r w:rsidR="00D21930" w:rsidRPr="002B68B9">
        <w:rPr>
          <w:rFonts w:eastAsia="Lucida Sans Unicode"/>
        </w:rPr>
        <w:t xml:space="preserve"> gamblers than non-Pacific peoples</w:t>
      </w:r>
    </w:p>
    <w:p w14:paraId="4B9CC2B1" w14:textId="405CDBAB" w:rsidR="007C49E9" w:rsidRPr="00253706" w:rsidRDefault="007C49E9" w:rsidP="009616E5">
      <w:pPr>
        <w:pStyle w:val="Bullet"/>
        <w:rPr>
          <w:rFonts w:eastAsia="Lucida Sans Unicode"/>
        </w:rPr>
      </w:pPr>
      <w:r>
        <w:rPr>
          <w:rFonts w:eastAsia="Lucida Sans Unicode"/>
        </w:rPr>
        <w:t>Pacific peoples were significantly more likely to bet more than they could afford to lose</w:t>
      </w:r>
      <w:r w:rsidR="00BF5106">
        <w:rPr>
          <w:rFonts w:eastAsia="Lucida Sans Unicode"/>
        </w:rPr>
        <w:t xml:space="preserve"> compared to non-Pacific people.</w:t>
      </w:r>
    </w:p>
    <w:p w14:paraId="14B3DE8E" w14:textId="39E497E6" w:rsidR="009616E5" w:rsidRPr="00253706" w:rsidRDefault="009616E5" w:rsidP="009616E5">
      <w:pPr>
        <w:pStyle w:val="Bullet"/>
        <w:rPr>
          <w:rFonts w:eastAsia="Lucida Sans Unicode"/>
        </w:rPr>
      </w:pPr>
      <w:r w:rsidRPr="00253706">
        <w:rPr>
          <w:rFonts w:eastAsia="Lucida Sans Unicode"/>
        </w:rPr>
        <w:t xml:space="preserve">Pacific peoples were more likely to report gambling-related arguments </w:t>
      </w:r>
      <w:r w:rsidR="004E66AE">
        <w:rPr>
          <w:rFonts w:eastAsia="Lucida Sans Unicode"/>
        </w:rPr>
        <w:t>and</w:t>
      </w:r>
      <w:r w:rsidRPr="00253706">
        <w:rPr>
          <w:rFonts w:eastAsia="Lucida Sans Unicode"/>
        </w:rPr>
        <w:t xml:space="preserve"> money problems related to gambling compared with non-Māori and non-Pacific people.</w:t>
      </w:r>
    </w:p>
    <w:p w14:paraId="536D99CB" w14:textId="2013B802" w:rsidR="009616E5" w:rsidRPr="00253706" w:rsidRDefault="009616E5" w:rsidP="009616E5">
      <w:pPr>
        <w:pStyle w:val="Bullet"/>
        <w:rPr>
          <w:rFonts w:eastAsia="Lucida Sans Unicode"/>
        </w:rPr>
      </w:pPr>
      <w:r w:rsidRPr="00253706">
        <w:rPr>
          <w:rFonts w:eastAsia="Lucida Sans Unicode"/>
        </w:rPr>
        <w:t>Pacific peoples are more likely to be concerned about the level of gambling in the community compared with Asian and New Zealand European people.</w:t>
      </w:r>
    </w:p>
    <w:p w14:paraId="2EB1E108" w14:textId="77777777" w:rsidR="009616E5" w:rsidRDefault="009616E5" w:rsidP="009616E5">
      <w:pPr>
        <w:pStyle w:val="Heading4"/>
      </w:pPr>
      <w:r>
        <w:t>Asian peoples</w:t>
      </w:r>
    </w:p>
    <w:p w14:paraId="1D21C04A" w14:textId="4DBCC490" w:rsidR="009616E5" w:rsidRDefault="009616E5" w:rsidP="00DB373E">
      <w:pPr>
        <w:rPr>
          <w:rFonts w:eastAsia="Lucida Sans Unicode"/>
        </w:rPr>
      </w:pPr>
      <w:r w:rsidRPr="52103CC6">
        <w:rPr>
          <w:rFonts w:eastAsia="Lucida Sans Unicode"/>
        </w:rPr>
        <w:t>Past HLS results show</w:t>
      </w:r>
      <w:r w:rsidRPr="52103CC6">
        <w:rPr>
          <w:rStyle w:val="FootnoteReference"/>
          <w:rFonts w:eastAsia="Lucida Sans Unicode"/>
        </w:rPr>
        <w:footnoteReference w:id="27"/>
      </w:r>
      <w:r w:rsidRPr="52103CC6">
        <w:rPr>
          <w:rFonts w:eastAsia="Lucida Sans Unicode"/>
        </w:rPr>
        <w:t xml:space="preserve"> that while the proportion of Asian peoples who gamble is relatively low when compared with Māori, Pacific peoples and New Zealand European / Other, those who do gamble have historically been more likely to experience gambling harm compared with New Zealand European / Other. </w:t>
      </w:r>
    </w:p>
    <w:p w14:paraId="5FE3130A" w14:textId="77777777" w:rsidR="00DB373E" w:rsidRDefault="00DB373E" w:rsidP="00DB373E">
      <w:pPr>
        <w:rPr>
          <w:rFonts w:eastAsia="Lucida Sans Unicode"/>
        </w:rPr>
      </w:pPr>
    </w:p>
    <w:p w14:paraId="7912B30A" w14:textId="67CDDEA3" w:rsidR="009616E5" w:rsidRDefault="009616E5" w:rsidP="00DB373E">
      <w:pPr>
        <w:rPr>
          <w:rFonts w:eastAsia="Lucida Sans Unicode"/>
        </w:rPr>
      </w:pPr>
      <w:r w:rsidRPr="00E9109B">
        <w:rPr>
          <w:rFonts w:eastAsia="Lucida Sans Unicode"/>
        </w:rPr>
        <w:t xml:space="preserve">The </w:t>
      </w:r>
      <w:r w:rsidR="00005B14" w:rsidRPr="00A60586">
        <w:rPr>
          <w:rFonts w:eastAsia="Lucida Sans Unicode"/>
        </w:rPr>
        <w:t>2023</w:t>
      </w:r>
      <w:r w:rsidR="00005B14">
        <w:rPr>
          <w:rFonts w:eastAsia="Lucida Sans Unicode"/>
        </w:rPr>
        <w:t xml:space="preserve">/24 NZGS </w:t>
      </w:r>
      <w:r w:rsidRPr="485D5947">
        <w:rPr>
          <w:rFonts w:eastAsia="Lucida Sans Unicode"/>
        </w:rPr>
        <w:t xml:space="preserve">shows approximately </w:t>
      </w:r>
      <w:r w:rsidR="00D829AC">
        <w:rPr>
          <w:rFonts w:eastAsia="Lucida Sans Unicode"/>
        </w:rPr>
        <w:t>1.9%</w:t>
      </w:r>
      <w:r w:rsidRPr="485D5947">
        <w:rPr>
          <w:rFonts w:eastAsia="Lucida Sans Unicode"/>
        </w:rPr>
        <w:t xml:space="preserve"> of Asian adults were moderate-risk or </w:t>
      </w:r>
      <w:r w:rsidR="00D829AC">
        <w:rPr>
          <w:rFonts w:eastAsia="Lucida Sans Unicode"/>
        </w:rPr>
        <w:t>high-risk</w:t>
      </w:r>
      <w:r w:rsidRPr="485D5947">
        <w:rPr>
          <w:rFonts w:eastAsia="Lucida Sans Unicode"/>
        </w:rPr>
        <w:t xml:space="preserve"> gamblers, and </w:t>
      </w:r>
      <w:r w:rsidR="00D30D0D">
        <w:rPr>
          <w:rFonts w:eastAsia="Lucida Sans Unicode"/>
        </w:rPr>
        <w:t>8.2%</w:t>
      </w:r>
      <w:r w:rsidRPr="485D5947">
        <w:rPr>
          <w:rFonts w:eastAsia="Lucida Sans Unicode"/>
        </w:rPr>
        <w:t xml:space="preserve"> were low-risk gamblers compared with </w:t>
      </w:r>
      <w:r w:rsidR="005D412F">
        <w:rPr>
          <w:rFonts w:eastAsia="Lucida Sans Unicode"/>
        </w:rPr>
        <w:t>2.4%</w:t>
      </w:r>
      <w:r w:rsidRPr="485D5947">
        <w:rPr>
          <w:rFonts w:eastAsia="Lucida Sans Unicode"/>
        </w:rPr>
        <w:t xml:space="preserve"> and </w:t>
      </w:r>
      <w:r w:rsidR="005D412F">
        <w:rPr>
          <w:rFonts w:eastAsia="Lucida Sans Unicode"/>
        </w:rPr>
        <w:t>5.9%</w:t>
      </w:r>
      <w:r w:rsidRPr="485D5947">
        <w:rPr>
          <w:rFonts w:eastAsia="Lucida Sans Unicode"/>
        </w:rPr>
        <w:t xml:space="preserve"> respectively in the total population. However, Asian peoples were </w:t>
      </w:r>
      <w:r w:rsidR="00C36240">
        <w:rPr>
          <w:rFonts w:eastAsia="Lucida Sans Unicode"/>
        </w:rPr>
        <w:t xml:space="preserve">more </w:t>
      </w:r>
      <w:r w:rsidRPr="485D5947">
        <w:rPr>
          <w:rFonts w:eastAsia="Lucida Sans Unicode"/>
        </w:rPr>
        <w:t xml:space="preserve">likely </w:t>
      </w:r>
      <w:r w:rsidR="00F4571B">
        <w:rPr>
          <w:rFonts w:eastAsia="Lucida Sans Unicode"/>
        </w:rPr>
        <w:t xml:space="preserve">than </w:t>
      </w:r>
      <w:r w:rsidRPr="485D5947">
        <w:rPr>
          <w:rFonts w:eastAsia="Lucida Sans Unicode"/>
        </w:rPr>
        <w:t>the total population to</w:t>
      </w:r>
      <w:r w:rsidR="005C66D1">
        <w:rPr>
          <w:rFonts w:eastAsia="Lucida Sans Unicode"/>
        </w:rPr>
        <w:t xml:space="preserve"> bet more than they could afford to lose</w:t>
      </w:r>
      <w:r w:rsidRPr="485D5947">
        <w:rPr>
          <w:rFonts w:eastAsia="Lucida Sans Unicode"/>
        </w:rPr>
        <w:t xml:space="preserve"> (</w:t>
      </w:r>
      <w:r w:rsidR="00EC7DFC">
        <w:rPr>
          <w:rFonts w:eastAsia="Lucida Sans Unicode"/>
        </w:rPr>
        <w:t>5.6%</w:t>
      </w:r>
      <w:r w:rsidRPr="485D5947">
        <w:rPr>
          <w:rFonts w:eastAsia="Lucida Sans Unicode"/>
        </w:rPr>
        <w:t xml:space="preserve"> compared with </w:t>
      </w:r>
      <w:r w:rsidR="00EC7DFC">
        <w:rPr>
          <w:rFonts w:eastAsia="Lucida Sans Unicode"/>
        </w:rPr>
        <w:t>3.6</w:t>
      </w:r>
      <w:r w:rsidR="000D61E7">
        <w:rPr>
          <w:rFonts w:eastAsia="Lucida Sans Unicode"/>
        </w:rPr>
        <w:t>%</w:t>
      </w:r>
      <w:r w:rsidRPr="485D5947">
        <w:rPr>
          <w:rFonts w:eastAsia="Lucida Sans Unicode"/>
        </w:rPr>
        <w:t>).</w:t>
      </w:r>
    </w:p>
    <w:p w14:paraId="5D6B7D3E" w14:textId="77777777" w:rsidR="009616E5" w:rsidRDefault="009616E5" w:rsidP="009616E5">
      <w:pPr>
        <w:pStyle w:val="Heading4"/>
      </w:pPr>
      <w:r>
        <w:t>Y</w:t>
      </w:r>
      <w:r w:rsidRPr="00182689">
        <w:t xml:space="preserve">oung people </w:t>
      </w:r>
    </w:p>
    <w:p w14:paraId="7FB0A20A" w14:textId="1E207DF0" w:rsidR="009616E5" w:rsidRDefault="009616E5" w:rsidP="009616E5">
      <w:pPr>
        <w:rPr>
          <w:rFonts w:eastAsia="Lucida Sans Unicode"/>
        </w:rPr>
      </w:pPr>
      <w:r w:rsidRPr="76F688A2">
        <w:rPr>
          <w:rFonts w:eastAsia="Lucida Sans Unicode"/>
        </w:rPr>
        <w:t xml:space="preserve">According to the </w:t>
      </w:r>
      <w:r w:rsidR="007A4852">
        <w:rPr>
          <w:rFonts w:eastAsia="Lucida Sans Unicode"/>
        </w:rPr>
        <w:t xml:space="preserve">2023/24 NZGS </w:t>
      </w:r>
      <w:r w:rsidRPr="76F688A2">
        <w:rPr>
          <w:rFonts w:eastAsia="Lucida Sans Unicode"/>
        </w:rPr>
        <w:t xml:space="preserve">about </w:t>
      </w:r>
      <w:r w:rsidR="00AE3513">
        <w:rPr>
          <w:rFonts w:eastAsia="Lucida Sans Unicode"/>
        </w:rPr>
        <w:t>44.3%</w:t>
      </w:r>
      <w:r w:rsidRPr="76F688A2">
        <w:rPr>
          <w:rFonts w:eastAsia="Lucida Sans Unicode"/>
        </w:rPr>
        <w:t xml:space="preserve"> of youth aged </w:t>
      </w:r>
      <w:r w:rsidR="00AE3513">
        <w:rPr>
          <w:rFonts w:eastAsia="Lucida Sans Unicode"/>
        </w:rPr>
        <w:t>15</w:t>
      </w:r>
      <w:r w:rsidRPr="76F688A2">
        <w:rPr>
          <w:rFonts w:eastAsia="Lucida Sans Unicode"/>
        </w:rPr>
        <w:t xml:space="preserve">–24 years had gambled in the past year. Young people make up approximately </w:t>
      </w:r>
      <w:r w:rsidR="00DE42ED">
        <w:rPr>
          <w:rFonts w:eastAsia="Lucida Sans Unicode"/>
        </w:rPr>
        <w:t>25%</w:t>
      </w:r>
      <w:r w:rsidRPr="76F688A2">
        <w:rPr>
          <w:rFonts w:eastAsia="Lucida Sans Unicode"/>
        </w:rPr>
        <w:t xml:space="preserve"> (</w:t>
      </w:r>
      <w:r w:rsidR="004B6C7F">
        <w:rPr>
          <w:rFonts w:eastAsia="Lucida Sans Unicode"/>
        </w:rPr>
        <w:t>26,000</w:t>
      </w:r>
      <w:r w:rsidRPr="76F688A2">
        <w:rPr>
          <w:rFonts w:eastAsia="Lucida Sans Unicode"/>
        </w:rPr>
        <w:t xml:space="preserve"> people) of moderate-and high-risk gamblers (</w:t>
      </w:r>
      <w:r w:rsidR="009F5D15">
        <w:rPr>
          <w:rFonts w:eastAsia="Lucida Sans Unicode"/>
        </w:rPr>
        <w:t>2.</w:t>
      </w:r>
      <w:r w:rsidR="15594C44" w:rsidRPr="40E355E0">
        <w:rPr>
          <w:rFonts w:eastAsia="Lucida Sans Unicode"/>
        </w:rPr>
        <w:t>4</w:t>
      </w:r>
      <w:r w:rsidR="009F5D15">
        <w:rPr>
          <w:rFonts w:eastAsia="Lucida Sans Unicode"/>
        </w:rPr>
        <w:t>%</w:t>
      </w:r>
      <w:r w:rsidRPr="76F688A2">
        <w:rPr>
          <w:rFonts w:eastAsia="Lucida Sans Unicode"/>
        </w:rPr>
        <w:t xml:space="preserve"> of all adults or </w:t>
      </w:r>
      <w:r w:rsidR="00AE31AB">
        <w:rPr>
          <w:rFonts w:eastAsia="Lucida Sans Unicode"/>
        </w:rPr>
        <w:t>104,000</w:t>
      </w:r>
      <w:r w:rsidRPr="76F688A2">
        <w:rPr>
          <w:rFonts w:eastAsia="Lucida Sans Unicode"/>
        </w:rPr>
        <w:t xml:space="preserve"> people).</w:t>
      </w:r>
    </w:p>
    <w:p w14:paraId="364556C4" w14:textId="77777777" w:rsidR="009616E5" w:rsidRDefault="009616E5" w:rsidP="009616E5">
      <w:pPr>
        <w:rPr>
          <w:rFonts w:eastAsia="Lucida Sans Unicode"/>
        </w:rPr>
      </w:pPr>
    </w:p>
    <w:p w14:paraId="1D1E5DDE" w14:textId="77777777" w:rsidR="009616E5" w:rsidRDefault="009616E5" w:rsidP="52103CC6">
      <w:pPr>
        <w:rPr>
          <w:rFonts w:eastAsia="Lucida Sans Unicode"/>
        </w:rPr>
      </w:pPr>
      <w:r w:rsidRPr="52103CC6">
        <w:rPr>
          <w:rFonts w:eastAsia="Lucida Sans Unicode"/>
        </w:rPr>
        <w:t>Research has identified specific harms from some kinds of gambling to children and young people. Preliminary findings from research examining video games and Pacific youth gambling suggests some parallels between problem gaming and problem gambling behaviour.</w:t>
      </w:r>
      <w:r w:rsidRPr="52103CC6">
        <w:rPr>
          <w:rStyle w:val="FootnoteReference"/>
          <w:rFonts w:eastAsia="Lucida Sans Unicode"/>
        </w:rPr>
        <w:footnoteReference w:id="28"/>
      </w:r>
      <w:r w:rsidRPr="52103CC6">
        <w:rPr>
          <w:rFonts w:eastAsia="Lucida Sans Unicode"/>
        </w:rPr>
        <w:t xml:space="preserve"> This research found that 28% of Pacific survey respondents spend more than $20 a month on loot boxes. </w:t>
      </w:r>
    </w:p>
    <w:p w14:paraId="3103DE1F" w14:textId="77777777" w:rsidR="009616E5" w:rsidRDefault="009616E5" w:rsidP="009616E5">
      <w:pPr>
        <w:rPr>
          <w:rFonts w:eastAsia="Lucida Sans Unicode"/>
        </w:rPr>
      </w:pPr>
    </w:p>
    <w:p w14:paraId="7C6D283F" w14:textId="77777777" w:rsidR="009616E5" w:rsidRDefault="009616E5" w:rsidP="52103CC6">
      <w:pPr>
        <w:rPr>
          <w:rFonts w:eastAsia="Lucida Sans Unicode"/>
        </w:rPr>
      </w:pPr>
      <w:r w:rsidRPr="52103CC6">
        <w:rPr>
          <w:rFonts w:eastAsia="Lucida Sans Unicode"/>
        </w:rPr>
        <w:t xml:space="preserve">New Zealand research into secondary school students’ gambling found that about one in three students had participated in gambling at some point. Of this subgroup, 13% wanted to reduce their gambling, and 11% were worried about their gambling. Both these latter </w:t>
      </w:r>
      <w:r w:rsidRPr="52103CC6">
        <w:rPr>
          <w:rFonts w:eastAsia="Lucida Sans Unicode"/>
        </w:rPr>
        <w:lastRenderedPageBreak/>
        <w:t>groups were more likely to be in low-decile schools (deciles 1–3) than in high-decile schools (deciles 8–10).</w:t>
      </w:r>
      <w:r w:rsidRPr="52103CC6">
        <w:rPr>
          <w:rStyle w:val="FootnoteReference"/>
          <w:rFonts w:eastAsia="Lucida Sans Unicode"/>
        </w:rPr>
        <w:footnoteReference w:id="29"/>
      </w:r>
      <w:r w:rsidRPr="52103CC6">
        <w:rPr>
          <w:rFonts w:eastAsia="Lucida Sans Unicode"/>
        </w:rPr>
        <w:t xml:space="preserve"> </w:t>
      </w:r>
    </w:p>
    <w:p w14:paraId="6245F57A" w14:textId="76762310" w:rsidR="006C378D" w:rsidRDefault="006C378D" w:rsidP="006C378D">
      <w:pPr>
        <w:pStyle w:val="Heading4"/>
      </w:pPr>
      <w:r>
        <w:t xml:space="preserve">Other vulnerable populations </w:t>
      </w:r>
      <w:r w:rsidRPr="00182689">
        <w:t xml:space="preserve"> </w:t>
      </w:r>
    </w:p>
    <w:p w14:paraId="17065C00" w14:textId="10445F10" w:rsidR="0049448B" w:rsidRDefault="00571DED" w:rsidP="00DB373E">
      <w:pPr>
        <w:rPr>
          <w:rFonts w:eastAsia="Lucida Sans Unicode"/>
        </w:rPr>
      </w:pPr>
      <w:r w:rsidRPr="00AA4E79">
        <w:rPr>
          <w:rFonts w:eastAsia="Lucida Sans Unicode"/>
        </w:rPr>
        <w:t xml:space="preserve">While the </w:t>
      </w:r>
      <w:r w:rsidR="000775F7" w:rsidRPr="52103CC6">
        <w:rPr>
          <w:rFonts w:cs="Segoe UI"/>
          <w:sz w:val="20"/>
        </w:rPr>
        <w:t>Strategy to Prevent and Minimise Gambling Harm 2025/26 to 2027/28</w:t>
      </w:r>
      <w:r w:rsidR="000775F7">
        <w:rPr>
          <w:rFonts w:cs="Segoe UI"/>
          <w:sz w:val="20"/>
        </w:rPr>
        <w:t xml:space="preserve"> (the </w:t>
      </w:r>
      <w:r w:rsidR="007E5D12">
        <w:rPr>
          <w:rFonts w:eastAsia="Lucida Sans Unicode"/>
        </w:rPr>
        <w:t>S</w:t>
      </w:r>
      <w:r w:rsidRPr="00AA4E79">
        <w:rPr>
          <w:rFonts w:eastAsia="Lucida Sans Unicode"/>
        </w:rPr>
        <w:t>trategy</w:t>
      </w:r>
      <w:r w:rsidR="000775F7">
        <w:rPr>
          <w:rFonts w:eastAsia="Lucida Sans Unicode"/>
        </w:rPr>
        <w:t>)</w:t>
      </w:r>
      <w:r w:rsidRPr="00AA4E79">
        <w:rPr>
          <w:rFonts w:eastAsia="Lucida Sans Unicode"/>
        </w:rPr>
        <w:t xml:space="preserve"> has a focus on the above populations</w:t>
      </w:r>
      <w:r w:rsidR="0049448B">
        <w:rPr>
          <w:rFonts w:eastAsia="Lucida Sans Unicode"/>
        </w:rPr>
        <w:t xml:space="preserve"> based on research and presentations data</w:t>
      </w:r>
      <w:r w:rsidR="00F524B1" w:rsidRPr="00AA4E79">
        <w:rPr>
          <w:rFonts w:eastAsia="Lucida Sans Unicode"/>
        </w:rPr>
        <w:t>,</w:t>
      </w:r>
      <w:r w:rsidRPr="00AA4E79">
        <w:rPr>
          <w:rFonts w:eastAsia="Lucida Sans Unicode"/>
        </w:rPr>
        <w:t xml:space="preserve"> </w:t>
      </w:r>
      <w:r w:rsidR="6B646B33" w:rsidRPr="00AA4E79">
        <w:rPr>
          <w:rFonts w:eastAsia="Lucida Sans Unicode"/>
        </w:rPr>
        <w:t xml:space="preserve">we recognise that </w:t>
      </w:r>
      <w:r w:rsidRPr="00AA4E79">
        <w:rPr>
          <w:rFonts w:eastAsia="Lucida Sans Unicode"/>
        </w:rPr>
        <w:t xml:space="preserve">other groups are </w:t>
      </w:r>
      <w:r w:rsidR="6931EEDF" w:rsidRPr="00AA4E79">
        <w:rPr>
          <w:rFonts w:eastAsia="Lucida Sans Unicode"/>
        </w:rPr>
        <w:t xml:space="preserve">also </w:t>
      </w:r>
      <w:r w:rsidRPr="00AA4E79">
        <w:rPr>
          <w:rFonts w:eastAsia="Lucida Sans Unicode"/>
        </w:rPr>
        <w:t>vulnerable to gambling harm</w:t>
      </w:r>
      <w:r w:rsidR="00A9510C">
        <w:rPr>
          <w:rFonts w:eastAsia="Lucida Sans Unicode"/>
        </w:rPr>
        <w:t>.</w:t>
      </w:r>
      <w:r w:rsidR="7B5BF3BB" w:rsidRPr="00AA4E79">
        <w:rPr>
          <w:rFonts w:eastAsia="Lucida Sans Unicode"/>
        </w:rPr>
        <w:t xml:space="preserve"> </w:t>
      </w:r>
      <w:r w:rsidR="00D94A4A">
        <w:rPr>
          <w:rFonts w:eastAsia="Lucida Sans Unicode"/>
        </w:rPr>
        <w:t xml:space="preserve"> </w:t>
      </w:r>
      <w:r w:rsidR="00A9510C">
        <w:rPr>
          <w:rFonts w:eastAsia="Lucida Sans Unicode"/>
        </w:rPr>
        <w:t>S</w:t>
      </w:r>
      <w:r w:rsidR="7B5BF3BB" w:rsidRPr="00AA4E79">
        <w:rPr>
          <w:rFonts w:eastAsia="Lucida Sans Unicode"/>
        </w:rPr>
        <w:t xml:space="preserve">ervices offered </w:t>
      </w:r>
      <w:r w:rsidR="0049448B">
        <w:rPr>
          <w:rFonts w:eastAsia="Lucida Sans Unicode"/>
        </w:rPr>
        <w:t>need</w:t>
      </w:r>
      <w:r w:rsidR="7B5BF3BB">
        <w:rPr>
          <w:rFonts w:eastAsia="Lucida Sans Unicode"/>
        </w:rPr>
        <w:t xml:space="preserve"> to be </w:t>
      </w:r>
      <w:r w:rsidR="0049448B">
        <w:rPr>
          <w:rFonts w:eastAsia="Lucida Sans Unicode"/>
        </w:rPr>
        <w:t>designed</w:t>
      </w:r>
      <w:r w:rsidR="00A9510C">
        <w:rPr>
          <w:rFonts w:eastAsia="Lucida Sans Unicode"/>
        </w:rPr>
        <w:t xml:space="preserve"> to</w:t>
      </w:r>
      <w:r w:rsidR="0049448B">
        <w:rPr>
          <w:rFonts w:eastAsia="Lucida Sans Unicode"/>
        </w:rPr>
        <w:t xml:space="preserve"> be </w:t>
      </w:r>
      <w:r w:rsidR="7B5BF3BB">
        <w:rPr>
          <w:rFonts w:eastAsia="Lucida Sans Unicode"/>
        </w:rPr>
        <w:t>available</w:t>
      </w:r>
      <w:r w:rsidR="0049448B">
        <w:rPr>
          <w:rFonts w:eastAsia="Lucida Sans Unicode"/>
        </w:rPr>
        <w:t>, accessible and responsive</w:t>
      </w:r>
      <w:r w:rsidR="7B5BF3BB">
        <w:rPr>
          <w:rFonts w:eastAsia="Lucida Sans Unicode"/>
        </w:rPr>
        <w:t xml:space="preserve"> to </w:t>
      </w:r>
      <w:r w:rsidR="0049448B">
        <w:rPr>
          <w:rFonts w:eastAsia="Lucida Sans Unicode"/>
        </w:rPr>
        <w:t>a range of needs, for everyone</w:t>
      </w:r>
      <w:r w:rsidR="00F524B1">
        <w:rPr>
          <w:rFonts w:eastAsia="Lucida Sans Unicode"/>
        </w:rPr>
        <w:t xml:space="preserve"> </w:t>
      </w:r>
      <w:r w:rsidR="00F524B1" w:rsidRPr="00AA4E79">
        <w:rPr>
          <w:rFonts w:eastAsia="Lucida Sans Unicode"/>
        </w:rPr>
        <w:t>who needs them</w:t>
      </w:r>
      <w:r w:rsidR="7B5BF3BB" w:rsidRPr="00AA4E79">
        <w:rPr>
          <w:rFonts w:eastAsia="Lucida Sans Unicode"/>
        </w:rPr>
        <w:t>, regardless of the type of gambling</w:t>
      </w:r>
      <w:r w:rsidRPr="00AA4E79">
        <w:rPr>
          <w:rFonts w:eastAsia="Lucida Sans Unicode"/>
        </w:rPr>
        <w:t xml:space="preserve">. </w:t>
      </w:r>
      <w:r w:rsidR="00BD1AF2" w:rsidRPr="00AA4E79">
        <w:rPr>
          <w:rFonts w:eastAsia="Lucida Sans Unicode"/>
        </w:rPr>
        <w:t xml:space="preserve">We recognise </w:t>
      </w:r>
      <w:r w:rsidR="006E4C54" w:rsidRPr="00AA4E79">
        <w:rPr>
          <w:rFonts w:eastAsia="Lucida Sans Unicode"/>
        </w:rPr>
        <w:t xml:space="preserve">other groups may also be vulnerable to </w:t>
      </w:r>
      <w:r w:rsidR="00BD1AF2" w:rsidRPr="00AA4E79">
        <w:rPr>
          <w:rFonts w:eastAsia="Lucida Sans Unicode"/>
        </w:rPr>
        <w:t xml:space="preserve">gambling </w:t>
      </w:r>
      <w:r w:rsidR="006E4C54" w:rsidRPr="00AA4E79">
        <w:rPr>
          <w:rFonts w:eastAsia="Lucida Sans Unicode"/>
        </w:rPr>
        <w:t xml:space="preserve">and related </w:t>
      </w:r>
      <w:r w:rsidR="00BD1AF2" w:rsidRPr="00AA4E79">
        <w:rPr>
          <w:rFonts w:eastAsia="Lucida Sans Unicode"/>
        </w:rPr>
        <w:t>harm</w:t>
      </w:r>
      <w:r w:rsidR="00C96FA1" w:rsidRPr="00AA4E79">
        <w:rPr>
          <w:rFonts w:eastAsia="Lucida Sans Unicode"/>
        </w:rPr>
        <w:t xml:space="preserve">, such as </w:t>
      </w:r>
      <w:r w:rsidR="006C378D" w:rsidRPr="00AA4E79">
        <w:rPr>
          <w:rFonts w:eastAsia="Lucida Sans Unicode"/>
        </w:rPr>
        <w:t>disabled people, older people or those living in rural or isolated areas</w:t>
      </w:r>
      <w:r w:rsidR="00F55E72">
        <w:rPr>
          <w:rFonts w:eastAsia="Lucida Sans Unicode"/>
        </w:rPr>
        <w:t xml:space="preserve">. </w:t>
      </w:r>
      <w:r w:rsidR="00000251">
        <w:rPr>
          <w:rFonts w:eastAsia="Lucida Sans Unicode"/>
        </w:rPr>
        <w:t>However,</w:t>
      </w:r>
      <w:r w:rsidR="00F55E72">
        <w:rPr>
          <w:rFonts w:eastAsia="Lucida Sans Unicode"/>
        </w:rPr>
        <w:t xml:space="preserve"> it is difficult to quantify these impacts </w:t>
      </w:r>
      <w:r w:rsidR="00000251">
        <w:rPr>
          <w:rFonts w:eastAsia="Lucida Sans Unicode"/>
        </w:rPr>
        <w:t>as</w:t>
      </w:r>
      <w:r w:rsidR="001727AD">
        <w:rPr>
          <w:rFonts w:eastAsia="Lucida Sans Unicode"/>
        </w:rPr>
        <w:t xml:space="preserve"> the data </w:t>
      </w:r>
      <w:r w:rsidR="00AC2EC3">
        <w:rPr>
          <w:rFonts w:eastAsia="Lucida Sans Unicode"/>
        </w:rPr>
        <w:t>at a population level on</w:t>
      </w:r>
      <w:r w:rsidR="00000251">
        <w:rPr>
          <w:rFonts w:eastAsia="Lucida Sans Unicode"/>
        </w:rPr>
        <w:t xml:space="preserve"> use and</w:t>
      </w:r>
      <w:r w:rsidR="00AC2EC3">
        <w:rPr>
          <w:rFonts w:eastAsia="Lucida Sans Unicode"/>
        </w:rPr>
        <w:t xml:space="preserve"> harm </w:t>
      </w:r>
      <w:r w:rsidR="006C378D" w:rsidRPr="00AA4E79">
        <w:rPr>
          <w:rFonts w:eastAsia="Lucida Sans Unicode"/>
        </w:rPr>
        <w:t xml:space="preserve">is limited. </w:t>
      </w:r>
    </w:p>
    <w:p w14:paraId="18B21E5E" w14:textId="37659CA9" w:rsidR="00E93187" w:rsidRPr="00E93187" w:rsidRDefault="00E93187" w:rsidP="00E93187">
      <w:pPr>
        <w:pStyle w:val="Heading4"/>
      </w:pPr>
      <w:r w:rsidRPr="00E93187">
        <w:t>Disabled people</w:t>
      </w:r>
    </w:p>
    <w:p w14:paraId="15095D20" w14:textId="5C49DD02" w:rsidR="004A360A" w:rsidRPr="000A1D2C" w:rsidRDefault="396A1514" w:rsidP="00DB373E">
      <w:pPr>
        <w:rPr>
          <w:rFonts w:eastAsia="Lucida Sans Unicode"/>
        </w:rPr>
      </w:pPr>
      <w:r w:rsidRPr="00AA4E79">
        <w:rPr>
          <w:rFonts w:eastAsia="Lucida Sans Unicode"/>
        </w:rPr>
        <w:t xml:space="preserve">The 2023/24 NZGS found that people with a disability or mental health and addiction (MH&amp;A) condition had </w:t>
      </w:r>
      <w:r w:rsidR="00C51CD2">
        <w:rPr>
          <w:rFonts w:eastAsia="Lucida Sans Unicode"/>
        </w:rPr>
        <w:t>4.02</w:t>
      </w:r>
      <w:r w:rsidRPr="00AA4E79">
        <w:rPr>
          <w:rFonts w:eastAsia="Lucida Sans Unicode"/>
        </w:rPr>
        <w:t xml:space="preserve"> times the risk of being a moderate- or high-risk gambler compared to those with no disability or MH&amp;A condition</w:t>
      </w:r>
      <w:r w:rsidR="508E9E19" w:rsidRPr="00AA4E79">
        <w:rPr>
          <w:rFonts w:eastAsia="Lucida Sans Unicode"/>
        </w:rPr>
        <w:t>.</w:t>
      </w:r>
      <w:r w:rsidR="39B3F8D5" w:rsidRPr="4E7DB77D">
        <w:rPr>
          <w:rFonts w:eastAsia="Lucida Sans Unicode"/>
        </w:rPr>
        <w:t xml:space="preserve"> </w:t>
      </w:r>
      <w:r w:rsidR="004A360A">
        <w:rPr>
          <w:rFonts w:eastAsia="Lucida Sans Unicode"/>
        </w:rPr>
        <w:t xml:space="preserve">Presentations data does not routinely capture disability information at present, raising concerns that </w:t>
      </w:r>
      <w:r w:rsidR="004A360A" w:rsidRPr="000A1D2C">
        <w:rPr>
          <w:rFonts w:eastAsia="Lucida Sans Unicode"/>
        </w:rPr>
        <w:t>disabled people may not be accessing services they need</w:t>
      </w:r>
      <w:r w:rsidR="004A360A">
        <w:rPr>
          <w:rFonts w:eastAsia="Lucida Sans Unicode"/>
        </w:rPr>
        <w:t>.</w:t>
      </w:r>
    </w:p>
    <w:p w14:paraId="3509D626" w14:textId="77777777" w:rsidR="00DB373E" w:rsidRDefault="00DB373E" w:rsidP="00DB373E">
      <w:pPr>
        <w:rPr>
          <w:rFonts w:eastAsia="Lucida Sans Unicode"/>
        </w:rPr>
      </w:pPr>
    </w:p>
    <w:p w14:paraId="12B4EB19" w14:textId="01D3CA70" w:rsidR="00B95EF0" w:rsidRDefault="00B95EF0" w:rsidP="00DB373E">
      <w:pPr>
        <w:rPr>
          <w:rFonts w:eastAsia="Lucida Sans Unicode"/>
        </w:rPr>
      </w:pPr>
      <w:r w:rsidRPr="464B13A3">
        <w:rPr>
          <w:rFonts w:eastAsia="Lucida Sans Unicode"/>
        </w:rPr>
        <w:t xml:space="preserve">International research </w:t>
      </w:r>
      <w:r>
        <w:rPr>
          <w:rFonts w:eastAsia="Lucida Sans Unicode"/>
        </w:rPr>
        <w:t xml:space="preserve">shows </w:t>
      </w:r>
      <w:r w:rsidRPr="464B13A3" w:rsidDel="24659499">
        <w:rPr>
          <w:rFonts w:eastAsia="Lucida Sans Unicode"/>
        </w:rPr>
        <w:t>that</w:t>
      </w:r>
      <w:r w:rsidRPr="464B13A3" w:rsidDel="000A1D2C">
        <w:rPr>
          <w:rFonts w:eastAsia="Lucida Sans Unicode"/>
        </w:rPr>
        <w:t xml:space="preserve"> </w:t>
      </w:r>
      <w:r w:rsidRPr="464B13A3">
        <w:rPr>
          <w:rFonts w:eastAsia="Lucida Sans Unicode"/>
        </w:rPr>
        <w:t>that people with disabilities can be vulnerable to problems with gambling and develop problem gambling behaviours</w:t>
      </w:r>
      <w:r w:rsidRPr="004C715F">
        <w:rPr>
          <w:rFonts w:eastAsia="Lucida Sans Unicode"/>
        </w:rPr>
        <w:t>.</w:t>
      </w:r>
      <w:r w:rsidRPr="46176FBD">
        <w:rPr>
          <w:rFonts w:eastAsia="Lucida Sans Unicode"/>
        </w:rPr>
        <w:t xml:space="preserve"> </w:t>
      </w:r>
      <w:r w:rsidR="00CD315D" w:rsidRPr="00AA4E79">
        <w:rPr>
          <w:rFonts w:eastAsia="Lucida Sans Unicode"/>
        </w:rPr>
        <w:t>Gambling harm inequities may be associated with some forms of disability, for example people with certain impairments such as learning/intellectual disability and those who are neurodivergent</w:t>
      </w:r>
      <w:r w:rsidR="00DA0CBD">
        <w:rPr>
          <w:rFonts w:eastAsia="Lucida Sans Unicode"/>
        </w:rPr>
        <w:t>,</w:t>
      </w:r>
      <w:r w:rsidR="00CD315D" w:rsidRPr="00AA4E79">
        <w:rPr>
          <w:rFonts w:eastAsia="Lucida Sans Unicode"/>
        </w:rPr>
        <w:t xml:space="preserve"> may be more vulnerable</w:t>
      </w:r>
      <w:r w:rsidR="003D1F80">
        <w:rPr>
          <w:rFonts w:eastAsia="Lucida Sans Unicode"/>
        </w:rPr>
        <w:t xml:space="preserve"> to gambling harm</w:t>
      </w:r>
      <w:r w:rsidR="00CD315D">
        <w:rPr>
          <w:rFonts w:eastAsia="Lucida Sans Unicode"/>
        </w:rPr>
        <w:t xml:space="preserve">. </w:t>
      </w:r>
      <w:r>
        <w:rPr>
          <w:rFonts w:eastAsia="Lucida Sans Unicode"/>
        </w:rPr>
        <w:t xml:space="preserve">Similarly, </w:t>
      </w:r>
      <w:r w:rsidR="0018246C" w:rsidRPr="46176FBD">
        <w:rPr>
          <w:rFonts w:eastAsia="Lucida Sans Unicode"/>
        </w:rPr>
        <w:t xml:space="preserve">cognitive disabilities </w:t>
      </w:r>
      <w:r>
        <w:rPr>
          <w:rFonts w:eastAsia="Lucida Sans Unicode"/>
        </w:rPr>
        <w:t xml:space="preserve">may </w:t>
      </w:r>
      <w:r w:rsidR="0018246C" w:rsidRPr="46176FBD">
        <w:rPr>
          <w:rFonts w:eastAsia="Lucida Sans Unicode"/>
        </w:rPr>
        <w:t xml:space="preserve">impact on the ability to maintain control of money or calculate and interpret risk of gambling. Individuals most at risk of developing problem gambling often have pre-existing vulnerabilities in information processing or are likely to make impulsive decisions due to an interaction of cognitive and neurological factors. </w:t>
      </w:r>
    </w:p>
    <w:p w14:paraId="293C8CF1" w14:textId="77777777" w:rsidR="00DB373E" w:rsidRDefault="00DB373E" w:rsidP="00DB373E">
      <w:pPr>
        <w:rPr>
          <w:rFonts w:eastAsia="Lucida Sans Unicode"/>
        </w:rPr>
      </w:pPr>
    </w:p>
    <w:p w14:paraId="7F0466FC" w14:textId="4C1A5505" w:rsidR="0049448B" w:rsidRPr="000A1D2C" w:rsidRDefault="00147689" w:rsidP="00DB373E">
      <w:pPr>
        <w:rPr>
          <w:rFonts w:eastAsia="Lucida Sans Unicode"/>
        </w:rPr>
      </w:pPr>
      <w:r>
        <w:rPr>
          <w:rFonts w:eastAsia="Lucida Sans Unicode"/>
        </w:rPr>
        <w:t xml:space="preserve">Research into </w:t>
      </w:r>
      <w:r w:rsidR="00645401">
        <w:rPr>
          <w:rFonts w:eastAsia="Lucida Sans Unicode"/>
        </w:rPr>
        <w:t xml:space="preserve">the </w:t>
      </w:r>
      <w:r w:rsidR="00CC55F7">
        <w:rPr>
          <w:rFonts w:eastAsia="Lucida Sans Unicode"/>
        </w:rPr>
        <w:t>quality-of-life</w:t>
      </w:r>
      <w:r w:rsidR="00645401">
        <w:rPr>
          <w:rFonts w:eastAsia="Lucida Sans Unicode"/>
        </w:rPr>
        <w:t xml:space="preserve"> impact of di</w:t>
      </w:r>
      <w:r w:rsidR="5BDB20C9" w:rsidRPr="46176FBD">
        <w:rPr>
          <w:rFonts w:eastAsia="Lucida Sans Unicode"/>
        </w:rPr>
        <w:t>sability found a</w:t>
      </w:r>
      <w:r w:rsidR="3041673D" w:rsidRPr="46176FBD">
        <w:rPr>
          <w:rFonts w:eastAsia="Lucida Sans Unicode"/>
        </w:rPr>
        <w:t xml:space="preserve"> strong</w:t>
      </w:r>
      <w:r w:rsidR="5BDB20C9" w:rsidRPr="46176FBD">
        <w:rPr>
          <w:rFonts w:eastAsia="Lucida Sans Unicode"/>
        </w:rPr>
        <w:t xml:space="preserve"> association between the level of </w:t>
      </w:r>
      <w:r w:rsidR="7480C6B5" w:rsidRPr="46176FBD">
        <w:rPr>
          <w:rFonts w:eastAsia="Lucida Sans Unicode"/>
        </w:rPr>
        <w:t>problem gambling and</w:t>
      </w:r>
      <w:r w:rsidR="45CAA956" w:rsidRPr="46176FBD">
        <w:rPr>
          <w:rFonts w:eastAsia="Lucida Sans Unicode"/>
        </w:rPr>
        <w:t xml:space="preserve"> loss of quality of lif</w:t>
      </w:r>
      <w:r w:rsidR="29C42D2F" w:rsidRPr="46176FBD">
        <w:rPr>
          <w:rFonts w:eastAsia="Lucida Sans Unicode"/>
        </w:rPr>
        <w:t>e</w:t>
      </w:r>
      <w:r w:rsidR="00CC55F7">
        <w:rPr>
          <w:rFonts w:eastAsia="Lucida Sans Unicode"/>
        </w:rPr>
        <w:t>.</w:t>
      </w:r>
      <w:r w:rsidR="00B95EF0">
        <w:rPr>
          <w:rFonts w:eastAsia="Lucida Sans Unicode"/>
        </w:rPr>
        <w:t xml:space="preserve"> </w:t>
      </w:r>
      <w:r w:rsidR="26434561" w:rsidRPr="46176FBD">
        <w:rPr>
          <w:rFonts w:eastAsia="Lucida Sans Unicode"/>
        </w:rPr>
        <w:t>There are also concerns that the expansion of unregulated online gambling presents a particular risk of harm to disabled people.</w:t>
      </w:r>
    </w:p>
    <w:p w14:paraId="0A086CFC" w14:textId="52DB7030" w:rsidR="00E93187" w:rsidRPr="00E93187" w:rsidRDefault="00E93187" w:rsidP="00E93187">
      <w:pPr>
        <w:pStyle w:val="Heading4"/>
      </w:pPr>
      <w:r>
        <w:t>Older people</w:t>
      </w:r>
    </w:p>
    <w:p w14:paraId="4048F202" w14:textId="34316DCB" w:rsidR="0049448B" w:rsidRDefault="4E43CE0B" w:rsidP="00DB373E">
      <w:pPr>
        <w:rPr>
          <w:rFonts w:eastAsia="Lucida Sans Unicode"/>
        </w:rPr>
      </w:pPr>
      <w:r w:rsidRPr="2BD9D345">
        <w:rPr>
          <w:rFonts w:eastAsia="Lucida Sans Unicode"/>
        </w:rPr>
        <w:t xml:space="preserve">As a group, people aged 65 and over have </w:t>
      </w:r>
      <w:r w:rsidR="4705A693" w:rsidRPr="2BD9D345">
        <w:rPr>
          <w:rFonts w:eastAsia="Lucida Sans Unicode"/>
        </w:rPr>
        <w:t>a lower</w:t>
      </w:r>
      <w:r w:rsidR="3A596EF0" w:rsidRPr="2BD9D345">
        <w:rPr>
          <w:rFonts w:eastAsia="Lucida Sans Unicode"/>
        </w:rPr>
        <w:t>-</w:t>
      </w:r>
      <w:r w:rsidR="4705A693" w:rsidRPr="2BD9D345">
        <w:rPr>
          <w:rFonts w:eastAsia="Lucida Sans Unicode"/>
        </w:rPr>
        <w:t>than</w:t>
      </w:r>
      <w:r w:rsidR="50C5E6F5" w:rsidRPr="2BD9D345">
        <w:rPr>
          <w:rFonts w:eastAsia="Lucida Sans Unicode"/>
        </w:rPr>
        <w:t>-</w:t>
      </w:r>
      <w:r w:rsidRPr="2BD9D345">
        <w:rPr>
          <w:rFonts w:eastAsia="Lucida Sans Unicode"/>
        </w:rPr>
        <w:t>average prevalence</w:t>
      </w:r>
      <w:r w:rsidR="1C35FF7E" w:rsidRPr="2BD9D345">
        <w:rPr>
          <w:rFonts w:eastAsia="Lucida Sans Unicode"/>
        </w:rPr>
        <w:t xml:space="preserve"> of </w:t>
      </w:r>
      <w:r w:rsidR="001D0FA1" w:rsidRPr="2BD9D345">
        <w:rPr>
          <w:rFonts w:eastAsia="Lucida Sans Unicode"/>
        </w:rPr>
        <w:t>risk of gambling harm</w:t>
      </w:r>
      <w:r w:rsidR="35217299" w:rsidRPr="2BD9D345">
        <w:rPr>
          <w:rFonts w:eastAsia="Lucida Sans Unicode"/>
        </w:rPr>
        <w:t xml:space="preserve">, as shown in </w:t>
      </w:r>
      <w:r w:rsidR="005961BF">
        <w:rPr>
          <w:rFonts w:eastAsia="Lucida Sans Unicode"/>
        </w:rPr>
        <w:t>20</w:t>
      </w:r>
      <w:r w:rsidR="002260BC">
        <w:rPr>
          <w:rFonts w:eastAsia="Lucida Sans Unicode"/>
        </w:rPr>
        <w:t xml:space="preserve">23/24 </w:t>
      </w:r>
      <w:r w:rsidR="35217299" w:rsidRPr="2BD9D345">
        <w:rPr>
          <w:rFonts w:eastAsia="Lucida Sans Unicode"/>
        </w:rPr>
        <w:t>NZGS and HLS</w:t>
      </w:r>
      <w:r w:rsidR="002260BC">
        <w:rPr>
          <w:rFonts w:eastAsia="Lucida Sans Unicode"/>
        </w:rPr>
        <w:t xml:space="preserve"> 2020</w:t>
      </w:r>
      <w:r w:rsidR="35217299" w:rsidRPr="2BD9D345">
        <w:rPr>
          <w:rFonts w:eastAsia="Lucida Sans Unicode"/>
        </w:rPr>
        <w:t xml:space="preserve">. However, research shows that </w:t>
      </w:r>
      <w:r w:rsidR="732E87D3" w:rsidRPr="2BD9D345">
        <w:rPr>
          <w:rFonts w:eastAsia="Lucida Sans Unicode"/>
        </w:rPr>
        <w:t xml:space="preserve">experiencing gambling harm at an older age could have its age-related complications. For example, less time </w:t>
      </w:r>
      <w:r w:rsidR="19DFCAF6" w:rsidRPr="2BD9D345">
        <w:rPr>
          <w:rFonts w:eastAsia="Lucida Sans Unicode"/>
        </w:rPr>
        <w:t xml:space="preserve">and declined ability </w:t>
      </w:r>
      <w:r w:rsidR="732E87D3" w:rsidRPr="2BD9D345">
        <w:rPr>
          <w:rFonts w:eastAsia="Lucida Sans Unicode"/>
        </w:rPr>
        <w:t>to recover financially</w:t>
      </w:r>
      <w:r w:rsidR="420FF3C2" w:rsidRPr="2BD9D345">
        <w:rPr>
          <w:rFonts w:eastAsia="Lucida Sans Unicode"/>
        </w:rPr>
        <w:t>, physically, and otherwise</w:t>
      </w:r>
      <w:r w:rsidR="732E87D3" w:rsidRPr="2BD9D345">
        <w:rPr>
          <w:rFonts w:eastAsia="Lucida Sans Unicode"/>
        </w:rPr>
        <w:t>, the sense of loss of dignity in the family</w:t>
      </w:r>
      <w:r w:rsidR="300744D0" w:rsidRPr="2BD9D345">
        <w:rPr>
          <w:rFonts w:eastAsia="Lucida Sans Unicode"/>
        </w:rPr>
        <w:t xml:space="preserve"> and community</w:t>
      </w:r>
      <w:r w:rsidR="00E83F8D">
        <w:rPr>
          <w:rFonts w:eastAsia="Lucida Sans Unicode"/>
        </w:rPr>
        <w:t xml:space="preserve">. </w:t>
      </w:r>
      <w:r w:rsidR="009B31D0">
        <w:rPr>
          <w:rFonts w:eastAsia="Lucida Sans Unicode"/>
        </w:rPr>
        <w:t>Similarly,</w:t>
      </w:r>
      <w:r w:rsidR="00E83F8D">
        <w:rPr>
          <w:rFonts w:eastAsia="Lucida Sans Unicode"/>
        </w:rPr>
        <w:t xml:space="preserve"> </w:t>
      </w:r>
      <w:r w:rsidR="732E87D3" w:rsidRPr="2BD9D345">
        <w:rPr>
          <w:rFonts w:eastAsia="Lucida Sans Unicode"/>
        </w:rPr>
        <w:t>the support needed might be tangled up</w:t>
      </w:r>
      <w:r w:rsidR="001D0FA1" w:rsidRPr="2BD9D345">
        <w:rPr>
          <w:rFonts w:eastAsia="Lucida Sans Unicode"/>
        </w:rPr>
        <w:t xml:space="preserve"> with </w:t>
      </w:r>
      <w:r w:rsidR="732E87D3" w:rsidRPr="2BD9D345">
        <w:rPr>
          <w:rFonts w:eastAsia="Lucida Sans Unicode"/>
        </w:rPr>
        <w:t>other life situations</w:t>
      </w:r>
      <w:r w:rsidR="2D46B572" w:rsidRPr="2BD9D345">
        <w:rPr>
          <w:rFonts w:eastAsia="Lucida Sans Unicode"/>
        </w:rPr>
        <w:t>,</w:t>
      </w:r>
      <w:r w:rsidR="001D0FA1" w:rsidRPr="2BD9D345">
        <w:rPr>
          <w:rFonts w:eastAsia="Lucida Sans Unicode"/>
        </w:rPr>
        <w:t xml:space="preserve"> such as </w:t>
      </w:r>
      <w:r w:rsidR="1C35FF7E" w:rsidRPr="00AA4E79">
        <w:rPr>
          <w:rFonts w:eastAsia="Lucida Sans Unicode"/>
        </w:rPr>
        <w:t>living alone</w:t>
      </w:r>
      <w:r w:rsidR="00E93187" w:rsidRPr="2BD9D345">
        <w:rPr>
          <w:rFonts w:eastAsia="Lucida Sans Unicode"/>
        </w:rPr>
        <w:t xml:space="preserve">, </w:t>
      </w:r>
      <w:r w:rsidR="001D0FA1" w:rsidRPr="2BD9D345">
        <w:rPr>
          <w:rFonts w:eastAsia="Lucida Sans Unicode"/>
        </w:rPr>
        <w:t xml:space="preserve">being </w:t>
      </w:r>
      <w:r w:rsidR="00E93187" w:rsidRPr="2BD9D345">
        <w:rPr>
          <w:rFonts w:eastAsia="Lucida Sans Unicode"/>
        </w:rPr>
        <w:t>retired</w:t>
      </w:r>
      <w:r w:rsidR="1C35FF7E" w:rsidRPr="00AA4E79">
        <w:rPr>
          <w:rFonts w:eastAsia="Lucida Sans Unicode"/>
        </w:rPr>
        <w:t xml:space="preserve"> or on </w:t>
      </w:r>
      <w:r w:rsidR="001D0FA1" w:rsidRPr="2BD9D345">
        <w:rPr>
          <w:rFonts w:eastAsia="Lucida Sans Unicode"/>
        </w:rPr>
        <w:t xml:space="preserve">a </w:t>
      </w:r>
      <w:r w:rsidR="1C35FF7E" w:rsidRPr="00AA4E79">
        <w:rPr>
          <w:rFonts w:eastAsia="Lucida Sans Unicode"/>
        </w:rPr>
        <w:t>limited income</w:t>
      </w:r>
      <w:r w:rsidR="001D0FA1" w:rsidRPr="2BD9D345">
        <w:rPr>
          <w:rFonts w:eastAsia="Lucida Sans Unicode"/>
        </w:rPr>
        <w:t xml:space="preserve"> (noting </w:t>
      </w:r>
      <w:r w:rsidR="00E93187" w:rsidRPr="2BD9D345">
        <w:rPr>
          <w:rFonts w:eastAsia="Lucida Sans Unicode"/>
        </w:rPr>
        <w:t>about 60% of people aged 65 and over either have no income other than NZ Super or a little more</w:t>
      </w:r>
      <w:r w:rsidR="001D0FA1" w:rsidRPr="2BD9D345">
        <w:rPr>
          <w:rFonts w:eastAsia="Lucida Sans Unicode"/>
        </w:rPr>
        <w:t>)</w:t>
      </w:r>
      <w:r w:rsidR="00E93187" w:rsidRPr="2BD9D345">
        <w:rPr>
          <w:rFonts w:eastAsia="Lucida Sans Unicode"/>
        </w:rPr>
        <w:t xml:space="preserve">. </w:t>
      </w:r>
    </w:p>
    <w:p w14:paraId="0E6385ED" w14:textId="0406B07F" w:rsidR="00E93187" w:rsidRPr="00E93187" w:rsidRDefault="00E93187" w:rsidP="00E93187">
      <w:pPr>
        <w:pStyle w:val="Heading4"/>
      </w:pPr>
      <w:r w:rsidRPr="00E93187">
        <w:lastRenderedPageBreak/>
        <w:t>Women and families</w:t>
      </w:r>
    </w:p>
    <w:p w14:paraId="72B4A998" w14:textId="77777777" w:rsidR="001D0FA1" w:rsidRDefault="00E93187" w:rsidP="00DB373E">
      <w:pPr>
        <w:rPr>
          <w:rFonts w:eastAsia="Lucida Sans Unicode"/>
        </w:rPr>
      </w:pPr>
      <w:r w:rsidRPr="00E93187">
        <w:rPr>
          <w:rFonts w:eastAsia="Lucida Sans Unicode"/>
        </w:rPr>
        <w:t xml:space="preserve">The 2023/24 NZGS found women were more likely than men to report impacts of gambling within the household or family, such as gambling-related arguments or someone having to take time off work or study. </w:t>
      </w:r>
    </w:p>
    <w:p w14:paraId="52B14C78" w14:textId="77777777" w:rsidR="00DB373E" w:rsidRDefault="00DB373E" w:rsidP="00DB373E">
      <w:pPr>
        <w:rPr>
          <w:rFonts w:eastAsia="Lucida Sans Unicode"/>
        </w:rPr>
      </w:pPr>
    </w:p>
    <w:p w14:paraId="2E70DEA5" w14:textId="3906BDEF" w:rsidR="00E93187" w:rsidRDefault="00E93187" w:rsidP="00DB373E">
      <w:pPr>
        <w:rPr>
          <w:rFonts w:eastAsia="Lucida Sans Unicode"/>
        </w:rPr>
      </w:pPr>
      <w:r w:rsidRPr="00E93187">
        <w:rPr>
          <w:rFonts w:eastAsia="Lucida Sans Unicode"/>
        </w:rPr>
        <w:t>Women</w:t>
      </w:r>
      <w:r>
        <w:rPr>
          <w:rFonts w:eastAsia="Lucida Sans Unicode"/>
        </w:rPr>
        <w:t xml:space="preserve">, who </w:t>
      </w:r>
      <w:r w:rsidRPr="00E93187">
        <w:rPr>
          <w:rFonts w:eastAsia="Lucida Sans Unicode"/>
        </w:rPr>
        <w:t>are often the primary caregivers for their family or whānau, are particularly vulnerable to economic, psychological and physical abuse and partner violence, with some groups at greater risk than others. For example, the 2020 Health and Lifestyles Survey found Pacific women were nearly three times more likely to be moderate risk or problem gamblers than non-Pacific women. Local gambling venues appear to offer women respite, distraction, and/or connection</w:t>
      </w:r>
      <w:r>
        <w:rPr>
          <w:rFonts w:eastAsia="Lucida Sans Unicode"/>
        </w:rPr>
        <w:t xml:space="preserve">, while at the same time </w:t>
      </w:r>
      <w:r w:rsidRPr="00E93187">
        <w:rPr>
          <w:rFonts w:eastAsia="Lucida Sans Unicode"/>
        </w:rPr>
        <w:t>placing them at greater risk of experiencing gambling problems and harm.</w:t>
      </w:r>
    </w:p>
    <w:p w14:paraId="74493F1A" w14:textId="77777777" w:rsidR="00DB373E" w:rsidRDefault="00DB373E" w:rsidP="00DB373E">
      <w:pPr>
        <w:rPr>
          <w:rFonts w:eastAsia="Lucida Sans Unicode"/>
        </w:rPr>
      </w:pPr>
    </w:p>
    <w:p w14:paraId="0B9E8337" w14:textId="67599F82" w:rsidR="006C378D" w:rsidRDefault="006C378D" w:rsidP="00DB373E">
      <w:pPr>
        <w:rPr>
          <w:rFonts w:eastAsia="Lucida Sans Unicode"/>
        </w:rPr>
      </w:pPr>
      <w:r w:rsidRPr="00AA4E79">
        <w:rPr>
          <w:rFonts w:eastAsia="Lucida Sans Unicode"/>
        </w:rPr>
        <w:t xml:space="preserve">Opportunities to research gambling harm prevalence amongst priority populations and at-risk communities </w:t>
      </w:r>
      <w:r w:rsidR="00453F54">
        <w:rPr>
          <w:rFonts w:eastAsia="Lucida Sans Unicode"/>
        </w:rPr>
        <w:t xml:space="preserve">noted above </w:t>
      </w:r>
      <w:r w:rsidRPr="00AA4E79">
        <w:rPr>
          <w:rFonts w:eastAsia="Lucida Sans Unicode"/>
        </w:rPr>
        <w:t>are a priority</w:t>
      </w:r>
      <w:r w:rsidR="00571DED" w:rsidRPr="00AA4E79">
        <w:rPr>
          <w:rFonts w:eastAsia="Lucida Sans Unicode"/>
        </w:rPr>
        <w:t xml:space="preserve">. </w:t>
      </w:r>
      <w:r w:rsidRPr="00AA4E79">
        <w:rPr>
          <w:rFonts w:eastAsia="Lucida Sans Unicode"/>
        </w:rPr>
        <w:t xml:space="preserve">The </w:t>
      </w:r>
      <w:r w:rsidR="000775F7">
        <w:rPr>
          <w:rFonts w:eastAsia="Lucida Sans Unicode"/>
        </w:rPr>
        <w:t>S</w:t>
      </w:r>
      <w:r w:rsidRPr="00AA4E79">
        <w:rPr>
          <w:rFonts w:eastAsia="Lucida Sans Unicode"/>
        </w:rPr>
        <w:t xml:space="preserve">trategy </w:t>
      </w:r>
      <w:r w:rsidR="00571DED" w:rsidRPr="00AA4E79">
        <w:rPr>
          <w:rFonts w:eastAsia="Lucida Sans Unicode"/>
        </w:rPr>
        <w:t xml:space="preserve">also </w:t>
      </w:r>
      <w:r w:rsidRPr="00AA4E79">
        <w:rPr>
          <w:rFonts w:eastAsia="Lucida Sans Unicode"/>
        </w:rPr>
        <w:t xml:space="preserve">proposes investing in </w:t>
      </w:r>
      <w:r w:rsidR="00453F54">
        <w:rPr>
          <w:rFonts w:eastAsia="Lucida Sans Unicode"/>
        </w:rPr>
        <w:t xml:space="preserve">modernising its </w:t>
      </w:r>
      <w:r w:rsidRPr="00AA4E79">
        <w:rPr>
          <w:rFonts w:eastAsia="Lucida Sans Unicode"/>
        </w:rPr>
        <w:t xml:space="preserve">data </w:t>
      </w:r>
      <w:r w:rsidR="00D47DA2">
        <w:rPr>
          <w:rFonts w:eastAsia="Lucida Sans Unicode"/>
        </w:rPr>
        <w:t xml:space="preserve">management </w:t>
      </w:r>
      <w:r w:rsidR="00703424">
        <w:rPr>
          <w:rFonts w:eastAsia="Lucida Sans Unicode"/>
        </w:rPr>
        <w:t xml:space="preserve">system </w:t>
      </w:r>
      <w:r w:rsidRPr="00AA4E79">
        <w:rPr>
          <w:rFonts w:eastAsia="Lucida Sans Unicode"/>
        </w:rPr>
        <w:t>to improve administrative data collection</w:t>
      </w:r>
      <w:r w:rsidR="00453F54">
        <w:rPr>
          <w:rFonts w:eastAsia="Lucida Sans Unicode"/>
        </w:rPr>
        <w:t>,</w:t>
      </w:r>
      <w:r w:rsidRPr="00AA4E79">
        <w:rPr>
          <w:rFonts w:eastAsia="Lucida Sans Unicode"/>
        </w:rPr>
        <w:t xml:space="preserve"> which </w:t>
      </w:r>
      <w:r w:rsidR="00453F54">
        <w:rPr>
          <w:rFonts w:eastAsia="Lucida Sans Unicode"/>
        </w:rPr>
        <w:t>will yield</w:t>
      </w:r>
      <w:r>
        <w:rPr>
          <w:rFonts w:eastAsia="Lucida Sans Unicode"/>
        </w:rPr>
        <w:t xml:space="preserve"> </w:t>
      </w:r>
      <w:r w:rsidRPr="00AA4E79">
        <w:rPr>
          <w:rFonts w:eastAsia="Lucida Sans Unicode"/>
        </w:rPr>
        <w:t>better quality information</w:t>
      </w:r>
      <w:r w:rsidR="00B95EF0">
        <w:rPr>
          <w:rFonts w:eastAsia="Lucida Sans Unicode"/>
        </w:rPr>
        <w:t xml:space="preserve"> and detail</w:t>
      </w:r>
      <w:r w:rsidRPr="00AA4E79">
        <w:rPr>
          <w:rFonts w:eastAsia="Lucida Sans Unicode"/>
        </w:rPr>
        <w:t xml:space="preserve"> about </w:t>
      </w:r>
      <w:r w:rsidR="00453F54">
        <w:rPr>
          <w:rFonts w:eastAsia="Lucida Sans Unicode"/>
        </w:rPr>
        <w:t>who is accessing services</w:t>
      </w:r>
      <w:r w:rsidR="00B95EF0">
        <w:rPr>
          <w:rFonts w:eastAsia="Lucida Sans Unicode"/>
        </w:rPr>
        <w:t>,</w:t>
      </w:r>
      <w:r w:rsidR="00453F54">
        <w:rPr>
          <w:rFonts w:eastAsia="Lucida Sans Unicode"/>
        </w:rPr>
        <w:t xml:space="preserve"> </w:t>
      </w:r>
      <w:r w:rsidRPr="00AA4E79">
        <w:rPr>
          <w:rFonts w:eastAsia="Lucida Sans Unicode"/>
        </w:rPr>
        <w:t xml:space="preserve">as the system is updated.  </w:t>
      </w:r>
    </w:p>
    <w:p w14:paraId="019FB7C5" w14:textId="77777777" w:rsidR="00DB373E" w:rsidRDefault="00DB373E" w:rsidP="00DB373E">
      <w:pPr>
        <w:rPr>
          <w:rFonts w:eastAsia="Lucida Sans Unicode"/>
        </w:rPr>
      </w:pPr>
    </w:p>
    <w:p w14:paraId="75C333CB" w14:textId="2E68B2CA" w:rsidR="00453F54" w:rsidRPr="00AA4E79" w:rsidRDefault="41662745" w:rsidP="00DB373E">
      <w:pPr>
        <w:rPr>
          <w:rFonts w:eastAsia="Lucida Sans Unicode"/>
        </w:rPr>
      </w:pPr>
      <w:r w:rsidRPr="00474468">
        <w:rPr>
          <w:rFonts w:eastAsia="Lucida Sans Unicode"/>
        </w:rPr>
        <w:t xml:space="preserve">We recognise there is significant diversity within each of these populations, and also significant crossover, for example, Māori and Pacific populations are youthful, more likely to have low incomes and disproportionately experience gambling harm. Disability is also associated with lower incomes. We also recognise that other groups are also vulnerable to gambling harm, for example people with disabilities, older people, and families on low incomes. The Ministry expects all funded services to be accessible and responsive to address the gambling harm-related needs of </w:t>
      </w:r>
      <w:r w:rsidR="000A1D2C" w:rsidRPr="00474468">
        <w:rPr>
          <w:rFonts w:eastAsia="Lucida Sans Unicode"/>
        </w:rPr>
        <w:t>everyone</w:t>
      </w:r>
      <w:r w:rsidRPr="00474468">
        <w:rPr>
          <w:rFonts w:eastAsia="Lucida Sans Unicode"/>
        </w:rPr>
        <w:t xml:space="preserve"> who needs them.</w:t>
      </w:r>
      <w:r w:rsidR="00453F54" w:rsidRPr="00474468">
        <w:rPr>
          <w:rFonts w:eastAsia="Lucida Sans Unicode"/>
        </w:rPr>
        <w:t xml:space="preserve"> </w:t>
      </w:r>
    </w:p>
    <w:p w14:paraId="02ADE2B1" w14:textId="77777777" w:rsidR="009616E5" w:rsidRDefault="009616E5" w:rsidP="009616E5">
      <w:pPr>
        <w:pStyle w:val="Heading3"/>
      </w:pPr>
      <w:r w:rsidRPr="00137722">
        <w:t>Forms of gambling associated with gambling harm</w:t>
      </w:r>
    </w:p>
    <w:p w14:paraId="63DE3FB2" w14:textId="72772D01" w:rsidR="009616E5" w:rsidRDefault="009616E5" w:rsidP="52103CC6">
      <w:pPr>
        <w:rPr>
          <w:rFonts w:asciiTheme="majorHAnsi" w:eastAsia="Lucida Sans Unicode" w:hAnsiTheme="majorHAnsi" w:cstheme="majorBidi"/>
          <w:i/>
          <w:iCs/>
          <w:color w:val="365F91" w:themeColor="accent1" w:themeShade="BF"/>
        </w:rPr>
      </w:pPr>
      <w:r w:rsidRPr="52103CC6">
        <w:rPr>
          <w:rFonts w:eastAsia="Arial Unicode MS"/>
        </w:rPr>
        <w:t xml:space="preserve">Evidence shows that harm is far more likely to be associated with continuous forms of gambling (those in which a gambler can immediately reinvest their winnings in further gambling) than other modes of gambling. </w:t>
      </w:r>
      <w:r w:rsidRPr="52103CC6">
        <w:rPr>
          <w:rFonts w:eastAsia="Lucida Sans Unicode"/>
        </w:rPr>
        <w:t>The common forms of continuous gambling are: gaming machines (in or separate from a casino), casino table games, scratchies (Instant Kiwi) and sports/race betting. Non-continuous forms include traditional lottery draws and raffles, as there is a delay of many hours or days between placing a stake or buying a ticket and receiving the result of a win or loss.</w:t>
      </w:r>
    </w:p>
    <w:p w14:paraId="603E6DA0" w14:textId="77777777" w:rsidR="009616E5" w:rsidRDefault="009616E5" w:rsidP="009616E5">
      <w:pPr>
        <w:pStyle w:val="Heading4"/>
      </w:pPr>
      <w:r>
        <w:t>Class 4 gambling (n</w:t>
      </w:r>
      <w:r w:rsidRPr="00137722">
        <w:t>on-casino gaming machines</w:t>
      </w:r>
      <w:r>
        <w:t>)</w:t>
      </w:r>
    </w:p>
    <w:p w14:paraId="56007B6D" w14:textId="034A00C5" w:rsidR="009616E5" w:rsidRDefault="009616E5" w:rsidP="52103CC6">
      <w:pPr>
        <w:rPr>
          <w:rFonts w:eastAsia="Lucida Sans Unicode"/>
        </w:rPr>
      </w:pPr>
      <w:r w:rsidRPr="52103CC6">
        <w:rPr>
          <w:rFonts w:eastAsia="Lucida Sans Unicode"/>
        </w:rPr>
        <w:t xml:space="preserve">A particularly harmful form of gambling in terms of player expenditure and presentations for help is non-casino gaming machines at pubs/clubs (defined in the Act as </w:t>
      </w:r>
      <w:r w:rsidR="0BA920D7" w:rsidRPr="52103CC6">
        <w:rPr>
          <w:rFonts w:eastAsia="Lucida Sans Unicode"/>
        </w:rPr>
        <w:t>C</w:t>
      </w:r>
      <w:r w:rsidRPr="52103CC6">
        <w:rPr>
          <w:rFonts w:eastAsia="Lucida Sans Unicode"/>
        </w:rPr>
        <w:t>lass 4 gambling). A large amount of the money spent on gambling in New Zealand comes from the relatively small number of people who play gaming machines.</w:t>
      </w:r>
      <w:r w:rsidRPr="52103CC6">
        <w:rPr>
          <w:rStyle w:val="FootnoteReference"/>
          <w:rFonts w:eastAsia="Lucida Sans Unicode"/>
        </w:rPr>
        <w:footnoteReference w:id="30"/>
      </w:r>
      <w:r w:rsidRPr="52103CC6">
        <w:rPr>
          <w:rFonts w:eastAsia="Lucida Sans Unicode"/>
        </w:rPr>
        <w:t xml:space="preserve"> Most people accessing gambling-harm intervention services cite pub or club pokies as the primary problem gambling mode. Around one in five people who have played pokies in a public pub or</w:t>
      </w:r>
      <w:r w:rsidRPr="52103CC6" w:rsidDel="00C552A5">
        <w:rPr>
          <w:rFonts w:eastAsia="Lucida Sans Unicode"/>
        </w:rPr>
        <w:t xml:space="preserve"> </w:t>
      </w:r>
      <w:r w:rsidRPr="52103CC6">
        <w:rPr>
          <w:rFonts w:eastAsia="Lucida Sans Unicode"/>
        </w:rPr>
        <w:t>club at least once in the past 12 months are at-risk gamblers. However, half of people who play pokies every month or almost every month are at-risk gamblers.</w:t>
      </w:r>
      <w:r w:rsidRPr="52103CC6">
        <w:rPr>
          <w:rStyle w:val="FootnoteReference"/>
          <w:rFonts w:eastAsia="Lucida Sans Unicode"/>
        </w:rPr>
        <w:footnoteReference w:id="31"/>
      </w:r>
    </w:p>
    <w:p w14:paraId="6B8BD871" w14:textId="77777777" w:rsidR="009616E5" w:rsidRDefault="009616E5" w:rsidP="009616E5">
      <w:pPr>
        <w:rPr>
          <w:rFonts w:eastAsia="Lucida Sans Unicode"/>
        </w:rPr>
      </w:pPr>
    </w:p>
    <w:p w14:paraId="6EFB4AB4" w14:textId="2E21DA1F" w:rsidR="009616E5" w:rsidRDefault="009616E5" w:rsidP="52103CC6">
      <w:pPr>
        <w:rPr>
          <w:rFonts w:eastAsia="Lucida Sans Unicode"/>
        </w:rPr>
      </w:pPr>
      <w:r w:rsidRPr="52103CC6">
        <w:rPr>
          <w:rFonts w:eastAsia="Lucida Sans Unicode"/>
        </w:rPr>
        <w:t xml:space="preserve">The number of </w:t>
      </w:r>
      <w:r w:rsidR="116CDBD8" w:rsidRPr="52103CC6">
        <w:rPr>
          <w:rFonts w:eastAsia="Lucida Sans Unicode"/>
        </w:rPr>
        <w:t>C</w:t>
      </w:r>
      <w:r w:rsidRPr="52103CC6">
        <w:rPr>
          <w:rFonts w:eastAsia="Lucida Sans Unicode"/>
        </w:rPr>
        <w:t xml:space="preserve">lass 4 machines and venues in New Zealand has been declining for some time; however, we are not seeing a commensurate drop in harm from </w:t>
      </w:r>
      <w:r w:rsidR="6B16C32B" w:rsidRPr="52103CC6">
        <w:rPr>
          <w:rFonts w:eastAsia="Lucida Sans Unicode"/>
        </w:rPr>
        <w:t>C</w:t>
      </w:r>
      <w:r w:rsidRPr="52103CC6">
        <w:rPr>
          <w:rFonts w:eastAsia="Lucida Sans Unicode"/>
        </w:rPr>
        <w:t xml:space="preserve">lass 4 gambling, and such machines and venues are more likely to be located in the most deprived communities, indicating that the harm is now more concentrated. As noted above, Māori have the highest rates of </w:t>
      </w:r>
      <w:r w:rsidR="523CF4C3" w:rsidRPr="52103CC6">
        <w:rPr>
          <w:rFonts w:eastAsia="Lucida Sans Unicode"/>
        </w:rPr>
        <w:t>C</w:t>
      </w:r>
      <w:r w:rsidR="1E593D6F" w:rsidRPr="52103CC6">
        <w:rPr>
          <w:rFonts w:eastAsia="Lucida Sans Unicode"/>
        </w:rPr>
        <w:t>l</w:t>
      </w:r>
      <w:r w:rsidRPr="52103CC6">
        <w:rPr>
          <w:rFonts w:eastAsia="Lucida Sans Unicode"/>
        </w:rPr>
        <w:t xml:space="preserve">ass 4 gambling, and there is a higher (although falling) prevalence of </w:t>
      </w:r>
      <w:r w:rsidR="4A372508" w:rsidRPr="52103CC6">
        <w:rPr>
          <w:rFonts w:eastAsia="Lucida Sans Unicode"/>
        </w:rPr>
        <w:t>C</w:t>
      </w:r>
      <w:r w:rsidRPr="52103CC6">
        <w:rPr>
          <w:rFonts w:eastAsia="Lucida Sans Unicode"/>
        </w:rPr>
        <w:t>lass 4 venues in high-deprivation areas.</w:t>
      </w:r>
      <w:r w:rsidRPr="52103CC6">
        <w:rPr>
          <w:rStyle w:val="FootnoteReference"/>
          <w:rFonts w:eastAsia="Lucida Sans Unicode"/>
        </w:rPr>
        <w:footnoteReference w:id="32"/>
      </w:r>
      <w:r w:rsidRPr="52103CC6">
        <w:rPr>
          <w:rFonts w:eastAsia="Lucida Sans Unicode"/>
        </w:rPr>
        <w:t xml:space="preserve"> These factors combine to substantially increase risk and harm to Māori. </w:t>
      </w:r>
    </w:p>
    <w:p w14:paraId="396DCBB5" w14:textId="77777777" w:rsidR="009616E5" w:rsidRDefault="009616E5" w:rsidP="009616E5">
      <w:pPr>
        <w:pStyle w:val="Heading4"/>
      </w:pPr>
      <w:r>
        <w:t>Online gambling</w:t>
      </w:r>
    </w:p>
    <w:p w14:paraId="13E214EB" w14:textId="5816B35C" w:rsidR="00BC52B1" w:rsidRDefault="009616E5">
      <w:pPr>
        <w:rPr>
          <w:rFonts w:eastAsia="Lucida Sans Unicode"/>
        </w:rPr>
      </w:pPr>
      <w:r w:rsidRPr="0058425B">
        <w:rPr>
          <w:rFonts w:eastAsia="Lucida Sans Unicode"/>
        </w:rPr>
        <w:t xml:space="preserve">In the </w:t>
      </w:r>
      <w:r w:rsidR="009C4005" w:rsidRPr="52103CC6">
        <w:rPr>
          <w:rFonts w:eastAsia="Lucida Sans Unicode"/>
        </w:rPr>
        <w:t>2023/24 NZGS</w:t>
      </w:r>
      <w:r w:rsidRPr="52103CC6">
        <w:rPr>
          <w:rFonts w:eastAsia="Lucida Sans Unicode"/>
        </w:rPr>
        <w:t xml:space="preserve">, of the </w:t>
      </w:r>
      <w:r w:rsidR="008B4E41" w:rsidRPr="52103CC6">
        <w:rPr>
          <w:rFonts w:eastAsia="Lucida Sans Unicode"/>
        </w:rPr>
        <w:t>156,000</w:t>
      </w:r>
      <w:r w:rsidRPr="52103CC6">
        <w:rPr>
          <w:rFonts w:eastAsia="Lucida Sans Unicode"/>
        </w:rPr>
        <w:t xml:space="preserve"> adults estimated to gamble with offshore providers, approximately </w:t>
      </w:r>
      <w:r w:rsidR="00320861" w:rsidRPr="52103CC6">
        <w:rPr>
          <w:rFonts w:eastAsia="Lucida Sans Unicode"/>
        </w:rPr>
        <w:t>3</w:t>
      </w:r>
      <w:r w:rsidR="00221384">
        <w:rPr>
          <w:rFonts w:eastAsia="Lucida Sans Unicode"/>
        </w:rPr>
        <w:t>4</w:t>
      </w:r>
      <w:r w:rsidR="00320861" w:rsidRPr="52103CC6">
        <w:rPr>
          <w:rFonts w:eastAsia="Lucida Sans Unicode"/>
        </w:rPr>
        <w:t>,000</w:t>
      </w:r>
      <w:r w:rsidRPr="52103CC6">
        <w:rPr>
          <w:rFonts w:eastAsia="Lucida Sans Unicode"/>
        </w:rPr>
        <w:t xml:space="preserve"> (</w:t>
      </w:r>
      <w:r w:rsidR="00035131" w:rsidRPr="52103CC6">
        <w:rPr>
          <w:rFonts w:eastAsia="Lucida Sans Unicode"/>
        </w:rPr>
        <w:t>2</w:t>
      </w:r>
      <w:r w:rsidR="007706FE">
        <w:rPr>
          <w:rFonts w:eastAsia="Lucida Sans Unicode"/>
        </w:rPr>
        <w:t>1.8</w:t>
      </w:r>
      <w:r w:rsidR="00035131" w:rsidRPr="52103CC6">
        <w:rPr>
          <w:rFonts w:eastAsia="Lucida Sans Unicode"/>
        </w:rPr>
        <w:t>%</w:t>
      </w:r>
      <w:r w:rsidRPr="52103CC6">
        <w:rPr>
          <w:rFonts w:eastAsia="Lucida Sans Unicode"/>
        </w:rPr>
        <w:t xml:space="preserve">) were classified as moderate-risk or </w:t>
      </w:r>
      <w:r w:rsidR="00035131" w:rsidRPr="52103CC6">
        <w:rPr>
          <w:rFonts w:eastAsia="Lucida Sans Unicode"/>
        </w:rPr>
        <w:t>high-risk</w:t>
      </w:r>
      <w:r w:rsidRPr="52103CC6">
        <w:rPr>
          <w:rFonts w:eastAsia="Lucida Sans Unicode"/>
        </w:rPr>
        <w:t xml:space="preserve"> gamblers, while a further </w:t>
      </w:r>
      <w:r w:rsidR="00035131" w:rsidRPr="52103CC6">
        <w:rPr>
          <w:rFonts w:eastAsia="Lucida Sans Unicode"/>
        </w:rPr>
        <w:t>33,000</w:t>
      </w:r>
      <w:r w:rsidRPr="52103CC6">
        <w:rPr>
          <w:rFonts w:eastAsia="Lucida Sans Unicode"/>
        </w:rPr>
        <w:t xml:space="preserve"> (</w:t>
      </w:r>
      <w:r w:rsidR="00035131" w:rsidRPr="52103CC6">
        <w:rPr>
          <w:rFonts w:eastAsia="Lucida Sans Unicode"/>
        </w:rPr>
        <w:t>21.2%</w:t>
      </w:r>
      <w:r w:rsidRPr="52103CC6">
        <w:rPr>
          <w:rFonts w:eastAsia="Lucida Sans Unicode"/>
        </w:rPr>
        <w:t>) were classified as low-risk gamblers. Compared with other forms of gambling surveyed, overseas online gamblers were more likely to experience harm from their gambling. This is in line with evidence from the United Kingdom, which found that at-risk gamblers participated in online gambling at double the rate of the general population.</w:t>
      </w:r>
      <w:r w:rsidRPr="52103CC6">
        <w:rPr>
          <w:rStyle w:val="FootnoteReference"/>
          <w:rFonts w:eastAsia="Lucida Sans Unicode"/>
        </w:rPr>
        <w:footnoteReference w:id="33"/>
      </w:r>
      <w:r w:rsidRPr="52103CC6">
        <w:rPr>
          <w:rFonts w:eastAsia="Lucida Sans Unicode"/>
        </w:rPr>
        <w:t xml:space="preserve"> </w:t>
      </w:r>
      <w:r w:rsidR="003A269A" w:rsidRPr="52103CC6">
        <w:rPr>
          <w:rFonts w:eastAsia="Lucida Sans Unicode"/>
        </w:rPr>
        <w:t>A similar pattern was observed in a meta</w:t>
      </w:r>
      <w:r w:rsidR="5DF19A97" w:rsidRPr="52103CC6">
        <w:rPr>
          <w:rFonts w:eastAsia="Lucida Sans Unicode"/>
        </w:rPr>
        <w:t>-</w:t>
      </w:r>
      <w:r w:rsidR="003A269A" w:rsidRPr="52103CC6">
        <w:rPr>
          <w:rFonts w:eastAsia="Lucida Sans Unicode"/>
        </w:rPr>
        <w:t xml:space="preserve">analysis of </w:t>
      </w:r>
      <w:r w:rsidR="00FF24E5" w:rsidRPr="52103CC6">
        <w:rPr>
          <w:rFonts w:eastAsia="Lucida Sans Unicode"/>
        </w:rPr>
        <w:t>international research</w:t>
      </w:r>
      <w:r w:rsidR="003A269A" w:rsidRPr="52103CC6">
        <w:rPr>
          <w:rFonts w:eastAsia="Lucida Sans Unicode"/>
        </w:rPr>
        <w:t xml:space="preserve">, that found at risk </w:t>
      </w:r>
      <w:r w:rsidR="00CE1B88" w:rsidRPr="52103CC6">
        <w:rPr>
          <w:rFonts w:eastAsia="Lucida Sans Unicode"/>
        </w:rPr>
        <w:t xml:space="preserve">problem gambling </w:t>
      </w:r>
      <w:r w:rsidR="00FF24E5" w:rsidRPr="52103CC6">
        <w:rPr>
          <w:rFonts w:eastAsia="Lucida Sans Unicode"/>
        </w:rPr>
        <w:t xml:space="preserve">prevalence rates for online </w:t>
      </w:r>
      <w:r w:rsidR="00555149" w:rsidRPr="52103CC6">
        <w:rPr>
          <w:rFonts w:eastAsia="Lucida Sans Unicode"/>
        </w:rPr>
        <w:t xml:space="preserve">modes </w:t>
      </w:r>
      <w:r w:rsidR="003A269A" w:rsidRPr="52103CC6">
        <w:rPr>
          <w:rFonts w:eastAsia="Lucida Sans Unicode"/>
        </w:rPr>
        <w:t xml:space="preserve">were </w:t>
      </w:r>
      <w:r w:rsidR="00FF24E5" w:rsidRPr="52103CC6">
        <w:rPr>
          <w:rFonts w:eastAsia="Lucida Sans Unicode"/>
        </w:rPr>
        <w:t xml:space="preserve">higher than for </w:t>
      </w:r>
      <w:r w:rsidR="00555149" w:rsidRPr="52103CC6">
        <w:rPr>
          <w:rFonts w:eastAsia="Lucida Sans Unicode"/>
        </w:rPr>
        <w:t>in</w:t>
      </w:r>
      <w:r w:rsidR="01E1BF4F" w:rsidRPr="52103CC6">
        <w:rPr>
          <w:rFonts w:eastAsia="Lucida Sans Unicode"/>
        </w:rPr>
        <w:t>-</w:t>
      </w:r>
      <w:r w:rsidR="00555149" w:rsidRPr="52103CC6">
        <w:rPr>
          <w:rFonts w:eastAsia="Lucida Sans Unicode"/>
        </w:rPr>
        <w:t>person gambling.</w:t>
      </w:r>
      <w:r w:rsidR="00245047">
        <w:rPr>
          <w:rStyle w:val="FootnoteReference"/>
          <w:rFonts w:eastAsia="Lucida Sans Unicode"/>
        </w:rPr>
        <w:footnoteReference w:id="34"/>
      </w:r>
      <w:r w:rsidR="00BC52B1">
        <w:rPr>
          <w:rFonts w:eastAsia="Lucida Sans Unicode"/>
        </w:rPr>
        <w:br w:type="page"/>
      </w:r>
    </w:p>
    <w:p w14:paraId="67E15ABF" w14:textId="3ED463B1" w:rsidR="00685496" w:rsidRPr="00FA3285" w:rsidRDefault="00685496" w:rsidP="00685496">
      <w:pPr>
        <w:pStyle w:val="Heading1"/>
      </w:pPr>
      <w:bookmarkStart w:id="9" w:name="_Toc197534188"/>
      <w:r w:rsidRPr="00FA3285">
        <w:lastRenderedPageBreak/>
        <w:t>Appendix Two: Roles and responsibilities</w:t>
      </w:r>
      <w:bookmarkEnd w:id="9"/>
    </w:p>
    <w:p w14:paraId="4B633F9B" w14:textId="5A929926" w:rsidR="00685496" w:rsidRPr="00BF4032" w:rsidRDefault="00685496" w:rsidP="00685496">
      <w:pPr>
        <w:pStyle w:val="Heading2"/>
      </w:pPr>
      <w:bookmarkStart w:id="10" w:name="_Toc197534189"/>
      <w:r w:rsidRPr="00BF4032">
        <w:t>The Ministry of Health</w:t>
      </w:r>
      <w:r>
        <w:t xml:space="preserve"> </w:t>
      </w:r>
      <w:r w:rsidR="006D1437">
        <w:t>–</w:t>
      </w:r>
      <w:r>
        <w:t xml:space="preserve"> Manatū Hauora</w:t>
      </w:r>
      <w:bookmarkEnd w:id="10"/>
      <w:r>
        <w:t xml:space="preserve"> </w:t>
      </w:r>
    </w:p>
    <w:p w14:paraId="398BFE91" w14:textId="5E66018B" w:rsidR="00685496" w:rsidRDefault="00685496" w:rsidP="52103CC6">
      <w:pPr>
        <w:rPr>
          <w:rFonts w:eastAsia="Lucida Sans Unicode"/>
        </w:rPr>
      </w:pPr>
      <w:r w:rsidRPr="52103CC6">
        <w:rPr>
          <w:rFonts w:eastAsia="Lucida Sans Unicode"/>
        </w:rPr>
        <w:t>The Ministry is responsible for developing the integrated problem gambling strategy - the Strategy</w:t>
      </w:r>
      <w:r w:rsidRPr="52103CC6">
        <w:t xml:space="preserve"> to Prevent and Minimise Gambling Harm (the Strategy)</w:t>
      </w:r>
      <w:r w:rsidRPr="52103CC6">
        <w:rPr>
          <w:rFonts w:eastAsia="Lucida Sans Unicode"/>
        </w:rPr>
        <w:t xml:space="preserve">. The Ministry monitors progress against the </w:t>
      </w:r>
      <w:r w:rsidR="399D3496" w:rsidRPr="52103CC6">
        <w:rPr>
          <w:rFonts w:eastAsia="Lucida Sans Unicode"/>
        </w:rPr>
        <w:t>S</w:t>
      </w:r>
      <w:r w:rsidRPr="52103CC6">
        <w:rPr>
          <w:rFonts w:eastAsia="Lucida Sans Unicode"/>
        </w:rPr>
        <w:t xml:space="preserve">trategy, provides policy advice on preventing and minimising gambling harm, and conducts research about gambling to learn more and identify approaches that will work best to address gambling harm. </w:t>
      </w:r>
    </w:p>
    <w:p w14:paraId="4AB1D1AC" w14:textId="77777777" w:rsidR="00685496" w:rsidRDefault="00685496" w:rsidP="00685496">
      <w:pPr>
        <w:rPr>
          <w:rFonts w:eastAsia="Lucida Sans Unicode"/>
        </w:rPr>
      </w:pPr>
    </w:p>
    <w:p w14:paraId="22C59AE3" w14:textId="24539904" w:rsidR="00685496" w:rsidRDefault="00685496" w:rsidP="52103CC6">
      <w:pPr>
        <w:rPr>
          <w:rFonts w:eastAsia="Lucida Sans Unicode"/>
        </w:rPr>
      </w:pPr>
      <w:r w:rsidRPr="52103CC6">
        <w:rPr>
          <w:rFonts w:eastAsia="Lucida Sans Unicode"/>
        </w:rPr>
        <w:t xml:space="preserve">The annual and three-year funding requirements to deliver the Strategy are outlined in the service plan incorporated in the Strategy, which has been developed with input by Health New Zealand on the public health, treatment and evaluation components of the service plan for the first time this year. The cost estimates for developing and implementing the </w:t>
      </w:r>
      <w:r w:rsidR="5443F21B" w:rsidRPr="52103CC6">
        <w:rPr>
          <w:rFonts w:eastAsia="Lucida Sans Unicode"/>
        </w:rPr>
        <w:t>S</w:t>
      </w:r>
      <w:r w:rsidRPr="52103CC6">
        <w:rPr>
          <w:rFonts w:eastAsia="Lucida Sans Unicode"/>
        </w:rPr>
        <w:t>trategy are used to calculate the problem gambling levy rates.</w:t>
      </w:r>
    </w:p>
    <w:p w14:paraId="11D3C36B" w14:textId="77777777" w:rsidR="00685496" w:rsidRDefault="00685496" w:rsidP="00685496">
      <w:pPr>
        <w:rPr>
          <w:rFonts w:eastAsia="Lucida Sans Unicode"/>
        </w:rPr>
      </w:pPr>
    </w:p>
    <w:p w14:paraId="03FCA841" w14:textId="5099CE74" w:rsidR="00685496" w:rsidRDefault="00685496" w:rsidP="52103CC6">
      <w:pPr>
        <w:rPr>
          <w:rFonts w:eastAsia="Lucida Sans Unicode"/>
        </w:rPr>
      </w:pPr>
      <w:r w:rsidRPr="52103CC6">
        <w:rPr>
          <w:rFonts w:eastAsia="Lucida Sans Unicode"/>
        </w:rPr>
        <w:t xml:space="preserve">The Ministry and Health New Zealand receive funding through Vote Health to develop and implement the </w:t>
      </w:r>
      <w:r w:rsidR="215FDCC2" w:rsidRPr="52103CC6">
        <w:rPr>
          <w:rFonts w:eastAsia="Lucida Sans Unicode"/>
        </w:rPr>
        <w:t>S</w:t>
      </w:r>
      <w:r w:rsidRPr="52103CC6">
        <w:rPr>
          <w:rFonts w:eastAsia="Lucida Sans Unicode"/>
        </w:rPr>
        <w:t>trategy. The Crown then recovers the cost of this appropriation through a problem gambling levy set on four types of gambling: Lotto NZ, TAB NZ, casinos and non-casino gambling machines (Class 4).</w:t>
      </w:r>
    </w:p>
    <w:p w14:paraId="0ECF8AED" w14:textId="4A2296FF" w:rsidR="00685496" w:rsidRPr="00030953" w:rsidRDefault="00685496" w:rsidP="00685496">
      <w:pPr>
        <w:pStyle w:val="Heading2"/>
      </w:pPr>
      <w:bookmarkStart w:id="11" w:name="_Toc197534190"/>
      <w:r w:rsidRPr="00030953">
        <w:t xml:space="preserve">Health New Zealand </w:t>
      </w:r>
      <w:r w:rsidR="006D1437">
        <w:t>–</w:t>
      </w:r>
      <w:r w:rsidRPr="00030953">
        <w:t xml:space="preserve"> Te Whatu Ora</w:t>
      </w:r>
      <w:bookmarkEnd w:id="11"/>
    </w:p>
    <w:p w14:paraId="4B115A3F" w14:textId="77777777" w:rsidR="00685496" w:rsidRDefault="00685496" w:rsidP="52103CC6">
      <w:pPr>
        <w:rPr>
          <w:rFonts w:eastAsia="Lucida Sans Unicode"/>
        </w:rPr>
      </w:pPr>
      <w:r w:rsidRPr="52103CC6">
        <w:rPr>
          <w:rFonts w:eastAsia="Lucida Sans Unicode"/>
        </w:rPr>
        <w:t>Health New Zealand was established under the Pae Ora (Healthy Futures) Act 2022 as the national organisation to lead and coordinate delivery of health services across the country. It is the commissioner and in some cases the deliverer of the services mandated by the Strategy and funded by the levy.</w:t>
      </w:r>
    </w:p>
    <w:p w14:paraId="73C00CE8" w14:textId="77777777" w:rsidR="00685496" w:rsidRDefault="00685496" w:rsidP="00685496">
      <w:pPr>
        <w:rPr>
          <w:rFonts w:eastAsia="Lucida Sans Unicode"/>
        </w:rPr>
      </w:pPr>
    </w:p>
    <w:p w14:paraId="29BC214F" w14:textId="5FEDB2DA" w:rsidR="00685496" w:rsidRDefault="00685496" w:rsidP="71C812E5">
      <w:pPr>
        <w:rPr>
          <w:rFonts w:eastAsia="Lucida Sans Unicode"/>
        </w:rPr>
      </w:pPr>
      <w:r w:rsidRPr="71C812E5">
        <w:rPr>
          <w:rFonts w:eastAsia="Lucida Sans Unicode"/>
        </w:rPr>
        <w:t xml:space="preserve">Health New Zealand </w:t>
      </w:r>
      <w:r w:rsidR="007F7D11">
        <w:rPr>
          <w:rFonts w:eastAsia="Lucida Sans Unicode"/>
        </w:rPr>
        <w:t xml:space="preserve">| </w:t>
      </w:r>
      <w:r w:rsidRPr="71C812E5">
        <w:rPr>
          <w:rFonts w:eastAsia="Lucida Sans Unicode"/>
        </w:rPr>
        <w:t>Health Promotion (previously Te Hiringa Hauora | Health Promotion Agency) is now part of the National Public Health Service, which is part of Health New Zealand. Health Promotion delivers national health promotion activities.</w:t>
      </w:r>
    </w:p>
    <w:p w14:paraId="3156A572" w14:textId="77777777" w:rsidR="00685496" w:rsidRPr="00BF4032" w:rsidRDefault="00685496" w:rsidP="00685496">
      <w:pPr>
        <w:pStyle w:val="Heading2"/>
      </w:pPr>
      <w:bookmarkStart w:id="12" w:name="_Toc197534191"/>
      <w:r w:rsidRPr="00BF4032">
        <w:t>Department of Internal Affairs</w:t>
      </w:r>
      <w:bookmarkEnd w:id="12"/>
      <w:r w:rsidRPr="00BF4032">
        <w:tab/>
      </w:r>
    </w:p>
    <w:p w14:paraId="6415E6C5" w14:textId="59491377" w:rsidR="00685496" w:rsidRPr="0071237A" w:rsidRDefault="00685496" w:rsidP="00685496">
      <w:r w:rsidRPr="0071237A">
        <w:t>DIA is the main gambling regulator and policy advisor to the government on gambling</w:t>
      </w:r>
      <w:r>
        <w:t xml:space="preserve"> </w:t>
      </w:r>
      <w:r w:rsidRPr="0071237A">
        <w:t xml:space="preserve">regulatory issues. DIA administers the </w:t>
      </w:r>
      <w:r>
        <w:t xml:space="preserve">Gambling </w:t>
      </w:r>
      <w:r w:rsidRPr="0071237A">
        <w:t xml:space="preserve">Act </w:t>
      </w:r>
      <w:r>
        <w:t xml:space="preserve">2003 (the Act) </w:t>
      </w:r>
      <w:r w:rsidRPr="0071237A">
        <w:t>and its regulations. DIA’s role includes key</w:t>
      </w:r>
      <w:r>
        <w:t xml:space="preserve"> </w:t>
      </w:r>
      <w:r w:rsidRPr="0071237A">
        <w:t>regulatory aspects of gambling harm prevention and minimisation, including:</w:t>
      </w:r>
    </w:p>
    <w:p w14:paraId="37430409" w14:textId="0298844B" w:rsidR="00685496" w:rsidRPr="00FA3285" w:rsidRDefault="00685496" w:rsidP="00685496">
      <w:pPr>
        <w:pStyle w:val="Bullet"/>
        <w:rPr>
          <w:rFonts w:eastAsia="Lucida Sans Unicode"/>
        </w:rPr>
      </w:pPr>
      <w:r w:rsidRPr="00DE5EAC">
        <w:rPr>
          <w:rFonts w:eastAsia="Lucida Sans Unicode"/>
          <w:szCs w:val="21"/>
        </w:rPr>
        <w:t xml:space="preserve">issuing </w:t>
      </w:r>
      <w:r w:rsidR="00F16FC4" w:rsidRPr="00524CBA">
        <w:rPr>
          <w:rFonts w:eastAsia="Lucida Sans Unicode"/>
          <w:szCs w:val="21"/>
        </w:rPr>
        <w:t>Class 3 and Class 4</w:t>
      </w:r>
      <w:r w:rsidR="00F16FC4" w:rsidRPr="00DE5EAC">
        <w:rPr>
          <w:rFonts w:eastAsia="Lucida Sans Unicode"/>
          <w:szCs w:val="21"/>
        </w:rPr>
        <w:t xml:space="preserve"> </w:t>
      </w:r>
      <w:r w:rsidRPr="00DE5EAC">
        <w:rPr>
          <w:rFonts w:eastAsia="Lucida Sans Unicode"/>
          <w:szCs w:val="21"/>
        </w:rPr>
        <w:t>lic</w:t>
      </w:r>
      <w:r w:rsidRPr="00FA3285">
        <w:rPr>
          <w:rFonts w:eastAsia="Lucida Sans Unicode"/>
        </w:rPr>
        <w:t>ences for gambling activities</w:t>
      </w:r>
    </w:p>
    <w:p w14:paraId="20FE9966" w14:textId="77777777" w:rsidR="00685496" w:rsidRPr="00FA3285" w:rsidRDefault="00685496" w:rsidP="71C812E5">
      <w:pPr>
        <w:pStyle w:val="Bullet"/>
        <w:rPr>
          <w:rFonts w:eastAsia="Lucida Sans Unicode"/>
        </w:rPr>
      </w:pPr>
      <w:r w:rsidRPr="71C812E5">
        <w:rPr>
          <w:rFonts w:eastAsia="Lucida Sans Unicode"/>
        </w:rPr>
        <w:lastRenderedPageBreak/>
        <w:t>regulating gambling operators to ensure that they comply with the law, for example inspecting gambling venues to assess whether the required harm minimisation provisions are being implemented</w:t>
      </w:r>
    </w:p>
    <w:p w14:paraId="624FA682" w14:textId="64E0F559" w:rsidR="00685496" w:rsidRPr="00FA3285" w:rsidRDefault="00685496" w:rsidP="00685496">
      <w:pPr>
        <w:pStyle w:val="Bullet"/>
        <w:rPr>
          <w:rFonts w:eastAsia="Lucida Sans Unicode"/>
        </w:rPr>
      </w:pPr>
      <w:r w:rsidRPr="00FA3285">
        <w:rPr>
          <w:rFonts w:eastAsia="Lucida Sans Unicode"/>
        </w:rPr>
        <w:t xml:space="preserve">working with the </w:t>
      </w:r>
      <w:r w:rsidR="00FA3BD1" w:rsidRPr="00FA3285">
        <w:rPr>
          <w:rFonts w:eastAsia="Lucida Sans Unicode"/>
        </w:rPr>
        <w:t>gambling sector</w:t>
      </w:r>
      <w:r w:rsidRPr="00FA3285">
        <w:rPr>
          <w:rFonts w:eastAsia="Lucida Sans Unicode"/>
        </w:rPr>
        <w:t xml:space="preserve"> to encourage best practice</w:t>
      </w:r>
    </w:p>
    <w:p w14:paraId="24B3BBDE" w14:textId="77777777" w:rsidR="00685496" w:rsidRPr="00FA3285" w:rsidRDefault="00685496" w:rsidP="00685496">
      <w:pPr>
        <w:pStyle w:val="Bullet"/>
        <w:rPr>
          <w:rFonts w:eastAsia="Lucida Sans Unicode"/>
        </w:rPr>
      </w:pPr>
      <w:r w:rsidRPr="00FA3285">
        <w:rPr>
          <w:rFonts w:eastAsia="Lucida Sans Unicode"/>
        </w:rPr>
        <w:t>publishing gambling data, for example on expenditure.</w:t>
      </w:r>
    </w:p>
    <w:p w14:paraId="1E3B0A0B" w14:textId="77777777" w:rsidR="00685496" w:rsidRDefault="00685496" w:rsidP="00685496"/>
    <w:p w14:paraId="59FD0C08" w14:textId="26FCF334" w:rsidR="00685496" w:rsidRPr="0002275E" w:rsidRDefault="00685496" w:rsidP="00685496">
      <w:r>
        <w:t>Examples</w:t>
      </w:r>
      <w:r w:rsidR="000A7A6C">
        <w:t xml:space="preserve"> of</w:t>
      </w:r>
      <w:r w:rsidRPr="0FD73C6D">
        <w:t xml:space="preserve"> the harm prevention and minimisation</w:t>
      </w:r>
      <w:r>
        <w:t xml:space="preserve"> activities</w:t>
      </w:r>
      <w:r w:rsidRPr="0FD73C6D">
        <w:t xml:space="preserve"> </w:t>
      </w:r>
      <w:r>
        <w:t xml:space="preserve">required by regulation </w:t>
      </w:r>
      <w:r w:rsidRPr="0FD73C6D">
        <w:t>include:</w:t>
      </w:r>
    </w:p>
    <w:p w14:paraId="5BC3660C" w14:textId="5977C490" w:rsidR="00685496" w:rsidRPr="00FA3285" w:rsidRDefault="52A82565" w:rsidP="00685496">
      <w:pPr>
        <w:pStyle w:val="Bullet"/>
        <w:rPr>
          <w:rFonts w:eastAsia="Lucida Sans Unicode"/>
        </w:rPr>
      </w:pPr>
      <w:r w:rsidRPr="1E2DDDDA">
        <w:rPr>
          <w:rFonts w:eastAsia="Lucida Sans Unicode"/>
        </w:rPr>
        <w:t>r</w:t>
      </w:r>
      <w:r w:rsidR="00685496" w:rsidRPr="00FA3285">
        <w:rPr>
          <w:rFonts w:eastAsia="Lucida Sans Unicode"/>
        </w:rPr>
        <w:t>estrictions on venues, including ATM machine location</w:t>
      </w:r>
    </w:p>
    <w:p w14:paraId="722EBDB6" w14:textId="62BCBC86" w:rsidR="00685496" w:rsidRPr="00FA3285" w:rsidRDefault="3EDF4893" w:rsidP="00685496">
      <w:pPr>
        <w:pStyle w:val="Bullet"/>
        <w:rPr>
          <w:rFonts w:eastAsia="Lucida Sans Unicode"/>
        </w:rPr>
      </w:pPr>
      <w:r w:rsidRPr="1E2DDDDA">
        <w:rPr>
          <w:rFonts w:eastAsia="Lucida Sans Unicode"/>
        </w:rPr>
        <w:t>s</w:t>
      </w:r>
      <w:r w:rsidR="00685496" w:rsidRPr="00FA3285">
        <w:rPr>
          <w:rFonts w:eastAsia="Lucida Sans Unicode"/>
        </w:rPr>
        <w:t>take and prize limits</w:t>
      </w:r>
    </w:p>
    <w:p w14:paraId="1D85381C" w14:textId="7D995650" w:rsidR="00685496" w:rsidRPr="00FA3285" w:rsidRDefault="3ADF35D8" w:rsidP="00685496">
      <w:pPr>
        <w:pStyle w:val="Bullet"/>
        <w:rPr>
          <w:rFonts w:eastAsia="Lucida Sans Unicode"/>
        </w:rPr>
      </w:pPr>
      <w:r w:rsidRPr="1E2DDDDA">
        <w:rPr>
          <w:rFonts w:eastAsia="Lucida Sans Unicode"/>
        </w:rPr>
        <w:t>r</w:t>
      </w:r>
      <w:r w:rsidR="00685496" w:rsidRPr="00FA3285">
        <w:rPr>
          <w:rFonts w:eastAsia="Lucida Sans Unicode"/>
        </w:rPr>
        <w:t>estrictions on jackpot advertising and branding</w:t>
      </w:r>
    </w:p>
    <w:p w14:paraId="1AC64239" w14:textId="7E914201" w:rsidR="00685496" w:rsidRPr="00FA3285" w:rsidRDefault="49787002" w:rsidP="00685496">
      <w:pPr>
        <w:pStyle w:val="Bullet"/>
        <w:rPr>
          <w:rFonts w:eastAsia="Lucida Sans Unicode"/>
        </w:rPr>
      </w:pPr>
      <w:r w:rsidRPr="1E2DDDDA">
        <w:rPr>
          <w:rFonts w:eastAsia="Lucida Sans Unicode"/>
        </w:rPr>
        <w:t>r</w:t>
      </w:r>
      <w:r w:rsidR="00685496" w:rsidRPr="00FA3285">
        <w:rPr>
          <w:rFonts w:eastAsia="Lucida Sans Unicode"/>
        </w:rPr>
        <w:t>equirements for venues to provide information about problem gambling</w:t>
      </w:r>
    </w:p>
    <w:p w14:paraId="3A9FBD8A" w14:textId="259E25D0" w:rsidR="00685496" w:rsidRPr="00FA3285" w:rsidRDefault="292F9D4B" w:rsidP="00685496">
      <w:pPr>
        <w:pStyle w:val="Bullet"/>
        <w:rPr>
          <w:rFonts w:eastAsia="Lucida Sans Unicode"/>
        </w:rPr>
      </w:pPr>
      <w:r w:rsidRPr="1E2DDDDA">
        <w:rPr>
          <w:rFonts w:eastAsia="Lucida Sans Unicode"/>
        </w:rPr>
        <w:t>g</w:t>
      </w:r>
      <w:r w:rsidR="00685496" w:rsidRPr="00FA3285">
        <w:rPr>
          <w:rFonts w:eastAsia="Lucida Sans Unicode"/>
        </w:rPr>
        <w:t>ambling area sweep requirements</w:t>
      </w:r>
    </w:p>
    <w:p w14:paraId="1D373C37" w14:textId="3F1D635F" w:rsidR="00685496" w:rsidRPr="00FA3285" w:rsidRDefault="64ADEA94" w:rsidP="00685496">
      <w:pPr>
        <w:pStyle w:val="Bullet"/>
        <w:rPr>
          <w:rFonts w:eastAsia="Lucida Sans Unicode"/>
        </w:rPr>
      </w:pPr>
      <w:r w:rsidRPr="1E2DDDDA">
        <w:rPr>
          <w:rFonts w:eastAsia="Lucida Sans Unicode"/>
        </w:rPr>
        <w:t>i</w:t>
      </w:r>
      <w:r w:rsidR="00685496" w:rsidRPr="00FA3285">
        <w:rPr>
          <w:rFonts w:eastAsia="Lucida Sans Unicode"/>
        </w:rPr>
        <w:t xml:space="preserve">dentification of signs of harm and record keeping </w:t>
      </w:r>
    </w:p>
    <w:p w14:paraId="6B0DBEBA" w14:textId="6579FFF0" w:rsidR="00685496" w:rsidRPr="00FA3285" w:rsidRDefault="3C80F8F5" w:rsidP="00685496">
      <w:pPr>
        <w:pStyle w:val="Bullet"/>
        <w:rPr>
          <w:rFonts w:eastAsia="Lucida Sans Unicode"/>
        </w:rPr>
      </w:pPr>
      <w:r w:rsidRPr="1E2DDDDA">
        <w:rPr>
          <w:rFonts w:eastAsia="Lucida Sans Unicode"/>
        </w:rPr>
        <w:t>list</w:t>
      </w:r>
      <w:r w:rsidR="00685496" w:rsidRPr="00FA3285">
        <w:rPr>
          <w:rFonts w:eastAsia="Lucida Sans Unicode"/>
        </w:rPr>
        <w:t xml:space="preserve"> of the signs of harm </w:t>
      </w:r>
    </w:p>
    <w:p w14:paraId="4D17695D" w14:textId="145C7E85" w:rsidR="008E7A5E" w:rsidRPr="00FA3285" w:rsidRDefault="78C5FBDF" w:rsidP="008E7A5E">
      <w:pPr>
        <w:pStyle w:val="Bullet"/>
        <w:rPr>
          <w:rFonts w:eastAsia="Lucida Sans Unicode"/>
        </w:rPr>
      </w:pPr>
      <w:r w:rsidRPr="1E2DDDDA">
        <w:rPr>
          <w:rFonts w:eastAsia="Lucida Sans Unicode"/>
        </w:rPr>
        <w:t>p</w:t>
      </w:r>
      <w:r w:rsidR="008E7A5E" w:rsidRPr="00FA3285">
        <w:rPr>
          <w:rFonts w:eastAsia="Lucida Sans Unicode"/>
        </w:rPr>
        <w:t>layer information displays and pop-up message requirements for Class 4 electronic gaming machines (EGM)s</w:t>
      </w:r>
    </w:p>
    <w:p w14:paraId="4ADA3272" w14:textId="3B6E701C" w:rsidR="008E7A5E" w:rsidRPr="00FA3285" w:rsidRDefault="18E89A6F" w:rsidP="008E7A5E">
      <w:pPr>
        <w:pStyle w:val="Bullet"/>
        <w:rPr>
          <w:rFonts w:eastAsia="Lucida Sans Unicode"/>
        </w:rPr>
      </w:pPr>
      <w:r w:rsidRPr="1E2DDDDA">
        <w:rPr>
          <w:rFonts w:eastAsia="Lucida Sans Unicode"/>
        </w:rPr>
        <w:t>r</w:t>
      </w:r>
      <w:r w:rsidR="008E7A5E" w:rsidRPr="00FA3285">
        <w:rPr>
          <w:rFonts w:eastAsia="Lucida Sans Unicode"/>
        </w:rPr>
        <w:t>equirements to provide problem gambling awareness training for Class 4 and casino staff</w:t>
      </w:r>
    </w:p>
    <w:p w14:paraId="095AE0FB" w14:textId="16CFBA11" w:rsidR="00685496" w:rsidRPr="00FA3285" w:rsidRDefault="01C53FFF" w:rsidP="00685496">
      <w:pPr>
        <w:pStyle w:val="Bullet"/>
        <w:rPr>
          <w:rFonts w:eastAsia="Lucida Sans Unicode"/>
        </w:rPr>
      </w:pPr>
      <w:r w:rsidRPr="1E2DDDDA">
        <w:rPr>
          <w:rFonts w:eastAsia="Lucida Sans Unicode"/>
        </w:rPr>
        <w:t>r</w:t>
      </w:r>
      <w:r w:rsidR="00685496" w:rsidRPr="00FA3285">
        <w:rPr>
          <w:rFonts w:eastAsia="Lucida Sans Unicode"/>
        </w:rPr>
        <w:t>egulations that set the problem gambling levy rates.</w:t>
      </w:r>
    </w:p>
    <w:p w14:paraId="7E75B6F3" w14:textId="77777777" w:rsidR="00685496" w:rsidRDefault="00685496" w:rsidP="00685496"/>
    <w:p w14:paraId="04F88A35" w14:textId="22860B26" w:rsidR="00685496" w:rsidRPr="006B309D" w:rsidRDefault="00685496" w:rsidP="00685496">
      <w:r>
        <w:t>Additionally, a</w:t>
      </w:r>
      <w:r w:rsidRPr="006B309D">
        <w:t xml:space="preserve">ll </w:t>
      </w:r>
      <w:r>
        <w:t>Class</w:t>
      </w:r>
      <w:r w:rsidRPr="006B309D">
        <w:t xml:space="preserve"> 4</w:t>
      </w:r>
      <w:r>
        <w:t xml:space="preserve"> (non-casino gaming machine)</w:t>
      </w:r>
      <w:r w:rsidRPr="006B309D">
        <w:t xml:space="preserve"> operators must be licenced by DIA, </w:t>
      </w:r>
      <w:r w:rsidR="0010043B" w:rsidRPr="006B309D">
        <w:t>and</w:t>
      </w:r>
      <w:r w:rsidR="0010043B">
        <w:t xml:space="preserve"> </w:t>
      </w:r>
      <w:r w:rsidR="0010043B" w:rsidRPr="006B309D">
        <w:t>their</w:t>
      </w:r>
      <w:r>
        <w:t xml:space="preserve"> </w:t>
      </w:r>
      <w:r w:rsidRPr="006B309D">
        <w:t>licences must be renewed every year.</w:t>
      </w:r>
    </w:p>
    <w:p w14:paraId="4DDAC588" w14:textId="77777777" w:rsidR="00685496" w:rsidRPr="00FA3285" w:rsidRDefault="00685496" w:rsidP="00685496">
      <w:pPr>
        <w:pStyle w:val="Bullet"/>
        <w:rPr>
          <w:rFonts w:eastAsia="Lucida Sans Unicode"/>
        </w:rPr>
      </w:pPr>
      <w:r w:rsidRPr="00FA3285">
        <w:rPr>
          <w:rFonts w:eastAsia="Lucida Sans Unicode"/>
        </w:rPr>
        <w:t>Before issuing a licence, DIA must be satisfied that the applicant will minimise the risks of problem gambling and the possibility of underage gambling.</w:t>
      </w:r>
    </w:p>
    <w:p w14:paraId="5CD8C7AC" w14:textId="0A8247C3" w:rsidR="00685496" w:rsidRPr="00FA3285" w:rsidRDefault="00685496" w:rsidP="52103CC6">
      <w:pPr>
        <w:pStyle w:val="Bullet"/>
        <w:rPr>
          <w:rFonts w:eastAsia="Lucida Sans Unicode"/>
        </w:rPr>
      </w:pPr>
      <w:r w:rsidRPr="52103CC6">
        <w:rPr>
          <w:rFonts w:eastAsia="Lucida Sans Unicode"/>
        </w:rPr>
        <w:t xml:space="preserve">Class 4 licence holders must have a harm minimisation policy (HMP) that includes a policy for identifying problem </w:t>
      </w:r>
      <w:r w:rsidR="00FA3BD1" w:rsidRPr="52103CC6">
        <w:rPr>
          <w:rFonts w:eastAsia="Lucida Sans Unicode"/>
        </w:rPr>
        <w:t>gamblers and</w:t>
      </w:r>
      <w:r w:rsidRPr="52103CC6">
        <w:rPr>
          <w:rFonts w:eastAsia="Lucida Sans Unicode"/>
        </w:rPr>
        <w:t xml:space="preserve"> contains a statement about how harm will be minimised at the </w:t>
      </w:r>
      <w:r w:rsidR="00FA3BD1" w:rsidRPr="52103CC6">
        <w:rPr>
          <w:rFonts w:eastAsia="Lucida Sans Unicode"/>
        </w:rPr>
        <w:t>C</w:t>
      </w:r>
      <w:r w:rsidRPr="52103CC6">
        <w:rPr>
          <w:rFonts w:eastAsia="Lucida Sans Unicode"/>
        </w:rPr>
        <w:t>lass</w:t>
      </w:r>
      <w:r w:rsidR="00FA3BD1" w:rsidRPr="52103CC6">
        <w:rPr>
          <w:rFonts w:eastAsia="Lucida Sans Unicode"/>
        </w:rPr>
        <w:t xml:space="preserve"> </w:t>
      </w:r>
      <w:r w:rsidRPr="52103CC6">
        <w:rPr>
          <w:rFonts w:eastAsia="Lucida Sans Unicode"/>
        </w:rPr>
        <w:t xml:space="preserve">4 venue. These documents must be approved by </w:t>
      </w:r>
      <w:r w:rsidR="00A209B3">
        <w:rPr>
          <w:rFonts w:eastAsia="Lucida Sans Unicode"/>
        </w:rPr>
        <w:t>DIA</w:t>
      </w:r>
      <w:r w:rsidRPr="52103CC6">
        <w:rPr>
          <w:rFonts w:eastAsia="Lucida Sans Unicode"/>
        </w:rPr>
        <w:t xml:space="preserve"> as part of the licencing process.</w:t>
      </w:r>
    </w:p>
    <w:p w14:paraId="03710674" w14:textId="77777777" w:rsidR="00685496" w:rsidRDefault="00685496" w:rsidP="00685496"/>
    <w:p w14:paraId="22113203" w14:textId="57D71A63" w:rsidR="00685496" w:rsidRDefault="00685496" w:rsidP="00685496">
      <w:r>
        <w:t xml:space="preserve">Class 3 gambling must also be licensed by </w:t>
      </w:r>
      <w:r w:rsidR="7D570629">
        <w:t>DIA.</w:t>
      </w:r>
      <w:r w:rsidR="64780CEA">
        <w:t xml:space="preserve"> </w:t>
      </w:r>
    </w:p>
    <w:p w14:paraId="137C9E62" w14:textId="77777777" w:rsidR="00685496" w:rsidRPr="006B309D" w:rsidRDefault="00685496" w:rsidP="00685496">
      <w:pPr>
        <w:pStyle w:val="Heading4"/>
      </w:pPr>
      <w:r w:rsidRPr="006B309D">
        <w:t>Compliance, Enforcement, Investigation and Audits</w:t>
      </w:r>
    </w:p>
    <w:p w14:paraId="2ED4BE70" w14:textId="77777777" w:rsidR="00685496" w:rsidRPr="00FA3285" w:rsidRDefault="00685496" w:rsidP="00685496">
      <w:pPr>
        <w:pStyle w:val="Bullet"/>
        <w:rPr>
          <w:rFonts w:eastAsia="Lucida Sans Unicode"/>
        </w:rPr>
      </w:pPr>
      <w:r w:rsidRPr="00FA3285">
        <w:rPr>
          <w:rFonts w:eastAsia="Lucida Sans Unicode"/>
        </w:rPr>
        <w:t>DIA conducts venue inspections and audits of Class 4 operators and venues to check whether they are meeting their obligations, including their harm minimisation obligations.</w:t>
      </w:r>
    </w:p>
    <w:p w14:paraId="329AA84E" w14:textId="721C228D" w:rsidR="00685496" w:rsidRPr="004F3036" w:rsidRDefault="00685496" w:rsidP="52103CC6">
      <w:pPr>
        <w:pStyle w:val="Bullet"/>
        <w:rPr>
          <w:rFonts w:eastAsia="Lucida Sans Unicode"/>
        </w:rPr>
      </w:pPr>
      <w:r w:rsidRPr="52103CC6">
        <w:t xml:space="preserve">A range of penalties can result if operators are found to be in breach of their obligations, including infringement offences. DIA’s </w:t>
      </w:r>
      <w:r w:rsidR="008873C2" w:rsidRPr="52103CC6">
        <w:rPr>
          <w:rFonts w:eastAsia="Lucida Sans Unicode"/>
        </w:rPr>
        <w:t>Enforcement Policy sets out the principles DIA follows.</w:t>
      </w:r>
      <w:r w:rsidR="008873C2" w:rsidRPr="52103CC6">
        <w:rPr>
          <w:rStyle w:val="FootnoteReference"/>
          <w:rFonts w:eastAsia="Lucida Sans Unicode"/>
        </w:rPr>
        <w:footnoteReference w:id="35"/>
      </w:r>
      <w:r w:rsidR="009D23AB" w:rsidRPr="52103CC6">
        <w:rPr>
          <w:rFonts w:eastAsia="Lucida Sans Unicode"/>
        </w:rPr>
        <w:t xml:space="preserve"> </w:t>
      </w:r>
      <w:r w:rsidRPr="52103CC6">
        <w:rPr>
          <w:rFonts w:eastAsia="Lucida Sans Unicode"/>
        </w:rPr>
        <w:t>It outlines the regulatory model that inform</w:t>
      </w:r>
      <w:r w:rsidR="005003AC" w:rsidRPr="52103CC6">
        <w:rPr>
          <w:rFonts w:eastAsia="Lucida Sans Unicode"/>
        </w:rPr>
        <w:t>s</w:t>
      </w:r>
      <w:r w:rsidRPr="52103CC6">
        <w:rPr>
          <w:rFonts w:eastAsia="Lucida Sans Unicode"/>
        </w:rPr>
        <w:t xml:space="preserve"> DIA’s decision-making, from providing education and assistance to support compliance, to pursuing legal action.</w:t>
      </w:r>
    </w:p>
    <w:p w14:paraId="7237751A" w14:textId="77777777" w:rsidR="00685496" w:rsidRPr="002F431C" w:rsidRDefault="00685496" w:rsidP="00685496">
      <w:pPr>
        <w:pStyle w:val="Heading2"/>
      </w:pPr>
      <w:bookmarkStart w:id="13" w:name="_Toc197534192"/>
      <w:r w:rsidRPr="002F431C">
        <w:lastRenderedPageBreak/>
        <w:t>Territorial authorities</w:t>
      </w:r>
      <w:bookmarkEnd w:id="13"/>
    </w:p>
    <w:p w14:paraId="54944C32" w14:textId="77777777" w:rsidR="00685496" w:rsidRDefault="00685496" w:rsidP="52103CC6">
      <w:pPr>
        <w:rPr>
          <w:rFonts w:eastAsia="Lucida Sans Unicode"/>
        </w:rPr>
      </w:pPr>
      <w:r w:rsidRPr="52103CC6">
        <w:rPr>
          <w:rFonts w:eastAsia="Lucida Sans Unicode"/>
        </w:rPr>
        <w:t>Under the Gambling Act 2003 and the Racing Industry Act 2020, territorial authorities are required to develop, review and apply policies on Class 4 venues and TAB venues in their area.</w:t>
      </w:r>
      <w:r w:rsidRPr="52103CC6">
        <w:rPr>
          <w:rStyle w:val="FootnoteReference"/>
          <w:rFonts w:eastAsia="Lucida Sans Unicode"/>
        </w:rPr>
        <w:footnoteReference w:id="36"/>
      </w:r>
    </w:p>
    <w:p w14:paraId="583C0DC7" w14:textId="77777777" w:rsidR="00685496" w:rsidRPr="00BF4032" w:rsidRDefault="00685496" w:rsidP="00685496">
      <w:pPr>
        <w:pStyle w:val="Heading2"/>
      </w:pPr>
      <w:bookmarkStart w:id="14" w:name="_Toc197534193"/>
      <w:r w:rsidRPr="00BF4032">
        <w:t>Gambling Commission</w:t>
      </w:r>
      <w:bookmarkEnd w:id="14"/>
    </w:p>
    <w:p w14:paraId="297403D7" w14:textId="77777777" w:rsidR="00F429BE" w:rsidRDefault="00685496" w:rsidP="00685496">
      <w:pPr>
        <w:spacing w:before="240"/>
        <w:rPr>
          <w:rFonts w:eastAsia="Lucida Sans Unicode"/>
        </w:rPr>
      </w:pPr>
      <w:r w:rsidRPr="52103CC6">
        <w:rPr>
          <w:rFonts w:eastAsia="Lucida Sans Unicode"/>
        </w:rPr>
        <w:t xml:space="preserve">The Gambling Commission </w:t>
      </w:r>
      <w:r w:rsidR="00C45CE0">
        <w:rPr>
          <w:rFonts w:eastAsia="Lucida Sans Unicode"/>
        </w:rPr>
        <w:t>has a statutory role to consult on problem gambling le</w:t>
      </w:r>
      <w:r w:rsidR="00F801E7">
        <w:rPr>
          <w:rFonts w:eastAsia="Lucida Sans Unicode"/>
        </w:rPr>
        <w:t xml:space="preserve">vy proposals and provide advice to responsible ministers about the amount of the levy </w:t>
      </w:r>
      <w:r w:rsidR="00F429BE">
        <w:rPr>
          <w:rFonts w:eastAsia="Lucida Sans Unicode"/>
        </w:rPr>
        <w:t xml:space="preserve">to be raised and the </w:t>
      </w:r>
      <w:r w:rsidR="00F801E7">
        <w:rPr>
          <w:rFonts w:eastAsia="Lucida Sans Unicode"/>
        </w:rPr>
        <w:t>weighting</w:t>
      </w:r>
      <w:r w:rsidR="00F429BE">
        <w:rPr>
          <w:rFonts w:eastAsia="Lucida Sans Unicode"/>
        </w:rPr>
        <w:t xml:space="preserve"> to be used.</w:t>
      </w:r>
    </w:p>
    <w:p w14:paraId="12E96F8D" w14:textId="1E306200" w:rsidR="00685496" w:rsidRDefault="00F429BE" w:rsidP="00685496">
      <w:pPr>
        <w:spacing w:before="240"/>
      </w:pPr>
      <w:r>
        <w:rPr>
          <w:rFonts w:eastAsia="Lucida Sans Unicode"/>
        </w:rPr>
        <w:t xml:space="preserve">The Commission </w:t>
      </w:r>
      <w:r w:rsidR="00685496" w:rsidRPr="52103CC6">
        <w:rPr>
          <w:rFonts w:eastAsia="Lucida Sans Unicode"/>
        </w:rPr>
        <w:t>also hears casino licensing renewal applications (which include harm minimisation plans)</w:t>
      </w:r>
      <w:r w:rsidR="00685496" w:rsidRPr="52103CC6">
        <w:rPr>
          <w:rStyle w:val="FootnoteReference"/>
          <w:rFonts w:eastAsia="Lucida Sans Unicode"/>
        </w:rPr>
        <w:footnoteReference w:id="37"/>
      </w:r>
      <w:r w:rsidR="00685496" w:rsidRPr="52103CC6">
        <w:rPr>
          <w:rFonts w:eastAsia="Lucida Sans Unicode"/>
        </w:rPr>
        <w:t xml:space="preserve"> and appeals on licensing and enforcement decisions made by the Secretary of Internal Affairs in relation to gaming machines and other non-casino gambling activities. While no new </w:t>
      </w:r>
      <w:r w:rsidR="00685496" w:rsidRPr="52103CC6">
        <w:t>casinos are allowed under the Gambling Act (section 10</w:t>
      </w:r>
      <w:r w:rsidR="00515734" w:rsidRPr="52103CC6">
        <w:t>), existing</w:t>
      </w:r>
      <w:r w:rsidR="00685496" w:rsidRPr="52103CC6">
        <w:t xml:space="preserve"> casino venue licences may be renewed.</w:t>
      </w:r>
    </w:p>
    <w:p w14:paraId="2069290D" w14:textId="77777777" w:rsidR="00685496" w:rsidRDefault="00685496" w:rsidP="00685496">
      <w:pPr>
        <w:spacing w:before="240"/>
        <w:sectPr w:rsidR="00685496" w:rsidSect="00235C06">
          <w:headerReference w:type="default" r:id="rId27"/>
          <w:pgSz w:w="11906" w:h="16838"/>
          <w:pgMar w:top="1418" w:right="1701" w:bottom="1134" w:left="1843" w:header="709" w:footer="425" w:gutter="0"/>
          <w:pgNumType w:start="1"/>
          <w:cols w:space="708"/>
          <w:docGrid w:linePitch="360"/>
        </w:sectPr>
      </w:pPr>
    </w:p>
    <w:p w14:paraId="4D3DE82D" w14:textId="7DB5B44C" w:rsidR="002D20D2" w:rsidRDefault="002D20D2" w:rsidP="002D20D2">
      <w:pPr>
        <w:pStyle w:val="Heading1"/>
      </w:pPr>
      <w:bookmarkStart w:id="15" w:name="_Toc197534194"/>
      <w:r>
        <w:lastRenderedPageBreak/>
        <w:t>Appendix Three: Public health approach and activity during 2022/23 – 2024/25</w:t>
      </w:r>
      <w:bookmarkEnd w:id="15"/>
      <w:r>
        <w:t xml:space="preserve"> </w:t>
      </w:r>
    </w:p>
    <w:p w14:paraId="5B00D64B" w14:textId="77777777" w:rsidR="002D20D2" w:rsidRDefault="002D20D2" w:rsidP="002D20D2">
      <w:pPr>
        <w:pStyle w:val="Heading2"/>
      </w:pPr>
      <w:bookmarkStart w:id="16" w:name="_Toc197534195"/>
      <w:r>
        <w:t>The public health approach to addressing gambling harm</w:t>
      </w:r>
      <w:bookmarkEnd w:id="16"/>
    </w:p>
    <w:p w14:paraId="268BC108" w14:textId="38A4981B" w:rsidR="002D20D2" w:rsidRDefault="002D20D2" w:rsidP="002D20D2">
      <w:r>
        <w:rPr>
          <w:rFonts w:eastAsia="Lucida Sans Unicode"/>
        </w:rPr>
        <w:t xml:space="preserve">As noted in Appendix One, </w:t>
      </w:r>
      <w:r w:rsidRPr="55012244">
        <w:t>section 317</w:t>
      </w:r>
      <w:r>
        <w:t xml:space="preserve"> of </w:t>
      </w:r>
      <w:r>
        <w:rPr>
          <w:rFonts w:eastAsia="Lucida Sans Unicode"/>
        </w:rPr>
        <w:t>t</w:t>
      </w:r>
      <w:r w:rsidRPr="55012244">
        <w:t xml:space="preserve">he </w:t>
      </w:r>
      <w:r>
        <w:t xml:space="preserve">Gambling </w:t>
      </w:r>
      <w:r w:rsidRPr="55012244">
        <w:t xml:space="preserve">Act </w:t>
      </w:r>
      <w:r>
        <w:t xml:space="preserve">2003 (the Act) </w:t>
      </w:r>
      <w:r w:rsidRPr="55012244">
        <w:t xml:space="preserve">requires an integrated harm prevention and minimisation strategy and further requires it to have a public health focus. </w:t>
      </w:r>
      <w:r>
        <w:t>A p</w:t>
      </w:r>
      <w:r w:rsidRPr="55012244">
        <w:t xml:space="preserve">ublic health </w:t>
      </w:r>
      <w:r>
        <w:t xml:space="preserve">approach </w:t>
      </w:r>
      <w:r w:rsidRPr="55012244">
        <w:t xml:space="preserve">aims to keep people well and focuses on groups of people rather than individuals. Core concepts integral to public health are </w:t>
      </w:r>
      <w:r>
        <w:t xml:space="preserve">a focus on </w:t>
      </w:r>
      <w:r w:rsidRPr="55012244">
        <w:t>whole population</w:t>
      </w:r>
      <w:r>
        <w:t>-health and</w:t>
      </w:r>
      <w:r w:rsidRPr="55012244">
        <w:t xml:space="preserve"> </w:t>
      </w:r>
      <w:r>
        <w:t xml:space="preserve">the importance of including </w:t>
      </w:r>
      <w:r w:rsidRPr="55012244">
        <w:t xml:space="preserve">both promotion and prevention activities applied collectively. </w:t>
      </w:r>
    </w:p>
    <w:p w14:paraId="54F2C30B" w14:textId="1B76D037" w:rsidR="002D20D2" w:rsidRDefault="002D20D2" w:rsidP="002D20D2"/>
    <w:p w14:paraId="4007E6C0" w14:textId="1FC71EA1" w:rsidR="002D20D2" w:rsidRDefault="7A58C2CE" w:rsidP="002D20D2">
      <w:r>
        <w:t xml:space="preserve">A public health approach recognises that people experience varying levels of harm from gambling, so a spectrum of responses is needed across population-level promotion and prevention, as well as specialised interventions for individuals experiencing harm. </w:t>
      </w:r>
    </w:p>
    <w:p w14:paraId="2AC075A4" w14:textId="77777777" w:rsidR="00DB2E02" w:rsidRDefault="00DB2E02" w:rsidP="002D20D2"/>
    <w:p w14:paraId="4A29F42E" w14:textId="50B8BDEE" w:rsidR="002D20D2" w:rsidRDefault="002D20D2" w:rsidP="002D20D2">
      <w:r w:rsidRPr="52103CC6">
        <w:t xml:space="preserve">Gambling harm public health approaches </w:t>
      </w:r>
      <w:r w:rsidR="10385725" w:rsidRPr="52103CC6">
        <w:t xml:space="preserve">therefore </w:t>
      </w:r>
      <w:r w:rsidRPr="52103CC6">
        <w:t xml:space="preserve">recognise the need for treatment services, </w:t>
      </w:r>
      <w:r w:rsidR="00515734" w:rsidRPr="52103CC6">
        <w:t>but emphasise</w:t>
      </w:r>
      <w:r w:rsidRPr="52103CC6">
        <w:t xml:space="preserve"> harm minimisation, harm prevention and early intervention and </w:t>
      </w:r>
      <w:r w:rsidR="00D759E0" w:rsidRPr="52103CC6">
        <w:t xml:space="preserve">seek to address </w:t>
      </w:r>
      <w:r w:rsidRPr="52103CC6">
        <w:t>the role social, environmental, and commercial determinants of health play in the development and impact of gambling harm.</w:t>
      </w:r>
    </w:p>
    <w:p w14:paraId="794F992D" w14:textId="77777777" w:rsidR="002D20D2" w:rsidRDefault="002D20D2" w:rsidP="002D20D2">
      <w:pPr>
        <w:rPr>
          <w:rFonts w:eastAsia="Lucida Sans Unicode"/>
        </w:rPr>
      </w:pPr>
    </w:p>
    <w:p w14:paraId="3651C0CA" w14:textId="6861C9F0" w:rsidR="00DF73C4" w:rsidRDefault="00A13347" w:rsidP="52103CC6">
      <w:r>
        <w:t>T</w:t>
      </w:r>
      <w:r w:rsidR="002D20D2" w:rsidRPr="52103CC6">
        <w:t>he Strategy follows a continuum-of-harm approach to health that aligns the spectrum of gambling behaviour with a harm-reduction framework (Figure A2.1 below refers).</w:t>
      </w:r>
      <w:r w:rsidR="002D20D2" w:rsidRPr="52103CC6">
        <w:rPr>
          <w:rStyle w:val="FootnoteReference"/>
        </w:rPr>
        <w:footnoteReference w:id="38"/>
      </w:r>
      <w:r w:rsidR="002D20D2" w:rsidRPr="52103CC6">
        <w:t xml:space="preserve"> </w:t>
      </w:r>
    </w:p>
    <w:p w14:paraId="429133F2" w14:textId="77777777" w:rsidR="00DF73C4" w:rsidRDefault="00DF73C4" w:rsidP="52103CC6"/>
    <w:p w14:paraId="7DB441CA" w14:textId="10204F5C" w:rsidR="002D20D2" w:rsidRDefault="002D20D2" w:rsidP="52103CC6">
      <w:r w:rsidRPr="52103CC6">
        <w:t>For example, as the majority of people do not have a high risk of harm from gambling, primary prevention (including via policy and legislation) and health promotion at the community or group level is appropriate. Specialised intervention is, however, appropriate for individuals experiencing harm.</w:t>
      </w:r>
    </w:p>
    <w:p w14:paraId="074CD8B3" w14:textId="77777777" w:rsidR="002D20D2" w:rsidRDefault="002D20D2" w:rsidP="002D20D2">
      <w:pPr>
        <w:rPr>
          <w:rFonts w:eastAsia="Lucida Sans Unicode"/>
        </w:rPr>
      </w:pPr>
    </w:p>
    <w:p w14:paraId="2A21F750" w14:textId="77777777" w:rsidR="002D20D2" w:rsidRDefault="002D20D2" w:rsidP="002D20D2">
      <w:pPr>
        <w:pStyle w:val="Figure"/>
        <w:rPr>
          <w:rFonts w:eastAsia="Lucida Sans Unicode"/>
        </w:rPr>
      </w:pPr>
      <w:bookmarkStart w:id="17" w:name="_Toc197534107"/>
      <w:r w:rsidRPr="0FD73C6D">
        <w:lastRenderedPageBreak/>
        <w:t xml:space="preserve">Figure </w:t>
      </w:r>
      <w:r>
        <w:t>A2.1</w:t>
      </w:r>
      <w:r w:rsidRPr="0FD73C6D">
        <w:rPr>
          <w:rFonts w:eastAsia="Lucida Sans Unicode"/>
        </w:rPr>
        <w:t>: Continuum of gambling behaviour and responses (based on Korn and Shaffer 1999)</w:t>
      </w:r>
      <w:bookmarkEnd w:id="17"/>
    </w:p>
    <w:p w14:paraId="741978F3" w14:textId="77777777" w:rsidR="002D20D2" w:rsidRDefault="002D20D2" w:rsidP="002D20D2">
      <w:pPr>
        <w:spacing w:before="120" w:after="120"/>
        <w:rPr>
          <w:rFonts w:eastAsia="Lucida Sans Unicode"/>
        </w:rPr>
      </w:pPr>
      <w:r>
        <w:rPr>
          <w:noProof/>
        </w:rPr>
        <w:drawing>
          <wp:inline distT="0" distB="0" distL="0" distR="0" wp14:anchorId="1B970F2E" wp14:editId="619AECF3">
            <wp:extent cx="4085977" cy="2743200"/>
            <wp:effectExtent l="0" t="0" r="0" b="0"/>
            <wp:docPr id="1043773210" name="Picture 1043773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73210" name="Picture 10437732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4106850" cy="2757213"/>
                    </a:xfrm>
                    <a:prstGeom prst="rect">
                      <a:avLst/>
                    </a:prstGeom>
                  </pic:spPr>
                </pic:pic>
              </a:graphicData>
            </a:graphic>
          </wp:inline>
        </w:drawing>
      </w:r>
    </w:p>
    <w:p w14:paraId="1041E7A9" w14:textId="77777777" w:rsidR="002D20D2" w:rsidRPr="005D4884" w:rsidRDefault="002D20D2" w:rsidP="002D20D2">
      <w:pPr>
        <w:pStyle w:val="Heading2"/>
      </w:pPr>
      <w:bookmarkStart w:id="18" w:name="_Toc197534196"/>
      <w:r>
        <w:t>Activity under the current Strategy 2022/23 to 2024/25</w:t>
      </w:r>
      <w:bookmarkEnd w:id="18"/>
    </w:p>
    <w:p w14:paraId="2C9F1CB6" w14:textId="77777777" w:rsidR="00F12680" w:rsidRDefault="002D20D2" w:rsidP="002D20D2">
      <w:pPr>
        <w:rPr>
          <w:rFonts w:eastAsia="Lucida Sans Unicode"/>
        </w:rPr>
      </w:pPr>
      <w:r>
        <w:rPr>
          <w:rFonts w:eastAsia="Lucida Sans Unicode"/>
        </w:rPr>
        <w:t>The 2022/23 to 2024/25 levy period was the first since the health reforms</w:t>
      </w:r>
      <w:r w:rsidRPr="002D63ED">
        <w:rPr>
          <w:rFonts w:eastAsia="Lucida Sans Unicode"/>
        </w:rPr>
        <w:t xml:space="preserve"> </w:t>
      </w:r>
      <w:r>
        <w:rPr>
          <w:rFonts w:eastAsia="Lucida Sans Unicode"/>
        </w:rPr>
        <w:t>that occurred in response to the Pae Ora (Healthy Futures) Act 2022 (Pae Ora Act).</w:t>
      </w:r>
      <w:r>
        <w:rPr>
          <w:rStyle w:val="FootnoteReference"/>
          <w:rFonts w:eastAsia="Lucida Sans Unicode"/>
        </w:rPr>
        <w:footnoteReference w:id="39"/>
      </w:r>
      <w:r>
        <w:rPr>
          <w:rFonts w:eastAsia="Lucida Sans Unicode"/>
        </w:rPr>
        <w:t xml:space="preserve"> </w:t>
      </w:r>
    </w:p>
    <w:p w14:paraId="7493E616" w14:textId="77777777" w:rsidR="00F12680" w:rsidRDefault="00F12680" w:rsidP="002D20D2">
      <w:pPr>
        <w:rPr>
          <w:rFonts w:eastAsia="Lucida Sans Unicode"/>
        </w:rPr>
      </w:pPr>
    </w:p>
    <w:p w14:paraId="4B60E8BB" w14:textId="2E2E1682" w:rsidR="002D20D2" w:rsidRDefault="002D20D2" w:rsidP="002D20D2">
      <w:pPr>
        <w:rPr>
          <w:rFonts w:eastAsia="Lucida Sans Unicode"/>
        </w:rPr>
      </w:pPr>
      <w:r>
        <w:rPr>
          <w:rFonts w:eastAsia="Lucida Sans Unicode"/>
        </w:rPr>
        <w:t>As a result of the reforms, in the period 2022/23 to 2024/25, health services were managed by both Health New Zealand and the M</w:t>
      </w:r>
      <w:r w:rsidRPr="174883D0">
        <w:rPr>
          <w:rFonts w:eastAsia="Lucida Sans Unicode"/>
        </w:rPr>
        <w:t>ā</w:t>
      </w:r>
      <w:r>
        <w:rPr>
          <w:rFonts w:eastAsia="Lucida Sans Unicode"/>
        </w:rPr>
        <w:t xml:space="preserve">ori Health Authority </w:t>
      </w:r>
      <w:r w:rsidR="00DB2C52">
        <w:rPr>
          <w:rFonts w:eastAsia="Lucida Sans Unicode"/>
        </w:rPr>
        <w:t xml:space="preserve">– </w:t>
      </w:r>
      <w:r>
        <w:rPr>
          <w:rFonts w:eastAsia="Lucida Sans Unicode"/>
        </w:rPr>
        <w:t xml:space="preserve"> Te Aka Whai Ora</w:t>
      </w:r>
      <w:r w:rsidR="6AD16E55">
        <w:rPr>
          <w:rFonts w:eastAsia="Lucida Sans Unicode"/>
        </w:rPr>
        <w:t>.</w:t>
      </w:r>
      <w:r>
        <w:rPr>
          <w:rFonts w:eastAsia="Lucida Sans Unicode"/>
        </w:rPr>
        <w:t xml:space="preserve"> The M</w:t>
      </w:r>
      <w:r w:rsidRPr="174883D0">
        <w:rPr>
          <w:rFonts w:eastAsia="Lucida Sans Unicode"/>
        </w:rPr>
        <w:t>ā</w:t>
      </w:r>
      <w:r>
        <w:rPr>
          <w:rFonts w:eastAsia="Lucida Sans Unicode"/>
        </w:rPr>
        <w:t xml:space="preserve">ori Health Authority was disestablished on 30 June 2024, and its service provision responsibilities have transferred to Health New Zealand. This appendix highlights relevant work that has occurred to date within the 2022/23 to 2024/25 period. </w:t>
      </w:r>
    </w:p>
    <w:p w14:paraId="5FCD1976" w14:textId="73887D61" w:rsidR="002D20D2" w:rsidRPr="00211F2F" w:rsidRDefault="0A7892A4" w:rsidP="002D20D2">
      <w:pPr>
        <w:pStyle w:val="Heading3"/>
      </w:pPr>
      <w:r>
        <w:t xml:space="preserve">Service </w:t>
      </w:r>
      <w:r w:rsidR="002D20D2" w:rsidRPr="00211F2F">
        <w:t>Commissioning</w:t>
      </w:r>
    </w:p>
    <w:p w14:paraId="5A56A14D" w14:textId="77777777" w:rsidR="002D20D2" w:rsidRPr="00211F2F" w:rsidRDefault="002D20D2" w:rsidP="002D20D2">
      <w:pPr>
        <w:pStyle w:val="Heading4"/>
      </w:pPr>
      <w:r w:rsidRPr="00211F2F">
        <w:t>2023 service procurement</w:t>
      </w:r>
    </w:p>
    <w:p w14:paraId="4876F438" w14:textId="77777777" w:rsidR="002D20D2" w:rsidRPr="0080540B" w:rsidRDefault="002D20D2" w:rsidP="002D20D2">
      <w:pPr>
        <w:rPr>
          <w:rFonts w:eastAsia="Lucida Sans Unicode"/>
          <w:i/>
          <w:iCs/>
          <w:lang w:eastAsia="en-US"/>
        </w:rPr>
      </w:pPr>
      <w:r>
        <w:rPr>
          <w:rFonts w:eastAsia="Lucida Sans Unicode"/>
          <w:lang w:eastAsia="en-US"/>
        </w:rPr>
        <w:t>T</w:t>
      </w:r>
      <w:r w:rsidRPr="00DE511E">
        <w:rPr>
          <w:rFonts w:eastAsia="Lucida Sans Unicode"/>
          <w:lang w:eastAsia="en-US"/>
        </w:rPr>
        <w:t xml:space="preserve">he </w:t>
      </w:r>
      <w:r>
        <w:rPr>
          <w:rFonts w:eastAsia="Lucida Sans Unicode"/>
          <w:lang w:eastAsia="en-US"/>
        </w:rPr>
        <w:t>Strategy to Prevent and Minimise Gambling Harm</w:t>
      </w:r>
      <w:r w:rsidRPr="00DE511E">
        <w:rPr>
          <w:rFonts w:eastAsia="Lucida Sans Unicode"/>
          <w:lang w:eastAsia="en-US"/>
        </w:rPr>
        <w:t xml:space="preserve"> 2022</w:t>
      </w:r>
      <w:r>
        <w:rPr>
          <w:rFonts w:eastAsia="Lucida Sans Unicode"/>
          <w:lang w:eastAsia="en-US"/>
        </w:rPr>
        <w:t xml:space="preserve">/23–2024/25 </w:t>
      </w:r>
      <w:r w:rsidRPr="00DE511E">
        <w:rPr>
          <w:rFonts w:eastAsia="Lucida Sans Unicode"/>
          <w:lang w:eastAsia="en-US"/>
        </w:rPr>
        <w:t>included measures:</w:t>
      </w:r>
    </w:p>
    <w:p w14:paraId="1683DBBE" w14:textId="77777777" w:rsidR="002D20D2" w:rsidRPr="00DE511E" w:rsidRDefault="002D20D2" w:rsidP="002D20D2">
      <w:pPr>
        <w:pStyle w:val="Bullet"/>
        <w:rPr>
          <w:rFonts w:eastAsia="Lucida Sans Unicode"/>
          <w:lang w:eastAsia="en-US"/>
        </w:rPr>
      </w:pPr>
      <w:r w:rsidRPr="00DE511E">
        <w:rPr>
          <w:rFonts w:eastAsia="Lucida Sans Unicode"/>
          <w:lang w:eastAsia="en-US"/>
        </w:rPr>
        <w:t xml:space="preserve">strengthening partnership approaches to design and delivery of services </w:t>
      </w:r>
    </w:p>
    <w:p w14:paraId="5B91C1DE" w14:textId="77777777" w:rsidR="002D20D2" w:rsidRPr="00DE511E" w:rsidRDefault="002D20D2" w:rsidP="002D20D2">
      <w:pPr>
        <w:pStyle w:val="Bullet"/>
        <w:rPr>
          <w:rFonts w:eastAsia="Lucida Sans Unicode"/>
          <w:lang w:eastAsia="en-US"/>
        </w:rPr>
      </w:pPr>
      <w:r w:rsidRPr="00DE511E">
        <w:rPr>
          <w:rFonts w:eastAsia="Lucida Sans Unicode"/>
          <w:lang w:eastAsia="en-US"/>
        </w:rPr>
        <w:t>increasing awareness and engagement for those at risk</w:t>
      </w:r>
      <w:r>
        <w:rPr>
          <w:rFonts w:eastAsia="Lucida Sans Unicode"/>
          <w:lang w:eastAsia="en-US"/>
        </w:rPr>
        <w:t xml:space="preserve"> of gambling harm</w:t>
      </w:r>
      <w:r w:rsidRPr="00DE511E">
        <w:rPr>
          <w:rFonts w:eastAsia="Lucida Sans Unicode"/>
          <w:lang w:eastAsia="en-US"/>
        </w:rPr>
        <w:t xml:space="preserve">, with a greater focus on targeted public health initiatives developed in collaboration with priority populations, particularly young people </w:t>
      </w:r>
    </w:p>
    <w:p w14:paraId="01C7442F" w14:textId="77777777" w:rsidR="002D20D2" w:rsidRPr="00DE511E" w:rsidRDefault="002D20D2" w:rsidP="002D20D2">
      <w:pPr>
        <w:pStyle w:val="Bullet"/>
        <w:rPr>
          <w:rFonts w:eastAsia="Lucida Sans Unicode"/>
          <w:lang w:eastAsia="en-US"/>
        </w:rPr>
      </w:pPr>
      <w:r w:rsidRPr="00DE511E">
        <w:rPr>
          <w:rFonts w:eastAsia="Lucida Sans Unicode"/>
          <w:lang w:eastAsia="en-US"/>
        </w:rPr>
        <w:t xml:space="preserve">developing and expanding digital services and supports to improve the range of </w:t>
      </w:r>
      <w:r>
        <w:rPr>
          <w:rFonts w:eastAsia="Lucida Sans Unicode"/>
          <w:lang w:eastAsia="en-US"/>
        </w:rPr>
        <w:t xml:space="preserve">gambling harm prevention and support </w:t>
      </w:r>
      <w:r w:rsidRPr="00DE511E">
        <w:rPr>
          <w:rFonts w:eastAsia="Lucida Sans Unicode"/>
          <w:lang w:eastAsia="en-US"/>
        </w:rPr>
        <w:t>services and service access</w:t>
      </w:r>
    </w:p>
    <w:p w14:paraId="548F6D14" w14:textId="77777777" w:rsidR="002D20D2" w:rsidRPr="00DE511E" w:rsidRDefault="002D20D2" w:rsidP="002D20D2">
      <w:pPr>
        <w:pStyle w:val="Bullet"/>
        <w:rPr>
          <w:rFonts w:eastAsia="Lucida Sans Unicode"/>
          <w:lang w:eastAsia="en-US"/>
        </w:rPr>
      </w:pPr>
      <w:r w:rsidRPr="00DE511E">
        <w:rPr>
          <w:rFonts w:eastAsia="Lucida Sans Unicode"/>
          <w:lang w:eastAsia="en-US"/>
        </w:rPr>
        <w:lastRenderedPageBreak/>
        <w:t>developing and evaluating new services to increase choice and strengthen evidenced</w:t>
      </w:r>
      <w:r>
        <w:rPr>
          <w:rFonts w:eastAsia="Lucida Sans Unicode"/>
          <w:lang w:eastAsia="en-US"/>
        </w:rPr>
        <w:t>-</w:t>
      </w:r>
      <w:r w:rsidRPr="00DE511E">
        <w:rPr>
          <w:rFonts w:eastAsia="Lucida Sans Unicode"/>
          <w:lang w:eastAsia="en-US"/>
        </w:rPr>
        <w:t>based service improvements, using more action research methods with affected communities.</w:t>
      </w:r>
    </w:p>
    <w:p w14:paraId="1D588657" w14:textId="77777777" w:rsidR="002D20D2" w:rsidRDefault="002D20D2" w:rsidP="002D20D2">
      <w:pPr>
        <w:rPr>
          <w:rFonts w:eastAsia="Lucida Sans Unicode"/>
          <w:lang w:eastAsia="en-US"/>
        </w:rPr>
      </w:pPr>
    </w:p>
    <w:p w14:paraId="68267B90" w14:textId="77777777" w:rsidR="002D20D2" w:rsidRDefault="002D20D2" w:rsidP="52103CC6">
      <w:pPr>
        <w:rPr>
          <w:rFonts w:eastAsia="Lucida Sans Unicode"/>
          <w:lang w:eastAsia="en-US"/>
        </w:rPr>
      </w:pPr>
      <w:r w:rsidRPr="52103CC6">
        <w:rPr>
          <w:rFonts w:eastAsia="Lucida Sans Unicode"/>
          <w:lang w:eastAsia="en-US"/>
        </w:rPr>
        <w:t xml:space="preserve">To deliver on these measures, in 2023, Health New Zealand ran an open competitive procurement process to commission new services to prevent and minimise gambling harm across the entire country. The procurement process sought to purchase new prevention, clinical intervention and digital services; utilising funding allocated through the 2022/23 to 2024/25 Strategy. Before the 2023 procurement process, 21 service providers had been delivering services in this area for many years. </w:t>
      </w:r>
    </w:p>
    <w:p w14:paraId="275F39DA" w14:textId="77777777" w:rsidR="002D20D2" w:rsidRPr="00DE511E" w:rsidRDefault="002D20D2" w:rsidP="002D20D2">
      <w:pPr>
        <w:rPr>
          <w:rFonts w:eastAsia="Lucida Sans Unicode"/>
          <w:lang w:eastAsia="en-US"/>
        </w:rPr>
      </w:pPr>
    </w:p>
    <w:p w14:paraId="0B3B2150" w14:textId="77777777" w:rsidR="002D20D2" w:rsidRDefault="002D20D2" w:rsidP="002D20D2">
      <w:pPr>
        <w:rPr>
          <w:rFonts w:eastAsia="Lucida Sans Unicode"/>
          <w:lang w:eastAsia="en-US"/>
        </w:rPr>
      </w:pPr>
      <w:r w:rsidRPr="00DE511E">
        <w:rPr>
          <w:rFonts w:eastAsia="Lucida Sans Unicode"/>
          <w:lang w:eastAsia="en-US"/>
        </w:rPr>
        <w:t>Three service providers (mainstream, Asian, Pacific) were successful in obtaining new contracts with Health New Zealand. Health New Zealand will invest $37.45 million over three and half years (1</w:t>
      </w:r>
      <w:r>
        <w:rPr>
          <w:rFonts w:eastAsia="Lucida Sans Unicode"/>
          <w:lang w:eastAsia="en-US"/>
        </w:rPr>
        <w:t> </w:t>
      </w:r>
      <w:r w:rsidRPr="00DE511E">
        <w:rPr>
          <w:rFonts w:eastAsia="Lucida Sans Unicode"/>
          <w:lang w:eastAsia="en-US"/>
        </w:rPr>
        <w:t xml:space="preserve">January 2024 to 30 June 2027) into these new services. </w:t>
      </w:r>
    </w:p>
    <w:p w14:paraId="7679A79E" w14:textId="77777777" w:rsidR="002D20D2" w:rsidRPr="00DE511E" w:rsidRDefault="002D20D2" w:rsidP="002D20D2">
      <w:pPr>
        <w:rPr>
          <w:rFonts w:eastAsia="Lucida Sans Unicode"/>
          <w:lang w:eastAsia="en-US"/>
        </w:rPr>
      </w:pPr>
    </w:p>
    <w:p w14:paraId="34204306" w14:textId="76064BC9" w:rsidR="002D20D2" w:rsidRDefault="002D20D2" w:rsidP="002D20D2">
      <w:pPr>
        <w:rPr>
          <w:rFonts w:eastAsia="Lucida Sans Unicode"/>
          <w:lang w:eastAsia="en-US"/>
        </w:rPr>
      </w:pPr>
      <w:r w:rsidRPr="00DE511E">
        <w:rPr>
          <w:rFonts w:eastAsia="Lucida Sans Unicode"/>
          <w:lang w:eastAsia="en-US"/>
        </w:rPr>
        <w:t xml:space="preserve">Alongside Health New Zealand’s procurement process, the Māori Health Authority ran a parallel process to commission new </w:t>
      </w:r>
      <w:r>
        <w:rPr>
          <w:rFonts w:eastAsia="Lucida Sans Unicode"/>
          <w:lang w:eastAsia="en-US"/>
        </w:rPr>
        <w:t>k</w:t>
      </w:r>
      <w:r w:rsidRPr="00DE511E">
        <w:rPr>
          <w:rFonts w:eastAsia="Lucida Sans Unicode"/>
          <w:lang w:eastAsia="en-US"/>
        </w:rPr>
        <w:t xml:space="preserve">aupapa Māori services to prevent and minimise gambling harm. Through that process 15 new </w:t>
      </w:r>
      <w:r>
        <w:rPr>
          <w:rFonts w:eastAsia="Lucida Sans Unicode"/>
          <w:lang w:eastAsia="en-US"/>
        </w:rPr>
        <w:t>k</w:t>
      </w:r>
      <w:r w:rsidRPr="00DE511E">
        <w:rPr>
          <w:rFonts w:eastAsia="Lucida Sans Unicode"/>
          <w:lang w:eastAsia="en-US"/>
        </w:rPr>
        <w:t xml:space="preserve">aupapa Māori service providers were selected (a total investment of around $18.33 million over three and a half years). These contracts have since been transferred to Health New Zealand for ongoing management, giving a total of </w:t>
      </w:r>
      <w:r w:rsidR="00B95EF0" w:rsidRPr="00DE511E">
        <w:rPr>
          <w:rFonts w:eastAsia="Lucida Sans Unicode"/>
          <w:lang w:eastAsia="en-US"/>
        </w:rPr>
        <w:t>1</w:t>
      </w:r>
      <w:r w:rsidR="00B95EF0">
        <w:rPr>
          <w:rFonts w:eastAsia="Lucida Sans Unicode"/>
          <w:lang w:eastAsia="en-US"/>
        </w:rPr>
        <w:t>8</w:t>
      </w:r>
      <w:r w:rsidR="00B95EF0" w:rsidRPr="00DE511E">
        <w:rPr>
          <w:rFonts w:eastAsia="Lucida Sans Unicode"/>
          <w:lang w:eastAsia="en-US"/>
        </w:rPr>
        <w:t xml:space="preserve"> </w:t>
      </w:r>
      <w:r w:rsidRPr="00DE511E">
        <w:rPr>
          <w:rFonts w:eastAsia="Lucida Sans Unicode"/>
          <w:lang w:eastAsia="en-US"/>
        </w:rPr>
        <w:t>providers.</w:t>
      </w:r>
      <w:r>
        <w:rPr>
          <w:rFonts w:eastAsia="Lucida Sans Unicode"/>
          <w:lang w:eastAsia="en-US"/>
        </w:rPr>
        <w:t xml:space="preserve"> </w:t>
      </w:r>
    </w:p>
    <w:p w14:paraId="54B802F0" w14:textId="77777777" w:rsidR="002D20D2" w:rsidRDefault="002D20D2" w:rsidP="002D20D2">
      <w:pPr>
        <w:rPr>
          <w:rFonts w:eastAsia="Lucida Sans Unicode"/>
          <w:lang w:eastAsia="en-US"/>
        </w:rPr>
      </w:pPr>
    </w:p>
    <w:p w14:paraId="32558F26" w14:textId="2DE0B516" w:rsidR="002D20D2" w:rsidRDefault="002D20D2" w:rsidP="002D20D2">
      <w:pPr>
        <w:rPr>
          <w:rFonts w:eastAsia="Lucida Sans Unicode"/>
        </w:rPr>
      </w:pPr>
      <w:r>
        <w:rPr>
          <w:rFonts w:eastAsia="Lucida Sans Unicode"/>
        </w:rPr>
        <w:t>In the 2022/23 year, 6,516 ‘gambler’ clients and 3,870 ‘family/affected other’ clients received gambling harm treatment from a provider or partner funded by the Strategy. Of these,</w:t>
      </w:r>
    </w:p>
    <w:p w14:paraId="1761761B" w14:textId="77777777" w:rsidR="002D20D2" w:rsidRPr="00211F2F" w:rsidRDefault="002D20D2" w:rsidP="002D20D2">
      <w:pPr>
        <w:pStyle w:val="Bullet"/>
        <w:rPr>
          <w:rFonts w:eastAsia="Lucida Sans Unicode"/>
        </w:rPr>
      </w:pPr>
      <w:r w:rsidRPr="00211F2F">
        <w:rPr>
          <w:rFonts w:eastAsia="Lucida Sans Unicode"/>
        </w:rPr>
        <w:t>32% identified as European/Other</w:t>
      </w:r>
    </w:p>
    <w:p w14:paraId="10FCA05C" w14:textId="77777777" w:rsidR="002D20D2" w:rsidRPr="00211F2F" w:rsidRDefault="002D20D2" w:rsidP="002D20D2">
      <w:pPr>
        <w:pStyle w:val="Bullet"/>
        <w:rPr>
          <w:rFonts w:eastAsia="Lucida Sans Unicode"/>
        </w:rPr>
      </w:pPr>
      <w:r w:rsidRPr="00211F2F">
        <w:rPr>
          <w:rFonts w:eastAsia="Lucida Sans Unicode"/>
        </w:rPr>
        <w:t>33% identified as Māori</w:t>
      </w:r>
    </w:p>
    <w:p w14:paraId="46A0A5E4" w14:textId="77777777" w:rsidR="002D20D2" w:rsidRPr="00211F2F" w:rsidRDefault="002D20D2" w:rsidP="002D20D2">
      <w:pPr>
        <w:pStyle w:val="Bullet"/>
        <w:rPr>
          <w:rFonts w:eastAsia="Lucida Sans Unicode"/>
        </w:rPr>
      </w:pPr>
      <w:r w:rsidRPr="00211F2F">
        <w:rPr>
          <w:rFonts w:eastAsia="Lucida Sans Unicode"/>
        </w:rPr>
        <w:t>21% identified as Pacific peoples</w:t>
      </w:r>
    </w:p>
    <w:p w14:paraId="1C08E5B6" w14:textId="77777777" w:rsidR="002D20D2" w:rsidRPr="00211F2F" w:rsidRDefault="002D20D2" w:rsidP="002D20D2">
      <w:pPr>
        <w:pStyle w:val="Bullet"/>
        <w:rPr>
          <w:rFonts w:eastAsia="Lucida Sans Unicode"/>
        </w:rPr>
      </w:pPr>
      <w:r w:rsidRPr="00211F2F">
        <w:rPr>
          <w:rFonts w:eastAsia="Lucida Sans Unicode"/>
        </w:rPr>
        <w:t>14% identified as Asian</w:t>
      </w:r>
    </w:p>
    <w:p w14:paraId="1C612E58" w14:textId="77777777" w:rsidR="002D20D2" w:rsidRPr="00211F2F" w:rsidRDefault="002D20D2" w:rsidP="002D20D2">
      <w:pPr>
        <w:pStyle w:val="Bullet"/>
        <w:rPr>
          <w:rFonts w:eastAsia="Lucida Sans Unicode"/>
        </w:rPr>
      </w:pPr>
      <w:r w:rsidRPr="00211F2F">
        <w:rPr>
          <w:rFonts w:eastAsia="Lucida Sans Unicode"/>
        </w:rPr>
        <w:t xml:space="preserve">49% identified as female </w:t>
      </w:r>
    </w:p>
    <w:p w14:paraId="573B946C" w14:textId="77777777" w:rsidR="002D20D2" w:rsidRPr="00211F2F" w:rsidRDefault="002D20D2" w:rsidP="002D20D2">
      <w:pPr>
        <w:pStyle w:val="Bullet"/>
        <w:rPr>
          <w:rFonts w:eastAsia="Lucida Sans Unicode"/>
        </w:rPr>
      </w:pPr>
      <w:r w:rsidRPr="00211F2F">
        <w:rPr>
          <w:rFonts w:eastAsia="Lucida Sans Unicode"/>
        </w:rPr>
        <w:t>51% identified as male</w:t>
      </w:r>
    </w:p>
    <w:p w14:paraId="23B9E4C1" w14:textId="77777777" w:rsidR="002D20D2" w:rsidRPr="00211F2F" w:rsidRDefault="002D20D2" w:rsidP="002D20D2">
      <w:pPr>
        <w:pStyle w:val="Bullet"/>
        <w:rPr>
          <w:rFonts w:eastAsia="Lucida Sans Unicode"/>
        </w:rPr>
      </w:pPr>
      <w:r w:rsidRPr="00211F2F">
        <w:rPr>
          <w:rFonts w:eastAsia="Lucida Sans Unicode"/>
        </w:rPr>
        <w:t>7% were 65 years or older</w:t>
      </w:r>
    </w:p>
    <w:p w14:paraId="2D897AB5" w14:textId="77777777" w:rsidR="002D20D2" w:rsidRPr="00211F2F" w:rsidRDefault="002D20D2" w:rsidP="002D20D2">
      <w:pPr>
        <w:pStyle w:val="Bullet"/>
        <w:rPr>
          <w:rFonts w:eastAsia="Lucida Sans Unicode"/>
        </w:rPr>
      </w:pPr>
      <w:r w:rsidRPr="00211F2F">
        <w:rPr>
          <w:rFonts w:eastAsia="Lucida Sans Unicode"/>
        </w:rPr>
        <w:t>11% were 24 years or younger.</w:t>
      </w:r>
    </w:p>
    <w:p w14:paraId="26BBB5F6" w14:textId="77777777" w:rsidR="00DB373E" w:rsidRDefault="00DB373E" w:rsidP="00DB373E">
      <w:pPr>
        <w:rPr>
          <w:rFonts w:eastAsia="Lucida Sans Unicode"/>
          <w:lang w:eastAsia="en-US"/>
        </w:rPr>
      </w:pPr>
    </w:p>
    <w:p w14:paraId="79326F82" w14:textId="45A003B9" w:rsidR="00287ECE" w:rsidRPr="00211F2F" w:rsidRDefault="00287ECE" w:rsidP="00DB373E">
      <w:pPr>
        <w:rPr>
          <w:rFonts w:eastAsia="Lucida Sans Unicode"/>
          <w:lang w:eastAsia="en-US"/>
        </w:rPr>
      </w:pPr>
      <w:r>
        <w:rPr>
          <w:rFonts w:eastAsia="Lucida Sans Unicode"/>
          <w:lang w:eastAsia="en-US"/>
        </w:rPr>
        <w:t xml:space="preserve">Service data records show that a similar number of people </w:t>
      </w:r>
      <w:r w:rsidR="000B39D0">
        <w:rPr>
          <w:rFonts w:eastAsia="Lucida Sans Unicode"/>
          <w:lang w:eastAsia="en-US"/>
        </w:rPr>
        <w:t xml:space="preserve">present for </w:t>
      </w:r>
      <w:r>
        <w:rPr>
          <w:rFonts w:eastAsia="Lucida Sans Unicode"/>
          <w:lang w:eastAsia="en-US"/>
        </w:rPr>
        <w:t>brief intervention</w:t>
      </w:r>
      <w:r w:rsidR="000B39D0">
        <w:rPr>
          <w:rFonts w:eastAsia="Lucida Sans Unicode"/>
          <w:lang w:eastAsia="en-US"/>
        </w:rPr>
        <w:t>s as for treatment services. The 2023/24 NZGS found 1.1% of the adult population (about 47,000 people) sought help for themselves or someone else. Most of those accessing help (90%) sought it for a friend, flatmate, family member or relative rather than for themselves. The most common help sought was ‘free counselling, treatment or health services’</w:t>
      </w:r>
      <w:r w:rsidR="00D46282">
        <w:rPr>
          <w:rFonts w:eastAsia="Lucida Sans Unicode"/>
          <w:lang w:eastAsia="en-US"/>
        </w:rPr>
        <w:t xml:space="preserve"> </w:t>
      </w:r>
      <w:r w:rsidR="000B39D0">
        <w:rPr>
          <w:rFonts w:eastAsia="Lucida Sans Unicode"/>
          <w:lang w:eastAsia="en-US"/>
        </w:rPr>
        <w:t xml:space="preserve">(32%) followed by Gamblers Anonymous (28%). </w:t>
      </w:r>
    </w:p>
    <w:p w14:paraId="0E354D3F" w14:textId="77777777" w:rsidR="002D20D2" w:rsidRDefault="002D20D2" w:rsidP="002D20D2">
      <w:pPr>
        <w:pStyle w:val="Heading4"/>
      </w:pPr>
      <w:r w:rsidRPr="00440560">
        <w:t>New funding formula</w:t>
      </w:r>
      <w:r>
        <w:t xml:space="preserve"> </w:t>
      </w:r>
    </w:p>
    <w:p w14:paraId="2DE1150C" w14:textId="17CF62FB" w:rsidR="002D20D2" w:rsidRPr="006E1908" w:rsidRDefault="002D20D2" w:rsidP="002D20D2">
      <w:r w:rsidRPr="52103CC6">
        <w:t xml:space="preserve">To support the aims and objectives of the 2022/23 to 2024/25 Strategy, Health New Zealand commissioned </w:t>
      </w:r>
      <w:r w:rsidR="005D76D6" w:rsidRPr="52103CC6">
        <w:t xml:space="preserve">a funding formula from </w:t>
      </w:r>
      <w:r w:rsidRPr="52103CC6">
        <w:t xml:space="preserve">Auckland University of Technology (AUT) to </w:t>
      </w:r>
      <w:r w:rsidR="00D645CF" w:rsidRPr="52103CC6">
        <w:t>he</w:t>
      </w:r>
      <w:r w:rsidRPr="52103CC6">
        <w:t>lp apportion funding</w:t>
      </w:r>
      <w:r w:rsidR="00A44CD3" w:rsidRPr="52103CC6">
        <w:t xml:space="preserve">. </w:t>
      </w:r>
      <w:r w:rsidRPr="52103CC6">
        <w:t>The formula apportion</w:t>
      </w:r>
      <w:r w:rsidR="00D645CF" w:rsidRPr="52103CC6">
        <w:t>s</w:t>
      </w:r>
      <w:r w:rsidRPr="52103CC6">
        <w:t xml:space="preserve"> funding available by geography and ethnicity, while accounting for prevalence of gambling harm. This was used to inform the gambling harm request for proposals for public health and </w:t>
      </w:r>
      <w:r w:rsidRPr="52103CC6">
        <w:lastRenderedPageBreak/>
        <w:t xml:space="preserve">intervention services (including digital services and supports and new ways to address inequity). </w:t>
      </w:r>
      <w:r w:rsidRPr="52103CC6">
        <w:rPr>
          <w:rFonts w:eastAsia="Lucida Sans Unicode"/>
        </w:rPr>
        <w:t>The Māori Health Authority</w:t>
      </w:r>
      <w:r w:rsidRPr="52103CC6">
        <w:t xml:space="preserve"> used the same formula to help apportion funding for Māori services. </w:t>
      </w:r>
    </w:p>
    <w:p w14:paraId="2EF138D0" w14:textId="77777777" w:rsidR="002D20D2" w:rsidRDefault="002D20D2" w:rsidP="002D20D2">
      <w:pPr>
        <w:pStyle w:val="Heading4"/>
      </w:pPr>
      <w:r w:rsidRPr="00440560">
        <w:t>Multi-venue exclusion</w:t>
      </w:r>
    </w:p>
    <w:p w14:paraId="771D5A07" w14:textId="53264F0B" w:rsidR="002D20D2" w:rsidRPr="00973858" w:rsidRDefault="002D20D2" w:rsidP="002D20D2">
      <w:r w:rsidRPr="52103CC6">
        <w:t>Funding for the national multi-venue exclusion (MVE) administration service continued and a national framework and standardised process were developed. MVE enables gamblers to self-exclude from multiple venues without having to visit each individual site. MVE is now available across the country. Health New Zealand also procured an electronic gambling exclusions database, which is being trialled to support the exclusion application process and collect the exclusion data.</w:t>
      </w:r>
    </w:p>
    <w:p w14:paraId="3C13AFE9" w14:textId="77777777" w:rsidR="002D20D2" w:rsidRDefault="002D20D2" w:rsidP="002D20D2">
      <w:pPr>
        <w:pStyle w:val="Heading4"/>
      </w:pPr>
      <w:r w:rsidRPr="00440560">
        <w:t>Scholarships</w:t>
      </w:r>
    </w:p>
    <w:p w14:paraId="5A5050BD" w14:textId="77777777" w:rsidR="002D20D2" w:rsidRPr="001C56F0" w:rsidRDefault="002D20D2" w:rsidP="52103CC6">
      <w:pPr>
        <w:rPr>
          <w:i/>
          <w:iCs/>
        </w:rPr>
      </w:pPr>
      <w:r w:rsidRPr="52103CC6">
        <w:t>Health New Zealand contracted the Pacific peoples support organisation Le Va to administer an addiction scholarship and mentoring programme. The programme aims to enhance the effectiveness of the gambling harm workforce by increasing its capacity and capability and enabling individuals from priority population groups (including those with lived experience of gambling harm) to successfully complete qualifications/training programmes on time. There are 33 gambling harm scholarships available for the 2023/24 and 2024/25 years.</w:t>
      </w:r>
    </w:p>
    <w:p w14:paraId="56364D5B" w14:textId="77777777" w:rsidR="002D20D2" w:rsidRDefault="002D20D2" w:rsidP="002D20D2">
      <w:pPr>
        <w:pStyle w:val="Heading4"/>
      </w:pPr>
      <w:r w:rsidRPr="00440560">
        <w:t>Focus on young people</w:t>
      </w:r>
    </w:p>
    <w:p w14:paraId="7C428F12" w14:textId="0D6047D2" w:rsidR="002D20D2" w:rsidRPr="00E254F0" w:rsidRDefault="002D20D2" w:rsidP="002D20D2">
      <w:r w:rsidRPr="52103CC6">
        <w:t xml:space="preserve">The 2022/23–2024/25 iteration of the Strategy added young people as a priority population. In 2022, Health New Zealand entered a three-year agreement with the New Zealand Drug Foundation to expand their school-focused programme Tūturu. The funding Health New Zealand provided has allowed the employment of dedicated gambling harm staff to support the Tūturu programme and work across the education and gambling </w:t>
      </w:r>
      <w:r w:rsidR="00FA3BD1" w:rsidRPr="52103CC6">
        <w:t xml:space="preserve">harm </w:t>
      </w:r>
      <w:r w:rsidRPr="52103CC6">
        <w:t>sectors.</w:t>
      </w:r>
    </w:p>
    <w:p w14:paraId="20779EC6" w14:textId="77777777" w:rsidR="002D20D2" w:rsidRPr="00C61A96" w:rsidRDefault="002D20D2" w:rsidP="002D20D2">
      <w:pPr>
        <w:pStyle w:val="Heading3"/>
      </w:pPr>
      <w:r>
        <w:t>Public h</w:t>
      </w:r>
      <w:r w:rsidRPr="00C61A96">
        <w:t>ealth activit</w:t>
      </w:r>
      <w:r>
        <w:t>ies</w:t>
      </w:r>
      <w:r w:rsidRPr="00C61A96">
        <w:t xml:space="preserve"> </w:t>
      </w:r>
    </w:p>
    <w:p w14:paraId="2812E7E0" w14:textId="77777777" w:rsidR="002D20D2" w:rsidRPr="00776367" w:rsidRDefault="002D20D2" w:rsidP="00776367">
      <w:pPr>
        <w:pStyle w:val="Heading4"/>
      </w:pPr>
      <w:r w:rsidRPr="00776367">
        <w:t>Nan’s Song</w:t>
      </w:r>
    </w:p>
    <w:p w14:paraId="78563CF6" w14:textId="15C23A56" w:rsidR="002D20D2" w:rsidRDefault="002D20D2" w:rsidP="002D20D2">
      <w:r w:rsidRPr="00C55DA7">
        <w:rPr>
          <w:noProof/>
        </w:rPr>
        <w:drawing>
          <wp:anchor distT="0" distB="107950" distL="114300" distR="114300" simplePos="0" relativeHeight="251658240" behindDoc="0" locked="0" layoutInCell="1" allowOverlap="1" wp14:anchorId="3A506388" wp14:editId="0F81079D">
            <wp:simplePos x="0" y="0"/>
            <wp:positionH relativeFrom="margin">
              <wp:posOffset>3343275</wp:posOffset>
            </wp:positionH>
            <wp:positionV relativeFrom="paragraph">
              <wp:posOffset>39370</wp:posOffset>
            </wp:positionV>
            <wp:extent cx="1760400" cy="957600"/>
            <wp:effectExtent l="0" t="0" r="0" b="0"/>
            <wp:wrapSquare wrapText="bothSides"/>
            <wp:docPr id="216266034" name="Picture 216266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66034" name="Picture 216266034">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0400" cy="957600"/>
                    </a:xfrm>
                    <a:prstGeom prst="rect">
                      <a:avLst/>
                    </a:prstGeom>
                  </pic:spPr>
                </pic:pic>
              </a:graphicData>
            </a:graphic>
            <wp14:sizeRelH relativeFrom="margin">
              <wp14:pctWidth>0</wp14:pctWidth>
            </wp14:sizeRelH>
            <wp14:sizeRelV relativeFrom="margin">
              <wp14:pctHeight>0</wp14:pctHeight>
            </wp14:sizeRelV>
          </wp:anchor>
        </w:drawing>
      </w:r>
      <w:r>
        <w:t xml:space="preserve">Health New Zealand’s Safer Gambling Aotearoa </w:t>
      </w:r>
      <w:r w:rsidRPr="0FD73C6D">
        <w:t>launched</w:t>
      </w:r>
      <w:r w:rsidRPr="007A72D9">
        <w:t xml:space="preserve"> </w:t>
      </w:r>
      <w:r w:rsidRPr="0FD73C6D">
        <w:t xml:space="preserve">Nan’s Song </w:t>
      </w:r>
      <w:r>
        <w:t>i</w:t>
      </w:r>
      <w:r w:rsidRPr="0FD73C6D">
        <w:t>n 2022. The long-term behaviour</w:t>
      </w:r>
      <w:r>
        <w:t>-</w:t>
      </w:r>
      <w:r w:rsidRPr="0FD73C6D">
        <w:t>change campaign</w:t>
      </w:r>
      <w:r>
        <w:t>’s</w:t>
      </w:r>
      <w:r w:rsidRPr="0FD73C6D">
        <w:t xml:space="preserve"> aim is to</w:t>
      </w:r>
      <w:r>
        <w:t xml:space="preserve"> encourage early</w:t>
      </w:r>
      <w:r w:rsidRPr="0FD73C6D">
        <w:t xml:space="preserve"> identif</w:t>
      </w:r>
      <w:r>
        <w:t xml:space="preserve">ication </w:t>
      </w:r>
      <w:r w:rsidRPr="0FD73C6D">
        <w:t xml:space="preserve">gambling harm to avoid serious harm developing. </w:t>
      </w:r>
      <w:r>
        <w:t>There were</w:t>
      </w:r>
      <w:r w:rsidRPr="0FD73C6D">
        <w:t xml:space="preserve"> two campaign phases </w:t>
      </w:r>
      <w:r>
        <w:t>across</w:t>
      </w:r>
      <w:r w:rsidRPr="0FD73C6D">
        <w:t xml:space="preserve"> 21 weeks over </w:t>
      </w:r>
      <w:r>
        <w:t>2022 and 2023</w:t>
      </w:r>
      <w:r w:rsidRPr="0FD73C6D">
        <w:t xml:space="preserve">. The </w:t>
      </w:r>
      <w:r>
        <w:t>campaign</w:t>
      </w:r>
      <w:r w:rsidRPr="0FD73C6D">
        <w:t xml:space="preserve"> consists of a 60</w:t>
      </w:r>
      <w:r>
        <w:t>-second</w:t>
      </w:r>
      <w:r w:rsidRPr="0FD73C6D">
        <w:t xml:space="preserve"> </w:t>
      </w:r>
      <w:r>
        <w:t>and</w:t>
      </w:r>
      <w:r w:rsidRPr="0FD73C6D">
        <w:t xml:space="preserve"> five 15</w:t>
      </w:r>
      <w:r>
        <w:t>-second</w:t>
      </w:r>
      <w:r w:rsidRPr="0FD73C6D">
        <w:t xml:space="preserve"> early warning signs videos. These were </w:t>
      </w:r>
      <w:r>
        <w:t>aired across</w:t>
      </w:r>
      <w:r w:rsidRPr="0FD73C6D">
        <w:t xml:space="preserve"> various channels</w:t>
      </w:r>
      <w:r>
        <w:t>,</w:t>
      </w:r>
      <w:r w:rsidRPr="0FD73C6D">
        <w:t xml:space="preserve"> including </w:t>
      </w:r>
      <w:r>
        <w:t>television and</w:t>
      </w:r>
      <w:r w:rsidRPr="0FD73C6D">
        <w:t xml:space="preserve"> </w:t>
      </w:r>
      <w:r>
        <w:t>d</w:t>
      </w:r>
      <w:r w:rsidRPr="0FD73C6D">
        <w:t xml:space="preserve">igital channels </w:t>
      </w:r>
      <w:r>
        <w:t xml:space="preserve">such as </w:t>
      </w:r>
      <w:r w:rsidRPr="0FD73C6D">
        <w:t>YouTube</w:t>
      </w:r>
      <w:r>
        <w:t xml:space="preserve">, </w:t>
      </w:r>
      <w:r w:rsidRPr="0FD73C6D">
        <w:t>Facebook, display ad</w:t>
      </w:r>
      <w:r>
        <w:t>vertising and</w:t>
      </w:r>
      <w:r w:rsidRPr="0FD73C6D">
        <w:t xml:space="preserve"> remarketing.</w:t>
      </w:r>
    </w:p>
    <w:p w14:paraId="1F6D993D" w14:textId="77777777" w:rsidR="002D20D2" w:rsidRPr="00C61A96" w:rsidRDefault="002D20D2" w:rsidP="002D20D2"/>
    <w:p w14:paraId="4A9C73FB" w14:textId="41AFF172" w:rsidR="002D20D2" w:rsidRDefault="002D20D2" w:rsidP="002D20D2">
      <w:pPr>
        <w:rPr>
          <w:rFonts w:cstheme="minorHAnsi"/>
          <w:lang w:eastAsia="en-NZ"/>
        </w:rPr>
      </w:pPr>
      <w:r w:rsidRPr="00C61A96">
        <w:rPr>
          <w:rFonts w:cstheme="minorHAnsi"/>
          <w:lang w:val="en-US" w:eastAsia="en-NZ"/>
        </w:rPr>
        <w:t xml:space="preserve">Overall, the evaluation of Nan’s Song has shown it is </w:t>
      </w:r>
      <w:r w:rsidRPr="00C61A96">
        <w:rPr>
          <w:rFonts w:cstheme="minorHAnsi"/>
        </w:rPr>
        <w:t>effective</w:t>
      </w:r>
      <w:r w:rsidR="00FA3BD1">
        <w:rPr>
          <w:rFonts w:cstheme="minorHAnsi"/>
        </w:rPr>
        <w:t>,</w:t>
      </w:r>
      <w:r w:rsidRPr="00C61A96">
        <w:rPr>
          <w:rFonts w:cstheme="minorHAnsi"/>
        </w:rPr>
        <w:t xml:space="preserve"> well liked and the </w:t>
      </w:r>
      <w:r w:rsidRPr="00C61A96">
        <w:rPr>
          <w:rFonts w:cstheme="minorHAnsi"/>
          <w:lang w:eastAsia="en-NZ"/>
        </w:rPr>
        <w:t>education message is reaching the priorit</w:t>
      </w:r>
      <w:r>
        <w:rPr>
          <w:rFonts w:cstheme="minorHAnsi"/>
          <w:lang w:eastAsia="en-NZ"/>
        </w:rPr>
        <w:t>y</w:t>
      </w:r>
      <w:r w:rsidRPr="00C61A96">
        <w:rPr>
          <w:rFonts w:cstheme="minorHAnsi"/>
          <w:lang w:eastAsia="en-NZ"/>
        </w:rPr>
        <w:t xml:space="preserve"> audience for early intervention.</w:t>
      </w:r>
    </w:p>
    <w:p w14:paraId="5A6BB923" w14:textId="77777777" w:rsidR="002D20D2" w:rsidRPr="00F34820" w:rsidRDefault="002D20D2" w:rsidP="00776367">
      <w:pPr>
        <w:pStyle w:val="Heading4"/>
        <w:rPr>
          <w:lang w:eastAsia="en-NZ"/>
        </w:rPr>
      </w:pPr>
      <w:r w:rsidRPr="00F34820">
        <w:rPr>
          <w:lang w:eastAsia="en-NZ"/>
        </w:rPr>
        <w:lastRenderedPageBreak/>
        <w:t>Public Health Service Providers</w:t>
      </w:r>
    </w:p>
    <w:p w14:paraId="71AA66BA" w14:textId="0AAB34DE" w:rsidR="002D20D2" w:rsidRDefault="002D20D2" w:rsidP="52103CC6">
      <w:pPr>
        <w:rPr>
          <w:rFonts w:cstheme="minorBidi"/>
          <w:lang w:eastAsia="en-NZ"/>
        </w:rPr>
      </w:pPr>
      <w:r w:rsidRPr="52103CC6">
        <w:rPr>
          <w:rFonts w:cstheme="minorBidi"/>
          <w:lang w:eastAsia="en-NZ"/>
        </w:rPr>
        <w:t xml:space="preserve">Public health services develop annual work plans that outline how they will deliver and monitor public health activities. During the current </w:t>
      </w:r>
      <w:r w:rsidR="00D562D3" w:rsidRPr="52103CC6">
        <w:rPr>
          <w:rFonts w:cstheme="minorBidi"/>
          <w:lang w:eastAsia="en-NZ"/>
        </w:rPr>
        <w:t>Strategy</w:t>
      </w:r>
      <w:r w:rsidRPr="52103CC6">
        <w:rPr>
          <w:rFonts w:cstheme="minorBidi"/>
          <w:lang w:eastAsia="en-NZ"/>
        </w:rPr>
        <w:t xml:space="preserve"> period, public health services worked with communities and priority populations to reduce gambling-related harm and inequities. They enabled whānau, communities/hapori and iwi to take action and improve the health of the population by supporting them to have greater say in policies at both the local and national level. They work with gambling venues/operators to improve harm minimisation practices and provide safer environments for people who gamble. </w:t>
      </w:r>
    </w:p>
    <w:p w14:paraId="2F2A42C8" w14:textId="77777777" w:rsidR="002D20D2" w:rsidRPr="00776367" w:rsidRDefault="002D20D2" w:rsidP="00776367">
      <w:pPr>
        <w:pStyle w:val="Heading4"/>
      </w:pPr>
      <w:r w:rsidRPr="00776367">
        <w:t>Gambling Harm Awareness Week</w:t>
      </w:r>
    </w:p>
    <w:p w14:paraId="0350B340" w14:textId="77777777" w:rsidR="002D20D2" w:rsidRPr="00C61A96" w:rsidRDefault="002D20D2" w:rsidP="002D20D2">
      <w:r>
        <w:rPr>
          <w:rFonts w:cstheme="minorHAnsi"/>
          <w:noProof/>
          <w:lang w:eastAsia="en-NZ"/>
        </w:rPr>
        <mc:AlternateContent>
          <mc:Choice Requires="wpg">
            <w:drawing>
              <wp:anchor distT="0" distB="71755" distL="114300" distR="114300" simplePos="0" relativeHeight="251658241" behindDoc="0" locked="0" layoutInCell="1" allowOverlap="1" wp14:anchorId="6519814E" wp14:editId="398B8F5B">
                <wp:simplePos x="0" y="0"/>
                <wp:positionH relativeFrom="margin">
                  <wp:posOffset>0</wp:posOffset>
                </wp:positionH>
                <wp:positionV relativeFrom="paragraph">
                  <wp:posOffset>108585</wp:posOffset>
                </wp:positionV>
                <wp:extent cx="2163600" cy="1573200"/>
                <wp:effectExtent l="0" t="0" r="8255" b="8255"/>
                <wp:wrapSquare wrapText="bothSides"/>
                <wp:docPr id="1138564617" name="Group 11385646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63600" cy="1573200"/>
                          <a:chOff x="0" y="0"/>
                          <a:chExt cx="2163699" cy="1575409"/>
                        </a:xfrm>
                      </wpg:grpSpPr>
                      <pic:pic xmlns:pic="http://schemas.openxmlformats.org/drawingml/2006/picture">
                        <pic:nvPicPr>
                          <pic:cNvPr id="422378610" name="Picture 215055177" descr="Screens screenshot of a phone&#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060704" y="534009"/>
                            <a:ext cx="1102995" cy="1041400"/>
                          </a:xfrm>
                          <a:prstGeom prst="rect">
                            <a:avLst/>
                          </a:prstGeom>
                        </pic:spPr>
                      </pic:pic>
                      <pic:pic xmlns:pic="http://schemas.openxmlformats.org/drawingml/2006/picture">
                        <pic:nvPicPr>
                          <pic:cNvPr id="1041549334" name="Picture 1947970666" descr="A yellow card with blue text&#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9350" cy="11709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479211" id="Group 1138564617" o:spid="_x0000_s1026" alt="&quot;&quot;" style="position:absolute;margin-left:0;margin-top:8.55pt;width:170.35pt;height:123.85pt;z-index:251658241;mso-wrap-distance-bottom:5.65pt;mso-position-horizontal-relative:margin;mso-width-relative:margin;mso-height-relative:margin" coordsize="21636,15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055177" o:spid="_x0000_s1027" type="#_x0000_t75" alt="Screens screenshot of a phone&#10;&#10;Description automatically generated" style="position:absolute;left:10607;top:5340;width:11029;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">
                  <v:imagedata r:id="rId32" o:title="Screens screenshot of a phone&#10;&#10;Description automatically generated"/>
                </v:shape>
                <v:shape id="Picture 1947970666" o:spid="_x0000_s1028" type="#_x0000_t75" alt="A yellow card with blue text&#10;&#10;Description automatically generated" style="position:absolute;width:11493;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">
                  <v:imagedata r:id="rId33" o:title="A yellow card with blue text&#10;&#10;Description automatically generated"/>
                </v:shape>
                <w10:wrap type="square" anchorx="margin"/>
              </v:group>
            </w:pict>
          </mc:Fallback>
        </mc:AlternateContent>
      </w:r>
      <w:r w:rsidRPr="52103CC6">
        <w:rPr>
          <w:lang w:eastAsia="en-NZ"/>
        </w:rPr>
        <w:t xml:space="preserve">This event occurs annually on the first week of September. Activities are delivered by public health service providers across the country that aim to raise awareness of gambling harm within communities. In 2023, Health New Zealand’s Health Promotion team delivered a social media campaign that was designed around the Kōrero Cards resource and aimed to help people start difficult conversations about harmful gambling, reach out for support and promote local services and free counselling available across the country. The campaign ran on Facebook, Instagram and TikTok, reaching over 400,000 people. </w:t>
      </w:r>
    </w:p>
    <w:p w14:paraId="49F94164" w14:textId="77777777" w:rsidR="002D20D2" w:rsidRPr="00776367" w:rsidRDefault="002D20D2" w:rsidP="00776367">
      <w:pPr>
        <w:pStyle w:val="Heading4"/>
      </w:pPr>
      <w:r w:rsidRPr="00776367">
        <w:t>Destigmatisation work</w:t>
      </w:r>
    </w:p>
    <w:p w14:paraId="7A4E7A6F" w14:textId="77777777" w:rsidR="002D20D2" w:rsidRDefault="002D20D2" w:rsidP="002D20D2">
      <w:r w:rsidRPr="00C61A96">
        <w:rPr>
          <w:b/>
          <w:bCs/>
          <w:i/>
          <w:iCs/>
          <w:noProof/>
          <w:lang w:val="en-US" w:eastAsia="en-NZ"/>
        </w:rPr>
        <w:drawing>
          <wp:anchor distT="0" distB="71755" distL="114300" distR="114300" simplePos="0" relativeHeight="251658242" behindDoc="0" locked="0" layoutInCell="1" allowOverlap="1" wp14:anchorId="0F6EB079" wp14:editId="2474DE3C">
            <wp:simplePos x="0" y="0"/>
            <wp:positionH relativeFrom="margin">
              <wp:posOffset>3190875</wp:posOffset>
            </wp:positionH>
            <wp:positionV relativeFrom="paragraph">
              <wp:posOffset>18415</wp:posOffset>
            </wp:positionV>
            <wp:extent cx="1915200" cy="1083600"/>
            <wp:effectExtent l="0" t="0" r="8890" b="2540"/>
            <wp:wrapSquare wrapText="bothSides"/>
            <wp:docPr id="1406128101" name="Picture 1406128101"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11727" name="Picture 1" descr="A person sitting in a chai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5200" cy="1083600"/>
                    </a:xfrm>
                    <a:prstGeom prst="rect">
                      <a:avLst/>
                    </a:prstGeom>
                  </pic:spPr>
                </pic:pic>
              </a:graphicData>
            </a:graphic>
            <wp14:sizeRelH relativeFrom="margin">
              <wp14:pctWidth>0</wp14:pctWidth>
            </wp14:sizeRelH>
            <wp14:sizeRelV relativeFrom="margin">
              <wp14:pctHeight>0</wp14:pctHeight>
            </wp14:sizeRelV>
          </wp:anchor>
        </w:drawing>
      </w:r>
      <w:r w:rsidRPr="00C61A96">
        <w:rPr>
          <w:lang w:val="en-US" w:eastAsia="en-NZ"/>
        </w:rPr>
        <w:t xml:space="preserve">The Let’s Kōrero </w:t>
      </w:r>
      <w:r>
        <w:rPr>
          <w:lang w:val="en-US" w:eastAsia="en-NZ"/>
        </w:rPr>
        <w:t>s</w:t>
      </w:r>
      <w:r w:rsidRPr="00C61A96">
        <w:rPr>
          <w:lang w:val="en-US" w:eastAsia="en-NZ"/>
        </w:rPr>
        <w:t xml:space="preserve">eries was the first </w:t>
      </w:r>
      <w:r>
        <w:rPr>
          <w:lang w:val="en-US" w:eastAsia="en-NZ"/>
        </w:rPr>
        <w:t>stage</w:t>
      </w:r>
      <w:r w:rsidRPr="00C61A96">
        <w:rPr>
          <w:lang w:val="en-US" w:eastAsia="en-NZ"/>
        </w:rPr>
        <w:t xml:space="preserve"> of the destigmatisation project Health Promotion is working on. </w:t>
      </w:r>
      <w:r w:rsidRPr="00C61A96">
        <w:t>The strategic direction was to use Māori influencers to drive engagement</w:t>
      </w:r>
      <w:r>
        <w:t xml:space="preserve"> </w:t>
      </w:r>
      <w:r w:rsidRPr="00C61A96">
        <w:t>and discussion about gambling harm and associated stigmas for Māori. Promotional activit</w:t>
      </w:r>
      <w:r>
        <w:t>ies</w:t>
      </w:r>
      <w:r w:rsidRPr="00C61A96">
        <w:t xml:space="preserve"> ran for eight weeks across TikTok, Instagram and LinkedIn</w:t>
      </w:r>
      <w:r>
        <w:t xml:space="preserve"> and reached</w:t>
      </w:r>
      <w:r w:rsidRPr="00C61A96">
        <w:t xml:space="preserve"> 1.2</w:t>
      </w:r>
      <w:r>
        <w:t xml:space="preserve"> million</w:t>
      </w:r>
      <w:r w:rsidRPr="00C61A96">
        <w:t xml:space="preserve"> people</w:t>
      </w:r>
      <w:r>
        <w:t xml:space="preserve">. In all, </w:t>
      </w:r>
      <w:r w:rsidRPr="00C61A96">
        <w:t>9.6</w:t>
      </w:r>
      <w:r>
        <w:t xml:space="preserve"> million</w:t>
      </w:r>
      <w:r w:rsidRPr="00C61A96">
        <w:t xml:space="preserve"> impressions </w:t>
      </w:r>
      <w:r>
        <w:t xml:space="preserve">were </w:t>
      </w:r>
      <w:r w:rsidRPr="00C61A96">
        <w:t xml:space="preserve">delivered, with 105,071 engagements (likes, shares, reactions, comments). </w:t>
      </w:r>
    </w:p>
    <w:p w14:paraId="2FBBF4C1" w14:textId="77777777" w:rsidR="002D20D2" w:rsidRDefault="002D20D2" w:rsidP="002D20D2"/>
    <w:p w14:paraId="58A9507A" w14:textId="77777777" w:rsidR="002D20D2" w:rsidRDefault="002D20D2" w:rsidP="002D20D2">
      <w:r w:rsidRPr="52103CC6">
        <w:rPr>
          <w:lang w:eastAsia="en-NZ"/>
        </w:rPr>
        <w:t xml:space="preserve">Overall, the campaign performed strongly, reaching and engaging the priority audience. It sparked reflection and </w:t>
      </w:r>
      <w:r w:rsidRPr="52103CC6">
        <w:t xml:space="preserve">conversation about the evolution of culture/mātauranga to address current challenges, such as addiction, stigma and discrimination. </w:t>
      </w:r>
    </w:p>
    <w:p w14:paraId="72813348" w14:textId="77777777" w:rsidR="002D20D2" w:rsidRPr="00776367" w:rsidRDefault="002D20D2" w:rsidP="00776367">
      <w:pPr>
        <w:pStyle w:val="Heading3"/>
      </w:pPr>
      <w:r w:rsidRPr="00776367">
        <w:t xml:space="preserve">Research </w:t>
      </w:r>
    </w:p>
    <w:p w14:paraId="61993EA0" w14:textId="43175AA2" w:rsidR="002D20D2" w:rsidRDefault="002D20D2" w:rsidP="52103CC6">
      <w:pPr>
        <w:rPr>
          <w:rFonts w:eastAsia="Calibri"/>
        </w:rPr>
      </w:pPr>
      <w:r w:rsidRPr="52103CC6">
        <w:rPr>
          <w:rFonts w:eastAsia="Calibri"/>
        </w:rPr>
        <w:t>During the 2022/23 to 2024/25 levy period, the Ministry commissioned 18 research projects, a needs assessment and a service evaluation as part of the gambling harm research programme. The research included a longitudinal study of Pacific young adults, a gambling survey</w:t>
      </w:r>
      <w:r w:rsidR="00D47EFF">
        <w:rPr>
          <w:rFonts w:eastAsia="Calibri"/>
        </w:rPr>
        <w:t xml:space="preserve"> (the 2023/24 NZGS)</w:t>
      </w:r>
      <w:r w:rsidRPr="52103CC6">
        <w:rPr>
          <w:rFonts w:eastAsia="Calibri"/>
        </w:rPr>
        <w:t xml:space="preserve">, research into children’s exposure to gambling and the gambling experience of young people, older people and Asian </w:t>
      </w:r>
      <w:r w:rsidRPr="52103CC6">
        <w:rPr>
          <w:rFonts w:eastAsia="Calibri"/>
        </w:rPr>
        <w:lastRenderedPageBreak/>
        <w:t xml:space="preserve">people, and research on relapse, complementary therapies, </w:t>
      </w:r>
      <w:r w:rsidR="00726531">
        <w:rPr>
          <w:rFonts w:eastAsia="Calibri"/>
        </w:rPr>
        <w:t xml:space="preserve">and </w:t>
      </w:r>
      <w:r w:rsidRPr="52103CC6">
        <w:rPr>
          <w:rFonts w:eastAsia="Calibri"/>
        </w:rPr>
        <w:t>the financial and social costs of gambling to New Zealand</w:t>
      </w:r>
      <w:r w:rsidR="00726531">
        <w:rPr>
          <w:rFonts w:eastAsia="Calibri"/>
        </w:rPr>
        <w:t xml:space="preserve">. </w:t>
      </w:r>
      <w:r w:rsidRPr="52103CC6">
        <w:rPr>
          <w:rFonts w:eastAsia="Calibri"/>
        </w:rPr>
        <w:t xml:space="preserve"> </w:t>
      </w:r>
    </w:p>
    <w:p w14:paraId="4F046880" w14:textId="77777777" w:rsidR="002D20D2" w:rsidRDefault="002D20D2" w:rsidP="002D20D2">
      <w:pPr>
        <w:rPr>
          <w:rFonts w:eastAsia="Calibri"/>
        </w:rPr>
      </w:pPr>
    </w:p>
    <w:p w14:paraId="7729D14F" w14:textId="77777777" w:rsidR="002D20D2" w:rsidRDefault="002D20D2" w:rsidP="52103CC6">
      <w:pPr>
        <w:rPr>
          <w:rFonts w:eastAsia="Calibri"/>
        </w:rPr>
      </w:pPr>
      <w:r w:rsidRPr="52103CC6">
        <w:rPr>
          <w:rFonts w:eastAsia="Calibri"/>
        </w:rPr>
        <w:t>Together, these projects address the research priorities identified in the Strategy and support the strategic objectives. Once completed, their findings will provide needed evidence for decision making.</w:t>
      </w:r>
    </w:p>
    <w:p w14:paraId="1A4FC999" w14:textId="77777777" w:rsidR="002D20D2" w:rsidRDefault="002D20D2" w:rsidP="002D20D2">
      <w:pPr>
        <w:rPr>
          <w:rFonts w:eastAsia="Calibri"/>
        </w:rPr>
      </w:pPr>
    </w:p>
    <w:p w14:paraId="01F5BCD7" w14:textId="548143E9" w:rsidR="002D20D2" w:rsidRDefault="002D20D2" w:rsidP="002D20D2">
      <w:pPr>
        <w:rPr>
          <w:rFonts w:eastAsia="Calibri"/>
        </w:rPr>
      </w:pPr>
      <w:r w:rsidRPr="00C7152E">
        <w:rPr>
          <w:rFonts w:eastAsia="Calibri"/>
        </w:rPr>
        <w:t>You can read more about th</w:t>
      </w:r>
      <w:r w:rsidRPr="78A89496">
        <w:rPr>
          <w:rFonts w:eastAsia="Calibri"/>
        </w:rPr>
        <w:t>e</w:t>
      </w:r>
      <w:r w:rsidRPr="00C7152E">
        <w:rPr>
          <w:rFonts w:eastAsia="Calibri"/>
        </w:rPr>
        <w:t xml:space="preserve"> commissioned research </w:t>
      </w:r>
      <w:r>
        <w:rPr>
          <w:rFonts w:eastAsia="Calibri"/>
        </w:rPr>
        <w:t>on the Current research projects webpage on the Ministry’s website</w:t>
      </w:r>
      <w:r w:rsidRPr="31341978">
        <w:rPr>
          <w:rFonts w:eastAsia="Calibri"/>
        </w:rPr>
        <w:t>:</w:t>
      </w:r>
      <w:r w:rsidRPr="00C7152E">
        <w:rPr>
          <w:rFonts w:eastAsia="Calibri"/>
        </w:rPr>
        <w:t xml:space="preserve"> </w:t>
      </w:r>
    </w:p>
    <w:p w14:paraId="4B5A37CE" w14:textId="69338D28" w:rsidR="002D20D2" w:rsidRDefault="00D60679" w:rsidP="002D20D2">
      <w:pPr>
        <w:rPr>
          <w:rFonts w:eastAsia="Calibri"/>
        </w:rPr>
      </w:pPr>
      <w:hyperlink r:id="rId35" w:anchor="mig">
        <w:r w:rsidR="002D20D2" w:rsidRPr="4756513D">
          <w:rPr>
            <w:rStyle w:val="Hyperlink"/>
            <w:rFonts w:eastAsia="Calibri"/>
          </w:rPr>
          <w:t>health.govt.nz/statistics-research/research/gambling-harm-research-and-evaluation/current-research-projects</w:t>
        </w:r>
      </w:hyperlink>
    </w:p>
    <w:p w14:paraId="46B18689" w14:textId="77777777" w:rsidR="002D20D2" w:rsidRDefault="002D20D2" w:rsidP="002D20D2">
      <w:pPr>
        <w:rPr>
          <w:rFonts w:eastAsia="Calibri"/>
        </w:rPr>
      </w:pPr>
    </w:p>
    <w:p w14:paraId="2383226B" w14:textId="77777777" w:rsidR="002D20D2" w:rsidRPr="00C7152E" w:rsidRDefault="002D20D2" w:rsidP="002D20D2">
      <w:pPr>
        <w:rPr>
          <w:rFonts w:eastAsia="Calibri"/>
        </w:rPr>
      </w:pPr>
      <w:r>
        <w:rPr>
          <w:rFonts w:eastAsia="Calibri"/>
        </w:rPr>
        <w:t xml:space="preserve">The Ministry has </w:t>
      </w:r>
      <w:r w:rsidRPr="699536BF">
        <w:rPr>
          <w:rFonts w:eastAsia="Calibri"/>
        </w:rPr>
        <w:t xml:space="preserve">also </w:t>
      </w:r>
      <w:r w:rsidRPr="00C7152E">
        <w:rPr>
          <w:rFonts w:eastAsia="Calibri"/>
        </w:rPr>
        <w:t>published several research reports that were commissioned during the 2019/20</w:t>
      </w:r>
      <w:r>
        <w:rPr>
          <w:rFonts w:eastAsia="Calibri"/>
        </w:rPr>
        <w:t xml:space="preserve"> to </w:t>
      </w:r>
      <w:r w:rsidRPr="00C7152E">
        <w:rPr>
          <w:rFonts w:eastAsia="Calibri"/>
        </w:rPr>
        <w:t xml:space="preserve">2021/22 </w:t>
      </w:r>
      <w:r>
        <w:rPr>
          <w:rFonts w:eastAsia="Calibri"/>
        </w:rPr>
        <w:t>S</w:t>
      </w:r>
      <w:r w:rsidRPr="00C7152E">
        <w:rPr>
          <w:rFonts w:eastAsia="Calibri"/>
        </w:rPr>
        <w:t xml:space="preserve">trategy period. These reports provide </w:t>
      </w:r>
      <w:r w:rsidRPr="1D2DF531">
        <w:rPr>
          <w:rFonts w:eastAsia="Calibri"/>
        </w:rPr>
        <w:t>insights i</w:t>
      </w:r>
      <w:r w:rsidRPr="00C7152E">
        <w:rPr>
          <w:rFonts w:eastAsia="Calibri"/>
        </w:rPr>
        <w:t>n</w:t>
      </w:r>
      <w:r>
        <w:rPr>
          <w:rFonts w:eastAsia="Calibri"/>
        </w:rPr>
        <w:t>to</w:t>
      </w:r>
      <w:r w:rsidRPr="00C7152E">
        <w:rPr>
          <w:rFonts w:eastAsia="Calibri"/>
        </w:rPr>
        <w:t>:</w:t>
      </w:r>
    </w:p>
    <w:p w14:paraId="78CC24E1" w14:textId="19AC185C" w:rsidR="002D20D2" w:rsidRPr="00D34E51" w:rsidRDefault="002D20D2" w:rsidP="002D20D2">
      <w:pPr>
        <w:pStyle w:val="Bullet"/>
        <w:tabs>
          <w:tab w:val="clear" w:pos="284"/>
        </w:tabs>
        <w:rPr>
          <w:rFonts w:eastAsia="Calibri"/>
        </w:rPr>
      </w:pPr>
      <w:r w:rsidRPr="00D34E51">
        <w:rPr>
          <w:rFonts w:eastAsia="Calibri"/>
        </w:rPr>
        <w:t xml:space="preserve">the </w:t>
      </w:r>
      <w:r w:rsidRPr="00BA7FA0">
        <w:rPr>
          <w:rFonts w:eastAsia="Lucida Sans Unicode"/>
        </w:rPr>
        <w:t>adequacy</w:t>
      </w:r>
      <w:r w:rsidRPr="00D34E51">
        <w:rPr>
          <w:rFonts w:eastAsia="Calibri"/>
        </w:rPr>
        <w:t xml:space="preserve"> of Gamgard</w:t>
      </w:r>
      <w:r>
        <w:rPr>
          <w:rStyle w:val="FootnoteReference"/>
          <w:rFonts w:eastAsia="Calibri"/>
        </w:rPr>
        <w:footnoteReference w:id="40"/>
      </w:r>
      <w:r w:rsidRPr="00D34E51">
        <w:rPr>
          <w:rFonts w:eastAsia="Calibri"/>
        </w:rPr>
        <w:t xml:space="preserve"> as a preliminary screen of risk of gambling harm associated with games (</w:t>
      </w:r>
      <w:r w:rsidRPr="005731E7">
        <w:rPr>
          <w:rFonts w:eastAsia="Calibri"/>
        </w:rPr>
        <w:t xml:space="preserve">Frith B, </w:t>
      </w:r>
      <w:r>
        <w:rPr>
          <w:rFonts w:eastAsia="Calibri"/>
        </w:rPr>
        <w:t>et al</w:t>
      </w:r>
      <w:r w:rsidRPr="005731E7">
        <w:rPr>
          <w:rFonts w:eastAsia="Calibri"/>
        </w:rPr>
        <w:t xml:space="preserve">. 2021. </w:t>
      </w:r>
      <w:r w:rsidRPr="00440560">
        <w:rPr>
          <w:rFonts w:eastAsia="Calibri"/>
          <w:i/>
          <w:iCs/>
        </w:rPr>
        <w:t>Gamgard Evaluation</w:t>
      </w:r>
      <w:r w:rsidRPr="005731E7">
        <w:rPr>
          <w:rFonts w:eastAsia="Calibri"/>
        </w:rPr>
        <w:t>. Lower Hutt: WSP.</w:t>
      </w:r>
      <w:r>
        <w:rPr>
          <w:rFonts w:eastAsia="Calibri"/>
        </w:rPr>
        <w:t xml:space="preserve"> URL: </w:t>
      </w:r>
      <w:hyperlink r:id="rId36" w:history="1">
        <w:r w:rsidR="00B60500">
          <w:rPr>
            <w:rStyle w:val="Hyperlink"/>
            <w:rFonts w:eastAsia="Segoe UI"/>
          </w:rPr>
          <w:t>health.govt.nz/publications/gamgard-evaluation</w:t>
        </w:r>
      </w:hyperlink>
      <w:r w:rsidR="00905E60">
        <w:rPr>
          <w:rFonts w:eastAsia="Calibri"/>
        </w:rPr>
        <w:t>)</w:t>
      </w:r>
    </w:p>
    <w:p w14:paraId="4AAFCCEA" w14:textId="3141E7BB" w:rsidR="002D20D2" w:rsidRPr="00D34E51" w:rsidRDefault="002D20D2" w:rsidP="002D20D2">
      <w:pPr>
        <w:pStyle w:val="Bullet"/>
        <w:tabs>
          <w:tab w:val="clear" w:pos="284"/>
        </w:tabs>
        <w:rPr>
          <w:rFonts w:eastAsia="Calibri"/>
        </w:rPr>
      </w:pPr>
      <w:r w:rsidRPr="00BA7FA0">
        <w:rPr>
          <w:rFonts w:eastAsia="Lucida Sans Unicode"/>
        </w:rPr>
        <w:t>potential</w:t>
      </w:r>
      <w:r w:rsidRPr="00D34E51">
        <w:rPr>
          <w:rFonts w:eastAsia="Calibri"/>
        </w:rPr>
        <w:t xml:space="preserve"> link</w:t>
      </w:r>
      <w:r>
        <w:rPr>
          <w:rFonts w:eastAsia="Calibri"/>
        </w:rPr>
        <w:t>s</w:t>
      </w:r>
      <w:r w:rsidRPr="00D34E51">
        <w:rPr>
          <w:rFonts w:eastAsia="Calibri"/>
        </w:rPr>
        <w:t xml:space="preserve"> between online gaming and gambling for Pacific youth (</w:t>
      </w:r>
      <w:r w:rsidRPr="000A4DCC">
        <w:rPr>
          <w:rFonts w:eastAsia="Calibri"/>
        </w:rPr>
        <w:t xml:space="preserve">Taufa S, </w:t>
      </w:r>
      <w:r>
        <w:rPr>
          <w:rFonts w:eastAsia="Calibri"/>
        </w:rPr>
        <w:t>et al</w:t>
      </w:r>
      <w:r w:rsidRPr="000A4DCC">
        <w:rPr>
          <w:rFonts w:eastAsia="Calibri"/>
        </w:rPr>
        <w:t xml:space="preserve">. 2021. </w:t>
      </w:r>
      <w:r w:rsidRPr="00440560">
        <w:rPr>
          <w:rFonts w:eastAsia="Calibri"/>
          <w:i/>
          <w:iCs/>
        </w:rPr>
        <w:t>Pasifika Youth Online Gaming and Gambling Research: Are online video games a gateway to problem gambling among Pasifika youth?</w:t>
      </w:r>
      <w:r>
        <w:rPr>
          <w:rFonts w:eastAsia="Segoe UI"/>
        </w:rPr>
        <w:t xml:space="preserve"> Auckland: Mapu Maia. URL: </w:t>
      </w:r>
      <w:hyperlink r:id="rId37" w:history="1">
        <w:r w:rsidR="00E6181D">
          <w:rPr>
            <w:rStyle w:val="Hyperlink"/>
            <w:rFonts w:eastAsia="Segoe UI"/>
          </w:rPr>
          <w:t>health.govt.nz/publications/pasifika-youth-online-gaming-and-gambling-research-are-online-video-games-a-gateway-to-problem</w:t>
        </w:r>
      </w:hyperlink>
      <w:r w:rsidRPr="00D34E51">
        <w:rPr>
          <w:rFonts w:eastAsia="Calibri"/>
        </w:rPr>
        <w:t xml:space="preserve">) </w:t>
      </w:r>
    </w:p>
    <w:p w14:paraId="55550C8A" w14:textId="5BA04C94" w:rsidR="002D20D2" w:rsidRDefault="002D20D2" w:rsidP="002D20D2">
      <w:pPr>
        <w:pStyle w:val="Bullet"/>
        <w:tabs>
          <w:tab w:val="clear" w:pos="284"/>
        </w:tabs>
        <w:rPr>
          <w:rFonts w:eastAsia="Calibri"/>
        </w:rPr>
      </w:pPr>
      <w:r w:rsidRPr="00D34E51">
        <w:rPr>
          <w:rFonts w:eastAsia="Calibri"/>
        </w:rPr>
        <w:t xml:space="preserve">the </w:t>
      </w:r>
      <w:r w:rsidRPr="00BA7FA0">
        <w:rPr>
          <w:rFonts w:eastAsia="Lucida Sans Unicode"/>
        </w:rPr>
        <w:t>estimated</w:t>
      </w:r>
      <w:r w:rsidRPr="00D34E51">
        <w:rPr>
          <w:rFonts w:eastAsia="Calibri"/>
        </w:rPr>
        <w:t xml:space="preserve"> lengths and sizes of categories of gambling harm on individuals and affected others overtime (even after the cessation of problem gambling) (</w:t>
      </w:r>
      <w:r w:rsidRPr="00697985">
        <w:rPr>
          <w:rFonts w:eastAsia="Calibri"/>
        </w:rPr>
        <w:t xml:space="preserve">Palmer du Preez K, </w:t>
      </w:r>
      <w:r>
        <w:rPr>
          <w:rFonts w:eastAsia="Calibri"/>
        </w:rPr>
        <w:t>et al</w:t>
      </w:r>
      <w:r w:rsidRPr="00697985">
        <w:rPr>
          <w:rFonts w:eastAsia="Calibri"/>
        </w:rPr>
        <w:t xml:space="preserve">. 2020. </w:t>
      </w:r>
      <w:r w:rsidRPr="00440560">
        <w:rPr>
          <w:rFonts w:eastAsia="Calibri"/>
          <w:i/>
          <w:iCs/>
        </w:rPr>
        <w:t>Enhancing Support Provided to Family and Affected Others in New Zealand Gambling Services: An exploratory mixed methods study</w:t>
      </w:r>
      <w:r w:rsidRPr="00697985">
        <w:rPr>
          <w:rFonts w:eastAsia="Calibri"/>
        </w:rPr>
        <w:t>. Auckland: Auckland University of Technology, Gambling and Addictions Research Centre.</w:t>
      </w:r>
      <w:r>
        <w:rPr>
          <w:rFonts w:eastAsia="Calibri"/>
        </w:rPr>
        <w:t xml:space="preserve"> URL: </w:t>
      </w:r>
      <w:hyperlink r:id="rId38" w:history="1">
        <w:r w:rsidR="005F52FA">
          <w:rPr>
            <w:rStyle w:val="Hyperlink"/>
            <w:rFonts w:eastAsia="Segoe UI"/>
          </w:rPr>
          <w:t>health.govt.nz/publications/enhancing-support-provided-to-family-and-affected-others-in-new-zealand-gambling-services-an</w:t>
        </w:r>
      </w:hyperlink>
      <w:r w:rsidRPr="00D34E51">
        <w:rPr>
          <w:rFonts w:eastAsia="Calibri"/>
        </w:rPr>
        <w:t xml:space="preserve">) </w:t>
      </w:r>
    </w:p>
    <w:p w14:paraId="3ACEFAAD" w14:textId="77777777" w:rsidR="002D20D2" w:rsidRPr="00D34E51" w:rsidRDefault="002D20D2" w:rsidP="52103CC6">
      <w:pPr>
        <w:pStyle w:val="Bullet"/>
        <w:tabs>
          <w:tab w:val="clear" w:pos="284"/>
        </w:tabs>
        <w:rPr>
          <w:rFonts w:eastAsia="Calibri"/>
        </w:rPr>
      </w:pPr>
      <w:r w:rsidRPr="52103CC6">
        <w:rPr>
          <w:rFonts w:eastAsia="Calibri"/>
        </w:rPr>
        <w:t>how services can be more tailored to support family and friends affected by someone’s problem gambling behaviour, which include a combination of cognitive and cue exposure therapy (CBT), motivational interviewing, workbooks, follow-up calls, peer support and residential programmes</w:t>
      </w:r>
      <w:r w:rsidRPr="52103CC6">
        <w:rPr>
          <w:rStyle w:val="FootnoteReference"/>
          <w:rFonts w:eastAsia="Calibri"/>
        </w:rPr>
        <w:footnoteReference w:id="41"/>
      </w:r>
      <w:r w:rsidRPr="52103CC6">
        <w:rPr>
          <w:rFonts w:eastAsia="Calibri"/>
          <w:vertAlign w:val="superscript"/>
        </w:rPr>
        <w:t>,</w:t>
      </w:r>
      <w:r w:rsidRPr="52103CC6">
        <w:rPr>
          <w:rStyle w:val="FootnoteReference"/>
          <w:rFonts w:eastAsia="Calibri"/>
        </w:rPr>
        <w:footnoteReference w:id="42"/>
      </w:r>
    </w:p>
    <w:p w14:paraId="317391F2" w14:textId="77777777" w:rsidR="002D20D2" w:rsidRDefault="002D20D2" w:rsidP="002D20D2">
      <w:pPr>
        <w:pStyle w:val="Bullet"/>
        <w:tabs>
          <w:tab w:val="clear" w:pos="284"/>
        </w:tabs>
        <w:rPr>
          <w:rFonts w:eastAsia="Calibri"/>
        </w:rPr>
      </w:pPr>
      <w:r>
        <w:rPr>
          <w:rFonts w:eastAsia="Calibri"/>
        </w:rPr>
        <w:t xml:space="preserve">a </w:t>
      </w:r>
      <w:r w:rsidRPr="00BA7FA0">
        <w:rPr>
          <w:rFonts w:eastAsia="Lucida Sans Unicode"/>
        </w:rPr>
        <w:t>literature</w:t>
      </w:r>
      <w:r>
        <w:rPr>
          <w:rFonts w:eastAsia="Calibri"/>
        </w:rPr>
        <w:t xml:space="preserve"> review of peer worker roles in preventing and minimising gambling harm</w:t>
      </w:r>
      <w:r>
        <w:rPr>
          <w:rStyle w:val="FootnoteReference"/>
          <w:rFonts w:eastAsia="Calibri"/>
        </w:rPr>
        <w:footnoteReference w:id="43"/>
      </w:r>
      <w:r>
        <w:rPr>
          <w:rFonts w:eastAsia="Calibri"/>
        </w:rPr>
        <w:t xml:space="preserve"> </w:t>
      </w:r>
    </w:p>
    <w:p w14:paraId="39B2B540" w14:textId="77777777" w:rsidR="002D20D2" w:rsidRDefault="002D20D2" w:rsidP="002D20D2">
      <w:pPr>
        <w:pStyle w:val="Bullet"/>
        <w:tabs>
          <w:tab w:val="clear" w:pos="284"/>
        </w:tabs>
        <w:rPr>
          <w:rFonts w:eastAsia="Calibri"/>
        </w:rPr>
      </w:pPr>
      <w:r>
        <w:rPr>
          <w:rFonts w:eastAsia="Calibri"/>
        </w:rPr>
        <w:lastRenderedPageBreak/>
        <w:t xml:space="preserve">a </w:t>
      </w:r>
      <w:r w:rsidRPr="00BA7FA0">
        <w:rPr>
          <w:rFonts w:eastAsia="Lucida Sans Unicode"/>
        </w:rPr>
        <w:t>literature</w:t>
      </w:r>
      <w:r>
        <w:rPr>
          <w:rFonts w:eastAsia="Calibri"/>
        </w:rPr>
        <w:t xml:space="preserve"> review of the provision and effectiveness of residential treatment programmes</w:t>
      </w:r>
      <w:r>
        <w:rPr>
          <w:rStyle w:val="FootnoteReference"/>
          <w:rFonts w:eastAsia="Calibri"/>
        </w:rPr>
        <w:footnoteReference w:id="44"/>
      </w:r>
    </w:p>
    <w:p w14:paraId="17E024E8" w14:textId="4ADF1CEF" w:rsidR="002D20D2" w:rsidRPr="004A3B08" w:rsidRDefault="002D20D2" w:rsidP="52103CC6">
      <w:pPr>
        <w:pStyle w:val="Bullet"/>
        <w:tabs>
          <w:tab w:val="clear" w:pos="284"/>
        </w:tabs>
        <w:rPr>
          <w:lang w:eastAsia="en-NZ"/>
        </w:rPr>
      </w:pPr>
      <w:r w:rsidRPr="52103CC6">
        <w:rPr>
          <w:rFonts w:eastAsia="Calibri"/>
        </w:rPr>
        <w:t xml:space="preserve">the burden of life course, legacy and intergenerational gambling harms in New Zealand (Rockloff M, et al. 2021. </w:t>
      </w:r>
      <w:r w:rsidRPr="52103CC6">
        <w:rPr>
          <w:rFonts w:eastAsia="Calibri"/>
          <w:i/>
          <w:iCs/>
        </w:rPr>
        <w:t>Life Course and Legacy Gambling Harms in New Zealand</w:t>
      </w:r>
      <w:r w:rsidRPr="52103CC6">
        <w:rPr>
          <w:rFonts w:eastAsia="Calibri"/>
        </w:rPr>
        <w:t xml:space="preserve">. Queensland: Central Queensland University, Experimental Gambling Research Laboratory and Auckland: Auckland University of Technology, Gambling and Addictions Research Centre. URL: </w:t>
      </w:r>
      <w:hyperlink r:id="rId39">
        <w:r w:rsidR="00E64ABE">
          <w:rPr>
            <w:rStyle w:val="Hyperlink"/>
            <w:rFonts w:eastAsia="Calibri"/>
          </w:rPr>
          <w:t>health.govt.nz/publications/life-course-and-legacy-gambling-harms-in-new-zealand</w:t>
        </w:r>
      </w:hyperlink>
      <w:r w:rsidR="17D1AFEC" w:rsidRPr="52103CC6">
        <w:rPr>
          <w:rFonts w:eastAsia="Calibri"/>
        </w:rPr>
        <w:t>).</w:t>
      </w:r>
    </w:p>
    <w:p w14:paraId="0CF484CB" w14:textId="77777777" w:rsidR="002D20D2" w:rsidRDefault="002D20D2" w:rsidP="002D20D2">
      <w:r>
        <w:br w:type="page"/>
      </w:r>
    </w:p>
    <w:p w14:paraId="04BB26F5" w14:textId="77777777" w:rsidR="00705A59" w:rsidRDefault="00705A59" w:rsidP="00705A59">
      <w:pPr>
        <w:pStyle w:val="Heading1"/>
      </w:pPr>
      <w:bookmarkStart w:id="19" w:name="_Toc197534197"/>
      <w:r>
        <w:lastRenderedPageBreak/>
        <w:t>Appendix Four: Further detail about the strategic framework</w:t>
      </w:r>
      <w:bookmarkEnd w:id="19"/>
      <w:r>
        <w:t xml:space="preserve"> </w:t>
      </w:r>
    </w:p>
    <w:p w14:paraId="1AD23749" w14:textId="77777777" w:rsidR="00705A59" w:rsidRDefault="00705A59" w:rsidP="00705A59">
      <w:pPr>
        <w:rPr>
          <w:rFonts w:eastAsia="Lucida Sans Unicode"/>
        </w:rPr>
      </w:pPr>
      <w:r w:rsidRPr="0046496F">
        <w:rPr>
          <w:rFonts w:eastAsia="Lucida Sans Unicode"/>
        </w:rPr>
        <w:t xml:space="preserve">In setting out the direction of travel for the next three years, </w:t>
      </w:r>
      <w:r>
        <w:rPr>
          <w:rFonts w:eastAsia="Lucida Sans Unicode"/>
        </w:rPr>
        <w:t>we have considered:</w:t>
      </w:r>
    </w:p>
    <w:p w14:paraId="0D9F9A6E" w14:textId="77777777" w:rsidR="00705A59" w:rsidRPr="0020196C" w:rsidRDefault="00705A59" w:rsidP="00705A59">
      <w:pPr>
        <w:pStyle w:val="Bullet"/>
        <w:rPr>
          <w:rFonts w:eastAsia="Lucida Sans Unicode"/>
        </w:rPr>
      </w:pPr>
      <w:r w:rsidRPr="0020196C">
        <w:rPr>
          <w:rFonts w:eastAsia="Lucida Sans Unicode"/>
        </w:rPr>
        <w:t>the Government’s priorities for the mental health and addiction sector</w:t>
      </w:r>
    </w:p>
    <w:p w14:paraId="3EF41633" w14:textId="77777777" w:rsidR="00705A59" w:rsidRPr="0020196C" w:rsidRDefault="00705A59" w:rsidP="00705A59">
      <w:pPr>
        <w:pStyle w:val="Bullet"/>
        <w:rPr>
          <w:rFonts w:eastAsia="Lucida Sans Unicode"/>
        </w:rPr>
      </w:pPr>
      <w:r w:rsidRPr="0020196C">
        <w:rPr>
          <w:rFonts w:eastAsia="Lucida Sans Unicode"/>
        </w:rPr>
        <w:t>the statutory requirement that the Strategy to Prevent and Minimise Gambling Harm (the Strategy) have a public health focus and the relevance of the current strategic outcomes in the 2022/23 to 2024/25 Strategy</w:t>
      </w:r>
    </w:p>
    <w:p w14:paraId="35046AC2" w14:textId="77777777" w:rsidR="00705A59" w:rsidRDefault="00705A59" w:rsidP="00705A59">
      <w:pPr>
        <w:pStyle w:val="Bullet"/>
        <w:rPr>
          <w:rFonts w:eastAsia="Lucida Sans Unicode"/>
        </w:rPr>
      </w:pPr>
      <w:r w:rsidRPr="0020196C">
        <w:rPr>
          <w:rFonts w:eastAsia="Lucida Sans Unicode"/>
        </w:rPr>
        <w:t>the findings of the needs assessment and the experiences of 2022/23 to 2024/25 Strategy, including the pressures in the current gambling environment.</w:t>
      </w:r>
    </w:p>
    <w:p w14:paraId="3FC04952" w14:textId="6EB18250" w:rsidR="000E68FE" w:rsidRPr="0020196C" w:rsidRDefault="000A3D11" w:rsidP="00705A59">
      <w:pPr>
        <w:pStyle w:val="Bullet"/>
        <w:rPr>
          <w:rFonts w:eastAsia="Lucida Sans Unicode"/>
        </w:rPr>
      </w:pPr>
      <w:r>
        <w:rPr>
          <w:rFonts w:eastAsia="Lucida Sans Unicode"/>
        </w:rPr>
        <w:t>s</w:t>
      </w:r>
      <w:r w:rsidR="000E68FE">
        <w:rPr>
          <w:rFonts w:eastAsia="Lucida Sans Unicode"/>
        </w:rPr>
        <w:t xml:space="preserve">ubmissions received on the draft </w:t>
      </w:r>
      <w:r w:rsidR="00301F7E">
        <w:rPr>
          <w:rFonts w:eastAsia="Lucida Sans Unicode"/>
        </w:rPr>
        <w:t>S</w:t>
      </w:r>
      <w:r w:rsidR="000E68FE">
        <w:rPr>
          <w:rFonts w:eastAsia="Lucida Sans Unicode"/>
        </w:rPr>
        <w:t>trategy consultation doc</w:t>
      </w:r>
      <w:r w:rsidR="00CB2590">
        <w:rPr>
          <w:rFonts w:eastAsia="Lucida Sans Unicode"/>
        </w:rPr>
        <w:t>u</w:t>
      </w:r>
      <w:r w:rsidR="000E68FE">
        <w:rPr>
          <w:rFonts w:eastAsia="Lucida Sans Unicode"/>
        </w:rPr>
        <w:t>ment</w:t>
      </w:r>
      <w:r w:rsidR="00CB2590">
        <w:rPr>
          <w:rFonts w:eastAsia="Lucida Sans Unicode"/>
        </w:rPr>
        <w:t xml:space="preserve"> and the Gambling Commissions 2025 report to responsible ministers</w:t>
      </w:r>
      <w:r w:rsidR="00301F7E">
        <w:rPr>
          <w:rFonts w:eastAsia="Lucida Sans Unicode"/>
        </w:rPr>
        <w:t>.</w:t>
      </w:r>
    </w:p>
    <w:p w14:paraId="05807237" w14:textId="77777777" w:rsidR="00705A59" w:rsidRPr="0020196C" w:rsidRDefault="00705A59" w:rsidP="00705A59">
      <w:pPr>
        <w:pStyle w:val="Heading2"/>
      </w:pPr>
      <w:bookmarkStart w:id="20" w:name="_Toc197534198"/>
      <w:r w:rsidRPr="0020196C">
        <w:t>The goal</w:t>
      </w:r>
      <w:bookmarkEnd w:id="20"/>
    </w:p>
    <w:p w14:paraId="2BAA6460" w14:textId="267E5D45" w:rsidR="00705A59" w:rsidRDefault="00705A59" w:rsidP="00705A59">
      <w:r>
        <w:t>The system goal is</w:t>
      </w:r>
      <w:r w:rsidR="00C675FF">
        <w:t>:</w:t>
      </w:r>
    </w:p>
    <w:p w14:paraId="42D979C9" w14:textId="12434C77" w:rsidR="00705A59" w:rsidRDefault="00705A59" w:rsidP="00705A59">
      <w:pPr>
        <w:spacing w:before="120" w:after="120"/>
        <w:ind w:left="720"/>
      </w:pPr>
      <w:r w:rsidRPr="00DB460D">
        <w:rPr>
          <w:i/>
        </w:rPr>
        <w:t>New Zealanders' quality of life and life expectancy are not affected by gambling harm</w:t>
      </w:r>
      <w:r>
        <w:rPr>
          <w:i/>
          <w:iCs/>
        </w:rPr>
        <w:t xml:space="preserve">. </w:t>
      </w:r>
    </w:p>
    <w:p w14:paraId="2C21F5BA" w14:textId="77777777" w:rsidR="00705A59" w:rsidRPr="0057705D" w:rsidRDefault="00705A59" w:rsidP="00705A59">
      <w:r w:rsidRPr="00032A67">
        <w:t>This</w:t>
      </w:r>
      <w:r>
        <w:t xml:space="preserve"> is a population or people-centred goal,</w:t>
      </w:r>
      <w:r w:rsidRPr="00032A67">
        <w:t xml:space="preserve"> reflect</w:t>
      </w:r>
      <w:r>
        <w:t>ing the notion that health is not merely the absence of disease or illness but the presence of positives, such as quality of life.</w:t>
      </w:r>
    </w:p>
    <w:p w14:paraId="2DDCB504" w14:textId="77777777" w:rsidR="00705A59" w:rsidRDefault="00705A59" w:rsidP="00705A59">
      <w:pPr>
        <w:pStyle w:val="Heading2"/>
      </w:pPr>
      <w:bookmarkStart w:id="21" w:name="_Toc197534199"/>
      <w:r>
        <w:t>The priorities</w:t>
      </w:r>
      <w:bookmarkEnd w:id="21"/>
    </w:p>
    <w:p w14:paraId="07192922" w14:textId="77777777" w:rsidR="00705A59" w:rsidRPr="004302EE" w:rsidRDefault="00705A59" w:rsidP="00705A59">
      <w:pPr>
        <w:pStyle w:val="Heading3"/>
      </w:pPr>
      <w:r>
        <w:t>I</w:t>
      </w:r>
      <w:r w:rsidRPr="004302EE">
        <w:t>ncreasing access to gambling harm support</w:t>
      </w:r>
    </w:p>
    <w:p w14:paraId="6B4BA62F" w14:textId="281CDFF0" w:rsidR="00705A59" w:rsidRDefault="00705A59" w:rsidP="52103CC6">
      <w:r w:rsidRPr="52103CC6">
        <w:t>Reducing barriers to accessing gambling harm intervention services is a priority and an ongoing challenge. In New Zealand, as internationally</w:t>
      </w:r>
      <w:r w:rsidRPr="52103CC6">
        <w:rPr>
          <w:rStyle w:val="FootnoteReference"/>
        </w:rPr>
        <w:footnoteReference w:id="45"/>
      </w:r>
      <w:r w:rsidRPr="52103CC6">
        <w:t xml:space="preserve">, a relatively small proportion of people who are suffering from gambling harm seek formal help. This is for a range of reasons, but for </w:t>
      </w:r>
      <w:r w:rsidR="1F0F4217" w:rsidRPr="52103CC6">
        <w:t xml:space="preserve">many </w:t>
      </w:r>
      <w:r w:rsidR="7E7733DE" w:rsidRPr="52103CC6">
        <w:t>people</w:t>
      </w:r>
      <w:r w:rsidRPr="52103CC6">
        <w:t xml:space="preserve">, we believe it is related to stigma as well as reasons common to all health services, such as accessibility and knowing about what services can offer. </w:t>
      </w:r>
      <w:r w:rsidR="000E31FB">
        <w:t xml:space="preserve">Respondents to the </w:t>
      </w:r>
      <w:r w:rsidR="00287ECE">
        <w:t xml:space="preserve">2023/24 NZGS </w:t>
      </w:r>
      <w:r w:rsidR="000E31FB">
        <w:t xml:space="preserve">indicated the </w:t>
      </w:r>
      <w:r w:rsidR="00287ECE">
        <w:t xml:space="preserve">most common reasons for not seeking help were ‘wanting to handle it themselves ‘, being worried ‘others might know’, or ‘not knowing how to access help’. </w:t>
      </w:r>
      <w:r w:rsidR="00287ECE">
        <w:rPr>
          <w:rStyle w:val="FootnoteReference"/>
        </w:rPr>
        <w:footnoteReference w:id="46"/>
      </w:r>
    </w:p>
    <w:p w14:paraId="5033590D" w14:textId="77777777" w:rsidR="00705A59" w:rsidRDefault="00705A59" w:rsidP="00705A59"/>
    <w:p w14:paraId="5CEC2ADA" w14:textId="33903901" w:rsidR="00705A59" w:rsidRDefault="00705A59" w:rsidP="00705A59">
      <w:r w:rsidRPr="52103CC6">
        <w:t xml:space="preserve">Increasing access to gambling harm services will </w:t>
      </w:r>
      <w:r w:rsidR="7DE25044" w:rsidRPr="52103CC6">
        <w:t xml:space="preserve">therefore </w:t>
      </w:r>
      <w:r w:rsidRPr="52103CC6">
        <w:t>require multiple approaches to be taken and persisted with, for example, focuses on destigmatisation, digital tools</w:t>
      </w:r>
      <w:r w:rsidR="00672DEF" w:rsidRPr="52103CC6">
        <w:t xml:space="preserve"> including self help</w:t>
      </w:r>
      <w:r w:rsidR="006962F2" w:rsidRPr="52103CC6">
        <w:t xml:space="preserve">, </w:t>
      </w:r>
      <w:r w:rsidR="00672DEF" w:rsidRPr="52103CC6">
        <w:t xml:space="preserve">how to </w:t>
      </w:r>
      <w:r w:rsidRPr="52103CC6">
        <w:t>access gambling harm support in primary health care services and gambling harm support service promotion.</w:t>
      </w:r>
    </w:p>
    <w:p w14:paraId="6B34D2F2" w14:textId="77777777" w:rsidR="00705A59" w:rsidRPr="004302EE" w:rsidRDefault="00705A59" w:rsidP="00705A59">
      <w:pPr>
        <w:pStyle w:val="Heading3"/>
      </w:pPr>
      <w:r>
        <w:t>G</w:t>
      </w:r>
      <w:r w:rsidRPr="004302EE">
        <w:t xml:space="preserve">rowing the gambling harm </w:t>
      </w:r>
      <w:r>
        <w:t xml:space="preserve">support </w:t>
      </w:r>
      <w:r w:rsidRPr="004302EE">
        <w:t xml:space="preserve">workforce </w:t>
      </w:r>
    </w:p>
    <w:p w14:paraId="648D8160" w14:textId="3EE7AAB6" w:rsidR="00705A59" w:rsidRPr="00225DF0" w:rsidRDefault="00705A59" w:rsidP="52103CC6">
      <w:pPr>
        <w:rPr>
          <w:rFonts w:eastAsia="Calibri"/>
        </w:rPr>
      </w:pPr>
      <w:r w:rsidRPr="52103CC6">
        <w:rPr>
          <w:rFonts w:eastAsia="Calibri"/>
        </w:rPr>
        <w:t xml:space="preserve">During the 2022/23 to 2024/25 levy period, the Ministry commissioned a </w:t>
      </w:r>
      <w:r w:rsidRPr="52103CC6">
        <w:t xml:space="preserve">needs assessment, which identified a need to grow the gambling harm support workforce – both clinical and lived experience/peer. </w:t>
      </w:r>
      <w:r w:rsidRPr="52103CC6">
        <w:rPr>
          <w:rFonts w:eastAsia="Calibri"/>
        </w:rPr>
        <w:t>Inflation has been running high for a couple of years, and wage costs have increased across many sectors, leading to strong competition for skilled and qualified workers.</w:t>
      </w:r>
    </w:p>
    <w:p w14:paraId="23A93CA2" w14:textId="77777777" w:rsidR="00705A59" w:rsidRDefault="00705A59" w:rsidP="00705A59">
      <w:pPr>
        <w:rPr>
          <w:rFonts w:eastAsia="Calibri"/>
        </w:rPr>
      </w:pPr>
    </w:p>
    <w:p w14:paraId="6B50B2A9" w14:textId="20E0DC83" w:rsidR="00705A59" w:rsidRDefault="00705A59" w:rsidP="00705A59">
      <w:r w:rsidRPr="52103CC6">
        <w:t xml:space="preserve">We need to take steps to both train and recruit new workers and retain current workers. </w:t>
      </w:r>
      <w:r w:rsidR="00BC1F3D" w:rsidRPr="52103CC6">
        <w:t>Similarly a</w:t>
      </w:r>
      <w:r w:rsidRPr="52103CC6">
        <w:t xml:space="preserve">pproaches to workforce support will require focusing </w:t>
      </w:r>
      <w:r w:rsidR="0001741D" w:rsidRPr="52103CC6">
        <w:t xml:space="preserve">solutions for </w:t>
      </w:r>
      <w:r w:rsidR="00EC4031" w:rsidRPr="52103CC6">
        <w:t xml:space="preserve">each of the </w:t>
      </w:r>
      <w:r w:rsidRPr="52103CC6">
        <w:t>different workforce segments, such as clinical and peer workers and early and late career professionals; increasing entry to the workforce while reducing early departures; and ensuring equity of remuneration between different part</w:t>
      </w:r>
      <w:r w:rsidR="00EC4031" w:rsidRPr="52103CC6">
        <w:t>s</w:t>
      </w:r>
      <w:r w:rsidRPr="52103CC6">
        <w:t xml:space="preserve"> of the mental health and addiction sector.</w:t>
      </w:r>
    </w:p>
    <w:p w14:paraId="11E2F80E" w14:textId="77777777" w:rsidR="00705A59" w:rsidRDefault="00705A59" w:rsidP="00705A59">
      <w:pPr>
        <w:pStyle w:val="Heading3"/>
      </w:pPr>
      <w:r>
        <w:t>S</w:t>
      </w:r>
      <w:r w:rsidRPr="004302EE">
        <w:t>trengthening the focus on prevention and early intervention in gambling harm</w:t>
      </w:r>
    </w:p>
    <w:p w14:paraId="4B52F1E6" w14:textId="13D8EF04" w:rsidR="00705A59" w:rsidRDefault="00705A59" w:rsidP="00705A59">
      <w:pPr>
        <w:keepLines/>
      </w:pPr>
      <w:r w:rsidRPr="52103CC6">
        <w:t>The harm prevention</w:t>
      </w:r>
      <w:r w:rsidR="7955012C" w:rsidRPr="52103CC6">
        <w:t xml:space="preserve"> </w:t>
      </w:r>
      <w:r w:rsidRPr="52103CC6">
        <w:t>focus of the Strategy means that prevention and early intervention will always be a strong feature</w:t>
      </w:r>
      <w:r w:rsidR="729601D5" w:rsidRPr="52103CC6">
        <w:t xml:space="preserve"> of its service delivery</w:t>
      </w:r>
      <w:r w:rsidR="32E180D1" w:rsidRPr="52103CC6">
        <w:t>.</w:t>
      </w:r>
      <w:r w:rsidRPr="52103CC6">
        <w:t xml:space="preserve"> We know that preventing gambling harm requires public health approaches that enhance healthy public policy and regulatory frameworks of gambling systems, products and environments; strengthens community action; delivers health promotion initiatives that raise awareness, provides education and promotes gambling harm destigmatisation, at the population level. </w:t>
      </w:r>
    </w:p>
    <w:p w14:paraId="4816E2F7" w14:textId="77777777" w:rsidR="00705A59" w:rsidRDefault="00705A59" w:rsidP="00705A59">
      <w:pPr>
        <w:keepLines/>
      </w:pPr>
    </w:p>
    <w:p w14:paraId="310DF27A" w14:textId="77777777" w:rsidR="00705A59" w:rsidRDefault="00705A59" w:rsidP="00705A59">
      <w:pPr>
        <w:keepLines/>
      </w:pPr>
      <w:r w:rsidRPr="52103CC6">
        <w:t xml:space="preserve">These activities can minimise harm by improving the environments in which people gamble, enabling community involvement in decisions about gambling in their communities and strengthening personal knowledge, including how to identify gambling harm at an early stage, and promote help-seeking behaviours. </w:t>
      </w:r>
    </w:p>
    <w:p w14:paraId="7F1BF680" w14:textId="77777777" w:rsidR="00705A59" w:rsidRDefault="00705A59" w:rsidP="00705A59">
      <w:pPr>
        <w:keepLines/>
      </w:pPr>
    </w:p>
    <w:p w14:paraId="6ECC97F0" w14:textId="6D784C74" w:rsidR="00705A59" w:rsidRDefault="00705A59" w:rsidP="00705A59">
      <w:pPr>
        <w:keepLines/>
      </w:pPr>
      <w:r>
        <w:t>Public health approaches need to respond to the changing gambling environment. Two areas of note and highlighted throughout the consultation process are the convergence of gambling and gaming and increased access to online gambling. Effective harm prevention and early intervention initiatives will need to be developed to address these evolving trends.</w:t>
      </w:r>
    </w:p>
    <w:p w14:paraId="39EDD3BD" w14:textId="77777777" w:rsidR="00705A59" w:rsidRDefault="00705A59" w:rsidP="00705A59">
      <w:pPr>
        <w:keepLines/>
      </w:pPr>
    </w:p>
    <w:p w14:paraId="73E0D5BF" w14:textId="0250CF42" w:rsidR="00705A59" w:rsidRPr="00092846" w:rsidRDefault="00705A59" w:rsidP="00705A59">
      <w:r>
        <w:t>Public health is a key approach to preventing harm from gambling from occurring. If</w:t>
      </w:r>
      <w:r w:rsidR="0EEA18EC">
        <w:t xml:space="preserve"> harm</w:t>
      </w:r>
      <w:r>
        <w:t xml:space="preserve"> does occur, an important way to intervene early is to maximise opportunities to promote integration and collaboration between the gambling harm sector, mental health and addiction services and primary and secondary health services.</w:t>
      </w:r>
    </w:p>
    <w:p w14:paraId="1374E34C" w14:textId="77777777" w:rsidR="00705A59" w:rsidRDefault="00705A59" w:rsidP="00705A59">
      <w:pPr>
        <w:pStyle w:val="Heading3"/>
      </w:pPr>
      <w:r>
        <w:lastRenderedPageBreak/>
        <w:t>I</w:t>
      </w:r>
      <w:r w:rsidRPr="004302EE">
        <w:t>mproving the effectiveness of gambling harm support</w:t>
      </w:r>
    </w:p>
    <w:p w14:paraId="06408519" w14:textId="77777777" w:rsidR="00705A59" w:rsidRPr="00092846" w:rsidRDefault="00705A59" w:rsidP="00705A59">
      <w:r w:rsidRPr="00092846">
        <w:t xml:space="preserve">The </w:t>
      </w:r>
      <w:r>
        <w:t>G</w:t>
      </w:r>
      <w:r w:rsidRPr="00092846">
        <w:t xml:space="preserve">ambling Act </w:t>
      </w:r>
      <w:r>
        <w:t xml:space="preserve">2003 </w:t>
      </w:r>
      <w:r w:rsidRPr="00092846">
        <w:t xml:space="preserve">requires the </w:t>
      </w:r>
      <w:r>
        <w:t>S</w:t>
      </w:r>
      <w:r w:rsidRPr="00092846">
        <w:t>trategy to include scientific research</w:t>
      </w:r>
      <w:r>
        <w:t xml:space="preserve">. This is essential – both to evaluate services and approaches to preventing and minimising gambling harm and to better understand the causes and nature of gambling behaviour and gambling harm. </w:t>
      </w:r>
    </w:p>
    <w:p w14:paraId="743EC32E" w14:textId="77777777" w:rsidR="00705A59" w:rsidRDefault="00705A59" w:rsidP="00705A59">
      <w:pPr>
        <w:pStyle w:val="Heading2"/>
      </w:pPr>
      <w:bookmarkStart w:id="22" w:name="_Toc197534200"/>
      <w:r>
        <w:t>Strategic outcomes</w:t>
      </w:r>
      <w:bookmarkEnd w:id="22"/>
    </w:p>
    <w:p w14:paraId="3AF45356" w14:textId="77777777" w:rsidR="00705A59" w:rsidRDefault="00705A59" w:rsidP="00705A59">
      <w:r w:rsidRPr="52103CC6">
        <w:t>The strategic framework contains a set of four outcomes to guide policy and services.</w:t>
      </w:r>
    </w:p>
    <w:p w14:paraId="249E5413" w14:textId="77777777" w:rsidR="00776367" w:rsidRDefault="00776367" w:rsidP="00705A59"/>
    <w:p w14:paraId="7CCD99C5" w14:textId="77777777" w:rsidR="00705A59" w:rsidRDefault="00705A59" w:rsidP="00705A59">
      <w:pPr>
        <w:pStyle w:val="Heading3"/>
        <w:spacing w:before="0"/>
      </w:pPr>
      <w:r>
        <w:t xml:space="preserve">Outcome 1 – </w:t>
      </w:r>
      <w:r w:rsidRPr="00EF0BB7">
        <w:t xml:space="preserve">There is a </w:t>
      </w:r>
      <w:r>
        <w:t xml:space="preserve">full </w:t>
      </w:r>
      <w:r w:rsidRPr="00EF0BB7">
        <w:t xml:space="preserve">spectrum of </w:t>
      </w:r>
      <w:r>
        <w:t xml:space="preserve">accessible </w:t>
      </w:r>
      <w:r w:rsidRPr="00EF0BB7">
        <w:t>services and support</w:t>
      </w:r>
      <w:r>
        <w:t>s</w:t>
      </w:r>
      <w:r w:rsidRPr="00EF0BB7">
        <w:t xml:space="preserve"> to prevent and minimise gambling harm</w:t>
      </w:r>
      <w:r>
        <w:t xml:space="preserve"> – </w:t>
      </w:r>
      <w:r w:rsidRPr="00EF0BB7">
        <w:t>from prevention to early intervention to specialist support</w:t>
      </w:r>
    </w:p>
    <w:p w14:paraId="7691143F" w14:textId="0A63E246" w:rsidR="00705A59" w:rsidRDefault="00705A59" w:rsidP="00705A59">
      <w:pPr>
        <w:rPr>
          <w:rFonts w:eastAsia="Lucida Sans Unicode"/>
        </w:rPr>
      </w:pPr>
      <w:r w:rsidRPr="00D2694F">
        <w:rPr>
          <w:rFonts w:eastAsia="Lucida Sans Unicode"/>
        </w:rPr>
        <w:t>This outcome acknowledges the importance of services and supports that prevent and minimise gambling-related harm. It in</w:t>
      </w:r>
      <w:r>
        <w:rPr>
          <w:rFonts w:eastAsia="Lucida Sans Unicode"/>
        </w:rPr>
        <w:t>terprets</w:t>
      </w:r>
      <w:r w:rsidRPr="00D2694F">
        <w:rPr>
          <w:rFonts w:eastAsia="Lucida Sans Unicode"/>
        </w:rPr>
        <w:t xml:space="preserve"> the public health concept </w:t>
      </w:r>
      <w:r>
        <w:rPr>
          <w:rFonts w:eastAsia="Lucida Sans Unicode"/>
        </w:rPr>
        <w:t>of the continuum of harms discussed in the consultation document to mean that since</w:t>
      </w:r>
      <w:r w:rsidRPr="00D2694F">
        <w:rPr>
          <w:rFonts w:eastAsia="Lucida Sans Unicode"/>
        </w:rPr>
        <w:t xml:space="preserve"> </w:t>
      </w:r>
      <w:r>
        <w:rPr>
          <w:rFonts w:eastAsia="Lucida Sans Unicode"/>
        </w:rPr>
        <w:t xml:space="preserve">the </w:t>
      </w:r>
      <w:r w:rsidRPr="00D2694F">
        <w:rPr>
          <w:rFonts w:eastAsia="Lucida Sans Unicode"/>
        </w:rPr>
        <w:t xml:space="preserve">needs and strengths of a population lie along a continuum or spectrum, support should </w:t>
      </w:r>
      <w:r>
        <w:rPr>
          <w:rFonts w:eastAsia="Lucida Sans Unicode"/>
        </w:rPr>
        <w:t>do the same</w:t>
      </w:r>
      <w:r w:rsidRPr="00D2694F">
        <w:rPr>
          <w:rFonts w:eastAsia="Lucida Sans Unicode"/>
        </w:rPr>
        <w:t>.</w:t>
      </w:r>
      <w:r>
        <w:rPr>
          <w:rFonts w:eastAsia="Lucida Sans Unicode"/>
        </w:rPr>
        <w:t xml:space="preserve"> </w:t>
      </w:r>
    </w:p>
    <w:p w14:paraId="36C2B47E" w14:textId="77777777" w:rsidR="00705A59" w:rsidRPr="00D2694F" w:rsidRDefault="00705A59" w:rsidP="00705A59">
      <w:pPr>
        <w:rPr>
          <w:rFonts w:eastAsia="Lucida Sans Unicode"/>
        </w:rPr>
      </w:pPr>
    </w:p>
    <w:p w14:paraId="66930623" w14:textId="77777777" w:rsidR="00705A59" w:rsidRDefault="00705A59" w:rsidP="52103CC6">
      <w:pPr>
        <w:rPr>
          <w:rFonts w:eastAsia="Lucida Sans Unicode"/>
        </w:rPr>
      </w:pPr>
      <w:r w:rsidRPr="52103CC6">
        <w:rPr>
          <w:rFonts w:eastAsia="Lucida Sans Unicode"/>
        </w:rPr>
        <w:t>This outcome will maintain momentum to address gaps in the spectrum of services and supports that are currently provided, particularly in the areas of clinical intervention, online services and peer support.</w:t>
      </w:r>
    </w:p>
    <w:p w14:paraId="315F47AE" w14:textId="77777777" w:rsidR="00705A59" w:rsidRDefault="00705A59" w:rsidP="00705A59">
      <w:pPr>
        <w:rPr>
          <w:rFonts w:eastAsia="Lucida Sans Unicode"/>
        </w:rPr>
      </w:pPr>
    </w:p>
    <w:p w14:paraId="2F4DA552" w14:textId="77777777" w:rsidR="00705A59" w:rsidRPr="00032A67" w:rsidRDefault="00705A59" w:rsidP="52103CC6">
      <w:pPr>
        <w:rPr>
          <w:rFonts w:eastAsia="Lucida Sans Unicode"/>
        </w:rPr>
      </w:pPr>
      <w:r w:rsidRPr="52103CC6">
        <w:rPr>
          <w:rFonts w:eastAsia="Lucida Sans Unicode"/>
        </w:rPr>
        <w:t>The proposed service plan sets out intentions to deliver a range of clinical services for different population groups and those experiencing different levels of harm (that is, from intensive support to light-touch/brief interventions in primary health care settings).</w:t>
      </w:r>
    </w:p>
    <w:p w14:paraId="50CBFCBA" w14:textId="77777777" w:rsidR="00705A59" w:rsidRPr="008827F3" w:rsidRDefault="00705A59" w:rsidP="00705A59">
      <w:pPr>
        <w:pStyle w:val="Heading3"/>
      </w:pPr>
      <w:r w:rsidRPr="008827F3">
        <w:t>O</w:t>
      </w:r>
      <w:r>
        <w:t>utcome</w:t>
      </w:r>
      <w:r w:rsidRPr="008827F3">
        <w:t xml:space="preserve"> 2</w:t>
      </w:r>
      <w:r>
        <w:t xml:space="preserve"> – Environment and s</w:t>
      </w:r>
      <w:r w:rsidRPr="00EF0BB7">
        <w:t>ocial</w:t>
      </w:r>
      <w:r>
        <w:t xml:space="preserve"> </w:t>
      </w:r>
      <w:r w:rsidRPr="00EF0BB7">
        <w:t>and cultural norms prevent and minimise harm from gambling</w:t>
      </w:r>
    </w:p>
    <w:p w14:paraId="3CAB3F6A" w14:textId="77777777" w:rsidR="00705A59" w:rsidRDefault="00705A59" w:rsidP="52103CC6">
      <w:pPr>
        <w:rPr>
          <w:rFonts w:eastAsia="Lucida Sans Unicode"/>
        </w:rPr>
      </w:pPr>
      <w:r w:rsidRPr="52103CC6">
        <w:rPr>
          <w:rFonts w:eastAsia="Lucida Sans Unicode"/>
        </w:rPr>
        <w:t>This outcome reflects a core aspect of the public health approach: a focus on building healthy environments through a range of methods, including public policy, health promotion and direct engagement with individuals, families/wh</w:t>
      </w:r>
      <w:r w:rsidRPr="52103CC6">
        <w:rPr>
          <w:rFonts w:eastAsia="Lucida Sans Unicode" w:cstheme="minorBidi"/>
        </w:rPr>
        <w:t>ā</w:t>
      </w:r>
      <w:r w:rsidRPr="52103CC6">
        <w:rPr>
          <w:rFonts w:eastAsia="Lucida Sans Unicode"/>
        </w:rPr>
        <w:t>nau and communities. This outcome is also informed by research findings that gambling behaviour, help-seeking behaviour and the concept of harm are all influenced by cultural and social norms, attitudes and beliefs.</w:t>
      </w:r>
    </w:p>
    <w:p w14:paraId="10ACA92A" w14:textId="77777777" w:rsidR="00705A59" w:rsidRDefault="00705A59" w:rsidP="00705A59">
      <w:pPr>
        <w:rPr>
          <w:rFonts w:eastAsia="Lucida Sans Unicode"/>
        </w:rPr>
      </w:pPr>
    </w:p>
    <w:p w14:paraId="4AE27A10" w14:textId="2FF46B96" w:rsidR="00705A59" w:rsidRDefault="00705A59" w:rsidP="00DB373E">
      <w:pPr>
        <w:rPr>
          <w:rFonts w:eastAsia="Lucida Sans Unicode"/>
        </w:rPr>
      </w:pPr>
      <w:r w:rsidRPr="1E2DDDDA">
        <w:rPr>
          <w:rFonts w:eastAsia="Lucida Sans Unicode"/>
        </w:rPr>
        <w:t xml:space="preserve">The outcome will support activities to </w:t>
      </w:r>
      <w:r w:rsidR="0B5E8DED" w:rsidRPr="1E2DDDDA">
        <w:rPr>
          <w:rFonts w:eastAsia="Lucida Sans Unicode"/>
        </w:rPr>
        <w:t xml:space="preserve">make gambling environments safer as well as </w:t>
      </w:r>
      <w:r w:rsidRPr="1E2DDDDA">
        <w:rPr>
          <w:rFonts w:eastAsia="Lucida Sans Unicode"/>
        </w:rPr>
        <w:t xml:space="preserve">increase public awareness about the nature of harmful gambling and how to provide </w:t>
      </w:r>
      <w:r w:rsidRPr="1E2DDDDA">
        <w:rPr>
          <w:rFonts w:eastAsia="Lucida Sans Unicode"/>
        </w:rPr>
        <w:lastRenderedPageBreak/>
        <w:t xml:space="preserve">support for </w:t>
      </w:r>
      <w:r w:rsidR="00526C21" w:rsidRPr="1E2DDDDA">
        <w:rPr>
          <w:rFonts w:eastAsia="Lucida Sans Unicode"/>
        </w:rPr>
        <w:t xml:space="preserve">people experiencing gambling harm and related </w:t>
      </w:r>
      <w:r w:rsidR="00515734" w:rsidRPr="1E2DDDDA">
        <w:rPr>
          <w:rFonts w:eastAsia="Lucida Sans Unicode"/>
        </w:rPr>
        <w:t>problems,</w:t>
      </w:r>
      <w:r w:rsidRPr="1E2DDDDA">
        <w:rPr>
          <w:rFonts w:eastAsia="Lucida Sans Unicode"/>
        </w:rPr>
        <w:t xml:space="preserve"> including destigmatisation. </w:t>
      </w:r>
    </w:p>
    <w:p w14:paraId="4ED02AA4" w14:textId="77777777" w:rsidR="00DB373E" w:rsidRPr="00BD1F3C" w:rsidRDefault="00DB373E" w:rsidP="00DB373E">
      <w:pPr>
        <w:rPr>
          <w:rFonts w:eastAsia="Lucida Sans Unicode"/>
        </w:rPr>
      </w:pPr>
    </w:p>
    <w:p w14:paraId="6D718E6D" w14:textId="0B993012" w:rsidR="00705A59" w:rsidRPr="00BD1F3C" w:rsidRDefault="00705A59" w:rsidP="00DB373E">
      <w:pPr>
        <w:rPr>
          <w:rFonts w:eastAsia="Lucida Sans Unicode"/>
        </w:rPr>
      </w:pPr>
      <w:r w:rsidRPr="52103CC6">
        <w:rPr>
          <w:rFonts w:eastAsia="Lucida Sans Unicode"/>
        </w:rPr>
        <w:t>The service plan contains a range of initiatives, including a focus on individual and community education about gambling harm and healthy choices, and on building healthy environments through a range of methods including public policy</w:t>
      </w:r>
      <w:r w:rsidR="00526C21" w:rsidRPr="52103CC6">
        <w:rPr>
          <w:rFonts w:eastAsia="Lucida Sans Unicode"/>
        </w:rPr>
        <w:t>,</w:t>
      </w:r>
      <w:r w:rsidRPr="52103CC6">
        <w:rPr>
          <w:rFonts w:eastAsia="Lucida Sans Unicode"/>
        </w:rPr>
        <w:t xml:space="preserve"> destigmatisation and supporting help-seeking.</w:t>
      </w:r>
    </w:p>
    <w:p w14:paraId="43D04DCD" w14:textId="3C699308" w:rsidR="62CBA64A" w:rsidRDefault="62CBA64A" w:rsidP="62CBA64A">
      <w:pPr>
        <w:pStyle w:val="pf0"/>
        <w:rPr>
          <w:rFonts w:ascii="Segoe UI" w:eastAsia="Lucida Sans Unicode" w:hAnsi="Segoe UI"/>
          <w:sz w:val="21"/>
          <w:szCs w:val="21"/>
          <w:lang w:eastAsia="en-GB"/>
        </w:rPr>
      </w:pPr>
    </w:p>
    <w:p w14:paraId="0605F304" w14:textId="77777777" w:rsidR="00705A59" w:rsidRDefault="00705A59" w:rsidP="00705A59">
      <w:pPr>
        <w:pStyle w:val="Heading3"/>
        <w:spacing w:before="0"/>
      </w:pPr>
      <w:r w:rsidRPr="008827F3">
        <w:t>O</w:t>
      </w:r>
      <w:r>
        <w:t>utcome</w:t>
      </w:r>
      <w:r w:rsidRPr="008827F3">
        <w:t xml:space="preserve"> </w:t>
      </w:r>
      <w:r>
        <w:t>3</w:t>
      </w:r>
      <w:r w:rsidRPr="008827F3">
        <w:t xml:space="preserve"> </w:t>
      </w:r>
      <w:r>
        <w:t>–</w:t>
      </w:r>
      <w:r w:rsidRPr="008827F3">
        <w:t xml:space="preserve"> </w:t>
      </w:r>
      <w:r>
        <w:t>There is s</w:t>
      </w:r>
      <w:r w:rsidRPr="00B12555">
        <w:t>trong</w:t>
      </w:r>
      <w:r>
        <w:t xml:space="preserve"> </w:t>
      </w:r>
      <w:r w:rsidRPr="00B12555">
        <w:t xml:space="preserve">leadership and accountability </w:t>
      </w:r>
      <w:r>
        <w:t>in</w:t>
      </w:r>
      <w:r w:rsidRPr="00B12555">
        <w:t xml:space="preserve"> the gambling harm prevention system</w:t>
      </w:r>
      <w:r>
        <w:t>, with</w:t>
      </w:r>
      <w:r w:rsidRPr="00B12555">
        <w:t xml:space="preserve"> decision</w:t>
      </w:r>
      <w:r>
        <w:t>-</w:t>
      </w:r>
      <w:r w:rsidRPr="00B12555">
        <w:t>making as close to communities as possible</w:t>
      </w:r>
    </w:p>
    <w:p w14:paraId="2D48A610" w14:textId="3B19E731" w:rsidR="00705A59" w:rsidRDefault="00705A59" w:rsidP="52103CC6">
      <w:pPr>
        <w:rPr>
          <w:rFonts w:eastAsia="Lucida Sans Unicode"/>
        </w:rPr>
      </w:pPr>
      <w:r w:rsidRPr="52103CC6">
        <w:rPr>
          <w:rFonts w:eastAsia="Lucida Sans Unicode"/>
        </w:rPr>
        <w:t xml:space="preserve">This outcome acknowledges that all systems require leadership, especially complex systems such as harm prevention and minimisation. Without leadership, any system tends to decay into disorganisation, leading to confusion, duplication and gaps; lost opportunities; increased risks and reduced benefits. The system to prevent and minimise gambling harm is part of the broader mental health and addiction and wellbeing sectors, adding further complexity. </w:t>
      </w:r>
    </w:p>
    <w:p w14:paraId="571783D6" w14:textId="77777777" w:rsidR="00705A59" w:rsidRDefault="00705A59" w:rsidP="00705A59">
      <w:pPr>
        <w:rPr>
          <w:rFonts w:eastAsia="Lucida Sans Unicode"/>
        </w:rPr>
      </w:pPr>
    </w:p>
    <w:p w14:paraId="3C298248" w14:textId="429B7C37" w:rsidR="00705A59" w:rsidRDefault="00705A59" w:rsidP="52103CC6">
      <w:pPr>
        <w:rPr>
          <w:rFonts w:eastAsia="Lucida Sans Unicode"/>
        </w:rPr>
      </w:pPr>
      <w:r w:rsidRPr="52103CC6">
        <w:rPr>
          <w:rFonts w:eastAsia="Lucida Sans Unicode"/>
        </w:rPr>
        <w:t xml:space="preserve">This outcome recognises the importance of strong system leadership to improve outcomes and complements DIA’s </w:t>
      </w:r>
      <w:r w:rsidR="00403727" w:rsidRPr="52103CC6">
        <w:rPr>
          <w:rFonts w:eastAsia="Lucida Sans Unicode"/>
        </w:rPr>
        <w:t>role as</w:t>
      </w:r>
      <w:r w:rsidR="00672887" w:rsidRPr="52103CC6">
        <w:rPr>
          <w:rFonts w:eastAsia="Lucida Sans Unicode"/>
        </w:rPr>
        <w:t xml:space="preserve"> </w:t>
      </w:r>
      <w:r w:rsidR="00403727" w:rsidRPr="52103CC6">
        <w:rPr>
          <w:rFonts w:eastAsia="Lucida Sans Unicode"/>
        </w:rPr>
        <w:t>regu</w:t>
      </w:r>
      <w:r w:rsidR="00672887" w:rsidRPr="52103CC6">
        <w:rPr>
          <w:rFonts w:eastAsia="Lucida Sans Unicode"/>
        </w:rPr>
        <w:t xml:space="preserve">lator </w:t>
      </w:r>
      <w:r w:rsidRPr="52103CC6">
        <w:rPr>
          <w:rFonts w:eastAsia="Lucida Sans Unicode"/>
        </w:rPr>
        <w:t xml:space="preserve">of the gambling regulatory system. Working towards this outcome will also </w:t>
      </w:r>
      <w:r w:rsidR="006F1944" w:rsidRPr="52103CC6">
        <w:rPr>
          <w:rFonts w:eastAsia="Lucida Sans Unicode"/>
        </w:rPr>
        <w:t xml:space="preserve">contribute to the </w:t>
      </w:r>
      <w:r w:rsidR="000E247A" w:rsidRPr="52103CC6">
        <w:rPr>
          <w:rFonts w:eastAsia="Lucida Sans Unicode"/>
        </w:rPr>
        <w:t xml:space="preserve">need for better coordination across government identified </w:t>
      </w:r>
      <w:r w:rsidR="00B446DB" w:rsidRPr="52103CC6">
        <w:rPr>
          <w:rFonts w:eastAsia="Lucida Sans Unicode"/>
        </w:rPr>
        <w:t xml:space="preserve">in the 2024 </w:t>
      </w:r>
      <w:r w:rsidRPr="52103CC6">
        <w:rPr>
          <w:rFonts w:eastAsia="Lucida Sans Unicode"/>
        </w:rPr>
        <w:t>needs assessment</w:t>
      </w:r>
      <w:r w:rsidR="00B446DB" w:rsidRPr="52103CC6">
        <w:rPr>
          <w:rFonts w:eastAsia="Lucida Sans Unicode"/>
        </w:rPr>
        <w:t>.</w:t>
      </w:r>
      <w:r w:rsidRPr="52103CC6">
        <w:rPr>
          <w:rFonts w:eastAsia="Lucida Sans Unicode"/>
        </w:rPr>
        <w:t xml:space="preserve"> Health New Zealand and the Ministry will play a strong leadership role in preventing and minimising gambling harm at the national level by engaging with and developing respectful partnerships and relationships with gambling harm services, gambling operators, researchers and communities. We will also continue to support communities to engage in decision-making about gambling at the local level and to support DIA as it develops gambling policy</w:t>
      </w:r>
      <w:r w:rsidR="46251D01" w:rsidRPr="52103CC6">
        <w:rPr>
          <w:rFonts w:eastAsia="Lucida Sans Unicode"/>
        </w:rPr>
        <w:t xml:space="preserve">, and to commission research to inform all </w:t>
      </w:r>
      <w:r w:rsidR="207BB8C5" w:rsidRPr="52103CC6">
        <w:rPr>
          <w:rFonts w:eastAsia="Lucida Sans Unicode"/>
        </w:rPr>
        <w:t>S</w:t>
      </w:r>
      <w:r w:rsidR="46251D01" w:rsidRPr="52103CC6">
        <w:rPr>
          <w:rFonts w:eastAsia="Lucida Sans Unicode"/>
        </w:rPr>
        <w:t>trategy activity</w:t>
      </w:r>
      <w:r w:rsidR="32E180D1" w:rsidRPr="52103CC6">
        <w:rPr>
          <w:rFonts w:eastAsia="Lucida Sans Unicode"/>
        </w:rPr>
        <w:t>.</w:t>
      </w:r>
    </w:p>
    <w:p w14:paraId="1F77E052" w14:textId="77777777" w:rsidR="00705A59" w:rsidRPr="00991E03" w:rsidRDefault="00705A59" w:rsidP="00705A59">
      <w:pPr>
        <w:pStyle w:val="Heading3"/>
      </w:pPr>
      <w:r w:rsidRPr="00991E03">
        <w:t>Outcome 4 – There is a system focus on those who are most at risk of harm from gambling</w:t>
      </w:r>
    </w:p>
    <w:p w14:paraId="54E56D4C" w14:textId="096B2D0A" w:rsidR="00705A59" w:rsidRPr="00075F89" w:rsidRDefault="00705A59" w:rsidP="52103CC6">
      <w:pPr>
        <w:rPr>
          <w:rFonts w:eastAsia="Lucida Sans Unicode"/>
          <w:highlight w:val="yellow"/>
          <w:lang w:eastAsia="en-US"/>
        </w:rPr>
      </w:pPr>
      <w:r w:rsidRPr="52103CC6">
        <w:rPr>
          <w:rFonts w:eastAsia="Lucida Sans Unicode"/>
          <w:lang w:eastAsia="en-US"/>
        </w:rPr>
        <w:t xml:space="preserve">This outcome addresses the evidence that gambling harm disproportionately affect some population groups more than others. Māori, Pacific peoples, Asian peoples and young people were priority populations for the 2022/23 to 2024/25 Strategy. We are not proposing any change to these priority populations because their needs and risks have not lessened to the point where active prioritisation is no longer required. </w:t>
      </w:r>
    </w:p>
    <w:p w14:paraId="009EEFB4" w14:textId="77777777" w:rsidR="00705A59" w:rsidRPr="0075731F" w:rsidRDefault="00705A59" w:rsidP="00705A59">
      <w:pPr>
        <w:rPr>
          <w:rFonts w:eastAsia="Lucida Sans Unicode"/>
          <w:lang w:eastAsia="en-US"/>
        </w:rPr>
      </w:pPr>
    </w:p>
    <w:p w14:paraId="6C5E7FDD" w14:textId="77777777" w:rsidR="00705A59" w:rsidRDefault="00705A59" w:rsidP="00705A59">
      <w:pPr>
        <w:rPr>
          <w:rFonts w:eastAsia="Lucida Sans Unicode"/>
        </w:rPr>
      </w:pPr>
      <w:r>
        <w:rPr>
          <w:rFonts w:eastAsia="Lucida Sans Unicode"/>
        </w:rPr>
        <w:t>The service proposals include a focus on young people as the most recent addition to the priority populations of the Strategy, as well as continuing support for kaupapa M</w:t>
      </w:r>
      <w:r>
        <w:rPr>
          <w:rFonts w:eastAsia="Lucida Sans Unicode" w:cstheme="minorHAnsi"/>
        </w:rPr>
        <w:t>ā</w:t>
      </w:r>
      <w:r>
        <w:rPr>
          <w:rFonts w:eastAsia="Lucida Sans Unicode"/>
        </w:rPr>
        <w:t>ori services nationwide.</w:t>
      </w:r>
    </w:p>
    <w:p w14:paraId="005C3953" w14:textId="77777777" w:rsidR="00705A59" w:rsidRPr="00776367" w:rsidRDefault="00705A59" w:rsidP="003542E6">
      <w:pPr>
        <w:pStyle w:val="Heading2"/>
      </w:pPr>
      <w:bookmarkStart w:id="23" w:name="_Toc197534201"/>
      <w:r w:rsidRPr="003542E6">
        <w:lastRenderedPageBreak/>
        <w:t>Actions</w:t>
      </w:r>
      <w:bookmarkEnd w:id="23"/>
    </w:p>
    <w:p w14:paraId="6D0FE3B7" w14:textId="77777777" w:rsidR="00705A59" w:rsidRDefault="00705A59" w:rsidP="00705A59">
      <w:r w:rsidRPr="52103CC6">
        <w:t>The framework contains 12 action areas, which map to both the strategic outcomes and the system priorities. All activity under the Strategy aims to progress these actions. The action areas are used to frame the service plan (see Appendix Four for more details on the service plan). This approach provides transparency and a line of sight from our strategic goals to the services and supports that are purchased. The action areas are as follows.</w:t>
      </w:r>
    </w:p>
    <w:p w14:paraId="159FD706" w14:textId="77777777" w:rsidR="00705A59" w:rsidRPr="00991E03" w:rsidRDefault="00705A59" w:rsidP="52103CC6">
      <w:pPr>
        <w:pStyle w:val="Bullet"/>
        <w:rPr>
          <w:rFonts w:eastAsia="Lucida Sans Unicode"/>
        </w:rPr>
      </w:pPr>
      <w:r w:rsidRPr="52103CC6">
        <w:rPr>
          <w:rFonts w:eastAsia="Lucida Sans Unicode"/>
        </w:rPr>
        <w:t>Barriers to accessing services and supports are identified and addressed systematically.</w:t>
      </w:r>
    </w:p>
    <w:p w14:paraId="3008C67D" w14:textId="77777777" w:rsidR="00705A59" w:rsidRPr="00991E03" w:rsidRDefault="00705A59" w:rsidP="52103CC6">
      <w:pPr>
        <w:pStyle w:val="Bullet"/>
        <w:rPr>
          <w:rFonts w:eastAsia="Lucida Sans Unicode"/>
        </w:rPr>
      </w:pPr>
      <w:r w:rsidRPr="52103CC6">
        <w:rPr>
          <w:rFonts w:eastAsia="Lucida Sans Unicode"/>
        </w:rPr>
        <w:t>Māori, Pacific peoples, Asian people, young people and people with lived experience are actively involved in harm prevention and minimisation efforts.</w:t>
      </w:r>
    </w:p>
    <w:p w14:paraId="5BB383EC" w14:textId="77777777" w:rsidR="00705A59" w:rsidRPr="00991E03" w:rsidRDefault="00705A59" w:rsidP="00705A59">
      <w:pPr>
        <w:pStyle w:val="Bullet"/>
        <w:rPr>
          <w:rFonts w:eastAsia="Lucida Sans Unicode"/>
        </w:rPr>
      </w:pPr>
      <w:r w:rsidRPr="00991E03">
        <w:rPr>
          <w:rFonts w:eastAsia="Lucida Sans Unicode"/>
        </w:rPr>
        <w:t>There are kaupapa Māori, Pacific, Asian and youth-centric services and supports available to those who want them.</w:t>
      </w:r>
    </w:p>
    <w:p w14:paraId="10D8DEC3" w14:textId="77777777" w:rsidR="00705A59" w:rsidRPr="00991E03" w:rsidRDefault="00705A59" w:rsidP="52103CC6">
      <w:pPr>
        <w:pStyle w:val="Bullet"/>
        <w:rPr>
          <w:rFonts w:eastAsia="Lucida Sans Unicode"/>
        </w:rPr>
      </w:pPr>
      <w:r w:rsidRPr="52103CC6">
        <w:rPr>
          <w:rFonts w:eastAsia="Lucida Sans Unicode"/>
        </w:rPr>
        <w:t>Quality, accessible and effective services are designed and delivered.</w:t>
      </w:r>
    </w:p>
    <w:p w14:paraId="6AE69323" w14:textId="77777777" w:rsidR="00705A59" w:rsidRPr="00991E03" w:rsidRDefault="00705A59" w:rsidP="52103CC6">
      <w:pPr>
        <w:pStyle w:val="Bullet"/>
        <w:rPr>
          <w:rFonts w:eastAsia="Lucida Sans Unicode"/>
        </w:rPr>
      </w:pPr>
      <w:r w:rsidRPr="52103CC6">
        <w:rPr>
          <w:rFonts w:eastAsia="Lucida Sans Unicode"/>
        </w:rPr>
        <w:t>Gambling operators are supported to prevent and minimise harm.</w:t>
      </w:r>
      <w:r w:rsidRPr="52103CC6">
        <w:rPr>
          <w:rStyle w:val="FootnoteReference"/>
          <w:rFonts w:eastAsia="Lucida Sans Unicode"/>
        </w:rPr>
        <w:footnoteReference w:id="47"/>
      </w:r>
    </w:p>
    <w:p w14:paraId="2AA79DAD" w14:textId="77777777" w:rsidR="00705A59" w:rsidRPr="00991E03" w:rsidRDefault="00705A59" w:rsidP="52103CC6">
      <w:pPr>
        <w:pStyle w:val="Bullet"/>
        <w:rPr>
          <w:rFonts w:eastAsia="Lucida Sans Unicode"/>
        </w:rPr>
      </w:pPr>
      <w:r w:rsidRPr="52103CC6">
        <w:rPr>
          <w:rFonts w:eastAsia="Lucida Sans Unicode"/>
        </w:rPr>
        <w:t>There is a skilled gambling harm prevention and minimisation workforce that includes lived experience and clinical expertise.</w:t>
      </w:r>
    </w:p>
    <w:p w14:paraId="7B58C857" w14:textId="77777777" w:rsidR="00705A59" w:rsidRPr="00991E03" w:rsidRDefault="00705A59" w:rsidP="00705A59">
      <w:pPr>
        <w:pStyle w:val="Bullet"/>
        <w:rPr>
          <w:rFonts w:eastAsia="Lucida Sans Unicode"/>
        </w:rPr>
      </w:pPr>
      <w:r w:rsidRPr="00991E03">
        <w:rPr>
          <w:rFonts w:eastAsia="Lucida Sans Unicode"/>
        </w:rPr>
        <w:t>People have the information and support to make healthy choices about gambling.</w:t>
      </w:r>
    </w:p>
    <w:p w14:paraId="180AB149" w14:textId="77777777" w:rsidR="00705A59" w:rsidRPr="00991E03" w:rsidRDefault="00705A59" w:rsidP="52103CC6">
      <w:pPr>
        <w:pStyle w:val="Bullet"/>
        <w:rPr>
          <w:rFonts w:eastAsia="Lucida Sans Unicode"/>
        </w:rPr>
      </w:pPr>
      <w:r w:rsidRPr="52103CC6">
        <w:rPr>
          <w:rFonts w:eastAsia="Lucida Sans Unicode"/>
        </w:rPr>
        <w:t>There are policies at national, regional and local levels that prevent and minimise gambling harm.</w:t>
      </w:r>
    </w:p>
    <w:p w14:paraId="6D4004C6" w14:textId="77777777" w:rsidR="00705A59" w:rsidRPr="00991E03" w:rsidRDefault="00705A59" w:rsidP="00705A59">
      <w:pPr>
        <w:pStyle w:val="Bullet"/>
        <w:rPr>
          <w:rFonts w:eastAsia="Lucida Sans Unicode"/>
        </w:rPr>
      </w:pPr>
      <w:r w:rsidRPr="00991E03">
        <w:rPr>
          <w:rFonts w:eastAsia="Lucida Sans Unicode"/>
        </w:rPr>
        <w:t xml:space="preserve">Stigma about gambling harm is addressed. </w:t>
      </w:r>
    </w:p>
    <w:p w14:paraId="4C04162B" w14:textId="77777777" w:rsidR="00705A59" w:rsidRPr="00991E03" w:rsidRDefault="00705A59" w:rsidP="52103CC6">
      <w:pPr>
        <w:pStyle w:val="Bullet"/>
        <w:rPr>
          <w:rFonts w:eastAsia="Lucida Sans Unicode"/>
        </w:rPr>
      </w:pPr>
      <w:r w:rsidRPr="52103CC6">
        <w:rPr>
          <w:rFonts w:eastAsia="Lucida Sans Unicode"/>
        </w:rPr>
        <w:t>People are supported to participate in decisions about gambling in their communities.</w:t>
      </w:r>
    </w:p>
    <w:p w14:paraId="53D33B5F" w14:textId="77777777" w:rsidR="00705A59" w:rsidRPr="00991E03" w:rsidRDefault="00705A59" w:rsidP="00705A59">
      <w:pPr>
        <w:pStyle w:val="Bullet"/>
        <w:rPr>
          <w:rFonts w:eastAsia="Lucida Sans Unicode"/>
        </w:rPr>
      </w:pPr>
      <w:r w:rsidRPr="00991E03">
        <w:rPr>
          <w:rFonts w:eastAsia="Lucida Sans Unicode"/>
        </w:rPr>
        <w:t>The legislative and regulatory framework for preventing and minimising harm from gambling is strong and effective.</w:t>
      </w:r>
    </w:p>
    <w:p w14:paraId="69999DDA" w14:textId="77777777" w:rsidR="00705A59" w:rsidRPr="00991E03" w:rsidRDefault="00705A59" w:rsidP="52103CC6">
      <w:pPr>
        <w:pStyle w:val="Bullet"/>
        <w:rPr>
          <w:rFonts w:eastAsia="Lucida Sans Unicode"/>
        </w:rPr>
      </w:pPr>
      <w:r w:rsidRPr="52103CC6">
        <w:rPr>
          <w:rFonts w:eastAsia="Lucida Sans Unicode"/>
        </w:rPr>
        <w:t>Technology, research and evidence inform policy and service design and delivery.</w:t>
      </w:r>
    </w:p>
    <w:p w14:paraId="45499514" w14:textId="77777777" w:rsidR="00705A59" w:rsidRDefault="00705A59" w:rsidP="00705A59"/>
    <w:p w14:paraId="32E8F4C9" w14:textId="77777777" w:rsidR="00705A59" w:rsidRDefault="00705A59" w:rsidP="00705A59">
      <w:r>
        <w:t>The action areas, taken together, describe an effective gambling harm prevention and minimisation system. Activity in some action areas is shared with the DIA, which (for example) sets policies at the national level that prevent and minimise gambling harm and requires and supports gambling operators to prevent and minimise harm.</w:t>
      </w:r>
    </w:p>
    <w:p w14:paraId="4745C661" w14:textId="77777777" w:rsidR="003542E6" w:rsidRPr="00FD7201" w:rsidRDefault="003542E6" w:rsidP="00AA4E79">
      <w:pPr>
        <w:pStyle w:val="Heading2"/>
      </w:pPr>
      <w:bookmarkStart w:id="24" w:name="_Toc188007207"/>
      <w:bookmarkStart w:id="25" w:name="_Toc197534202"/>
      <w:r w:rsidRPr="00FD7201">
        <w:t>Links to other strategic documents</w:t>
      </w:r>
      <w:bookmarkEnd w:id="24"/>
      <w:bookmarkEnd w:id="25"/>
    </w:p>
    <w:p w14:paraId="5AD849F5" w14:textId="4D66E53D" w:rsidR="003542E6" w:rsidRPr="00060BBD" w:rsidRDefault="003542E6" w:rsidP="003542E6">
      <w:pPr>
        <w:rPr>
          <w:lang w:val="en-GB"/>
        </w:rPr>
      </w:pPr>
      <w:r w:rsidRPr="2F6A6A80">
        <w:rPr>
          <w:lang w:val="en-GB"/>
        </w:rPr>
        <w:t xml:space="preserve">This </w:t>
      </w:r>
      <w:r w:rsidR="00F326E6">
        <w:rPr>
          <w:lang w:val="en-GB"/>
        </w:rPr>
        <w:t>S</w:t>
      </w:r>
      <w:r w:rsidRPr="2F6A6A80">
        <w:rPr>
          <w:lang w:val="en-GB"/>
        </w:rPr>
        <w:t xml:space="preserve">trategy does not work to prevent and minimisation harm from gambling </w:t>
      </w:r>
      <w:r>
        <w:rPr>
          <w:lang w:val="en-GB"/>
        </w:rPr>
        <w:t>in isolation</w:t>
      </w:r>
      <w:r w:rsidRPr="2F6A6A80">
        <w:rPr>
          <w:lang w:val="en-GB"/>
        </w:rPr>
        <w:t xml:space="preserve">. It is an element in a strategic network made up of a </w:t>
      </w:r>
      <w:r>
        <w:rPr>
          <w:lang w:val="en-GB"/>
        </w:rPr>
        <w:t xml:space="preserve">number of </w:t>
      </w:r>
      <w:r w:rsidRPr="2F6A6A80">
        <w:rPr>
          <w:lang w:val="en-GB"/>
        </w:rPr>
        <w:t xml:space="preserve">strategies and other directional documents that all work towards </w:t>
      </w:r>
      <w:r w:rsidR="007D739A">
        <w:rPr>
          <w:lang w:val="en-GB"/>
        </w:rPr>
        <w:t>better health outcomes</w:t>
      </w:r>
      <w:r w:rsidRPr="2F6A6A80">
        <w:rPr>
          <w:lang w:val="en-GB"/>
        </w:rPr>
        <w:t xml:space="preserve">. The main documents that the </w:t>
      </w:r>
      <w:r w:rsidR="00FE2270">
        <w:rPr>
          <w:lang w:val="en-GB"/>
        </w:rPr>
        <w:t>S</w:t>
      </w:r>
      <w:r w:rsidRPr="2F6A6A80">
        <w:rPr>
          <w:lang w:val="en-GB"/>
        </w:rPr>
        <w:t xml:space="preserve">trategy </w:t>
      </w:r>
      <w:r w:rsidR="007D739A">
        <w:rPr>
          <w:lang w:val="en-GB"/>
        </w:rPr>
        <w:t xml:space="preserve">aligns with </w:t>
      </w:r>
      <w:r w:rsidRPr="2F6A6A80">
        <w:rPr>
          <w:lang w:val="en-GB"/>
        </w:rPr>
        <w:t xml:space="preserve">are the </w:t>
      </w:r>
      <w:r w:rsidR="007D739A">
        <w:rPr>
          <w:lang w:val="en-GB"/>
        </w:rPr>
        <w:t>Government Policy Statement on Health 2024–2027,</w:t>
      </w:r>
      <w:r w:rsidRPr="2F6A6A80">
        <w:rPr>
          <w:lang w:val="en-GB"/>
        </w:rPr>
        <w:t xml:space="preserve"> the New Zealand Health Strategy, Pae T</w:t>
      </w:r>
      <w:r w:rsidRPr="2F6A6A80">
        <w:rPr>
          <w:rFonts w:cs="Segoe UI"/>
          <w:lang w:val="en-GB"/>
        </w:rPr>
        <w:t>ū</w:t>
      </w:r>
      <w:r w:rsidRPr="2F6A6A80">
        <w:rPr>
          <w:lang w:val="en-GB"/>
        </w:rPr>
        <w:t>: Hauora Māori Strategy; and the Oranga Hinengaro System and Service Framework.</w:t>
      </w:r>
      <w:r w:rsidR="005F3446">
        <w:rPr>
          <w:lang w:val="en-GB"/>
        </w:rPr>
        <w:t xml:space="preserve"> As well as the upcoming Mental Health and Wellbeing Strategy. </w:t>
      </w:r>
    </w:p>
    <w:p w14:paraId="60F36CD4" w14:textId="632BA3C5" w:rsidR="007D739A" w:rsidRDefault="007D739A" w:rsidP="003542E6">
      <w:pPr>
        <w:pStyle w:val="Heading3"/>
      </w:pPr>
      <w:r>
        <w:lastRenderedPageBreak/>
        <w:t>Government Policy Statement on Health</w:t>
      </w:r>
    </w:p>
    <w:p w14:paraId="703D352E" w14:textId="53F195CF" w:rsidR="007D739A" w:rsidRDefault="004E54B7" w:rsidP="003D6058">
      <w:r w:rsidRPr="004E54B7">
        <w:t>The Government Policy Statement on Health 2024</w:t>
      </w:r>
      <w:r w:rsidR="00C93839">
        <w:t>–</w:t>
      </w:r>
      <w:r w:rsidRPr="004E54B7">
        <w:t>27 is the public statement of what Government expects the health system to deliver and achieve</w:t>
      </w:r>
      <w:r>
        <w:t xml:space="preserve">. </w:t>
      </w:r>
      <w:r w:rsidR="00B911F5">
        <w:t>It s</w:t>
      </w:r>
      <w:r w:rsidR="00B911F5" w:rsidRPr="00B911F5">
        <w:t>ets the direction for the health system as a whole and incorporates the Government’s priorities.</w:t>
      </w:r>
    </w:p>
    <w:p w14:paraId="7668D981" w14:textId="77777777" w:rsidR="00B911F5" w:rsidRDefault="00B911F5" w:rsidP="003D6058"/>
    <w:p w14:paraId="025B9322" w14:textId="689B141C" w:rsidR="00B911F5" w:rsidRPr="007D739A" w:rsidRDefault="00C93839" w:rsidP="00AA4E79">
      <w:r w:rsidRPr="00C93839">
        <w:t xml:space="preserve">The </w:t>
      </w:r>
      <w:r w:rsidRPr="004E54B7">
        <w:t xml:space="preserve">Government Policy Statement </w:t>
      </w:r>
      <w:r w:rsidRPr="00C93839">
        <w:t>sets out five priority areas for the health system</w:t>
      </w:r>
      <w:r>
        <w:t xml:space="preserve">: access, timeliness, </w:t>
      </w:r>
      <w:r w:rsidR="00F71105">
        <w:t>quality, workforce, and infrastructure</w:t>
      </w:r>
      <w:r w:rsidR="00AA1FF8">
        <w:t xml:space="preserve"> (both digital and physical)</w:t>
      </w:r>
      <w:r w:rsidR="00F71105">
        <w:t xml:space="preserve">. These elements </w:t>
      </w:r>
      <w:r w:rsidR="00AA1FF8">
        <w:t xml:space="preserve">are reflected in the Strategy </w:t>
      </w:r>
      <w:r w:rsidR="008B7614">
        <w:t xml:space="preserve">and service plan actions. </w:t>
      </w:r>
    </w:p>
    <w:p w14:paraId="369A2A39" w14:textId="70BEC0B2" w:rsidR="003542E6" w:rsidRPr="00FD7201" w:rsidRDefault="003542E6" w:rsidP="003542E6">
      <w:pPr>
        <w:pStyle w:val="Heading3"/>
      </w:pPr>
      <w:r w:rsidRPr="00FD7201">
        <w:t>New Zealand Health Strategy</w:t>
      </w:r>
    </w:p>
    <w:p w14:paraId="5352ADF7" w14:textId="0325BAA6" w:rsidR="003542E6" w:rsidRDefault="00976222" w:rsidP="003542E6">
      <w:r>
        <w:t>The S</w:t>
      </w:r>
      <w:r w:rsidR="003542E6">
        <w:t>trategy is a contributor to the goals and vision of the New Zealand Health Strategy’s vision of pae ora, which is made up of mauri ora (healthy individuals), wh</w:t>
      </w:r>
      <w:r w:rsidR="003542E6">
        <w:rPr>
          <w:rFonts w:ascii="Calibri" w:hAnsi="Calibri" w:cs="Calibri"/>
        </w:rPr>
        <w:t>ā</w:t>
      </w:r>
      <w:r w:rsidR="003542E6">
        <w:t>nau ora (healthy families) and wai ora (healthy environments).</w:t>
      </w:r>
    </w:p>
    <w:p w14:paraId="25E8ADBB" w14:textId="77777777" w:rsidR="003542E6" w:rsidRDefault="003542E6" w:rsidP="003542E6"/>
    <w:p w14:paraId="6A5D9FF8" w14:textId="3EF7412C" w:rsidR="003542E6" w:rsidRDefault="003542E6" w:rsidP="003542E6">
      <w:r>
        <w:t xml:space="preserve">The Health Strategy presents six shifts that are required to move towards its goals and vision and each of these shifts is supported by the </w:t>
      </w:r>
      <w:r w:rsidR="00F326E6">
        <w:t>s</w:t>
      </w:r>
      <w:r>
        <w:t>trategic framework, and then one or more actions in the service plan.</w:t>
      </w:r>
    </w:p>
    <w:p w14:paraId="6A2CEA46" w14:textId="73329DA2" w:rsidR="003542E6" w:rsidRPr="00FD7201" w:rsidRDefault="003542E6" w:rsidP="003542E6">
      <w:pPr>
        <w:pStyle w:val="Heading3"/>
      </w:pPr>
      <w:r w:rsidRPr="00FD7201">
        <w:t xml:space="preserve">Oranga Hinengaro System and Service Framework </w:t>
      </w:r>
    </w:p>
    <w:p w14:paraId="58248074" w14:textId="7756BA47" w:rsidR="003542E6" w:rsidRPr="00863602" w:rsidRDefault="003542E6" w:rsidP="003542E6">
      <w:r w:rsidRPr="00863602">
        <w:t xml:space="preserve">The Oranga Hinengaro System and Service Framework </w:t>
      </w:r>
      <w:r w:rsidR="00976222">
        <w:t xml:space="preserve">(SSF) </w:t>
      </w:r>
      <w:r w:rsidRPr="00863602">
        <w:t xml:space="preserve">identifies the core components of a contemporary mental health and addiction system with a 10-year view. It provides guidance for those responsible for publicly funded health system policy, design, service commissioning, and delivery. </w:t>
      </w:r>
    </w:p>
    <w:p w14:paraId="0B60DA1B" w14:textId="77777777" w:rsidR="003542E6" w:rsidRDefault="003542E6" w:rsidP="003542E6"/>
    <w:p w14:paraId="1D9BE9DE" w14:textId="77777777" w:rsidR="003542E6" w:rsidRDefault="003542E6" w:rsidP="003542E6">
      <w:pPr>
        <w:rPr>
          <w:rFonts w:asciiTheme="majorHAnsi" w:eastAsiaTheme="majorEastAsia" w:hAnsiTheme="majorHAnsi" w:cstheme="majorBidi"/>
          <w:color w:val="243F60" w:themeColor="accent1" w:themeShade="7F"/>
          <w:sz w:val="24"/>
          <w:szCs w:val="24"/>
        </w:rPr>
      </w:pPr>
      <w:r>
        <w:t>The SSF sets out a range of critical shifts including lived experience led transformation towards better locally networked services, with earlier intervention. Gambling harm minimisation intervention services are mental health and addiction services and thus fall under the SSF. Accordingly, the commissioning of gambling harm services is part of a broader approach whereby gambling harm services will become progressively more integrated into the wider mental health and addiction system.</w:t>
      </w:r>
    </w:p>
    <w:p w14:paraId="0167BC00" w14:textId="6053B72B" w:rsidR="003542E6" w:rsidRPr="00FD7201" w:rsidRDefault="003542E6" w:rsidP="003542E6">
      <w:pPr>
        <w:pStyle w:val="Heading3"/>
      </w:pPr>
      <w:r w:rsidRPr="00FD7201">
        <w:t xml:space="preserve">Forthcoming Mental </w:t>
      </w:r>
      <w:r w:rsidR="005F3446">
        <w:t>H</w:t>
      </w:r>
      <w:r w:rsidRPr="00FD7201">
        <w:t>ealth and Wellbeing Strategy</w:t>
      </w:r>
    </w:p>
    <w:p w14:paraId="03A3F105" w14:textId="7A9CD147" w:rsidR="003542E6" w:rsidRDefault="003542E6" w:rsidP="003542E6">
      <w:r>
        <w:t>The Pae Ora (Healthy Futures) (Improving Mental Health Outcomes) Amendment Act requires a Mental Health and Wellbeing (MH&amp;W) Strategy to be in place by 25 October 2025. The purpose of the MH&amp;W Strategy is “to provide a framework to guide health entities for the long-term improvement of mental health</w:t>
      </w:r>
      <w:r w:rsidR="005302C6">
        <w:t xml:space="preserve"> and wellbeing outcomes</w:t>
      </w:r>
      <w:r>
        <w:t xml:space="preserve">, including minimising the harm from addiction”.  </w:t>
      </w:r>
    </w:p>
    <w:p w14:paraId="4361F5F4" w14:textId="77777777" w:rsidR="003542E6" w:rsidRDefault="003542E6" w:rsidP="003542E6"/>
    <w:p w14:paraId="20256C44" w14:textId="0131DC84" w:rsidR="003542E6" w:rsidRPr="00675456" w:rsidRDefault="003542E6" w:rsidP="003542E6">
      <w:r w:rsidRPr="00675456">
        <w:t xml:space="preserve">As an overarching framework, we envisage the MH&amp;W Strategy sitting across all mental health and addiction matters in the health system, including referencing related strategies such as suicide prevention and gambling harm prevention and minimisation. </w:t>
      </w:r>
    </w:p>
    <w:p w14:paraId="2E0398AA" w14:textId="24E1A8A8" w:rsidR="00705A59" w:rsidRDefault="00705A59" w:rsidP="00705A59">
      <w:r>
        <w:br w:type="page"/>
      </w:r>
    </w:p>
    <w:p w14:paraId="1ECE32F2" w14:textId="70E56F12" w:rsidR="00CE5300" w:rsidRDefault="00CE5300" w:rsidP="00CE5300">
      <w:pPr>
        <w:pStyle w:val="Heading1"/>
      </w:pPr>
      <w:bookmarkStart w:id="26" w:name="_Toc197534203"/>
      <w:r>
        <w:lastRenderedPageBreak/>
        <w:t>Appendix Five: Further detail about the service plan</w:t>
      </w:r>
      <w:bookmarkEnd w:id="26"/>
    </w:p>
    <w:p w14:paraId="67852CDA" w14:textId="041B974D" w:rsidR="00CE5300" w:rsidRDefault="00CE5300" w:rsidP="52103CC6">
      <w:pPr>
        <w:rPr>
          <w:rFonts w:eastAsia="Lucida Sans Unicode"/>
        </w:rPr>
      </w:pPr>
      <w:r w:rsidRPr="52103CC6">
        <w:t xml:space="preserve">This section should be read in conjunction with the service plan. It </w:t>
      </w:r>
      <w:r w:rsidR="005266E6">
        <w:t>reflects th</w:t>
      </w:r>
      <w:r w:rsidR="00204714">
        <w:t xml:space="preserve">e government’s decision to set the </w:t>
      </w:r>
      <w:r w:rsidR="00204714" w:rsidRPr="00204714">
        <w:t xml:space="preserve">total cost to implement the Strategy for 2025/26 to 2027/28 </w:t>
      </w:r>
      <w:r w:rsidR="009A6CDF">
        <w:t>at</w:t>
      </w:r>
      <w:r w:rsidR="00204714" w:rsidRPr="00204714">
        <w:t xml:space="preserve"> $81.358 million, which includes transfer of the current underspend of $5.235 million</w:t>
      </w:r>
      <w:r w:rsidR="009A6CDF">
        <w:t xml:space="preserve">, </w:t>
      </w:r>
      <w:r w:rsidR="00204714">
        <w:t xml:space="preserve">and </w:t>
      </w:r>
      <w:r w:rsidRPr="52103CC6">
        <w:t xml:space="preserve">provides additional detail about the proposed service plan including alignment with strategic and statutory requirements. The tables show current levels of funding where a comparable item is provided in the current </w:t>
      </w:r>
      <w:r w:rsidR="34072AA1" w:rsidRPr="52103CC6">
        <w:t>S</w:t>
      </w:r>
      <w:r w:rsidRPr="52103CC6">
        <w:t xml:space="preserve">trategy. </w:t>
      </w:r>
      <w:r w:rsidRPr="52103CC6">
        <w:rPr>
          <w:rFonts w:eastAsia="Lucida Sans Unicode"/>
        </w:rPr>
        <w:t xml:space="preserve">Even in cases where, for operational reasons (for example, the transfer of budgets between agencies), it has not been possible to provide direct line-item comparisons to an individual activity level, the overall level of detail is still greater than in previous service plans. </w:t>
      </w:r>
    </w:p>
    <w:p w14:paraId="7B169736" w14:textId="77777777" w:rsidR="00CE5300" w:rsidRDefault="00CE5300" w:rsidP="00CE5300">
      <w:pPr>
        <w:pStyle w:val="Heading2"/>
      </w:pPr>
      <w:bookmarkStart w:id="27" w:name="_Toc197534204"/>
      <w:r>
        <w:t>Indicative budget compared with the budget for the current levy period</w:t>
      </w:r>
      <w:bookmarkEnd w:id="27"/>
    </w:p>
    <w:p w14:paraId="2CB3E1AA" w14:textId="77777777" w:rsidR="00CE5300" w:rsidRDefault="00CE5300" w:rsidP="00CE5300">
      <w:r w:rsidRPr="52103CC6">
        <w:rPr>
          <w:rFonts w:eastAsia="Lucida Sans Unicode"/>
        </w:rPr>
        <w:t xml:space="preserve">Table A5.1 shows the indicative budget for the 2025/26 to 2027/28 period by service category, which is the format used in previous </w:t>
      </w:r>
      <w:r w:rsidRPr="52103CC6">
        <w:t>strategies.</w:t>
      </w:r>
      <w:r w:rsidRPr="52103CC6">
        <w:rPr>
          <w:rFonts w:eastAsia="Lucida Sans Unicode"/>
        </w:rPr>
        <w:t xml:space="preserve"> This allows comparison of the funding allocated for the activity in the current levy period (to 30 June 2025) where comparable services are being provided.</w:t>
      </w:r>
    </w:p>
    <w:p w14:paraId="63E7B38C" w14:textId="56181E48" w:rsidR="00CE5300" w:rsidRDefault="00CE5300" w:rsidP="52103CC6">
      <w:pPr>
        <w:pStyle w:val="Table"/>
        <w:rPr>
          <w:rFonts w:eastAsia="Lucida Sans Unicode"/>
        </w:rPr>
      </w:pPr>
      <w:bookmarkStart w:id="28" w:name="_Toc197534215"/>
      <w:r w:rsidRPr="52103CC6">
        <w:t>Table A5.1: Proposed b</w:t>
      </w:r>
      <w:r w:rsidRPr="52103CC6">
        <w:rPr>
          <w:rFonts w:eastAsia="Lucida Sans Unicode"/>
        </w:rPr>
        <w:t>udget to prevent and minimise gambling harm (NZ$m, GST exclusive), 2025/26 to 2027/28 compared with 2022/23 to 2024/25 total budget</w:t>
      </w:r>
      <w:bookmarkEnd w:id="28"/>
      <w:r w:rsidRPr="52103CC6">
        <w:rPr>
          <w:rFonts w:eastAsia="Lucida Sans Unicode"/>
        </w:rPr>
        <w:t xml:space="preserve"> </w:t>
      </w:r>
    </w:p>
    <w:tbl>
      <w:tblPr>
        <w:tblW w:w="8647" w:type="dxa"/>
        <w:tblLayout w:type="fixed"/>
        <w:tblLook w:val="04A0" w:firstRow="1" w:lastRow="0" w:firstColumn="1" w:lastColumn="0" w:noHBand="0" w:noVBand="1"/>
      </w:tblPr>
      <w:tblGrid>
        <w:gridCol w:w="2410"/>
        <w:gridCol w:w="992"/>
        <w:gridCol w:w="959"/>
        <w:gridCol w:w="993"/>
        <w:gridCol w:w="1025"/>
        <w:gridCol w:w="1134"/>
        <w:gridCol w:w="1134"/>
      </w:tblGrid>
      <w:tr w:rsidR="008A08AB" w:rsidRPr="00533CA0" w14:paraId="57CAB20C" w14:textId="77777777" w:rsidTr="00415B4D">
        <w:tc>
          <w:tcPr>
            <w:tcW w:w="2410" w:type="dxa"/>
            <w:shd w:val="clear" w:color="auto" w:fill="D9D9D9" w:themeFill="background1" w:themeFillShade="D9"/>
            <w:noWrap/>
            <w:vAlign w:val="center"/>
            <w:hideMark/>
          </w:tcPr>
          <w:p w14:paraId="4ADFEB95" w14:textId="77777777" w:rsidR="008A08AB" w:rsidRPr="00991E03" w:rsidRDefault="008A08AB">
            <w:pPr>
              <w:pStyle w:val="TableText"/>
              <w:rPr>
                <w:b/>
                <w:bCs/>
                <w:lang w:eastAsia="en-NZ"/>
              </w:rPr>
            </w:pPr>
            <w:r w:rsidRPr="00991E03">
              <w:rPr>
                <w:b/>
                <w:bCs/>
                <w:lang w:eastAsia="en-NZ"/>
              </w:rPr>
              <w:t> Activity area</w:t>
            </w:r>
          </w:p>
        </w:tc>
        <w:tc>
          <w:tcPr>
            <w:tcW w:w="992" w:type="dxa"/>
            <w:shd w:val="clear" w:color="auto" w:fill="D9D9D9" w:themeFill="background1" w:themeFillShade="D9"/>
            <w:vAlign w:val="center"/>
            <w:hideMark/>
          </w:tcPr>
          <w:p w14:paraId="0B5D9849" w14:textId="77777777" w:rsidR="008A08AB" w:rsidRPr="00991E03" w:rsidRDefault="008A08AB">
            <w:pPr>
              <w:pStyle w:val="TableText"/>
              <w:jc w:val="right"/>
              <w:rPr>
                <w:b/>
                <w:bCs/>
                <w:lang w:eastAsia="en-NZ"/>
              </w:rPr>
            </w:pPr>
            <w:r w:rsidRPr="00991E03">
              <w:rPr>
                <w:b/>
                <w:bCs/>
                <w:lang w:eastAsia="en-NZ"/>
              </w:rPr>
              <w:t>2025/26</w:t>
            </w:r>
          </w:p>
        </w:tc>
        <w:tc>
          <w:tcPr>
            <w:tcW w:w="959" w:type="dxa"/>
            <w:shd w:val="clear" w:color="auto" w:fill="D9D9D9" w:themeFill="background1" w:themeFillShade="D9"/>
            <w:vAlign w:val="center"/>
            <w:hideMark/>
          </w:tcPr>
          <w:p w14:paraId="20A7E43D" w14:textId="77777777" w:rsidR="008A08AB" w:rsidRPr="00991E03" w:rsidRDefault="008A08AB">
            <w:pPr>
              <w:pStyle w:val="TableText"/>
              <w:jc w:val="right"/>
              <w:rPr>
                <w:b/>
                <w:bCs/>
                <w:lang w:eastAsia="en-NZ"/>
              </w:rPr>
            </w:pPr>
            <w:r w:rsidRPr="00991E03">
              <w:rPr>
                <w:b/>
                <w:bCs/>
                <w:lang w:eastAsia="en-NZ"/>
              </w:rPr>
              <w:t>2026/27</w:t>
            </w:r>
          </w:p>
        </w:tc>
        <w:tc>
          <w:tcPr>
            <w:tcW w:w="993" w:type="dxa"/>
            <w:shd w:val="clear" w:color="auto" w:fill="D9D9D9" w:themeFill="background1" w:themeFillShade="D9"/>
            <w:vAlign w:val="center"/>
            <w:hideMark/>
          </w:tcPr>
          <w:p w14:paraId="63EBC915" w14:textId="77777777" w:rsidR="008A08AB" w:rsidRPr="00991E03" w:rsidRDefault="008A08AB">
            <w:pPr>
              <w:pStyle w:val="TableText"/>
              <w:jc w:val="right"/>
              <w:rPr>
                <w:b/>
                <w:bCs/>
                <w:lang w:eastAsia="en-NZ"/>
              </w:rPr>
            </w:pPr>
            <w:r w:rsidRPr="00991E03">
              <w:rPr>
                <w:b/>
                <w:bCs/>
                <w:lang w:eastAsia="en-NZ"/>
              </w:rPr>
              <w:t>2027/28</w:t>
            </w:r>
          </w:p>
        </w:tc>
        <w:tc>
          <w:tcPr>
            <w:tcW w:w="1025" w:type="dxa"/>
            <w:shd w:val="clear" w:color="auto" w:fill="D9D9D9" w:themeFill="background1" w:themeFillShade="D9"/>
            <w:vAlign w:val="center"/>
            <w:hideMark/>
          </w:tcPr>
          <w:p w14:paraId="678E0B0F" w14:textId="77777777" w:rsidR="008A08AB" w:rsidRDefault="008A08AB">
            <w:pPr>
              <w:pStyle w:val="TableText"/>
              <w:spacing w:before="0"/>
              <w:jc w:val="right"/>
              <w:rPr>
                <w:b/>
                <w:bCs/>
                <w:lang w:eastAsia="en-NZ"/>
              </w:rPr>
            </w:pPr>
          </w:p>
          <w:p w14:paraId="4F4B35E2" w14:textId="77777777" w:rsidR="008A08AB" w:rsidRPr="00991E03" w:rsidRDefault="008A08AB">
            <w:pPr>
              <w:pStyle w:val="TableText"/>
              <w:jc w:val="right"/>
              <w:rPr>
                <w:b/>
                <w:bCs/>
                <w:lang w:eastAsia="en-NZ"/>
              </w:rPr>
            </w:pPr>
            <w:r w:rsidRPr="00991E03">
              <w:rPr>
                <w:b/>
                <w:bCs/>
                <w:lang w:eastAsia="en-NZ"/>
              </w:rPr>
              <w:t>Total</w:t>
            </w:r>
          </w:p>
          <w:p w14:paraId="135F0D79" w14:textId="29A5F709" w:rsidR="008A08AB" w:rsidRPr="00991E03" w:rsidRDefault="008A08AB">
            <w:pPr>
              <w:pStyle w:val="TableText"/>
              <w:jc w:val="right"/>
              <w:rPr>
                <w:b/>
                <w:bCs/>
                <w:lang w:eastAsia="en-NZ"/>
              </w:rPr>
            </w:pPr>
            <w:r w:rsidRPr="00991E03">
              <w:rPr>
                <w:b/>
                <w:bCs/>
                <w:lang w:eastAsia="en-NZ"/>
              </w:rPr>
              <w:t>2025/2</w:t>
            </w:r>
            <w:r w:rsidR="00125766">
              <w:rPr>
                <w:b/>
                <w:bCs/>
                <w:lang w:eastAsia="en-NZ"/>
              </w:rPr>
              <w:t>6</w:t>
            </w:r>
            <w:r w:rsidRPr="79E40447">
              <w:rPr>
                <w:b/>
                <w:bCs/>
                <w:lang w:eastAsia="en-NZ"/>
              </w:rPr>
              <w:t>- 2027</w:t>
            </w:r>
            <w:r w:rsidRPr="00991E03">
              <w:rPr>
                <w:b/>
                <w:bCs/>
                <w:lang w:eastAsia="en-NZ"/>
              </w:rPr>
              <w:t>/28</w:t>
            </w:r>
          </w:p>
        </w:tc>
        <w:tc>
          <w:tcPr>
            <w:tcW w:w="1134" w:type="dxa"/>
            <w:shd w:val="clear" w:color="auto" w:fill="D9D9D9" w:themeFill="background1" w:themeFillShade="D9"/>
            <w:vAlign w:val="center"/>
            <w:hideMark/>
          </w:tcPr>
          <w:p w14:paraId="4094A3CA" w14:textId="77777777" w:rsidR="008A08AB" w:rsidRPr="00991E03" w:rsidRDefault="008A08AB">
            <w:pPr>
              <w:pStyle w:val="TableText"/>
              <w:spacing w:before="0"/>
              <w:jc w:val="right"/>
              <w:rPr>
                <w:b/>
                <w:bCs/>
                <w:lang w:eastAsia="en-NZ"/>
              </w:rPr>
            </w:pPr>
            <w:r w:rsidRPr="00991E03">
              <w:rPr>
                <w:b/>
                <w:bCs/>
                <w:lang w:eastAsia="en-NZ"/>
              </w:rPr>
              <w:t>Current Budget</w:t>
            </w:r>
          </w:p>
          <w:p w14:paraId="215C4524" w14:textId="77777777" w:rsidR="008A08AB" w:rsidRPr="00991E03" w:rsidRDefault="008A08AB">
            <w:pPr>
              <w:pStyle w:val="TableText"/>
              <w:jc w:val="right"/>
              <w:rPr>
                <w:b/>
                <w:bCs/>
                <w:lang w:eastAsia="en-NZ"/>
              </w:rPr>
            </w:pPr>
            <w:r w:rsidRPr="00991E03">
              <w:rPr>
                <w:b/>
                <w:bCs/>
                <w:lang w:eastAsia="en-NZ"/>
              </w:rPr>
              <w:t xml:space="preserve">2022/23–2024/25 </w:t>
            </w:r>
          </w:p>
        </w:tc>
        <w:tc>
          <w:tcPr>
            <w:tcW w:w="1134" w:type="dxa"/>
            <w:shd w:val="clear" w:color="auto" w:fill="D9D9D9" w:themeFill="background1" w:themeFillShade="D9"/>
          </w:tcPr>
          <w:p w14:paraId="6BD537DD" w14:textId="77777777" w:rsidR="008A08AB" w:rsidRDefault="008A08AB">
            <w:pPr>
              <w:pStyle w:val="TableText"/>
              <w:spacing w:before="0"/>
              <w:jc w:val="right"/>
              <w:rPr>
                <w:b/>
                <w:bCs/>
                <w:lang w:eastAsia="en-NZ"/>
              </w:rPr>
            </w:pPr>
          </w:p>
          <w:p w14:paraId="6DCD058E" w14:textId="77777777" w:rsidR="008A08AB" w:rsidRDefault="008A08AB">
            <w:pPr>
              <w:pStyle w:val="TableText"/>
              <w:jc w:val="right"/>
              <w:rPr>
                <w:b/>
                <w:bCs/>
                <w:lang w:eastAsia="en-NZ"/>
              </w:rPr>
            </w:pPr>
          </w:p>
          <w:p w14:paraId="6D5B048E" w14:textId="77777777" w:rsidR="008A08AB" w:rsidRPr="00991E03" w:rsidRDefault="008A08AB">
            <w:pPr>
              <w:pStyle w:val="TableText"/>
              <w:jc w:val="right"/>
              <w:rPr>
                <w:b/>
                <w:bCs/>
                <w:lang w:eastAsia="en-NZ"/>
              </w:rPr>
            </w:pPr>
            <w:r>
              <w:rPr>
                <w:b/>
                <w:bCs/>
                <w:lang w:eastAsia="en-NZ"/>
              </w:rPr>
              <w:t>Percent change</w:t>
            </w:r>
          </w:p>
        </w:tc>
      </w:tr>
      <w:tr w:rsidR="002229DB" w:rsidRPr="00533CA0" w14:paraId="00902095" w14:textId="77777777" w:rsidTr="00415B4D">
        <w:tc>
          <w:tcPr>
            <w:tcW w:w="2410" w:type="dxa"/>
            <w:shd w:val="clear" w:color="auto" w:fill="auto"/>
            <w:noWrap/>
            <w:vAlign w:val="bottom"/>
            <w:hideMark/>
          </w:tcPr>
          <w:p w14:paraId="161D56F2" w14:textId="77777777" w:rsidR="002229DB" w:rsidRPr="00776367" w:rsidRDefault="002229DB" w:rsidP="002229DB">
            <w:pPr>
              <w:pStyle w:val="TableText"/>
              <w:rPr>
                <w:rFonts w:cs="Segoe UI"/>
                <w:lang w:eastAsia="en-NZ"/>
              </w:rPr>
            </w:pPr>
            <w:r w:rsidRPr="00776367">
              <w:rPr>
                <w:rFonts w:cs="Segoe UI"/>
                <w:lang w:eastAsia="en-NZ"/>
              </w:rPr>
              <w:t>Primary prevention (public health)</w:t>
            </w:r>
          </w:p>
        </w:tc>
        <w:tc>
          <w:tcPr>
            <w:tcW w:w="992" w:type="dxa"/>
            <w:shd w:val="clear" w:color="auto" w:fill="auto"/>
            <w:noWrap/>
            <w:vAlign w:val="bottom"/>
          </w:tcPr>
          <w:p w14:paraId="7E9D3A8E" w14:textId="4B7C1104" w:rsidR="002229DB" w:rsidRPr="00043D33" w:rsidRDefault="002229DB" w:rsidP="002229DB">
            <w:pPr>
              <w:pStyle w:val="TableText"/>
              <w:jc w:val="right"/>
              <w:rPr>
                <w:rFonts w:cs="Segoe UI"/>
                <w:highlight w:val="yellow"/>
              </w:rPr>
            </w:pPr>
            <w:r>
              <w:rPr>
                <w:rFonts w:ascii="Calibri" w:hAnsi="Calibri" w:cs="Calibri"/>
                <w:color w:val="000000"/>
                <w:sz w:val="22"/>
                <w:szCs w:val="22"/>
              </w:rPr>
              <w:t>8.653</w:t>
            </w:r>
          </w:p>
        </w:tc>
        <w:tc>
          <w:tcPr>
            <w:tcW w:w="959" w:type="dxa"/>
            <w:shd w:val="clear" w:color="auto" w:fill="auto"/>
            <w:noWrap/>
            <w:vAlign w:val="bottom"/>
          </w:tcPr>
          <w:p w14:paraId="70DC6613" w14:textId="71A59AAB" w:rsidR="002229DB" w:rsidRPr="00043D33" w:rsidRDefault="002229DB" w:rsidP="002229DB">
            <w:pPr>
              <w:pStyle w:val="TableText"/>
              <w:jc w:val="right"/>
              <w:rPr>
                <w:rFonts w:cs="Segoe UI"/>
                <w:highlight w:val="yellow"/>
              </w:rPr>
            </w:pPr>
            <w:r>
              <w:rPr>
                <w:rFonts w:ascii="Calibri" w:hAnsi="Calibri" w:cs="Calibri"/>
                <w:color w:val="000000"/>
                <w:sz w:val="22"/>
                <w:szCs w:val="22"/>
              </w:rPr>
              <w:t>8.828</w:t>
            </w:r>
          </w:p>
        </w:tc>
        <w:tc>
          <w:tcPr>
            <w:tcW w:w="993" w:type="dxa"/>
            <w:shd w:val="clear" w:color="auto" w:fill="auto"/>
            <w:noWrap/>
            <w:vAlign w:val="bottom"/>
          </w:tcPr>
          <w:p w14:paraId="5244D6EB" w14:textId="792B989D" w:rsidR="002229DB" w:rsidRPr="00043D33" w:rsidRDefault="002229DB" w:rsidP="002229DB">
            <w:pPr>
              <w:pStyle w:val="TableText"/>
              <w:jc w:val="right"/>
              <w:rPr>
                <w:rFonts w:cs="Segoe UI"/>
                <w:highlight w:val="yellow"/>
              </w:rPr>
            </w:pPr>
            <w:r>
              <w:rPr>
                <w:rFonts w:ascii="Calibri" w:hAnsi="Calibri" w:cs="Calibri"/>
                <w:color w:val="000000"/>
                <w:sz w:val="22"/>
                <w:szCs w:val="22"/>
              </w:rPr>
              <w:t>8.975</w:t>
            </w:r>
          </w:p>
        </w:tc>
        <w:tc>
          <w:tcPr>
            <w:tcW w:w="1025" w:type="dxa"/>
            <w:shd w:val="clear" w:color="auto" w:fill="auto"/>
            <w:noWrap/>
            <w:vAlign w:val="bottom"/>
          </w:tcPr>
          <w:p w14:paraId="35F5E47E" w14:textId="188AC10A" w:rsidR="002229DB" w:rsidRPr="00415B4D" w:rsidRDefault="002229DB" w:rsidP="002229DB">
            <w:pPr>
              <w:pStyle w:val="TableText"/>
              <w:jc w:val="right"/>
              <w:rPr>
                <w:rFonts w:cs="Segoe UI"/>
                <w:b/>
                <w:highlight w:val="yellow"/>
              </w:rPr>
            </w:pPr>
            <w:r w:rsidRPr="00415B4D">
              <w:rPr>
                <w:rFonts w:ascii="Calibri" w:hAnsi="Calibri" w:cs="Calibri"/>
                <w:b/>
                <w:color w:val="000000"/>
                <w:sz w:val="22"/>
                <w:szCs w:val="22"/>
              </w:rPr>
              <w:t>26.456</w:t>
            </w:r>
          </w:p>
        </w:tc>
        <w:tc>
          <w:tcPr>
            <w:tcW w:w="1134" w:type="dxa"/>
            <w:shd w:val="clear" w:color="auto" w:fill="auto"/>
            <w:noWrap/>
            <w:vAlign w:val="bottom"/>
            <w:hideMark/>
          </w:tcPr>
          <w:p w14:paraId="354B7790" w14:textId="77777777" w:rsidR="002229DB" w:rsidRPr="00776367" w:rsidRDefault="002229DB" w:rsidP="002229DB">
            <w:pPr>
              <w:pStyle w:val="TableText"/>
              <w:jc w:val="right"/>
              <w:rPr>
                <w:rFonts w:cs="Segoe UI"/>
              </w:rPr>
            </w:pPr>
            <w:r w:rsidRPr="00776367">
              <w:rPr>
                <w:rFonts w:cs="Segoe UI"/>
              </w:rPr>
              <w:t>24.840</w:t>
            </w:r>
          </w:p>
        </w:tc>
        <w:tc>
          <w:tcPr>
            <w:tcW w:w="1134" w:type="dxa"/>
            <w:shd w:val="clear" w:color="auto" w:fill="auto"/>
            <w:vAlign w:val="bottom"/>
          </w:tcPr>
          <w:p w14:paraId="6807713D" w14:textId="000E040E" w:rsidR="002229DB" w:rsidRPr="00776367" w:rsidRDefault="002229DB" w:rsidP="002229DB">
            <w:pPr>
              <w:pStyle w:val="TableText"/>
              <w:jc w:val="right"/>
              <w:rPr>
                <w:rFonts w:cs="Segoe UI"/>
              </w:rPr>
            </w:pPr>
            <w:r>
              <w:rPr>
                <w:rFonts w:ascii="Calibri" w:hAnsi="Calibri" w:cs="Calibri"/>
                <w:color w:val="000000"/>
                <w:sz w:val="22"/>
                <w:szCs w:val="22"/>
              </w:rPr>
              <w:t>+6.5%</w:t>
            </w:r>
          </w:p>
        </w:tc>
      </w:tr>
      <w:tr w:rsidR="002229DB" w:rsidRPr="00533CA0" w14:paraId="736CE7BA" w14:textId="77777777" w:rsidTr="002229DB">
        <w:tc>
          <w:tcPr>
            <w:tcW w:w="2410" w:type="dxa"/>
            <w:shd w:val="clear" w:color="auto" w:fill="auto"/>
            <w:noWrap/>
            <w:vAlign w:val="bottom"/>
            <w:hideMark/>
          </w:tcPr>
          <w:p w14:paraId="343EAB6D" w14:textId="77777777" w:rsidR="002229DB" w:rsidRPr="00776367" w:rsidRDefault="002229DB" w:rsidP="002229DB">
            <w:pPr>
              <w:pStyle w:val="TableText"/>
              <w:rPr>
                <w:rFonts w:cs="Segoe UI"/>
                <w:lang w:eastAsia="en-NZ"/>
              </w:rPr>
            </w:pPr>
            <w:r w:rsidRPr="00776367">
              <w:rPr>
                <w:rFonts w:cs="Segoe UI"/>
                <w:lang w:eastAsia="en-NZ"/>
              </w:rPr>
              <w:t>Intervention services</w:t>
            </w:r>
          </w:p>
        </w:tc>
        <w:tc>
          <w:tcPr>
            <w:tcW w:w="992" w:type="dxa"/>
            <w:shd w:val="clear" w:color="auto" w:fill="auto"/>
            <w:noWrap/>
            <w:vAlign w:val="bottom"/>
          </w:tcPr>
          <w:p w14:paraId="63435062" w14:textId="1E1C55CE" w:rsidR="002229DB" w:rsidRPr="00043D33" w:rsidRDefault="002229DB" w:rsidP="002229DB">
            <w:pPr>
              <w:pStyle w:val="TableText"/>
              <w:jc w:val="right"/>
              <w:rPr>
                <w:rFonts w:cs="Segoe UI"/>
                <w:highlight w:val="yellow"/>
                <w:lang w:eastAsia="en-NZ"/>
              </w:rPr>
            </w:pPr>
            <w:r>
              <w:rPr>
                <w:rFonts w:ascii="Calibri" w:hAnsi="Calibri" w:cs="Calibri"/>
                <w:color w:val="000000"/>
                <w:sz w:val="22"/>
                <w:szCs w:val="22"/>
              </w:rPr>
              <w:t>13.439</w:t>
            </w:r>
          </w:p>
        </w:tc>
        <w:tc>
          <w:tcPr>
            <w:tcW w:w="959" w:type="dxa"/>
            <w:shd w:val="clear" w:color="auto" w:fill="auto"/>
            <w:noWrap/>
            <w:vAlign w:val="bottom"/>
          </w:tcPr>
          <w:p w14:paraId="286FB880" w14:textId="40148A04" w:rsidR="002229DB" w:rsidRPr="00043D33" w:rsidRDefault="002229DB" w:rsidP="002229DB">
            <w:pPr>
              <w:pStyle w:val="TableText"/>
              <w:jc w:val="right"/>
              <w:rPr>
                <w:rFonts w:cs="Segoe UI"/>
                <w:highlight w:val="yellow"/>
                <w:lang w:eastAsia="en-NZ"/>
              </w:rPr>
            </w:pPr>
            <w:r>
              <w:rPr>
                <w:rFonts w:ascii="Calibri" w:hAnsi="Calibri" w:cs="Calibri"/>
                <w:color w:val="000000"/>
                <w:sz w:val="22"/>
                <w:szCs w:val="22"/>
              </w:rPr>
              <w:t>13.873</w:t>
            </w:r>
          </w:p>
        </w:tc>
        <w:tc>
          <w:tcPr>
            <w:tcW w:w="993" w:type="dxa"/>
            <w:shd w:val="clear" w:color="auto" w:fill="auto"/>
            <w:noWrap/>
            <w:vAlign w:val="bottom"/>
          </w:tcPr>
          <w:p w14:paraId="6105D014" w14:textId="6EFF8E8C" w:rsidR="002229DB" w:rsidRPr="00043D33" w:rsidRDefault="002229DB" w:rsidP="002229DB">
            <w:pPr>
              <w:pStyle w:val="TableText"/>
              <w:jc w:val="right"/>
              <w:rPr>
                <w:rFonts w:cs="Segoe UI"/>
                <w:highlight w:val="yellow"/>
                <w:lang w:eastAsia="en-NZ"/>
              </w:rPr>
            </w:pPr>
            <w:r>
              <w:rPr>
                <w:rFonts w:ascii="Calibri" w:hAnsi="Calibri" w:cs="Calibri"/>
                <w:color w:val="000000"/>
                <w:sz w:val="22"/>
                <w:szCs w:val="22"/>
              </w:rPr>
              <w:t>13.963</w:t>
            </w:r>
          </w:p>
        </w:tc>
        <w:tc>
          <w:tcPr>
            <w:tcW w:w="1025" w:type="dxa"/>
            <w:shd w:val="clear" w:color="auto" w:fill="auto"/>
            <w:noWrap/>
            <w:vAlign w:val="bottom"/>
          </w:tcPr>
          <w:p w14:paraId="370C7758" w14:textId="5D0C7B8E" w:rsidR="002229DB" w:rsidRPr="00415B4D" w:rsidRDefault="002229DB" w:rsidP="002229DB">
            <w:pPr>
              <w:pStyle w:val="TableText"/>
              <w:jc w:val="right"/>
              <w:rPr>
                <w:rFonts w:cs="Segoe UI"/>
                <w:b/>
                <w:highlight w:val="yellow"/>
                <w:lang w:eastAsia="en-NZ"/>
              </w:rPr>
            </w:pPr>
            <w:r w:rsidRPr="00415B4D">
              <w:rPr>
                <w:rFonts w:ascii="Calibri" w:hAnsi="Calibri" w:cs="Calibri"/>
                <w:b/>
                <w:color w:val="000000"/>
                <w:sz w:val="22"/>
                <w:szCs w:val="22"/>
              </w:rPr>
              <w:t>41.275</w:t>
            </w:r>
          </w:p>
        </w:tc>
        <w:tc>
          <w:tcPr>
            <w:tcW w:w="1134" w:type="dxa"/>
            <w:shd w:val="clear" w:color="auto" w:fill="auto"/>
            <w:noWrap/>
            <w:vAlign w:val="bottom"/>
            <w:hideMark/>
          </w:tcPr>
          <w:p w14:paraId="744B29E8" w14:textId="77777777" w:rsidR="002229DB" w:rsidRPr="00776367" w:rsidRDefault="002229DB" w:rsidP="002229DB">
            <w:pPr>
              <w:pStyle w:val="TableText"/>
              <w:jc w:val="right"/>
              <w:rPr>
                <w:rFonts w:cs="Segoe UI"/>
                <w:lang w:eastAsia="en-NZ"/>
              </w:rPr>
            </w:pPr>
            <w:r w:rsidRPr="00776367">
              <w:rPr>
                <w:rFonts w:cs="Segoe UI"/>
                <w:lang w:eastAsia="en-NZ"/>
              </w:rPr>
              <w:t>34.213</w:t>
            </w:r>
          </w:p>
        </w:tc>
        <w:tc>
          <w:tcPr>
            <w:tcW w:w="1134" w:type="dxa"/>
            <w:shd w:val="clear" w:color="auto" w:fill="auto"/>
            <w:vAlign w:val="bottom"/>
          </w:tcPr>
          <w:p w14:paraId="0293994E" w14:textId="05DF245E" w:rsidR="002229DB" w:rsidRPr="00776367" w:rsidRDefault="00361577" w:rsidP="002229DB">
            <w:pPr>
              <w:pStyle w:val="TableText"/>
              <w:jc w:val="right"/>
              <w:rPr>
                <w:rFonts w:cs="Segoe UI"/>
                <w:lang w:eastAsia="en-NZ"/>
              </w:rPr>
            </w:pPr>
            <w:r>
              <w:rPr>
                <w:rFonts w:ascii="Calibri" w:hAnsi="Calibri" w:cs="Calibri"/>
                <w:color w:val="000000"/>
                <w:sz w:val="22"/>
                <w:szCs w:val="22"/>
              </w:rPr>
              <w:t>+</w:t>
            </w:r>
            <w:r w:rsidR="002229DB">
              <w:rPr>
                <w:rFonts w:ascii="Calibri" w:hAnsi="Calibri" w:cs="Calibri"/>
                <w:color w:val="000000"/>
                <w:sz w:val="22"/>
                <w:szCs w:val="22"/>
              </w:rPr>
              <w:t>20.6%</w:t>
            </w:r>
          </w:p>
        </w:tc>
      </w:tr>
      <w:tr w:rsidR="002229DB" w:rsidRPr="00533CA0" w14:paraId="669A18AF" w14:textId="77777777" w:rsidTr="002229DB">
        <w:tc>
          <w:tcPr>
            <w:tcW w:w="2410" w:type="dxa"/>
            <w:shd w:val="clear" w:color="auto" w:fill="auto"/>
            <w:noWrap/>
            <w:vAlign w:val="bottom"/>
            <w:hideMark/>
          </w:tcPr>
          <w:p w14:paraId="3402B2B9" w14:textId="77777777" w:rsidR="002229DB" w:rsidRPr="00776367" w:rsidRDefault="002229DB" w:rsidP="002229DB">
            <w:pPr>
              <w:pStyle w:val="TableText"/>
              <w:rPr>
                <w:rFonts w:cs="Segoe UI"/>
                <w:lang w:eastAsia="en-NZ"/>
              </w:rPr>
            </w:pPr>
            <w:r w:rsidRPr="00776367">
              <w:rPr>
                <w:rFonts w:cs="Segoe UI"/>
                <w:lang w:eastAsia="en-NZ"/>
              </w:rPr>
              <w:t xml:space="preserve">Research and evaluation </w:t>
            </w:r>
          </w:p>
        </w:tc>
        <w:tc>
          <w:tcPr>
            <w:tcW w:w="992" w:type="dxa"/>
            <w:shd w:val="clear" w:color="auto" w:fill="auto"/>
            <w:noWrap/>
            <w:vAlign w:val="bottom"/>
          </w:tcPr>
          <w:p w14:paraId="668F4031" w14:textId="42ECE99A" w:rsidR="002229DB" w:rsidRPr="00043D33" w:rsidRDefault="002229DB" w:rsidP="002229DB">
            <w:pPr>
              <w:pStyle w:val="TableText"/>
              <w:jc w:val="right"/>
              <w:rPr>
                <w:rFonts w:cs="Segoe UI"/>
                <w:highlight w:val="yellow"/>
                <w:lang w:eastAsia="en-NZ"/>
              </w:rPr>
            </w:pPr>
            <w:r>
              <w:rPr>
                <w:rFonts w:ascii="Calibri" w:hAnsi="Calibri" w:cs="Calibri"/>
                <w:color w:val="000000"/>
                <w:sz w:val="22"/>
                <w:szCs w:val="22"/>
              </w:rPr>
              <w:t>1.620</w:t>
            </w:r>
          </w:p>
        </w:tc>
        <w:tc>
          <w:tcPr>
            <w:tcW w:w="959" w:type="dxa"/>
            <w:shd w:val="clear" w:color="auto" w:fill="auto"/>
            <w:noWrap/>
            <w:vAlign w:val="bottom"/>
          </w:tcPr>
          <w:p w14:paraId="209E819A" w14:textId="15CA8BD2" w:rsidR="002229DB" w:rsidRPr="00043D33" w:rsidRDefault="002229DB" w:rsidP="002229DB">
            <w:pPr>
              <w:pStyle w:val="TableText"/>
              <w:jc w:val="right"/>
              <w:rPr>
                <w:rFonts w:cs="Segoe UI"/>
                <w:highlight w:val="yellow"/>
                <w:lang w:eastAsia="en-NZ"/>
              </w:rPr>
            </w:pPr>
            <w:r>
              <w:rPr>
                <w:rFonts w:ascii="Calibri" w:hAnsi="Calibri" w:cs="Calibri"/>
                <w:color w:val="000000"/>
                <w:sz w:val="22"/>
                <w:szCs w:val="22"/>
              </w:rPr>
              <w:t>2.145</w:t>
            </w:r>
          </w:p>
        </w:tc>
        <w:tc>
          <w:tcPr>
            <w:tcW w:w="993" w:type="dxa"/>
            <w:shd w:val="clear" w:color="auto" w:fill="auto"/>
            <w:noWrap/>
            <w:vAlign w:val="bottom"/>
          </w:tcPr>
          <w:p w14:paraId="7BDEB6B3" w14:textId="1662A6B9" w:rsidR="002229DB" w:rsidRPr="00043D33" w:rsidRDefault="002229DB" w:rsidP="002229DB">
            <w:pPr>
              <w:pStyle w:val="TableText"/>
              <w:jc w:val="right"/>
              <w:rPr>
                <w:rFonts w:cs="Segoe UI"/>
                <w:highlight w:val="yellow"/>
                <w:lang w:eastAsia="en-NZ"/>
              </w:rPr>
            </w:pPr>
            <w:r>
              <w:rPr>
                <w:rFonts w:ascii="Calibri" w:hAnsi="Calibri" w:cs="Calibri"/>
                <w:color w:val="000000"/>
                <w:sz w:val="22"/>
                <w:szCs w:val="22"/>
              </w:rPr>
              <w:t>1.270</w:t>
            </w:r>
          </w:p>
        </w:tc>
        <w:tc>
          <w:tcPr>
            <w:tcW w:w="1025" w:type="dxa"/>
            <w:shd w:val="clear" w:color="auto" w:fill="auto"/>
            <w:noWrap/>
            <w:vAlign w:val="bottom"/>
          </w:tcPr>
          <w:p w14:paraId="2A13F55A" w14:textId="61A2B9DB" w:rsidR="002229DB" w:rsidRPr="00415B4D" w:rsidRDefault="002229DB" w:rsidP="002229DB">
            <w:pPr>
              <w:pStyle w:val="TableText"/>
              <w:jc w:val="right"/>
              <w:rPr>
                <w:rFonts w:cs="Segoe UI"/>
                <w:b/>
                <w:highlight w:val="yellow"/>
                <w:lang w:eastAsia="en-NZ"/>
              </w:rPr>
            </w:pPr>
            <w:r w:rsidRPr="00415B4D">
              <w:rPr>
                <w:rFonts w:ascii="Calibri" w:hAnsi="Calibri" w:cs="Calibri"/>
                <w:b/>
                <w:color w:val="000000"/>
                <w:sz w:val="22"/>
                <w:szCs w:val="22"/>
              </w:rPr>
              <w:t>5.035</w:t>
            </w:r>
          </w:p>
        </w:tc>
        <w:tc>
          <w:tcPr>
            <w:tcW w:w="1134" w:type="dxa"/>
            <w:shd w:val="clear" w:color="auto" w:fill="auto"/>
            <w:noWrap/>
            <w:vAlign w:val="bottom"/>
            <w:hideMark/>
          </w:tcPr>
          <w:p w14:paraId="5AB84F24" w14:textId="77777777" w:rsidR="002229DB" w:rsidRPr="00776367" w:rsidRDefault="002229DB" w:rsidP="002229DB">
            <w:pPr>
              <w:pStyle w:val="TableText"/>
              <w:jc w:val="right"/>
              <w:rPr>
                <w:rFonts w:cs="Segoe UI"/>
                <w:lang w:eastAsia="en-NZ"/>
              </w:rPr>
            </w:pPr>
            <w:r w:rsidRPr="00776367">
              <w:rPr>
                <w:rFonts w:cs="Segoe UI"/>
                <w:lang w:eastAsia="en-NZ"/>
              </w:rPr>
              <w:t>5.658</w:t>
            </w:r>
          </w:p>
        </w:tc>
        <w:tc>
          <w:tcPr>
            <w:tcW w:w="1134" w:type="dxa"/>
            <w:shd w:val="clear" w:color="auto" w:fill="auto"/>
            <w:vAlign w:val="bottom"/>
          </w:tcPr>
          <w:p w14:paraId="6BC102EC" w14:textId="520454BC" w:rsidR="002229DB" w:rsidRPr="00776367" w:rsidRDefault="002229DB" w:rsidP="002229DB">
            <w:pPr>
              <w:pStyle w:val="TableText"/>
              <w:jc w:val="right"/>
              <w:rPr>
                <w:rFonts w:cs="Segoe UI"/>
                <w:lang w:eastAsia="en-NZ"/>
              </w:rPr>
            </w:pPr>
            <w:r>
              <w:rPr>
                <w:rFonts w:ascii="Calibri" w:hAnsi="Calibri" w:cs="Calibri"/>
                <w:color w:val="000000"/>
                <w:sz w:val="22"/>
                <w:szCs w:val="22"/>
              </w:rPr>
              <w:t>-11.0%</w:t>
            </w:r>
          </w:p>
        </w:tc>
      </w:tr>
      <w:tr w:rsidR="002229DB" w:rsidRPr="00533CA0" w14:paraId="0ECB2784" w14:textId="77777777" w:rsidTr="002229DB">
        <w:tc>
          <w:tcPr>
            <w:tcW w:w="2410" w:type="dxa"/>
            <w:shd w:val="clear" w:color="auto" w:fill="auto"/>
            <w:noWrap/>
            <w:vAlign w:val="bottom"/>
            <w:hideMark/>
          </w:tcPr>
          <w:p w14:paraId="40B1E2A4" w14:textId="77777777" w:rsidR="002229DB" w:rsidRPr="00776367" w:rsidRDefault="002229DB" w:rsidP="002229DB">
            <w:pPr>
              <w:pStyle w:val="TableText"/>
              <w:rPr>
                <w:rFonts w:cs="Segoe UI"/>
                <w:lang w:eastAsia="en-NZ"/>
              </w:rPr>
            </w:pPr>
            <w:r w:rsidRPr="00776367">
              <w:rPr>
                <w:rFonts w:cs="Segoe UI"/>
                <w:lang w:eastAsia="en-NZ"/>
              </w:rPr>
              <w:t xml:space="preserve">New services </w:t>
            </w:r>
          </w:p>
        </w:tc>
        <w:tc>
          <w:tcPr>
            <w:tcW w:w="992" w:type="dxa"/>
            <w:shd w:val="clear" w:color="auto" w:fill="auto"/>
            <w:noWrap/>
            <w:vAlign w:val="bottom"/>
          </w:tcPr>
          <w:p w14:paraId="03508B18" w14:textId="3AC0FEAB" w:rsidR="002229DB" w:rsidRPr="00043D33" w:rsidRDefault="002229DB" w:rsidP="002229DB">
            <w:pPr>
              <w:pStyle w:val="TableText"/>
              <w:jc w:val="right"/>
              <w:rPr>
                <w:rFonts w:cs="Segoe UI"/>
                <w:highlight w:val="yellow"/>
                <w:lang w:eastAsia="en-NZ"/>
              </w:rPr>
            </w:pPr>
            <w:r>
              <w:rPr>
                <w:rFonts w:ascii="Calibri" w:hAnsi="Calibri" w:cs="Calibri"/>
                <w:color w:val="000000"/>
                <w:sz w:val="22"/>
                <w:szCs w:val="22"/>
              </w:rPr>
              <w:t>0.855</w:t>
            </w:r>
          </w:p>
        </w:tc>
        <w:tc>
          <w:tcPr>
            <w:tcW w:w="959" w:type="dxa"/>
            <w:shd w:val="clear" w:color="auto" w:fill="auto"/>
            <w:noWrap/>
            <w:vAlign w:val="bottom"/>
          </w:tcPr>
          <w:p w14:paraId="43F4BF35" w14:textId="18F6C67B" w:rsidR="002229DB" w:rsidRPr="00043D33" w:rsidRDefault="002229DB" w:rsidP="002229DB">
            <w:pPr>
              <w:pStyle w:val="TableText"/>
              <w:jc w:val="right"/>
              <w:rPr>
                <w:rFonts w:cs="Segoe UI"/>
                <w:highlight w:val="yellow"/>
                <w:lang w:eastAsia="en-NZ"/>
              </w:rPr>
            </w:pPr>
            <w:r>
              <w:rPr>
                <w:rFonts w:ascii="Calibri" w:hAnsi="Calibri" w:cs="Calibri"/>
                <w:color w:val="000000"/>
                <w:sz w:val="22"/>
                <w:szCs w:val="22"/>
              </w:rPr>
              <w:t>1.105</w:t>
            </w:r>
          </w:p>
        </w:tc>
        <w:tc>
          <w:tcPr>
            <w:tcW w:w="993" w:type="dxa"/>
            <w:shd w:val="clear" w:color="auto" w:fill="auto"/>
            <w:noWrap/>
            <w:vAlign w:val="bottom"/>
          </w:tcPr>
          <w:p w14:paraId="1F582388" w14:textId="4E2926CA" w:rsidR="002229DB" w:rsidRPr="00043D33" w:rsidRDefault="002229DB" w:rsidP="002229DB">
            <w:pPr>
              <w:pStyle w:val="TableText"/>
              <w:jc w:val="right"/>
              <w:rPr>
                <w:rFonts w:cs="Segoe UI"/>
                <w:highlight w:val="yellow"/>
                <w:lang w:eastAsia="en-NZ"/>
              </w:rPr>
            </w:pPr>
            <w:r>
              <w:rPr>
                <w:rFonts w:ascii="Calibri" w:hAnsi="Calibri" w:cs="Calibri"/>
                <w:color w:val="000000"/>
                <w:sz w:val="22"/>
                <w:szCs w:val="22"/>
              </w:rPr>
              <w:t>1.355</w:t>
            </w:r>
          </w:p>
        </w:tc>
        <w:tc>
          <w:tcPr>
            <w:tcW w:w="1025" w:type="dxa"/>
            <w:shd w:val="clear" w:color="auto" w:fill="auto"/>
            <w:noWrap/>
            <w:vAlign w:val="bottom"/>
          </w:tcPr>
          <w:p w14:paraId="1357E9A2" w14:textId="1BC1DF83" w:rsidR="002229DB" w:rsidRPr="00415B4D" w:rsidRDefault="002229DB" w:rsidP="002229DB">
            <w:pPr>
              <w:pStyle w:val="TableText"/>
              <w:jc w:val="right"/>
              <w:rPr>
                <w:rFonts w:cs="Segoe UI"/>
                <w:b/>
                <w:highlight w:val="yellow"/>
                <w:lang w:eastAsia="en-NZ"/>
              </w:rPr>
            </w:pPr>
            <w:r w:rsidRPr="00415B4D">
              <w:rPr>
                <w:rFonts w:ascii="Calibri" w:hAnsi="Calibri" w:cs="Calibri"/>
                <w:b/>
                <w:color w:val="000000"/>
                <w:sz w:val="22"/>
                <w:szCs w:val="22"/>
              </w:rPr>
              <w:t>3.315</w:t>
            </w:r>
          </w:p>
        </w:tc>
        <w:tc>
          <w:tcPr>
            <w:tcW w:w="1134" w:type="dxa"/>
            <w:shd w:val="clear" w:color="auto" w:fill="auto"/>
            <w:noWrap/>
            <w:vAlign w:val="bottom"/>
            <w:hideMark/>
          </w:tcPr>
          <w:p w14:paraId="2EAA9B6F" w14:textId="77777777" w:rsidR="002229DB" w:rsidRPr="00776367" w:rsidRDefault="002229DB" w:rsidP="002229DB">
            <w:pPr>
              <w:pStyle w:val="TableText"/>
              <w:jc w:val="right"/>
              <w:rPr>
                <w:rFonts w:cs="Segoe UI"/>
                <w:lang w:eastAsia="en-NZ"/>
              </w:rPr>
            </w:pPr>
            <w:r w:rsidRPr="00776367">
              <w:rPr>
                <w:rFonts w:cs="Segoe UI"/>
                <w:lang w:eastAsia="en-NZ"/>
              </w:rPr>
              <w:t>7.941</w:t>
            </w:r>
          </w:p>
        </w:tc>
        <w:tc>
          <w:tcPr>
            <w:tcW w:w="1134" w:type="dxa"/>
            <w:shd w:val="clear" w:color="auto" w:fill="auto"/>
            <w:vAlign w:val="bottom"/>
          </w:tcPr>
          <w:p w14:paraId="6219B1E9" w14:textId="0B338485" w:rsidR="002229DB" w:rsidRPr="00776367" w:rsidRDefault="002229DB" w:rsidP="002229DB">
            <w:pPr>
              <w:pStyle w:val="TableText"/>
              <w:jc w:val="right"/>
              <w:rPr>
                <w:rFonts w:cs="Segoe UI"/>
                <w:lang w:eastAsia="en-NZ"/>
              </w:rPr>
            </w:pPr>
            <w:r>
              <w:rPr>
                <w:rFonts w:ascii="Calibri" w:hAnsi="Calibri" w:cs="Calibri"/>
                <w:color w:val="000000"/>
                <w:sz w:val="22"/>
                <w:szCs w:val="22"/>
              </w:rPr>
              <w:t>-58.3%</w:t>
            </w:r>
          </w:p>
        </w:tc>
      </w:tr>
      <w:tr w:rsidR="002229DB" w:rsidRPr="00533CA0" w14:paraId="328EFAB6" w14:textId="77777777" w:rsidTr="00415B4D">
        <w:tc>
          <w:tcPr>
            <w:tcW w:w="2410" w:type="dxa"/>
            <w:tcBorders>
              <w:bottom w:val="single" w:sz="4" w:space="0" w:color="auto"/>
            </w:tcBorders>
            <w:shd w:val="clear" w:color="auto" w:fill="auto"/>
            <w:noWrap/>
            <w:vAlign w:val="bottom"/>
            <w:hideMark/>
          </w:tcPr>
          <w:p w14:paraId="22B7ADB3" w14:textId="77777777" w:rsidR="002229DB" w:rsidRPr="00776367" w:rsidRDefault="002229DB" w:rsidP="002229DB">
            <w:pPr>
              <w:pStyle w:val="TableText"/>
              <w:rPr>
                <w:rFonts w:cs="Segoe UI"/>
                <w:lang w:eastAsia="en-NZ"/>
              </w:rPr>
            </w:pPr>
            <w:r w:rsidRPr="00776367">
              <w:rPr>
                <w:rFonts w:cs="Segoe UI"/>
                <w:color w:val="000000" w:themeColor="text1"/>
                <w:lang w:eastAsia="en-NZ"/>
              </w:rPr>
              <w:t xml:space="preserve">Ministry/Health New Zealand Agency operating </w:t>
            </w:r>
          </w:p>
        </w:tc>
        <w:tc>
          <w:tcPr>
            <w:tcW w:w="992" w:type="dxa"/>
            <w:tcBorders>
              <w:bottom w:val="single" w:sz="4" w:space="0" w:color="auto"/>
            </w:tcBorders>
            <w:shd w:val="clear" w:color="auto" w:fill="auto"/>
            <w:noWrap/>
            <w:vAlign w:val="bottom"/>
          </w:tcPr>
          <w:p w14:paraId="7B8F6F16" w14:textId="77A86D0B" w:rsidR="002229DB" w:rsidRPr="00043D33" w:rsidRDefault="002229DB" w:rsidP="002229DB">
            <w:pPr>
              <w:pStyle w:val="TableText"/>
              <w:jc w:val="right"/>
              <w:rPr>
                <w:rFonts w:cs="Segoe UI"/>
                <w:highlight w:val="yellow"/>
                <w:lang w:eastAsia="en-NZ"/>
              </w:rPr>
            </w:pPr>
            <w:r>
              <w:rPr>
                <w:rFonts w:ascii="Calibri" w:hAnsi="Calibri" w:cs="Calibri"/>
                <w:color w:val="000000"/>
                <w:sz w:val="22"/>
                <w:szCs w:val="22"/>
              </w:rPr>
              <w:t>1.697</w:t>
            </w:r>
          </w:p>
        </w:tc>
        <w:tc>
          <w:tcPr>
            <w:tcW w:w="959" w:type="dxa"/>
            <w:tcBorders>
              <w:bottom w:val="single" w:sz="4" w:space="0" w:color="auto"/>
            </w:tcBorders>
            <w:shd w:val="clear" w:color="auto" w:fill="auto"/>
            <w:noWrap/>
            <w:vAlign w:val="bottom"/>
          </w:tcPr>
          <w:p w14:paraId="48A58EA3" w14:textId="136C31A4" w:rsidR="002229DB" w:rsidRPr="00043D33" w:rsidRDefault="002229DB" w:rsidP="002229DB">
            <w:pPr>
              <w:pStyle w:val="TableText"/>
              <w:jc w:val="right"/>
              <w:rPr>
                <w:rFonts w:cs="Segoe UI"/>
                <w:highlight w:val="yellow"/>
                <w:lang w:eastAsia="en-NZ"/>
              </w:rPr>
            </w:pPr>
            <w:r>
              <w:rPr>
                <w:rFonts w:ascii="Calibri" w:hAnsi="Calibri" w:cs="Calibri"/>
                <w:color w:val="000000"/>
                <w:sz w:val="22"/>
                <w:szCs w:val="22"/>
              </w:rPr>
              <w:t>1.965</w:t>
            </w:r>
          </w:p>
        </w:tc>
        <w:tc>
          <w:tcPr>
            <w:tcW w:w="993" w:type="dxa"/>
            <w:tcBorders>
              <w:bottom w:val="single" w:sz="4" w:space="0" w:color="auto"/>
            </w:tcBorders>
            <w:shd w:val="clear" w:color="auto" w:fill="auto"/>
            <w:noWrap/>
            <w:vAlign w:val="bottom"/>
          </w:tcPr>
          <w:p w14:paraId="125DCF92" w14:textId="38B910C2" w:rsidR="002229DB" w:rsidRPr="00043D33" w:rsidRDefault="002229DB" w:rsidP="002229DB">
            <w:pPr>
              <w:pStyle w:val="TableText"/>
              <w:jc w:val="right"/>
              <w:rPr>
                <w:rFonts w:cs="Segoe UI"/>
                <w:highlight w:val="yellow"/>
                <w:lang w:eastAsia="en-NZ"/>
              </w:rPr>
            </w:pPr>
            <w:r>
              <w:rPr>
                <w:rFonts w:ascii="Calibri" w:hAnsi="Calibri" w:cs="Calibri"/>
                <w:color w:val="000000"/>
                <w:sz w:val="22"/>
                <w:szCs w:val="22"/>
              </w:rPr>
              <w:t>1.616</w:t>
            </w:r>
          </w:p>
        </w:tc>
        <w:tc>
          <w:tcPr>
            <w:tcW w:w="1025" w:type="dxa"/>
            <w:tcBorders>
              <w:bottom w:val="single" w:sz="4" w:space="0" w:color="auto"/>
            </w:tcBorders>
            <w:shd w:val="clear" w:color="auto" w:fill="auto"/>
            <w:noWrap/>
            <w:vAlign w:val="bottom"/>
          </w:tcPr>
          <w:p w14:paraId="33F0CB0A" w14:textId="2EC4B473" w:rsidR="002229DB" w:rsidRPr="00415B4D" w:rsidRDefault="002229DB" w:rsidP="002229DB">
            <w:pPr>
              <w:pStyle w:val="TableText"/>
              <w:jc w:val="right"/>
              <w:rPr>
                <w:rFonts w:cs="Segoe UI"/>
                <w:b/>
                <w:highlight w:val="yellow"/>
                <w:lang w:eastAsia="en-NZ"/>
              </w:rPr>
            </w:pPr>
            <w:r w:rsidRPr="00415B4D">
              <w:rPr>
                <w:rFonts w:ascii="Calibri" w:hAnsi="Calibri" w:cs="Calibri"/>
                <w:b/>
                <w:color w:val="000000"/>
                <w:sz w:val="22"/>
                <w:szCs w:val="22"/>
              </w:rPr>
              <w:t>5.277</w:t>
            </w:r>
          </w:p>
        </w:tc>
        <w:tc>
          <w:tcPr>
            <w:tcW w:w="1134" w:type="dxa"/>
            <w:tcBorders>
              <w:bottom w:val="single" w:sz="4" w:space="0" w:color="auto"/>
            </w:tcBorders>
            <w:shd w:val="clear" w:color="auto" w:fill="auto"/>
            <w:noWrap/>
            <w:vAlign w:val="bottom"/>
            <w:hideMark/>
          </w:tcPr>
          <w:p w14:paraId="37A9FE8C" w14:textId="77777777" w:rsidR="002229DB" w:rsidRPr="00776367" w:rsidRDefault="002229DB" w:rsidP="002229DB">
            <w:pPr>
              <w:pStyle w:val="TableText"/>
              <w:jc w:val="right"/>
              <w:rPr>
                <w:rFonts w:cs="Segoe UI"/>
                <w:lang w:eastAsia="en-NZ"/>
              </w:rPr>
            </w:pPr>
            <w:r w:rsidRPr="00776367">
              <w:rPr>
                <w:rFonts w:cs="Segoe UI"/>
                <w:lang w:eastAsia="en-NZ"/>
              </w:rPr>
              <w:t>3.471</w:t>
            </w:r>
          </w:p>
        </w:tc>
        <w:tc>
          <w:tcPr>
            <w:tcW w:w="1134" w:type="dxa"/>
            <w:tcBorders>
              <w:bottom w:val="single" w:sz="4" w:space="0" w:color="auto"/>
            </w:tcBorders>
            <w:shd w:val="clear" w:color="auto" w:fill="auto"/>
            <w:vAlign w:val="bottom"/>
          </w:tcPr>
          <w:p w14:paraId="0F971861" w14:textId="3C2FC489" w:rsidR="002229DB" w:rsidRPr="00776367" w:rsidRDefault="002229DB" w:rsidP="002229DB">
            <w:pPr>
              <w:pStyle w:val="TableText"/>
              <w:jc w:val="right"/>
              <w:rPr>
                <w:rFonts w:cs="Segoe UI"/>
                <w:lang w:eastAsia="en-NZ"/>
              </w:rPr>
            </w:pPr>
            <w:r>
              <w:rPr>
                <w:rFonts w:ascii="Calibri" w:hAnsi="Calibri" w:cs="Calibri"/>
                <w:color w:val="000000"/>
                <w:sz w:val="22"/>
                <w:szCs w:val="22"/>
              </w:rPr>
              <w:t>+52.0%</w:t>
            </w:r>
          </w:p>
        </w:tc>
      </w:tr>
      <w:tr w:rsidR="002229DB" w:rsidRPr="00991E03" w14:paraId="3213E357" w14:textId="77777777" w:rsidTr="00415B4D">
        <w:tc>
          <w:tcPr>
            <w:tcW w:w="2410" w:type="dxa"/>
            <w:tcBorders>
              <w:top w:val="single" w:sz="4" w:space="0" w:color="auto"/>
              <w:bottom w:val="single" w:sz="4" w:space="0" w:color="auto"/>
            </w:tcBorders>
            <w:shd w:val="clear" w:color="auto" w:fill="auto"/>
            <w:noWrap/>
            <w:vAlign w:val="bottom"/>
            <w:hideMark/>
          </w:tcPr>
          <w:p w14:paraId="3234D7CF" w14:textId="77777777" w:rsidR="002229DB" w:rsidRPr="00776367" w:rsidRDefault="002229DB" w:rsidP="002229DB">
            <w:pPr>
              <w:pStyle w:val="TableText"/>
              <w:rPr>
                <w:rFonts w:cs="Segoe UI"/>
                <w:b/>
                <w:bCs/>
                <w:lang w:eastAsia="en-NZ"/>
              </w:rPr>
            </w:pPr>
            <w:r w:rsidRPr="00776367">
              <w:rPr>
                <w:rFonts w:cs="Segoe UI"/>
                <w:b/>
                <w:bCs/>
                <w:lang w:eastAsia="en-NZ"/>
              </w:rPr>
              <w:t>Total</w:t>
            </w:r>
          </w:p>
        </w:tc>
        <w:tc>
          <w:tcPr>
            <w:tcW w:w="992" w:type="dxa"/>
            <w:tcBorders>
              <w:top w:val="single" w:sz="4" w:space="0" w:color="auto"/>
              <w:bottom w:val="single" w:sz="4" w:space="0" w:color="auto"/>
            </w:tcBorders>
            <w:shd w:val="clear" w:color="auto" w:fill="auto"/>
            <w:noWrap/>
            <w:vAlign w:val="bottom"/>
          </w:tcPr>
          <w:p w14:paraId="3047E2D0" w14:textId="4B4B6EAD" w:rsidR="002229DB" w:rsidRPr="002229DB" w:rsidRDefault="002229DB" w:rsidP="002229DB">
            <w:pPr>
              <w:pStyle w:val="TableText"/>
              <w:jc w:val="right"/>
              <w:rPr>
                <w:rFonts w:cs="Segoe UI"/>
                <w:b/>
                <w:bCs/>
                <w:highlight w:val="yellow"/>
              </w:rPr>
            </w:pPr>
            <w:r w:rsidRPr="00415B4D">
              <w:rPr>
                <w:rFonts w:ascii="Calibri" w:hAnsi="Calibri" w:cs="Calibri"/>
                <w:b/>
                <w:color w:val="000000"/>
                <w:sz w:val="22"/>
                <w:szCs w:val="22"/>
              </w:rPr>
              <w:t>26.264</w:t>
            </w:r>
          </w:p>
        </w:tc>
        <w:tc>
          <w:tcPr>
            <w:tcW w:w="959" w:type="dxa"/>
            <w:tcBorders>
              <w:top w:val="single" w:sz="4" w:space="0" w:color="auto"/>
              <w:bottom w:val="single" w:sz="4" w:space="0" w:color="auto"/>
            </w:tcBorders>
            <w:shd w:val="clear" w:color="auto" w:fill="auto"/>
            <w:noWrap/>
            <w:vAlign w:val="bottom"/>
          </w:tcPr>
          <w:p w14:paraId="50D50B65" w14:textId="27E1C6F4" w:rsidR="002229DB" w:rsidRPr="002229DB" w:rsidRDefault="002229DB" w:rsidP="002229DB">
            <w:pPr>
              <w:pStyle w:val="TableText"/>
              <w:jc w:val="right"/>
              <w:rPr>
                <w:rFonts w:cs="Segoe UI"/>
                <w:b/>
                <w:bCs/>
                <w:highlight w:val="yellow"/>
              </w:rPr>
            </w:pPr>
            <w:r w:rsidRPr="00415B4D">
              <w:rPr>
                <w:rFonts w:ascii="Calibri" w:hAnsi="Calibri" w:cs="Calibri"/>
                <w:b/>
                <w:color w:val="000000"/>
                <w:sz w:val="22"/>
                <w:szCs w:val="22"/>
              </w:rPr>
              <w:t>27.916</w:t>
            </w:r>
          </w:p>
        </w:tc>
        <w:tc>
          <w:tcPr>
            <w:tcW w:w="993" w:type="dxa"/>
            <w:tcBorders>
              <w:top w:val="single" w:sz="4" w:space="0" w:color="auto"/>
              <w:bottom w:val="single" w:sz="4" w:space="0" w:color="auto"/>
            </w:tcBorders>
            <w:shd w:val="clear" w:color="auto" w:fill="auto"/>
            <w:noWrap/>
            <w:vAlign w:val="bottom"/>
          </w:tcPr>
          <w:p w14:paraId="1823069F" w14:textId="1B9A4BE5" w:rsidR="002229DB" w:rsidRPr="002229DB" w:rsidRDefault="002229DB" w:rsidP="002229DB">
            <w:pPr>
              <w:pStyle w:val="TableText"/>
              <w:jc w:val="right"/>
              <w:rPr>
                <w:rFonts w:cs="Segoe UI"/>
                <w:b/>
                <w:bCs/>
                <w:highlight w:val="yellow"/>
              </w:rPr>
            </w:pPr>
            <w:r w:rsidRPr="00415B4D">
              <w:rPr>
                <w:rFonts w:ascii="Calibri" w:hAnsi="Calibri" w:cs="Calibri"/>
                <w:b/>
                <w:color w:val="000000"/>
                <w:sz w:val="22"/>
                <w:szCs w:val="22"/>
              </w:rPr>
              <w:t>27.178</w:t>
            </w:r>
          </w:p>
        </w:tc>
        <w:tc>
          <w:tcPr>
            <w:tcW w:w="1025" w:type="dxa"/>
            <w:tcBorders>
              <w:top w:val="single" w:sz="4" w:space="0" w:color="auto"/>
              <w:bottom w:val="single" w:sz="4" w:space="0" w:color="auto"/>
            </w:tcBorders>
            <w:shd w:val="clear" w:color="auto" w:fill="auto"/>
            <w:noWrap/>
            <w:vAlign w:val="bottom"/>
          </w:tcPr>
          <w:p w14:paraId="12C1CEF1" w14:textId="095E4E16" w:rsidR="002229DB" w:rsidRPr="002229DB" w:rsidRDefault="002229DB" w:rsidP="002229DB">
            <w:pPr>
              <w:pStyle w:val="TableText"/>
              <w:jc w:val="right"/>
              <w:rPr>
                <w:rFonts w:cs="Segoe UI"/>
                <w:b/>
                <w:bCs/>
                <w:highlight w:val="yellow"/>
              </w:rPr>
            </w:pPr>
            <w:r w:rsidRPr="00415B4D">
              <w:rPr>
                <w:rFonts w:ascii="Calibri" w:hAnsi="Calibri" w:cs="Calibri"/>
                <w:b/>
                <w:color w:val="000000"/>
                <w:sz w:val="22"/>
                <w:szCs w:val="22"/>
              </w:rPr>
              <w:t>81.358</w:t>
            </w:r>
          </w:p>
        </w:tc>
        <w:tc>
          <w:tcPr>
            <w:tcW w:w="1134" w:type="dxa"/>
            <w:tcBorders>
              <w:top w:val="single" w:sz="4" w:space="0" w:color="auto"/>
              <w:bottom w:val="single" w:sz="4" w:space="0" w:color="auto"/>
            </w:tcBorders>
            <w:shd w:val="clear" w:color="auto" w:fill="auto"/>
            <w:noWrap/>
            <w:vAlign w:val="bottom"/>
            <w:hideMark/>
          </w:tcPr>
          <w:p w14:paraId="302CAA79" w14:textId="77777777" w:rsidR="002229DB" w:rsidRPr="00415B4D" w:rsidRDefault="002229DB" w:rsidP="002229DB">
            <w:pPr>
              <w:pStyle w:val="TableText"/>
              <w:jc w:val="right"/>
              <w:rPr>
                <w:rFonts w:cs="Segoe UI"/>
                <w:color w:val="000000"/>
                <w:szCs w:val="18"/>
              </w:rPr>
            </w:pPr>
            <w:r w:rsidRPr="00415B4D">
              <w:rPr>
                <w:rFonts w:cs="Segoe UI"/>
                <w:color w:val="000000"/>
                <w:szCs w:val="18"/>
              </w:rPr>
              <w:t>76.123</w:t>
            </w:r>
          </w:p>
        </w:tc>
        <w:tc>
          <w:tcPr>
            <w:tcW w:w="1134" w:type="dxa"/>
            <w:tcBorders>
              <w:top w:val="single" w:sz="4" w:space="0" w:color="auto"/>
              <w:bottom w:val="single" w:sz="4" w:space="0" w:color="auto"/>
            </w:tcBorders>
            <w:shd w:val="clear" w:color="auto" w:fill="auto"/>
            <w:vAlign w:val="bottom"/>
          </w:tcPr>
          <w:p w14:paraId="3C94C344" w14:textId="152E4C03" w:rsidR="002229DB" w:rsidRPr="00776367" w:rsidRDefault="002229DB" w:rsidP="002229DB">
            <w:pPr>
              <w:pStyle w:val="TableText"/>
              <w:jc w:val="right"/>
              <w:rPr>
                <w:rFonts w:cs="Segoe UI"/>
                <w:b/>
                <w:bCs/>
                <w:lang w:eastAsia="en-NZ"/>
              </w:rPr>
            </w:pPr>
            <w:r>
              <w:rPr>
                <w:rFonts w:ascii="Calibri" w:hAnsi="Calibri" w:cs="Calibri"/>
                <w:color w:val="000000"/>
                <w:sz w:val="22"/>
                <w:szCs w:val="22"/>
              </w:rPr>
              <w:t>+6.9%</w:t>
            </w:r>
          </w:p>
        </w:tc>
      </w:tr>
    </w:tbl>
    <w:p w14:paraId="7131FB2D" w14:textId="77777777" w:rsidR="00CE5300" w:rsidRPr="00991E03" w:rsidRDefault="00CE5300" w:rsidP="00CE5300">
      <w:pPr>
        <w:pStyle w:val="Note"/>
        <w:rPr>
          <w:rFonts w:eastAsia="Lucida Sans Unicode"/>
        </w:rPr>
      </w:pPr>
      <w:r w:rsidRPr="00991E03">
        <w:rPr>
          <w:rFonts w:eastAsia="Lucida Sans Unicode"/>
        </w:rPr>
        <w:t>Notes: The service areas are discussed in more detail at Summary tables by service area below. Budget sums may not total due to rounding.</w:t>
      </w:r>
    </w:p>
    <w:p w14:paraId="3B550B45" w14:textId="77777777" w:rsidR="00C36654" w:rsidRDefault="00C36654" w:rsidP="00CE5300">
      <w:pPr>
        <w:pStyle w:val="Heading2"/>
        <w:sectPr w:rsidR="00C36654" w:rsidSect="00CE5300">
          <w:headerReference w:type="default" r:id="rId40"/>
          <w:pgSz w:w="11907" w:h="16840" w:code="9"/>
          <w:pgMar w:top="1418" w:right="1701" w:bottom="1134" w:left="1843" w:header="284" w:footer="425" w:gutter="284"/>
          <w:cols w:space="720"/>
        </w:sectPr>
      </w:pPr>
    </w:p>
    <w:p w14:paraId="66D63C98" w14:textId="4B37EB92" w:rsidR="00CE5300" w:rsidRPr="00991E03" w:rsidRDefault="00CE5300" w:rsidP="00C36654">
      <w:pPr>
        <w:pStyle w:val="Heading2"/>
        <w:spacing w:before="0"/>
      </w:pPr>
      <w:bookmarkStart w:id="29" w:name="_Toc197534205"/>
      <w:r w:rsidRPr="00991E03">
        <w:lastRenderedPageBreak/>
        <w:t>Detailed service plan priority tables</w:t>
      </w:r>
      <w:bookmarkEnd w:id="29"/>
    </w:p>
    <w:p w14:paraId="43DF8290" w14:textId="77777777" w:rsidR="00CE5300" w:rsidRDefault="00CE5300" w:rsidP="00CE5300">
      <w:r>
        <w:t xml:space="preserve">The following service plan priority tables provide further detail about and the rationale for the services proposed in the plan. </w:t>
      </w:r>
    </w:p>
    <w:p w14:paraId="70A0A500" w14:textId="77777777" w:rsidR="00CE5300" w:rsidRDefault="00CE5300" w:rsidP="00CE5300">
      <w:pPr>
        <w:rPr>
          <w:b/>
        </w:rPr>
      </w:pPr>
    </w:p>
    <w:p w14:paraId="5DE6F745" w14:textId="77063152" w:rsidR="00CE5300" w:rsidRDefault="00CE5300" w:rsidP="00CE5300">
      <w:pPr>
        <w:rPr>
          <w:rFonts w:cstheme="minorBidi"/>
        </w:rPr>
        <w:sectPr w:rsidR="00CE5300" w:rsidSect="00CE5300">
          <w:pgSz w:w="11907" w:h="16840" w:code="9"/>
          <w:pgMar w:top="1418" w:right="1701" w:bottom="1134" w:left="1843" w:header="284" w:footer="425" w:gutter="284"/>
          <w:cols w:space="720"/>
        </w:sectPr>
      </w:pPr>
      <w:r w:rsidRPr="2147532C">
        <w:rPr>
          <w:rFonts w:eastAsiaTheme="minorEastAsia" w:cstheme="minorBidi"/>
        </w:rPr>
        <w:t>To support comparison with the current services, these tables show the service activity area. They also include a column ‘Statutory type’ that notes which of the</w:t>
      </w:r>
      <w:r w:rsidR="525E3737" w:rsidRPr="2147532C">
        <w:rPr>
          <w:rFonts w:eastAsiaTheme="minorEastAsia" w:cstheme="minorBidi"/>
        </w:rPr>
        <w:t xml:space="preserve"> </w:t>
      </w:r>
      <w:r w:rsidRPr="2147532C">
        <w:rPr>
          <w:rFonts w:eastAsiaTheme="minorEastAsia" w:cstheme="minorBidi"/>
        </w:rPr>
        <w:t xml:space="preserve">categories </w:t>
      </w:r>
      <w:r w:rsidR="5C4D0C8D" w:rsidRPr="2147532C">
        <w:rPr>
          <w:rFonts w:eastAsiaTheme="minorEastAsia" w:cstheme="minorBidi"/>
        </w:rPr>
        <w:t xml:space="preserve">the Act specifies the </w:t>
      </w:r>
      <w:r w:rsidR="002464EB" w:rsidRPr="0DAFFFC1">
        <w:rPr>
          <w:rFonts w:eastAsiaTheme="minorEastAsia" w:cstheme="minorBidi"/>
        </w:rPr>
        <w:t>S</w:t>
      </w:r>
      <w:r w:rsidR="5C4D0C8D" w:rsidRPr="2147532C">
        <w:rPr>
          <w:rFonts w:eastAsiaTheme="minorEastAsia" w:cstheme="minorBidi"/>
        </w:rPr>
        <w:t>trategy must include</w:t>
      </w:r>
      <w:r w:rsidRPr="2147532C">
        <w:rPr>
          <w:rFonts w:eastAsiaTheme="minorEastAsia" w:cstheme="minorBidi"/>
        </w:rPr>
        <w:t xml:space="preserve"> </w:t>
      </w:r>
      <w:r w:rsidR="31985151" w:rsidRPr="1CAD5B43">
        <w:rPr>
          <w:rFonts w:eastAsiaTheme="minorEastAsia" w:cstheme="minorBidi"/>
        </w:rPr>
        <w:t xml:space="preserve">that </w:t>
      </w:r>
      <w:r w:rsidRPr="2147532C">
        <w:rPr>
          <w:rFonts w:eastAsiaTheme="minorEastAsia" w:cstheme="minorBidi"/>
        </w:rPr>
        <w:t>each activity aligns with. This shows that all the required statutory categories are covered by the proposals</w:t>
      </w:r>
      <w:r w:rsidRPr="2147532C">
        <w:rPr>
          <w:rFonts w:cstheme="minorBidi"/>
        </w:rPr>
        <w:t>.</w:t>
      </w:r>
    </w:p>
    <w:p w14:paraId="00A8FF17" w14:textId="2CE2EB72" w:rsidR="00CE5300" w:rsidRPr="003D394B" w:rsidRDefault="00CE5300" w:rsidP="00CE5300">
      <w:pPr>
        <w:pStyle w:val="Heading3"/>
        <w:spacing w:before="0"/>
      </w:pPr>
      <w:r>
        <w:lastRenderedPageBreak/>
        <w:t>Priority One: I</w:t>
      </w:r>
      <w:r w:rsidRPr="003D394B">
        <w:t>ncreas</w:t>
      </w:r>
      <w:r>
        <w:t>e</w:t>
      </w:r>
      <w:r w:rsidRPr="003D394B">
        <w:t xml:space="preserve"> access to gambling </w:t>
      </w:r>
      <w:r w:rsidRPr="0083331A">
        <w:t>harm</w:t>
      </w:r>
      <w:r w:rsidRPr="003D394B">
        <w:t xml:space="preserve"> support </w:t>
      </w:r>
    </w:p>
    <w:tbl>
      <w:tblPr>
        <w:tblStyle w:val="TableGrid"/>
        <w:tblW w:w="1414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1696"/>
        <w:gridCol w:w="3407"/>
        <w:gridCol w:w="3827"/>
        <w:gridCol w:w="1559"/>
        <w:gridCol w:w="1418"/>
        <w:gridCol w:w="992"/>
        <w:gridCol w:w="1247"/>
      </w:tblGrid>
      <w:tr w:rsidR="00CE5300" w:rsidRPr="00AA3038" w14:paraId="22AD1A51" w14:textId="77777777" w:rsidTr="52103CC6">
        <w:trPr>
          <w:tblHeader/>
        </w:trPr>
        <w:tc>
          <w:tcPr>
            <w:tcW w:w="1696" w:type="dxa"/>
            <w:tcBorders>
              <w:top w:val="nil"/>
              <w:left w:val="nil"/>
              <w:bottom w:val="nil"/>
              <w:right w:val="nil"/>
            </w:tcBorders>
            <w:shd w:val="clear" w:color="auto" w:fill="D9D9D9" w:themeFill="background1" w:themeFillShade="D9"/>
          </w:tcPr>
          <w:p w14:paraId="6E4ED3D8" w14:textId="77777777" w:rsidR="00CE5300" w:rsidRPr="00AA3038" w:rsidRDefault="00CE5300">
            <w:pPr>
              <w:pStyle w:val="TableText"/>
              <w:rPr>
                <w:b/>
                <w:bCs/>
              </w:rPr>
            </w:pPr>
            <w:r w:rsidRPr="00AA3038">
              <w:rPr>
                <w:b/>
                <w:bCs/>
              </w:rPr>
              <w:t>Proposal</w:t>
            </w:r>
          </w:p>
        </w:tc>
        <w:tc>
          <w:tcPr>
            <w:tcW w:w="3407" w:type="dxa"/>
            <w:tcBorders>
              <w:top w:val="nil"/>
              <w:left w:val="nil"/>
              <w:bottom w:val="nil"/>
              <w:right w:val="nil"/>
            </w:tcBorders>
            <w:shd w:val="clear" w:color="auto" w:fill="D9D9D9" w:themeFill="background1" w:themeFillShade="D9"/>
          </w:tcPr>
          <w:p w14:paraId="6121F20A" w14:textId="77777777" w:rsidR="00CE5300" w:rsidRPr="00AA3038" w:rsidRDefault="00CE5300">
            <w:pPr>
              <w:pStyle w:val="TableText"/>
              <w:rPr>
                <w:b/>
                <w:bCs/>
              </w:rPr>
            </w:pPr>
            <w:r w:rsidRPr="00AA3038">
              <w:rPr>
                <w:b/>
                <w:bCs/>
              </w:rPr>
              <w:t>Description</w:t>
            </w:r>
          </w:p>
        </w:tc>
        <w:tc>
          <w:tcPr>
            <w:tcW w:w="3827" w:type="dxa"/>
            <w:tcBorders>
              <w:top w:val="nil"/>
              <w:left w:val="nil"/>
              <w:bottom w:val="nil"/>
              <w:right w:val="nil"/>
            </w:tcBorders>
            <w:shd w:val="clear" w:color="auto" w:fill="D9D9D9" w:themeFill="background1" w:themeFillShade="D9"/>
          </w:tcPr>
          <w:p w14:paraId="6E4F56A7" w14:textId="77777777" w:rsidR="00CE5300" w:rsidRPr="00AA3038" w:rsidRDefault="00CE5300">
            <w:pPr>
              <w:pStyle w:val="TableText"/>
              <w:rPr>
                <w:b/>
                <w:bCs/>
              </w:rPr>
            </w:pPr>
            <w:r w:rsidRPr="00AA3038">
              <w:rPr>
                <w:b/>
                <w:bCs/>
              </w:rPr>
              <w:t>Rationale</w:t>
            </w:r>
          </w:p>
        </w:tc>
        <w:tc>
          <w:tcPr>
            <w:tcW w:w="1559" w:type="dxa"/>
            <w:tcBorders>
              <w:top w:val="nil"/>
              <w:left w:val="nil"/>
              <w:bottom w:val="nil"/>
              <w:right w:val="nil"/>
            </w:tcBorders>
            <w:shd w:val="clear" w:color="auto" w:fill="D9D9D9" w:themeFill="background1" w:themeFillShade="D9"/>
          </w:tcPr>
          <w:p w14:paraId="74BC2985" w14:textId="77777777" w:rsidR="00CE5300" w:rsidRPr="00AA3038" w:rsidRDefault="00CE5300" w:rsidP="52103CC6">
            <w:pPr>
              <w:pStyle w:val="TableText"/>
              <w:rPr>
                <w:b/>
                <w:bCs/>
              </w:rPr>
            </w:pPr>
            <w:r w:rsidRPr="52103CC6">
              <w:rPr>
                <w:b/>
                <w:bCs/>
              </w:rPr>
              <w:t>NZ$m proposed for 25/26–27/28</w:t>
            </w:r>
          </w:p>
        </w:tc>
        <w:tc>
          <w:tcPr>
            <w:tcW w:w="1418" w:type="dxa"/>
            <w:tcBorders>
              <w:top w:val="nil"/>
              <w:left w:val="nil"/>
              <w:bottom w:val="nil"/>
              <w:right w:val="nil"/>
            </w:tcBorders>
            <w:shd w:val="clear" w:color="auto" w:fill="D9D9D9" w:themeFill="background1" w:themeFillShade="D9"/>
          </w:tcPr>
          <w:p w14:paraId="7191C009" w14:textId="77777777" w:rsidR="00CE5300" w:rsidRPr="00AA3038" w:rsidRDefault="00CE5300" w:rsidP="52103CC6">
            <w:pPr>
              <w:pStyle w:val="TableText"/>
              <w:rPr>
                <w:b/>
                <w:bCs/>
              </w:rPr>
            </w:pPr>
            <w:r w:rsidRPr="52103CC6">
              <w:rPr>
                <w:b/>
                <w:bCs/>
              </w:rPr>
              <w:t>NZ$m for 22/23–24/25</w:t>
            </w:r>
          </w:p>
        </w:tc>
        <w:tc>
          <w:tcPr>
            <w:tcW w:w="992" w:type="dxa"/>
            <w:tcBorders>
              <w:top w:val="nil"/>
              <w:left w:val="nil"/>
              <w:bottom w:val="nil"/>
              <w:right w:val="nil"/>
            </w:tcBorders>
            <w:shd w:val="clear" w:color="auto" w:fill="D9D9D9" w:themeFill="background1" w:themeFillShade="D9"/>
          </w:tcPr>
          <w:p w14:paraId="7F8108AF" w14:textId="77777777" w:rsidR="00CE5300" w:rsidRPr="00AA3038" w:rsidRDefault="00CE5300">
            <w:pPr>
              <w:pStyle w:val="TableText"/>
              <w:rPr>
                <w:b/>
                <w:bCs/>
              </w:rPr>
            </w:pPr>
            <w:r w:rsidRPr="00AA3038">
              <w:rPr>
                <w:b/>
                <w:bCs/>
              </w:rPr>
              <w:t xml:space="preserve">Outcome area </w:t>
            </w:r>
          </w:p>
        </w:tc>
        <w:tc>
          <w:tcPr>
            <w:tcW w:w="1247" w:type="dxa"/>
            <w:tcBorders>
              <w:top w:val="nil"/>
              <w:left w:val="nil"/>
              <w:bottom w:val="nil"/>
              <w:right w:val="nil"/>
            </w:tcBorders>
            <w:shd w:val="clear" w:color="auto" w:fill="D9D9D9" w:themeFill="background1" w:themeFillShade="D9"/>
          </w:tcPr>
          <w:p w14:paraId="143725AD" w14:textId="77777777" w:rsidR="00CE5300" w:rsidRPr="00AA3038" w:rsidRDefault="00CE5300">
            <w:pPr>
              <w:pStyle w:val="TableText"/>
              <w:rPr>
                <w:b/>
                <w:bCs/>
              </w:rPr>
            </w:pPr>
            <w:r w:rsidRPr="00AA3038">
              <w:rPr>
                <w:b/>
                <w:bCs/>
              </w:rPr>
              <w:t>Statutory type</w:t>
            </w:r>
          </w:p>
        </w:tc>
      </w:tr>
      <w:tr w:rsidR="00CE5300" w:rsidRPr="00487FC0" w14:paraId="2E7086A5" w14:textId="77777777" w:rsidTr="52103CC6">
        <w:tc>
          <w:tcPr>
            <w:tcW w:w="1696" w:type="dxa"/>
            <w:tcBorders>
              <w:top w:val="nil"/>
              <w:left w:val="nil"/>
              <w:right w:val="single" w:sz="4" w:space="0" w:color="A6A6A6" w:themeColor="background1" w:themeShade="A6"/>
            </w:tcBorders>
          </w:tcPr>
          <w:p w14:paraId="65D75F4E" w14:textId="77777777" w:rsidR="00CE5300" w:rsidRPr="00487FC0" w:rsidRDefault="00CE5300" w:rsidP="00D24933">
            <w:pPr>
              <w:pStyle w:val="TableText"/>
            </w:pPr>
            <w:r w:rsidRPr="00487FC0">
              <w:t>Clinical interventions</w:t>
            </w:r>
          </w:p>
        </w:tc>
        <w:tc>
          <w:tcPr>
            <w:tcW w:w="3407" w:type="dxa"/>
            <w:tcBorders>
              <w:top w:val="nil"/>
              <w:left w:val="single" w:sz="4" w:space="0" w:color="A6A6A6" w:themeColor="background1" w:themeShade="A6"/>
              <w:right w:val="single" w:sz="4" w:space="0" w:color="A6A6A6" w:themeColor="background1" w:themeShade="A6"/>
            </w:tcBorders>
          </w:tcPr>
          <w:p w14:paraId="127010ED" w14:textId="77777777" w:rsidR="00CE5300" w:rsidRPr="00487FC0" w:rsidRDefault="00CE5300" w:rsidP="00D24933">
            <w:pPr>
              <w:pStyle w:val="TableText"/>
              <w:rPr>
                <w:rFonts w:eastAsia="Segoe UI" w:cs="Segoe UI"/>
              </w:rPr>
            </w:pPr>
            <w:r w:rsidRPr="00487FC0">
              <w:rPr>
                <w:rFonts w:eastAsia="Segoe UI" w:cs="Segoe UI"/>
              </w:rPr>
              <w:t>This proposal encompasses all locally</w:t>
            </w:r>
            <w:r>
              <w:rPr>
                <w:rFonts w:eastAsia="Segoe UI" w:cs="Segoe UI"/>
              </w:rPr>
              <w:t xml:space="preserve"> </w:t>
            </w:r>
            <w:r w:rsidRPr="00487FC0">
              <w:rPr>
                <w:rFonts w:eastAsia="Segoe UI" w:cs="Segoe UI"/>
              </w:rPr>
              <w:t>delivered clinical intervention services.</w:t>
            </w:r>
            <w:r>
              <w:rPr>
                <w:rFonts w:eastAsia="Segoe UI" w:cs="Segoe UI"/>
              </w:rPr>
              <w:t xml:space="preserve"> A</w:t>
            </w:r>
            <w:r w:rsidRPr="00487FC0">
              <w:rPr>
                <w:rFonts w:eastAsia="Segoe UI" w:cs="Segoe UI"/>
              </w:rPr>
              <w:t xml:space="preserve">ll clinical services were recommissioned in 2023 and are </w:t>
            </w:r>
            <w:r>
              <w:rPr>
                <w:rFonts w:eastAsia="Segoe UI" w:cs="Segoe UI"/>
              </w:rPr>
              <w:t>under</w:t>
            </w:r>
            <w:r w:rsidRPr="00487FC0">
              <w:rPr>
                <w:rFonts w:eastAsia="Segoe UI" w:cs="Segoe UI"/>
              </w:rPr>
              <w:t xml:space="preserve"> contract until at least 30 June 2027.</w:t>
            </w:r>
          </w:p>
          <w:p w14:paraId="7046028D" w14:textId="77777777" w:rsidR="00CE5300" w:rsidRPr="00487FC0" w:rsidRDefault="00CE5300" w:rsidP="00D24933">
            <w:pPr>
              <w:pStyle w:val="TableText"/>
              <w:rPr>
                <w:rFonts w:eastAsia="Segoe UI" w:cs="Segoe UI"/>
              </w:rPr>
            </w:pPr>
          </w:p>
          <w:p w14:paraId="48DCCCBD" w14:textId="77777777" w:rsidR="00CE5300" w:rsidRPr="00487FC0" w:rsidRDefault="00CE5300" w:rsidP="00D24933">
            <w:pPr>
              <w:pStyle w:val="TableText"/>
            </w:pPr>
          </w:p>
        </w:tc>
        <w:tc>
          <w:tcPr>
            <w:tcW w:w="3827" w:type="dxa"/>
            <w:tcBorders>
              <w:top w:val="nil"/>
              <w:left w:val="single" w:sz="4" w:space="0" w:color="A6A6A6" w:themeColor="background1" w:themeShade="A6"/>
              <w:right w:val="single" w:sz="4" w:space="0" w:color="A6A6A6" w:themeColor="background1" w:themeShade="A6"/>
            </w:tcBorders>
          </w:tcPr>
          <w:p w14:paraId="59A74FB1" w14:textId="0D6DFDAD" w:rsidR="00CE5300" w:rsidRPr="00487FC0" w:rsidRDefault="00CE5300" w:rsidP="00D24933">
            <w:pPr>
              <w:pStyle w:val="TableText"/>
              <w:rPr>
                <w:rFonts w:eastAsia="Segoe UI" w:cs="Segoe UI"/>
              </w:rPr>
            </w:pPr>
            <w:r w:rsidRPr="00487FC0">
              <w:rPr>
                <w:rFonts w:eastAsia="Segoe UI" w:cs="Segoe UI"/>
              </w:rPr>
              <w:t xml:space="preserve">The Gambling Act </w:t>
            </w:r>
            <w:r>
              <w:rPr>
                <w:rFonts w:eastAsia="Segoe UI" w:cs="Segoe UI"/>
              </w:rPr>
              <w:t xml:space="preserve">2003 </w:t>
            </w:r>
            <w:r w:rsidRPr="00487FC0">
              <w:rPr>
                <w:rFonts w:eastAsia="Segoe UI" w:cs="Segoe UI"/>
              </w:rPr>
              <w:t xml:space="preserve">requires the Strategy to provide for </w:t>
            </w:r>
            <w:r w:rsidR="3EFA25E5" w:rsidRPr="3A1BF82C">
              <w:rPr>
                <w:rFonts w:eastAsia="Segoe UI" w:cs="Segoe UI"/>
              </w:rPr>
              <w:t>intervention</w:t>
            </w:r>
            <w:r w:rsidRPr="00487FC0">
              <w:rPr>
                <w:rFonts w:eastAsia="Segoe UI" w:cs="Segoe UI"/>
              </w:rPr>
              <w:t xml:space="preserve"> services</w:t>
            </w:r>
            <w:r>
              <w:rPr>
                <w:rFonts w:eastAsia="Segoe UI" w:cs="Segoe UI"/>
              </w:rPr>
              <w:t>,</w:t>
            </w:r>
            <w:r w:rsidRPr="00487FC0">
              <w:rPr>
                <w:rFonts w:eastAsia="Segoe UI" w:cs="Segoe UI"/>
              </w:rPr>
              <w:t xml:space="preserve"> and these</w:t>
            </w:r>
            <w:r>
              <w:rPr>
                <w:rFonts w:eastAsia="Segoe UI" w:cs="Segoe UI"/>
              </w:rPr>
              <w:t xml:space="preserve"> services</w:t>
            </w:r>
            <w:r w:rsidRPr="00487FC0">
              <w:rPr>
                <w:rFonts w:eastAsia="Segoe UI" w:cs="Segoe UI"/>
              </w:rPr>
              <w:t xml:space="preserve"> have been delivered for many years. The budget increase sought for these services is made up of two components</w:t>
            </w:r>
            <w:r>
              <w:rPr>
                <w:rFonts w:eastAsia="Segoe UI" w:cs="Segoe UI"/>
              </w:rPr>
              <w:t>.</w:t>
            </w:r>
            <w:r w:rsidRPr="00487FC0">
              <w:rPr>
                <w:rFonts w:eastAsia="Segoe UI" w:cs="Segoe UI"/>
              </w:rPr>
              <w:t xml:space="preserve"> </w:t>
            </w:r>
          </w:p>
          <w:p w14:paraId="02A91BC3" w14:textId="162067C5" w:rsidR="00CE5300" w:rsidRPr="005D2EA1" w:rsidRDefault="00CE5300" w:rsidP="00D24933">
            <w:pPr>
              <w:pStyle w:val="TableBullet"/>
              <w:spacing w:before="60"/>
              <w:rPr>
                <w:rFonts w:eastAsia="Segoe UI" w:cs="Segoe UI"/>
              </w:rPr>
            </w:pPr>
            <w:r w:rsidRPr="52103CC6">
              <w:t>Addressing gaps in service coverage</w:t>
            </w:r>
            <w:r w:rsidRPr="52103CC6">
              <w:rPr>
                <w:rFonts w:eastAsia="Segoe UI"/>
              </w:rPr>
              <w:t>: A small amount of additional funding (</w:t>
            </w:r>
            <w:r w:rsidRPr="52103CC6">
              <w:rPr>
                <w:rFonts w:eastAsia="Segoe UI" w:cs="Segoe UI"/>
              </w:rPr>
              <w:t>over three years)</w:t>
            </w:r>
            <w:r w:rsidRPr="52103CC6">
              <w:rPr>
                <w:rFonts w:eastAsia="Segoe UI"/>
              </w:rPr>
              <w:t xml:space="preserve"> is included to address gaps in service coverage.</w:t>
            </w:r>
            <w:r w:rsidRPr="52103CC6">
              <w:t xml:space="preserve"> </w:t>
            </w:r>
          </w:p>
          <w:p w14:paraId="2C9AAEE1" w14:textId="77777777" w:rsidR="00CE5300" w:rsidRPr="00487FC0" w:rsidRDefault="00CE5300" w:rsidP="00D24933">
            <w:pPr>
              <w:pStyle w:val="TableBullet"/>
              <w:spacing w:before="60"/>
              <w:rPr>
                <w:rFonts w:eastAsia="Segoe UI" w:cs="Segoe UI"/>
              </w:rPr>
            </w:pPr>
            <w:r w:rsidRPr="00953F4E">
              <w:t>Wage pressures</w:t>
            </w:r>
            <w:r w:rsidRPr="00123ED1">
              <w:t>:</w:t>
            </w:r>
            <w:r w:rsidRPr="00487FC0">
              <w:t xml:space="preserve"> </w:t>
            </w:r>
            <w:r>
              <w:t>A</w:t>
            </w:r>
            <w:r w:rsidRPr="00487FC0">
              <w:rPr>
                <w:rFonts w:eastAsia="Segoe UI" w:cs="Segoe UI"/>
              </w:rPr>
              <w:t>nnual increases from year two for wage cost pressures, and to help with workforce retention, are included</w:t>
            </w:r>
            <w:r>
              <w:rPr>
                <w:rFonts w:eastAsia="Segoe UI" w:cs="Segoe UI"/>
              </w:rPr>
              <w:t>, u</w:t>
            </w:r>
            <w:r w:rsidRPr="00487FC0">
              <w:rPr>
                <w:rFonts w:eastAsia="Segoe UI" w:cs="Segoe UI"/>
              </w:rPr>
              <w:t>p to $2.137m over three years</w:t>
            </w:r>
            <w:r>
              <w:rPr>
                <w:rFonts w:eastAsia="Segoe UI" w:cs="Segoe UI"/>
              </w:rPr>
              <w:t>.</w:t>
            </w:r>
            <w:r w:rsidRPr="00487FC0">
              <w:rPr>
                <w:rFonts w:eastAsia="Segoe UI" w:cs="Segoe UI"/>
              </w:rPr>
              <w:t xml:space="preserve"> </w:t>
            </w:r>
          </w:p>
        </w:tc>
        <w:tc>
          <w:tcPr>
            <w:tcW w:w="1559" w:type="dxa"/>
            <w:tcBorders>
              <w:top w:val="nil"/>
              <w:left w:val="single" w:sz="4" w:space="0" w:color="A6A6A6" w:themeColor="background1" w:themeShade="A6"/>
              <w:right w:val="single" w:sz="4" w:space="0" w:color="A6A6A6" w:themeColor="background1" w:themeShade="A6"/>
            </w:tcBorders>
            <w:shd w:val="clear" w:color="auto" w:fill="auto"/>
          </w:tcPr>
          <w:p w14:paraId="12C2EA81" w14:textId="4CAE874F" w:rsidR="00895EDF" w:rsidRPr="00895EDF" w:rsidRDefault="00895EDF" w:rsidP="00D24933">
            <w:pPr>
              <w:pStyle w:val="TableText"/>
            </w:pPr>
            <w:r w:rsidRPr="00895EDF" w:rsidDel="004C715F">
              <w:t>30</w:t>
            </w:r>
            <w:r w:rsidR="0DF6DABB">
              <w:t>.291</w:t>
            </w:r>
          </w:p>
          <w:p w14:paraId="4533B991" w14:textId="2E9A15A1" w:rsidR="00CE5300" w:rsidRPr="00487FC0" w:rsidRDefault="00CE5300" w:rsidP="00D24933">
            <w:pPr>
              <w:pStyle w:val="TableText"/>
            </w:pPr>
          </w:p>
        </w:tc>
        <w:tc>
          <w:tcPr>
            <w:tcW w:w="1418" w:type="dxa"/>
            <w:tcBorders>
              <w:top w:val="nil"/>
              <w:left w:val="single" w:sz="4" w:space="0" w:color="A6A6A6" w:themeColor="background1" w:themeShade="A6"/>
              <w:right w:val="single" w:sz="4" w:space="0" w:color="A6A6A6" w:themeColor="background1" w:themeShade="A6"/>
            </w:tcBorders>
          </w:tcPr>
          <w:p w14:paraId="6C62D99F" w14:textId="77777777" w:rsidR="00CE5300" w:rsidRPr="00487FC0" w:rsidRDefault="00CE5300" w:rsidP="00D24933">
            <w:pPr>
              <w:pStyle w:val="TableText"/>
            </w:pPr>
            <w:r w:rsidRPr="00487FC0">
              <w:t>27.768</w:t>
            </w:r>
          </w:p>
        </w:tc>
        <w:tc>
          <w:tcPr>
            <w:tcW w:w="992" w:type="dxa"/>
            <w:tcBorders>
              <w:top w:val="nil"/>
              <w:left w:val="single" w:sz="4" w:space="0" w:color="A6A6A6" w:themeColor="background1" w:themeShade="A6"/>
              <w:right w:val="single" w:sz="4" w:space="0" w:color="A6A6A6" w:themeColor="background1" w:themeShade="A6"/>
            </w:tcBorders>
          </w:tcPr>
          <w:p w14:paraId="2743A2D2" w14:textId="77777777" w:rsidR="00CE5300" w:rsidRPr="00487FC0" w:rsidRDefault="00CE5300" w:rsidP="00D24933">
            <w:pPr>
              <w:pStyle w:val="TableText"/>
            </w:pPr>
            <w:r>
              <w:t>1</w:t>
            </w:r>
          </w:p>
        </w:tc>
        <w:tc>
          <w:tcPr>
            <w:tcW w:w="1247" w:type="dxa"/>
            <w:tcBorders>
              <w:top w:val="nil"/>
              <w:left w:val="single" w:sz="4" w:space="0" w:color="A6A6A6" w:themeColor="background1" w:themeShade="A6"/>
              <w:right w:val="nil"/>
            </w:tcBorders>
          </w:tcPr>
          <w:p w14:paraId="68CA2814" w14:textId="5246FDF5" w:rsidR="00CE5300" w:rsidRPr="00487FC0" w:rsidRDefault="2C20EAA0" w:rsidP="00D24933">
            <w:pPr>
              <w:pStyle w:val="TableText"/>
            </w:pPr>
            <w:r>
              <w:t>Treatment</w:t>
            </w:r>
            <w:r w:rsidR="00CE5300">
              <w:t xml:space="preserve"> services</w:t>
            </w:r>
          </w:p>
        </w:tc>
      </w:tr>
      <w:tr w:rsidR="00CE5300" w:rsidRPr="00487FC0" w14:paraId="1820A0E2" w14:textId="77777777" w:rsidTr="52103CC6">
        <w:tc>
          <w:tcPr>
            <w:tcW w:w="1696" w:type="dxa"/>
            <w:tcBorders>
              <w:left w:val="nil"/>
              <w:right w:val="single" w:sz="4" w:space="0" w:color="A6A6A6" w:themeColor="background1" w:themeShade="A6"/>
            </w:tcBorders>
          </w:tcPr>
          <w:p w14:paraId="2DEA39B1" w14:textId="77777777" w:rsidR="00CE5300" w:rsidRPr="00487FC0" w:rsidRDefault="00CE5300">
            <w:pPr>
              <w:pStyle w:val="TableText"/>
            </w:pPr>
            <w:r w:rsidRPr="00487FC0">
              <w:t>Intensive support</w:t>
            </w:r>
          </w:p>
        </w:tc>
        <w:tc>
          <w:tcPr>
            <w:tcW w:w="3407" w:type="dxa"/>
            <w:tcBorders>
              <w:left w:val="single" w:sz="4" w:space="0" w:color="A6A6A6" w:themeColor="background1" w:themeShade="A6"/>
              <w:right w:val="single" w:sz="4" w:space="0" w:color="A6A6A6" w:themeColor="background1" w:themeShade="A6"/>
            </w:tcBorders>
          </w:tcPr>
          <w:p w14:paraId="0DB3F54C" w14:textId="77777777" w:rsidR="00CE5300" w:rsidRPr="00487FC0" w:rsidRDefault="00CE5300">
            <w:pPr>
              <w:pStyle w:val="TableText"/>
            </w:pPr>
            <w:r w:rsidRPr="52103CC6">
              <w:rPr>
                <w:rFonts w:eastAsia="Segoe UI" w:cs="Segoe UI"/>
              </w:rPr>
              <w:t>Proposed expansion of the intensive support coordination service for people experiencing severe gambling harm. Services will likely be provided in a residential service setting.</w:t>
            </w:r>
          </w:p>
        </w:tc>
        <w:tc>
          <w:tcPr>
            <w:tcW w:w="3827" w:type="dxa"/>
            <w:tcBorders>
              <w:left w:val="single" w:sz="4" w:space="0" w:color="A6A6A6" w:themeColor="background1" w:themeShade="A6"/>
              <w:right w:val="single" w:sz="4" w:space="0" w:color="A6A6A6" w:themeColor="background1" w:themeShade="A6"/>
            </w:tcBorders>
          </w:tcPr>
          <w:p w14:paraId="4BD62EB7" w14:textId="77777777" w:rsidR="00CE5300" w:rsidRPr="00487FC0" w:rsidRDefault="00CE5300">
            <w:pPr>
              <w:pStyle w:val="TableText"/>
            </w:pPr>
            <w:r w:rsidRPr="52103CC6">
              <w:rPr>
                <w:rFonts w:eastAsia="Segoe UI" w:cs="Segoe UI"/>
              </w:rPr>
              <w:t xml:space="preserve">Additional funding is required to expand services’ capacity and capability to provide additional support to this population (including people with co-existing mental health or addiction problems). </w:t>
            </w:r>
          </w:p>
        </w:tc>
        <w:tc>
          <w:tcPr>
            <w:tcW w:w="1559" w:type="dxa"/>
            <w:tcBorders>
              <w:left w:val="single" w:sz="4" w:space="0" w:color="A6A6A6" w:themeColor="background1" w:themeShade="A6"/>
              <w:right w:val="single" w:sz="4" w:space="0" w:color="A6A6A6" w:themeColor="background1" w:themeShade="A6"/>
            </w:tcBorders>
            <w:shd w:val="clear" w:color="auto" w:fill="auto"/>
          </w:tcPr>
          <w:p w14:paraId="72CAEE9B" w14:textId="62EFA5B2" w:rsidR="00CE5300" w:rsidRPr="00487FC0" w:rsidRDefault="00CE5300">
            <w:pPr>
              <w:pStyle w:val="TableText"/>
            </w:pPr>
            <w:r w:rsidRPr="00487FC0">
              <w:t>1.</w:t>
            </w:r>
            <w:r w:rsidR="18E51B30">
              <w:t>000</w:t>
            </w:r>
          </w:p>
        </w:tc>
        <w:tc>
          <w:tcPr>
            <w:tcW w:w="1418" w:type="dxa"/>
            <w:tcBorders>
              <w:left w:val="single" w:sz="4" w:space="0" w:color="A6A6A6" w:themeColor="background1" w:themeShade="A6"/>
              <w:right w:val="single" w:sz="4" w:space="0" w:color="A6A6A6" w:themeColor="background1" w:themeShade="A6"/>
            </w:tcBorders>
          </w:tcPr>
          <w:p w14:paraId="6E309F20" w14:textId="77777777" w:rsidR="00CE5300" w:rsidRPr="00883F5D" w:rsidRDefault="00CE5300">
            <w:pPr>
              <w:pStyle w:val="TableText"/>
            </w:pPr>
            <w:r w:rsidRPr="00883F5D">
              <w:t>0.500</w:t>
            </w:r>
          </w:p>
        </w:tc>
        <w:tc>
          <w:tcPr>
            <w:tcW w:w="992" w:type="dxa"/>
            <w:tcBorders>
              <w:left w:val="single" w:sz="4" w:space="0" w:color="A6A6A6" w:themeColor="background1" w:themeShade="A6"/>
              <w:right w:val="single" w:sz="4" w:space="0" w:color="A6A6A6" w:themeColor="background1" w:themeShade="A6"/>
            </w:tcBorders>
          </w:tcPr>
          <w:p w14:paraId="5A558157" w14:textId="77777777" w:rsidR="00CE5300" w:rsidRPr="00487FC0" w:rsidRDefault="00CE5300">
            <w:pPr>
              <w:pStyle w:val="TableText"/>
            </w:pPr>
            <w:r>
              <w:t>1</w:t>
            </w:r>
          </w:p>
        </w:tc>
        <w:tc>
          <w:tcPr>
            <w:tcW w:w="1247" w:type="dxa"/>
            <w:tcBorders>
              <w:left w:val="single" w:sz="4" w:space="0" w:color="A6A6A6" w:themeColor="background1" w:themeShade="A6"/>
              <w:right w:val="nil"/>
            </w:tcBorders>
          </w:tcPr>
          <w:p w14:paraId="1D4FC40B" w14:textId="558E17F1" w:rsidR="00CE5300" w:rsidRPr="00487FC0" w:rsidRDefault="0C4993E2">
            <w:pPr>
              <w:pStyle w:val="TableText"/>
            </w:pPr>
            <w:r>
              <w:t>Treatment</w:t>
            </w:r>
            <w:r w:rsidR="00CE5300">
              <w:t xml:space="preserve"> services</w:t>
            </w:r>
          </w:p>
        </w:tc>
      </w:tr>
      <w:tr w:rsidR="00CE5300" w:rsidRPr="00487FC0" w14:paraId="0CF79008" w14:textId="77777777" w:rsidTr="52103CC6">
        <w:tc>
          <w:tcPr>
            <w:tcW w:w="1696" w:type="dxa"/>
            <w:tcBorders>
              <w:left w:val="nil"/>
              <w:right w:val="single" w:sz="4" w:space="0" w:color="A6A6A6" w:themeColor="background1" w:themeShade="A6"/>
            </w:tcBorders>
          </w:tcPr>
          <w:p w14:paraId="36C8AB22" w14:textId="77777777" w:rsidR="00CE5300" w:rsidRPr="00487FC0" w:rsidRDefault="00CE5300">
            <w:pPr>
              <w:pStyle w:val="TableText"/>
            </w:pPr>
            <w:r w:rsidRPr="00487FC0">
              <w:t xml:space="preserve">National gambling helpline </w:t>
            </w:r>
          </w:p>
        </w:tc>
        <w:tc>
          <w:tcPr>
            <w:tcW w:w="3407" w:type="dxa"/>
            <w:tcBorders>
              <w:left w:val="single" w:sz="4" w:space="0" w:color="A6A6A6" w:themeColor="background1" w:themeShade="A6"/>
              <w:right w:val="single" w:sz="4" w:space="0" w:color="A6A6A6" w:themeColor="background1" w:themeShade="A6"/>
            </w:tcBorders>
          </w:tcPr>
          <w:p w14:paraId="4B5A178F" w14:textId="77777777" w:rsidR="00CE5300" w:rsidRDefault="00CE5300">
            <w:pPr>
              <w:pStyle w:val="TableText"/>
              <w:rPr>
                <w:rFonts w:eastAsia="Lucida Sans Unicode"/>
              </w:rPr>
            </w:pPr>
            <w:r w:rsidRPr="5E0E2991">
              <w:rPr>
                <w:rFonts w:eastAsia="Lucida Sans Unicode"/>
              </w:rPr>
              <w:t xml:space="preserve">The national gambling helpline will continue to provide a free 24/7 service and be a first contact point for people needing support with gambling related harm for themselves, </w:t>
            </w:r>
            <w:r w:rsidRPr="0FD73C6D">
              <w:rPr>
                <w:rFonts w:eastAsia="Lucida Sans Unicode"/>
              </w:rPr>
              <w:t>whānau</w:t>
            </w:r>
            <w:r w:rsidRPr="5E0E2991">
              <w:rPr>
                <w:rFonts w:eastAsia="Lucida Sans Unicode"/>
              </w:rPr>
              <w:t xml:space="preserve"> or friends. It will also provide a back-up for other services, such as when face-to-face services are not available outside working hours. </w:t>
            </w:r>
          </w:p>
          <w:p w14:paraId="5A46AB7B" w14:textId="77777777" w:rsidR="00CE5300" w:rsidRPr="00487FC0" w:rsidRDefault="00CE5300" w:rsidP="52103CC6">
            <w:pPr>
              <w:pStyle w:val="TableText"/>
              <w:rPr>
                <w:rFonts w:eastAsia="Lucida Sans Unicode"/>
              </w:rPr>
            </w:pPr>
            <w:r w:rsidRPr="52103CC6">
              <w:rPr>
                <w:rFonts w:eastAsia="Lucida Sans Unicode"/>
              </w:rPr>
              <w:lastRenderedPageBreak/>
              <w:t xml:space="preserve">The helpline provides important coverage in areas where there are no face-to-face services and can identify callers at immediate risk of harm and respond appropriately. </w:t>
            </w:r>
          </w:p>
        </w:tc>
        <w:tc>
          <w:tcPr>
            <w:tcW w:w="3827" w:type="dxa"/>
            <w:tcBorders>
              <w:left w:val="single" w:sz="4" w:space="0" w:color="A6A6A6" w:themeColor="background1" w:themeShade="A6"/>
              <w:right w:val="single" w:sz="4" w:space="0" w:color="A6A6A6" w:themeColor="background1" w:themeShade="A6"/>
            </w:tcBorders>
          </w:tcPr>
          <w:p w14:paraId="642D620D" w14:textId="77777777" w:rsidR="00CE5300" w:rsidRPr="00487FC0" w:rsidRDefault="00CE5300" w:rsidP="52103CC6">
            <w:pPr>
              <w:pStyle w:val="TableText"/>
              <w:rPr>
                <w:rFonts w:eastAsia="Segoe UI" w:cs="Segoe UI"/>
                <w:highlight w:val="yellow"/>
              </w:rPr>
            </w:pPr>
            <w:r w:rsidRPr="52103CC6">
              <w:rPr>
                <w:rFonts w:eastAsia="Segoe UI" w:cs="Segoe UI"/>
              </w:rPr>
              <w:lastRenderedPageBreak/>
              <w:t>There is strong evidence for the effectiveness of helplines as part of a comprehensive gambling harm treatment and support system.</w:t>
            </w:r>
          </w:p>
          <w:p w14:paraId="3C177ACB" w14:textId="77777777" w:rsidR="00CE5300" w:rsidRDefault="00CE5300">
            <w:pPr>
              <w:pStyle w:val="TableText"/>
              <w:rPr>
                <w:rFonts w:eastAsia="Segoe UI" w:cs="Segoe UI"/>
              </w:rPr>
            </w:pPr>
            <w:r w:rsidRPr="30363805">
              <w:rPr>
                <w:rFonts w:eastAsia="Segoe UI" w:cs="Segoe UI"/>
              </w:rPr>
              <w:t xml:space="preserve">Helplines provide a consistent access point (day or night) </w:t>
            </w:r>
            <w:r>
              <w:rPr>
                <w:rFonts w:eastAsia="Segoe UI" w:cs="Segoe UI"/>
              </w:rPr>
              <w:t>for</w:t>
            </w:r>
            <w:r w:rsidRPr="30363805">
              <w:rPr>
                <w:rFonts w:eastAsia="Segoe UI" w:cs="Segoe UI"/>
              </w:rPr>
              <w:t xml:space="preserve"> support and early intervention and can be an important pathway to further treatment. </w:t>
            </w:r>
          </w:p>
          <w:p w14:paraId="6BCE9110" w14:textId="77777777" w:rsidR="00CE5300" w:rsidRPr="00487FC0" w:rsidRDefault="00CE5300">
            <w:pPr>
              <w:pStyle w:val="TableText"/>
              <w:rPr>
                <w:rFonts w:eastAsia="Segoe UI" w:cs="Segoe UI"/>
                <w:highlight w:val="yellow"/>
              </w:rPr>
            </w:pPr>
          </w:p>
          <w:p w14:paraId="6EA0126A" w14:textId="77777777" w:rsidR="00CE5300" w:rsidRPr="00487FC0" w:rsidRDefault="00CE5300">
            <w:pPr>
              <w:pStyle w:val="TableText"/>
              <w:rPr>
                <w:rFonts w:eastAsia="Segoe UI" w:cs="Segoe UI"/>
              </w:rPr>
            </w:pPr>
          </w:p>
        </w:tc>
        <w:tc>
          <w:tcPr>
            <w:tcW w:w="1559" w:type="dxa"/>
            <w:tcBorders>
              <w:left w:val="single" w:sz="4" w:space="0" w:color="A6A6A6" w:themeColor="background1" w:themeShade="A6"/>
              <w:right w:val="single" w:sz="4" w:space="0" w:color="A6A6A6" w:themeColor="background1" w:themeShade="A6"/>
            </w:tcBorders>
          </w:tcPr>
          <w:p w14:paraId="0DEF533D" w14:textId="77777777" w:rsidR="00CE5300" w:rsidRPr="00487FC0" w:rsidRDefault="00CE5300">
            <w:pPr>
              <w:pStyle w:val="TableText"/>
            </w:pPr>
            <w:r w:rsidRPr="00487FC0">
              <w:lastRenderedPageBreak/>
              <w:t>3.300</w:t>
            </w:r>
          </w:p>
        </w:tc>
        <w:tc>
          <w:tcPr>
            <w:tcW w:w="1418" w:type="dxa"/>
            <w:tcBorders>
              <w:left w:val="single" w:sz="4" w:space="0" w:color="A6A6A6" w:themeColor="background1" w:themeShade="A6"/>
              <w:right w:val="single" w:sz="4" w:space="0" w:color="A6A6A6" w:themeColor="background1" w:themeShade="A6"/>
            </w:tcBorders>
          </w:tcPr>
          <w:p w14:paraId="3158FFD6" w14:textId="77777777" w:rsidR="00CE5300" w:rsidRPr="00883F5D" w:rsidRDefault="00CE5300">
            <w:pPr>
              <w:pStyle w:val="TableText"/>
            </w:pPr>
            <w:r w:rsidRPr="00883F5D">
              <w:t>3.300</w:t>
            </w:r>
          </w:p>
        </w:tc>
        <w:tc>
          <w:tcPr>
            <w:tcW w:w="992" w:type="dxa"/>
            <w:tcBorders>
              <w:left w:val="single" w:sz="4" w:space="0" w:color="A6A6A6" w:themeColor="background1" w:themeShade="A6"/>
              <w:right w:val="single" w:sz="4" w:space="0" w:color="A6A6A6" w:themeColor="background1" w:themeShade="A6"/>
            </w:tcBorders>
          </w:tcPr>
          <w:p w14:paraId="3E5B82D1" w14:textId="77777777" w:rsidR="00CE5300" w:rsidRPr="00487FC0" w:rsidRDefault="00CE5300">
            <w:pPr>
              <w:pStyle w:val="TableText"/>
            </w:pPr>
            <w:r>
              <w:t>1</w:t>
            </w:r>
          </w:p>
        </w:tc>
        <w:tc>
          <w:tcPr>
            <w:tcW w:w="1247" w:type="dxa"/>
            <w:tcBorders>
              <w:left w:val="single" w:sz="4" w:space="0" w:color="A6A6A6" w:themeColor="background1" w:themeShade="A6"/>
              <w:right w:val="nil"/>
            </w:tcBorders>
          </w:tcPr>
          <w:p w14:paraId="57B6701B" w14:textId="47394AD2" w:rsidR="00CE5300" w:rsidRPr="00487FC0" w:rsidRDefault="268EDCCB">
            <w:pPr>
              <w:pStyle w:val="TableText"/>
            </w:pPr>
            <w:r>
              <w:t>Treatment</w:t>
            </w:r>
            <w:r w:rsidR="00CE5300">
              <w:t xml:space="preserve"> services</w:t>
            </w:r>
          </w:p>
        </w:tc>
      </w:tr>
      <w:tr w:rsidR="00CE5300" w:rsidRPr="00AA3038" w14:paraId="67C908E0" w14:textId="77777777" w:rsidTr="52103CC6">
        <w:tc>
          <w:tcPr>
            <w:tcW w:w="1696" w:type="dxa"/>
            <w:tcBorders>
              <w:left w:val="nil"/>
              <w:right w:val="single" w:sz="4" w:space="0" w:color="A6A6A6" w:themeColor="background1" w:themeShade="A6"/>
            </w:tcBorders>
            <w:shd w:val="clear" w:color="auto" w:fill="auto"/>
          </w:tcPr>
          <w:p w14:paraId="105D3CAE" w14:textId="77777777" w:rsidR="00CE5300" w:rsidRPr="00D24933" w:rsidRDefault="00CE5300">
            <w:pPr>
              <w:pStyle w:val="TableText"/>
              <w:rPr>
                <w:b/>
                <w:bCs/>
                <w:szCs w:val="18"/>
              </w:rPr>
            </w:pPr>
            <w:r w:rsidRPr="00D24933">
              <w:rPr>
                <w:b/>
                <w:bCs/>
                <w:szCs w:val="18"/>
              </w:rPr>
              <w:t>Total</w:t>
            </w:r>
          </w:p>
        </w:tc>
        <w:tc>
          <w:tcPr>
            <w:tcW w:w="3407" w:type="dxa"/>
            <w:tcBorders>
              <w:left w:val="single" w:sz="4" w:space="0" w:color="A6A6A6" w:themeColor="background1" w:themeShade="A6"/>
              <w:right w:val="single" w:sz="4" w:space="0" w:color="A6A6A6" w:themeColor="background1" w:themeShade="A6"/>
            </w:tcBorders>
            <w:shd w:val="clear" w:color="auto" w:fill="auto"/>
          </w:tcPr>
          <w:p w14:paraId="63ED9468" w14:textId="77777777" w:rsidR="00CE5300" w:rsidRPr="00D24933" w:rsidRDefault="00CE5300">
            <w:pPr>
              <w:pStyle w:val="TableText"/>
              <w:rPr>
                <w:rFonts w:eastAsia="Lucida Sans Unicode"/>
                <w:b/>
                <w:bCs/>
                <w:szCs w:val="18"/>
              </w:rPr>
            </w:pPr>
          </w:p>
        </w:tc>
        <w:tc>
          <w:tcPr>
            <w:tcW w:w="3827" w:type="dxa"/>
            <w:tcBorders>
              <w:left w:val="single" w:sz="4" w:space="0" w:color="A6A6A6" w:themeColor="background1" w:themeShade="A6"/>
              <w:right w:val="single" w:sz="4" w:space="0" w:color="A6A6A6" w:themeColor="background1" w:themeShade="A6"/>
            </w:tcBorders>
            <w:shd w:val="clear" w:color="auto" w:fill="auto"/>
          </w:tcPr>
          <w:p w14:paraId="2C6358A3" w14:textId="77777777" w:rsidR="00CE5300" w:rsidRPr="00D24933" w:rsidRDefault="00CE5300">
            <w:pPr>
              <w:pStyle w:val="TableText"/>
              <w:rPr>
                <w:rFonts w:eastAsia="Segoe UI" w:cs="Segoe UI"/>
                <w:b/>
                <w:bCs/>
                <w:szCs w:val="18"/>
              </w:rPr>
            </w:pPr>
          </w:p>
        </w:tc>
        <w:tc>
          <w:tcPr>
            <w:tcW w:w="1559" w:type="dxa"/>
            <w:tcBorders>
              <w:left w:val="single" w:sz="4" w:space="0" w:color="A6A6A6" w:themeColor="background1" w:themeShade="A6"/>
              <w:right w:val="single" w:sz="4" w:space="0" w:color="A6A6A6" w:themeColor="background1" w:themeShade="A6"/>
            </w:tcBorders>
            <w:shd w:val="clear" w:color="auto" w:fill="auto"/>
          </w:tcPr>
          <w:p w14:paraId="7A4C2C8B" w14:textId="0C5C4169" w:rsidR="00CE5300" w:rsidRPr="00D24933" w:rsidRDefault="004C715F" w:rsidP="00D24933">
            <w:pPr>
              <w:pStyle w:val="TableText"/>
              <w:rPr>
                <w:rFonts w:eastAsia="Lucida Sans Unicode"/>
                <w:b/>
                <w:bCs/>
                <w:szCs w:val="18"/>
              </w:rPr>
            </w:pPr>
            <w:r w:rsidRPr="00D24933">
              <w:rPr>
                <w:rFonts w:eastAsia="Lucida Sans Unicode"/>
                <w:b/>
                <w:bCs/>
                <w:szCs w:val="18"/>
              </w:rPr>
              <w:t>34</w:t>
            </w:r>
            <w:r w:rsidR="0E327384" w:rsidRPr="00D24933">
              <w:rPr>
                <w:rFonts w:eastAsia="Lucida Sans Unicode"/>
                <w:b/>
                <w:bCs/>
                <w:szCs w:val="18"/>
              </w:rPr>
              <w:t>.591</w:t>
            </w:r>
          </w:p>
        </w:tc>
        <w:tc>
          <w:tcPr>
            <w:tcW w:w="1418" w:type="dxa"/>
            <w:tcBorders>
              <w:left w:val="single" w:sz="4" w:space="0" w:color="A6A6A6" w:themeColor="background1" w:themeShade="A6"/>
              <w:right w:val="single" w:sz="4" w:space="0" w:color="A6A6A6" w:themeColor="background1" w:themeShade="A6"/>
            </w:tcBorders>
            <w:shd w:val="clear" w:color="auto" w:fill="auto"/>
          </w:tcPr>
          <w:p w14:paraId="5755CDB3" w14:textId="77777777" w:rsidR="00CE5300" w:rsidRPr="00D24933" w:rsidRDefault="00CE5300" w:rsidP="00D24933">
            <w:pPr>
              <w:pStyle w:val="TableText"/>
              <w:rPr>
                <w:rFonts w:eastAsia="Lucida Sans Unicode"/>
                <w:b/>
                <w:bCs/>
                <w:szCs w:val="18"/>
              </w:rPr>
            </w:pPr>
          </w:p>
        </w:tc>
        <w:tc>
          <w:tcPr>
            <w:tcW w:w="992" w:type="dxa"/>
            <w:tcBorders>
              <w:left w:val="single" w:sz="4" w:space="0" w:color="A6A6A6" w:themeColor="background1" w:themeShade="A6"/>
              <w:right w:val="single" w:sz="4" w:space="0" w:color="A6A6A6" w:themeColor="background1" w:themeShade="A6"/>
            </w:tcBorders>
            <w:shd w:val="clear" w:color="auto" w:fill="auto"/>
          </w:tcPr>
          <w:p w14:paraId="11C139F3" w14:textId="77777777" w:rsidR="00CE5300" w:rsidRPr="00D24933" w:rsidRDefault="00CE5300" w:rsidP="00D24933">
            <w:pPr>
              <w:pStyle w:val="TableText"/>
              <w:rPr>
                <w:rFonts w:eastAsia="Lucida Sans Unicode"/>
                <w:b/>
                <w:bCs/>
                <w:szCs w:val="18"/>
              </w:rPr>
            </w:pPr>
          </w:p>
        </w:tc>
        <w:tc>
          <w:tcPr>
            <w:tcW w:w="1247" w:type="dxa"/>
            <w:tcBorders>
              <w:left w:val="single" w:sz="4" w:space="0" w:color="A6A6A6" w:themeColor="background1" w:themeShade="A6"/>
              <w:right w:val="nil"/>
            </w:tcBorders>
            <w:shd w:val="clear" w:color="auto" w:fill="auto"/>
          </w:tcPr>
          <w:p w14:paraId="3CD8E4A9" w14:textId="77777777" w:rsidR="00CE5300" w:rsidRPr="00D24933" w:rsidRDefault="00CE5300" w:rsidP="00D24933">
            <w:pPr>
              <w:pStyle w:val="TableText"/>
              <w:rPr>
                <w:rFonts w:eastAsia="Lucida Sans Unicode"/>
                <w:b/>
                <w:bCs/>
                <w:szCs w:val="18"/>
              </w:rPr>
            </w:pPr>
          </w:p>
        </w:tc>
      </w:tr>
    </w:tbl>
    <w:p w14:paraId="26665F48" w14:textId="77777777" w:rsidR="00CE5300" w:rsidRPr="00235C06" w:rsidRDefault="00CE5300" w:rsidP="00235C06">
      <w:pPr>
        <w:pStyle w:val="Note"/>
        <w:rPr>
          <w:rFonts w:eastAsia="Lucida Sans Unicode"/>
        </w:rPr>
      </w:pPr>
      <w:r w:rsidRPr="00235C06">
        <w:rPr>
          <w:rFonts w:eastAsia="Lucida Sans Unicode"/>
        </w:rPr>
        <w:t>Note: Budget sums may not total due to rounding.</w:t>
      </w:r>
    </w:p>
    <w:p w14:paraId="406201D5" w14:textId="77777777" w:rsidR="00CE5300" w:rsidRDefault="00CE5300" w:rsidP="00CE5300">
      <w:pPr>
        <w:pStyle w:val="Heading3"/>
      </w:pPr>
      <w:r>
        <w:t xml:space="preserve">Priority Two: Growing the gambling harm workforce </w:t>
      </w:r>
    </w:p>
    <w:tbl>
      <w:tblPr>
        <w:tblStyle w:val="TableGrid"/>
        <w:tblW w:w="1414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1701"/>
        <w:gridCol w:w="3397"/>
        <w:gridCol w:w="3828"/>
        <w:gridCol w:w="1559"/>
        <w:gridCol w:w="1417"/>
        <w:gridCol w:w="993"/>
        <w:gridCol w:w="1247"/>
      </w:tblGrid>
      <w:tr w:rsidR="00CE5300" w:rsidRPr="00D24933" w14:paraId="7BA28746" w14:textId="77777777" w:rsidTr="52103CC6">
        <w:trPr>
          <w:tblHeader/>
        </w:trPr>
        <w:tc>
          <w:tcPr>
            <w:tcW w:w="1701" w:type="dxa"/>
            <w:tcBorders>
              <w:top w:val="nil"/>
              <w:bottom w:val="nil"/>
              <w:right w:val="nil"/>
            </w:tcBorders>
            <w:shd w:val="clear" w:color="auto" w:fill="D9D9D9" w:themeFill="background1" w:themeFillShade="D9"/>
          </w:tcPr>
          <w:p w14:paraId="0AED1675" w14:textId="77777777" w:rsidR="00CE5300" w:rsidRPr="00D24933" w:rsidRDefault="00CE5300" w:rsidP="00D24933">
            <w:pPr>
              <w:pStyle w:val="TableText"/>
              <w:rPr>
                <w:rFonts w:cs="Segoe UI"/>
                <w:b/>
                <w:bCs/>
                <w:szCs w:val="18"/>
              </w:rPr>
            </w:pPr>
            <w:r w:rsidRPr="00D24933">
              <w:rPr>
                <w:rFonts w:cs="Segoe UI"/>
                <w:b/>
                <w:bCs/>
                <w:szCs w:val="18"/>
              </w:rPr>
              <w:t>Proposal</w:t>
            </w:r>
          </w:p>
        </w:tc>
        <w:tc>
          <w:tcPr>
            <w:tcW w:w="3397" w:type="dxa"/>
            <w:tcBorders>
              <w:top w:val="nil"/>
              <w:left w:val="nil"/>
              <w:bottom w:val="nil"/>
              <w:right w:val="nil"/>
            </w:tcBorders>
            <w:shd w:val="clear" w:color="auto" w:fill="D9D9D9" w:themeFill="background1" w:themeFillShade="D9"/>
          </w:tcPr>
          <w:p w14:paraId="44834452" w14:textId="77777777" w:rsidR="00CE5300" w:rsidRPr="00D24933" w:rsidRDefault="00CE5300" w:rsidP="00D24933">
            <w:pPr>
              <w:pStyle w:val="TableText"/>
              <w:rPr>
                <w:rFonts w:cs="Segoe UI"/>
                <w:b/>
                <w:bCs/>
                <w:szCs w:val="18"/>
              </w:rPr>
            </w:pPr>
            <w:r w:rsidRPr="00D24933">
              <w:rPr>
                <w:rFonts w:cs="Segoe UI"/>
                <w:b/>
                <w:bCs/>
                <w:szCs w:val="18"/>
              </w:rPr>
              <w:t>Description</w:t>
            </w:r>
          </w:p>
        </w:tc>
        <w:tc>
          <w:tcPr>
            <w:tcW w:w="3828" w:type="dxa"/>
            <w:tcBorders>
              <w:top w:val="nil"/>
              <w:left w:val="nil"/>
              <w:bottom w:val="nil"/>
              <w:right w:val="nil"/>
            </w:tcBorders>
            <w:shd w:val="clear" w:color="auto" w:fill="D9D9D9" w:themeFill="background1" w:themeFillShade="D9"/>
          </w:tcPr>
          <w:p w14:paraId="7AE0D201" w14:textId="77777777" w:rsidR="00CE5300" w:rsidRPr="00D24933" w:rsidRDefault="00CE5300" w:rsidP="00D24933">
            <w:pPr>
              <w:pStyle w:val="TableText"/>
              <w:rPr>
                <w:rFonts w:cs="Segoe UI"/>
                <w:b/>
                <w:bCs/>
                <w:szCs w:val="18"/>
              </w:rPr>
            </w:pPr>
            <w:r w:rsidRPr="00D24933">
              <w:rPr>
                <w:rFonts w:cs="Segoe UI"/>
                <w:b/>
                <w:bCs/>
                <w:szCs w:val="18"/>
              </w:rPr>
              <w:t>Rationale</w:t>
            </w:r>
          </w:p>
        </w:tc>
        <w:tc>
          <w:tcPr>
            <w:tcW w:w="1559" w:type="dxa"/>
            <w:tcBorders>
              <w:top w:val="nil"/>
              <w:left w:val="nil"/>
              <w:bottom w:val="nil"/>
              <w:right w:val="nil"/>
            </w:tcBorders>
            <w:shd w:val="clear" w:color="auto" w:fill="D9D9D9" w:themeFill="background1" w:themeFillShade="D9"/>
          </w:tcPr>
          <w:p w14:paraId="1DE576DD" w14:textId="77777777" w:rsidR="00CE5300" w:rsidRPr="00D24933" w:rsidRDefault="00CE5300" w:rsidP="00D24933">
            <w:pPr>
              <w:pStyle w:val="TableText"/>
              <w:rPr>
                <w:rFonts w:cs="Segoe UI"/>
                <w:b/>
                <w:bCs/>
                <w:szCs w:val="18"/>
              </w:rPr>
            </w:pPr>
            <w:r w:rsidRPr="00D24933">
              <w:rPr>
                <w:rFonts w:cs="Segoe UI"/>
                <w:b/>
                <w:bCs/>
                <w:szCs w:val="18"/>
              </w:rPr>
              <w:t>NZ$m proposed for 25/26–27/28</w:t>
            </w:r>
          </w:p>
        </w:tc>
        <w:tc>
          <w:tcPr>
            <w:tcW w:w="1417" w:type="dxa"/>
            <w:tcBorders>
              <w:top w:val="nil"/>
              <w:left w:val="nil"/>
              <w:bottom w:val="nil"/>
              <w:right w:val="nil"/>
            </w:tcBorders>
            <w:shd w:val="clear" w:color="auto" w:fill="D9D9D9" w:themeFill="background1" w:themeFillShade="D9"/>
          </w:tcPr>
          <w:p w14:paraId="070DB190" w14:textId="77777777" w:rsidR="00CE5300" w:rsidRPr="00D24933" w:rsidRDefault="00CE5300" w:rsidP="00D24933">
            <w:pPr>
              <w:pStyle w:val="TableText"/>
              <w:rPr>
                <w:rFonts w:cs="Segoe UI"/>
                <w:b/>
                <w:bCs/>
                <w:szCs w:val="18"/>
              </w:rPr>
            </w:pPr>
            <w:r w:rsidRPr="00D24933">
              <w:rPr>
                <w:rFonts w:cs="Segoe UI"/>
                <w:b/>
                <w:bCs/>
                <w:szCs w:val="18"/>
              </w:rPr>
              <w:t>NZ$m for 22/23–24/25</w:t>
            </w:r>
          </w:p>
        </w:tc>
        <w:tc>
          <w:tcPr>
            <w:tcW w:w="993" w:type="dxa"/>
            <w:tcBorders>
              <w:top w:val="nil"/>
              <w:left w:val="nil"/>
              <w:bottom w:val="nil"/>
              <w:right w:val="nil"/>
            </w:tcBorders>
            <w:shd w:val="clear" w:color="auto" w:fill="D9D9D9" w:themeFill="background1" w:themeFillShade="D9"/>
          </w:tcPr>
          <w:p w14:paraId="33619A69" w14:textId="77777777" w:rsidR="00CE5300" w:rsidRPr="00D24933" w:rsidRDefault="00CE5300" w:rsidP="00D24933">
            <w:pPr>
              <w:pStyle w:val="TableText"/>
              <w:rPr>
                <w:rFonts w:cs="Segoe UI"/>
                <w:b/>
                <w:bCs/>
                <w:szCs w:val="18"/>
              </w:rPr>
            </w:pPr>
            <w:r w:rsidRPr="00D24933">
              <w:rPr>
                <w:rFonts w:cs="Segoe UI"/>
                <w:b/>
                <w:bCs/>
                <w:szCs w:val="18"/>
              </w:rPr>
              <w:t xml:space="preserve">Outcome area </w:t>
            </w:r>
          </w:p>
        </w:tc>
        <w:tc>
          <w:tcPr>
            <w:tcW w:w="1247" w:type="dxa"/>
            <w:tcBorders>
              <w:top w:val="nil"/>
              <w:left w:val="nil"/>
              <w:bottom w:val="nil"/>
            </w:tcBorders>
            <w:shd w:val="clear" w:color="auto" w:fill="D9D9D9" w:themeFill="background1" w:themeFillShade="D9"/>
          </w:tcPr>
          <w:p w14:paraId="426D715B" w14:textId="77777777" w:rsidR="00CE5300" w:rsidRPr="00D24933" w:rsidRDefault="00CE5300" w:rsidP="00D24933">
            <w:pPr>
              <w:pStyle w:val="TableText"/>
              <w:rPr>
                <w:rFonts w:cs="Segoe UI"/>
                <w:b/>
                <w:bCs/>
                <w:szCs w:val="18"/>
              </w:rPr>
            </w:pPr>
            <w:r w:rsidRPr="00D24933">
              <w:rPr>
                <w:rFonts w:cs="Segoe UI"/>
                <w:b/>
                <w:bCs/>
                <w:szCs w:val="18"/>
              </w:rPr>
              <w:t>Statutory type</w:t>
            </w:r>
          </w:p>
        </w:tc>
      </w:tr>
      <w:tr w:rsidR="00CE5300" w:rsidRPr="00D24933" w14:paraId="3546F394" w14:textId="77777777" w:rsidTr="52103CC6">
        <w:trPr>
          <w:trHeight w:val="300"/>
        </w:trPr>
        <w:tc>
          <w:tcPr>
            <w:tcW w:w="1701" w:type="dxa"/>
            <w:tcBorders>
              <w:top w:val="nil"/>
            </w:tcBorders>
          </w:tcPr>
          <w:p w14:paraId="252C72C1" w14:textId="77777777" w:rsidR="00CE5300" w:rsidRPr="00D24933" w:rsidRDefault="00CE5300" w:rsidP="00D24933">
            <w:pPr>
              <w:pStyle w:val="TableText"/>
              <w:rPr>
                <w:rFonts w:cs="Segoe UI"/>
                <w:szCs w:val="18"/>
              </w:rPr>
            </w:pPr>
            <w:r w:rsidRPr="00D24933">
              <w:rPr>
                <w:rFonts w:cs="Segoe UI"/>
                <w:szCs w:val="18"/>
              </w:rPr>
              <w:t>Workforce development (clinical)</w:t>
            </w:r>
          </w:p>
        </w:tc>
        <w:tc>
          <w:tcPr>
            <w:tcW w:w="3397" w:type="dxa"/>
            <w:vMerge w:val="restart"/>
            <w:tcBorders>
              <w:top w:val="nil"/>
            </w:tcBorders>
          </w:tcPr>
          <w:p w14:paraId="353B265D" w14:textId="77777777" w:rsidR="00CE5300" w:rsidRPr="00D24933" w:rsidRDefault="00CE5300" w:rsidP="00D24933">
            <w:pPr>
              <w:pStyle w:val="TableText"/>
              <w:rPr>
                <w:rFonts w:eastAsia="Lucida Sans Unicode" w:cs="Segoe UI"/>
                <w:szCs w:val="18"/>
              </w:rPr>
            </w:pPr>
            <w:r w:rsidRPr="00D24933">
              <w:rPr>
                <w:rFonts w:eastAsia="Lucida Sans Unicode" w:cs="Segoe UI"/>
                <w:szCs w:val="18"/>
              </w:rPr>
              <w:t>Service providers and clinicians will be supported to access training and development opportunities.</w:t>
            </w:r>
          </w:p>
          <w:p w14:paraId="393B85DE" w14:textId="77777777" w:rsidR="00CE5300" w:rsidRPr="00D24933" w:rsidRDefault="00CE5300" w:rsidP="00D24933">
            <w:pPr>
              <w:pStyle w:val="TableText"/>
              <w:rPr>
                <w:rFonts w:eastAsia="Lucida Sans Unicode" w:cs="Segoe UI"/>
                <w:szCs w:val="18"/>
              </w:rPr>
            </w:pPr>
          </w:p>
          <w:p w14:paraId="3B8B6573" w14:textId="77777777" w:rsidR="00CE5300" w:rsidRPr="00D24933" w:rsidRDefault="00CE5300" w:rsidP="00D24933">
            <w:pPr>
              <w:pStyle w:val="TableText"/>
              <w:rPr>
                <w:rFonts w:eastAsia="Lucida Sans Unicode" w:cs="Segoe UI"/>
                <w:szCs w:val="18"/>
              </w:rPr>
            </w:pPr>
          </w:p>
          <w:p w14:paraId="6DBFB169" w14:textId="77777777" w:rsidR="00CE5300" w:rsidRPr="00D24933" w:rsidRDefault="00CE5300" w:rsidP="00D24933">
            <w:pPr>
              <w:pStyle w:val="TableText"/>
              <w:rPr>
                <w:rStyle w:val="ui-provider"/>
                <w:rFonts w:eastAsia="MS Gothic" w:cs="Segoe UI"/>
                <w:szCs w:val="18"/>
              </w:rPr>
            </w:pPr>
            <w:r w:rsidRPr="00D24933">
              <w:rPr>
                <w:rFonts w:eastAsia="Lucida Sans Unicode" w:cs="Segoe UI"/>
                <w:szCs w:val="18"/>
              </w:rPr>
              <w:t xml:space="preserve"> </w:t>
            </w:r>
          </w:p>
        </w:tc>
        <w:tc>
          <w:tcPr>
            <w:tcW w:w="3828" w:type="dxa"/>
            <w:vMerge w:val="restart"/>
            <w:tcBorders>
              <w:top w:val="nil"/>
            </w:tcBorders>
          </w:tcPr>
          <w:p w14:paraId="6E05F1AB" w14:textId="77777777" w:rsidR="00CE5300" w:rsidRPr="00D24933" w:rsidRDefault="00CE5300" w:rsidP="00D24933">
            <w:pPr>
              <w:pStyle w:val="TableText"/>
              <w:rPr>
                <w:rStyle w:val="ui-provider"/>
                <w:rFonts w:eastAsia="MS Gothic" w:cs="Segoe UI"/>
                <w:szCs w:val="18"/>
              </w:rPr>
            </w:pPr>
            <w:r w:rsidRPr="00D24933">
              <w:rPr>
                <w:rStyle w:val="ui-provider"/>
                <w:rFonts w:eastAsia="MS Gothic" w:cs="Segoe UI"/>
                <w:szCs w:val="18"/>
              </w:rPr>
              <w:t xml:space="preserve">Growing the capability of the current workforce will support the delivery of effective services. This is particularly important with the recent changes in providers and service delivery models. The funding will support career progression and help retain the workforce. </w:t>
            </w:r>
          </w:p>
        </w:tc>
        <w:tc>
          <w:tcPr>
            <w:tcW w:w="1559" w:type="dxa"/>
            <w:tcBorders>
              <w:top w:val="nil"/>
            </w:tcBorders>
          </w:tcPr>
          <w:p w14:paraId="751515F1" w14:textId="1CFF9D63" w:rsidR="00CE5300" w:rsidRPr="00D24933" w:rsidRDefault="00CE5300" w:rsidP="00D24933">
            <w:pPr>
              <w:pStyle w:val="TableText"/>
              <w:rPr>
                <w:rFonts w:cs="Segoe UI"/>
                <w:szCs w:val="18"/>
              </w:rPr>
            </w:pPr>
            <w:r w:rsidRPr="00D24933" w:rsidDel="004C715F">
              <w:rPr>
                <w:rFonts w:cs="Segoe UI"/>
                <w:szCs w:val="18"/>
              </w:rPr>
              <w:t>0.</w:t>
            </w:r>
            <w:r w:rsidR="004C715F" w:rsidRPr="00D24933">
              <w:rPr>
                <w:rFonts w:cs="Segoe UI"/>
                <w:szCs w:val="18"/>
              </w:rPr>
              <w:t>450</w:t>
            </w:r>
          </w:p>
        </w:tc>
        <w:tc>
          <w:tcPr>
            <w:tcW w:w="1417" w:type="dxa"/>
            <w:tcBorders>
              <w:top w:val="nil"/>
            </w:tcBorders>
          </w:tcPr>
          <w:p w14:paraId="44F7C340" w14:textId="77777777" w:rsidR="00CE5300" w:rsidRPr="00D24933" w:rsidRDefault="00CE5300" w:rsidP="00D24933">
            <w:pPr>
              <w:pStyle w:val="TableText"/>
              <w:rPr>
                <w:rFonts w:cs="Segoe UI"/>
                <w:szCs w:val="18"/>
              </w:rPr>
            </w:pPr>
            <w:r w:rsidRPr="00D24933">
              <w:rPr>
                <w:rFonts w:cs="Segoe UI"/>
                <w:szCs w:val="18"/>
              </w:rPr>
              <w:t>0.600</w:t>
            </w:r>
          </w:p>
        </w:tc>
        <w:tc>
          <w:tcPr>
            <w:tcW w:w="993" w:type="dxa"/>
            <w:vMerge w:val="restart"/>
            <w:tcBorders>
              <w:top w:val="nil"/>
            </w:tcBorders>
          </w:tcPr>
          <w:p w14:paraId="700A3C19" w14:textId="77777777" w:rsidR="00CE5300" w:rsidRPr="00D24933" w:rsidRDefault="00CE5300" w:rsidP="00D24933">
            <w:pPr>
              <w:pStyle w:val="TableText"/>
              <w:rPr>
                <w:rFonts w:cs="Segoe UI"/>
                <w:szCs w:val="18"/>
              </w:rPr>
            </w:pPr>
            <w:r w:rsidRPr="00D24933">
              <w:rPr>
                <w:rFonts w:cs="Segoe UI"/>
                <w:szCs w:val="18"/>
              </w:rPr>
              <w:t>1</w:t>
            </w:r>
          </w:p>
        </w:tc>
        <w:tc>
          <w:tcPr>
            <w:tcW w:w="1247" w:type="dxa"/>
            <w:tcBorders>
              <w:top w:val="nil"/>
            </w:tcBorders>
          </w:tcPr>
          <w:p w14:paraId="53B080B8" w14:textId="7E2DE293" w:rsidR="00CE5300" w:rsidRPr="00D24933" w:rsidRDefault="3EF7C09F" w:rsidP="00D24933">
            <w:pPr>
              <w:pStyle w:val="TableText"/>
              <w:rPr>
                <w:rFonts w:cs="Segoe UI"/>
                <w:szCs w:val="18"/>
              </w:rPr>
            </w:pPr>
            <w:r w:rsidRPr="00D24933">
              <w:rPr>
                <w:rFonts w:cs="Segoe UI"/>
                <w:szCs w:val="18"/>
              </w:rPr>
              <w:t>Treatment</w:t>
            </w:r>
            <w:r w:rsidR="00CE5300" w:rsidRPr="00D24933">
              <w:rPr>
                <w:rFonts w:cs="Segoe UI"/>
                <w:szCs w:val="18"/>
              </w:rPr>
              <w:t xml:space="preserve"> services</w:t>
            </w:r>
          </w:p>
        </w:tc>
      </w:tr>
      <w:tr w:rsidR="00CE5300" w:rsidRPr="00D24933" w14:paraId="4AF91ECA" w14:textId="77777777" w:rsidTr="52103CC6">
        <w:trPr>
          <w:trHeight w:val="300"/>
        </w:trPr>
        <w:tc>
          <w:tcPr>
            <w:tcW w:w="1701" w:type="dxa"/>
          </w:tcPr>
          <w:p w14:paraId="7DFB3B58" w14:textId="77777777" w:rsidR="00CE5300" w:rsidRPr="00D24933" w:rsidRDefault="00CE5300" w:rsidP="00D24933">
            <w:pPr>
              <w:pStyle w:val="TableText"/>
              <w:rPr>
                <w:rFonts w:cs="Segoe UI"/>
                <w:szCs w:val="18"/>
              </w:rPr>
            </w:pPr>
            <w:r w:rsidRPr="00D24933">
              <w:rPr>
                <w:rFonts w:cs="Segoe UI"/>
                <w:szCs w:val="18"/>
              </w:rPr>
              <w:t>Workforce development (public health)</w:t>
            </w:r>
          </w:p>
        </w:tc>
        <w:tc>
          <w:tcPr>
            <w:tcW w:w="3397" w:type="dxa"/>
            <w:vMerge/>
          </w:tcPr>
          <w:p w14:paraId="2A20A338" w14:textId="77777777" w:rsidR="00CE5300" w:rsidRPr="00D24933" w:rsidRDefault="00CE5300" w:rsidP="00D24933">
            <w:pPr>
              <w:pStyle w:val="TableText"/>
              <w:rPr>
                <w:rFonts w:eastAsia="Lucida Sans Unicode" w:cs="Segoe UI"/>
                <w:szCs w:val="18"/>
              </w:rPr>
            </w:pPr>
          </w:p>
        </w:tc>
        <w:tc>
          <w:tcPr>
            <w:tcW w:w="3828" w:type="dxa"/>
            <w:vMerge/>
          </w:tcPr>
          <w:p w14:paraId="412265BF" w14:textId="77777777" w:rsidR="00CE5300" w:rsidRPr="00D24933" w:rsidRDefault="00CE5300" w:rsidP="00D24933">
            <w:pPr>
              <w:pStyle w:val="TableText"/>
              <w:rPr>
                <w:rFonts w:eastAsia="Lucida Sans Unicode" w:cs="Segoe UI"/>
                <w:szCs w:val="18"/>
              </w:rPr>
            </w:pPr>
          </w:p>
        </w:tc>
        <w:tc>
          <w:tcPr>
            <w:tcW w:w="1559" w:type="dxa"/>
            <w:shd w:val="clear" w:color="auto" w:fill="auto"/>
          </w:tcPr>
          <w:p w14:paraId="5FA63863" w14:textId="4594AA5A" w:rsidR="00CE5300" w:rsidRPr="00D24933" w:rsidRDefault="00CE5300" w:rsidP="00D24933">
            <w:pPr>
              <w:pStyle w:val="TableText"/>
              <w:rPr>
                <w:rFonts w:cs="Segoe UI"/>
                <w:szCs w:val="18"/>
              </w:rPr>
            </w:pPr>
            <w:r w:rsidRPr="00D24933" w:rsidDel="004C715F">
              <w:rPr>
                <w:rFonts w:cs="Segoe UI"/>
                <w:szCs w:val="18"/>
              </w:rPr>
              <w:t>0</w:t>
            </w:r>
            <w:r w:rsidR="00895EDF" w:rsidRPr="00D24933" w:rsidDel="004C715F">
              <w:rPr>
                <w:rFonts w:cs="Segoe UI"/>
                <w:szCs w:val="18"/>
              </w:rPr>
              <w:t>.</w:t>
            </w:r>
            <w:r w:rsidR="004C715F" w:rsidRPr="00D24933">
              <w:rPr>
                <w:rFonts w:cs="Segoe UI"/>
                <w:szCs w:val="18"/>
              </w:rPr>
              <w:t>300</w:t>
            </w:r>
          </w:p>
        </w:tc>
        <w:tc>
          <w:tcPr>
            <w:tcW w:w="1417" w:type="dxa"/>
          </w:tcPr>
          <w:p w14:paraId="06CE0C4E" w14:textId="77777777" w:rsidR="00CE5300" w:rsidRPr="00D24933" w:rsidRDefault="00CE5300" w:rsidP="00D24933">
            <w:pPr>
              <w:pStyle w:val="TableText"/>
              <w:rPr>
                <w:rFonts w:cs="Segoe UI"/>
                <w:szCs w:val="18"/>
              </w:rPr>
            </w:pPr>
            <w:r w:rsidRPr="00D24933">
              <w:rPr>
                <w:rFonts w:cs="Segoe UI"/>
                <w:szCs w:val="18"/>
              </w:rPr>
              <w:t>0.390</w:t>
            </w:r>
          </w:p>
        </w:tc>
        <w:tc>
          <w:tcPr>
            <w:tcW w:w="993" w:type="dxa"/>
            <w:vMerge/>
          </w:tcPr>
          <w:p w14:paraId="29BAB3C0" w14:textId="77777777" w:rsidR="00CE5300" w:rsidRPr="00D24933" w:rsidRDefault="00CE5300" w:rsidP="00D24933">
            <w:pPr>
              <w:pStyle w:val="TableText"/>
              <w:rPr>
                <w:rFonts w:cs="Segoe UI"/>
                <w:szCs w:val="18"/>
              </w:rPr>
            </w:pPr>
          </w:p>
        </w:tc>
        <w:tc>
          <w:tcPr>
            <w:tcW w:w="1247" w:type="dxa"/>
          </w:tcPr>
          <w:p w14:paraId="7A8E950D" w14:textId="77777777" w:rsidR="00CE5300" w:rsidRPr="00D24933" w:rsidRDefault="00CE5300" w:rsidP="00D24933">
            <w:pPr>
              <w:pStyle w:val="TableText"/>
              <w:rPr>
                <w:rFonts w:cs="Segoe UI"/>
                <w:szCs w:val="18"/>
              </w:rPr>
            </w:pPr>
            <w:r w:rsidRPr="00D24933">
              <w:rPr>
                <w:rFonts w:cs="Segoe UI"/>
                <w:szCs w:val="18"/>
              </w:rPr>
              <w:t>Public health</w:t>
            </w:r>
          </w:p>
        </w:tc>
      </w:tr>
      <w:tr w:rsidR="00CE5300" w:rsidRPr="00D24933" w14:paraId="71B7B46B" w14:textId="77777777" w:rsidTr="52103CC6">
        <w:trPr>
          <w:trHeight w:val="300"/>
        </w:trPr>
        <w:tc>
          <w:tcPr>
            <w:tcW w:w="1701" w:type="dxa"/>
          </w:tcPr>
          <w:p w14:paraId="124BE88A" w14:textId="77777777" w:rsidR="00CE5300" w:rsidRPr="00D24933" w:rsidRDefault="00CE5300" w:rsidP="00D24933">
            <w:pPr>
              <w:pStyle w:val="TableText"/>
              <w:rPr>
                <w:rFonts w:eastAsia="Lucida Sans Unicode" w:cs="Segoe UI"/>
                <w:szCs w:val="18"/>
              </w:rPr>
            </w:pPr>
            <w:r w:rsidRPr="00D24933">
              <w:rPr>
                <w:rFonts w:eastAsia="Lucida Sans Unicode" w:cs="Segoe UI"/>
                <w:szCs w:val="18"/>
              </w:rPr>
              <w:t>Developing New Zealand Qualifications Authority (NZQA) gambling harm content</w:t>
            </w:r>
          </w:p>
        </w:tc>
        <w:tc>
          <w:tcPr>
            <w:tcW w:w="3397" w:type="dxa"/>
          </w:tcPr>
          <w:p w14:paraId="0524AF4F" w14:textId="65AAF807" w:rsidR="00CE5300" w:rsidRPr="00D24933" w:rsidRDefault="00CE5300" w:rsidP="00D24933">
            <w:pPr>
              <w:pStyle w:val="TableText"/>
              <w:rPr>
                <w:rFonts w:eastAsia="Lucida Sans Unicode" w:cs="Segoe UI"/>
                <w:szCs w:val="18"/>
              </w:rPr>
            </w:pPr>
            <w:r w:rsidRPr="00D24933">
              <w:rPr>
                <w:rFonts w:eastAsia="Lucida Sans Unicode" w:cs="Segoe UI"/>
                <w:szCs w:val="18"/>
              </w:rPr>
              <w:t xml:space="preserve">This investment will support the inclusion of content specific to gambling harm as part of one or more NZQA level 7 qualifications. This proposal was included in the 2022/24 to 2024/25 Strategy but was not able to be completed in that period. </w:t>
            </w:r>
          </w:p>
        </w:tc>
        <w:tc>
          <w:tcPr>
            <w:tcW w:w="3828" w:type="dxa"/>
          </w:tcPr>
          <w:p w14:paraId="6B660D83" w14:textId="65E1F483" w:rsidR="00CE5300" w:rsidRPr="00D24933" w:rsidRDefault="00CE5300" w:rsidP="00D24933">
            <w:pPr>
              <w:pStyle w:val="TableText"/>
              <w:rPr>
                <w:rFonts w:eastAsia="Lucida Sans Unicode" w:cs="Segoe UI"/>
                <w:szCs w:val="18"/>
              </w:rPr>
            </w:pPr>
            <w:r w:rsidRPr="00D24933">
              <w:rPr>
                <w:rFonts w:eastAsia="Lucida Sans Unicode" w:cs="Segoe UI"/>
                <w:szCs w:val="18"/>
              </w:rPr>
              <w:t>Current addictions qualifications do not include any content about preventing and minimising gambling harm. New content will support health practitioners to understand gambling harm, including the interventions available, the pathways to</w:t>
            </w:r>
            <w:r w:rsidR="00526C21" w:rsidRPr="00D24933">
              <w:rPr>
                <w:rFonts w:eastAsia="Lucida Sans Unicode" w:cs="Segoe UI"/>
                <w:szCs w:val="18"/>
              </w:rPr>
              <w:t xml:space="preserve"> </w:t>
            </w:r>
            <w:r w:rsidRPr="00D24933">
              <w:rPr>
                <w:rFonts w:eastAsia="Lucida Sans Unicode" w:cs="Segoe UI"/>
                <w:szCs w:val="18"/>
              </w:rPr>
              <w:t xml:space="preserve">gambling </w:t>
            </w:r>
            <w:r w:rsidR="00526C21" w:rsidRPr="00D24933">
              <w:rPr>
                <w:rFonts w:eastAsia="Lucida Sans Unicode" w:cs="Segoe UI"/>
                <w:szCs w:val="18"/>
              </w:rPr>
              <w:t xml:space="preserve">harm </w:t>
            </w:r>
            <w:r w:rsidRPr="00D24933">
              <w:rPr>
                <w:rFonts w:eastAsia="Lucida Sans Unicode" w:cs="Segoe UI"/>
                <w:szCs w:val="18"/>
              </w:rPr>
              <w:t xml:space="preserve">support and the ways in which families, </w:t>
            </w:r>
            <w:r w:rsidRPr="00D24933">
              <w:rPr>
                <w:rFonts w:eastAsia="Lucida Sans Unicode" w:cs="Segoe UI"/>
                <w:szCs w:val="18"/>
              </w:rPr>
              <w:lastRenderedPageBreak/>
              <w:t xml:space="preserve">whānau and others can identify if someone has a gambling problem. </w:t>
            </w:r>
          </w:p>
        </w:tc>
        <w:tc>
          <w:tcPr>
            <w:tcW w:w="1559" w:type="dxa"/>
          </w:tcPr>
          <w:p w14:paraId="4521540C" w14:textId="619B8F5F" w:rsidR="00CE5300" w:rsidRPr="00D24933" w:rsidRDefault="00CE5300" w:rsidP="00D24933">
            <w:pPr>
              <w:pStyle w:val="TableText"/>
              <w:rPr>
                <w:rFonts w:cs="Segoe UI"/>
                <w:szCs w:val="18"/>
              </w:rPr>
            </w:pPr>
            <w:r w:rsidRPr="00D24933">
              <w:rPr>
                <w:rFonts w:cs="Segoe UI"/>
                <w:szCs w:val="18"/>
              </w:rPr>
              <w:lastRenderedPageBreak/>
              <w:t>0.</w:t>
            </w:r>
            <w:r w:rsidR="00895EDF" w:rsidRPr="00D24933" w:rsidDel="004C715F">
              <w:rPr>
                <w:rFonts w:cs="Segoe UI"/>
                <w:szCs w:val="18"/>
              </w:rPr>
              <w:t>250</w:t>
            </w:r>
          </w:p>
        </w:tc>
        <w:tc>
          <w:tcPr>
            <w:tcW w:w="1417" w:type="dxa"/>
          </w:tcPr>
          <w:p w14:paraId="2AA23B22" w14:textId="77777777" w:rsidR="00CE5300" w:rsidRPr="00D24933" w:rsidRDefault="00CE5300" w:rsidP="00D24933">
            <w:pPr>
              <w:pStyle w:val="TableText"/>
              <w:rPr>
                <w:rFonts w:cs="Segoe UI"/>
                <w:szCs w:val="18"/>
              </w:rPr>
            </w:pPr>
            <w:r w:rsidRPr="00D24933">
              <w:rPr>
                <w:rFonts w:cs="Segoe UI"/>
                <w:szCs w:val="18"/>
              </w:rPr>
              <w:t>0.200</w:t>
            </w:r>
          </w:p>
        </w:tc>
        <w:tc>
          <w:tcPr>
            <w:tcW w:w="993" w:type="dxa"/>
          </w:tcPr>
          <w:p w14:paraId="2CC35AF9" w14:textId="77777777" w:rsidR="00CE5300" w:rsidRPr="00D24933" w:rsidRDefault="00CE5300" w:rsidP="00D24933">
            <w:pPr>
              <w:pStyle w:val="TableText"/>
              <w:rPr>
                <w:rFonts w:cs="Segoe UI"/>
                <w:szCs w:val="18"/>
              </w:rPr>
            </w:pPr>
            <w:r w:rsidRPr="00D24933">
              <w:rPr>
                <w:rFonts w:cs="Segoe UI"/>
                <w:szCs w:val="18"/>
              </w:rPr>
              <w:t>1</w:t>
            </w:r>
          </w:p>
        </w:tc>
        <w:tc>
          <w:tcPr>
            <w:tcW w:w="1247" w:type="dxa"/>
          </w:tcPr>
          <w:p w14:paraId="5D85D135" w14:textId="103A77B8" w:rsidR="00CE5300" w:rsidRPr="00D24933" w:rsidRDefault="0A71BBF6" w:rsidP="00D24933">
            <w:pPr>
              <w:pStyle w:val="TableText"/>
              <w:rPr>
                <w:rFonts w:cs="Segoe UI"/>
                <w:szCs w:val="18"/>
              </w:rPr>
            </w:pPr>
            <w:r w:rsidRPr="00D24933">
              <w:rPr>
                <w:rFonts w:cs="Segoe UI"/>
                <w:szCs w:val="18"/>
              </w:rPr>
              <w:t>T</w:t>
            </w:r>
            <w:r w:rsidR="5F69CE0D" w:rsidRPr="00D24933">
              <w:rPr>
                <w:rFonts w:cs="Segoe UI"/>
                <w:szCs w:val="18"/>
              </w:rPr>
              <w:t>reatment</w:t>
            </w:r>
            <w:r w:rsidR="794BD6BC" w:rsidRPr="00D24933">
              <w:rPr>
                <w:rFonts w:cs="Segoe UI"/>
                <w:szCs w:val="18"/>
              </w:rPr>
              <w:t xml:space="preserve"> </w:t>
            </w:r>
            <w:r w:rsidR="00CE5300" w:rsidRPr="00D24933">
              <w:rPr>
                <w:rFonts w:cs="Segoe UI"/>
                <w:szCs w:val="18"/>
              </w:rPr>
              <w:t>services</w:t>
            </w:r>
          </w:p>
        </w:tc>
      </w:tr>
      <w:tr w:rsidR="00CE5300" w:rsidRPr="00D24933" w14:paraId="2F916F73" w14:textId="77777777" w:rsidTr="52103CC6">
        <w:trPr>
          <w:trHeight w:val="300"/>
        </w:trPr>
        <w:tc>
          <w:tcPr>
            <w:tcW w:w="1701" w:type="dxa"/>
          </w:tcPr>
          <w:p w14:paraId="2F9168BB" w14:textId="77777777" w:rsidR="00CE5300" w:rsidRPr="00D24933" w:rsidRDefault="00CE5300" w:rsidP="00D24933">
            <w:pPr>
              <w:pStyle w:val="TableText"/>
              <w:rPr>
                <w:rFonts w:eastAsia="Lucida Sans Unicode" w:cs="Segoe UI"/>
                <w:szCs w:val="18"/>
              </w:rPr>
            </w:pPr>
            <w:r w:rsidRPr="00D24933">
              <w:rPr>
                <w:rFonts w:eastAsia="Lucida Sans Unicode" w:cs="Segoe UI"/>
                <w:szCs w:val="18"/>
              </w:rPr>
              <w:t>Gambling harm scholarships</w:t>
            </w:r>
          </w:p>
        </w:tc>
        <w:tc>
          <w:tcPr>
            <w:tcW w:w="3397" w:type="dxa"/>
          </w:tcPr>
          <w:p w14:paraId="786B8B26" w14:textId="77777777" w:rsidR="00CE5300" w:rsidRPr="00D24933" w:rsidRDefault="00CE5300" w:rsidP="00D24933">
            <w:pPr>
              <w:pStyle w:val="TableText"/>
              <w:rPr>
                <w:rFonts w:eastAsia="Lucida Sans Unicode" w:cs="Segoe UI"/>
                <w:szCs w:val="18"/>
              </w:rPr>
            </w:pPr>
            <w:r w:rsidRPr="00D24933">
              <w:rPr>
                <w:rFonts w:eastAsia="Lucida Sans Unicode" w:cs="Segoe UI"/>
                <w:szCs w:val="18"/>
              </w:rPr>
              <w:t xml:space="preserve">Targeted scholarships and support to grow the diversity, capability and capacity of the gambling harm workforce. Scholarships will be available for NZQA level 7 addiction and public health qualifications and lower NZQA qualifications relevant to gambling and/or the peer workforce. </w:t>
            </w:r>
          </w:p>
        </w:tc>
        <w:tc>
          <w:tcPr>
            <w:tcW w:w="3828" w:type="dxa"/>
          </w:tcPr>
          <w:p w14:paraId="50C61A01" w14:textId="77777777" w:rsidR="00CE5300" w:rsidRPr="00D24933" w:rsidRDefault="00CE5300" w:rsidP="00D24933">
            <w:pPr>
              <w:pStyle w:val="TableText"/>
              <w:rPr>
                <w:rFonts w:eastAsia="Lucida Sans Unicode" w:cs="Segoe UI"/>
                <w:szCs w:val="18"/>
              </w:rPr>
            </w:pPr>
            <w:r w:rsidRPr="00D24933">
              <w:rPr>
                <w:rFonts w:eastAsia="Lucida Sans Unicode" w:cs="Segoe UI"/>
                <w:szCs w:val="18"/>
              </w:rPr>
              <w:t xml:space="preserve">The scholarships have been developed specifically to support people from priority populations for gambling harm and those with lived experience to undertake tertiary study to help them enter the gambling harm workforce or support the current gambling harm workforce gain a relevant qualification. </w:t>
            </w:r>
          </w:p>
        </w:tc>
        <w:tc>
          <w:tcPr>
            <w:tcW w:w="1559" w:type="dxa"/>
          </w:tcPr>
          <w:p w14:paraId="5AE0731A" w14:textId="77777777" w:rsidR="00CE5300" w:rsidRPr="00D24933" w:rsidRDefault="00CE5300" w:rsidP="00D24933">
            <w:pPr>
              <w:pStyle w:val="TableText"/>
              <w:rPr>
                <w:rFonts w:cs="Segoe UI"/>
                <w:szCs w:val="18"/>
              </w:rPr>
            </w:pPr>
            <w:r w:rsidRPr="00D24933">
              <w:rPr>
                <w:rFonts w:cs="Segoe UI"/>
                <w:szCs w:val="18"/>
              </w:rPr>
              <w:t>0.420</w:t>
            </w:r>
          </w:p>
        </w:tc>
        <w:tc>
          <w:tcPr>
            <w:tcW w:w="1417" w:type="dxa"/>
          </w:tcPr>
          <w:p w14:paraId="6FAC8502" w14:textId="77777777" w:rsidR="00CE5300" w:rsidRPr="00D24933" w:rsidRDefault="00CE5300" w:rsidP="00D24933">
            <w:pPr>
              <w:pStyle w:val="TableText"/>
              <w:rPr>
                <w:rFonts w:cs="Segoe UI"/>
                <w:szCs w:val="18"/>
              </w:rPr>
            </w:pPr>
            <w:r w:rsidRPr="00D24933">
              <w:rPr>
                <w:rFonts w:cs="Segoe UI"/>
                <w:szCs w:val="18"/>
              </w:rPr>
              <w:t>0.489</w:t>
            </w:r>
          </w:p>
        </w:tc>
        <w:tc>
          <w:tcPr>
            <w:tcW w:w="993" w:type="dxa"/>
          </w:tcPr>
          <w:p w14:paraId="48779264" w14:textId="77777777" w:rsidR="00CE5300" w:rsidRPr="00D24933" w:rsidRDefault="00CE5300" w:rsidP="00D24933">
            <w:pPr>
              <w:pStyle w:val="TableText"/>
              <w:rPr>
                <w:rFonts w:cs="Segoe UI"/>
                <w:szCs w:val="18"/>
              </w:rPr>
            </w:pPr>
            <w:r w:rsidRPr="00D24933">
              <w:rPr>
                <w:rFonts w:cs="Segoe UI"/>
                <w:szCs w:val="18"/>
              </w:rPr>
              <w:t>1</w:t>
            </w:r>
          </w:p>
        </w:tc>
        <w:tc>
          <w:tcPr>
            <w:tcW w:w="1247" w:type="dxa"/>
          </w:tcPr>
          <w:p w14:paraId="2E37D920" w14:textId="77777777" w:rsidR="00CE5300" w:rsidRPr="00D24933" w:rsidRDefault="00CE5300" w:rsidP="00D24933">
            <w:pPr>
              <w:pStyle w:val="TableText"/>
              <w:rPr>
                <w:rFonts w:cs="Segoe UI"/>
                <w:szCs w:val="18"/>
              </w:rPr>
            </w:pPr>
          </w:p>
        </w:tc>
      </w:tr>
      <w:tr w:rsidR="00CE5300" w:rsidRPr="00D24933" w14:paraId="2E547A0A" w14:textId="77777777" w:rsidTr="52103CC6">
        <w:trPr>
          <w:trHeight w:val="300"/>
        </w:trPr>
        <w:tc>
          <w:tcPr>
            <w:tcW w:w="1701" w:type="dxa"/>
          </w:tcPr>
          <w:p w14:paraId="796D6BE9" w14:textId="77777777" w:rsidR="00CE5300" w:rsidRPr="00D24933" w:rsidRDefault="00CE5300" w:rsidP="00D24933">
            <w:pPr>
              <w:pStyle w:val="TableText"/>
              <w:rPr>
                <w:rFonts w:eastAsia="Lucida Sans Unicode" w:cs="Segoe UI"/>
                <w:szCs w:val="18"/>
              </w:rPr>
            </w:pPr>
            <w:r w:rsidRPr="00D24933">
              <w:rPr>
                <w:rFonts w:eastAsia="Lucida Sans Unicode" w:cs="Segoe UI"/>
                <w:szCs w:val="18"/>
              </w:rPr>
              <w:t>Clinical internships – NEW</w:t>
            </w:r>
          </w:p>
        </w:tc>
        <w:tc>
          <w:tcPr>
            <w:tcW w:w="3397" w:type="dxa"/>
          </w:tcPr>
          <w:p w14:paraId="75D1C161" w14:textId="77777777" w:rsidR="00CE5300" w:rsidRPr="00D24933" w:rsidRDefault="00CE5300" w:rsidP="00D24933">
            <w:pPr>
              <w:pStyle w:val="TableText"/>
              <w:rPr>
                <w:rFonts w:eastAsia="Lucida Sans Unicode" w:cs="Segoe UI"/>
                <w:szCs w:val="18"/>
              </w:rPr>
            </w:pPr>
            <w:r w:rsidRPr="00D24933">
              <w:rPr>
                <w:rFonts w:eastAsia="Lucida Sans Unicode" w:cs="Segoe UI"/>
                <w:szCs w:val="18"/>
              </w:rPr>
              <w:t>Internships will help people, who would otherwise struggle to meet the requirements, to fully complete the required supervised addiction practice to be become a fully registered clinician. Further operational detail for this proposal is yet to be developed as it relies on securing additional funding.</w:t>
            </w:r>
          </w:p>
        </w:tc>
        <w:tc>
          <w:tcPr>
            <w:tcW w:w="3828" w:type="dxa"/>
          </w:tcPr>
          <w:p w14:paraId="0AF48A45" w14:textId="77777777" w:rsidR="00CE5300" w:rsidRPr="00D24933" w:rsidRDefault="00CE5300" w:rsidP="00D24933">
            <w:pPr>
              <w:pStyle w:val="TableText"/>
              <w:rPr>
                <w:rFonts w:eastAsia="Lucida Sans Unicode" w:cs="Segoe UI"/>
                <w:szCs w:val="18"/>
              </w:rPr>
            </w:pPr>
            <w:r w:rsidRPr="00D24933">
              <w:rPr>
                <w:rFonts w:eastAsia="Lucida Sans Unicode" w:cs="Segoe UI"/>
                <w:szCs w:val="18"/>
              </w:rPr>
              <w:t>This project is intended to grow the diversity, capability and capacity of the gambling harm clinical workforce.</w:t>
            </w:r>
          </w:p>
        </w:tc>
        <w:tc>
          <w:tcPr>
            <w:tcW w:w="1559" w:type="dxa"/>
          </w:tcPr>
          <w:p w14:paraId="62693F6C" w14:textId="77777777" w:rsidR="00CE5300" w:rsidRPr="00D24933" w:rsidRDefault="00CE5300" w:rsidP="00D24933">
            <w:pPr>
              <w:pStyle w:val="TableText"/>
              <w:rPr>
                <w:rFonts w:cs="Segoe UI"/>
                <w:szCs w:val="18"/>
              </w:rPr>
            </w:pPr>
            <w:r w:rsidRPr="00D24933">
              <w:rPr>
                <w:rFonts w:cs="Segoe UI"/>
                <w:szCs w:val="18"/>
              </w:rPr>
              <w:t>0.900</w:t>
            </w:r>
          </w:p>
        </w:tc>
        <w:tc>
          <w:tcPr>
            <w:tcW w:w="1417" w:type="dxa"/>
          </w:tcPr>
          <w:p w14:paraId="7AB30193" w14:textId="77777777" w:rsidR="00CE5300" w:rsidRPr="00D24933" w:rsidRDefault="00CE5300" w:rsidP="00D24933">
            <w:pPr>
              <w:pStyle w:val="TableText"/>
              <w:rPr>
                <w:rFonts w:cs="Segoe UI"/>
                <w:szCs w:val="18"/>
              </w:rPr>
            </w:pPr>
            <w:r w:rsidRPr="00D24933">
              <w:rPr>
                <w:rFonts w:cs="Segoe UI"/>
                <w:szCs w:val="18"/>
              </w:rPr>
              <w:t>Nil.</w:t>
            </w:r>
          </w:p>
        </w:tc>
        <w:tc>
          <w:tcPr>
            <w:tcW w:w="993" w:type="dxa"/>
          </w:tcPr>
          <w:p w14:paraId="40506175" w14:textId="77777777" w:rsidR="00CE5300" w:rsidRPr="00D24933" w:rsidRDefault="00CE5300" w:rsidP="00D24933">
            <w:pPr>
              <w:pStyle w:val="TableText"/>
              <w:rPr>
                <w:rFonts w:cs="Segoe UI"/>
                <w:szCs w:val="18"/>
              </w:rPr>
            </w:pPr>
            <w:r w:rsidRPr="00D24933">
              <w:rPr>
                <w:rFonts w:cs="Segoe UI"/>
                <w:szCs w:val="18"/>
              </w:rPr>
              <w:t>1</w:t>
            </w:r>
          </w:p>
        </w:tc>
        <w:tc>
          <w:tcPr>
            <w:tcW w:w="1247" w:type="dxa"/>
          </w:tcPr>
          <w:p w14:paraId="66B7A57C" w14:textId="66928B03" w:rsidR="00CE5300" w:rsidRPr="00D24933" w:rsidRDefault="0C36C9E3" w:rsidP="00D24933">
            <w:pPr>
              <w:pStyle w:val="TableText"/>
              <w:rPr>
                <w:rFonts w:cs="Segoe UI"/>
                <w:szCs w:val="18"/>
              </w:rPr>
            </w:pPr>
            <w:r w:rsidRPr="00D24933">
              <w:rPr>
                <w:rFonts w:cs="Segoe UI"/>
                <w:szCs w:val="18"/>
              </w:rPr>
              <w:t>Treatment</w:t>
            </w:r>
            <w:r w:rsidR="00CE5300" w:rsidRPr="00D24933">
              <w:rPr>
                <w:rFonts w:cs="Segoe UI"/>
                <w:szCs w:val="18"/>
              </w:rPr>
              <w:t xml:space="preserve"> services</w:t>
            </w:r>
          </w:p>
        </w:tc>
      </w:tr>
      <w:tr w:rsidR="00CE5300" w:rsidRPr="00D24933" w14:paraId="5C5F6771" w14:textId="77777777" w:rsidTr="52103CC6">
        <w:trPr>
          <w:trHeight w:val="300"/>
        </w:trPr>
        <w:tc>
          <w:tcPr>
            <w:tcW w:w="1701" w:type="dxa"/>
          </w:tcPr>
          <w:p w14:paraId="79DA8C00" w14:textId="77777777" w:rsidR="00CE5300" w:rsidRPr="00D24933" w:rsidRDefault="00CE5300" w:rsidP="00D24933">
            <w:pPr>
              <w:pStyle w:val="TableText"/>
              <w:rPr>
                <w:rFonts w:eastAsia="Lucida Sans Unicode" w:cs="Segoe UI"/>
                <w:b/>
                <w:bCs/>
                <w:szCs w:val="18"/>
              </w:rPr>
            </w:pPr>
            <w:r w:rsidRPr="00D24933">
              <w:rPr>
                <w:rFonts w:eastAsia="Lucida Sans Unicode" w:cs="Segoe UI"/>
                <w:b/>
                <w:bCs/>
                <w:szCs w:val="18"/>
              </w:rPr>
              <w:t>Total</w:t>
            </w:r>
          </w:p>
        </w:tc>
        <w:tc>
          <w:tcPr>
            <w:tcW w:w="3397" w:type="dxa"/>
          </w:tcPr>
          <w:p w14:paraId="5039C8F2" w14:textId="77777777" w:rsidR="00CE5300" w:rsidRPr="00D24933" w:rsidRDefault="00CE5300" w:rsidP="00D24933">
            <w:pPr>
              <w:pStyle w:val="TableText"/>
              <w:rPr>
                <w:rFonts w:eastAsia="Lucida Sans Unicode" w:cs="Segoe UI"/>
                <w:b/>
                <w:bCs/>
                <w:szCs w:val="18"/>
              </w:rPr>
            </w:pPr>
          </w:p>
        </w:tc>
        <w:tc>
          <w:tcPr>
            <w:tcW w:w="3828" w:type="dxa"/>
          </w:tcPr>
          <w:p w14:paraId="53DEC9F3" w14:textId="77777777" w:rsidR="00CE5300" w:rsidRPr="00D24933" w:rsidRDefault="00CE5300" w:rsidP="00D24933">
            <w:pPr>
              <w:pStyle w:val="TableText"/>
              <w:rPr>
                <w:rFonts w:eastAsia="Lucida Sans Unicode" w:cs="Segoe UI"/>
                <w:b/>
                <w:bCs/>
                <w:szCs w:val="18"/>
              </w:rPr>
            </w:pPr>
          </w:p>
        </w:tc>
        <w:tc>
          <w:tcPr>
            <w:tcW w:w="1559" w:type="dxa"/>
          </w:tcPr>
          <w:p w14:paraId="24F6478B" w14:textId="26A94AD5" w:rsidR="00CE5300" w:rsidRPr="00D24933" w:rsidRDefault="004C715F" w:rsidP="00D24933">
            <w:pPr>
              <w:pStyle w:val="TableText"/>
              <w:rPr>
                <w:rFonts w:eastAsia="Lucida Sans Unicode" w:cs="Segoe UI"/>
                <w:b/>
                <w:bCs/>
                <w:szCs w:val="18"/>
              </w:rPr>
            </w:pPr>
            <w:r w:rsidRPr="00D24933">
              <w:rPr>
                <w:rFonts w:eastAsia="Lucida Sans Unicode" w:cs="Segoe UI"/>
                <w:b/>
                <w:bCs/>
                <w:szCs w:val="18"/>
              </w:rPr>
              <w:t>2.230</w:t>
            </w:r>
          </w:p>
        </w:tc>
        <w:tc>
          <w:tcPr>
            <w:tcW w:w="1417" w:type="dxa"/>
          </w:tcPr>
          <w:p w14:paraId="1723784A" w14:textId="77777777" w:rsidR="00CE5300" w:rsidRPr="00D24933" w:rsidRDefault="00CE5300" w:rsidP="00D24933">
            <w:pPr>
              <w:pStyle w:val="TableText"/>
              <w:rPr>
                <w:rFonts w:eastAsia="Lucida Sans Unicode" w:cs="Segoe UI"/>
                <w:b/>
                <w:bCs/>
                <w:szCs w:val="18"/>
              </w:rPr>
            </w:pPr>
          </w:p>
        </w:tc>
        <w:tc>
          <w:tcPr>
            <w:tcW w:w="993" w:type="dxa"/>
          </w:tcPr>
          <w:p w14:paraId="46CA6BB9" w14:textId="77777777" w:rsidR="00CE5300" w:rsidRPr="00D24933" w:rsidRDefault="00CE5300" w:rsidP="00D24933">
            <w:pPr>
              <w:pStyle w:val="TableText"/>
              <w:rPr>
                <w:rFonts w:eastAsia="Lucida Sans Unicode" w:cs="Segoe UI"/>
                <w:b/>
                <w:bCs/>
                <w:szCs w:val="18"/>
              </w:rPr>
            </w:pPr>
          </w:p>
        </w:tc>
        <w:tc>
          <w:tcPr>
            <w:tcW w:w="1247" w:type="dxa"/>
          </w:tcPr>
          <w:p w14:paraId="5E9384ED" w14:textId="77777777" w:rsidR="00CE5300" w:rsidRPr="00D24933" w:rsidRDefault="00CE5300" w:rsidP="00D24933">
            <w:pPr>
              <w:pStyle w:val="TableText"/>
              <w:rPr>
                <w:rFonts w:eastAsia="Lucida Sans Unicode" w:cs="Segoe UI"/>
                <w:b/>
                <w:bCs/>
                <w:szCs w:val="18"/>
              </w:rPr>
            </w:pPr>
          </w:p>
        </w:tc>
      </w:tr>
    </w:tbl>
    <w:p w14:paraId="531030BE" w14:textId="77777777" w:rsidR="00CE5300" w:rsidRPr="00917D02" w:rsidRDefault="00CE5300" w:rsidP="00CE5300">
      <w:pPr>
        <w:pStyle w:val="Note"/>
        <w:rPr>
          <w:rFonts w:eastAsia="Lucida Sans Unicode"/>
        </w:rPr>
      </w:pPr>
      <w:r w:rsidRPr="00917D02">
        <w:rPr>
          <w:rFonts w:eastAsia="Lucida Sans Unicode"/>
        </w:rPr>
        <w:t>Note: Budget sums may not total due to rounding.</w:t>
      </w:r>
    </w:p>
    <w:p w14:paraId="2F2AC8EF" w14:textId="77777777" w:rsidR="00CE5300" w:rsidRDefault="00CE5300" w:rsidP="00CE5300">
      <w:pPr>
        <w:pStyle w:val="Heading3"/>
      </w:pPr>
      <w:r>
        <w:lastRenderedPageBreak/>
        <w:t>Priority Three: Strengthen the focus on the prevention of and early intervention in gambling harm</w:t>
      </w:r>
    </w:p>
    <w:tbl>
      <w:tblPr>
        <w:tblStyle w:val="TableGrid"/>
        <w:tblW w:w="1445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39"/>
        <w:gridCol w:w="2827"/>
        <w:gridCol w:w="4406"/>
        <w:gridCol w:w="1560"/>
        <w:gridCol w:w="1417"/>
        <w:gridCol w:w="1134"/>
        <w:gridCol w:w="1276"/>
      </w:tblGrid>
      <w:tr w:rsidR="006F151E" w:rsidRPr="00063760" w14:paraId="51D9E8ED" w14:textId="77777777" w:rsidTr="00D24933">
        <w:trPr>
          <w:tblHeader/>
        </w:trPr>
        <w:tc>
          <w:tcPr>
            <w:tcW w:w="1839" w:type="dxa"/>
            <w:tcBorders>
              <w:top w:val="nil"/>
              <w:bottom w:val="nil"/>
              <w:right w:val="nil"/>
            </w:tcBorders>
            <w:shd w:val="clear" w:color="auto" w:fill="D9D9D9" w:themeFill="background1" w:themeFillShade="D9"/>
          </w:tcPr>
          <w:p w14:paraId="176B3F7C" w14:textId="77777777" w:rsidR="00CE5300" w:rsidRPr="00917D02" w:rsidRDefault="00CE5300" w:rsidP="00D24933">
            <w:pPr>
              <w:pStyle w:val="TableText"/>
              <w:rPr>
                <w:rFonts w:cs="Segoe UI"/>
                <w:b/>
                <w:bCs/>
                <w:szCs w:val="18"/>
              </w:rPr>
            </w:pPr>
            <w:r w:rsidRPr="00917D02">
              <w:rPr>
                <w:rFonts w:cs="Segoe UI"/>
                <w:b/>
                <w:bCs/>
                <w:szCs w:val="18"/>
              </w:rPr>
              <w:t>Proposal</w:t>
            </w:r>
          </w:p>
        </w:tc>
        <w:tc>
          <w:tcPr>
            <w:tcW w:w="2827" w:type="dxa"/>
            <w:tcBorders>
              <w:top w:val="nil"/>
              <w:left w:val="nil"/>
              <w:bottom w:val="nil"/>
              <w:right w:val="nil"/>
            </w:tcBorders>
            <w:shd w:val="clear" w:color="auto" w:fill="D9D9D9" w:themeFill="background1" w:themeFillShade="D9"/>
          </w:tcPr>
          <w:p w14:paraId="086F368A" w14:textId="77777777" w:rsidR="00CE5300" w:rsidRPr="00917D02" w:rsidRDefault="00CE5300" w:rsidP="00D24933">
            <w:pPr>
              <w:pStyle w:val="TableText"/>
              <w:rPr>
                <w:rFonts w:cs="Segoe UI"/>
                <w:b/>
                <w:bCs/>
                <w:szCs w:val="18"/>
              </w:rPr>
            </w:pPr>
            <w:r w:rsidRPr="00917D02">
              <w:rPr>
                <w:rFonts w:cs="Segoe UI"/>
                <w:b/>
                <w:bCs/>
                <w:szCs w:val="18"/>
              </w:rPr>
              <w:t>Description</w:t>
            </w:r>
          </w:p>
        </w:tc>
        <w:tc>
          <w:tcPr>
            <w:tcW w:w="4406" w:type="dxa"/>
            <w:tcBorders>
              <w:top w:val="nil"/>
              <w:left w:val="nil"/>
              <w:bottom w:val="nil"/>
              <w:right w:val="nil"/>
            </w:tcBorders>
            <w:shd w:val="clear" w:color="auto" w:fill="D9D9D9" w:themeFill="background1" w:themeFillShade="D9"/>
          </w:tcPr>
          <w:p w14:paraId="2D8C1258" w14:textId="77777777" w:rsidR="00CE5300" w:rsidRPr="00917D02" w:rsidRDefault="00CE5300" w:rsidP="00D24933">
            <w:pPr>
              <w:pStyle w:val="TableText"/>
              <w:rPr>
                <w:rFonts w:cs="Segoe UI"/>
                <w:b/>
                <w:bCs/>
                <w:szCs w:val="18"/>
              </w:rPr>
            </w:pPr>
            <w:r w:rsidRPr="00917D02">
              <w:rPr>
                <w:rFonts w:cs="Segoe UI"/>
                <w:b/>
                <w:bCs/>
                <w:szCs w:val="18"/>
              </w:rPr>
              <w:t>Rationale</w:t>
            </w:r>
          </w:p>
        </w:tc>
        <w:tc>
          <w:tcPr>
            <w:tcW w:w="1560" w:type="dxa"/>
            <w:tcBorders>
              <w:top w:val="nil"/>
              <w:left w:val="nil"/>
              <w:bottom w:val="nil"/>
              <w:right w:val="nil"/>
            </w:tcBorders>
            <w:shd w:val="clear" w:color="auto" w:fill="D9D9D9" w:themeFill="background1" w:themeFillShade="D9"/>
          </w:tcPr>
          <w:p w14:paraId="71A87502" w14:textId="77777777" w:rsidR="00CE5300" w:rsidRPr="00917D02" w:rsidRDefault="00CE5300" w:rsidP="00D24933">
            <w:pPr>
              <w:pStyle w:val="TableText"/>
              <w:rPr>
                <w:rFonts w:cs="Segoe UI"/>
                <w:b/>
                <w:bCs/>
              </w:rPr>
            </w:pPr>
            <w:r w:rsidRPr="52103CC6">
              <w:rPr>
                <w:rFonts w:cs="Segoe UI"/>
                <w:b/>
                <w:bCs/>
              </w:rPr>
              <w:t>NZ$m proposed for 25/26–27/28</w:t>
            </w:r>
          </w:p>
        </w:tc>
        <w:tc>
          <w:tcPr>
            <w:tcW w:w="1417" w:type="dxa"/>
            <w:tcBorders>
              <w:top w:val="nil"/>
              <w:left w:val="nil"/>
              <w:bottom w:val="nil"/>
              <w:right w:val="nil"/>
            </w:tcBorders>
            <w:shd w:val="clear" w:color="auto" w:fill="D9D9D9" w:themeFill="background1" w:themeFillShade="D9"/>
          </w:tcPr>
          <w:p w14:paraId="669DD306" w14:textId="77777777" w:rsidR="00CE5300" w:rsidRPr="00917D02" w:rsidRDefault="00CE5300" w:rsidP="00D24933">
            <w:pPr>
              <w:pStyle w:val="TableText"/>
              <w:rPr>
                <w:rFonts w:cs="Segoe UI"/>
                <w:b/>
                <w:bCs/>
              </w:rPr>
            </w:pPr>
            <w:r w:rsidRPr="52103CC6">
              <w:rPr>
                <w:rFonts w:cs="Segoe UI"/>
                <w:b/>
                <w:bCs/>
              </w:rPr>
              <w:t>NZ$m for 22/23–24/25</w:t>
            </w:r>
          </w:p>
        </w:tc>
        <w:tc>
          <w:tcPr>
            <w:tcW w:w="1134" w:type="dxa"/>
            <w:tcBorders>
              <w:top w:val="nil"/>
              <w:left w:val="nil"/>
              <w:bottom w:val="nil"/>
              <w:right w:val="nil"/>
            </w:tcBorders>
            <w:shd w:val="clear" w:color="auto" w:fill="D9D9D9" w:themeFill="background1" w:themeFillShade="D9"/>
          </w:tcPr>
          <w:p w14:paraId="4FB56C6A" w14:textId="77777777" w:rsidR="00CE5300" w:rsidRPr="00917D02" w:rsidRDefault="00CE5300" w:rsidP="00D24933">
            <w:pPr>
              <w:pStyle w:val="TableText"/>
              <w:rPr>
                <w:rFonts w:cs="Segoe UI"/>
                <w:b/>
                <w:bCs/>
                <w:szCs w:val="18"/>
              </w:rPr>
            </w:pPr>
            <w:r w:rsidRPr="00917D02">
              <w:rPr>
                <w:rFonts w:cs="Segoe UI"/>
                <w:b/>
                <w:bCs/>
                <w:szCs w:val="18"/>
              </w:rPr>
              <w:t xml:space="preserve">Outcome area </w:t>
            </w:r>
          </w:p>
        </w:tc>
        <w:tc>
          <w:tcPr>
            <w:tcW w:w="1276" w:type="dxa"/>
            <w:tcBorders>
              <w:top w:val="nil"/>
              <w:left w:val="nil"/>
              <w:bottom w:val="nil"/>
            </w:tcBorders>
            <w:shd w:val="clear" w:color="auto" w:fill="D9D9D9" w:themeFill="background1" w:themeFillShade="D9"/>
          </w:tcPr>
          <w:p w14:paraId="7E0CF32C" w14:textId="77777777" w:rsidR="00CE5300" w:rsidRPr="00917D02" w:rsidRDefault="00CE5300" w:rsidP="00D24933">
            <w:pPr>
              <w:pStyle w:val="TableText"/>
              <w:rPr>
                <w:rFonts w:cs="Segoe UI"/>
                <w:b/>
                <w:bCs/>
                <w:szCs w:val="18"/>
              </w:rPr>
            </w:pPr>
            <w:r w:rsidRPr="00917D02">
              <w:rPr>
                <w:rFonts w:cs="Segoe UI"/>
                <w:b/>
                <w:bCs/>
                <w:szCs w:val="18"/>
              </w:rPr>
              <w:t>Statutory type</w:t>
            </w:r>
          </w:p>
        </w:tc>
      </w:tr>
      <w:tr w:rsidR="00CE5300" w:rsidRPr="0043583F" w14:paraId="0B9D89A9" w14:textId="77777777" w:rsidTr="00D24933">
        <w:tc>
          <w:tcPr>
            <w:tcW w:w="1839" w:type="dxa"/>
            <w:tcBorders>
              <w:top w:val="nil"/>
            </w:tcBorders>
          </w:tcPr>
          <w:p w14:paraId="2FC9B560" w14:textId="77777777" w:rsidR="00CE5300" w:rsidRPr="00917D02" w:rsidRDefault="00CE5300" w:rsidP="00D24933">
            <w:pPr>
              <w:pStyle w:val="TableText"/>
              <w:rPr>
                <w:rFonts w:cs="Segoe UI"/>
                <w:szCs w:val="18"/>
              </w:rPr>
            </w:pPr>
            <w:r w:rsidRPr="00917D02">
              <w:rPr>
                <w:rFonts w:cs="Segoe UI"/>
                <w:szCs w:val="18"/>
              </w:rPr>
              <w:t>Primary prevention</w:t>
            </w:r>
          </w:p>
        </w:tc>
        <w:tc>
          <w:tcPr>
            <w:tcW w:w="2827" w:type="dxa"/>
            <w:tcBorders>
              <w:top w:val="nil"/>
            </w:tcBorders>
          </w:tcPr>
          <w:p w14:paraId="683FDF37" w14:textId="77777777" w:rsidR="00CE5300" w:rsidRPr="00917D02" w:rsidRDefault="00CE5300" w:rsidP="00D24933">
            <w:pPr>
              <w:pStyle w:val="TableText"/>
              <w:rPr>
                <w:rFonts w:eastAsia="Lucida Sans Unicode" w:cs="Segoe UI"/>
                <w:szCs w:val="18"/>
              </w:rPr>
            </w:pPr>
            <w:r w:rsidRPr="00917D02">
              <w:rPr>
                <w:rFonts w:eastAsia="Segoe UI" w:cs="Segoe UI"/>
                <w:szCs w:val="18"/>
                <w:lang w:val="en-US"/>
              </w:rPr>
              <w:t>Primary prevention services empower people and communities to prevent and/or reduce gambling-related harm and inequities in gambling harm outcomes at a population level. Services work</w:t>
            </w:r>
            <w:r w:rsidRPr="00917D02">
              <w:rPr>
                <w:rFonts w:eastAsia="Segoe UI" w:cs="Segoe UI"/>
                <w:szCs w:val="18"/>
              </w:rPr>
              <w:t xml:space="preserve"> in partnership with priority communities and system partners to lead, facilitate and/or support collective and comprehensive prevention efforts. </w:t>
            </w:r>
          </w:p>
        </w:tc>
        <w:tc>
          <w:tcPr>
            <w:tcW w:w="4406" w:type="dxa"/>
            <w:tcBorders>
              <w:top w:val="nil"/>
            </w:tcBorders>
          </w:tcPr>
          <w:p w14:paraId="75633BC9" w14:textId="77777777" w:rsidR="00CE5300" w:rsidRPr="00917D02" w:rsidRDefault="00CE5300" w:rsidP="00D24933">
            <w:pPr>
              <w:pStyle w:val="TableText"/>
              <w:rPr>
                <w:rFonts w:cs="Segoe UI"/>
              </w:rPr>
            </w:pPr>
            <w:r w:rsidRPr="52103CC6">
              <w:rPr>
                <w:rFonts w:eastAsia="Lucida Sans Unicode" w:cs="Segoe UI"/>
              </w:rPr>
              <w:t>These services were recommissioned in 2023 and are under contract until at least 30 June 2027. An increased budget compared with the prior period ($0.545 over three years) will enable wage uplifts in response to cost-of-living pressures and will assist with workforce retention.</w:t>
            </w:r>
          </w:p>
        </w:tc>
        <w:tc>
          <w:tcPr>
            <w:tcW w:w="1560" w:type="dxa"/>
            <w:tcBorders>
              <w:top w:val="nil"/>
            </w:tcBorders>
          </w:tcPr>
          <w:p w14:paraId="59657D2C" w14:textId="77777777" w:rsidR="00895EDF" w:rsidRPr="004A3F51" w:rsidRDefault="00CE5300" w:rsidP="00D24933">
            <w:pPr>
              <w:rPr>
                <w:rFonts w:ascii="Arial" w:hAnsi="Arial" w:cs="Arial"/>
                <w:color w:val="000000"/>
                <w:sz w:val="18"/>
                <w:szCs w:val="18"/>
                <w:lang w:eastAsia="en-NZ"/>
              </w:rPr>
            </w:pPr>
            <w:r w:rsidRPr="004A3F51">
              <w:rPr>
                <w:rFonts w:ascii="Arial" w:hAnsi="Arial" w:cs="Arial"/>
                <w:color w:val="000000"/>
                <w:sz w:val="18"/>
                <w:szCs w:val="18"/>
              </w:rPr>
              <w:t>15.</w:t>
            </w:r>
            <w:r w:rsidR="00895EDF" w:rsidRPr="004A3F51">
              <w:rPr>
                <w:rFonts w:ascii="Arial" w:hAnsi="Arial" w:cs="Arial"/>
                <w:color w:val="000000"/>
                <w:sz w:val="18"/>
                <w:szCs w:val="18"/>
              </w:rPr>
              <w:t>837</w:t>
            </w:r>
          </w:p>
          <w:p w14:paraId="7AF9830E" w14:textId="79EBA743" w:rsidR="00CE5300" w:rsidRPr="00917D02" w:rsidRDefault="00CE5300" w:rsidP="00D24933">
            <w:pPr>
              <w:pStyle w:val="TableText"/>
              <w:rPr>
                <w:rFonts w:cs="Segoe UI"/>
              </w:rPr>
            </w:pPr>
          </w:p>
        </w:tc>
        <w:tc>
          <w:tcPr>
            <w:tcW w:w="1417" w:type="dxa"/>
            <w:tcBorders>
              <w:top w:val="nil"/>
            </w:tcBorders>
          </w:tcPr>
          <w:p w14:paraId="5125A5CC" w14:textId="77777777" w:rsidR="00CE5300" w:rsidRPr="00917D02" w:rsidRDefault="00CE5300" w:rsidP="00D24933">
            <w:pPr>
              <w:pStyle w:val="TableText"/>
              <w:rPr>
                <w:rFonts w:cs="Segoe UI"/>
                <w:szCs w:val="18"/>
              </w:rPr>
            </w:pPr>
            <w:r w:rsidRPr="00917D02">
              <w:rPr>
                <w:rFonts w:cs="Segoe UI"/>
                <w:szCs w:val="18"/>
              </w:rPr>
              <w:t>14.10</w:t>
            </w:r>
          </w:p>
        </w:tc>
        <w:tc>
          <w:tcPr>
            <w:tcW w:w="1134" w:type="dxa"/>
            <w:tcBorders>
              <w:top w:val="nil"/>
            </w:tcBorders>
          </w:tcPr>
          <w:p w14:paraId="2C566ABD" w14:textId="77777777" w:rsidR="00CE5300" w:rsidRPr="00917D02" w:rsidRDefault="00CE5300" w:rsidP="00D24933">
            <w:pPr>
              <w:pStyle w:val="TableText"/>
              <w:rPr>
                <w:rFonts w:cs="Segoe UI"/>
                <w:szCs w:val="18"/>
              </w:rPr>
            </w:pPr>
            <w:r w:rsidRPr="00917D02">
              <w:rPr>
                <w:rFonts w:cs="Segoe UI"/>
                <w:szCs w:val="18"/>
              </w:rPr>
              <w:t>2</w:t>
            </w:r>
          </w:p>
          <w:p w14:paraId="0A499028" w14:textId="77777777" w:rsidR="00CE5300" w:rsidRPr="00917D02" w:rsidRDefault="00CE5300" w:rsidP="00D24933">
            <w:pPr>
              <w:pStyle w:val="TableText"/>
              <w:rPr>
                <w:rFonts w:cs="Segoe UI"/>
                <w:szCs w:val="18"/>
              </w:rPr>
            </w:pPr>
          </w:p>
        </w:tc>
        <w:tc>
          <w:tcPr>
            <w:tcW w:w="1276" w:type="dxa"/>
            <w:tcBorders>
              <w:top w:val="nil"/>
            </w:tcBorders>
          </w:tcPr>
          <w:p w14:paraId="432C0A8D" w14:textId="77777777" w:rsidR="00CE5300" w:rsidRPr="00917D02" w:rsidRDefault="00CE5300" w:rsidP="00D24933">
            <w:pPr>
              <w:pStyle w:val="TableText"/>
              <w:rPr>
                <w:rFonts w:cs="Segoe UI"/>
                <w:szCs w:val="18"/>
              </w:rPr>
            </w:pPr>
            <w:r w:rsidRPr="00917D02">
              <w:rPr>
                <w:rFonts w:cs="Segoe UI"/>
                <w:szCs w:val="18"/>
              </w:rPr>
              <w:t>Public health</w:t>
            </w:r>
          </w:p>
        </w:tc>
      </w:tr>
      <w:tr w:rsidR="00CE5300" w:rsidRPr="00063760" w14:paraId="2DB13B5D" w14:textId="77777777" w:rsidTr="00D24933">
        <w:tc>
          <w:tcPr>
            <w:tcW w:w="1839" w:type="dxa"/>
          </w:tcPr>
          <w:p w14:paraId="35B6C1FB" w14:textId="77777777" w:rsidR="00CE5300" w:rsidRPr="00917D02" w:rsidRDefault="00CE5300" w:rsidP="00D24933">
            <w:pPr>
              <w:pStyle w:val="TableText"/>
              <w:rPr>
                <w:rFonts w:cs="Segoe UI"/>
                <w:szCs w:val="18"/>
              </w:rPr>
            </w:pPr>
            <w:r w:rsidRPr="00917D02">
              <w:rPr>
                <w:rFonts w:cs="Segoe UI"/>
                <w:szCs w:val="18"/>
              </w:rPr>
              <w:t>National health promotion: supportive environments stigma</w:t>
            </w:r>
          </w:p>
        </w:tc>
        <w:tc>
          <w:tcPr>
            <w:tcW w:w="2827" w:type="dxa"/>
          </w:tcPr>
          <w:p w14:paraId="3F3C8CC1" w14:textId="77777777" w:rsidR="00CE5300" w:rsidRPr="00917D02" w:rsidRDefault="00CE5300" w:rsidP="00D24933">
            <w:pPr>
              <w:pStyle w:val="TableText"/>
              <w:rPr>
                <w:rStyle w:val="normaltextrun"/>
                <w:rFonts w:eastAsiaTheme="majorEastAsia" w:cs="Segoe UI"/>
                <w:color w:val="000000"/>
              </w:rPr>
            </w:pPr>
            <w:r w:rsidRPr="52103CC6">
              <w:rPr>
                <w:rFonts w:eastAsia="Lucida Sans Unicode" w:cs="Segoe UI"/>
              </w:rPr>
              <w:t>Health New Zealand will contribute to supportive environments where people do not experience stigma related to their gambling. O</w:t>
            </w:r>
            <w:r w:rsidRPr="52103CC6">
              <w:rPr>
                <w:rStyle w:val="normaltextrun"/>
                <w:rFonts w:eastAsiaTheme="majorEastAsia" w:cs="Segoe UI"/>
              </w:rPr>
              <w:t xml:space="preserve">ngoing destigmatisation initiatives will </w:t>
            </w:r>
            <w:r w:rsidRPr="52103CC6">
              <w:rPr>
                <w:rStyle w:val="normaltextrun"/>
                <w:rFonts w:eastAsiaTheme="majorEastAsia" w:cs="Segoe UI"/>
                <w:color w:val="000000" w:themeColor="text1"/>
              </w:rPr>
              <w:t xml:space="preserve">challenge negative perceptions and stereotypes and convey positive images of people who gamble. </w:t>
            </w:r>
          </w:p>
          <w:p w14:paraId="10F0A866" w14:textId="77777777" w:rsidR="00CE5300" w:rsidRPr="00917D02" w:rsidRDefault="00CE5300" w:rsidP="00D24933">
            <w:pPr>
              <w:pStyle w:val="TableText"/>
              <w:rPr>
                <w:rFonts w:eastAsia="Lucida Sans Unicode" w:cs="Segoe UI"/>
                <w:szCs w:val="18"/>
              </w:rPr>
            </w:pPr>
            <w:r w:rsidRPr="00917D02">
              <w:rPr>
                <w:rFonts w:cs="Segoe UI"/>
                <w:szCs w:val="18"/>
              </w:rPr>
              <w:t>This area of work is an extension of the work developed under the 2022/23–2024/25 levy period.</w:t>
            </w:r>
            <w:r w:rsidRPr="00917D02">
              <w:rPr>
                <w:rFonts w:cs="Segoe UI"/>
                <w:i/>
                <w:iCs/>
                <w:szCs w:val="18"/>
              </w:rPr>
              <w:t xml:space="preserve"> </w:t>
            </w:r>
          </w:p>
        </w:tc>
        <w:tc>
          <w:tcPr>
            <w:tcW w:w="4406" w:type="dxa"/>
          </w:tcPr>
          <w:p w14:paraId="7B791430" w14:textId="77777777" w:rsidR="00CE5300" w:rsidRPr="00917D02" w:rsidRDefault="00CE5300" w:rsidP="00D24933">
            <w:pPr>
              <w:pStyle w:val="TableText"/>
              <w:rPr>
                <w:rFonts w:eastAsia="Lucida Sans Unicode" w:cs="Segoe UI"/>
                <w:szCs w:val="18"/>
              </w:rPr>
            </w:pPr>
            <w:r w:rsidRPr="00917D02">
              <w:rPr>
                <w:rFonts w:eastAsia="Lucida Sans Unicode" w:cs="Segoe UI"/>
                <w:szCs w:val="18"/>
              </w:rPr>
              <w:t xml:space="preserve">The destigmatisation initiative will continue and be embedded throughout Health New Zealand’s health promotion work programme. </w:t>
            </w:r>
          </w:p>
          <w:p w14:paraId="6F086C0C" w14:textId="5EC541CD" w:rsidR="00CE5300" w:rsidRPr="00917D02" w:rsidRDefault="00CE5300" w:rsidP="00D24933">
            <w:pPr>
              <w:pStyle w:val="TableText"/>
              <w:rPr>
                <w:rFonts w:eastAsia="Lucida Sans Unicode" w:cs="Segoe UI"/>
              </w:rPr>
            </w:pPr>
            <w:r w:rsidRPr="0DAFFFC1">
              <w:rPr>
                <w:rStyle w:val="normaltextrun"/>
                <w:rFonts w:eastAsiaTheme="majorEastAsia" w:cs="Segoe UI"/>
              </w:rPr>
              <w:t>Ongoing destigmatisation initiatives and campaigns will be developed based on recommendations</w:t>
            </w:r>
            <w:r w:rsidR="00526C21" w:rsidRPr="0DAFFFC1">
              <w:rPr>
                <w:rStyle w:val="normaltextrun"/>
                <w:rFonts w:eastAsiaTheme="majorEastAsia" w:cs="Segoe UI"/>
              </w:rPr>
              <w:t xml:space="preserve"> and learnings</w:t>
            </w:r>
            <w:r w:rsidRPr="0DAFFFC1">
              <w:rPr>
                <w:rStyle w:val="normaltextrun"/>
                <w:rFonts w:eastAsiaTheme="majorEastAsia" w:cs="Segoe UI"/>
              </w:rPr>
              <w:t xml:space="preserve"> from </w:t>
            </w:r>
            <w:r w:rsidR="00526C21" w:rsidRPr="0DAFFFC1">
              <w:rPr>
                <w:rStyle w:val="normaltextrun"/>
                <w:rFonts w:eastAsiaTheme="majorEastAsia" w:cs="Segoe UI"/>
              </w:rPr>
              <w:t xml:space="preserve">work delivered during the </w:t>
            </w:r>
            <w:r w:rsidRPr="0DAFFFC1">
              <w:rPr>
                <w:rStyle w:val="normaltextrun"/>
                <w:rFonts w:eastAsiaTheme="majorEastAsia" w:cs="Segoe UI"/>
              </w:rPr>
              <w:t xml:space="preserve">current </w:t>
            </w:r>
            <w:r w:rsidR="5B384E7C" w:rsidRPr="0DAFFFC1">
              <w:rPr>
                <w:rStyle w:val="normaltextrun"/>
                <w:rFonts w:eastAsiaTheme="majorEastAsia" w:cs="Segoe UI"/>
              </w:rPr>
              <w:t>S</w:t>
            </w:r>
            <w:r w:rsidRPr="0DAFFFC1">
              <w:rPr>
                <w:rStyle w:val="normaltextrun"/>
                <w:rFonts w:eastAsiaTheme="majorEastAsia" w:cs="Segoe UI"/>
              </w:rPr>
              <w:t>trategy</w:t>
            </w:r>
            <w:r w:rsidR="00526C21" w:rsidRPr="0DAFFFC1">
              <w:rPr>
                <w:rStyle w:val="normaltextrun"/>
                <w:rFonts w:eastAsiaTheme="majorEastAsia" w:cs="Segoe UI"/>
              </w:rPr>
              <w:t xml:space="preserve"> period to 30 June 2025. </w:t>
            </w:r>
            <w:r w:rsidRPr="0DAFFFC1">
              <w:rPr>
                <w:rStyle w:val="normaltextrun"/>
                <w:rFonts w:eastAsiaTheme="majorEastAsia" w:cs="Segoe UI"/>
                <w:color w:val="000000" w:themeColor="text1"/>
              </w:rPr>
              <w:t xml:space="preserve">This will include the re-development of the Safer Gambling Aotearoa </w:t>
            </w:r>
            <w:r w:rsidRPr="0DAFFFC1">
              <w:rPr>
                <w:rFonts w:cs="Segoe UI"/>
              </w:rPr>
              <w:t xml:space="preserve">Real </w:t>
            </w:r>
            <w:r w:rsidR="00526C21" w:rsidRPr="0DAFFFC1">
              <w:rPr>
                <w:rFonts w:cs="Segoe UI"/>
              </w:rPr>
              <w:t>L</w:t>
            </w:r>
            <w:r w:rsidRPr="0DAFFFC1">
              <w:rPr>
                <w:rFonts w:cs="Segoe UI"/>
              </w:rPr>
              <w:t>ife stories</w:t>
            </w:r>
            <w:r w:rsidRPr="0DAFFFC1">
              <w:rPr>
                <w:rStyle w:val="normaltextrun"/>
                <w:rFonts w:eastAsiaTheme="majorEastAsia" w:cs="Segoe UI"/>
                <w:color w:val="000000" w:themeColor="text1"/>
              </w:rPr>
              <w:t xml:space="preserve"> video</w:t>
            </w:r>
            <w:r w:rsidR="00526C21" w:rsidRPr="0DAFFFC1">
              <w:rPr>
                <w:rStyle w:val="normaltextrun"/>
                <w:rFonts w:eastAsiaTheme="majorEastAsia" w:cs="Segoe UI"/>
                <w:color w:val="000000" w:themeColor="text1"/>
              </w:rPr>
              <w:t xml:space="preserve"> </w:t>
            </w:r>
            <w:r w:rsidRPr="0DAFFFC1">
              <w:rPr>
                <w:rStyle w:val="normaltextrun"/>
                <w:rFonts w:eastAsiaTheme="majorEastAsia" w:cs="Segoe UI"/>
                <w:color w:val="000000" w:themeColor="text1"/>
              </w:rPr>
              <w:t>s</w:t>
            </w:r>
            <w:r w:rsidR="00526C21" w:rsidRPr="0DAFFFC1">
              <w:rPr>
                <w:rStyle w:val="normaltextrun"/>
                <w:rFonts w:eastAsiaTheme="majorEastAsia" w:cs="Segoe UI"/>
                <w:color w:val="000000" w:themeColor="text1"/>
              </w:rPr>
              <w:t>eries</w:t>
            </w:r>
            <w:r w:rsidRPr="0DAFFFC1">
              <w:rPr>
                <w:rStyle w:val="normaltextrun"/>
                <w:rFonts w:eastAsiaTheme="majorEastAsia" w:cs="Segoe UI"/>
                <w:color w:val="000000" w:themeColor="text1"/>
              </w:rPr>
              <w:t xml:space="preserve">. </w:t>
            </w:r>
          </w:p>
        </w:tc>
        <w:tc>
          <w:tcPr>
            <w:tcW w:w="1560" w:type="dxa"/>
          </w:tcPr>
          <w:p w14:paraId="7CC02568" w14:textId="77777777" w:rsidR="00895EDF" w:rsidRPr="00895EDF" w:rsidRDefault="00CE5300" w:rsidP="00D24933">
            <w:pPr>
              <w:pStyle w:val="TableText"/>
              <w:rPr>
                <w:rFonts w:cs="Segoe UI"/>
              </w:rPr>
            </w:pPr>
            <w:r w:rsidRPr="62CBA64A">
              <w:rPr>
                <w:rFonts w:cs="Segoe UI"/>
              </w:rPr>
              <w:t xml:space="preserve">Total health promotion programme budget </w:t>
            </w:r>
          </w:p>
          <w:p w14:paraId="3125F6E1" w14:textId="607CA32F" w:rsidR="00CE5300" w:rsidRPr="00917D02" w:rsidRDefault="3AB314A0" w:rsidP="00D24933">
            <w:pPr>
              <w:pStyle w:val="TableText"/>
              <w:rPr>
                <w:rFonts w:cs="Segoe UI"/>
              </w:rPr>
            </w:pPr>
            <w:r w:rsidRPr="62CBA64A">
              <w:rPr>
                <w:rFonts w:cs="Segoe UI"/>
              </w:rPr>
              <w:t>6.750</w:t>
            </w:r>
          </w:p>
        </w:tc>
        <w:tc>
          <w:tcPr>
            <w:tcW w:w="1417" w:type="dxa"/>
          </w:tcPr>
          <w:p w14:paraId="187CEC95" w14:textId="77777777" w:rsidR="00CE5300" w:rsidRPr="00917D02" w:rsidRDefault="00CE5300" w:rsidP="00D24933">
            <w:pPr>
              <w:pStyle w:val="TableText"/>
              <w:rPr>
                <w:rFonts w:cs="Segoe UI"/>
                <w:szCs w:val="18"/>
              </w:rPr>
            </w:pPr>
            <w:r w:rsidRPr="00917D02">
              <w:rPr>
                <w:rFonts w:cs="Segoe UI"/>
                <w:szCs w:val="18"/>
              </w:rPr>
              <w:t>Education and awareness:</w:t>
            </w:r>
          </w:p>
          <w:p w14:paraId="0B8CD79D" w14:textId="77777777" w:rsidR="00CE5300" w:rsidRPr="00917D02" w:rsidRDefault="00CE5300" w:rsidP="00D24933">
            <w:pPr>
              <w:pStyle w:val="TableText"/>
              <w:rPr>
                <w:rFonts w:cs="Segoe UI"/>
                <w:szCs w:val="18"/>
              </w:rPr>
            </w:pPr>
            <w:r w:rsidRPr="00917D02">
              <w:rPr>
                <w:rFonts w:cs="Segoe UI"/>
                <w:szCs w:val="18"/>
              </w:rPr>
              <w:t>5.040</w:t>
            </w:r>
          </w:p>
          <w:p w14:paraId="35386074" w14:textId="77777777" w:rsidR="00CE5300" w:rsidRPr="00917D02" w:rsidRDefault="00CE5300" w:rsidP="00D24933">
            <w:pPr>
              <w:pStyle w:val="TableText"/>
              <w:rPr>
                <w:rFonts w:cs="Segoe UI"/>
                <w:szCs w:val="18"/>
              </w:rPr>
            </w:pPr>
          </w:p>
          <w:p w14:paraId="4ED90161" w14:textId="06D483D6" w:rsidR="00CE5300" w:rsidRDefault="005D7FF7" w:rsidP="00D24933">
            <w:pPr>
              <w:pStyle w:val="TableText"/>
              <w:rPr>
                <w:rFonts w:cs="Segoe UI"/>
              </w:rPr>
            </w:pPr>
            <w:r w:rsidRPr="52103CC6">
              <w:rPr>
                <w:rFonts w:cs="Segoe UI"/>
              </w:rPr>
              <w:t>Destigmatisation</w:t>
            </w:r>
            <w:r w:rsidR="00CE5300" w:rsidRPr="52103CC6">
              <w:rPr>
                <w:rFonts w:cs="Segoe UI"/>
              </w:rPr>
              <w:t xml:space="preserve">: </w:t>
            </w:r>
          </w:p>
          <w:p w14:paraId="7616CBC3" w14:textId="77777777" w:rsidR="00CE5300" w:rsidRPr="00917D02" w:rsidRDefault="00CE5300" w:rsidP="00D24933">
            <w:pPr>
              <w:pStyle w:val="TableText"/>
              <w:rPr>
                <w:rFonts w:cs="Segoe UI"/>
              </w:rPr>
            </w:pPr>
            <w:r w:rsidRPr="7D3C8752">
              <w:rPr>
                <w:rFonts w:cs="Segoe UI"/>
              </w:rPr>
              <w:t>3.0</w:t>
            </w:r>
          </w:p>
        </w:tc>
        <w:tc>
          <w:tcPr>
            <w:tcW w:w="1134" w:type="dxa"/>
          </w:tcPr>
          <w:p w14:paraId="6393FCC3" w14:textId="77777777" w:rsidR="00CE5300" w:rsidRPr="00917D02" w:rsidRDefault="00CE5300" w:rsidP="00D24933">
            <w:pPr>
              <w:pStyle w:val="TableText"/>
              <w:rPr>
                <w:rFonts w:cs="Segoe UI"/>
                <w:szCs w:val="18"/>
              </w:rPr>
            </w:pPr>
            <w:r w:rsidRPr="00917D02">
              <w:rPr>
                <w:rFonts w:cs="Segoe UI"/>
                <w:szCs w:val="18"/>
              </w:rPr>
              <w:t>2</w:t>
            </w:r>
          </w:p>
        </w:tc>
        <w:tc>
          <w:tcPr>
            <w:tcW w:w="1276" w:type="dxa"/>
          </w:tcPr>
          <w:p w14:paraId="3F54A7AC" w14:textId="77777777" w:rsidR="00CE5300" w:rsidRPr="00917D02" w:rsidRDefault="00CE5300" w:rsidP="00D24933">
            <w:pPr>
              <w:pStyle w:val="TableText"/>
              <w:rPr>
                <w:rFonts w:cs="Segoe UI"/>
                <w:szCs w:val="18"/>
              </w:rPr>
            </w:pPr>
            <w:r w:rsidRPr="00917D02">
              <w:rPr>
                <w:rFonts w:cs="Segoe UI"/>
                <w:szCs w:val="18"/>
              </w:rPr>
              <w:t>Public health</w:t>
            </w:r>
          </w:p>
        </w:tc>
      </w:tr>
      <w:tr w:rsidR="00CE5300" w:rsidRPr="0043583F" w14:paraId="7B9C5695" w14:textId="77777777" w:rsidTr="00D24933">
        <w:tc>
          <w:tcPr>
            <w:tcW w:w="1839" w:type="dxa"/>
            <w:tcBorders>
              <w:bottom w:val="single" w:sz="4" w:space="0" w:color="A6A6A6" w:themeColor="background1" w:themeShade="A6"/>
            </w:tcBorders>
          </w:tcPr>
          <w:p w14:paraId="033F3C60" w14:textId="77777777" w:rsidR="00CE5300" w:rsidRPr="00917D02" w:rsidRDefault="00CE5300" w:rsidP="00D24933">
            <w:pPr>
              <w:pStyle w:val="TableText"/>
              <w:rPr>
                <w:rFonts w:cs="Segoe UI"/>
                <w:szCs w:val="18"/>
              </w:rPr>
            </w:pPr>
            <w:r w:rsidRPr="00917D02">
              <w:rPr>
                <w:rFonts w:cs="Segoe UI"/>
                <w:szCs w:val="18"/>
              </w:rPr>
              <w:lastRenderedPageBreak/>
              <w:t>National health promotion: Supportive environments promotion</w:t>
            </w:r>
          </w:p>
        </w:tc>
        <w:tc>
          <w:tcPr>
            <w:tcW w:w="2827" w:type="dxa"/>
            <w:tcBorders>
              <w:bottom w:val="single" w:sz="4" w:space="0" w:color="A6A6A6" w:themeColor="background1" w:themeShade="A6"/>
            </w:tcBorders>
          </w:tcPr>
          <w:p w14:paraId="2BFBDD55" w14:textId="77777777" w:rsidR="00CE5300" w:rsidRPr="00917D02" w:rsidRDefault="00CE5300" w:rsidP="00D24933">
            <w:pPr>
              <w:pStyle w:val="TableText"/>
              <w:rPr>
                <w:rFonts w:eastAsia="Lucida Sans Unicode" w:cs="Segoe UI"/>
                <w:szCs w:val="18"/>
              </w:rPr>
            </w:pPr>
            <w:r w:rsidRPr="00917D02">
              <w:rPr>
                <w:rFonts w:eastAsia="Lucida Sans Unicode" w:cs="Segoe UI"/>
                <w:szCs w:val="18"/>
              </w:rPr>
              <w:t xml:space="preserve">Health New Zealand will contribute to supportive environments where people who gamble know how to get help. </w:t>
            </w:r>
          </w:p>
          <w:p w14:paraId="7866D108" w14:textId="7E6BCB91" w:rsidR="00CE5300" w:rsidRPr="00917D02" w:rsidRDefault="00CE5300" w:rsidP="00D24933">
            <w:pPr>
              <w:pStyle w:val="TableText"/>
              <w:rPr>
                <w:rFonts w:cs="Segoe UI"/>
              </w:rPr>
            </w:pPr>
            <w:r w:rsidRPr="52103CC6">
              <w:rPr>
                <w:rFonts w:eastAsia="Lucida Sans Unicode" w:cs="Segoe UI"/>
              </w:rPr>
              <w:t xml:space="preserve">Creative digital media channels will promote help seeking, gambling harm support services and the gambling helpline at a national </w:t>
            </w:r>
            <w:r w:rsidR="34F770A0" w:rsidRPr="52103CC6">
              <w:rPr>
                <w:rFonts w:eastAsia="Lucida Sans Unicode" w:cs="Segoe UI"/>
              </w:rPr>
              <w:t>level.</w:t>
            </w:r>
          </w:p>
        </w:tc>
        <w:tc>
          <w:tcPr>
            <w:tcW w:w="4406" w:type="dxa"/>
            <w:tcBorders>
              <w:bottom w:val="single" w:sz="4" w:space="0" w:color="A6A6A6" w:themeColor="background1" w:themeShade="A6"/>
            </w:tcBorders>
          </w:tcPr>
          <w:p w14:paraId="1B6E17DE" w14:textId="752F7A9A" w:rsidR="00CE5300" w:rsidRPr="00917D02" w:rsidRDefault="00CE5300" w:rsidP="00D24933">
            <w:pPr>
              <w:pStyle w:val="TableText"/>
              <w:rPr>
                <w:rFonts w:cs="Segoe UI"/>
                <w:szCs w:val="18"/>
              </w:rPr>
            </w:pPr>
            <w:r w:rsidRPr="00917D02">
              <w:rPr>
                <w:rFonts w:cs="Segoe UI"/>
                <w:szCs w:val="18"/>
              </w:rPr>
              <w:t>The promotion of help-seeking messages, the 0800 number and support services from a national level can complement localised service promotion</w:t>
            </w:r>
            <w:r w:rsidRPr="717D6A29">
              <w:rPr>
                <w:rFonts w:cs="Segoe UI"/>
              </w:rPr>
              <w:t xml:space="preserve"> and will be </w:t>
            </w:r>
            <w:r w:rsidRPr="32A513F2">
              <w:rPr>
                <w:rFonts w:cs="Segoe UI"/>
              </w:rPr>
              <w:t xml:space="preserve">developed </w:t>
            </w:r>
            <w:r w:rsidRPr="76FCDB38">
              <w:rPr>
                <w:rFonts w:cs="Segoe UI"/>
              </w:rPr>
              <w:t xml:space="preserve">with service </w:t>
            </w:r>
            <w:r w:rsidRPr="622CFFBB">
              <w:rPr>
                <w:rFonts w:cs="Segoe UI"/>
              </w:rPr>
              <w:t>providers/partners</w:t>
            </w:r>
            <w:r w:rsidRPr="00917D02">
              <w:rPr>
                <w:rFonts w:cs="Segoe UI"/>
                <w:szCs w:val="18"/>
              </w:rPr>
              <w:t>.</w:t>
            </w:r>
            <w:r w:rsidR="00526C21">
              <w:rPr>
                <w:rFonts w:cs="Segoe UI"/>
                <w:szCs w:val="18"/>
              </w:rPr>
              <w:t xml:space="preserve"> </w:t>
            </w:r>
            <w:r w:rsidR="005330DD">
              <w:rPr>
                <w:rFonts w:cs="Segoe UI"/>
                <w:szCs w:val="18"/>
              </w:rPr>
              <w:t>Health New Zealand |</w:t>
            </w:r>
            <w:r w:rsidRPr="00917D02">
              <w:rPr>
                <w:rFonts w:cs="Segoe UI"/>
                <w:szCs w:val="18"/>
              </w:rPr>
              <w:t xml:space="preserve"> Health</w:t>
            </w:r>
            <w:r w:rsidR="00526C21">
              <w:rPr>
                <w:rFonts w:cs="Segoe UI"/>
                <w:szCs w:val="18"/>
              </w:rPr>
              <w:t xml:space="preserve"> P</w:t>
            </w:r>
            <w:r w:rsidRPr="00917D02">
              <w:rPr>
                <w:rFonts w:cs="Segoe UI"/>
                <w:szCs w:val="18"/>
              </w:rPr>
              <w:t xml:space="preserve">romotion will increase promotion activity in response to the needs assessment findings, which highlighted service promotion as an issue. </w:t>
            </w:r>
          </w:p>
        </w:tc>
        <w:tc>
          <w:tcPr>
            <w:tcW w:w="1560" w:type="dxa"/>
            <w:tcBorders>
              <w:bottom w:val="single" w:sz="4" w:space="0" w:color="A6A6A6" w:themeColor="background1" w:themeShade="A6"/>
            </w:tcBorders>
          </w:tcPr>
          <w:p w14:paraId="69967224" w14:textId="77777777" w:rsidR="00CE5300" w:rsidRPr="00917D02" w:rsidRDefault="00CE5300" w:rsidP="00D24933">
            <w:pPr>
              <w:pStyle w:val="TableText"/>
              <w:rPr>
                <w:rFonts w:cs="Segoe UI"/>
                <w:szCs w:val="18"/>
              </w:rPr>
            </w:pPr>
            <w:r w:rsidRPr="00917D02">
              <w:rPr>
                <w:rFonts w:cs="Segoe UI"/>
                <w:szCs w:val="18"/>
              </w:rPr>
              <w:t>From health promotion budget (above)</w:t>
            </w:r>
          </w:p>
        </w:tc>
        <w:tc>
          <w:tcPr>
            <w:tcW w:w="1417" w:type="dxa"/>
            <w:tcBorders>
              <w:bottom w:val="single" w:sz="4" w:space="0" w:color="A6A6A6" w:themeColor="background1" w:themeShade="A6"/>
            </w:tcBorders>
          </w:tcPr>
          <w:p w14:paraId="4BA5CEC1" w14:textId="77777777" w:rsidR="00CE5300" w:rsidRPr="00917D02" w:rsidRDefault="00CE5300" w:rsidP="00D24933">
            <w:pPr>
              <w:pStyle w:val="TableText"/>
              <w:rPr>
                <w:rFonts w:cs="Segoe UI"/>
                <w:szCs w:val="18"/>
              </w:rPr>
            </w:pPr>
          </w:p>
        </w:tc>
        <w:tc>
          <w:tcPr>
            <w:tcW w:w="1134" w:type="dxa"/>
            <w:tcBorders>
              <w:bottom w:val="single" w:sz="4" w:space="0" w:color="A6A6A6" w:themeColor="background1" w:themeShade="A6"/>
            </w:tcBorders>
          </w:tcPr>
          <w:p w14:paraId="32F9AFBC" w14:textId="77777777" w:rsidR="00CE5300" w:rsidRPr="00917D02" w:rsidRDefault="00CE5300" w:rsidP="00D24933">
            <w:pPr>
              <w:pStyle w:val="TableText"/>
              <w:rPr>
                <w:rFonts w:cs="Segoe UI"/>
                <w:szCs w:val="18"/>
              </w:rPr>
            </w:pPr>
            <w:r w:rsidRPr="00917D02">
              <w:rPr>
                <w:rFonts w:cs="Segoe UI"/>
                <w:szCs w:val="18"/>
              </w:rPr>
              <w:t>2</w:t>
            </w:r>
          </w:p>
        </w:tc>
        <w:tc>
          <w:tcPr>
            <w:tcW w:w="1276" w:type="dxa"/>
            <w:tcBorders>
              <w:bottom w:val="single" w:sz="4" w:space="0" w:color="A6A6A6" w:themeColor="background1" w:themeShade="A6"/>
            </w:tcBorders>
          </w:tcPr>
          <w:p w14:paraId="2FD78F2C" w14:textId="77777777" w:rsidR="00CE5300" w:rsidRPr="00917D02" w:rsidRDefault="00CE5300" w:rsidP="00D24933">
            <w:pPr>
              <w:pStyle w:val="TableText"/>
              <w:rPr>
                <w:rFonts w:cs="Segoe UI"/>
                <w:szCs w:val="18"/>
              </w:rPr>
            </w:pPr>
            <w:r w:rsidRPr="00917D02">
              <w:rPr>
                <w:rFonts w:cs="Segoe UI"/>
                <w:szCs w:val="18"/>
              </w:rPr>
              <w:t>Public health</w:t>
            </w:r>
          </w:p>
        </w:tc>
      </w:tr>
      <w:tr w:rsidR="00CE5300" w:rsidRPr="0043583F" w14:paraId="5FAE2986" w14:textId="77777777" w:rsidTr="00D24933">
        <w:trPr>
          <w:trHeight w:val="501"/>
        </w:trPr>
        <w:tc>
          <w:tcPr>
            <w:tcW w:w="18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37B29CE6" w14:textId="77777777" w:rsidR="00CE5300" w:rsidRPr="00917D02" w:rsidRDefault="00CE5300" w:rsidP="00D24933">
            <w:pPr>
              <w:pStyle w:val="TableText"/>
              <w:rPr>
                <w:rFonts w:cs="Segoe UI"/>
                <w:szCs w:val="18"/>
              </w:rPr>
            </w:pPr>
            <w:r w:rsidRPr="00917D02">
              <w:rPr>
                <w:rFonts w:cs="Segoe UI"/>
                <w:szCs w:val="18"/>
              </w:rPr>
              <w:t>National health promotion: Education and personal skills</w:t>
            </w:r>
          </w:p>
        </w:tc>
        <w:tc>
          <w:tcPr>
            <w:tcW w:w="28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39E651" w14:textId="0F9A24BC" w:rsidR="00CE5300" w:rsidRPr="00917D02" w:rsidRDefault="00CE5300" w:rsidP="00D24933">
            <w:pPr>
              <w:pStyle w:val="TableText"/>
              <w:rPr>
                <w:rStyle w:val="normaltextrun"/>
                <w:rFonts w:eastAsiaTheme="majorEastAsia" w:cs="Segoe UI"/>
              </w:rPr>
            </w:pPr>
            <w:r w:rsidRPr="52103CC6">
              <w:rPr>
                <w:rStyle w:val="normaltextrun"/>
                <w:rFonts w:eastAsiaTheme="majorEastAsia" w:cs="Segoe UI"/>
              </w:rPr>
              <w:t>Health New Zealand will support  (healthy lifestyles) by developing education and personal skills. This will include:</w:t>
            </w:r>
          </w:p>
          <w:p w14:paraId="7A458531" w14:textId="77777777" w:rsidR="00CE5300" w:rsidRPr="00917D02" w:rsidRDefault="00CE5300" w:rsidP="00D24933">
            <w:pPr>
              <w:pStyle w:val="TableBullet"/>
              <w:rPr>
                <w:rStyle w:val="normaltextrun"/>
                <w:rFonts w:eastAsia="Lucida Sans Unicode" w:cs="Segoe UI"/>
                <w:szCs w:val="18"/>
              </w:rPr>
            </w:pPr>
            <w:r w:rsidRPr="00917D02">
              <w:rPr>
                <w:rStyle w:val="normaltextrun"/>
                <w:rFonts w:eastAsiaTheme="majorEastAsia" w:cs="Segoe UI"/>
                <w:szCs w:val="18"/>
              </w:rPr>
              <w:t>continuing national campaigns that raise awareness of gambling harm</w:t>
            </w:r>
          </w:p>
          <w:p w14:paraId="5813ABD9" w14:textId="77777777" w:rsidR="00CE5300" w:rsidRPr="00917D02" w:rsidRDefault="00CE5300" w:rsidP="00D24933">
            <w:pPr>
              <w:pStyle w:val="TableBullet"/>
              <w:rPr>
                <w:rFonts w:cs="Segoe UI"/>
              </w:rPr>
            </w:pPr>
            <w:r w:rsidRPr="52103CC6">
              <w:rPr>
                <w:rFonts w:eastAsia="Lucida Sans Unicode" w:cs="Segoe UI"/>
              </w:rPr>
              <w:t xml:space="preserve">continuing to provide and develop tools and resources that educate the public about gambling harm, reflecting diverse communities and responding to the changing gambling environment – particularly the expansion of online gambling </w:t>
            </w:r>
          </w:p>
          <w:p w14:paraId="2E05A238" w14:textId="48F6EC1E" w:rsidR="00CE5300" w:rsidRPr="00D24933" w:rsidRDefault="00CE5300" w:rsidP="00D24933">
            <w:pPr>
              <w:pStyle w:val="TableBullet"/>
              <w:rPr>
                <w:rFonts w:eastAsia="Lucida Sans Unicode" w:cs="Segoe UI"/>
                <w:szCs w:val="18"/>
              </w:rPr>
            </w:pPr>
            <w:r w:rsidRPr="00917D02">
              <w:rPr>
                <w:rFonts w:eastAsia="Lucida Sans Unicode" w:cs="Segoe UI"/>
                <w:szCs w:val="18"/>
              </w:rPr>
              <w:t xml:space="preserve">maintaining and reviewing the Safer Gambling Aotearoa website as a source for </w:t>
            </w:r>
            <w:r w:rsidRPr="00917D02">
              <w:rPr>
                <w:rFonts w:eastAsia="Lucida Sans Unicode" w:cs="Segoe UI"/>
                <w:szCs w:val="18"/>
              </w:rPr>
              <w:lastRenderedPageBreak/>
              <w:t xml:space="preserve">gambling harm education and information. </w:t>
            </w:r>
          </w:p>
        </w:tc>
        <w:tc>
          <w:tcPr>
            <w:tcW w:w="44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2CF7D1" w14:textId="2A3270C6" w:rsidR="00CE5300" w:rsidRPr="00917D02" w:rsidRDefault="00CE5300" w:rsidP="00D24933">
            <w:pPr>
              <w:pStyle w:val="TableText"/>
              <w:rPr>
                <w:rFonts w:cs="Segoe UI"/>
              </w:rPr>
            </w:pPr>
            <w:r w:rsidRPr="52103CC6">
              <w:rPr>
                <w:rFonts w:cs="Segoe UI"/>
              </w:rPr>
              <w:lastRenderedPageBreak/>
              <w:t xml:space="preserve">Health New Zealand will increase campaign delivery during the Strategy period and will develop new campaigns targeted at people who gamble within priority population groups identified by this Strategy (Māori, Pacific peoples, Asian peoples and young people). </w:t>
            </w:r>
          </w:p>
          <w:p w14:paraId="3D2BCC9E" w14:textId="77777777" w:rsidR="00CE5300" w:rsidRPr="00917D02" w:rsidRDefault="00CE5300" w:rsidP="00D24933">
            <w:pPr>
              <w:pStyle w:val="TableText"/>
              <w:rPr>
                <w:rFonts w:cs="Segoe UI"/>
                <w:szCs w:val="18"/>
              </w:rPr>
            </w:pPr>
            <w:r>
              <w:rPr>
                <w:rFonts w:cs="Segoe UI"/>
                <w:szCs w:val="18"/>
              </w:rPr>
              <w:t>C</w:t>
            </w:r>
            <w:r w:rsidRPr="00917D02">
              <w:rPr>
                <w:rFonts w:cs="Segoe UI"/>
                <w:szCs w:val="18"/>
              </w:rPr>
              <w:t xml:space="preserve">ampaign messages will be targeted at a prevention level to low-risk people who gamble as this is where we have had effective results based on the evaluation of the </w:t>
            </w:r>
            <w:r w:rsidRPr="00917D02">
              <w:rPr>
                <w:rStyle w:val="normaltextrun"/>
                <w:rFonts w:eastAsiaTheme="majorEastAsia" w:cs="Segoe UI"/>
                <w:color w:val="000000"/>
                <w:szCs w:val="18"/>
              </w:rPr>
              <w:t xml:space="preserve">Safer Gambling Aotearoa </w:t>
            </w:r>
            <w:r w:rsidRPr="00917D02">
              <w:rPr>
                <w:rFonts w:cs="Segoe UI"/>
                <w:szCs w:val="18"/>
              </w:rPr>
              <w:t xml:space="preserve">Nan’s Song campaign. </w:t>
            </w:r>
          </w:p>
          <w:p w14:paraId="70E914EC" w14:textId="1306FD18" w:rsidR="00CE5300" w:rsidRPr="00917D02" w:rsidRDefault="00CE5300" w:rsidP="00D24933">
            <w:pPr>
              <w:pStyle w:val="TableText"/>
              <w:rPr>
                <w:rFonts w:cs="Segoe UI"/>
                <w:szCs w:val="18"/>
              </w:rPr>
            </w:pPr>
            <w:r w:rsidRPr="2AF6BB07">
              <w:rPr>
                <w:rFonts w:cs="Segoe UI"/>
              </w:rPr>
              <w:t xml:space="preserve">Safer Gambling Aotearoa will develop a range of resources for the Minimising Gambling Harm sector to use. The Safer Gambling Aotearoa website serves as a national tool for gambling harm information as well as a signposting site for support services through the </w:t>
            </w:r>
            <w:r w:rsidR="00526C21" w:rsidRPr="2AF6BB07">
              <w:rPr>
                <w:rFonts w:cs="Segoe UI"/>
              </w:rPr>
              <w:t>‘s</w:t>
            </w:r>
            <w:r w:rsidRPr="2AF6BB07">
              <w:rPr>
                <w:rFonts w:cs="Segoe UI"/>
              </w:rPr>
              <w:t>ervices near you</w:t>
            </w:r>
            <w:r w:rsidR="00526C21" w:rsidRPr="2AF6BB07">
              <w:rPr>
                <w:rFonts w:cs="Segoe UI"/>
              </w:rPr>
              <w:t>’</w:t>
            </w:r>
            <w:r w:rsidRPr="2AF6BB07">
              <w:rPr>
                <w:rFonts w:cs="Segoe UI"/>
              </w:rPr>
              <w:t xml:space="preserve"> webpage.</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D486AA" w14:textId="77777777" w:rsidR="00CE5300" w:rsidRPr="00917D02" w:rsidRDefault="00CE5300" w:rsidP="00D24933">
            <w:pPr>
              <w:pStyle w:val="TableText"/>
              <w:rPr>
                <w:rFonts w:cs="Segoe UI"/>
                <w:szCs w:val="18"/>
              </w:rPr>
            </w:pPr>
            <w:r w:rsidRPr="00917D02">
              <w:rPr>
                <w:rFonts w:cs="Segoe UI"/>
                <w:szCs w:val="18"/>
              </w:rPr>
              <w:t>From health promotion budget (above)</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3EF502" w14:textId="77777777" w:rsidR="00CE5300" w:rsidRPr="00917D02" w:rsidRDefault="00CE5300" w:rsidP="00D24933">
            <w:pPr>
              <w:pStyle w:val="TableText"/>
              <w:rPr>
                <w:rFonts w:cs="Segoe UI"/>
                <w:szCs w:val="18"/>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4A31FC" w14:textId="77777777" w:rsidR="00CE5300" w:rsidRPr="00917D02" w:rsidRDefault="00CE5300" w:rsidP="00D24933">
            <w:pPr>
              <w:pStyle w:val="TableText"/>
              <w:rPr>
                <w:rFonts w:cs="Segoe UI"/>
                <w:szCs w:val="18"/>
              </w:rPr>
            </w:pPr>
            <w:r w:rsidRPr="00917D02">
              <w:rPr>
                <w:rFonts w:cs="Segoe UI"/>
                <w:szCs w:val="18"/>
              </w:rPr>
              <w:t>2</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76C4560" w14:textId="77777777" w:rsidR="00CE5300" w:rsidRPr="00917D02" w:rsidRDefault="00CE5300" w:rsidP="00D24933">
            <w:pPr>
              <w:pStyle w:val="TableText"/>
              <w:rPr>
                <w:rFonts w:cs="Segoe UI"/>
                <w:szCs w:val="18"/>
              </w:rPr>
            </w:pPr>
            <w:r w:rsidRPr="00917D02">
              <w:rPr>
                <w:rFonts w:cs="Segoe UI"/>
                <w:szCs w:val="18"/>
              </w:rPr>
              <w:t>Public health</w:t>
            </w:r>
          </w:p>
        </w:tc>
      </w:tr>
      <w:tr w:rsidR="00CE5300" w:rsidRPr="00F306BF" w14:paraId="1BC92569" w14:textId="77777777" w:rsidTr="00D24933">
        <w:trPr>
          <w:trHeight w:val="2168"/>
        </w:trPr>
        <w:tc>
          <w:tcPr>
            <w:tcW w:w="1839" w:type="dxa"/>
          </w:tcPr>
          <w:p w14:paraId="377BD59E" w14:textId="77777777" w:rsidR="00CE5300" w:rsidRPr="00917D02" w:rsidRDefault="00CE5300" w:rsidP="00D24933">
            <w:pPr>
              <w:pStyle w:val="TableText"/>
              <w:rPr>
                <w:rFonts w:cs="Segoe UI"/>
                <w:szCs w:val="18"/>
              </w:rPr>
            </w:pPr>
            <w:r w:rsidRPr="00917D02">
              <w:rPr>
                <w:rFonts w:cs="Segoe UI"/>
                <w:szCs w:val="18"/>
              </w:rPr>
              <w:t>National health promotion: Supportive environments Gamble Host</w:t>
            </w:r>
          </w:p>
        </w:tc>
        <w:tc>
          <w:tcPr>
            <w:tcW w:w="2827" w:type="dxa"/>
          </w:tcPr>
          <w:p w14:paraId="4A25663D" w14:textId="54809AAE" w:rsidR="00CE5300" w:rsidRPr="00D24933" w:rsidRDefault="00CE5300" w:rsidP="00D24933">
            <w:pPr>
              <w:pStyle w:val="TableText"/>
              <w:rPr>
                <w:rFonts w:eastAsia="Lucida Sans Unicode" w:cs="Segoe UI"/>
              </w:rPr>
            </w:pPr>
            <w:r w:rsidRPr="73563FD0">
              <w:rPr>
                <w:rFonts w:eastAsia="Lucida Sans Unicode" w:cs="Segoe UI"/>
              </w:rPr>
              <w:t>Gamble Host responsibility materials to create safe gambling environments will continue to be developed.</w:t>
            </w:r>
            <w:r w:rsidRPr="1B405937">
              <w:rPr>
                <w:rFonts w:eastAsia="Lucida Sans Unicode" w:cs="Segoe UI"/>
              </w:rPr>
              <w:t xml:space="preserve"> </w:t>
            </w:r>
            <w:r w:rsidR="16C96598" w:rsidRPr="1B405937">
              <w:rPr>
                <w:rFonts w:ascii="Calibri" w:eastAsia="Calibri" w:hAnsi="Calibri" w:cs="Calibri"/>
                <w:sz w:val="22"/>
                <w:szCs w:val="22"/>
              </w:rPr>
              <w:t>T</w:t>
            </w:r>
            <w:r w:rsidR="16C96598" w:rsidRPr="00D7769D">
              <w:rPr>
                <w:rFonts w:eastAsia="Lucida Sans Unicode" w:cs="Segoe UI"/>
                <w:szCs w:val="18"/>
              </w:rPr>
              <w:t xml:space="preserve">hese resources are developed by </w:t>
            </w:r>
            <w:r w:rsidR="005330DD">
              <w:rPr>
                <w:rFonts w:eastAsia="Lucida Sans Unicode" w:cs="Segoe UI"/>
                <w:szCs w:val="18"/>
              </w:rPr>
              <w:t xml:space="preserve">Health New Zealand </w:t>
            </w:r>
            <w:r w:rsidR="16C96598" w:rsidRPr="00D7769D">
              <w:rPr>
                <w:rFonts w:eastAsia="Lucida Sans Unicode" w:cs="Segoe UI"/>
                <w:szCs w:val="18"/>
              </w:rPr>
              <w:t>with DIA to ensure they meet regulatory requirements</w:t>
            </w:r>
            <w:r w:rsidR="005330DD">
              <w:rPr>
                <w:rFonts w:eastAsia="Lucida Sans Unicode" w:cs="Segoe UI"/>
                <w:szCs w:val="18"/>
              </w:rPr>
              <w:t>.</w:t>
            </w:r>
          </w:p>
        </w:tc>
        <w:tc>
          <w:tcPr>
            <w:tcW w:w="4406" w:type="dxa"/>
          </w:tcPr>
          <w:p w14:paraId="17D00AE1" w14:textId="1CE42270" w:rsidR="00CE5300" w:rsidRPr="00917D02" w:rsidRDefault="00CE5300" w:rsidP="00D24933">
            <w:pPr>
              <w:pStyle w:val="TableText"/>
              <w:rPr>
                <w:rFonts w:cs="Segoe UI"/>
              </w:rPr>
            </w:pPr>
            <w:r w:rsidRPr="56FEE1B5">
              <w:rPr>
                <w:rFonts w:cs="Segoe UI"/>
              </w:rPr>
              <w:t xml:space="preserve">Gamble Host is a legacy project that provides resources to support harm minimisation training and tools for in-venue use. Gamble Host resources are printed and supplied to the </w:t>
            </w:r>
            <w:r w:rsidR="0EDD2C6F" w:rsidRPr="56FEE1B5">
              <w:rPr>
                <w:rFonts w:cs="Segoe UI"/>
              </w:rPr>
              <w:t>C</w:t>
            </w:r>
            <w:r w:rsidRPr="56FEE1B5">
              <w:rPr>
                <w:rFonts w:cs="Segoe UI"/>
              </w:rPr>
              <w:t xml:space="preserve">lass 4 gambling sector. </w:t>
            </w:r>
          </w:p>
        </w:tc>
        <w:tc>
          <w:tcPr>
            <w:tcW w:w="1560" w:type="dxa"/>
          </w:tcPr>
          <w:p w14:paraId="233E0F9D" w14:textId="77777777" w:rsidR="00CE5300" w:rsidRPr="00917D02" w:rsidRDefault="00CE5300" w:rsidP="00D24933">
            <w:pPr>
              <w:pStyle w:val="TableText"/>
              <w:rPr>
                <w:rFonts w:cs="Segoe UI"/>
                <w:szCs w:val="18"/>
              </w:rPr>
            </w:pPr>
            <w:r w:rsidRPr="00917D02">
              <w:rPr>
                <w:rFonts w:cs="Segoe UI"/>
                <w:szCs w:val="18"/>
              </w:rPr>
              <w:t>From health promotion budget (above)</w:t>
            </w:r>
          </w:p>
        </w:tc>
        <w:tc>
          <w:tcPr>
            <w:tcW w:w="1417" w:type="dxa"/>
          </w:tcPr>
          <w:p w14:paraId="1EE9C484" w14:textId="77777777" w:rsidR="00CE5300" w:rsidRPr="00917D02" w:rsidRDefault="00CE5300" w:rsidP="00D24933">
            <w:pPr>
              <w:pStyle w:val="TableText"/>
              <w:rPr>
                <w:rFonts w:cs="Segoe UI"/>
                <w:szCs w:val="18"/>
              </w:rPr>
            </w:pPr>
          </w:p>
        </w:tc>
        <w:tc>
          <w:tcPr>
            <w:tcW w:w="1134" w:type="dxa"/>
          </w:tcPr>
          <w:p w14:paraId="0924C490" w14:textId="77777777" w:rsidR="00CE5300" w:rsidRPr="00917D02" w:rsidRDefault="00CE5300" w:rsidP="00D24933">
            <w:pPr>
              <w:pStyle w:val="TableText"/>
              <w:rPr>
                <w:rFonts w:cs="Segoe UI"/>
                <w:szCs w:val="18"/>
              </w:rPr>
            </w:pPr>
            <w:r w:rsidRPr="00917D02">
              <w:rPr>
                <w:rFonts w:cs="Segoe UI"/>
                <w:szCs w:val="18"/>
              </w:rPr>
              <w:t>3</w:t>
            </w:r>
          </w:p>
        </w:tc>
        <w:tc>
          <w:tcPr>
            <w:tcW w:w="1276" w:type="dxa"/>
          </w:tcPr>
          <w:p w14:paraId="62957C29" w14:textId="77777777" w:rsidR="00CE5300" w:rsidRPr="00917D02" w:rsidRDefault="00CE5300" w:rsidP="00D24933">
            <w:pPr>
              <w:pStyle w:val="TableText"/>
              <w:rPr>
                <w:rFonts w:cs="Segoe UI"/>
                <w:szCs w:val="18"/>
              </w:rPr>
            </w:pPr>
            <w:r w:rsidRPr="00917D02">
              <w:rPr>
                <w:rFonts w:cs="Segoe UI"/>
                <w:szCs w:val="18"/>
              </w:rPr>
              <w:t>Public health</w:t>
            </w:r>
          </w:p>
        </w:tc>
      </w:tr>
      <w:tr w:rsidR="00CE5300" w:rsidRPr="00F306BF" w14:paraId="48AAF59C" w14:textId="77777777" w:rsidTr="00D24933">
        <w:trPr>
          <w:trHeight w:val="300"/>
        </w:trPr>
        <w:tc>
          <w:tcPr>
            <w:tcW w:w="1839" w:type="dxa"/>
          </w:tcPr>
          <w:p w14:paraId="0EACF1EF" w14:textId="77777777" w:rsidR="00CE5300" w:rsidRPr="00917D02" w:rsidRDefault="00CE5300" w:rsidP="00D24933">
            <w:pPr>
              <w:pStyle w:val="TableText"/>
              <w:rPr>
                <w:rFonts w:cs="Segoe UI"/>
                <w:szCs w:val="18"/>
              </w:rPr>
            </w:pPr>
            <w:r w:rsidRPr="00917D02">
              <w:rPr>
                <w:rFonts w:cs="Segoe UI"/>
                <w:szCs w:val="18"/>
              </w:rPr>
              <w:t>National health promotion: Healthy public policy</w:t>
            </w:r>
          </w:p>
        </w:tc>
        <w:tc>
          <w:tcPr>
            <w:tcW w:w="2827" w:type="dxa"/>
          </w:tcPr>
          <w:p w14:paraId="1BCA0790" w14:textId="77777777" w:rsidR="00CE5300" w:rsidRPr="00917D02" w:rsidRDefault="00CE5300" w:rsidP="00D24933">
            <w:pPr>
              <w:pStyle w:val="TableText"/>
              <w:rPr>
                <w:rFonts w:eastAsia="Lucida Sans Unicode" w:cs="Segoe UI"/>
                <w:szCs w:val="18"/>
              </w:rPr>
            </w:pPr>
            <w:r w:rsidRPr="00917D02">
              <w:rPr>
                <w:rFonts w:eastAsia="Lucida Sans Unicode" w:cs="Segoe UI"/>
                <w:szCs w:val="18"/>
              </w:rPr>
              <w:t>This work supports healthy public policy setting that prevents and minimises gambling harm, as envisaged by the Gambling Act 2003.</w:t>
            </w:r>
          </w:p>
          <w:p w14:paraId="3090D975" w14:textId="36DE531F" w:rsidR="00CE5300" w:rsidRPr="00917D02" w:rsidRDefault="00CE5300" w:rsidP="00D24933">
            <w:pPr>
              <w:pStyle w:val="TableText"/>
              <w:rPr>
                <w:rFonts w:eastAsia="Lucida Sans Unicode" w:cs="Segoe UI"/>
              </w:rPr>
            </w:pPr>
            <w:r w:rsidRPr="52103CC6">
              <w:rPr>
                <w:rFonts w:eastAsia="Lucida Sans Unicode" w:cs="Segoe UI"/>
              </w:rPr>
              <w:t xml:space="preserve">Health New Zealand will engage with territorial local </w:t>
            </w:r>
            <w:r w:rsidR="005362A5" w:rsidRPr="52103CC6">
              <w:rPr>
                <w:rFonts w:eastAsia="Lucida Sans Unicode" w:cs="Segoe UI"/>
              </w:rPr>
              <w:t>authorities)</w:t>
            </w:r>
            <w:r w:rsidRPr="52103CC6">
              <w:rPr>
                <w:rFonts w:eastAsia="Lucida Sans Unicode" w:cs="Segoe UI"/>
              </w:rPr>
              <w:t xml:space="preserve"> on their gambling policy review processes and work with regional National Public Health Service teams.</w:t>
            </w:r>
          </w:p>
        </w:tc>
        <w:tc>
          <w:tcPr>
            <w:tcW w:w="4406" w:type="dxa"/>
          </w:tcPr>
          <w:p w14:paraId="3FF3358C" w14:textId="74AA6FFE" w:rsidR="00CE5300" w:rsidRPr="00917D02" w:rsidRDefault="00CE5300" w:rsidP="00D24933">
            <w:pPr>
              <w:pStyle w:val="TableText"/>
              <w:rPr>
                <w:rFonts w:eastAsia="Calibri" w:cs="Segoe UI"/>
              </w:rPr>
            </w:pPr>
            <w:r w:rsidRPr="52103CC6">
              <w:rPr>
                <w:rFonts w:cs="Segoe UI"/>
              </w:rPr>
              <w:t xml:space="preserve">Health New Zealand will work with regional National Public Health Service teams to increase their engagement in policy reviews and opportunities to support work led by PMGH service providers.  </w:t>
            </w:r>
          </w:p>
        </w:tc>
        <w:tc>
          <w:tcPr>
            <w:tcW w:w="1560" w:type="dxa"/>
          </w:tcPr>
          <w:p w14:paraId="7059FFBE" w14:textId="4C54506D" w:rsidR="00CE5300" w:rsidRPr="00917D02" w:rsidRDefault="00772204" w:rsidP="00D24933">
            <w:pPr>
              <w:pStyle w:val="TableText"/>
              <w:rPr>
                <w:rFonts w:cs="Segoe UI"/>
                <w:szCs w:val="18"/>
                <w:highlight w:val="yellow"/>
              </w:rPr>
            </w:pPr>
            <w:r w:rsidRPr="00917D02">
              <w:rPr>
                <w:rFonts w:cs="Segoe UI"/>
                <w:szCs w:val="18"/>
              </w:rPr>
              <w:t>From health promotion budget (above)</w:t>
            </w:r>
          </w:p>
        </w:tc>
        <w:tc>
          <w:tcPr>
            <w:tcW w:w="1417" w:type="dxa"/>
          </w:tcPr>
          <w:p w14:paraId="47B50B97" w14:textId="77777777" w:rsidR="00CE5300" w:rsidRPr="00917D02" w:rsidRDefault="00CE5300" w:rsidP="00D24933">
            <w:pPr>
              <w:pStyle w:val="TableText"/>
              <w:rPr>
                <w:rFonts w:cs="Segoe UI"/>
                <w:szCs w:val="18"/>
                <w:highlight w:val="yellow"/>
              </w:rPr>
            </w:pPr>
          </w:p>
        </w:tc>
        <w:tc>
          <w:tcPr>
            <w:tcW w:w="1134" w:type="dxa"/>
          </w:tcPr>
          <w:p w14:paraId="078A8B88" w14:textId="77777777" w:rsidR="00CE5300" w:rsidRPr="00917D02" w:rsidRDefault="00CE5300" w:rsidP="00D24933">
            <w:pPr>
              <w:pStyle w:val="TableText"/>
              <w:rPr>
                <w:rFonts w:cs="Segoe UI"/>
                <w:szCs w:val="18"/>
              </w:rPr>
            </w:pPr>
            <w:r w:rsidRPr="00917D02">
              <w:rPr>
                <w:rFonts w:cs="Segoe UI"/>
                <w:szCs w:val="18"/>
              </w:rPr>
              <w:t>3</w:t>
            </w:r>
          </w:p>
        </w:tc>
        <w:tc>
          <w:tcPr>
            <w:tcW w:w="1276" w:type="dxa"/>
          </w:tcPr>
          <w:p w14:paraId="6917948E" w14:textId="77777777" w:rsidR="00CE5300" w:rsidRPr="00917D02" w:rsidRDefault="00CE5300" w:rsidP="00D24933">
            <w:pPr>
              <w:pStyle w:val="TableText"/>
              <w:rPr>
                <w:rFonts w:cs="Segoe UI"/>
                <w:szCs w:val="18"/>
              </w:rPr>
            </w:pPr>
            <w:r w:rsidRPr="00917D02">
              <w:rPr>
                <w:rFonts w:cs="Segoe UI"/>
                <w:szCs w:val="18"/>
              </w:rPr>
              <w:t>Public health</w:t>
            </w:r>
          </w:p>
        </w:tc>
      </w:tr>
      <w:tr w:rsidR="00CE5300" w:rsidRPr="00487FC0" w14:paraId="038234C7" w14:textId="77777777" w:rsidTr="00D24933">
        <w:tc>
          <w:tcPr>
            <w:tcW w:w="1839" w:type="dxa"/>
          </w:tcPr>
          <w:p w14:paraId="619D3C55" w14:textId="77777777" w:rsidR="00CE5300" w:rsidRPr="00917D02" w:rsidRDefault="00CE5300" w:rsidP="00D24933">
            <w:pPr>
              <w:pStyle w:val="TableText"/>
              <w:rPr>
                <w:rFonts w:cs="Segoe UI"/>
                <w:szCs w:val="18"/>
              </w:rPr>
            </w:pPr>
            <w:r w:rsidRPr="00917D02">
              <w:rPr>
                <w:rFonts w:cs="Segoe UI"/>
                <w:szCs w:val="18"/>
              </w:rPr>
              <w:t>National health promotion: Supportive environments</w:t>
            </w:r>
          </w:p>
          <w:p w14:paraId="682080D6" w14:textId="77777777" w:rsidR="00CE5300" w:rsidRPr="00917D02" w:rsidRDefault="00CE5300" w:rsidP="00D24933">
            <w:pPr>
              <w:pStyle w:val="TableText"/>
              <w:rPr>
                <w:rFonts w:cs="Segoe UI"/>
                <w:szCs w:val="18"/>
              </w:rPr>
            </w:pPr>
            <w:r w:rsidRPr="00917D02">
              <w:rPr>
                <w:rFonts w:cs="Segoe UI"/>
                <w:szCs w:val="18"/>
              </w:rPr>
              <w:t>Digital tools</w:t>
            </w:r>
          </w:p>
        </w:tc>
        <w:tc>
          <w:tcPr>
            <w:tcW w:w="2827" w:type="dxa"/>
          </w:tcPr>
          <w:p w14:paraId="41FB8A87" w14:textId="77777777" w:rsidR="00CE5300" w:rsidRPr="00917D02" w:rsidRDefault="00CE5300" w:rsidP="00D24933">
            <w:pPr>
              <w:pStyle w:val="TableText"/>
              <w:rPr>
                <w:rFonts w:cs="Segoe UI"/>
              </w:rPr>
            </w:pPr>
            <w:r w:rsidRPr="3E99655E">
              <w:rPr>
                <w:rFonts w:cs="Segoe UI"/>
              </w:rPr>
              <w:t xml:space="preserve">Digital tools that aid health promotion efforts need to be developed to support wellbeing and respond to the changing gambling environment. </w:t>
            </w:r>
          </w:p>
          <w:p w14:paraId="69FE2F63" w14:textId="2014D609" w:rsidR="00CE5300" w:rsidRPr="00917D02" w:rsidRDefault="00CE5300" w:rsidP="00D24933">
            <w:pPr>
              <w:pStyle w:val="TableText"/>
              <w:rPr>
                <w:rFonts w:cs="Segoe UI"/>
              </w:rPr>
            </w:pPr>
            <w:r w:rsidRPr="52103CC6">
              <w:rPr>
                <w:rFonts w:cs="Segoe UI"/>
              </w:rPr>
              <w:t xml:space="preserve">Digital tool development will focus on promoting gambling harm minimisation messages, </w:t>
            </w:r>
            <w:r w:rsidRPr="52103CC6">
              <w:rPr>
                <w:rFonts w:cs="Segoe UI"/>
              </w:rPr>
              <w:lastRenderedPageBreak/>
              <w:t xml:space="preserve">enabling help seeking, and supporting broader public health activities. </w:t>
            </w:r>
          </w:p>
        </w:tc>
        <w:tc>
          <w:tcPr>
            <w:tcW w:w="4406" w:type="dxa"/>
          </w:tcPr>
          <w:p w14:paraId="576CDAB4" w14:textId="77777777" w:rsidR="00CE5300" w:rsidRDefault="00CE5300" w:rsidP="00D24933">
            <w:pPr>
              <w:pStyle w:val="TableText"/>
              <w:rPr>
                <w:rFonts w:cs="Segoe UI"/>
                <w:szCs w:val="18"/>
              </w:rPr>
            </w:pPr>
            <w:r w:rsidRPr="00917D02">
              <w:rPr>
                <w:rFonts w:cs="Segoe UI"/>
                <w:szCs w:val="18"/>
              </w:rPr>
              <w:lastRenderedPageBreak/>
              <w:t xml:space="preserve">An increase in activity is proposed to cover scoping, development work and the promotion of a new digital tool in addition to maintenance of the existing tools. </w:t>
            </w:r>
          </w:p>
          <w:p w14:paraId="060F2142" w14:textId="4024F7E4" w:rsidR="00CE5300" w:rsidRPr="00917D02" w:rsidRDefault="00CE5300" w:rsidP="00D24933">
            <w:pPr>
              <w:pStyle w:val="TableText"/>
              <w:rPr>
                <w:rFonts w:cs="Segoe UI"/>
              </w:rPr>
            </w:pPr>
            <w:r w:rsidRPr="52103CC6">
              <w:rPr>
                <w:rFonts w:cs="Segoe UI"/>
              </w:rPr>
              <w:t xml:space="preserve">Scoping will include mapping of digital tools provided in the </w:t>
            </w:r>
            <w:r w:rsidR="0B87FF52" w:rsidRPr="52103CC6">
              <w:rPr>
                <w:rFonts w:cs="Segoe UI"/>
              </w:rPr>
              <w:t>gambling harm prevention and minimisation</w:t>
            </w:r>
            <w:r w:rsidRPr="52103CC6">
              <w:rPr>
                <w:rFonts w:cs="Segoe UI"/>
              </w:rPr>
              <w:t xml:space="preserve"> sector to ensure there is no duplication </w:t>
            </w:r>
            <w:r w:rsidRPr="52103CC6">
              <w:rPr>
                <w:rFonts w:cs="Segoe UI"/>
              </w:rPr>
              <w:lastRenderedPageBreak/>
              <w:t xml:space="preserve">and development of new tools fill a gap or serve a need </w:t>
            </w:r>
            <w:r w:rsidR="00772204" w:rsidRPr="52103CC6">
              <w:rPr>
                <w:rFonts w:cs="Segoe UI"/>
              </w:rPr>
              <w:t xml:space="preserve">that is </w:t>
            </w:r>
            <w:r w:rsidRPr="52103CC6">
              <w:rPr>
                <w:rFonts w:cs="Segoe UI"/>
              </w:rPr>
              <w:t xml:space="preserve">identified. </w:t>
            </w:r>
          </w:p>
          <w:p w14:paraId="0D7B89BE" w14:textId="207A3958" w:rsidR="00CE5300" w:rsidRPr="00917D02" w:rsidRDefault="00CE5300" w:rsidP="00D24933">
            <w:pPr>
              <w:pStyle w:val="TableText"/>
              <w:rPr>
                <w:rFonts w:cs="Segoe UI"/>
                <w:szCs w:val="18"/>
              </w:rPr>
            </w:pPr>
            <w:r w:rsidRPr="595EE7AA">
              <w:rPr>
                <w:rFonts w:cs="Segoe UI"/>
              </w:rPr>
              <w:t>Digital tools are particularly relevant in the response to increased access to online gambling as they can engage with people where they are (</w:t>
            </w:r>
            <w:r w:rsidR="00772204">
              <w:rPr>
                <w:rFonts w:cs="Segoe UI"/>
              </w:rPr>
              <w:t xml:space="preserve">the </w:t>
            </w:r>
            <w:r w:rsidRPr="595EE7AA">
              <w:rPr>
                <w:rFonts w:cs="Segoe UI"/>
              </w:rPr>
              <w:t>online/digital space</w:t>
            </w:r>
            <w:r w:rsidR="00772204">
              <w:rPr>
                <w:rFonts w:cs="Segoe UI"/>
              </w:rPr>
              <w:t>).</w:t>
            </w:r>
          </w:p>
        </w:tc>
        <w:tc>
          <w:tcPr>
            <w:tcW w:w="1560" w:type="dxa"/>
          </w:tcPr>
          <w:p w14:paraId="575FEA4E" w14:textId="77777777" w:rsidR="00CE5300" w:rsidRPr="00917D02" w:rsidRDefault="00CE5300" w:rsidP="00D24933">
            <w:pPr>
              <w:pStyle w:val="TableText"/>
              <w:rPr>
                <w:rFonts w:cs="Segoe UI"/>
                <w:szCs w:val="18"/>
              </w:rPr>
            </w:pPr>
            <w:r w:rsidRPr="00917D02">
              <w:rPr>
                <w:rFonts w:cs="Segoe UI"/>
                <w:szCs w:val="18"/>
              </w:rPr>
              <w:lastRenderedPageBreak/>
              <w:t>From health promotion budget (above)</w:t>
            </w:r>
          </w:p>
        </w:tc>
        <w:tc>
          <w:tcPr>
            <w:tcW w:w="1417" w:type="dxa"/>
          </w:tcPr>
          <w:p w14:paraId="15AC9997" w14:textId="77777777" w:rsidR="00CE5300" w:rsidRPr="00917D02" w:rsidRDefault="00CE5300" w:rsidP="00D24933">
            <w:pPr>
              <w:pStyle w:val="TableText"/>
              <w:rPr>
                <w:rFonts w:cs="Segoe UI"/>
                <w:szCs w:val="18"/>
              </w:rPr>
            </w:pPr>
          </w:p>
        </w:tc>
        <w:tc>
          <w:tcPr>
            <w:tcW w:w="1134" w:type="dxa"/>
          </w:tcPr>
          <w:p w14:paraId="198CF4DF" w14:textId="77777777" w:rsidR="00CE5300" w:rsidRPr="00917D02" w:rsidRDefault="00CE5300" w:rsidP="00D24933">
            <w:pPr>
              <w:pStyle w:val="TableText"/>
              <w:rPr>
                <w:rFonts w:cs="Segoe UI"/>
                <w:szCs w:val="18"/>
              </w:rPr>
            </w:pPr>
            <w:r w:rsidRPr="00917D02">
              <w:rPr>
                <w:rFonts w:cs="Segoe UI"/>
                <w:szCs w:val="18"/>
              </w:rPr>
              <w:t>3</w:t>
            </w:r>
          </w:p>
        </w:tc>
        <w:tc>
          <w:tcPr>
            <w:tcW w:w="1276" w:type="dxa"/>
          </w:tcPr>
          <w:p w14:paraId="4F9ADFA2" w14:textId="77777777" w:rsidR="00CE5300" w:rsidRPr="00917D02" w:rsidRDefault="00CE5300" w:rsidP="00D24933">
            <w:pPr>
              <w:pStyle w:val="TableText"/>
              <w:rPr>
                <w:rFonts w:cs="Segoe UI"/>
                <w:szCs w:val="18"/>
              </w:rPr>
            </w:pPr>
            <w:r w:rsidRPr="00917D02">
              <w:rPr>
                <w:rFonts w:cs="Segoe UI"/>
                <w:szCs w:val="18"/>
              </w:rPr>
              <w:t>Public health</w:t>
            </w:r>
          </w:p>
        </w:tc>
      </w:tr>
      <w:tr w:rsidR="00CE5300" w:rsidRPr="0043583F" w14:paraId="003EB770" w14:textId="77777777" w:rsidTr="00D24933">
        <w:tc>
          <w:tcPr>
            <w:tcW w:w="1839" w:type="dxa"/>
          </w:tcPr>
          <w:p w14:paraId="352F717D" w14:textId="77777777" w:rsidR="00CE5300" w:rsidRPr="00917D02" w:rsidRDefault="00CE5300" w:rsidP="00D24933">
            <w:pPr>
              <w:pStyle w:val="TableText"/>
              <w:rPr>
                <w:rFonts w:cs="Segoe UI"/>
                <w:szCs w:val="18"/>
              </w:rPr>
            </w:pPr>
            <w:r w:rsidRPr="00917D02">
              <w:rPr>
                <w:rFonts w:cs="Segoe UI"/>
                <w:szCs w:val="18"/>
              </w:rPr>
              <w:t>National health promotion: Community activation</w:t>
            </w:r>
          </w:p>
        </w:tc>
        <w:tc>
          <w:tcPr>
            <w:tcW w:w="2827" w:type="dxa"/>
          </w:tcPr>
          <w:p w14:paraId="78218EEA" w14:textId="77777777" w:rsidR="00CE5300" w:rsidRPr="00917D02" w:rsidRDefault="00CE5300" w:rsidP="00D24933">
            <w:pPr>
              <w:pStyle w:val="TableText"/>
              <w:rPr>
                <w:rFonts w:eastAsia="Lucida Sans Unicode" w:cs="Segoe UI"/>
                <w:szCs w:val="18"/>
              </w:rPr>
            </w:pPr>
            <w:r w:rsidRPr="00917D02">
              <w:rPr>
                <w:rFonts w:eastAsia="Lucida Sans Unicode" w:cs="Segoe UI"/>
                <w:szCs w:val="18"/>
              </w:rPr>
              <w:t>Health New Zealand will strengthen community actions to address gambling harm through:</w:t>
            </w:r>
          </w:p>
          <w:p w14:paraId="3A74A44A" w14:textId="77777777" w:rsidR="00CE5300" w:rsidRPr="00917D02" w:rsidRDefault="00CE5300" w:rsidP="00D24933">
            <w:pPr>
              <w:pStyle w:val="TableBullet"/>
              <w:rPr>
                <w:rFonts w:eastAsia="Lucida Sans Unicode"/>
                <w:szCs w:val="18"/>
              </w:rPr>
            </w:pPr>
            <w:r w:rsidRPr="00917D02">
              <w:rPr>
                <w:rFonts w:eastAsia="Lucida Sans Unicode"/>
                <w:szCs w:val="18"/>
              </w:rPr>
              <w:t>Gambling Harm Awareness Week</w:t>
            </w:r>
          </w:p>
          <w:p w14:paraId="5D6E9289" w14:textId="74F0465A" w:rsidR="00CE5300" w:rsidRPr="00D24933" w:rsidRDefault="00CE5300" w:rsidP="00D24933">
            <w:pPr>
              <w:pStyle w:val="TableBullet"/>
              <w:rPr>
                <w:rFonts w:eastAsia="Lucida Sans Unicode"/>
                <w:szCs w:val="18"/>
              </w:rPr>
            </w:pPr>
            <w:r w:rsidRPr="00917D02">
              <w:rPr>
                <w:rFonts w:eastAsia="Lucida Sans Unicode"/>
                <w:szCs w:val="18"/>
              </w:rPr>
              <w:t xml:space="preserve">providing funds to support innovative approaches to addressing gambling harm within communities. </w:t>
            </w:r>
          </w:p>
        </w:tc>
        <w:tc>
          <w:tcPr>
            <w:tcW w:w="4406" w:type="dxa"/>
          </w:tcPr>
          <w:p w14:paraId="75F877BE" w14:textId="41ECECFB" w:rsidR="00CE5300" w:rsidRPr="00917D02" w:rsidRDefault="00CE5300" w:rsidP="00D24933">
            <w:pPr>
              <w:pStyle w:val="TableText"/>
              <w:rPr>
                <w:rStyle w:val="normaltextrun"/>
                <w:rFonts w:eastAsiaTheme="majorEastAsia" w:cs="Segoe UI"/>
                <w:szCs w:val="18"/>
              </w:rPr>
            </w:pPr>
            <w:r w:rsidRPr="68AC4E1B">
              <w:rPr>
                <w:rStyle w:val="normaltextrun"/>
                <w:rFonts w:eastAsiaTheme="majorEastAsia" w:cs="Segoe UI"/>
              </w:rPr>
              <w:t xml:space="preserve">Health New Zealand will consult with the </w:t>
            </w:r>
            <w:r w:rsidRPr="02B1F085">
              <w:rPr>
                <w:rStyle w:val="normaltextrun"/>
                <w:rFonts w:eastAsiaTheme="majorEastAsia" w:cs="Segoe UI"/>
              </w:rPr>
              <w:t>PMGH</w:t>
            </w:r>
            <w:r w:rsidRPr="68AC4E1B">
              <w:rPr>
                <w:rStyle w:val="normaltextrun"/>
                <w:rFonts w:eastAsiaTheme="majorEastAsia" w:cs="Segoe UI"/>
              </w:rPr>
              <w:t xml:space="preserve"> sector to develop a three-year </w:t>
            </w:r>
            <w:r w:rsidRPr="02B1F085">
              <w:rPr>
                <w:rStyle w:val="normaltextrun"/>
                <w:rFonts w:eastAsiaTheme="majorEastAsia" w:cs="Segoe UI"/>
              </w:rPr>
              <w:t>plan</w:t>
            </w:r>
            <w:r w:rsidRPr="68AC4E1B">
              <w:rPr>
                <w:rStyle w:val="normaltextrun"/>
                <w:rFonts w:eastAsiaTheme="majorEastAsia" w:cs="Segoe UI"/>
              </w:rPr>
              <w:t xml:space="preserve"> to revitalise Gambling Harm Awareness Week. Its aim will be to develop common messages and enhance community actions</w:t>
            </w:r>
            <w:r w:rsidR="00772204">
              <w:rPr>
                <w:rStyle w:val="normaltextrun"/>
                <w:rFonts w:eastAsiaTheme="majorEastAsia" w:cs="Segoe UI"/>
                <w:szCs w:val="18"/>
              </w:rPr>
              <w:t>.</w:t>
            </w:r>
          </w:p>
          <w:p w14:paraId="5816BC64" w14:textId="77777777" w:rsidR="00CE5300" w:rsidRPr="00917D02" w:rsidRDefault="00CE5300" w:rsidP="00D24933">
            <w:pPr>
              <w:pStyle w:val="TableText"/>
              <w:rPr>
                <w:rFonts w:eastAsiaTheme="majorEastAsia" w:cs="Segoe UI"/>
                <w:szCs w:val="18"/>
              </w:rPr>
            </w:pPr>
            <w:r w:rsidRPr="00917D02">
              <w:rPr>
                <w:rStyle w:val="normaltextrun"/>
                <w:rFonts w:eastAsiaTheme="majorEastAsia" w:cs="Segoe UI"/>
                <w:szCs w:val="18"/>
              </w:rPr>
              <w:t xml:space="preserve">Community funds support community groups and gambling harm providers to deliver initiatives that address gambling harm within their communities throughout the year. </w:t>
            </w:r>
          </w:p>
        </w:tc>
        <w:tc>
          <w:tcPr>
            <w:tcW w:w="1560" w:type="dxa"/>
          </w:tcPr>
          <w:p w14:paraId="7B4638A4" w14:textId="77777777" w:rsidR="00CE5300" w:rsidRPr="00917D02" w:rsidRDefault="00CE5300" w:rsidP="00D24933">
            <w:pPr>
              <w:pStyle w:val="TableText"/>
              <w:rPr>
                <w:rFonts w:cs="Segoe UI"/>
                <w:szCs w:val="18"/>
              </w:rPr>
            </w:pPr>
            <w:r w:rsidRPr="00917D02">
              <w:rPr>
                <w:rFonts w:cs="Segoe UI"/>
                <w:szCs w:val="18"/>
              </w:rPr>
              <w:t>From health promotion budget (above)</w:t>
            </w:r>
          </w:p>
        </w:tc>
        <w:tc>
          <w:tcPr>
            <w:tcW w:w="1417" w:type="dxa"/>
          </w:tcPr>
          <w:p w14:paraId="4FF7F67F" w14:textId="77777777" w:rsidR="00CE5300" w:rsidRPr="00917D02" w:rsidRDefault="00CE5300" w:rsidP="00D24933">
            <w:pPr>
              <w:pStyle w:val="TableText"/>
              <w:rPr>
                <w:rFonts w:cs="Segoe UI"/>
                <w:szCs w:val="18"/>
              </w:rPr>
            </w:pPr>
          </w:p>
        </w:tc>
        <w:tc>
          <w:tcPr>
            <w:tcW w:w="1134" w:type="dxa"/>
          </w:tcPr>
          <w:p w14:paraId="76B836FB" w14:textId="77777777" w:rsidR="00CE5300" w:rsidRPr="00917D02" w:rsidRDefault="00CE5300" w:rsidP="00D24933">
            <w:pPr>
              <w:pStyle w:val="TableText"/>
              <w:rPr>
                <w:rFonts w:cs="Segoe UI"/>
                <w:szCs w:val="18"/>
              </w:rPr>
            </w:pPr>
            <w:r w:rsidRPr="00917D02">
              <w:rPr>
                <w:rFonts w:cs="Segoe UI"/>
                <w:szCs w:val="18"/>
              </w:rPr>
              <w:t>2</w:t>
            </w:r>
          </w:p>
        </w:tc>
        <w:tc>
          <w:tcPr>
            <w:tcW w:w="1276" w:type="dxa"/>
          </w:tcPr>
          <w:p w14:paraId="14223B04" w14:textId="77777777" w:rsidR="00CE5300" w:rsidRPr="00917D02" w:rsidRDefault="00CE5300" w:rsidP="00D24933">
            <w:pPr>
              <w:pStyle w:val="TableText"/>
              <w:rPr>
                <w:rFonts w:cs="Segoe UI"/>
                <w:szCs w:val="18"/>
              </w:rPr>
            </w:pPr>
            <w:r w:rsidRPr="00917D02">
              <w:rPr>
                <w:rFonts w:cs="Segoe UI"/>
                <w:szCs w:val="18"/>
              </w:rPr>
              <w:t>Public health</w:t>
            </w:r>
          </w:p>
        </w:tc>
      </w:tr>
      <w:tr w:rsidR="00CE5300" w:rsidRPr="00487FC0" w14:paraId="0E30E05B" w14:textId="77777777" w:rsidTr="00D24933">
        <w:tc>
          <w:tcPr>
            <w:tcW w:w="1839" w:type="dxa"/>
          </w:tcPr>
          <w:p w14:paraId="010FF2E6" w14:textId="77777777" w:rsidR="00CE5300" w:rsidRPr="00917D02" w:rsidRDefault="00CE5300" w:rsidP="00D24933">
            <w:pPr>
              <w:pStyle w:val="TableText"/>
              <w:rPr>
                <w:rFonts w:cs="Segoe UI"/>
                <w:szCs w:val="18"/>
              </w:rPr>
            </w:pPr>
            <w:r w:rsidRPr="00917D02">
              <w:rPr>
                <w:rFonts w:cs="Segoe UI"/>
                <w:szCs w:val="18"/>
              </w:rPr>
              <w:t>Public health in schools</w:t>
            </w:r>
          </w:p>
        </w:tc>
        <w:tc>
          <w:tcPr>
            <w:tcW w:w="2827" w:type="dxa"/>
          </w:tcPr>
          <w:p w14:paraId="5BE5FF4D" w14:textId="2CDC6CDD" w:rsidR="00CE5300" w:rsidRPr="00917D02" w:rsidRDefault="00CE5300" w:rsidP="00D24933">
            <w:pPr>
              <w:pStyle w:val="TableText"/>
              <w:rPr>
                <w:rFonts w:cs="Segoe UI"/>
                <w:highlight w:val="yellow"/>
              </w:rPr>
            </w:pPr>
            <w:r w:rsidRPr="52103CC6">
              <w:rPr>
                <w:rFonts w:cs="Segoe UI"/>
              </w:rPr>
              <w:t xml:space="preserve">The 2022/23–2024/25 levy period </w:t>
            </w:r>
            <w:r w:rsidR="029D3B4B" w:rsidRPr="52103CC6">
              <w:rPr>
                <w:rFonts w:cs="Segoe UI"/>
              </w:rPr>
              <w:t xml:space="preserve">first </w:t>
            </w:r>
            <w:r w:rsidRPr="52103CC6">
              <w:rPr>
                <w:rFonts w:cs="Segoe UI"/>
              </w:rPr>
              <w:t xml:space="preserve">allocated funding to preventing and minimising gambling harm for young people  utilising Tūturu, a school-based approach that brings health and education services together to address student wellbeing. </w:t>
            </w:r>
          </w:p>
        </w:tc>
        <w:tc>
          <w:tcPr>
            <w:tcW w:w="4406" w:type="dxa"/>
          </w:tcPr>
          <w:p w14:paraId="21801975" w14:textId="394C30B3" w:rsidR="00CE5300" w:rsidRPr="00917D02" w:rsidRDefault="00CE5300" w:rsidP="00D24933">
            <w:pPr>
              <w:pStyle w:val="TableText"/>
              <w:rPr>
                <w:rFonts w:cs="Segoe UI"/>
              </w:rPr>
            </w:pPr>
            <w:r w:rsidRPr="52103CC6">
              <w:rPr>
                <w:rFonts w:cs="Segoe UI"/>
              </w:rPr>
              <w:t xml:space="preserve">Tūturu supports student engagement and learning about gambling harm and associated issues. The approach also enables schools to put systems in place to ensure gambling harm issues are identified early and students receive help when needed. Ongoing investment is sought to ensure that system changes are </w:t>
            </w:r>
            <w:r w:rsidR="00772204" w:rsidRPr="52103CC6">
              <w:rPr>
                <w:rFonts w:cs="Segoe UI"/>
              </w:rPr>
              <w:t>embedded,</w:t>
            </w:r>
            <w:r w:rsidRPr="52103CC6">
              <w:rPr>
                <w:rFonts w:cs="Segoe UI"/>
              </w:rPr>
              <w:t xml:space="preserve"> and further development of the approach can continue.</w:t>
            </w:r>
          </w:p>
        </w:tc>
        <w:tc>
          <w:tcPr>
            <w:tcW w:w="1560" w:type="dxa"/>
          </w:tcPr>
          <w:p w14:paraId="4A5D6C8E" w14:textId="77777777" w:rsidR="00CE5300" w:rsidRPr="00917D02" w:rsidRDefault="00CE5300" w:rsidP="00D24933">
            <w:pPr>
              <w:pStyle w:val="TableText"/>
              <w:rPr>
                <w:rFonts w:cs="Segoe UI"/>
                <w:szCs w:val="18"/>
              </w:rPr>
            </w:pPr>
            <w:r w:rsidRPr="00917D02">
              <w:rPr>
                <w:rFonts w:cs="Segoe UI"/>
                <w:szCs w:val="18"/>
              </w:rPr>
              <w:t>0.600</w:t>
            </w:r>
          </w:p>
        </w:tc>
        <w:tc>
          <w:tcPr>
            <w:tcW w:w="1417" w:type="dxa"/>
          </w:tcPr>
          <w:p w14:paraId="7D1A4F43" w14:textId="77777777" w:rsidR="00CE5300" w:rsidRPr="00917D02" w:rsidRDefault="00CE5300" w:rsidP="00D24933">
            <w:pPr>
              <w:pStyle w:val="TableText"/>
              <w:rPr>
                <w:rFonts w:cs="Segoe UI"/>
                <w:szCs w:val="18"/>
              </w:rPr>
            </w:pPr>
            <w:r w:rsidRPr="00917D02">
              <w:rPr>
                <w:rFonts w:cs="Segoe UI"/>
                <w:szCs w:val="18"/>
              </w:rPr>
              <w:t>0.650</w:t>
            </w:r>
          </w:p>
        </w:tc>
        <w:tc>
          <w:tcPr>
            <w:tcW w:w="1134" w:type="dxa"/>
          </w:tcPr>
          <w:p w14:paraId="755FA8B6" w14:textId="77777777" w:rsidR="00CE5300" w:rsidRPr="00917D02" w:rsidRDefault="00CE5300" w:rsidP="00D24933">
            <w:pPr>
              <w:pStyle w:val="TableText"/>
              <w:rPr>
                <w:rFonts w:cs="Segoe UI"/>
                <w:szCs w:val="18"/>
              </w:rPr>
            </w:pPr>
            <w:r w:rsidRPr="00917D02">
              <w:rPr>
                <w:rFonts w:cs="Segoe UI"/>
                <w:szCs w:val="18"/>
              </w:rPr>
              <w:t>Prevention and early intervention</w:t>
            </w:r>
          </w:p>
        </w:tc>
        <w:tc>
          <w:tcPr>
            <w:tcW w:w="1276" w:type="dxa"/>
          </w:tcPr>
          <w:p w14:paraId="71D83331" w14:textId="77777777" w:rsidR="00CE5300" w:rsidRPr="00917D02" w:rsidRDefault="00CE5300" w:rsidP="00D24933">
            <w:pPr>
              <w:pStyle w:val="TableText"/>
              <w:rPr>
                <w:rFonts w:cs="Segoe UI"/>
                <w:szCs w:val="18"/>
              </w:rPr>
            </w:pPr>
            <w:r w:rsidRPr="00917D02">
              <w:rPr>
                <w:rFonts w:cs="Segoe UI"/>
                <w:szCs w:val="18"/>
              </w:rPr>
              <w:t>Public health</w:t>
            </w:r>
          </w:p>
        </w:tc>
      </w:tr>
      <w:tr w:rsidR="00CE5300" w:rsidRPr="00487FC0" w14:paraId="3EE0B156" w14:textId="77777777" w:rsidTr="00D24933">
        <w:tc>
          <w:tcPr>
            <w:tcW w:w="1839" w:type="dxa"/>
          </w:tcPr>
          <w:p w14:paraId="041BB8C9" w14:textId="77777777" w:rsidR="00CE5300" w:rsidRPr="00917D02" w:rsidRDefault="00CE5300" w:rsidP="00D24933">
            <w:pPr>
              <w:pStyle w:val="TableText"/>
              <w:rPr>
                <w:rFonts w:cs="Segoe UI"/>
                <w:szCs w:val="18"/>
              </w:rPr>
            </w:pPr>
            <w:r w:rsidRPr="00917D02">
              <w:rPr>
                <w:rFonts w:cs="Segoe UI"/>
                <w:szCs w:val="18"/>
              </w:rPr>
              <w:lastRenderedPageBreak/>
              <w:t>Youth-specific model</w:t>
            </w:r>
          </w:p>
        </w:tc>
        <w:tc>
          <w:tcPr>
            <w:tcW w:w="2827" w:type="dxa"/>
          </w:tcPr>
          <w:p w14:paraId="368CB390" w14:textId="77777777" w:rsidR="00CE5300" w:rsidRPr="00917D02" w:rsidRDefault="00CE5300" w:rsidP="00D24933">
            <w:pPr>
              <w:pStyle w:val="TableText"/>
              <w:rPr>
                <w:rFonts w:cs="Segoe UI"/>
                <w:szCs w:val="18"/>
              </w:rPr>
            </w:pPr>
            <w:r w:rsidRPr="00917D02">
              <w:rPr>
                <w:rFonts w:cs="Segoe UI"/>
                <w:szCs w:val="18"/>
              </w:rPr>
              <w:t xml:space="preserve">A co-designed ‘by-youth, for-youth’ social media campaign will be developed to increase awareness of gambling harm, reduce stigma associated with gambling harm and encourage young people who have gambling harm issues to seek help. </w:t>
            </w:r>
          </w:p>
        </w:tc>
        <w:tc>
          <w:tcPr>
            <w:tcW w:w="4406" w:type="dxa"/>
          </w:tcPr>
          <w:p w14:paraId="4ED16C29" w14:textId="77777777" w:rsidR="00CE5300" w:rsidRPr="00917D02" w:rsidRDefault="00CE5300" w:rsidP="00D24933">
            <w:pPr>
              <w:pStyle w:val="TableText"/>
              <w:rPr>
                <w:rFonts w:cs="Segoe UI"/>
                <w:szCs w:val="18"/>
              </w:rPr>
            </w:pPr>
            <w:r w:rsidRPr="00917D02">
              <w:rPr>
                <w:rFonts w:cs="Segoe UI"/>
                <w:szCs w:val="18"/>
              </w:rPr>
              <w:t>By-youth for-youth approaches are recognised as best practice in the youth development and addictions sectors. This campaign will be supported by the development of youth-specific self-help tools and referral pathways to increase access to gambling harm services.</w:t>
            </w:r>
          </w:p>
        </w:tc>
        <w:tc>
          <w:tcPr>
            <w:tcW w:w="1560" w:type="dxa"/>
            <w:shd w:val="clear" w:color="auto" w:fill="auto"/>
          </w:tcPr>
          <w:p w14:paraId="532F3A5C" w14:textId="288D2701" w:rsidR="00CE5300" w:rsidRPr="00917D02" w:rsidRDefault="00CE5300" w:rsidP="00D24933">
            <w:pPr>
              <w:pStyle w:val="TableText"/>
              <w:rPr>
                <w:rFonts w:cs="Segoe UI"/>
                <w:szCs w:val="18"/>
              </w:rPr>
            </w:pPr>
            <w:r w:rsidRPr="00917D02">
              <w:rPr>
                <w:rFonts w:cs="Segoe UI"/>
                <w:szCs w:val="18"/>
              </w:rPr>
              <w:t>0.</w:t>
            </w:r>
            <w:r w:rsidR="002B1729" w:rsidRPr="00917D02">
              <w:rPr>
                <w:rFonts w:cs="Segoe UI"/>
                <w:szCs w:val="18"/>
              </w:rPr>
              <w:t>7</w:t>
            </w:r>
            <w:r w:rsidR="002B1729">
              <w:rPr>
                <w:rFonts w:cs="Segoe UI"/>
                <w:szCs w:val="18"/>
              </w:rPr>
              <w:t>56</w:t>
            </w:r>
          </w:p>
        </w:tc>
        <w:tc>
          <w:tcPr>
            <w:tcW w:w="1417" w:type="dxa"/>
          </w:tcPr>
          <w:p w14:paraId="55DEB09D" w14:textId="77777777" w:rsidR="00CE5300" w:rsidRPr="00917D02" w:rsidRDefault="00CE5300" w:rsidP="00D24933">
            <w:pPr>
              <w:pStyle w:val="TableText"/>
              <w:rPr>
                <w:rFonts w:cs="Segoe UI"/>
                <w:szCs w:val="18"/>
              </w:rPr>
            </w:pPr>
            <w:r w:rsidRPr="00917D02">
              <w:rPr>
                <w:rFonts w:cs="Segoe UI"/>
                <w:szCs w:val="18"/>
              </w:rPr>
              <w:t>$1.12</w:t>
            </w:r>
            <w:r w:rsidRPr="00917D02">
              <w:rPr>
                <w:rStyle w:val="FootnoteReference"/>
                <w:rFonts w:cs="Segoe UI"/>
                <w:szCs w:val="18"/>
              </w:rPr>
              <w:footnoteReference w:id="48"/>
            </w:r>
          </w:p>
        </w:tc>
        <w:tc>
          <w:tcPr>
            <w:tcW w:w="1134" w:type="dxa"/>
          </w:tcPr>
          <w:p w14:paraId="5B2A6507" w14:textId="77777777" w:rsidR="00CE5300" w:rsidRPr="00917D02" w:rsidRDefault="00CE5300" w:rsidP="00D24933">
            <w:pPr>
              <w:pStyle w:val="TableText"/>
              <w:rPr>
                <w:rFonts w:cs="Segoe UI"/>
                <w:szCs w:val="18"/>
              </w:rPr>
            </w:pPr>
            <w:r w:rsidRPr="00917D02">
              <w:rPr>
                <w:rFonts w:cs="Segoe UI"/>
                <w:szCs w:val="18"/>
              </w:rPr>
              <w:t>4</w:t>
            </w:r>
          </w:p>
        </w:tc>
        <w:tc>
          <w:tcPr>
            <w:tcW w:w="1276" w:type="dxa"/>
          </w:tcPr>
          <w:p w14:paraId="0472B043" w14:textId="77777777" w:rsidR="00CE5300" w:rsidRPr="00917D02" w:rsidRDefault="00CE5300" w:rsidP="00D24933">
            <w:pPr>
              <w:pStyle w:val="TableText"/>
              <w:rPr>
                <w:rFonts w:cs="Segoe UI"/>
                <w:szCs w:val="18"/>
              </w:rPr>
            </w:pPr>
            <w:r w:rsidRPr="00917D02">
              <w:rPr>
                <w:rFonts w:cs="Segoe UI"/>
                <w:szCs w:val="18"/>
              </w:rPr>
              <w:t>Public health</w:t>
            </w:r>
          </w:p>
        </w:tc>
      </w:tr>
      <w:tr w:rsidR="00CE5300" w:rsidRPr="00487FC0" w14:paraId="41B79D5D" w14:textId="77777777" w:rsidTr="00D24933">
        <w:trPr>
          <w:trHeight w:val="300"/>
        </w:trPr>
        <w:tc>
          <w:tcPr>
            <w:tcW w:w="1839" w:type="dxa"/>
          </w:tcPr>
          <w:p w14:paraId="4D001685" w14:textId="76E21BEE" w:rsidR="00CE5300" w:rsidRPr="00917D02" w:rsidRDefault="00CE5300" w:rsidP="00D24933">
            <w:pPr>
              <w:pStyle w:val="TableText"/>
              <w:rPr>
                <w:rFonts w:cs="Segoe UI"/>
              </w:rPr>
            </w:pPr>
            <w:r w:rsidRPr="0D368186">
              <w:rPr>
                <w:rFonts w:cs="Segoe UI"/>
              </w:rPr>
              <w:t>Service promotion (</w:t>
            </w:r>
            <w:r w:rsidR="36EA09FE" w:rsidRPr="0D368186">
              <w:rPr>
                <w:rFonts w:cs="Segoe UI"/>
              </w:rPr>
              <w:t>treatment</w:t>
            </w:r>
            <w:r w:rsidRPr="0D368186">
              <w:rPr>
                <w:rFonts w:cs="Segoe UI"/>
              </w:rPr>
              <w:t>) – NEW</w:t>
            </w:r>
          </w:p>
        </w:tc>
        <w:tc>
          <w:tcPr>
            <w:tcW w:w="2827" w:type="dxa"/>
          </w:tcPr>
          <w:p w14:paraId="176CC3D6" w14:textId="7E167E00" w:rsidR="00CE5300" w:rsidRPr="00917D02" w:rsidRDefault="00CE5300" w:rsidP="00D24933">
            <w:pPr>
              <w:pStyle w:val="TableText"/>
              <w:rPr>
                <w:rFonts w:eastAsia="Segoe UI" w:cs="Segoe UI"/>
              </w:rPr>
            </w:pPr>
            <w:r w:rsidRPr="52103CC6">
              <w:rPr>
                <w:rFonts w:eastAsia="Lucida Sans Unicode" w:cs="Segoe UI"/>
              </w:rPr>
              <w:t xml:space="preserve">Investment will help targeted service promotions raise awareness of </w:t>
            </w:r>
            <w:r w:rsidR="17224721" w:rsidRPr="52103CC6">
              <w:rPr>
                <w:rFonts w:eastAsia="Lucida Sans Unicode" w:cs="Segoe UI"/>
              </w:rPr>
              <w:t>treatment</w:t>
            </w:r>
            <w:r w:rsidRPr="52103CC6">
              <w:rPr>
                <w:rFonts w:eastAsia="Lucida Sans Unicode" w:cs="Segoe UI"/>
              </w:rPr>
              <w:t xml:space="preserve"> services and improve service access, earlier intervention and awareness. Funding will go directly to providers. </w:t>
            </w:r>
          </w:p>
        </w:tc>
        <w:tc>
          <w:tcPr>
            <w:tcW w:w="4406" w:type="dxa"/>
          </w:tcPr>
          <w:p w14:paraId="42A1A236" w14:textId="337E86E5" w:rsidR="00CE5300" w:rsidRPr="00917D02" w:rsidRDefault="00CE5300" w:rsidP="00D24933">
            <w:pPr>
              <w:pStyle w:val="TableText"/>
              <w:rPr>
                <w:rFonts w:eastAsia="Lucida Sans Unicode" w:cs="Segoe UI"/>
              </w:rPr>
            </w:pPr>
            <w:r w:rsidRPr="52103CC6">
              <w:rPr>
                <w:rFonts w:eastAsia="Lucida Sans Unicode" w:cs="Segoe UI"/>
              </w:rPr>
              <w:t xml:space="preserve">Lack of promotion of treatment services has been identified as a barrier to help seeking, particularly amongst those who could be helped at an earlier stage of experiencing harm. This proposal directly responds to stakeholder feedback and the needs assessment. </w:t>
            </w:r>
          </w:p>
        </w:tc>
        <w:tc>
          <w:tcPr>
            <w:tcW w:w="1560" w:type="dxa"/>
          </w:tcPr>
          <w:p w14:paraId="4DD8D7AB" w14:textId="4A1E1E8A" w:rsidR="00CE5300" w:rsidRPr="00917D02" w:rsidRDefault="002B1729" w:rsidP="00D24933">
            <w:pPr>
              <w:pStyle w:val="TableText"/>
              <w:rPr>
                <w:rFonts w:cs="Segoe UI"/>
                <w:szCs w:val="18"/>
              </w:rPr>
            </w:pPr>
            <w:r>
              <w:rPr>
                <w:rFonts w:cs="Segoe UI"/>
                <w:szCs w:val="18"/>
              </w:rPr>
              <w:t>1.245</w:t>
            </w:r>
          </w:p>
        </w:tc>
        <w:tc>
          <w:tcPr>
            <w:tcW w:w="1417" w:type="dxa"/>
          </w:tcPr>
          <w:p w14:paraId="12D6A419" w14:textId="77777777" w:rsidR="00CE5300" w:rsidRPr="00917D02" w:rsidRDefault="00CE5300" w:rsidP="00D24933">
            <w:pPr>
              <w:pStyle w:val="TableText"/>
              <w:rPr>
                <w:rFonts w:cs="Segoe UI"/>
                <w:szCs w:val="18"/>
              </w:rPr>
            </w:pPr>
            <w:r w:rsidRPr="00917D02">
              <w:rPr>
                <w:rFonts w:cs="Segoe UI"/>
                <w:szCs w:val="18"/>
              </w:rPr>
              <w:t>Nil</w:t>
            </w:r>
          </w:p>
        </w:tc>
        <w:tc>
          <w:tcPr>
            <w:tcW w:w="1134" w:type="dxa"/>
          </w:tcPr>
          <w:p w14:paraId="4F6218EA" w14:textId="77777777" w:rsidR="00CE5300" w:rsidRPr="00917D02" w:rsidRDefault="00CE5300" w:rsidP="00D24933">
            <w:pPr>
              <w:pStyle w:val="TableText"/>
              <w:rPr>
                <w:rFonts w:cs="Segoe UI"/>
                <w:szCs w:val="18"/>
              </w:rPr>
            </w:pPr>
            <w:r w:rsidRPr="00917D02">
              <w:rPr>
                <w:rFonts w:cs="Segoe UI"/>
                <w:szCs w:val="18"/>
              </w:rPr>
              <w:t>1</w:t>
            </w:r>
          </w:p>
        </w:tc>
        <w:tc>
          <w:tcPr>
            <w:tcW w:w="1276" w:type="dxa"/>
          </w:tcPr>
          <w:p w14:paraId="0162ADF1" w14:textId="1A2AAD72" w:rsidR="00CE5300" w:rsidRPr="00917D02" w:rsidRDefault="087BAA93" w:rsidP="00D24933">
            <w:pPr>
              <w:pStyle w:val="TableText"/>
              <w:rPr>
                <w:rFonts w:cs="Segoe UI"/>
              </w:rPr>
            </w:pPr>
            <w:r w:rsidRPr="5DC98259">
              <w:rPr>
                <w:rFonts w:cs="Segoe UI"/>
              </w:rPr>
              <w:t>Treatment</w:t>
            </w:r>
            <w:r w:rsidR="00CE5300" w:rsidRPr="5DC98259">
              <w:rPr>
                <w:rFonts w:cs="Segoe UI"/>
              </w:rPr>
              <w:t xml:space="preserve"> services</w:t>
            </w:r>
          </w:p>
        </w:tc>
      </w:tr>
      <w:tr w:rsidR="00CE5300" w:rsidRPr="00487FC0" w14:paraId="2984BEA1" w14:textId="77777777" w:rsidTr="00D24933">
        <w:trPr>
          <w:trHeight w:val="300"/>
        </w:trPr>
        <w:tc>
          <w:tcPr>
            <w:tcW w:w="1839" w:type="dxa"/>
          </w:tcPr>
          <w:p w14:paraId="3C1CD613" w14:textId="77777777" w:rsidR="00CE5300" w:rsidRPr="00917D02" w:rsidRDefault="00CE5300" w:rsidP="00D24933">
            <w:pPr>
              <w:pStyle w:val="TableText"/>
              <w:rPr>
                <w:rFonts w:cs="Segoe UI"/>
                <w:szCs w:val="18"/>
              </w:rPr>
            </w:pPr>
            <w:r w:rsidRPr="00917D02">
              <w:rPr>
                <w:rFonts w:cs="Segoe UI"/>
                <w:szCs w:val="18"/>
              </w:rPr>
              <w:t xml:space="preserve">Primary health care initiative </w:t>
            </w:r>
          </w:p>
        </w:tc>
        <w:tc>
          <w:tcPr>
            <w:tcW w:w="2827" w:type="dxa"/>
          </w:tcPr>
          <w:p w14:paraId="394D5B50" w14:textId="77777777" w:rsidR="00CE5300" w:rsidRPr="00917D02" w:rsidRDefault="00CE5300" w:rsidP="00D24933">
            <w:pPr>
              <w:pStyle w:val="TableText"/>
              <w:rPr>
                <w:rFonts w:eastAsia="Segoe UI" w:cs="Segoe UI"/>
              </w:rPr>
            </w:pPr>
            <w:r w:rsidRPr="52103CC6">
              <w:rPr>
                <w:rFonts w:eastAsia="Segoe UI" w:cs="Segoe UI"/>
              </w:rPr>
              <w:t xml:space="preserve">This funding is to continue an initiative to integrate screening, brief intervention and referral for gambling harm support within the primary health care setting. </w:t>
            </w:r>
          </w:p>
        </w:tc>
        <w:tc>
          <w:tcPr>
            <w:tcW w:w="4406" w:type="dxa"/>
          </w:tcPr>
          <w:p w14:paraId="67B4DFAE" w14:textId="77777777" w:rsidR="00CE5300" w:rsidRPr="00917D02" w:rsidRDefault="00CE5300" w:rsidP="00D24933">
            <w:pPr>
              <w:pStyle w:val="TableText"/>
              <w:rPr>
                <w:rFonts w:eastAsia="Lucida Sans Unicode" w:cs="Segoe UI"/>
              </w:rPr>
            </w:pPr>
            <w:r w:rsidRPr="52103CC6">
              <w:rPr>
                <w:rFonts w:eastAsia="Segoe UI" w:cs="Segoe UI"/>
              </w:rPr>
              <w:t>Primary health care is often the first point of contact for many people seeking help with their gambling issues, providing an opportunity for early intervention. While a significant proportion of primary health care physicians support the idea of inquiring about their patients’ gambling habits, lack of confidence and knowledge impedes effective intervention in cases of problem gambling.</w:t>
            </w:r>
            <w:r w:rsidRPr="52103CC6">
              <w:rPr>
                <w:rFonts w:eastAsia="Calibri" w:cs="Segoe UI"/>
              </w:rPr>
              <w:t xml:space="preserve"> </w:t>
            </w:r>
          </w:p>
        </w:tc>
        <w:tc>
          <w:tcPr>
            <w:tcW w:w="1560" w:type="dxa"/>
          </w:tcPr>
          <w:p w14:paraId="20F60B53" w14:textId="77777777" w:rsidR="00CE5300" w:rsidRPr="00917D02" w:rsidRDefault="00CE5300" w:rsidP="00D24933">
            <w:pPr>
              <w:pStyle w:val="TableText"/>
              <w:rPr>
                <w:rFonts w:cs="Segoe UI"/>
                <w:szCs w:val="18"/>
                <w:highlight w:val="yellow"/>
              </w:rPr>
            </w:pPr>
            <w:r w:rsidRPr="00917D02">
              <w:rPr>
                <w:rFonts w:cs="Segoe UI"/>
                <w:szCs w:val="18"/>
              </w:rPr>
              <w:t xml:space="preserve">1.470 </w:t>
            </w:r>
          </w:p>
        </w:tc>
        <w:tc>
          <w:tcPr>
            <w:tcW w:w="1417" w:type="dxa"/>
          </w:tcPr>
          <w:p w14:paraId="1A1D4553" w14:textId="77777777" w:rsidR="00CE5300" w:rsidRPr="00917D02" w:rsidRDefault="00CE5300" w:rsidP="00D24933">
            <w:pPr>
              <w:pStyle w:val="TableText"/>
              <w:rPr>
                <w:rFonts w:cs="Segoe UI"/>
                <w:szCs w:val="18"/>
              </w:rPr>
            </w:pPr>
            <w:r w:rsidRPr="00917D02">
              <w:rPr>
                <w:rFonts w:cs="Segoe UI"/>
                <w:szCs w:val="18"/>
              </w:rPr>
              <w:t>2.25</w:t>
            </w:r>
            <w:r w:rsidRPr="00917D02">
              <w:rPr>
                <w:rStyle w:val="FootnoteReference"/>
                <w:rFonts w:cs="Segoe UI"/>
                <w:szCs w:val="18"/>
              </w:rPr>
              <w:footnoteReference w:id="49"/>
            </w:r>
          </w:p>
        </w:tc>
        <w:tc>
          <w:tcPr>
            <w:tcW w:w="1134" w:type="dxa"/>
          </w:tcPr>
          <w:p w14:paraId="6FF93048" w14:textId="77777777" w:rsidR="00CE5300" w:rsidRPr="00917D02" w:rsidRDefault="00CE5300" w:rsidP="00D24933">
            <w:pPr>
              <w:pStyle w:val="TableText"/>
              <w:rPr>
                <w:rFonts w:cs="Segoe UI"/>
                <w:szCs w:val="18"/>
              </w:rPr>
            </w:pPr>
            <w:r w:rsidRPr="00917D02">
              <w:rPr>
                <w:rFonts w:cs="Segoe UI"/>
                <w:szCs w:val="18"/>
              </w:rPr>
              <w:t>1</w:t>
            </w:r>
          </w:p>
        </w:tc>
        <w:tc>
          <w:tcPr>
            <w:tcW w:w="1276" w:type="dxa"/>
          </w:tcPr>
          <w:p w14:paraId="45BE1DA9" w14:textId="6988AD2B" w:rsidR="00CE5300" w:rsidRPr="00917D02" w:rsidRDefault="21DC2288" w:rsidP="00D24933">
            <w:pPr>
              <w:pStyle w:val="TableText"/>
              <w:rPr>
                <w:rFonts w:cs="Segoe UI"/>
              </w:rPr>
            </w:pPr>
            <w:r w:rsidRPr="5DC98259">
              <w:rPr>
                <w:rFonts w:cs="Segoe UI"/>
              </w:rPr>
              <w:t>Treatment</w:t>
            </w:r>
            <w:r w:rsidR="00CE5300" w:rsidRPr="5DC98259">
              <w:rPr>
                <w:rFonts w:cs="Segoe UI"/>
              </w:rPr>
              <w:t xml:space="preserve"> services</w:t>
            </w:r>
          </w:p>
        </w:tc>
      </w:tr>
      <w:tr w:rsidR="00CE5300" w:rsidRPr="0043583F" w14:paraId="4BC48984" w14:textId="77777777" w:rsidTr="00D24933">
        <w:tc>
          <w:tcPr>
            <w:tcW w:w="1839" w:type="dxa"/>
          </w:tcPr>
          <w:p w14:paraId="6491DEFB" w14:textId="00DB1775" w:rsidR="00CE5300" w:rsidRPr="00917D02" w:rsidRDefault="006F151E" w:rsidP="00D24933">
            <w:pPr>
              <w:pStyle w:val="TableText"/>
              <w:rPr>
                <w:rFonts w:cs="Segoe UI"/>
                <w:szCs w:val="18"/>
              </w:rPr>
            </w:pPr>
            <w:r>
              <w:rPr>
                <w:rFonts w:cs="Segoe UI"/>
                <w:szCs w:val="18"/>
              </w:rPr>
              <w:lastRenderedPageBreak/>
              <w:t xml:space="preserve"> </w:t>
            </w:r>
            <w:r w:rsidR="00CE5300" w:rsidRPr="00917D02">
              <w:rPr>
                <w:rFonts w:cs="Segoe UI"/>
                <w:szCs w:val="18"/>
              </w:rPr>
              <w:t xml:space="preserve">Online gambling exclusion system – NEW </w:t>
            </w:r>
          </w:p>
        </w:tc>
        <w:tc>
          <w:tcPr>
            <w:tcW w:w="2827" w:type="dxa"/>
          </w:tcPr>
          <w:p w14:paraId="4B2441BD" w14:textId="77777777" w:rsidR="00CE5300" w:rsidRPr="00917D02" w:rsidRDefault="00CE5300" w:rsidP="00D24933">
            <w:pPr>
              <w:pStyle w:val="TableText"/>
              <w:rPr>
                <w:rFonts w:eastAsia="Lucida Sans Unicode" w:cs="Segoe UI"/>
                <w:szCs w:val="18"/>
              </w:rPr>
            </w:pPr>
            <w:r w:rsidRPr="00917D02">
              <w:rPr>
                <w:rFonts w:eastAsia="Lucida Sans Unicode" w:cs="Segoe UI"/>
                <w:szCs w:val="18"/>
              </w:rPr>
              <w:t>Exploring operational solutions or options to help users self-exclude from online sites.</w:t>
            </w:r>
          </w:p>
        </w:tc>
        <w:tc>
          <w:tcPr>
            <w:tcW w:w="4406" w:type="dxa"/>
          </w:tcPr>
          <w:p w14:paraId="48FAC17B" w14:textId="4152139E" w:rsidR="00CE5300" w:rsidRPr="00917D02" w:rsidRDefault="00CE5300" w:rsidP="00D24933">
            <w:pPr>
              <w:pStyle w:val="TableText"/>
              <w:rPr>
                <w:rFonts w:eastAsia="Segoe UI" w:cs="Segoe UI"/>
                <w:lang w:val="en-US"/>
              </w:rPr>
            </w:pPr>
            <w:r w:rsidRPr="4FCE2A83">
              <w:rPr>
                <w:rFonts w:eastAsia="Segoe UI" w:cs="Segoe UI"/>
              </w:rPr>
              <w:t>The government recently agreed</w:t>
            </w:r>
            <w:r w:rsidRPr="4FCE2A83">
              <w:rPr>
                <w:rFonts w:eastAsia="Lucida Sans Unicode" w:cs="Segoe UI"/>
              </w:rPr>
              <w:t xml:space="preserve"> to regulate online casino gambling </w:t>
            </w:r>
            <w:r w:rsidRPr="4FCE2A83">
              <w:rPr>
                <w:rFonts w:eastAsia="Segoe UI" w:cs="Segoe UI"/>
              </w:rPr>
              <w:t>through</w:t>
            </w:r>
            <w:r w:rsidRPr="4FCE2A83">
              <w:rPr>
                <w:rFonts w:eastAsia="Lucida Sans Unicode" w:cs="Segoe UI"/>
              </w:rPr>
              <w:t xml:space="preserve"> a </w:t>
            </w:r>
            <w:r w:rsidRPr="4FCE2A83">
              <w:rPr>
                <w:rFonts w:eastAsia="Segoe UI" w:cs="Segoe UI"/>
              </w:rPr>
              <w:t>licensing</w:t>
            </w:r>
            <w:r w:rsidRPr="4FCE2A83">
              <w:rPr>
                <w:rFonts w:eastAsia="Lucida Sans Unicode" w:cs="Segoe UI"/>
              </w:rPr>
              <w:t xml:space="preserve"> system</w:t>
            </w:r>
            <w:r w:rsidRPr="4FCE2A83">
              <w:rPr>
                <w:rFonts w:eastAsia="Segoe UI" w:cs="Segoe UI"/>
              </w:rPr>
              <w:t>, which will be designed to minimise harm,</w:t>
            </w:r>
            <w:r w:rsidRPr="4FCE2A83">
              <w:rPr>
                <w:rFonts w:eastAsia="Lucida Sans Unicode" w:cs="Segoe UI"/>
              </w:rPr>
              <w:t xml:space="preserve"> support tax collection, and provide consumer protections </w:t>
            </w:r>
            <w:r w:rsidRPr="4FCE2A83">
              <w:rPr>
                <w:rFonts w:eastAsia="Segoe UI" w:cs="Segoe UI"/>
              </w:rPr>
              <w:t>to</w:t>
            </w:r>
            <w:r w:rsidRPr="4FCE2A83">
              <w:rPr>
                <w:rFonts w:eastAsia="Lucida Sans Unicode" w:cs="Segoe UI"/>
              </w:rPr>
              <w:t xml:space="preserve"> New Zealanders. This </w:t>
            </w:r>
            <w:r w:rsidRPr="4FCE2A83">
              <w:rPr>
                <w:rFonts w:eastAsia="Segoe UI" w:cs="Segoe UI"/>
              </w:rPr>
              <w:t xml:space="preserve">regime is expected to come into effect in this </w:t>
            </w:r>
            <w:r w:rsidR="4AE7E8BF" w:rsidRPr="4FCE2A83">
              <w:rPr>
                <w:rFonts w:eastAsia="Segoe UI" w:cs="Segoe UI"/>
              </w:rPr>
              <w:t>S</w:t>
            </w:r>
            <w:r w:rsidRPr="4FCE2A83">
              <w:rPr>
                <w:rFonts w:eastAsia="Segoe UI" w:cs="Segoe UI"/>
              </w:rPr>
              <w:t>trategy period</w:t>
            </w:r>
            <w:r w:rsidRPr="4FCE2A83">
              <w:rPr>
                <w:rFonts w:eastAsia="Lucida Sans Unicode" w:cs="Segoe UI"/>
              </w:rPr>
              <w:t>.</w:t>
            </w:r>
          </w:p>
        </w:tc>
        <w:tc>
          <w:tcPr>
            <w:tcW w:w="1560" w:type="dxa"/>
          </w:tcPr>
          <w:p w14:paraId="56DD7302" w14:textId="38FFC15A" w:rsidR="00CE5300" w:rsidRPr="00917D02" w:rsidRDefault="00CE5300" w:rsidP="00D24933">
            <w:pPr>
              <w:pStyle w:val="TableText"/>
              <w:rPr>
                <w:rFonts w:cs="Segoe UI"/>
              </w:rPr>
            </w:pPr>
            <w:r w:rsidRPr="62CBA64A">
              <w:rPr>
                <w:rFonts w:cs="Segoe UI"/>
              </w:rPr>
              <w:t>0.</w:t>
            </w:r>
            <w:r w:rsidR="1CEA79D7" w:rsidRPr="62CBA64A">
              <w:rPr>
                <w:rFonts w:cs="Segoe UI"/>
              </w:rPr>
              <w:t>500</w:t>
            </w:r>
          </w:p>
        </w:tc>
        <w:tc>
          <w:tcPr>
            <w:tcW w:w="1417" w:type="dxa"/>
          </w:tcPr>
          <w:p w14:paraId="08920014" w14:textId="77777777" w:rsidR="00CE5300" w:rsidRPr="00917D02" w:rsidRDefault="00CE5300" w:rsidP="00D24933">
            <w:pPr>
              <w:pStyle w:val="TableText"/>
              <w:rPr>
                <w:rFonts w:cs="Segoe UI"/>
                <w:szCs w:val="18"/>
              </w:rPr>
            </w:pPr>
            <w:r w:rsidRPr="00917D02">
              <w:rPr>
                <w:rFonts w:cs="Segoe UI"/>
                <w:szCs w:val="18"/>
              </w:rPr>
              <w:t xml:space="preserve">Nil </w:t>
            </w:r>
          </w:p>
        </w:tc>
        <w:tc>
          <w:tcPr>
            <w:tcW w:w="1134" w:type="dxa"/>
          </w:tcPr>
          <w:p w14:paraId="6419A567" w14:textId="77777777" w:rsidR="00CE5300" w:rsidRPr="00917D02" w:rsidRDefault="00CE5300" w:rsidP="00D24933">
            <w:pPr>
              <w:pStyle w:val="TableText"/>
              <w:rPr>
                <w:rFonts w:cs="Segoe UI"/>
                <w:szCs w:val="18"/>
              </w:rPr>
            </w:pPr>
            <w:r w:rsidRPr="00917D02">
              <w:rPr>
                <w:rFonts w:cs="Segoe UI"/>
                <w:szCs w:val="18"/>
              </w:rPr>
              <w:t>2</w:t>
            </w:r>
          </w:p>
        </w:tc>
        <w:tc>
          <w:tcPr>
            <w:tcW w:w="1276" w:type="dxa"/>
          </w:tcPr>
          <w:p w14:paraId="46EB4BB7" w14:textId="77777777" w:rsidR="00CE5300" w:rsidRPr="00917D02" w:rsidRDefault="00CE5300" w:rsidP="00D24933">
            <w:pPr>
              <w:pStyle w:val="TableText"/>
              <w:rPr>
                <w:rFonts w:cs="Segoe UI"/>
                <w:szCs w:val="18"/>
              </w:rPr>
            </w:pPr>
            <w:r w:rsidRPr="00917D02">
              <w:rPr>
                <w:rFonts w:cs="Segoe UI"/>
                <w:szCs w:val="18"/>
              </w:rPr>
              <w:t>Public health</w:t>
            </w:r>
          </w:p>
        </w:tc>
      </w:tr>
      <w:tr w:rsidR="008A08AB" w:rsidRPr="0043583F" w14:paraId="1BFFD6B8" w14:textId="77777777" w:rsidTr="00D24933">
        <w:tc>
          <w:tcPr>
            <w:tcW w:w="1839" w:type="dxa"/>
          </w:tcPr>
          <w:p w14:paraId="452C1B0E" w14:textId="54F74617" w:rsidR="002B1729" w:rsidRPr="00917D02" w:rsidRDefault="002B1729" w:rsidP="00D24933">
            <w:pPr>
              <w:pStyle w:val="TableText"/>
              <w:rPr>
                <w:rFonts w:cs="Segoe UI"/>
                <w:szCs w:val="18"/>
              </w:rPr>
            </w:pPr>
            <w:r w:rsidRPr="00917D02">
              <w:rPr>
                <w:rFonts w:cs="Segoe UI"/>
                <w:szCs w:val="18"/>
              </w:rPr>
              <w:t>Multi-venue exclusion</w:t>
            </w:r>
          </w:p>
        </w:tc>
        <w:tc>
          <w:tcPr>
            <w:tcW w:w="2827" w:type="dxa"/>
          </w:tcPr>
          <w:p w14:paraId="4816C43E" w14:textId="15BD52E0" w:rsidR="002B1729" w:rsidRPr="00917D02" w:rsidRDefault="002B1729" w:rsidP="00D24933">
            <w:pPr>
              <w:pStyle w:val="TableText"/>
              <w:rPr>
                <w:rFonts w:eastAsia="Lucida Sans Unicode" w:cs="Segoe UI"/>
                <w:szCs w:val="18"/>
              </w:rPr>
            </w:pPr>
            <w:r w:rsidRPr="00917D02">
              <w:rPr>
                <w:rFonts w:eastAsia="Lucida Sans Unicode" w:cs="Segoe UI"/>
                <w:szCs w:val="18"/>
              </w:rPr>
              <w:t xml:space="preserve">Multi-venue exclusion (MVE) has been used as an intervention tool in New Zealand since 2011 to enable gamblers to self-exclude from multiple venues without having to visit each individual site to do so. Local/regional MVE coordinators perform key tasks in the venue exclusion process. Historically, local/regional MVE coordinators employed by service provider organisations delivered the required work as part of their day-to-day role, and the required functions/tasks were not explicitly specified in contracts. Following a procurement process in 2024, these functions are now specified and funded as a distinct service. </w:t>
            </w:r>
          </w:p>
        </w:tc>
        <w:tc>
          <w:tcPr>
            <w:tcW w:w="4406" w:type="dxa"/>
          </w:tcPr>
          <w:p w14:paraId="2C73554B" w14:textId="0D4717C9" w:rsidR="002B1729" w:rsidRPr="52103CC6" w:rsidRDefault="002B1729" w:rsidP="00D24933">
            <w:pPr>
              <w:pStyle w:val="TableText"/>
              <w:rPr>
                <w:rFonts w:eastAsia="Lucida Sans Unicode" w:cs="Segoe UI"/>
              </w:rPr>
            </w:pPr>
            <w:r w:rsidRPr="00917D02">
              <w:rPr>
                <w:rFonts w:eastAsia="Lucida Sans Unicode" w:cs="Segoe UI"/>
                <w:szCs w:val="18"/>
              </w:rPr>
              <w:t>National MVE administrative service.</w:t>
            </w:r>
          </w:p>
        </w:tc>
        <w:tc>
          <w:tcPr>
            <w:tcW w:w="1560" w:type="dxa"/>
          </w:tcPr>
          <w:p w14:paraId="5F9BDEC2" w14:textId="7B68306A" w:rsidR="002B1729" w:rsidRPr="00917D02" w:rsidRDefault="002B1729" w:rsidP="00D24933">
            <w:pPr>
              <w:pStyle w:val="TableText"/>
              <w:rPr>
                <w:rFonts w:cs="Segoe UI"/>
                <w:szCs w:val="18"/>
              </w:rPr>
            </w:pPr>
            <w:r w:rsidRPr="00917D02">
              <w:rPr>
                <w:rFonts w:cs="Segoe UI"/>
                <w:szCs w:val="18"/>
              </w:rPr>
              <w:t>0.468</w:t>
            </w:r>
          </w:p>
        </w:tc>
        <w:tc>
          <w:tcPr>
            <w:tcW w:w="1417" w:type="dxa"/>
          </w:tcPr>
          <w:p w14:paraId="79BDA15F" w14:textId="687C6794" w:rsidR="002B1729" w:rsidRDefault="002B1729" w:rsidP="00D24933">
            <w:pPr>
              <w:pStyle w:val="TableText"/>
              <w:rPr>
                <w:rFonts w:cs="Segoe UI"/>
                <w:szCs w:val="18"/>
              </w:rPr>
            </w:pPr>
            <w:r w:rsidRPr="00917D02">
              <w:rPr>
                <w:rFonts w:cs="Segoe UI"/>
                <w:szCs w:val="18"/>
              </w:rPr>
              <w:t>0.800</w:t>
            </w:r>
          </w:p>
        </w:tc>
        <w:tc>
          <w:tcPr>
            <w:tcW w:w="1134" w:type="dxa"/>
          </w:tcPr>
          <w:p w14:paraId="7AE4C51A" w14:textId="079E83D8" w:rsidR="002B1729" w:rsidRPr="00917D02" w:rsidRDefault="002B1729" w:rsidP="00D24933">
            <w:pPr>
              <w:pStyle w:val="TableText"/>
              <w:rPr>
                <w:rFonts w:cs="Segoe UI"/>
                <w:szCs w:val="18"/>
              </w:rPr>
            </w:pPr>
            <w:r w:rsidRPr="00917D02">
              <w:rPr>
                <w:rFonts w:cs="Segoe UI"/>
                <w:szCs w:val="18"/>
              </w:rPr>
              <w:t>2</w:t>
            </w:r>
          </w:p>
        </w:tc>
        <w:tc>
          <w:tcPr>
            <w:tcW w:w="1276" w:type="dxa"/>
          </w:tcPr>
          <w:p w14:paraId="356A5F92" w14:textId="6734983C" w:rsidR="002B1729" w:rsidRPr="00917D02" w:rsidRDefault="002B1729" w:rsidP="00D24933">
            <w:pPr>
              <w:pStyle w:val="TableText"/>
              <w:rPr>
                <w:rFonts w:cs="Segoe UI"/>
                <w:szCs w:val="18"/>
              </w:rPr>
            </w:pPr>
            <w:r w:rsidRPr="00917D02">
              <w:rPr>
                <w:rFonts w:cs="Segoe UI"/>
                <w:szCs w:val="18"/>
              </w:rPr>
              <w:t>Public health</w:t>
            </w:r>
          </w:p>
        </w:tc>
      </w:tr>
      <w:tr w:rsidR="00AA6315" w:rsidRPr="0043583F" w14:paraId="29801DDE" w14:textId="77777777" w:rsidTr="00D24933">
        <w:tc>
          <w:tcPr>
            <w:tcW w:w="1839" w:type="dxa"/>
          </w:tcPr>
          <w:p w14:paraId="462CDDD8" w14:textId="77777777" w:rsidR="00456F28" w:rsidRPr="00917D02" w:rsidRDefault="00456F28" w:rsidP="00D24933">
            <w:pPr>
              <w:pStyle w:val="TableText"/>
              <w:keepNext/>
              <w:rPr>
                <w:rFonts w:cs="Segoe UI"/>
                <w:szCs w:val="18"/>
              </w:rPr>
            </w:pPr>
          </w:p>
        </w:tc>
        <w:tc>
          <w:tcPr>
            <w:tcW w:w="2827" w:type="dxa"/>
          </w:tcPr>
          <w:p w14:paraId="4247837B" w14:textId="7F18D9B7" w:rsidR="00456F28" w:rsidRPr="00917D02" w:rsidRDefault="00456F28" w:rsidP="00D24933">
            <w:pPr>
              <w:pStyle w:val="TableText"/>
              <w:keepNext/>
              <w:rPr>
                <w:rFonts w:eastAsia="Lucida Sans Unicode" w:cs="Segoe UI"/>
                <w:szCs w:val="18"/>
              </w:rPr>
            </w:pPr>
            <w:r w:rsidRPr="00456F28">
              <w:rPr>
                <w:rFonts w:eastAsia="Lucida Sans Unicode" w:cs="Segoe UI"/>
                <w:szCs w:val="18"/>
              </w:rPr>
              <w:t>The national venue exclusion database (CONCERN database) serves as a central repository for all venue exclusion information. In future, CONCERN may be used to support the use of facial recognition technology to better support venue exclusions.</w:t>
            </w:r>
            <w:r w:rsidRPr="00456F28">
              <w:rPr>
                <w:rFonts w:eastAsia="Lucida Sans Unicode" w:cs="Segoe UI"/>
                <w:szCs w:val="18"/>
              </w:rPr>
              <w:tab/>
            </w:r>
          </w:p>
        </w:tc>
        <w:tc>
          <w:tcPr>
            <w:tcW w:w="4406" w:type="dxa"/>
          </w:tcPr>
          <w:p w14:paraId="4C8BE19F" w14:textId="2B6DE88E" w:rsidR="00456F28" w:rsidRPr="00917D02" w:rsidRDefault="00456F28" w:rsidP="00D24933">
            <w:pPr>
              <w:pStyle w:val="TableText"/>
              <w:keepNext/>
              <w:rPr>
                <w:rFonts w:eastAsia="Lucida Sans Unicode" w:cs="Segoe UI"/>
                <w:szCs w:val="18"/>
              </w:rPr>
            </w:pPr>
            <w:r w:rsidRPr="00456F28">
              <w:rPr>
                <w:rFonts w:eastAsia="Lucida Sans Unicode" w:cs="Segoe UI"/>
                <w:szCs w:val="18"/>
              </w:rPr>
              <w:t>Additional funding is proposed to support the evolution of CONCERN, including enabling facial recognition technology plus further customisation, security testing, moving data to a server located in New Zealand and creation of an end-user licence agreement.</w:t>
            </w:r>
            <w:r w:rsidRPr="00456F28">
              <w:rPr>
                <w:rFonts w:eastAsia="Lucida Sans Unicode" w:cs="Segoe UI"/>
                <w:szCs w:val="18"/>
              </w:rPr>
              <w:tab/>
            </w:r>
          </w:p>
        </w:tc>
        <w:tc>
          <w:tcPr>
            <w:tcW w:w="1560" w:type="dxa"/>
          </w:tcPr>
          <w:p w14:paraId="2D5B65BB" w14:textId="3E360384" w:rsidR="00456F28" w:rsidRPr="00917D02" w:rsidRDefault="00456F28" w:rsidP="00D24933">
            <w:pPr>
              <w:pStyle w:val="TableText"/>
              <w:keepNext/>
              <w:rPr>
                <w:rFonts w:cs="Segoe UI"/>
                <w:szCs w:val="18"/>
              </w:rPr>
            </w:pPr>
            <w:r>
              <w:rPr>
                <w:rFonts w:cs="Segoe UI"/>
                <w:szCs w:val="18"/>
              </w:rPr>
              <w:t>0.995</w:t>
            </w:r>
          </w:p>
        </w:tc>
        <w:tc>
          <w:tcPr>
            <w:tcW w:w="1417" w:type="dxa"/>
          </w:tcPr>
          <w:p w14:paraId="265A9006" w14:textId="77777777" w:rsidR="00456F28" w:rsidRPr="00917D02" w:rsidRDefault="00456F28" w:rsidP="00D24933">
            <w:pPr>
              <w:pStyle w:val="TableText"/>
              <w:keepNext/>
              <w:rPr>
                <w:rFonts w:cs="Segoe UI"/>
                <w:szCs w:val="18"/>
              </w:rPr>
            </w:pPr>
          </w:p>
        </w:tc>
        <w:tc>
          <w:tcPr>
            <w:tcW w:w="1134" w:type="dxa"/>
          </w:tcPr>
          <w:p w14:paraId="7B540EE4" w14:textId="274EFDA1" w:rsidR="00456F28" w:rsidRPr="00917D02" w:rsidRDefault="006F151E" w:rsidP="00D24933">
            <w:pPr>
              <w:pStyle w:val="TableText"/>
              <w:keepNext/>
              <w:rPr>
                <w:rFonts w:cs="Segoe UI"/>
                <w:szCs w:val="18"/>
              </w:rPr>
            </w:pPr>
            <w:r>
              <w:rPr>
                <w:rFonts w:cs="Segoe UI"/>
                <w:szCs w:val="18"/>
              </w:rPr>
              <w:t>2</w:t>
            </w:r>
          </w:p>
        </w:tc>
        <w:tc>
          <w:tcPr>
            <w:tcW w:w="1276" w:type="dxa"/>
          </w:tcPr>
          <w:p w14:paraId="62CC436D" w14:textId="1AB81934" w:rsidR="00456F28" w:rsidRPr="00917D02" w:rsidRDefault="006F151E" w:rsidP="00D24933">
            <w:pPr>
              <w:pStyle w:val="TableText"/>
              <w:keepNext/>
              <w:rPr>
                <w:rFonts w:cs="Segoe UI"/>
                <w:szCs w:val="18"/>
              </w:rPr>
            </w:pPr>
            <w:r w:rsidRPr="00917D02">
              <w:rPr>
                <w:rFonts w:cs="Segoe UI"/>
                <w:szCs w:val="18"/>
              </w:rPr>
              <w:t>Public health</w:t>
            </w:r>
          </w:p>
        </w:tc>
      </w:tr>
      <w:tr w:rsidR="00AA6315" w:rsidRPr="00BA0682" w14:paraId="187B7C07" w14:textId="77777777" w:rsidTr="00D24933">
        <w:tc>
          <w:tcPr>
            <w:tcW w:w="1839" w:type="dxa"/>
          </w:tcPr>
          <w:p w14:paraId="1B569666" w14:textId="5DB1953C" w:rsidR="00BA0682" w:rsidRPr="004A3F51" w:rsidRDefault="00D24933" w:rsidP="00D24933">
            <w:pPr>
              <w:pStyle w:val="TableText"/>
              <w:rPr>
                <w:rFonts w:cs="Segoe UI"/>
                <w:b/>
                <w:szCs w:val="18"/>
              </w:rPr>
            </w:pPr>
            <w:r w:rsidRPr="00D24933">
              <w:rPr>
                <w:rFonts w:eastAsia="Lucida Sans Unicode"/>
                <w:b/>
                <w:bCs/>
                <w:szCs w:val="18"/>
              </w:rPr>
              <w:t>Total</w:t>
            </w:r>
          </w:p>
        </w:tc>
        <w:tc>
          <w:tcPr>
            <w:tcW w:w="2827" w:type="dxa"/>
          </w:tcPr>
          <w:p w14:paraId="63D4756F" w14:textId="77777777" w:rsidR="00BA0682" w:rsidRPr="004A3F51" w:rsidRDefault="00BA0682" w:rsidP="00D24933">
            <w:pPr>
              <w:pStyle w:val="TableText"/>
              <w:rPr>
                <w:rFonts w:eastAsia="Lucida Sans Unicode" w:cs="Segoe UI"/>
                <w:b/>
                <w:szCs w:val="18"/>
              </w:rPr>
            </w:pPr>
          </w:p>
        </w:tc>
        <w:tc>
          <w:tcPr>
            <w:tcW w:w="4406" w:type="dxa"/>
          </w:tcPr>
          <w:p w14:paraId="68AA0DDF" w14:textId="77777777" w:rsidR="00BA0682" w:rsidRPr="004A3F51" w:rsidRDefault="00BA0682" w:rsidP="00D24933">
            <w:pPr>
              <w:pStyle w:val="TableText"/>
              <w:rPr>
                <w:rFonts w:eastAsia="Lucida Sans Unicode" w:cs="Segoe UI"/>
                <w:b/>
                <w:szCs w:val="18"/>
              </w:rPr>
            </w:pPr>
          </w:p>
        </w:tc>
        <w:tc>
          <w:tcPr>
            <w:tcW w:w="1560" w:type="dxa"/>
          </w:tcPr>
          <w:p w14:paraId="5EE30917" w14:textId="1E98165A" w:rsidR="00BA0682" w:rsidRPr="00D24933" w:rsidRDefault="00BA0682" w:rsidP="00D24933">
            <w:pPr>
              <w:pStyle w:val="TableText"/>
              <w:rPr>
                <w:rFonts w:eastAsia="Lucida Sans Unicode"/>
                <w:b/>
                <w:bCs/>
                <w:szCs w:val="18"/>
              </w:rPr>
            </w:pPr>
            <w:r w:rsidRPr="00D24933">
              <w:rPr>
                <w:rFonts w:eastAsia="Lucida Sans Unicode"/>
                <w:b/>
                <w:bCs/>
                <w:szCs w:val="18"/>
              </w:rPr>
              <w:t>28.621</w:t>
            </w:r>
          </w:p>
        </w:tc>
        <w:tc>
          <w:tcPr>
            <w:tcW w:w="1417" w:type="dxa"/>
          </w:tcPr>
          <w:p w14:paraId="46E09278" w14:textId="77777777" w:rsidR="00BA0682" w:rsidRPr="00D24933" w:rsidRDefault="00BA0682" w:rsidP="00D24933">
            <w:pPr>
              <w:pStyle w:val="TableText"/>
              <w:rPr>
                <w:rFonts w:eastAsia="Lucida Sans Unicode"/>
                <w:b/>
                <w:bCs/>
                <w:szCs w:val="18"/>
              </w:rPr>
            </w:pPr>
          </w:p>
        </w:tc>
        <w:tc>
          <w:tcPr>
            <w:tcW w:w="1134" w:type="dxa"/>
          </w:tcPr>
          <w:p w14:paraId="305FDAA3" w14:textId="77777777" w:rsidR="00BA0682" w:rsidRPr="00D24933" w:rsidRDefault="00BA0682" w:rsidP="00D24933">
            <w:pPr>
              <w:pStyle w:val="TableText"/>
              <w:rPr>
                <w:rFonts w:eastAsia="Lucida Sans Unicode"/>
                <w:b/>
                <w:bCs/>
                <w:szCs w:val="18"/>
              </w:rPr>
            </w:pPr>
          </w:p>
        </w:tc>
        <w:tc>
          <w:tcPr>
            <w:tcW w:w="1276" w:type="dxa"/>
          </w:tcPr>
          <w:p w14:paraId="68537F45" w14:textId="77777777" w:rsidR="00BA0682" w:rsidRPr="00D24933" w:rsidRDefault="00BA0682" w:rsidP="00D24933">
            <w:pPr>
              <w:pStyle w:val="TableText"/>
              <w:rPr>
                <w:rFonts w:eastAsia="Lucida Sans Unicode"/>
                <w:b/>
                <w:bCs/>
                <w:szCs w:val="18"/>
              </w:rPr>
            </w:pPr>
          </w:p>
        </w:tc>
      </w:tr>
    </w:tbl>
    <w:p w14:paraId="6EF01C1A" w14:textId="31EE090C" w:rsidR="00CE5300" w:rsidRPr="004A3F51" w:rsidRDefault="00CE5300" w:rsidP="00CE5300">
      <w:pPr>
        <w:pStyle w:val="Note"/>
        <w:rPr>
          <w:rFonts w:eastAsia="Lucida Sans Unicode"/>
          <w:b/>
        </w:rPr>
      </w:pPr>
      <w:r w:rsidRPr="00AA3038">
        <w:rPr>
          <w:rFonts w:eastAsia="Lucida Sans Unicode"/>
        </w:rPr>
        <w:t>Note: Budget sums may not total due to rounding</w:t>
      </w:r>
      <w:r w:rsidRPr="004A3F51">
        <w:rPr>
          <w:rFonts w:eastAsia="Lucida Sans Unicode"/>
          <w:b/>
        </w:rPr>
        <w:t>.</w:t>
      </w:r>
    </w:p>
    <w:p w14:paraId="0C730C1B" w14:textId="77777777" w:rsidR="00CE5300" w:rsidRPr="00510D86" w:rsidRDefault="00CE5300" w:rsidP="00CE5300">
      <w:pPr>
        <w:pStyle w:val="Heading3"/>
      </w:pPr>
      <w:r>
        <w:t>Priority Four: Improve the effectiveness of gambling harm support</w:t>
      </w:r>
    </w:p>
    <w:tbl>
      <w:tblPr>
        <w:tblStyle w:val="TableGrid"/>
        <w:tblW w:w="1445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68"/>
        <w:gridCol w:w="2830"/>
        <w:gridCol w:w="3974"/>
        <w:gridCol w:w="1560"/>
        <w:gridCol w:w="1417"/>
        <w:gridCol w:w="1276"/>
        <w:gridCol w:w="1134"/>
      </w:tblGrid>
      <w:tr w:rsidR="006F151E" w:rsidRPr="00AA3038" w14:paraId="56382DB5" w14:textId="77777777" w:rsidTr="00D24933">
        <w:trPr>
          <w:tblHeader/>
        </w:trPr>
        <w:tc>
          <w:tcPr>
            <w:tcW w:w="2268" w:type="dxa"/>
            <w:tcBorders>
              <w:top w:val="nil"/>
              <w:bottom w:val="nil"/>
              <w:right w:val="nil"/>
            </w:tcBorders>
            <w:shd w:val="clear" w:color="auto" w:fill="D9D9D9" w:themeFill="background1" w:themeFillShade="D9"/>
          </w:tcPr>
          <w:p w14:paraId="34A4289F" w14:textId="77777777" w:rsidR="00CE5300" w:rsidRPr="00917D02" w:rsidRDefault="00CE5300" w:rsidP="00D24933">
            <w:pPr>
              <w:pStyle w:val="TableText"/>
              <w:rPr>
                <w:rFonts w:cs="Segoe UI"/>
                <w:b/>
                <w:bCs/>
                <w:szCs w:val="18"/>
              </w:rPr>
            </w:pPr>
            <w:r w:rsidRPr="00917D02">
              <w:rPr>
                <w:rFonts w:cs="Segoe UI"/>
                <w:b/>
                <w:bCs/>
                <w:szCs w:val="18"/>
              </w:rPr>
              <w:t>Proposal</w:t>
            </w:r>
          </w:p>
        </w:tc>
        <w:tc>
          <w:tcPr>
            <w:tcW w:w="2830" w:type="dxa"/>
            <w:tcBorders>
              <w:top w:val="nil"/>
              <w:left w:val="nil"/>
              <w:bottom w:val="nil"/>
              <w:right w:val="nil"/>
            </w:tcBorders>
            <w:shd w:val="clear" w:color="auto" w:fill="D9D9D9" w:themeFill="background1" w:themeFillShade="D9"/>
          </w:tcPr>
          <w:p w14:paraId="18B73A2D" w14:textId="77777777" w:rsidR="00CE5300" w:rsidRPr="00917D02" w:rsidRDefault="00CE5300" w:rsidP="00D24933">
            <w:pPr>
              <w:pStyle w:val="TableText"/>
              <w:rPr>
                <w:rFonts w:cs="Segoe UI"/>
                <w:b/>
                <w:bCs/>
                <w:szCs w:val="18"/>
              </w:rPr>
            </w:pPr>
            <w:r w:rsidRPr="00917D02">
              <w:rPr>
                <w:rFonts w:cs="Segoe UI"/>
                <w:b/>
                <w:bCs/>
                <w:szCs w:val="18"/>
              </w:rPr>
              <w:t>Description</w:t>
            </w:r>
          </w:p>
        </w:tc>
        <w:tc>
          <w:tcPr>
            <w:tcW w:w="3974" w:type="dxa"/>
            <w:tcBorders>
              <w:top w:val="nil"/>
              <w:left w:val="nil"/>
              <w:bottom w:val="nil"/>
              <w:right w:val="nil"/>
            </w:tcBorders>
            <w:shd w:val="clear" w:color="auto" w:fill="D9D9D9" w:themeFill="background1" w:themeFillShade="D9"/>
          </w:tcPr>
          <w:p w14:paraId="483F7EBA" w14:textId="77777777" w:rsidR="00CE5300" w:rsidRPr="00917D02" w:rsidRDefault="00CE5300" w:rsidP="00D24933">
            <w:pPr>
              <w:pStyle w:val="TableText"/>
              <w:rPr>
                <w:rFonts w:cs="Segoe UI"/>
                <w:b/>
                <w:bCs/>
                <w:szCs w:val="18"/>
              </w:rPr>
            </w:pPr>
            <w:r w:rsidRPr="00917D02">
              <w:rPr>
                <w:rFonts w:cs="Segoe UI"/>
                <w:b/>
                <w:bCs/>
                <w:szCs w:val="18"/>
              </w:rPr>
              <w:t>Rationale</w:t>
            </w:r>
          </w:p>
        </w:tc>
        <w:tc>
          <w:tcPr>
            <w:tcW w:w="1560" w:type="dxa"/>
            <w:tcBorders>
              <w:top w:val="nil"/>
              <w:left w:val="nil"/>
              <w:bottom w:val="nil"/>
              <w:right w:val="nil"/>
            </w:tcBorders>
            <w:shd w:val="clear" w:color="auto" w:fill="D9D9D9" w:themeFill="background1" w:themeFillShade="D9"/>
          </w:tcPr>
          <w:p w14:paraId="46ED901E" w14:textId="77777777" w:rsidR="00CE5300" w:rsidRPr="00917D02" w:rsidRDefault="00CE5300" w:rsidP="00D24933">
            <w:pPr>
              <w:pStyle w:val="TableText"/>
              <w:rPr>
                <w:rFonts w:cs="Segoe UI"/>
                <w:b/>
                <w:bCs/>
              </w:rPr>
            </w:pPr>
            <w:r w:rsidRPr="52103CC6">
              <w:rPr>
                <w:rFonts w:cs="Segoe UI"/>
                <w:b/>
                <w:bCs/>
              </w:rPr>
              <w:t>NZ$m proposed for 25/6–27/8</w:t>
            </w:r>
          </w:p>
        </w:tc>
        <w:tc>
          <w:tcPr>
            <w:tcW w:w="1417" w:type="dxa"/>
            <w:tcBorders>
              <w:top w:val="nil"/>
              <w:left w:val="nil"/>
              <w:bottom w:val="nil"/>
              <w:right w:val="nil"/>
            </w:tcBorders>
            <w:shd w:val="clear" w:color="auto" w:fill="D9D9D9" w:themeFill="background1" w:themeFillShade="D9"/>
          </w:tcPr>
          <w:p w14:paraId="22BEB3FB" w14:textId="77777777" w:rsidR="00CE5300" w:rsidRPr="00917D02" w:rsidRDefault="00CE5300" w:rsidP="00D24933">
            <w:pPr>
              <w:pStyle w:val="TableText"/>
              <w:rPr>
                <w:rFonts w:cs="Segoe UI"/>
                <w:b/>
                <w:bCs/>
              </w:rPr>
            </w:pPr>
            <w:r w:rsidRPr="52103CC6">
              <w:rPr>
                <w:rFonts w:cs="Segoe UI"/>
                <w:b/>
                <w:bCs/>
              </w:rPr>
              <w:t>NZ$m for 22/3–24/5</w:t>
            </w:r>
          </w:p>
        </w:tc>
        <w:tc>
          <w:tcPr>
            <w:tcW w:w="1276" w:type="dxa"/>
            <w:tcBorders>
              <w:top w:val="nil"/>
              <w:left w:val="nil"/>
              <w:bottom w:val="nil"/>
              <w:right w:val="nil"/>
            </w:tcBorders>
            <w:shd w:val="clear" w:color="auto" w:fill="D9D9D9" w:themeFill="background1" w:themeFillShade="D9"/>
          </w:tcPr>
          <w:p w14:paraId="090B58F0" w14:textId="0FB9F069" w:rsidR="00CE5300" w:rsidRPr="00917D02" w:rsidRDefault="00D24933" w:rsidP="00D24933">
            <w:pPr>
              <w:pStyle w:val="TableText"/>
              <w:rPr>
                <w:rFonts w:cs="Segoe UI"/>
                <w:b/>
                <w:bCs/>
                <w:szCs w:val="18"/>
              </w:rPr>
            </w:pPr>
            <w:r w:rsidRPr="00917D02">
              <w:rPr>
                <w:rFonts w:cs="Segoe UI"/>
                <w:b/>
                <w:bCs/>
                <w:szCs w:val="18"/>
              </w:rPr>
              <w:t>Out</w:t>
            </w:r>
            <w:r>
              <w:rPr>
                <w:rFonts w:cs="Segoe UI"/>
                <w:b/>
                <w:bCs/>
                <w:szCs w:val="18"/>
              </w:rPr>
              <w:t>c</w:t>
            </w:r>
            <w:r w:rsidRPr="00917D02">
              <w:rPr>
                <w:rFonts w:cs="Segoe UI"/>
                <w:b/>
                <w:bCs/>
                <w:szCs w:val="18"/>
              </w:rPr>
              <w:t>ome</w:t>
            </w:r>
            <w:r w:rsidR="00CE5300" w:rsidRPr="00917D02">
              <w:rPr>
                <w:rFonts w:cs="Segoe UI"/>
                <w:b/>
                <w:bCs/>
                <w:szCs w:val="18"/>
              </w:rPr>
              <w:t xml:space="preserve"> area </w:t>
            </w:r>
          </w:p>
        </w:tc>
        <w:tc>
          <w:tcPr>
            <w:tcW w:w="1134" w:type="dxa"/>
            <w:tcBorders>
              <w:top w:val="nil"/>
              <w:left w:val="nil"/>
              <w:bottom w:val="nil"/>
            </w:tcBorders>
            <w:shd w:val="clear" w:color="auto" w:fill="D9D9D9" w:themeFill="background1" w:themeFillShade="D9"/>
          </w:tcPr>
          <w:p w14:paraId="135F9DDF" w14:textId="77777777" w:rsidR="00CE5300" w:rsidRPr="00917D02" w:rsidRDefault="00CE5300" w:rsidP="00D24933">
            <w:pPr>
              <w:pStyle w:val="TableText"/>
              <w:rPr>
                <w:rFonts w:cs="Segoe UI"/>
                <w:b/>
                <w:bCs/>
                <w:szCs w:val="18"/>
              </w:rPr>
            </w:pPr>
            <w:r w:rsidRPr="00917D02">
              <w:rPr>
                <w:rFonts w:cs="Segoe UI"/>
                <w:b/>
                <w:bCs/>
                <w:szCs w:val="18"/>
              </w:rPr>
              <w:t>Statutory type</w:t>
            </w:r>
          </w:p>
        </w:tc>
      </w:tr>
      <w:tr w:rsidR="006F151E" w:rsidRPr="00487FC0" w14:paraId="0A04FF9F" w14:textId="77777777" w:rsidTr="00D24933">
        <w:tc>
          <w:tcPr>
            <w:tcW w:w="2268" w:type="dxa"/>
            <w:tcBorders>
              <w:top w:val="nil"/>
            </w:tcBorders>
          </w:tcPr>
          <w:p w14:paraId="443E4D59" w14:textId="77777777" w:rsidR="00CE5300" w:rsidRPr="00917D02" w:rsidRDefault="00CE5300" w:rsidP="00D24933">
            <w:pPr>
              <w:pStyle w:val="TableText"/>
              <w:rPr>
                <w:rFonts w:cs="Segoe UI"/>
                <w:szCs w:val="18"/>
              </w:rPr>
            </w:pPr>
            <w:r w:rsidRPr="00917D02">
              <w:rPr>
                <w:rFonts w:cs="Segoe UI"/>
                <w:szCs w:val="18"/>
              </w:rPr>
              <w:t>Data management solution</w:t>
            </w:r>
          </w:p>
        </w:tc>
        <w:tc>
          <w:tcPr>
            <w:tcW w:w="2830" w:type="dxa"/>
            <w:tcBorders>
              <w:top w:val="nil"/>
            </w:tcBorders>
          </w:tcPr>
          <w:p w14:paraId="252A2BF2" w14:textId="3AA2EDB3" w:rsidR="00CE5300" w:rsidRPr="00917D02" w:rsidRDefault="00CE5300" w:rsidP="00D24933">
            <w:pPr>
              <w:pStyle w:val="TableText"/>
              <w:rPr>
                <w:rFonts w:eastAsia="Lucida Sans Unicode" w:cs="Segoe UI"/>
              </w:rPr>
            </w:pPr>
            <w:r w:rsidRPr="52103CC6">
              <w:rPr>
                <w:rFonts w:eastAsia="Lucida Sans Unicode" w:cs="Segoe UI"/>
              </w:rPr>
              <w:t xml:space="preserve">This proposal aims to identify and implement a sustainable, modern data management solution to replace the Client Information Collection (CLIC) database, which has been used for collecting gambling harm </w:t>
            </w:r>
            <w:r w:rsidR="5C3F080C" w:rsidRPr="52103CC6">
              <w:rPr>
                <w:rFonts w:eastAsia="Lucida Sans Unicode" w:cs="Segoe UI"/>
              </w:rPr>
              <w:t>treatment</w:t>
            </w:r>
            <w:r w:rsidRPr="52103CC6">
              <w:rPr>
                <w:rFonts w:eastAsia="Lucida Sans Unicode" w:cs="Segoe UI"/>
              </w:rPr>
              <w:t xml:space="preserve"> data since the 1990s. </w:t>
            </w:r>
          </w:p>
        </w:tc>
        <w:tc>
          <w:tcPr>
            <w:tcW w:w="3974" w:type="dxa"/>
            <w:tcBorders>
              <w:top w:val="nil"/>
            </w:tcBorders>
          </w:tcPr>
          <w:p w14:paraId="5DE4A9DF" w14:textId="77777777" w:rsidR="00CE5300" w:rsidRPr="00917D02" w:rsidRDefault="00CE5300" w:rsidP="00D24933">
            <w:pPr>
              <w:pStyle w:val="TableText"/>
              <w:rPr>
                <w:rFonts w:eastAsia="Lucida Sans Unicode" w:cs="Segoe UI"/>
                <w:szCs w:val="18"/>
              </w:rPr>
            </w:pPr>
            <w:r w:rsidRPr="00917D02" w:rsidDel="56DA3039">
              <w:rPr>
                <w:rFonts w:eastAsia="Lucida Sans Unicode" w:cs="Segoe UI"/>
                <w:szCs w:val="18"/>
              </w:rPr>
              <w:t>T</w:t>
            </w:r>
            <w:r w:rsidRPr="00917D02">
              <w:rPr>
                <w:rFonts w:eastAsia="Lucida Sans Unicode" w:cs="Segoe UI"/>
                <w:szCs w:val="18"/>
              </w:rPr>
              <w:t xml:space="preserve">he data collected through CLIC is crucial for monitoring service use and understanding gambling harm intervention services. Service use data (in the form of presentations) is also a key input into the problem gambling levy formula, required under the Gambling Act 2003 to calculate gambling sector levy rates. </w:t>
            </w:r>
          </w:p>
          <w:p w14:paraId="2855AA61" w14:textId="4E117F76" w:rsidR="00CE5300" w:rsidRPr="00917D02" w:rsidRDefault="00CE5300" w:rsidP="00D24933">
            <w:pPr>
              <w:pStyle w:val="TableText"/>
              <w:rPr>
                <w:rFonts w:eastAsia="Lucida Sans Unicode" w:cs="Segoe UI"/>
                <w:szCs w:val="18"/>
              </w:rPr>
            </w:pPr>
            <w:r w:rsidRPr="00917D02">
              <w:rPr>
                <w:rFonts w:eastAsia="Lucida Sans Unicode" w:cs="Segoe UI"/>
                <w:szCs w:val="18"/>
              </w:rPr>
              <w:t xml:space="preserve">CLIC has reached the end of its useful </w:t>
            </w:r>
            <w:r w:rsidR="00772204" w:rsidRPr="00917D02">
              <w:rPr>
                <w:rFonts w:eastAsia="Lucida Sans Unicode" w:cs="Segoe UI"/>
                <w:szCs w:val="18"/>
              </w:rPr>
              <w:t>life,</w:t>
            </w:r>
            <w:r w:rsidRPr="00917D02">
              <w:rPr>
                <w:rFonts w:eastAsia="Lucida Sans Unicode" w:cs="Segoe UI"/>
                <w:szCs w:val="18"/>
              </w:rPr>
              <w:t xml:space="preserve"> and a more modern data management solution will provide benefits for service users, service providers and funding agencies. </w:t>
            </w:r>
          </w:p>
        </w:tc>
        <w:tc>
          <w:tcPr>
            <w:tcW w:w="1560" w:type="dxa"/>
            <w:tcBorders>
              <w:top w:val="nil"/>
            </w:tcBorders>
          </w:tcPr>
          <w:p w14:paraId="797600F5" w14:textId="6952A6D7" w:rsidR="00CE5300" w:rsidRPr="00A3446D" w:rsidRDefault="00CE5300" w:rsidP="00D24933">
            <w:pPr>
              <w:pStyle w:val="TableText"/>
              <w:rPr>
                <w:rFonts w:cs="Segoe UI"/>
                <w:szCs w:val="18"/>
              </w:rPr>
            </w:pPr>
            <w:r w:rsidRPr="00D41CAC">
              <w:rPr>
                <w:rFonts w:cs="Segoe UI"/>
                <w:szCs w:val="18"/>
                <w:lang w:eastAsia="en-NZ"/>
              </w:rPr>
              <w:t>1.611</w:t>
            </w:r>
          </w:p>
          <w:p w14:paraId="3F0FC046" w14:textId="77777777" w:rsidR="00CE5300" w:rsidRPr="00917D02" w:rsidRDefault="00CE5300" w:rsidP="00D24933">
            <w:pPr>
              <w:pStyle w:val="TableText"/>
              <w:rPr>
                <w:rFonts w:cs="Segoe UI"/>
                <w:szCs w:val="18"/>
              </w:rPr>
            </w:pPr>
          </w:p>
        </w:tc>
        <w:tc>
          <w:tcPr>
            <w:tcW w:w="1417" w:type="dxa"/>
            <w:tcBorders>
              <w:top w:val="nil"/>
            </w:tcBorders>
          </w:tcPr>
          <w:p w14:paraId="5A500E47" w14:textId="77777777" w:rsidR="00CE5300" w:rsidRPr="00917D02" w:rsidRDefault="00CE5300" w:rsidP="00D24933">
            <w:pPr>
              <w:pStyle w:val="TableText"/>
              <w:rPr>
                <w:rFonts w:cs="Segoe UI"/>
                <w:szCs w:val="18"/>
              </w:rPr>
            </w:pPr>
            <w:r w:rsidRPr="00917D02">
              <w:rPr>
                <w:rFonts w:cs="Segoe UI"/>
                <w:szCs w:val="18"/>
              </w:rPr>
              <w:t>0.045</w:t>
            </w:r>
          </w:p>
        </w:tc>
        <w:tc>
          <w:tcPr>
            <w:tcW w:w="1276" w:type="dxa"/>
            <w:tcBorders>
              <w:top w:val="nil"/>
            </w:tcBorders>
          </w:tcPr>
          <w:p w14:paraId="4C409342" w14:textId="77777777" w:rsidR="00CE5300" w:rsidRPr="00917D02" w:rsidRDefault="00CE5300" w:rsidP="00D24933">
            <w:pPr>
              <w:pStyle w:val="TableText"/>
              <w:rPr>
                <w:rFonts w:cs="Segoe UI"/>
                <w:szCs w:val="18"/>
              </w:rPr>
            </w:pPr>
            <w:r w:rsidRPr="00917D02">
              <w:rPr>
                <w:rFonts w:cs="Segoe UI"/>
                <w:szCs w:val="18"/>
              </w:rPr>
              <w:t>3</w:t>
            </w:r>
          </w:p>
        </w:tc>
        <w:tc>
          <w:tcPr>
            <w:tcW w:w="1134" w:type="dxa"/>
            <w:tcBorders>
              <w:top w:val="nil"/>
            </w:tcBorders>
          </w:tcPr>
          <w:p w14:paraId="645E202B" w14:textId="2945B2F7" w:rsidR="00CE5300" w:rsidRPr="00917D02" w:rsidRDefault="1A231315" w:rsidP="00D24933">
            <w:pPr>
              <w:pStyle w:val="TableText"/>
              <w:rPr>
                <w:rFonts w:cs="Segoe UI"/>
              </w:rPr>
            </w:pPr>
            <w:r w:rsidRPr="5DC98259">
              <w:rPr>
                <w:rFonts w:cs="Segoe UI"/>
              </w:rPr>
              <w:t>Treatment</w:t>
            </w:r>
            <w:r w:rsidR="00CE5300" w:rsidRPr="5DC98259">
              <w:rPr>
                <w:rFonts w:cs="Segoe UI"/>
              </w:rPr>
              <w:t xml:space="preserve"> services</w:t>
            </w:r>
          </w:p>
        </w:tc>
      </w:tr>
      <w:tr w:rsidR="006F151E" w:rsidRPr="00487FC0" w14:paraId="2CC0424E" w14:textId="77777777" w:rsidTr="00D24933">
        <w:trPr>
          <w:trHeight w:val="3053"/>
        </w:trPr>
        <w:tc>
          <w:tcPr>
            <w:tcW w:w="2268" w:type="dxa"/>
          </w:tcPr>
          <w:p w14:paraId="4B56CC9D" w14:textId="783DD63A" w:rsidR="0010689A" w:rsidRPr="00917D02" w:rsidRDefault="0010689A" w:rsidP="00D24933">
            <w:pPr>
              <w:pStyle w:val="TableText"/>
              <w:rPr>
                <w:rFonts w:cs="Segoe UI"/>
                <w:szCs w:val="18"/>
              </w:rPr>
            </w:pPr>
            <w:r w:rsidRPr="00917D02">
              <w:rPr>
                <w:rFonts w:cs="Segoe UI"/>
                <w:szCs w:val="18"/>
              </w:rPr>
              <w:lastRenderedPageBreak/>
              <w:t>Evaluation</w:t>
            </w:r>
          </w:p>
        </w:tc>
        <w:tc>
          <w:tcPr>
            <w:tcW w:w="2830" w:type="dxa"/>
          </w:tcPr>
          <w:p w14:paraId="306B294B" w14:textId="77777777" w:rsidR="0010689A" w:rsidRPr="00917D02" w:rsidRDefault="0010689A" w:rsidP="00D24933">
            <w:pPr>
              <w:pStyle w:val="TableText"/>
              <w:rPr>
                <w:rFonts w:eastAsia="Lucida Sans Unicode" w:cs="Segoe UI"/>
              </w:rPr>
            </w:pPr>
            <w:r w:rsidRPr="52103CC6">
              <w:rPr>
                <w:rFonts w:eastAsia="Lucida Sans Unicode" w:cs="Segoe UI"/>
              </w:rPr>
              <w:t xml:space="preserve">Health New Zealand will commission a services outcomes evaluation to assess the effectiveness of all public health and intervention services (including new initiatives) that commenced from 1 January 2024. </w:t>
            </w:r>
          </w:p>
          <w:p w14:paraId="5BF480C5" w14:textId="1A1BF472" w:rsidR="0010689A" w:rsidRPr="52103CC6" w:rsidRDefault="0010689A" w:rsidP="00D24933">
            <w:pPr>
              <w:pStyle w:val="TableText"/>
              <w:rPr>
                <w:rFonts w:eastAsia="Lucida Sans Unicode" w:cs="Segoe UI"/>
              </w:rPr>
            </w:pPr>
            <w:r w:rsidRPr="52103CC6">
              <w:rPr>
                <w:rFonts w:eastAsia="Lucida Sans Unicode" w:cs="Segoe UI"/>
              </w:rPr>
              <w:t xml:space="preserve">The Ministry of Health will commission an evaluation of the impact of the Strategy.  </w:t>
            </w:r>
          </w:p>
        </w:tc>
        <w:tc>
          <w:tcPr>
            <w:tcW w:w="3974" w:type="dxa"/>
            <w:shd w:val="clear" w:color="auto" w:fill="auto"/>
          </w:tcPr>
          <w:p w14:paraId="65460042" w14:textId="77777777" w:rsidR="0010689A" w:rsidRPr="00917D02" w:rsidRDefault="0010689A" w:rsidP="00D24933">
            <w:pPr>
              <w:pStyle w:val="TableText"/>
              <w:rPr>
                <w:rFonts w:cs="Segoe UI"/>
              </w:rPr>
            </w:pPr>
            <w:r w:rsidRPr="52103CC6">
              <w:rPr>
                <w:rFonts w:cs="Segoe UI"/>
              </w:rPr>
              <w:t xml:space="preserve">The proposed services outcomes evaluation will determine if the services have met expected goals and objectives, and if any service or system improvements are needed. </w:t>
            </w:r>
          </w:p>
          <w:p w14:paraId="4DFCE852" w14:textId="4984D771" w:rsidR="0010689A" w:rsidRPr="52103CC6" w:rsidRDefault="0010689A" w:rsidP="00D24933">
            <w:pPr>
              <w:pStyle w:val="TableText"/>
              <w:rPr>
                <w:rFonts w:cs="Segoe UI"/>
              </w:rPr>
            </w:pPr>
            <w:r w:rsidRPr="52103CC6">
              <w:rPr>
                <w:rFonts w:cs="Segoe UI"/>
              </w:rPr>
              <w:t>The proposal for an impact evaluation of the Strategy itself responds to the New Zealand Gambling Commission recommendations to better understand the impact of the Strategy on gambling harm in New Zealand and how such harm can be more effectively monitored.</w:t>
            </w:r>
          </w:p>
        </w:tc>
        <w:tc>
          <w:tcPr>
            <w:tcW w:w="1560" w:type="dxa"/>
          </w:tcPr>
          <w:p w14:paraId="7A697B0F" w14:textId="12FFEE4E" w:rsidR="0010689A" w:rsidRPr="00917D02" w:rsidRDefault="0010689A" w:rsidP="00D24933">
            <w:pPr>
              <w:pStyle w:val="TableText"/>
              <w:rPr>
                <w:rFonts w:cs="Segoe UI"/>
                <w:szCs w:val="18"/>
              </w:rPr>
            </w:pPr>
            <w:r w:rsidRPr="00917D02">
              <w:rPr>
                <w:rFonts w:cs="Segoe UI"/>
                <w:szCs w:val="18"/>
              </w:rPr>
              <w:t>0.99</w:t>
            </w:r>
            <w:r>
              <w:rPr>
                <w:rFonts w:cs="Segoe UI"/>
                <w:szCs w:val="18"/>
              </w:rPr>
              <w:t>0</w:t>
            </w:r>
          </w:p>
        </w:tc>
        <w:tc>
          <w:tcPr>
            <w:tcW w:w="1417" w:type="dxa"/>
          </w:tcPr>
          <w:p w14:paraId="55DBFD9F" w14:textId="77777777" w:rsidR="0010689A" w:rsidRPr="00917D02" w:rsidRDefault="0010689A" w:rsidP="00D24933">
            <w:pPr>
              <w:pStyle w:val="TableText"/>
              <w:rPr>
                <w:rFonts w:cs="Segoe UI"/>
                <w:szCs w:val="18"/>
              </w:rPr>
            </w:pPr>
            <w:r w:rsidRPr="00917D02">
              <w:rPr>
                <w:rFonts w:cs="Segoe UI"/>
                <w:szCs w:val="18"/>
              </w:rPr>
              <w:t>0.970</w:t>
            </w:r>
          </w:p>
          <w:p w14:paraId="739D9314" w14:textId="77777777" w:rsidR="0010689A" w:rsidRPr="00917D02" w:rsidRDefault="0010689A" w:rsidP="00D24933">
            <w:pPr>
              <w:pStyle w:val="TableText"/>
              <w:rPr>
                <w:rFonts w:cs="Segoe UI"/>
                <w:szCs w:val="18"/>
              </w:rPr>
            </w:pPr>
          </w:p>
          <w:p w14:paraId="7F2049B1" w14:textId="77777777" w:rsidR="0010689A" w:rsidRPr="00917D02" w:rsidRDefault="0010689A" w:rsidP="00D24933">
            <w:pPr>
              <w:pStyle w:val="TableText"/>
              <w:rPr>
                <w:rFonts w:cs="Segoe UI"/>
                <w:szCs w:val="18"/>
              </w:rPr>
            </w:pPr>
          </w:p>
          <w:p w14:paraId="14B80D01" w14:textId="77777777" w:rsidR="0010689A" w:rsidRPr="00917D02" w:rsidRDefault="0010689A" w:rsidP="00D24933">
            <w:pPr>
              <w:pStyle w:val="TableText"/>
              <w:rPr>
                <w:rFonts w:cs="Segoe UI"/>
                <w:szCs w:val="18"/>
              </w:rPr>
            </w:pPr>
          </w:p>
          <w:p w14:paraId="73D7A305" w14:textId="77777777" w:rsidR="0010689A" w:rsidRPr="00917D02" w:rsidRDefault="0010689A" w:rsidP="00D24933">
            <w:pPr>
              <w:pStyle w:val="TableText"/>
              <w:rPr>
                <w:rFonts w:cs="Segoe UI"/>
                <w:szCs w:val="18"/>
              </w:rPr>
            </w:pPr>
          </w:p>
          <w:p w14:paraId="3295F7D8" w14:textId="77777777" w:rsidR="0010689A" w:rsidRPr="00917D02" w:rsidRDefault="0010689A" w:rsidP="00D24933">
            <w:pPr>
              <w:pStyle w:val="TableText"/>
              <w:rPr>
                <w:rFonts w:cs="Segoe UI"/>
                <w:szCs w:val="18"/>
              </w:rPr>
            </w:pPr>
          </w:p>
          <w:p w14:paraId="6DC7DE3E" w14:textId="77777777" w:rsidR="0010689A" w:rsidRDefault="0010689A" w:rsidP="00D24933">
            <w:pPr>
              <w:pStyle w:val="TableText"/>
              <w:rPr>
                <w:rFonts w:cs="Segoe UI"/>
                <w:szCs w:val="18"/>
              </w:rPr>
            </w:pPr>
          </w:p>
          <w:p w14:paraId="3BA2F685" w14:textId="3E190C4A" w:rsidR="0010689A" w:rsidRPr="00917D02" w:rsidRDefault="0010689A" w:rsidP="00D24933">
            <w:pPr>
              <w:pStyle w:val="TableText"/>
              <w:rPr>
                <w:rFonts w:cs="Segoe UI"/>
                <w:szCs w:val="18"/>
              </w:rPr>
            </w:pPr>
          </w:p>
        </w:tc>
        <w:tc>
          <w:tcPr>
            <w:tcW w:w="1276" w:type="dxa"/>
          </w:tcPr>
          <w:p w14:paraId="75D820C2" w14:textId="78B17297" w:rsidR="0010689A" w:rsidRPr="00917D02" w:rsidRDefault="0010689A" w:rsidP="00D24933">
            <w:pPr>
              <w:pStyle w:val="TableText"/>
              <w:rPr>
                <w:rFonts w:cs="Segoe UI"/>
                <w:szCs w:val="18"/>
              </w:rPr>
            </w:pPr>
            <w:r w:rsidRPr="00917D02">
              <w:rPr>
                <w:rFonts w:cs="Segoe UI"/>
                <w:szCs w:val="18"/>
              </w:rPr>
              <w:t>3</w:t>
            </w:r>
          </w:p>
        </w:tc>
        <w:tc>
          <w:tcPr>
            <w:tcW w:w="1134" w:type="dxa"/>
          </w:tcPr>
          <w:p w14:paraId="7F6DA783" w14:textId="4A861300" w:rsidR="0010689A" w:rsidRPr="00917D02" w:rsidRDefault="0010689A" w:rsidP="00D24933">
            <w:pPr>
              <w:pStyle w:val="TableText"/>
              <w:rPr>
                <w:rFonts w:cs="Segoe UI"/>
                <w:szCs w:val="18"/>
              </w:rPr>
            </w:pPr>
            <w:r w:rsidRPr="00917D02">
              <w:rPr>
                <w:rFonts w:cs="Segoe UI"/>
                <w:szCs w:val="18"/>
              </w:rPr>
              <w:t>Evaluation</w:t>
            </w:r>
          </w:p>
        </w:tc>
      </w:tr>
      <w:tr w:rsidR="006F151E" w:rsidRPr="00487FC0" w14:paraId="2A9BDFDB" w14:textId="77777777" w:rsidTr="00D24933">
        <w:tc>
          <w:tcPr>
            <w:tcW w:w="2268" w:type="dxa"/>
          </w:tcPr>
          <w:p w14:paraId="5FCBBD86" w14:textId="77777777" w:rsidR="00CB1CE8" w:rsidRDefault="00CB1CE8" w:rsidP="00D24933">
            <w:pPr>
              <w:pStyle w:val="TableText"/>
              <w:rPr>
                <w:rFonts w:cs="Segoe UI"/>
                <w:szCs w:val="18"/>
              </w:rPr>
            </w:pPr>
            <w:r>
              <w:rPr>
                <w:rFonts w:cs="Segoe UI"/>
                <w:szCs w:val="18"/>
              </w:rPr>
              <w:t>Monitoring</w:t>
            </w:r>
          </w:p>
          <w:p w14:paraId="21990FE3" w14:textId="2632A65B" w:rsidR="00CB1CE8" w:rsidRDefault="00CB1CE8" w:rsidP="00D24933">
            <w:pPr>
              <w:pStyle w:val="TableText"/>
              <w:rPr>
                <w:rFonts w:cs="Segoe UI"/>
                <w:szCs w:val="18"/>
              </w:rPr>
            </w:pPr>
            <w:r>
              <w:rPr>
                <w:rFonts w:cs="Segoe UI"/>
                <w:szCs w:val="18"/>
              </w:rPr>
              <w:t>NEW</w:t>
            </w:r>
          </w:p>
        </w:tc>
        <w:tc>
          <w:tcPr>
            <w:tcW w:w="2830" w:type="dxa"/>
          </w:tcPr>
          <w:p w14:paraId="08032DCB" w14:textId="00921B19" w:rsidR="00CB1CE8" w:rsidRPr="52103CC6" w:rsidRDefault="00CB1CE8" w:rsidP="00D24933">
            <w:pPr>
              <w:pStyle w:val="TableText"/>
              <w:rPr>
                <w:rFonts w:eastAsia="Lucida Sans Unicode" w:cs="Segoe UI"/>
              </w:rPr>
            </w:pPr>
            <w:r w:rsidRPr="52103CC6">
              <w:rPr>
                <w:rFonts w:eastAsia="Lucida Sans Unicode" w:cs="Segoe UI"/>
              </w:rPr>
              <w:t>The Ministry and Health New Zealand will develop a common framework to monitor performance to prevent and minimise gambling harm</w:t>
            </w:r>
          </w:p>
        </w:tc>
        <w:tc>
          <w:tcPr>
            <w:tcW w:w="3974" w:type="dxa"/>
            <w:shd w:val="clear" w:color="auto" w:fill="auto"/>
          </w:tcPr>
          <w:p w14:paraId="7D006C4E" w14:textId="3201CF74" w:rsidR="00CB1CE8" w:rsidRPr="52103CC6" w:rsidRDefault="00CB1CE8" w:rsidP="00D24933">
            <w:pPr>
              <w:pStyle w:val="TableText"/>
              <w:rPr>
                <w:rFonts w:eastAsia="Calibri" w:cs="Segoe UI"/>
                <w:color w:val="000000" w:themeColor="text1"/>
              </w:rPr>
            </w:pPr>
            <w:r w:rsidRPr="52103CC6">
              <w:rPr>
                <w:rFonts w:eastAsia="Calibri" w:cs="Segoe UI"/>
                <w:color w:val="000000" w:themeColor="text1"/>
              </w:rPr>
              <w:t xml:space="preserve">The framework will identify performance and impact measures specific to gambling harms, but in line with Mental Health and Addiction priorities and informed by findings form the above impact evaluation of the Strategy and the outcomes framework </w:t>
            </w:r>
            <w:r>
              <w:rPr>
                <w:rFonts w:eastAsia="Calibri" w:cs="Segoe UI"/>
                <w:color w:val="000000" w:themeColor="text1"/>
              </w:rPr>
              <w:t>Health New Zealand</w:t>
            </w:r>
            <w:r w:rsidRPr="52103CC6">
              <w:rPr>
                <w:rFonts w:eastAsia="Calibri" w:cs="Segoe UI"/>
                <w:color w:val="000000" w:themeColor="text1"/>
              </w:rPr>
              <w:t xml:space="preserve"> has developed for its gambling harm activities. This framework will be available to use for the next cycle of the Strategy in 2028.</w:t>
            </w:r>
          </w:p>
        </w:tc>
        <w:tc>
          <w:tcPr>
            <w:tcW w:w="1560" w:type="dxa"/>
          </w:tcPr>
          <w:p w14:paraId="1447E8F2" w14:textId="1EC415B4" w:rsidR="00CB1CE8" w:rsidRDefault="00CB1CE8" w:rsidP="00D24933">
            <w:pPr>
              <w:pStyle w:val="TableText"/>
              <w:rPr>
                <w:rFonts w:cs="Segoe UI"/>
                <w:szCs w:val="18"/>
              </w:rPr>
            </w:pPr>
            <w:r>
              <w:rPr>
                <w:rFonts w:cs="Segoe UI"/>
                <w:szCs w:val="18"/>
              </w:rPr>
              <w:t>0.275</w:t>
            </w:r>
          </w:p>
        </w:tc>
        <w:tc>
          <w:tcPr>
            <w:tcW w:w="1417" w:type="dxa"/>
          </w:tcPr>
          <w:p w14:paraId="09AD7544" w14:textId="43D644B0" w:rsidR="00CB1CE8" w:rsidRDefault="46AFF9A8" w:rsidP="00D24933">
            <w:pPr>
              <w:pStyle w:val="TableText"/>
              <w:rPr>
                <w:rFonts w:cs="Segoe UI"/>
              </w:rPr>
            </w:pPr>
            <w:r w:rsidRPr="73E8A5DE">
              <w:rPr>
                <w:rFonts w:cs="Segoe UI"/>
              </w:rPr>
              <w:t>0</w:t>
            </w:r>
          </w:p>
          <w:p w14:paraId="5E786A46" w14:textId="77777777" w:rsidR="00CB1CE8" w:rsidRDefault="00CB1CE8" w:rsidP="00D24933">
            <w:pPr>
              <w:pStyle w:val="TableText"/>
              <w:rPr>
                <w:rFonts w:cs="Segoe UI"/>
                <w:szCs w:val="18"/>
              </w:rPr>
            </w:pPr>
          </w:p>
          <w:p w14:paraId="4C91DE97" w14:textId="77777777" w:rsidR="00CB1CE8" w:rsidRDefault="00CB1CE8" w:rsidP="00D24933">
            <w:pPr>
              <w:pStyle w:val="TableText"/>
              <w:rPr>
                <w:rFonts w:cs="Segoe UI"/>
                <w:szCs w:val="18"/>
              </w:rPr>
            </w:pPr>
          </w:p>
          <w:p w14:paraId="1315148F" w14:textId="77777777" w:rsidR="00CB1CE8" w:rsidRDefault="00CB1CE8" w:rsidP="00D24933">
            <w:pPr>
              <w:pStyle w:val="TableText"/>
              <w:rPr>
                <w:rFonts w:cs="Segoe UI"/>
                <w:szCs w:val="18"/>
              </w:rPr>
            </w:pPr>
          </w:p>
          <w:p w14:paraId="2AC2734A" w14:textId="77777777" w:rsidR="00CB1CE8" w:rsidRDefault="00CB1CE8" w:rsidP="00D24933">
            <w:pPr>
              <w:pStyle w:val="TableText"/>
              <w:rPr>
                <w:rFonts w:cs="Segoe UI"/>
                <w:szCs w:val="18"/>
              </w:rPr>
            </w:pPr>
          </w:p>
          <w:p w14:paraId="00CDA059" w14:textId="77777777" w:rsidR="00CB1CE8" w:rsidRDefault="00CB1CE8" w:rsidP="00D24933">
            <w:pPr>
              <w:pStyle w:val="TableText"/>
              <w:rPr>
                <w:rFonts w:cs="Segoe UI"/>
                <w:szCs w:val="18"/>
              </w:rPr>
            </w:pPr>
          </w:p>
          <w:p w14:paraId="6B8D2E3A" w14:textId="77777777" w:rsidR="00CB1CE8" w:rsidRDefault="00CB1CE8" w:rsidP="00D24933">
            <w:pPr>
              <w:pStyle w:val="TableText"/>
              <w:rPr>
                <w:rFonts w:cs="Segoe UI"/>
                <w:szCs w:val="18"/>
              </w:rPr>
            </w:pPr>
          </w:p>
          <w:p w14:paraId="25C04217" w14:textId="458754C9" w:rsidR="00CB1CE8" w:rsidRDefault="00CB1CE8" w:rsidP="00D24933">
            <w:pPr>
              <w:pStyle w:val="TableText"/>
              <w:rPr>
                <w:rFonts w:cs="Segoe UI"/>
                <w:szCs w:val="18"/>
              </w:rPr>
            </w:pPr>
          </w:p>
        </w:tc>
        <w:tc>
          <w:tcPr>
            <w:tcW w:w="1276" w:type="dxa"/>
          </w:tcPr>
          <w:p w14:paraId="5BB42C58" w14:textId="10AAE180" w:rsidR="00CB1CE8" w:rsidRPr="00917D02" w:rsidRDefault="00CB1CE8" w:rsidP="00D24933">
            <w:pPr>
              <w:pStyle w:val="TableText"/>
              <w:rPr>
                <w:rFonts w:cs="Segoe UI"/>
                <w:szCs w:val="18"/>
              </w:rPr>
            </w:pPr>
            <w:r w:rsidRPr="00917D02">
              <w:rPr>
                <w:rFonts w:cs="Segoe UI"/>
                <w:szCs w:val="18"/>
              </w:rPr>
              <w:t>3</w:t>
            </w:r>
          </w:p>
        </w:tc>
        <w:tc>
          <w:tcPr>
            <w:tcW w:w="1134" w:type="dxa"/>
          </w:tcPr>
          <w:p w14:paraId="2A160A74" w14:textId="312749B5" w:rsidR="00CB1CE8" w:rsidRPr="00917D02" w:rsidRDefault="00CB1CE8" w:rsidP="00D24933">
            <w:pPr>
              <w:pStyle w:val="TableText"/>
              <w:rPr>
                <w:rFonts w:cs="Segoe UI"/>
                <w:szCs w:val="18"/>
              </w:rPr>
            </w:pPr>
            <w:r>
              <w:rPr>
                <w:rFonts w:cs="Segoe UI"/>
                <w:szCs w:val="18"/>
              </w:rPr>
              <w:t>Evaluation</w:t>
            </w:r>
          </w:p>
        </w:tc>
      </w:tr>
      <w:tr w:rsidR="006F151E" w:rsidRPr="00487FC0" w14:paraId="793FDA39" w14:textId="77777777" w:rsidTr="00D24933">
        <w:tc>
          <w:tcPr>
            <w:tcW w:w="2268" w:type="dxa"/>
          </w:tcPr>
          <w:p w14:paraId="14D26574" w14:textId="77777777" w:rsidR="00CB1CE8" w:rsidRPr="00917D02" w:rsidRDefault="00CB1CE8" w:rsidP="00D24933">
            <w:pPr>
              <w:pStyle w:val="TableText"/>
              <w:rPr>
                <w:rFonts w:cs="Segoe UI"/>
                <w:szCs w:val="18"/>
              </w:rPr>
            </w:pPr>
            <w:r w:rsidRPr="00917D02">
              <w:rPr>
                <w:rFonts w:cs="Segoe UI"/>
                <w:szCs w:val="18"/>
              </w:rPr>
              <w:t>Research</w:t>
            </w:r>
          </w:p>
        </w:tc>
        <w:tc>
          <w:tcPr>
            <w:tcW w:w="2830" w:type="dxa"/>
          </w:tcPr>
          <w:p w14:paraId="5982D741" w14:textId="77777777" w:rsidR="00CB1CE8" w:rsidRDefault="00CB1CE8" w:rsidP="00D24933">
            <w:pPr>
              <w:pStyle w:val="TableText"/>
              <w:rPr>
                <w:rFonts w:eastAsia="Lucida Sans Unicode" w:cs="Segoe UI"/>
                <w:szCs w:val="18"/>
              </w:rPr>
            </w:pPr>
            <w:r w:rsidRPr="00917D02">
              <w:rPr>
                <w:rFonts w:eastAsia="Lucida Sans Unicode" w:cs="Segoe UI"/>
                <w:szCs w:val="18"/>
              </w:rPr>
              <w:t>The Ministry of Health will commission a range of research to inform policy and service design and development.</w:t>
            </w:r>
          </w:p>
          <w:p w14:paraId="1760B03C" w14:textId="77777777" w:rsidR="00CB1CE8" w:rsidRPr="001840BD" w:rsidRDefault="00CB1CE8" w:rsidP="00D24933">
            <w:pPr>
              <w:rPr>
                <w:rFonts w:eastAsia="Lucida Sans Unicode"/>
              </w:rPr>
            </w:pPr>
          </w:p>
          <w:p w14:paraId="3B2C3D28" w14:textId="77777777" w:rsidR="00CB1CE8" w:rsidRPr="001840BD" w:rsidRDefault="00CB1CE8" w:rsidP="00D24933">
            <w:pPr>
              <w:rPr>
                <w:rFonts w:eastAsia="Lucida Sans Unicode"/>
              </w:rPr>
            </w:pPr>
          </w:p>
          <w:p w14:paraId="5EC2AB71" w14:textId="77777777" w:rsidR="00CB1CE8" w:rsidRPr="001840BD" w:rsidRDefault="00CB1CE8" w:rsidP="00D24933">
            <w:pPr>
              <w:rPr>
                <w:rFonts w:eastAsia="Lucida Sans Unicode"/>
              </w:rPr>
            </w:pPr>
          </w:p>
          <w:p w14:paraId="15F2DA0E" w14:textId="77777777" w:rsidR="00CB1CE8" w:rsidRPr="001840BD" w:rsidRDefault="00CB1CE8" w:rsidP="00D24933">
            <w:pPr>
              <w:rPr>
                <w:rFonts w:eastAsia="Lucida Sans Unicode"/>
              </w:rPr>
            </w:pPr>
          </w:p>
          <w:p w14:paraId="4D6137E2" w14:textId="77777777" w:rsidR="00CB1CE8" w:rsidRDefault="00CB1CE8" w:rsidP="00D24933">
            <w:pPr>
              <w:rPr>
                <w:rFonts w:eastAsia="Lucida Sans Unicode" w:cs="Segoe UI"/>
                <w:sz w:val="18"/>
                <w:szCs w:val="18"/>
              </w:rPr>
            </w:pPr>
          </w:p>
          <w:p w14:paraId="668AC232" w14:textId="52BE2012" w:rsidR="00CB1CE8" w:rsidRPr="00917D02" w:rsidRDefault="00CB1CE8" w:rsidP="00D24933">
            <w:pPr>
              <w:jc w:val="center"/>
              <w:rPr>
                <w:rFonts w:eastAsia="Lucida Sans Unicode" w:cs="Segoe UI"/>
                <w:szCs w:val="18"/>
              </w:rPr>
            </w:pPr>
          </w:p>
        </w:tc>
        <w:tc>
          <w:tcPr>
            <w:tcW w:w="3974" w:type="dxa"/>
            <w:shd w:val="clear" w:color="auto" w:fill="auto"/>
          </w:tcPr>
          <w:p w14:paraId="7448D4B3" w14:textId="77777777" w:rsidR="00CB1CE8" w:rsidRPr="00917D02" w:rsidRDefault="00CB1CE8" w:rsidP="00D24933">
            <w:pPr>
              <w:pStyle w:val="TableText"/>
              <w:rPr>
                <w:rFonts w:eastAsia="Calibri" w:cs="Segoe UI"/>
                <w:color w:val="000000" w:themeColor="text1"/>
              </w:rPr>
            </w:pPr>
            <w:r w:rsidRPr="1E64ADE5">
              <w:rPr>
                <w:rFonts w:eastAsia="Calibri" w:cs="Segoe UI"/>
                <w:color w:val="000000" w:themeColor="text1"/>
              </w:rPr>
              <w:lastRenderedPageBreak/>
              <w:t>Proposed research priorities are:</w:t>
            </w:r>
          </w:p>
          <w:p w14:paraId="2914BD62" w14:textId="2191282F" w:rsidR="00CB1CE8" w:rsidRPr="00917D02" w:rsidRDefault="00CB1CE8" w:rsidP="00D24933">
            <w:pPr>
              <w:pStyle w:val="TableBullet"/>
              <w:rPr>
                <w:rFonts w:eastAsia="Calibri"/>
              </w:rPr>
            </w:pPr>
            <w:r w:rsidRPr="52103CC6">
              <w:rPr>
                <w:rFonts w:eastAsia="Calibri"/>
              </w:rPr>
              <w:t>obtaining longitudinal prevalence data about gambling</w:t>
            </w:r>
          </w:p>
          <w:p w14:paraId="1BB210E0" w14:textId="77777777" w:rsidR="00CB1CE8" w:rsidRPr="00917D02" w:rsidRDefault="00CB1CE8" w:rsidP="00D24933">
            <w:pPr>
              <w:pStyle w:val="TableBullet"/>
              <w:rPr>
                <w:rFonts w:eastAsia="Calibri"/>
              </w:rPr>
            </w:pPr>
            <w:r w:rsidRPr="52103CC6">
              <w:rPr>
                <w:rFonts w:eastAsia="Calibri"/>
              </w:rPr>
              <w:t>studying patterns and impacts of gambling and the intersection between gambling and gaming, especially in relation to young people</w:t>
            </w:r>
          </w:p>
          <w:p w14:paraId="193E24AA" w14:textId="77777777" w:rsidR="00CB1CE8" w:rsidRPr="00917D02" w:rsidRDefault="00CB1CE8" w:rsidP="00D24933">
            <w:pPr>
              <w:pStyle w:val="TableBullet"/>
              <w:rPr>
                <w:rFonts w:eastAsia="Calibri"/>
                <w:szCs w:val="18"/>
              </w:rPr>
            </w:pPr>
            <w:r w:rsidRPr="00917D02">
              <w:rPr>
                <w:rFonts w:eastAsia="Calibri"/>
                <w:szCs w:val="18"/>
              </w:rPr>
              <w:t xml:space="preserve">studying the harm and impact of different forms of gambling and comorbidities of </w:t>
            </w:r>
            <w:r w:rsidRPr="00917D02">
              <w:rPr>
                <w:rFonts w:eastAsia="Calibri"/>
                <w:szCs w:val="18"/>
              </w:rPr>
              <w:lastRenderedPageBreak/>
              <w:t>gambling harm (for example, using existing administrative data)</w:t>
            </w:r>
          </w:p>
          <w:p w14:paraId="07F90074" w14:textId="49570168" w:rsidR="00CB1CE8" w:rsidRDefault="00CB1CE8" w:rsidP="00D24933">
            <w:pPr>
              <w:pStyle w:val="TableBullet"/>
              <w:rPr>
                <w:rFonts w:eastAsia="Calibri"/>
              </w:rPr>
            </w:pPr>
            <w:r w:rsidRPr="52103CC6">
              <w:rPr>
                <w:rFonts w:eastAsia="Calibri"/>
              </w:rPr>
              <w:t xml:space="preserve">exploring factors supporting and hindering service access, quality and outcomes. exploring platforms and tools that will improve dissemination of research findings and support research use. </w:t>
            </w:r>
          </w:p>
          <w:p w14:paraId="00114595" w14:textId="00B30144" w:rsidR="00CB1CE8" w:rsidRPr="00917D02" w:rsidRDefault="00CB1CE8" w:rsidP="00D24933">
            <w:pPr>
              <w:pStyle w:val="TableBullet"/>
              <w:rPr>
                <w:rFonts w:eastAsia="Calibri"/>
              </w:rPr>
            </w:pPr>
            <w:r w:rsidRPr="52103CC6">
              <w:rPr>
                <w:rFonts w:eastAsia="Calibri"/>
              </w:rPr>
              <w:t>supporting Māori, Pacific, Asian and youth researchers to develop research capacity and capability in these communities as well as community-led solutions for harm minimisation and recovery</w:t>
            </w:r>
          </w:p>
        </w:tc>
        <w:tc>
          <w:tcPr>
            <w:tcW w:w="1560" w:type="dxa"/>
          </w:tcPr>
          <w:p w14:paraId="31A724F8" w14:textId="77777777" w:rsidR="00CB1CE8" w:rsidRPr="00917D02" w:rsidRDefault="00CB1CE8" w:rsidP="00D24933">
            <w:pPr>
              <w:pStyle w:val="TableText"/>
              <w:rPr>
                <w:rFonts w:cs="Segoe UI"/>
                <w:szCs w:val="18"/>
              </w:rPr>
            </w:pPr>
            <w:r>
              <w:rPr>
                <w:rFonts w:cs="Segoe UI"/>
                <w:szCs w:val="18"/>
              </w:rPr>
              <w:lastRenderedPageBreak/>
              <w:t>3.770</w:t>
            </w:r>
          </w:p>
        </w:tc>
        <w:tc>
          <w:tcPr>
            <w:tcW w:w="1417" w:type="dxa"/>
          </w:tcPr>
          <w:p w14:paraId="27BFF54D" w14:textId="63ABC643" w:rsidR="00CB1CE8" w:rsidRPr="00917D02" w:rsidRDefault="00CB1CE8" w:rsidP="00D24933">
            <w:pPr>
              <w:pStyle w:val="TableText"/>
              <w:rPr>
                <w:rFonts w:cs="Segoe UI"/>
                <w:szCs w:val="18"/>
                <w:u w:val="single"/>
              </w:rPr>
            </w:pPr>
            <w:r w:rsidRPr="0010689A">
              <w:rPr>
                <w:rFonts w:cs="Segoe UI"/>
                <w:szCs w:val="18"/>
              </w:rPr>
              <w:t>4.688</w:t>
            </w:r>
          </w:p>
          <w:p w14:paraId="74420EA4" w14:textId="77777777" w:rsidR="00CB1CE8" w:rsidRPr="00917D02" w:rsidRDefault="00CB1CE8" w:rsidP="00D24933">
            <w:pPr>
              <w:pStyle w:val="TableText"/>
              <w:rPr>
                <w:rFonts w:cs="Segoe UI"/>
                <w:szCs w:val="18"/>
              </w:rPr>
            </w:pPr>
          </w:p>
        </w:tc>
        <w:tc>
          <w:tcPr>
            <w:tcW w:w="1276" w:type="dxa"/>
          </w:tcPr>
          <w:p w14:paraId="25389B2C" w14:textId="77777777" w:rsidR="00CB1CE8" w:rsidRPr="00917D02" w:rsidRDefault="00CB1CE8" w:rsidP="00D24933">
            <w:pPr>
              <w:pStyle w:val="TableText"/>
              <w:rPr>
                <w:rFonts w:cs="Segoe UI"/>
                <w:szCs w:val="18"/>
              </w:rPr>
            </w:pPr>
            <w:r w:rsidRPr="00917D02">
              <w:rPr>
                <w:rFonts w:cs="Segoe UI"/>
                <w:szCs w:val="18"/>
              </w:rPr>
              <w:t>3</w:t>
            </w:r>
          </w:p>
        </w:tc>
        <w:tc>
          <w:tcPr>
            <w:tcW w:w="1134" w:type="dxa"/>
          </w:tcPr>
          <w:p w14:paraId="07A5A88D" w14:textId="77777777" w:rsidR="00CB1CE8" w:rsidRPr="00917D02" w:rsidRDefault="00CB1CE8" w:rsidP="00D24933">
            <w:pPr>
              <w:pStyle w:val="TableText"/>
              <w:rPr>
                <w:rFonts w:cs="Segoe UI"/>
                <w:szCs w:val="18"/>
              </w:rPr>
            </w:pPr>
            <w:r w:rsidRPr="00917D02">
              <w:rPr>
                <w:rFonts w:cs="Segoe UI"/>
                <w:szCs w:val="18"/>
              </w:rPr>
              <w:t>Research</w:t>
            </w:r>
          </w:p>
        </w:tc>
      </w:tr>
      <w:tr w:rsidR="006F151E" w:rsidRPr="00487FC0" w14:paraId="3222A362" w14:textId="77777777" w:rsidTr="00D24933">
        <w:tc>
          <w:tcPr>
            <w:tcW w:w="2268" w:type="dxa"/>
          </w:tcPr>
          <w:p w14:paraId="21A3B4F8" w14:textId="77777777" w:rsidR="00CB1CE8" w:rsidRPr="00917D02" w:rsidRDefault="00CB1CE8" w:rsidP="00D24933">
            <w:pPr>
              <w:pStyle w:val="TableText"/>
              <w:rPr>
                <w:rFonts w:cs="Segoe UI"/>
                <w:szCs w:val="18"/>
                <w:highlight w:val="yellow"/>
              </w:rPr>
            </w:pPr>
            <w:r w:rsidRPr="00917D02">
              <w:rPr>
                <w:rFonts w:cs="Segoe UI"/>
                <w:szCs w:val="18"/>
              </w:rPr>
              <w:t>Conference support</w:t>
            </w:r>
          </w:p>
        </w:tc>
        <w:tc>
          <w:tcPr>
            <w:tcW w:w="2830" w:type="dxa"/>
          </w:tcPr>
          <w:p w14:paraId="2062561A" w14:textId="77777777" w:rsidR="00CB1CE8" w:rsidRPr="00917D02" w:rsidRDefault="00CB1CE8" w:rsidP="00D24933">
            <w:pPr>
              <w:pStyle w:val="TableText"/>
              <w:rPr>
                <w:rFonts w:eastAsia="Lucida Sans Unicode" w:cs="Segoe UI"/>
                <w:szCs w:val="18"/>
              </w:rPr>
            </w:pPr>
            <w:r w:rsidRPr="00917D02">
              <w:rPr>
                <w:rFonts w:eastAsia="Lucida Sans Unicode" w:cs="Segoe UI"/>
                <w:szCs w:val="18"/>
              </w:rPr>
              <w:t>Health New Zealand proposes to continue funding a biennial international gambling conference and an associated international think tank. The next event is planned for 2026.</w:t>
            </w:r>
          </w:p>
          <w:p w14:paraId="778DEC46" w14:textId="77777777" w:rsidR="00CB1CE8" w:rsidRPr="00917D02" w:rsidRDefault="00CB1CE8" w:rsidP="00D24933">
            <w:pPr>
              <w:pStyle w:val="TableText"/>
              <w:rPr>
                <w:rFonts w:eastAsia="Lucida Sans Unicode" w:cs="Segoe UI"/>
                <w:szCs w:val="18"/>
              </w:rPr>
            </w:pPr>
          </w:p>
          <w:p w14:paraId="1AAE288D" w14:textId="77777777" w:rsidR="00CB1CE8" w:rsidRPr="00917D02" w:rsidRDefault="00CB1CE8" w:rsidP="00D24933">
            <w:pPr>
              <w:pStyle w:val="TableText"/>
              <w:rPr>
                <w:rFonts w:eastAsia="Lucida Sans Unicode" w:cs="Segoe UI"/>
                <w:szCs w:val="18"/>
              </w:rPr>
            </w:pPr>
          </w:p>
        </w:tc>
        <w:tc>
          <w:tcPr>
            <w:tcW w:w="3974" w:type="dxa"/>
          </w:tcPr>
          <w:p w14:paraId="26566B16" w14:textId="77777777" w:rsidR="00CB1CE8" w:rsidRDefault="00CB1CE8" w:rsidP="00D24933">
            <w:pPr>
              <w:pStyle w:val="TableText"/>
              <w:rPr>
                <w:rFonts w:eastAsia="Lucida Sans Unicode" w:cs="Segoe UI"/>
              </w:rPr>
            </w:pPr>
            <w:r w:rsidRPr="52103CC6">
              <w:rPr>
                <w:rFonts w:eastAsia="Lucida Sans Unicode" w:cs="Segoe UI"/>
              </w:rPr>
              <w:t>The international conference and think tank promote New Zealand as a world leader in preventing and minimising gambling harm. It also enables practitioners, researchers, industry representatives and government officials from around the world to meet and exchange ideas and provides opportunities to strengthen leadership, communication and collaboration.</w:t>
            </w:r>
          </w:p>
          <w:p w14:paraId="5C56F7DE" w14:textId="77777777" w:rsidR="00CB1CE8" w:rsidRPr="0014793F" w:rsidRDefault="00CB1CE8" w:rsidP="00D24933">
            <w:pPr>
              <w:pStyle w:val="TableText"/>
              <w:rPr>
                <w:rFonts w:eastAsia="Lucida Sans Unicode" w:cs="Segoe UI"/>
                <w:szCs w:val="18"/>
              </w:rPr>
            </w:pPr>
            <w:r>
              <w:rPr>
                <w:rFonts w:eastAsia="Lucida Sans Unicode" w:cs="Segoe UI"/>
              </w:rPr>
              <w:t xml:space="preserve">Most of the </w:t>
            </w:r>
            <w:r w:rsidRPr="50352787">
              <w:rPr>
                <w:rFonts w:eastAsia="Lucida Sans Unicode" w:cs="Segoe UI"/>
              </w:rPr>
              <w:t xml:space="preserve">costs associated with planning and organising the conference occur </w:t>
            </w:r>
            <w:r w:rsidRPr="03ECFE41">
              <w:rPr>
                <w:rFonts w:eastAsia="Lucida Sans Unicode" w:cs="Segoe UI"/>
              </w:rPr>
              <w:t xml:space="preserve">in the 12 months </w:t>
            </w:r>
            <w:r w:rsidRPr="4FEC9983">
              <w:rPr>
                <w:rFonts w:eastAsia="Lucida Sans Unicode" w:cs="Segoe UI"/>
              </w:rPr>
              <w:t>prior</w:t>
            </w:r>
            <w:r w:rsidRPr="68F28A72">
              <w:rPr>
                <w:rFonts w:eastAsia="Lucida Sans Unicode" w:cs="Segoe UI"/>
              </w:rPr>
              <w:t xml:space="preserve">. </w:t>
            </w:r>
            <w:r w:rsidRPr="4A792E88">
              <w:rPr>
                <w:rFonts w:eastAsia="Lucida Sans Unicode" w:cs="Segoe UI"/>
              </w:rPr>
              <w:t xml:space="preserve">The </w:t>
            </w:r>
            <w:r>
              <w:rPr>
                <w:rFonts w:eastAsia="Lucida Sans Unicode" w:cs="Segoe UI"/>
              </w:rPr>
              <w:t xml:space="preserve">proposed budget </w:t>
            </w:r>
            <w:r w:rsidRPr="4A792E88">
              <w:rPr>
                <w:rFonts w:eastAsia="Lucida Sans Unicode" w:cs="Segoe UI"/>
              </w:rPr>
              <w:t>increase</w:t>
            </w:r>
            <w:r>
              <w:rPr>
                <w:rFonts w:eastAsia="Lucida Sans Unicode" w:cs="Segoe UI"/>
              </w:rPr>
              <w:t xml:space="preserve"> r</w:t>
            </w:r>
            <w:r w:rsidRPr="4A792E88">
              <w:rPr>
                <w:rFonts w:eastAsia="Lucida Sans Unicode" w:cs="Segoe UI"/>
              </w:rPr>
              <w:t>ecognises that this</w:t>
            </w:r>
            <w:r w:rsidRPr="70E51342">
              <w:rPr>
                <w:rFonts w:eastAsia="Lucida Sans Unicode" w:cs="Segoe UI"/>
              </w:rPr>
              <w:t xml:space="preserve"> Strategy period </w:t>
            </w:r>
            <w:r w:rsidRPr="12F4D544">
              <w:rPr>
                <w:rFonts w:eastAsia="Lucida Sans Unicode" w:cs="Segoe UI"/>
              </w:rPr>
              <w:t>covers</w:t>
            </w:r>
            <w:r w:rsidRPr="70E51342">
              <w:rPr>
                <w:rFonts w:eastAsia="Lucida Sans Unicode" w:cs="Segoe UI"/>
              </w:rPr>
              <w:t xml:space="preserve"> </w:t>
            </w:r>
            <w:r w:rsidRPr="14AD8132">
              <w:rPr>
                <w:rFonts w:eastAsia="Lucida Sans Unicode" w:cs="Segoe UI"/>
              </w:rPr>
              <w:t xml:space="preserve">the organisation of </w:t>
            </w:r>
            <w:r>
              <w:rPr>
                <w:rFonts w:eastAsia="Lucida Sans Unicode" w:cs="Segoe UI"/>
              </w:rPr>
              <w:t xml:space="preserve">both </w:t>
            </w:r>
            <w:r w:rsidRPr="14AD8132">
              <w:rPr>
                <w:rFonts w:eastAsia="Lucida Sans Unicode" w:cs="Segoe UI"/>
              </w:rPr>
              <w:t xml:space="preserve">the 2026 and 2028 </w:t>
            </w:r>
            <w:r w:rsidRPr="0BC42684">
              <w:rPr>
                <w:rFonts w:eastAsia="Lucida Sans Unicode" w:cs="Segoe UI"/>
              </w:rPr>
              <w:t>conference</w:t>
            </w:r>
            <w:r>
              <w:rPr>
                <w:rFonts w:eastAsia="Lucida Sans Unicode" w:cs="Segoe UI"/>
              </w:rPr>
              <w:t>s</w:t>
            </w:r>
            <w:r w:rsidRPr="0BC42684">
              <w:rPr>
                <w:rFonts w:eastAsia="Lucida Sans Unicode" w:cs="Segoe UI"/>
              </w:rPr>
              <w:t xml:space="preserve"> and </w:t>
            </w:r>
            <w:r>
              <w:rPr>
                <w:rFonts w:eastAsia="Lucida Sans Unicode" w:cs="Segoe UI"/>
              </w:rPr>
              <w:t xml:space="preserve">associated </w:t>
            </w:r>
            <w:r w:rsidRPr="0BC42684">
              <w:rPr>
                <w:rFonts w:eastAsia="Lucida Sans Unicode" w:cs="Segoe UI"/>
              </w:rPr>
              <w:t>think tank</w:t>
            </w:r>
            <w:r>
              <w:rPr>
                <w:rFonts w:eastAsia="Lucida Sans Unicode" w:cs="Segoe UI"/>
              </w:rPr>
              <w:t xml:space="preserve">s, as well as increases </w:t>
            </w:r>
            <w:r w:rsidRPr="000FA8C5">
              <w:rPr>
                <w:rFonts w:eastAsia="Lucida Sans Unicode" w:cs="Segoe UI"/>
              </w:rPr>
              <w:t>in</w:t>
            </w:r>
            <w:r w:rsidRPr="782462BD">
              <w:rPr>
                <w:rFonts w:eastAsia="Lucida Sans Unicode" w:cs="Segoe UI"/>
              </w:rPr>
              <w:t xml:space="preserve"> cost</w:t>
            </w:r>
            <w:r>
              <w:rPr>
                <w:rFonts w:eastAsia="Lucida Sans Unicode" w:cs="Segoe UI"/>
              </w:rPr>
              <w:t xml:space="preserve">s associated with </w:t>
            </w:r>
            <w:r w:rsidRPr="0DA8F32F">
              <w:rPr>
                <w:rFonts w:eastAsia="Lucida Sans Unicode" w:cs="Segoe UI"/>
              </w:rPr>
              <w:t xml:space="preserve">providing </w:t>
            </w:r>
            <w:r w:rsidRPr="000FA8C5">
              <w:rPr>
                <w:rFonts w:eastAsia="Lucida Sans Unicode" w:cs="Segoe UI"/>
              </w:rPr>
              <w:t>these events</w:t>
            </w:r>
          </w:p>
        </w:tc>
        <w:tc>
          <w:tcPr>
            <w:tcW w:w="1560" w:type="dxa"/>
          </w:tcPr>
          <w:p w14:paraId="0F6FE76D" w14:textId="77777777" w:rsidR="00CB1CE8" w:rsidRPr="00917D02" w:rsidRDefault="00CB1CE8" w:rsidP="00D24933">
            <w:pPr>
              <w:pStyle w:val="TableText"/>
              <w:rPr>
                <w:rFonts w:cs="Segoe UI"/>
                <w:szCs w:val="18"/>
              </w:rPr>
            </w:pPr>
            <w:r w:rsidRPr="00917D02">
              <w:rPr>
                <w:rFonts w:cs="Segoe UI"/>
                <w:szCs w:val="18"/>
              </w:rPr>
              <w:t>0.</w:t>
            </w:r>
            <w:r>
              <w:rPr>
                <w:rFonts w:cs="Segoe UI"/>
                <w:szCs w:val="18"/>
              </w:rPr>
              <w:t>36</w:t>
            </w:r>
            <w:r w:rsidRPr="00917D02">
              <w:rPr>
                <w:rFonts w:cs="Segoe UI"/>
                <w:szCs w:val="18"/>
              </w:rPr>
              <w:t>0</w:t>
            </w:r>
          </w:p>
        </w:tc>
        <w:tc>
          <w:tcPr>
            <w:tcW w:w="1417" w:type="dxa"/>
          </w:tcPr>
          <w:p w14:paraId="530E0A07" w14:textId="77777777" w:rsidR="00CB1CE8" w:rsidRPr="00917D02" w:rsidRDefault="00CB1CE8" w:rsidP="00D24933">
            <w:pPr>
              <w:pStyle w:val="TableText"/>
              <w:rPr>
                <w:rFonts w:cs="Segoe UI"/>
                <w:szCs w:val="18"/>
              </w:rPr>
            </w:pPr>
            <w:r w:rsidRPr="00917D02">
              <w:rPr>
                <w:rFonts w:cs="Segoe UI"/>
                <w:szCs w:val="18"/>
              </w:rPr>
              <w:t>0.080</w:t>
            </w:r>
          </w:p>
        </w:tc>
        <w:tc>
          <w:tcPr>
            <w:tcW w:w="1276" w:type="dxa"/>
          </w:tcPr>
          <w:p w14:paraId="5CA388AE" w14:textId="77777777" w:rsidR="00CB1CE8" w:rsidRPr="00917D02" w:rsidRDefault="00CB1CE8" w:rsidP="00D24933">
            <w:pPr>
              <w:pStyle w:val="TableText"/>
              <w:rPr>
                <w:rFonts w:cs="Segoe UI"/>
                <w:szCs w:val="18"/>
              </w:rPr>
            </w:pPr>
            <w:r w:rsidRPr="00917D02">
              <w:rPr>
                <w:rFonts w:cs="Segoe UI"/>
                <w:szCs w:val="18"/>
              </w:rPr>
              <w:t>3</w:t>
            </w:r>
          </w:p>
        </w:tc>
        <w:tc>
          <w:tcPr>
            <w:tcW w:w="1134" w:type="dxa"/>
          </w:tcPr>
          <w:p w14:paraId="08BF68C3" w14:textId="77777777" w:rsidR="00CB1CE8" w:rsidRPr="00917D02" w:rsidRDefault="00CB1CE8" w:rsidP="00D24933">
            <w:pPr>
              <w:pStyle w:val="TableText"/>
              <w:rPr>
                <w:rFonts w:cs="Segoe UI"/>
                <w:szCs w:val="18"/>
              </w:rPr>
            </w:pPr>
            <w:r w:rsidRPr="00917D02">
              <w:rPr>
                <w:rFonts w:cs="Segoe UI"/>
                <w:szCs w:val="18"/>
              </w:rPr>
              <w:t>Public health</w:t>
            </w:r>
          </w:p>
        </w:tc>
      </w:tr>
      <w:tr w:rsidR="006F151E" w:rsidRPr="00487FC0" w14:paraId="786DF242" w14:textId="77777777" w:rsidTr="00D24933">
        <w:tc>
          <w:tcPr>
            <w:tcW w:w="2268" w:type="dxa"/>
          </w:tcPr>
          <w:p w14:paraId="75E2B653" w14:textId="77777777" w:rsidR="00CB1CE8" w:rsidRPr="00917D02" w:rsidRDefault="00CB1CE8" w:rsidP="00D24933">
            <w:pPr>
              <w:pStyle w:val="TableText"/>
              <w:keepNext/>
              <w:rPr>
                <w:rFonts w:cs="Segoe UI"/>
                <w:szCs w:val="18"/>
              </w:rPr>
            </w:pPr>
            <w:r w:rsidRPr="00917D02">
              <w:rPr>
                <w:rFonts w:cs="Segoe UI"/>
                <w:szCs w:val="18"/>
              </w:rPr>
              <w:lastRenderedPageBreak/>
              <w:t>Lived experience advisory group</w:t>
            </w:r>
          </w:p>
        </w:tc>
        <w:tc>
          <w:tcPr>
            <w:tcW w:w="2830" w:type="dxa"/>
          </w:tcPr>
          <w:p w14:paraId="1579722F" w14:textId="77777777" w:rsidR="00CB1CE8" w:rsidRPr="00917D02" w:rsidRDefault="00CB1CE8" w:rsidP="00D24933">
            <w:pPr>
              <w:pStyle w:val="TableText"/>
              <w:keepNext/>
              <w:rPr>
                <w:rFonts w:cs="Segoe UI"/>
              </w:rPr>
            </w:pPr>
            <w:r w:rsidRPr="52103CC6">
              <w:rPr>
                <w:rFonts w:eastAsia="Segoe UI" w:cs="Segoe UI"/>
              </w:rPr>
              <w:t>Health New Zealand is committed to continuing to support lived-experience participation and involvement at all levels. The lived experience advisory group will continue to be supported to participate in service design, research and evaluation and engagement with other agencies and stakeholders.</w:t>
            </w:r>
          </w:p>
        </w:tc>
        <w:tc>
          <w:tcPr>
            <w:tcW w:w="3974" w:type="dxa"/>
          </w:tcPr>
          <w:p w14:paraId="6F1E3B6E" w14:textId="77777777" w:rsidR="00CB1CE8" w:rsidRPr="00917D02" w:rsidRDefault="00CB1CE8" w:rsidP="00D24933">
            <w:pPr>
              <w:pStyle w:val="TableText"/>
              <w:keepNext/>
              <w:rPr>
                <w:rFonts w:cs="Segoe UI"/>
              </w:rPr>
            </w:pPr>
            <w:r w:rsidRPr="52103CC6">
              <w:rPr>
                <w:rFonts w:cs="Segoe UI"/>
              </w:rPr>
              <w:t>Lived experience input improves the quality and effectiveness of services and policies. Having a standing group provides officials with easy access to this expertise, with appropriate support and compensation for the group members.</w:t>
            </w:r>
          </w:p>
        </w:tc>
        <w:tc>
          <w:tcPr>
            <w:tcW w:w="1560" w:type="dxa"/>
          </w:tcPr>
          <w:p w14:paraId="75DADA4D" w14:textId="77777777" w:rsidR="00CB1CE8" w:rsidRPr="00917D02" w:rsidRDefault="00CB1CE8" w:rsidP="00D24933">
            <w:pPr>
              <w:pStyle w:val="TableText"/>
              <w:keepNext/>
              <w:rPr>
                <w:rFonts w:cs="Segoe UI"/>
                <w:szCs w:val="18"/>
              </w:rPr>
            </w:pPr>
            <w:r w:rsidRPr="00917D02">
              <w:rPr>
                <w:rFonts w:cs="Segoe UI"/>
                <w:szCs w:val="18"/>
              </w:rPr>
              <w:t>0.390</w:t>
            </w:r>
          </w:p>
        </w:tc>
        <w:tc>
          <w:tcPr>
            <w:tcW w:w="1417" w:type="dxa"/>
          </w:tcPr>
          <w:p w14:paraId="67F5B92D" w14:textId="77777777" w:rsidR="00CB1CE8" w:rsidRPr="00917D02" w:rsidRDefault="00CB1CE8" w:rsidP="00D24933">
            <w:pPr>
              <w:pStyle w:val="TableText"/>
              <w:keepNext/>
              <w:rPr>
                <w:rFonts w:cs="Segoe UI"/>
                <w:szCs w:val="18"/>
              </w:rPr>
            </w:pPr>
            <w:r w:rsidRPr="00917D02">
              <w:rPr>
                <w:rFonts w:cs="Segoe UI"/>
                <w:szCs w:val="18"/>
              </w:rPr>
              <w:t>0.390</w:t>
            </w:r>
          </w:p>
        </w:tc>
        <w:tc>
          <w:tcPr>
            <w:tcW w:w="1276" w:type="dxa"/>
          </w:tcPr>
          <w:p w14:paraId="58CDE144" w14:textId="77777777" w:rsidR="00CB1CE8" w:rsidRPr="00917D02" w:rsidRDefault="00CB1CE8" w:rsidP="00D24933">
            <w:pPr>
              <w:pStyle w:val="TableText"/>
              <w:keepNext/>
              <w:rPr>
                <w:rFonts w:cs="Segoe UI"/>
                <w:szCs w:val="18"/>
              </w:rPr>
            </w:pPr>
            <w:r w:rsidRPr="00917D02">
              <w:rPr>
                <w:rFonts w:cs="Segoe UI"/>
                <w:szCs w:val="18"/>
              </w:rPr>
              <w:t>4</w:t>
            </w:r>
          </w:p>
        </w:tc>
        <w:tc>
          <w:tcPr>
            <w:tcW w:w="1134" w:type="dxa"/>
          </w:tcPr>
          <w:p w14:paraId="6D47D973" w14:textId="77777777" w:rsidR="00CB1CE8" w:rsidRPr="00917D02" w:rsidRDefault="00CB1CE8" w:rsidP="00D24933">
            <w:pPr>
              <w:pStyle w:val="TableText"/>
              <w:keepNext/>
              <w:rPr>
                <w:rFonts w:cs="Segoe UI"/>
                <w:szCs w:val="18"/>
              </w:rPr>
            </w:pPr>
            <w:r w:rsidRPr="00917D02">
              <w:rPr>
                <w:rFonts w:cs="Segoe UI"/>
                <w:szCs w:val="18"/>
              </w:rPr>
              <w:t>Public health</w:t>
            </w:r>
          </w:p>
        </w:tc>
      </w:tr>
      <w:tr w:rsidR="006F151E" w:rsidRPr="001615C1" w14:paraId="17369E40" w14:textId="77777777" w:rsidTr="00D24933">
        <w:tc>
          <w:tcPr>
            <w:tcW w:w="2268" w:type="dxa"/>
          </w:tcPr>
          <w:p w14:paraId="2CF3B3F5" w14:textId="77777777" w:rsidR="00CB1CE8" w:rsidRPr="00917D02" w:rsidRDefault="00CB1CE8" w:rsidP="00D24933">
            <w:pPr>
              <w:pStyle w:val="TableText"/>
              <w:rPr>
                <w:rFonts w:cs="Segoe UI"/>
                <w:szCs w:val="18"/>
              </w:rPr>
            </w:pPr>
            <w:r w:rsidRPr="00917D02">
              <w:rPr>
                <w:rFonts w:cs="Segoe UI"/>
                <w:szCs w:val="18"/>
              </w:rPr>
              <w:t>Digital services and supports</w:t>
            </w:r>
          </w:p>
        </w:tc>
        <w:tc>
          <w:tcPr>
            <w:tcW w:w="2830" w:type="dxa"/>
          </w:tcPr>
          <w:p w14:paraId="1C4B79B9" w14:textId="77777777" w:rsidR="00CB1CE8" w:rsidRPr="00917D02" w:rsidRDefault="00CB1CE8" w:rsidP="00D24933">
            <w:pPr>
              <w:pStyle w:val="TableText"/>
              <w:rPr>
                <w:rFonts w:eastAsia="Segoe UI" w:cs="Segoe UI"/>
                <w:szCs w:val="18"/>
              </w:rPr>
            </w:pPr>
            <w:r w:rsidRPr="00917D02">
              <w:rPr>
                <w:rFonts w:eastAsia="Lucida Sans Unicode" w:cs="Segoe UI"/>
                <w:szCs w:val="18"/>
              </w:rPr>
              <w:t xml:space="preserve">Digital services that supplement intervention services delivered by clinical staff are currently available. They provide user-friendly, interactive self-help tools and information resources. </w:t>
            </w:r>
          </w:p>
        </w:tc>
        <w:tc>
          <w:tcPr>
            <w:tcW w:w="3974" w:type="dxa"/>
          </w:tcPr>
          <w:p w14:paraId="16897F22" w14:textId="77777777" w:rsidR="00CB1CE8" w:rsidRPr="00917D02" w:rsidRDefault="00CB1CE8" w:rsidP="00D24933">
            <w:pPr>
              <w:pStyle w:val="TableText"/>
              <w:rPr>
                <w:rStyle w:val="ui-provider"/>
                <w:rFonts w:eastAsia="MS Gothic" w:cs="Segoe UI"/>
                <w:szCs w:val="18"/>
              </w:rPr>
            </w:pPr>
            <w:r w:rsidRPr="00917D02">
              <w:rPr>
                <w:rStyle w:val="ui-provider"/>
                <w:rFonts w:eastAsia="MS Gothic" w:cs="Segoe UI"/>
                <w:szCs w:val="18"/>
              </w:rPr>
              <w:t xml:space="preserve">A comprehensive gambling harm treatment and support system should include a variety of treatment and support methods that are backed by evidence. This includes online self-help for delivering psychological therapy and sharing information. </w:t>
            </w:r>
            <w:r w:rsidRPr="00917D02">
              <w:rPr>
                <w:rFonts w:eastAsia="Segoe UI" w:cs="Segoe UI"/>
                <w:szCs w:val="18"/>
              </w:rPr>
              <w:t>This work includes development of multilingual supports, culturally relevant resources, and live chat aimed at Asian populations.</w:t>
            </w:r>
          </w:p>
        </w:tc>
        <w:tc>
          <w:tcPr>
            <w:tcW w:w="1560" w:type="dxa"/>
          </w:tcPr>
          <w:p w14:paraId="33DEF56C" w14:textId="77777777" w:rsidR="00CB1CE8" w:rsidRPr="00917D02" w:rsidRDefault="00CB1CE8" w:rsidP="00D24933">
            <w:pPr>
              <w:pStyle w:val="TableText"/>
              <w:rPr>
                <w:rFonts w:cs="Segoe UI"/>
                <w:szCs w:val="18"/>
              </w:rPr>
            </w:pPr>
            <w:r w:rsidRPr="00917D02">
              <w:rPr>
                <w:rFonts w:cs="Segoe UI"/>
                <w:szCs w:val="18"/>
              </w:rPr>
              <w:t>2.953</w:t>
            </w:r>
          </w:p>
        </w:tc>
        <w:tc>
          <w:tcPr>
            <w:tcW w:w="1417" w:type="dxa"/>
          </w:tcPr>
          <w:p w14:paraId="0B7A014F" w14:textId="77777777" w:rsidR="00CB1CE8" w:rsidRPr="00917D02" w:rsidRDefault="00CB1CE8" w:rsidP="00D24933">
            <w:pPr>
              <w:pStyle w:val="TableText"/>
              <w:rPr>
                <w:rFonts w:cs="Segoe UI"/>
                <w:szCs w:val="18"/>
              </w:rPr>
            </w:pPr>
            <w:r w:rsidRPr="00917D02">
              <w:rPr>
                <w:rFonts w:cs="Segoe UI"/>
                <w:szCs w:val="18"/>
              </w:rPr>
              <w:t xml:space="preserve"> 2.500</w:t>
            </w:r>
          </w:p>
        </w:tc>
        <w:tc>
          <w:tcPr>
            <w:tcW w:w="1276" w:type="dxa"/>
          </w:tcPr>
          <w:p w14:paraId="6290FBB4" w14:textId="77777777" w:rsidR="00CB1CE8" w:rsidRPr="00917D02" w:rsidRDefault="00CB1CE8" w:rsidP="00D24933">
            <w:pPr>
              <w:pStyle w:val="TableText"/>
              <w:rPr>
                <w:rFonts w:cs="Segoe UI"/>
                <w:szCs w:val="18"/>
              </w:rPr>
            </w:pPr>
            <w:r w:rsidRPr="00917D02">
              <w:rPr>
                <w:rFonts w:cs="Segoe UI"/>
                <w:szCs w:val="18"/>
              </w:rPr>
              <w:t>1</w:t>
            </w:r>
          </w:p>
        </w:tc>
        <w:tc>
          <w:tcPr>
            <w:tcW w:w="1134" w:type="dxa"/>
          </w:tcPr>
          <w:p w14:paraId="6F151795" w14:textId="3FCEDA86" w:rsidR="00CB1CE8" w:rsidRPr="00917D02" w:rsidRDefault="00CB1CE8" w:rsidP="00D24933">
            <w:pPr>
              <w:pStyle w:val="TableText"/>
              <w:rPr>
                <w:rFonts w:cs="Segoe UI"/>
              </w:rPr>
            </w:pPr>
            <w:r w:rsidRPr="27E35E7B">
              <w:rPr>
                <w:rFonts w:cs="Segoe UI"/>
              </w:rPr>
              <w:t>Treatment services</w:t>
            </w:r>
          </w:p>
        </w:tc>
      </w:tr>
      <w:tr w:rsidR="006F151E" w:rsidRPr="001615C1" w14:paraId="6B540D2B" w14:textId="77777777" w:rsidTr="00D24933">
        <w:tc>
          <w:tcPr>
            <w:tcW w:w="2268" w:type="dxa"/>
          </w:tcPr>
          <w:p w14:paraId="2561BF1D" w14:textId="4B206253" w:rsidR="00CB1CE8" w:rsidRPr="00917D02" w:rsidRDefault="00CB1CE8" w:rsidP="00D24933">
            <w:pPr>
              <w:pStyle w:val="TableText"/>
              <w:rPr>
                <w:rFonts w:cs="Segoe UI"/>
              </w:rPr>
            </w:pPr>
            <w:r w:rsidRPr="01827D38">
              <w:rPr>
                <w:rFonts w:cs="Segoe UI"/>
              </w:rPr>
              <w:t xml:space="preserve">Practitioner Guide Refresh </w:t>
            </w:r>
            <w:r w:rsidRPr="3017E7F7">
              <w:rPr>
                <w:rFonts w:cs="Segoe UI"/>
              </w:rPr>
              <w:t xml:space="preserve">- </w:t>
            </w:r>
            <w:r w:rsidRPr="01827D38">
              <w:rPr>
                <w:rFonts w:cs="Segoe UI"/>
              </w:rPr>
              <w:t>NEW</w:t>
            </w:r>
          </w:p>
        </w:tc>
        <w:tc>
          <w:tcPr>
            <w:tcW w:w="2830" w:type="dxa"/>
          </w:tcPr>
          <w:p w14:paraId="31ED886A" w14:textId="47F4D5B7" w:rsidR="00CB1CE8" w:rsidRPr="00917D02" w:rsidRDefault="00CB1CE8" w:rsidP="00D24933">
            <w:pPr>
              <w:pStyle w:val="TableText"/>
              <w:rPr>
                <w:rFonts w:eastAsia="Lucida Sans Unicode" w:cs="Segoe UI"/>
                <w:szCs w:val="18"/>
              </w:rPr>
            </w:pPr>
            <w:r>
              <w:rPr>
                <w:rFonts w:eastAsia="Lucida Sans Unicode" w:cs="Segoe UI"/>
                <w:szCs w:val="18"/>
              </w:rPr>
              <w:t>Review clinical guidelines</w:t>
            </w:r>
          </w:p>
        </w:tc>
        <w:tc>
          <w:tcPr>
            <w:tcW w:w="3974" w:type="dxa"/>
          </w:tcPr>
          <w:p w14:paraId="00970BED" w14:textId="16B7BB1A" w:rsidR="00CB1CE8" w:rsidRPr="00917D02" w:rsidRDefault="00CB1CE8" w:rsidP="00D24933">
            <w:pPr>
              <w:pStyle w:val="TableText"/>
              <w:rPr>
                <w:rStyle w:val="ui-provider"/>
                <w:rFonts w:eastAsia="MS Gothic" w:cs="Segoe UI"/>
              </w:rPr>
            </w:pPr>
            <w:r>
              <w:rPr>
                <w:rStyle w:val="ui-provider"/>
                <w:rFonts w:eastAsia="MS Gothic" w:cs="Segoe UI"/>
              </w:rPr>
              <w:t>The review will address s</w:t>
            </w:r>
            <w:r w:rsidRPr="7252A5EE">
              <w:rPr>
                <w:rStyle w:val="ui-provider"/>
                <w:rFonts w:eastAsia="MS Gothic" w:cs="Segoe UI"/>
              </w:rPr>
              <w:t>ignificant</w:t>
            </w:r>
            <w:r>
              <w:rPr>
                <w:rStyle w:val="ui-provider"/>
                <w:rFonts w:eastAsia="MS Gothic"/>
              </w:rPr>
              <w:t xml:space="preserve"> changes in sector treatment practices and learnings have occurred since the current guidelines were published in 2019.</w:t>
            </w:r>
          </w:p>
        </w:tc>
        <w:tc>
          <w:tcPr>
            <w:tcW w:w="1560" w:type="dxa"/>
          </w:tcPr>
          <w:p w14:paraId="3DB1262A" w14:textId="55AD49B6" w:rsidR="00CB1CE8" w:rsidRPr="00917D02" w:rsidRDefault="00CB1CE8" w:rsidP="00D24933">
            <w:pPr>
              <w:pStyle w:val="TableText"/>
              <w:rPr>
                <w:rFonts w:cs="Segoe UI"/>
                <w:szCs w:val="18"/>
              </w:rPr>
            </w:pPr>
            <w:r>
              <w:rPr>
                <w:rFonts w:cs="Segoe UI"/>
                <w:szCs w:val="18"/>
              </w:rPr>
              <w:t>0.200</w:t>
            </w:r>
          </w:p>
        </w:tc>
        <w:tc>
          <w:tcPr>
            <w:tcW w:w="1417" w:type="dxa"/>
          </w:tcPr>
          <w:p w14:paraId="5011F366" w14:textId="77777777" w:rsidR="00CB1CE8" w:rsidRPr="00917D02" w:rsidRDefault="00CB1CE8" w:rsidP="00D24933">
            <w:pPr>
              <w:pStyle w:val="TableText"/>
              <w:rPr>
                <w:rFonts w:cs="Segoe UI"/>
                <w:szCs w:val="18"/>
              </w:rPr>
            </w:pPr>
            <w:r>
              <w:rPr>
                <w:rFonts w:cs="Segoe UI"/>
                <w:szCs w:val="18"/>
              </w:rPr>
              <w:t>0</w:t>
            </w:r>
          </w:p>
        </w:tc>
        <w:tc>
          <w:tcPr>
            <w:tcW w:w="1276" w:type="dxa"/>
          </w:tcPr>
          <w:p w14:paraId="5BB362B3" w14:textId="77777777" w:rsidR="00CB1CE8" w:rsidRPr="00917D02" w:rsidRDefault="00CB1CE8" w:rsidP="00D24933">
            <w:pPr>
              <w:pStyle w:val="TableText"/>
              <w:rPr>
                <w:rFonts w:cs="Segoe UI"/>
                <w:szCs w:val="18"/>
              </w:rPr>
            </w:pPr>
          </w:p>
        </w:tc>
        <w:tc>
          <w:tcPr>
            <w:tcW w:w="1134" w:type="dxa"/>
          </w:tcPr>
          <w:p w14:paraId="0BDE5448" w14:textId="5CFA82F3" w:rsidR="00CB1CE8" w:rsidRPr="00917D02" w:rsidRDefault="00CB1CE8" w:rsidP="00D24933">
            <w:pPr>
              <w:pStyle w:val="TableText"/>
              <w:rPr>
                <w:rFonts w:cs="Segoe UI"/>
              </w:rPr>
            </w:pPr>
            <w:r w:rsidRPr="27E35E7B">
              <w:rPr>
                <w:rFonts w:cs="Segoe UI"/>
              </w:rPr>
              <w:t>Treatment</w:t>
            </w:r>
            <w:r>
              <w:rPr>
                <w:rFonts w:cs="Segoe UI"/>
              </w:rPr>
              <w:t xml:space="preserve"> </w:t>
            </w:r>
            <w:r w:rsidRPr="27E35E7B">
              <w:rPr>
                <w:rFonts w:cs="Segoe UI"/>
              </w:rPr>
              <w:t>Services</w:t>
            </w:r>
          </w:p>
        </w:tc>
      </w:tr>
      <w:tr w:rsidR="006F151E" w:rsidRPr="00FB7905" w14:paraId="29C10861" w14:textId="77777777" w:rsidTr="00D24933">
        <w:tc>
          <w:tcPr>
            <w:tcW w:w="2268" w:type="dxa"/>
          </w:tcPr>
          <w:p w14:paraId="128A219C" w14:textId="77777777" w:rsidR="00CB1CE8" w:rsidRPr="00917D02" w:rsidRDefault="00CB1CE8" w:rsidP="00D24933">
            <w:pPr>
              <w:pStyle w:val="TableText"/>
              <w:rPr>
                <w:rFonts w:cs="Segoe UI"/>
                <w:b/>
                <w:bCs/>
                <w:szCs w:val="18"/>
              </w:rPr>
            </w:pPr>
            <w:r w:rsidRPr="00917D02">
              <w:rPr>
                <w:rFonts w:cs="Segoe UI"/>
                <w:b/>
                <w:bCs/>
                <w:szCs w:val="18"/>
              </w:rPr>
              <w:t>Total</w:t>
            </w:r>
          </w:p>
        </w:tc>
        <w:tc>
          <w:tcPr>
            <w:tcW w:w="2830" w:type="dxa"/>
          </w:tcPr>
          <w:p w14:paraId="5838223B" w14:textId="77777777" w:rsidR="00CB1CE8" w:rsidRPr="00917D02" w:rsidRDefault="00CB1CE8" w:rsidP="00D24933">
            <w:pPr>
              <w:pStyle w:val="TableText"/>
              <w:rPr>
                <w:rFonts w:eastAsia="Lucida Sans Unicode" w:cs="Segoe UI"/>
                <w:b/>
                <w:bCs/>
                <w:szCs w:val="18"/>
              </w:rPr>
            </w:pPr>
          </w:p>
        </w:tc>
        <w:tc>
          <w:tcPr>
            <w:tcW w:w="3974" w:type="dxa"/>
          </w:tcPr>
          <w:p w14:paraId="7C8612FD" w14:textId="77777777" w:rsidR="00CB1CE8" w:rsidRPr="00917D02" w:rsidRDefault="00CB1CE8" w:rsidP="00D24933">
            <w:pPr>
              <w:pStyle w:val="TableText"/>
              <w:rPr>
                <w:rStyle w:val="ui-provider"/>
                <w:rFonts w:eastAsia="MS Gothic" w:cs="Segoe UI"/>
                <w:b/>
                <w:bCs/>
                <w:szCs w:val="18"/>
              </w:rPr>
            </w:pPr>
          </w:p>
        </w:tc>
        <w:tc>
          <w:tcPr>
            <w:tcW w:w="1560" w:type="dxa"/>
          </w:tcPr>
          <w:p w14:paraId="3E9360C8" w14:textId="73F1A840" w:rsidR="00CB1CE8" w:rsidRPr="00917D02" w:rsidRDefault="00CB1CE8" w:rsidP="00D24933">
            <w:pPr>
              <w:pStyle w:val="TableText"/>
              <w:rPr>
                <w:rFonts w:cs="Segoe UI"/>
                <w:b/>
                <w:bCs/>
                <w:szCs w:val="18"/>
              </w:rPr>
            </w:pPr>
            <w:r w:rsidRPr="00917D02">
              <w:rPr>
                <w:rFonts w:cs="Segoe UI"/>
                <w:b/>
                <w:bCs/>
                <w:szCs w:val="18"/>
              </w:rPr>
              <w:t>10.</w:t>
            </w:r>
            <w:r>
              <w:rPr>
                <w:rFonts w:cs="Segoe UI"/>
                <w:b/>
                <w:bCs/>
                <w:szCs w:val="18"/>
              </w:rPr>
              <w:t>549</w:t>
            </w:r>
          </w:p>
        </w:tc>
        <w:tc>
          <w:tcPr>
            <w:tcW w:w="1417" w:type="dxa"/>
          </w:tcPr>
          <w:p w14:paraId="36F4AFA6" w14:textId="77777777" w:rsidR="00CB1CE8" w:rsidRPr="00917D02" w:rsidRDefault="00CB1CE8" w:rsidP="00D24933">
            <w:pPr>
              <w:pStyle w:val="TableText"/>
              <w:rPr>
                <w:rFonts w:cs="Segoe UI"/>
                <w:b/>
                <w:bCs/>
                <w:szCs w:val="18"/>
              </w:rPr>
            </w:pPr>
          </w:p>
        </w:tc>
        <w:tc>
          <w:tcPr>
            <w:tcW w:w="1276" w:type="dxa"/>
          </w:tcPr>
          <w:p w14:paraId="640348B9" w14:textId="77777777" w:rsidR="00CB1CE8" w:rsidRPr="00917D02" w:rsidRDefault="00CB1CE8" w:rsidP="00D24933">
            <w:pPr>
              <w:pStyle w:val="TableText"/>
              <w:rPr>
                <w:rFonts w:cs="Segoe UI"/>
                <w:b/>
                <w:bCs/>
                <w:szCs w:val="18"/>
              </w:rPr>
            </w:pPr>
          </w:p>
        </w:tc>
        <w:tc>
          <w:tcPr>
            <w:tcW w:w="1134" w:type="dxa"/>
          </w:tcPr>
          <w:p w14:paraId="6D09BDBE" w14:textId="77777777" w:rsidR="00CB1CE8" w:rsidRPr="00917D02" w:rsidRDefault="00CB1CE8" w:rsidP="00D24933">
            <w:pPr>
              <w:pStyle w:val="TableText"/>
              <w:rPr>
                <w:rFonts w:cs="Segoe UI"/>
                <w:b/>
                <w:bCs/>
                <w:szCs w:val="18"/>
              </w:rPr>
            </w:pPr>
          </w:p>
        </w:tc>
      </w:tr>
    </w:tbl>
    <w:p w14:paraId="6232F4B5" w14:textId="53F38106" w:rsidR="00CE5300" w:rsidRDefault="00CE5300" w:rsidP="00235C06">
      <w:pPr>
        <w:pStyle w:val="Note"/>
        <w:rPr>
          <w:rFonts w:cstheme="minorHAnsi"/>
          <w:b/>
          <w:bCs/>
        </w:rPr>
      </w:pPr>
      <w:r w:rsidRPr="009D47BB">
        <w:rPr>
          <w:rFonts w:eastAsia="Lucida Sans Unicode"/>
        </w:rPr>
        <w:t>Note: Budget sums may not total due to rounding.</w:t>
      </w:r>
    </w:p>
    <w:p w14:paraId="57E2B7E4" w14:textId="77777777" w:rsidR="00CE5300" w:rsidRDefault="00CE5300" w:rsidP="00CE5300">
      <w:pPr>
        <w:rPr>
          <w:rFonts w:cstheme="minorHAnsi"/>
          <w:b/>
          <w:bCs/>
        </w:rPr>
        <w:sectPr w:rsidR="00CE5300" w:rsidSect="00CE5300">
          <w:footerReference w:type="even" r:id="rId41"/>
          <w:footerReference w:type="default" r:id="rId42"/>
          <w:pgSz w:w="16840" w:h="11907" w:orient="landscape" w:code="9"/>
          <w:pgMar w:top="1134" w:right="1701" w:bottom="1134" w:left="1701" w:header="284" w:footer="425" w:gutter="284"/>
          <w:cols w:space="720"/>
          <w:docGrid w:linePitch="286"/>
        </w:sectPr>
      </w:pPr>
    </w:p>
    <w:p w14:paraId="2FB59480" w14:textId="77777777" w:rsidR="00CE5300" w:rsidRPr="009D47BB" w:rsidRDefault="00CE5300" w:rsidP="00CE5300">
      <w:pPr>
        <w:pStyle w:val="Heading2"/>
        <w:spacing w:before="0"/>
      </w:pPr>
      <w:bookmarkStart w:id="30" w:name="_Toc197534206"/>
      <w:r w:rsidRPr="009D47BB">
        <w:lastRenderedPageBreak/>
        <w:t>Summary tables by service area</w:t>
      </w:r>
      <w:bookmarkEnd w:id="30"/>
      <w:r w:rsidRPr="009D47BB">
        <w:t xml:space="preserve"> </w:t>
      </w:r>
    </w:p>
    <w:p w14:paraId="640EB0D7" w14:textId="77777777" w:rsidR="00CE5300" w:rsidRDefault="00CE5300" w:rsidP="00CE5300">
      <w:r>
        <w:t>T</w:t>
      </w:r>
      <w:r w:rsidRPr="00533CA0">
        <w:t xml:space="preserve">ables </w:t>
      </w:r>
      <w:r>
        <w:t>A5.2–A5.5 list</w:t>
      </w:r>
      <w:r w:rsidRPr="00533CA0">
        <w:t xml:space="preserve"> the activities </w:t>
      </w:r>
      <w:r>
        <w:t>from</w:t>
      </w:r>
      <w:r w:rsidRPr="00533CA0">
        <w:t xml:space="preserve"> the </w:t>
      </w:r>
      <w:r>
        <w:t>four detailed service plan</w:t>
      </w:r>
      <w:r w:rsidRPr="00533CA0">
        <w:t xml:space="preserve"> </w:t>
      </w:r>
      <w:r>
        <w:t xml:space="preserve">priority </w:t>
      </w:r>
      <w:r w:rsidRPr="00533CA0">
        <w:t>tables above in the service area format used for the 2022/23 to 2024/25</w:t>
      </w:r>
      <w:r w:rsidRPr="00F5695C">
        <w:t xml:space="preserve"> </w:t>
      </w:r>
      <w:r w:rsidRPr="00533CA0">
        <w:t xml:space="preserve">service plan. </w:t>
      </w:r>
    </w:p>
    <w:p w14:paraId="22A306BE" w14:textId="77777777" w:rsidR="00CE5300" w:rsidRDefault="00CE5300" w:rsidP="00CE5300"/>
    <w:p w14:paraId="63466A4F" w14:textId="3FA9B12D" w:rsidR="00CE5300" w:rsidRDefault="00CE5300" w:rsidP="00CE5300">
      <w:r w:rsidRPr="52103CC6">
        <w:t xml:space="preserve">Due to changes in how services have been organised, the line items may not correspond directly with those in the 2022/23 to 2024/25 service plan. For example, the section formerly headed as ‘public health’ is now ‘primary prevention (public health services)’. </w:t>
      </w:r>
    </w:p>
    <w:p w14:paraId="6BFED7B2" w14:textId="77777777" w:rsidR="00235C06" w:rsidRPr="00533CA0" w:rsidRDefault="00235C06" w:rsidP="00CE5300"/>
    <w:p w14:paraId="1F6936E3" w14:textId="77777777" w:rsidR="00CE5300" w:rsidRPr="00533CA0" w:rsidRDefault="00CE5300" w:rsidP="52103CC6">
      <w:pPr>
        <w:pStyle w:val="Table"/>
      </w:pPr>
      <w:bookmarkStart w:id="31" w:name="_Toc197534216"/>
      <w:r w:rsidRPr="52103CC6">
        <w:t>Table A5.2: Primary prevention (public health) services, NZ$m</w:t>
      </w:r>
      <w:bookmarkEnd w:id="31"/>
    </w:p>
    <w:tbl>
      <w:tblPr>
        <w:tblW w:w="8190" w:type="dxa"/>
        <w:tblInd w:w="-5" w:type="dxa"/>
        <w:tblBorders>
          <w:top w:val="single" w:sz="4" w:space="0" w:color="A6A6A6" w:themeColor="background1" w:themeShade="A6"/>
          <w:bottom w:val="single" w:sz="4" w:space="0" w:color="A6A6A6" w:themeColor="background1" w:themeShade="A6"/>
          <w:insideH w:val="single" w:sz="6" w:space="0" w:color="A6A6A6" w:themeColor="background1" w:themeShade="A6"/>
        </w:tblBorders>
        <w:tblLayout w:type="fixed"/>
        <w:tblLook w:val="04A0" w:firstRow="1" w:lastRow="0" w:firstColumn="1" w:lastColumn="0" w:noHBand="0" w:noVBand="1"/>
      </w:tblPr>
      <w:tblGrid>
        <w:gridCol w:w="3500"/>
        <w:gridCol w:w="1172"/>
        <w:gridCol w:w="1173"/>
        <w:gridCol w:w="1172"/>
        <w:gridCol w:w="1173"/>
      </w:tblGrid>
      <w:tr w:rsidR="006B44F5" w:rsidRPr="009D47BB" w14:paraId="528EB7AF" w14:textId="77777777" w:rsidTr="005A02AA">
        <w:tc>
          <w:tcPr>
            <w:tcW w:w="3500" w:type="dxa"/>
            <w:tcBorders>
              <w:top w:val="nil"/>
              <w:bottom w:val="nil"/>
            </w:tcBorders>
            <w:shd w:val="clear" w:color="auto" w:fill="D9D9D9" w:themeFill="background1" w:themeFillShade="D9"/>
            <w:vAlign w:val="center"/>
            <w:hideMark/>
          </w:tcPr>
          <w:p w14:paraId="226B624E" w14:textId="77777777" w:rsidR="00CE5300" w:rsidRPr="005A02AA" w:rsidRDefault="00CE5300" w:rsidP="005A02AA">
            <w:pPr>
              <w:pStyle w:val="TableText"/>
              <w:rPr>
                <w:rFonts w:cs="Segoe UI"/>
                <w:b/>
                <w:bCs/>
                <w:szCs w:val="18"/>
                <w:lang w:eastAsia="en-NZ"/>
              </w:rPr>
            </w:pPr>
            <w:r w:rsidRPr="005A02AA">
              <w:rPr>
                <w:rFonts w:cs="Segoe UI"/>
                <w:b/>
                <w:bCs/>
                <w:szCs w:val="18"/>
                <w:lang w:eastAsia="en-NZ"/>
              </w:rPr>
              <w:t>Service area</w:t>
            </w:r>
          </w:p>
        </w:tc>
        <w:tc>
          <w:tcPr>
            <w:tcW w:w="1172" w:type="dxa"/>
            <w:tcBorders>
              <w:top w:val="nil"/>
              <w:bottom w:val="nil"/>
            </w:tcBorders>
            <w:shd w:val="clear" w:color="auto" w:fill="D9D9D9" w:themeFill="background1" w:themeFillShade="D9"/>
            <w:vAlign w:val="center"/>
            <w:hideMark/>
          </w:tcPr>
          <w:p w14:paraId="0CA71AE3" w14:textId="77777777" w:rsidR="00CE5300" w:rsidRPr="005A02AA" w:rsidRDefault="00CE5300" w:rsidP="005A02AA">
            <w:pPr>
              <w:pStyle w:val="TableText"/>
              <w:jc w:val="right"/>
              <w:rPr>
                <w:rFonts w:cs="Segoe UI"/>
                <w:b/>
                <w:bCs/>
                <w:szCs w:val="18"/>
              </w:rPr>
            </w:pPr>
            <w:r w:rsidRPr="005A02AA">
              <w:rPr>
                <w:rFonts w:cs="Segoe UI"/>
                <w:b/>
                <w:bCs/>
                <w:szCs w:val="18"/>
              </w:rPr>
              <w:t>2025/26</w:t>
            </w:r>
          </w:p>
        </w:tc>
        <w:tc>
          <w:tcPr>
            <w:tcW w:w="1173" w:type="dxa"/>
            <w:tcBorders>
              <w:top w:val="nil"/>
              <w:bottom w:val="nil"/>
            </w:tcBorders>
            <w:shd w:val="clear" w:color="auto" w:fill="D9D9D9" w:themeFill="background1" w:themeFillShade="D9"/>
            <w:vAlign w:val="center"/>
            <w:hideMark/>
          </w:tcPr>
          <w:p w14:paraId="01BF340F" w14:textId="77777777" w:rsidR="00CE5300" w:rsidRPr="005A02AA" w:rsidRDefault="00CE5300" w:rsidP="005A02AA">
            <w:pPr>
              <w:pStyle w:val="TableText"/>
              <w:jc w:val="right"/>
              <w:rPr>
                <w:rFonts w:cs="Segoe UI"/>
                <w:b/>
                <w:bCs/>
                <w:szCs w:val="18"/>
              </w:rPr>
            </w:pPr>
            <w:r w:rsidRPr="005A02AA">
              <w:rPr>
                <w:rFonts w:cs="Segoe UI"/>
                <w:b/>
                <w:bCs/>
                <w:szCs w:val="18"/>
              </w:rPr>
              <w:t>2026/27</w:t>
            </w:r>
          </w:p>
        </w:tc>
        <w:tc>
          <w:tcPr>
            <w:tcW w:w="1172" w:type="dxa"/>
            <w:tcBorders>
              <w:top w:val="nil"/>
              <w:bottom w:val="nil"/>
            </w:tcBorders>
            <w:shd w:val="clear" w:color="auto" w:fill="D9D9D9" w:themeFill="background1" w:themeFillShade="D9"/>
            <w:vAlign w:val="center"/>
            <w:hideMark/>
          </w:tcPr>
          <w:p w14:paraId="1F3CE2C4" w14:textId="77777777" w:rsidR="00CE5300" w:rsidRPr="005A02AA" w:rsidRDefault="00CE5300" w:rsidP="005A02AA">
            <w:pPr>
              <w:pStyle w:val="TableText"/>
              <w:jc w:val="right"/>
              <w:rPr>
                <w:rFonts w:cs="Segoe UI"/>
                <w:b/>
                <w:bCs/>
                <w:szCs w:val="18"/>
              </w:rPr>
            </w:pPr>
            <w:r w:rsidRPr="005A02AA">
              <w:rPr>
                <w:rFonts w:cs="Segoe UI"/>
                <w:b/>
                <w:bCs/>
                <w:szCs w:val="18"/>
              </w:rPr>
              <w:t>2027/28</w:t>
            </w:r>
          </w:p>
        </w:tc>
        <w:tc>
          <w:tcPr>
            <w:tcW w:w="1173" w:type="dxa"/>
            <w:tcBorders>
              <w:top w:val="nil"/>
              <w:bottom w:val="nil"/>
            </w:tcBorders>
            <w:shd w:val="clear" w:color="auto" w:fill="D9D9D9" w:themeFill="background1" w:themeFillShade="D9"/>
            <w:vAlign w:val="center"/>
            <w:hideMark/>
          </w:tcPr>
          <w:p w14:paraId="7DD43F56" w14:textId="77777777" w:rsidR="00CE5300" w:rsidRPr="005A02AA" w:rsidRDefault="00CE5300" w:rsidP="005A02AA">
            <w:pPr>
              <w:pStyle w:val="TableText"/>
              <w:jc w:val="right"/>
              <w:rPr>
                <w:rFonts w:cs="Segoe UI"/>
                <w:b/>
                <w:bCs/>
                <w:szCs w:val="18"/>
              </w:rPr>
            </w:pPr>
            <w:r w:rsidRPr="005A02AA">
              <w:rPr>
                <w:rFonts w:cs="Segoe UI"/>
                <w:b/>
                <w:bCs/>
                <w:szCs w:val="18"/>
              </w:rPr>
              <w:t xml:space="preserve">Total </w:t>
            </w:r>
          </w:p>
        </w:tc>
      </w:tr>
      <w:tr w:rsidR="00BA0682" w:rsidRPr="00C7065D" w14:paraId="62D74C7A" w14:textId="77777777" w:rsidTr="005A02AA">
        <w:tblPrEx>
          <w:tblBorders>
            <w:top w:val="none" w:sz="0" w:space="0" w:color="auto"/>
            <w:bottom w:val="none" w:sz="0" w:space="0" w:color="auto"/>
            <w:insideH w:val="none" w:sz="0" w:space="0" w:color="auto"/>
          </w:tblBorders>
        </w:tblPrEx>
        <w:trPr>
          <w:trHeight w:val="290"/>
        </w:trPr>
        <w:tc>
          <w:tcPr>
            <w:tcW w:w="3500" w:type="dxa"/>
            <w:shd w:val="clear" w:color="000000" w:fill="FFFFFF"/>
            <w:noWrap/>
            <w:vAlign w:val="bottom"/>
            <w:hideMark/>
          </w:tcPr>
          <w:p w14:paraId="53095603" w14:textId="77777777" w:rsidR="00C7065D" w:rsidRPr="005A02AA" w:rsidRDefault="00C7065D" w:rsidP="005A02AA">
            <w:pPr>
              <w:pStyle w:val="TableText"/>
              <w:rPr>
                <w:rFonts w:cs="Segoe UI"/>
                <w:szCs w:val="18"/>
                <w:lang w:eastAsia="en-NZ"/>
              </w:rPr>
            </w:pPr>
            <w:r w:rsidRPr="005A02AA">
              <w:rPr>
                <w:rFonts w:cs="Segoe UI"/>
                <w:szCs w:val="18"/>
                <w:lang w:eastAsia="en-NZ"/>
              </w:rPr>
              <w:t>Primary Prevention (Public Health)</w:t>
            </w:r>
          </w:p>
        </w:tc>
        <w:tc>
          <w:tcPr>
            <w:tcW w:w="1172" w:type="dxa"/>
            <w:shd w:val="clear" w:color="000000" w:fill="FFFFFF"/>
            <w:noWrap/>
            <w:vAlign w:val="bottom"/>
            <w:hideMark/>
          </w:tcPr>
          <w:p w14:paraId="28357FEB"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5.130</w:t>
            </w:r>
          </w:p>
        </w:tc>
        <w:tc>
          <w:tcPr>
            <w:tcW w:w="1173" w:type="dxa"/>
            <w:shd w:val="clear" w:color="000000" w:fill="FFFFFF"/>
            <w:noWrap/>
            <w:vAlign w:val="bottom"/>
            <w:hideMark/>
          </w:tcPr>
          <w:p w14:paraId="27791125"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5.280</w:t>
            </w:r>
          </w:p>
        </w:tc>
        <w:tc>
          <w:tcPr>
            <w:tcW w:w="1172" w:type="dxa"/>
            <w:shd w:val="clear" w:color="000000" w:fill="FFFFFF"/>
            <w:noWrap/>
            <w:vAlign w:val="bottom"/>
            <w:hideMark/>
          </w:tcPr>
          <w:p w14:paraId="6A9389D0"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5.427</w:t>
            </w:r>
          </w:p>
        </w:tc>
        <w:tc>
          <w:tcPr>
            <w:tcW w:w="1173" w:type="dxa"/>
            <w:shd w:val="clear" w:color="000000" w:fill="FFFFFF"/>
            <w:noWrap/>
            <w:vAlign w:val="bottom"/>
            <w:hideMark/>
          </w:tcPr>
          <w:p w14:paraId="391AD471"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15.837</w:t>
            </w:r>
          </w:p>
        </w:tc>
      </w:tr>
      <w:tr w:rsidR="00BA0682" w:rsidRPr="00C7065D" w14:paraId="1540FE9E" w14:textId="77777777" w:rsidTr="005A02AA">
        <w:tblPrEx>
          <w:tblBorders>
            <w:top w:val="none" w:sz="0" w:space="0" w:color="auto"/>
            <w:bottom w:val="none" w:sz="0" w:space="0" w:color="auto"/>
            <w:insideH w:val="none" w:sz="0" w:space="0" w:color="auto"/>
          </w:tblBorders>
        </w:tblPrEx>
        <w:trPr>
          <w:trHeight w:val="290"/>
        </w:trPr>
        <w:tc>
          <w:tcPr>
            <w:tcW w:w="3500" w:type="dxa"/>
            <w:tcBorders>
              <w:top w:val="nil"/>
            </w:tcBorders>
            <w:shd w:val="clear" w:color="auto" w:fill="auto"/>
            <w:noWrap/>
            <w:vAlign w:val="bottom"/>
            <w:hideMark/>
          </w:tcPr>
          <w:p w14:paraId="31FFF018" w14:textId="77777777" w:rsidR="00C7065D" w:rsidRPr="005A02AA" w:rsidRDefault="00C7065D" w:rsidP="005A02AA">
            <w:pPr>
              <w:pStyle w:val="TableText"/>
              <w:rPr>
                <w:rFonts w:cs="Segoe UI"/>
                <w:szCs w:val="18"/>
                <w:lang w:eastAsia="en-NZ"/>
              </w:rPr>
            </w:pPr>
            <w:r w:rsidRPr="005A02AA">
              <w:rPr>
                <w:rFonts w:cs="Segoe UI"/>
                <w:szCs w:val="18"/>
                <w:lang w:eastAsia="en-NZ"/>
              </w:rPr>
              <w:t xml:space="preserve">National Health Promotion </w:t>
            </w:r>
          </w:p>
        </w:tc>
        <w:tc>
          <w:tcPr>
            <w:tcW w:w="1172" w:type="dxa"/>
            <w:tcBorders>
              <w:top w:val="nil"/>
            </w:tcBorders>
            <w:shd w:val="clear" w:color="auto" w:fill="auto"/>
            <w:noWrap/>
            <w:vAlign w:val="bottom"/>
            <w:hideMark/>
          </w:tcPr>
          <w:p w14:paraId="42AAA2C8"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2.250</w:t>
            </w:r>
          </w:p>
        </w:tc>
        <w:tc>
          <w:tcPr>
            <w:tcW w:w="1173" w:type="dxa"/>
            <w:tcBorders>
              <w:top w:val="nil"/>
            </w:tcBorders>
            <w:shd w:val="clear" w:color="auto" w:fill="auto"/>
            <w:noWrap/>
            <w:vAlign w:val="bottom"/>
            <w:hideMark/>
          </w:tcPr>
          <w:p w14:paraId="2733B93C"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2.250</w:t>
            </w:r>
          </w:p>
        </w:tc>
        <w:tc>
          <w:tcPr>
            <w:tcW w:w="1172" w:type="dxa"/>
            <w:tcBorders>
              <w:top w:val="nil"/>
            </w:tcBorders>
            <w:shd w:val="clear" w:color="auto" w:fill="auto"/>
            <w:noWrap/>
            <w:vAlign w:val="bottom"/>
            <w:hideMark/>
          </w:tcPr>
          <w:p w14:paraId="0655FFD4"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2.250</w:t>
            </w:r>
          </w:p>
        </w:tc>
        <w:tc>
          <w:tcPr>
            <w:tcW w:w="1173" w:type="dxa"/>
            <w:tcBorders>
              <w:top w:val="nil"/>
            </w:tcBorders>
            <w:shd w:val="clear" w:color="000000" w:fill="FFFFFF"/>
            <w:noWrap/>
            <w:vAlign w:val="bottom"/>
            <w:hideMark/>
          </w:tcPr>
          <w:p w14:paraId="2C441101"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6.750</w:t>
            </w:r>
          </w:p>
        </w:tc>
      </w:tr>
      <w:tr w:rsidR="00BA0682" w:rsidRPr="00C7065D" w14:paraId="4EDB7B11" w14:textId="77777777" w:rsidTr="005A02AA">
        <w:tblPrEx>
          <w:tblBorders>
            <w:top w:val="none" w:sz="0" w:space="0" w:color="auto"/>
            <w:bottom w:val="none" w:sz="0" w:space="0" w:color="auto"/>
            <w:insideH w:val="none" w:sz="0" w:space="0" w:color="auto"/>
          </w:tblBorders>
        </w:tblPrEx>
        <w:trPr>
          <w:trHeight w:val="290"/>
        </w:trPr>
        <w:tc>
          <w:tcPr>
            <w:tcW w:w="3500" w:type="dxa"/>
            <w:tcBorders>
              <w:top w:val="nil"/>
            </w:tcBorders>
            <w:shd w:val="clear" w:color="auto" w:fill="auto"/>
            <w:noWrap/>
            <w:vAlign w:val="bottom"/>
            <w:hideMark/>
          </w:tcPr>
          <w:p w14:paraId="0A1A401D" w14:textId="77777777" w:rsidR="00C7065D" w:rsidRPr="005A02AA" w:rsidRDefault="00C7065D" w:rsidP="005A02AA">
            <w:pPr>
              <w:pStyle w:val="TableText"/>
              <w:rPr>
                <w:rFonts w:cs="Segoe UI"/>
                <w:szCs w:val="18"/>
                <w:lang w:eastAsia="en-NZ"/>
              </w:rPr>
            </w:pPr>
            <w:r w:rsidRPr="005A02AA">
              <w:rPr>
                <w:rFonts w:cs="Segoe UI"/>
                <w:szCs w:val="18"/>
                <w:lang w:eastAsia="en-NZ"/>
              </w:rPr>
              <w:t xml:space="preserve">Public Health in Schools </w:t>
            </w:r>
          </w:p>
        </w:tc>
        <w:tc>
          <w:tcPr>
            <w:tcW w:w="1172" w:type="dxa"/>
            <w:tcBorders>
              <w:top w:val="nil"/>
            </w:tcBorders>
            <w:shd w:val="clear" w:color="auto" w:fill="auto"/>
            <w:noWrap/>
            <w:vAlign w:val="bottom"/>
            <w:hideMark/>
          </w:tcPr>
          <w:p w14:paraId="2C1A58AD"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0.200</w:t>
            </w:r>
          </w:p>
        </w:tc>
        <w:tc>
          <w:tcPr>
            <w:tcW w:w="1173" w:type="dxa"/>
            <w:tcBorders>
              <w:top w:val="nil"/>
            </w:tcBorders>
            <w:shd w:val="clear" w:color="auto" w:fill="auto"/>
            <w:noWrap/>
            <w:vAlign w:val="bottom"/>
            <w:hideMark/>
          </w:tcPr>
          <w:p w14:paraId="09C8AAE9"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0.200</w:t>
            </w:r>
          </w:p>
        </w:tc>
        <w:tc>
          <w:tcPr>
            <w:tcW w:w="1172" w:type="dxa"/>
            <w:tcBorders>
              <w:top w:val="nil"/>
            </w:tcBorders>
            <w:shd w:val="clear" w:color="auto" w:fill="auto"/>
            <w:noWrap/>
            <w:vAlign w:val="bottom"/>
            <w:hideMark/>
          </w:tcPr>
          <w:p w14:paraId="725159C0"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0.200</w:t>
            </w:r>
          </w:p>
        </w:tc>
        <w:tc>
          <w:tcPr>
            <w:tcW w:w="1173" w:type="dxa"/>
            <w:tcBorders>
              <w:top w:val="nil"/>
            </w:tcBorders>
            <w:shd w:val="clear" w:color="000000" w:fill="FFFFFF"/>
            <w:noWrap/>
            <w:vAlign w:val="bottom"/>
            <w:hideMark/>
          </w:tcPr>
          <w:p w14:paraId="35ED01ED"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0.600</w:t>
            </w:r>
          </w:p>
        </w:tc>
      </w:tr>
      <w:tr w:rsidR="00BA0682" w:rsidRPr="00C7065D" w14:paraId="5A70F1DE" w14:textId="77777777" w:rsidTr="005A02AA">
        <w:tblPrEx>
          <w:tblBorders>
            <w:top w:val="none" w:sz="0" w:space="0" w:color="auto"/>
            <w:bottom w:val="none" w:sz="0" w:space="0" w:color="auto"/>
            <w:insideH w:val="none" w:sz="0" w:space="0" w:color="auto"/>
          </w:tblBorders>
        </w:tblPrEx>
        <w:trPr>
          <w:trHeight w:val="290"/>
        </w:trPr>
        <w:tc>
          <w:tcPr>
            <w:tcW w:w="3500" w:type="dxa"/>
            <w:tcBorders>
              <w:top w:val="nil"/>
            </w:tcBorders>
            <w:shd w:val="clear" w:color="auto" w:fill="auto"/>
            <w:noWrap/>
            <w:vAlign w:val="bottom"/>
            <w:hideMark/>
          </w:tcPr>
          <w:p w14:paraId="3A1592D8" w14:textId="77777777" w:rsidR="00C7065D" w:rsidRPr="005A02AA" w:rsidRDefault="00C7065D" w:rsidP="005A02AA">
            <w:pPr>
              <w:pStyle w:val="TableText"/>
              <w:rPr>
                <w:rFonts w:cs="Segoe UI"/>
                <w:szCs w:val="18"/>
                <w:lang w:eastAsia="en-NZ"/>
              </w:rPr>
            </w:pPr>
            <w:r w:rsidRPr="005A02AA">
              <w:rPr>
                <w:rFonts w:cs="Segoe UI"/>
                <w:szCs w:val="18"/>
                <w:lang w:eastAsia="en-NZ"/>
              </w:rPr>
              <w:t>Youth-Specific Model</w:t>
            </w:r>
          </w:p>
        </w:tc>
        <w:tc>
          <w:tcPr>
            <w:tcW w:w="1172" w:type="dxa"/>
            <w:tcBorders>
              <w:top w:val="nil"/>
            </w:tcBorders>
            <w:shd w:val="clear" w:color="auto" w:fill="auto"/>
            <w:noWrap/>
            <w:vAlign w:val="bottom"/>
            <w:hideMark/>
          </w:tcPr>
          <w:p w14:paraId="68AF2888"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0.248</w:t>
            </w:r>
          </w:p>
        </w:tc>
        <w:tc>
          <w:tcPr>
            <w:tcW w:w="1173" w:type="dxa"/>
            <w:tcBorders>
              <w:top w:val="nil"/>
            </w:tcBorders>
            <w:shd w:val="clear" w:color="auto" w:fill="auto"/>
            <w:noWrap/>
            <w:vAlign w:val="bottom"/>
            <w:hideMark/>
          </w:tcPr>
          <w:p w14:paraId="22B2CEDC"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0.252</w:t>
            </w:r>
          </w:p>
        </w:tc>
        <w:tc>
          <w:tcPr>
            <w:tcW w:w="1172" w:type="dxa"/>
            <w:tcBorders>
              <w:top w:val="nil"/>
            </w:tcBorders>
            <w:shd w:val="clear" w:color="auto" w:fill="auto"/>
            <w:noWrap/>
            <w:vAlign w:val="bottom"/>
            <w:hideMark/>
          </w:tcPr>
          <w:p w14:paraId="40B6A583"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0.256</w:t>
            </w:r>
          </w:p>
        </w:tc>
        <w:tc>
          <w:tcPr>
            <w:tcW w:w="1173" w:type="dxa"/>
            <w:tcBorders>
              <w:top w:val="nil"/>
            </w:tcBorders>
            <w:shd w:val="clear" w:color="000000" w:fill="FFFFFF"/>
            <w:noWrap/>
            <w:vAlign w:val="bottom"/>
            <w:hideMark/>
          </w:tcPr>
          <w:p w14:paraId="39F87964"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0.756</w:t>
            </w:r>
          </w:p>
        </w:tc>
      </w:tr>
      <w:tr w:rsidR="00BA0682" w:rsidRPr="00C7065D" w14:paraId="78C8B797" w14:textId="77777777" w:rsidTr="005A02AA">
        <w:tblPrEx>
          <w:tblBorders>
            <w:top w:val="none" w:sz="0" w:space="0" w:color="auto"/>
            <w:bottom w:val="none" w:sz="0" w:space="0" w:color="auto"/>
            <w:insideH w:val="none" w:sz="0" w:space="0" w:color="auto"/>
          </w:tblBorders>
        </w:tblPrEx>
        <w:trPr>
          <w:trHeight w:val="290"/>
        </w:trPr>
        <w:tc>
          <w:tcPr>
            <w:tcW w:w="3500" w:type="dxa"/>
            <w:tcBorders>
              <w:top w:val="nil"/>
            </w:tcBorders>
            <w:shd w:val="clear" w:color="auto" w:fill="auto"/>
            <w:noWrap/>
            <w:vAlign w:val="bottom"/>
            <w:hideMark/>
          </w:tcPr>
          <w:p w14:paraId="53967453" w14:textId="77777777" w:rsidR="00C7065D" w:rsidRPr="005A02AA" w:rsidRDefault="00C7065D" w:rsidP="005A02AA">
            <w:pPr>
              <w:pStyle w:val="TableText"/>
              <w:rPr>
                <w:rFonts w:cs="Segoe UI"/>
                <w:szCs w:val="18"/>
                <w:lang w:eastAsia="en-NZ"/>
              </w:rPr>
            </w:pPr>
            <w:r w:rsidRPr="005A02AA">
              <w:rPr>
                <w:rFonts w:cs="Segoe UI"/>
                <w:szCs w:val="18"/>
                <w:lang w:eastAsia="en-NZ"/>
              </w:rPr>
              <w:t xml:space="preserve">National MVE Administration Service </w:t>
            </w:r>
          </w:p>
        </w:tc>
        <w:tc>
          <w:tcPr>
            <w:tcW w:w="1172" w:type="dxa"/>
            <w:tcBorders>
              <w:top w:val="nil"/>
            </w:tcBorders>
            <w:shd w:val="clear" w:color="auto" w:fill="auto"/>
            <w:noWrap/>
            <w:vAlign w:val="bottom"/>
            <w:hideMark/>
          </w:tcPr>
          <w:p w14:paraId="4DF97CD4"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0.150</w:t>
            </w:r>
          </w:p>
        </w:tc>
        <w:tc>
          <w:tcPr>
            <w:tcW w:w="1173" w:type="dxa"/>
            <w:tcBorders>
              <w:top w:val="nil"/>
            </w:tcBorders>
            <w:shd w:val="clear" w:color="auto" w:fill="auto"/>
            <w:noWrap/>
            <w:vAlign w:val="bottom"/>
            <w:hideMark/>
          </w:tcPr>
          <w:p w14:paraId="7736A156"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0.156</w:t>
            </w:r>
          </w:p>
        </w:tc>
        <w:tc>
          <w:tcPr>
            <w:tcW w:w="1172" w:type="dxa"/>
            <w:tcBorders>
              <w:top w:val="nil"/>
            </w:tcBorders>
            <w:shd w:val="clear" w:color="auto" w:fill="auto"/>
            <w:noWrap/>
            <w:vAlign w:val="bottom"/>
            <w:hideMark/>
          </w:tcPr>
          <w:p w14:paraId="05D855A9"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0.162</w:t>
            </w:r>
          </w:p>
        </w:tc>
        <w:tc>
          <w:tcPr>
            <w:tcW w:w="1173" w:type="dxa"/>
            <w:tcBorders>
              <w:top w:val="nil"/>
            </w:tcBorders>
            <w:shd w:val="clear" w:color="auto" w:fill="auto"/>
            <w:noWrap/>
            <w:vAlign w:val="bottom"/>
            <w:hideMark/>
          </w:tcPr>
          <w:p w14:paraId="575AD9C8"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0.468</w:t>
            </w:r>
          </w:p>
        </w:tc>
      </w:tr>
      <w:tr w:rsidR="00BA0682" w:rsidRPr="00C7065D" w14:paraId="1CC57EF6" w14:textId="77777777" w:rsidTr="005A02AA">
        <w:tblPrEx>
          <w:tblBorders>
            <w:top w:val="none" w:sz="0" w:space="0" w:color="auto"/>
            <w:bottom w:val="none" w:sz="0" w:space="0" w:color="auto"/>
            <w:insideH w:val="none" w:sz="0" w:space="0" w:color="auto"/>
          </w:tblBorders>
        </w:tblPrEx>
        <w:trPr>
          <w:trHeight w:val="290"/>
        </w:trPr>
        <w:tc>
          <w:tcPr>
            <w:tcW w:w="3500" w:type="dxa"/>
            <w:tcBorders>
              <w:top w:val="nil"/>
            </w:tcBorders>
            <w:shd w:val="clear" w:color="auto" w:fill="auto"/>
            <w:noWrap/>
            <w:vAlign w:val="bottom"/>
            <w:hideMark/>
          </w:tcPr>
          <w:p w14:paraId="680F7A84" w14:textId="77777777" w:rsidR="00C7065D" w:rsidRPr="005A02AA" w:rsidRDefault="00C7065D" w:rsidP="005A02AA">
            <w:pPr>
              <w:pStyle w:val="TableText"/>
              <w:rPr>
                <w:rFonts w:cs="Segoe UI"/>
                <w:szCs w:val="18"/>
                <w:lang w:eastAsia="en-NZ"/>
              </w:rPr>
            </w:pPr>
            <w:r w:rsidRPr="005A02AA">
              <w:rPr>
                <w:rFonts w:cs="Segoe UI"/>
                <w:szCs w:val="18"/>
                <w:lang w:eastAsia="en-NZ"/>
              </w:rPr>
              <w:t xml:space="preserve">National Venue Exclusion Database </w:t>
            </w:r>
          </w:p>
        </w:tc>
        <w:tc>
          <w:tcPr>
            <w:tcW w:w="1172" w:type="dxa"/>
            <w:tcBorders>
              <w:top w:val="nil"/>
            </w:tcBorders>
            <w:shd w:val="clear" w:color="auto" w:fill="auto"/>
            <w:noWrap/>
            <w:vAlign w:val="bottom"/>
            <w:hideMark/>
          </w:tcPr>
          <w:p w14:paraId="34DC14D6"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0.325</w:t>
            </w:r>
          </w:p>
        </w:tc>
        <w:tc>
          <w:tcPr>
            <w:tcW w:w="1173" w:type="dxa"/>
            <w:tcBorders>
              <w:top w:val="nil"/>
            </w:tcBorders>
            <w:shd w:val="clear" w:color="auto" w:fill="auto"/>
            <w:noWrap/>
            <w:vAlign w:val="bottom"/>
            <w:hideMark/>
          </w:tcPr>
          <w:p w14:paraId="7A182B62"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0.34</w:t>
            </w:r>
          </w:p>
        </w:tc>
        <w:tc>
          <w:tcPr>
            <w:tcW w:w="1172" w:type="dxa"/>
            <w:tcBorders>
              <w:top w:val="nil"/>
            </w:tcBorders>
            <w:shd w:val="clear" w:color="auto" w:fill="auto"/>
            <w:noWrap/>
            <w:vAlign w:val="bottom"/>
            <w:hideMark/>
          </w:tcPr>
          <w:p w14:paraId="0C45400C"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0.33</w:t>
            </w:r>
          </w:p>
        </w:tc>
        <w:tc>
          <w:tcPr>
            <w:tcW w:w="1173" w:type="dxa"/>
            <w:tcBorders>
              <w:top w:val="nil"/>
            </w:tcBorders>
            <w:shd w:val="clear" w:color="auto" w:fill="auto"/>
            <w:noWrap/>
            <w:vAlign w:val="bottom"/>
            <w:hideMark/>
          </w:tcPr>
          <w:p w14:paraId="57B6C022"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0.995</w:t>
            </w:r>
          </w:p>
        </w:tc>
      </w:tr>
      <w:tr w:rsidR="00BA0682" w:rsidRPr="00C7065D" w14:paraId="70866E87" w14:textId="77777777" w:rsidTr="005A02AA">
        <w:tblPrEx>
          <w:tblBorders>
            <w:top w:val="none" w:sz="0" w:space="0" w:color="auto"/>
            <w:bottom w:val="none" w:sz="0" w:space="0" w:color="auto"/>
            <w:insideH w:val="none" w:sz="0" w:space="0" w:color="auto"/>
          </w:tblBorders>
        </w:tblPrEx>
        <w:trPr>
          <w:trHeight w:val="290"/>
        </w:trPr>
        <w:tc>
          <w:tcPr>
            <w:tcW w:w="3500" w:type="dxa"/>
            <w:tcBorders>
              <w:top w:val="nil"/>
            </w:tcBorders>
            <w:shd w:val="clear" w:color="auto" w:fill="auto"/>
            <w:noWrap/>
            <w:vAlign w:val="bottom"/>
            <w:hideMark/>
          </w:tcPr>
          <w:p w14:paraId="27B5D176" w14:textId="77777777" w:rsidR="00C7065D" w:rsidRPr="005A02AA" w:rsidRDefault="00C7065D" w:rsidP="005A02AA">
            <w:pPr>
              <w:pStyle w:val="TableText"/>
              <w:rPr>
                <w:rFonts w:cs="Segoe UI"/>
                <w:szCs w:val="18"/>
                <w:lang w:eastAsia="en-NZ"/>
              </w:rPr>
            </w:pPr>
            <w:r w:rsidRPr="005A02AA">
              <w:rPr>
                <w:rFonts w:cs="Segoe UI"/>
                <w:szCs w:val="18"/>
                <w:lang w:eastAsia="en-NZ"/>
              </w:rPr>
              <w:t>Conference Support</w:t>
            </w:r>
          </w:p>
        </w:tc>
        <w:tc>
          <w:tcPr>
            <w:tcW w:w="1172" w:type="dxa"/>
            <w:tcBorders>
              <w:top w:val="nil"/>
            </w:tcBorders>
            <w:shd w:val="clear" w:color="auto" w:fill="auto"/>
            <w:noWrap/>
            <w:vAlign w:val="bottom"/>
            <w:hideMark/>
          </w:tcPr>
          <w:p w14:paraId="05316B98"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0.120</w:t>
            </w:r>
          </w:p>
        </w:tc>
        <w:tc>
          <w:tcPr>
            <w:tcW w:w="1173" w:type="dxa"/>
            <w:tcBorders>
              <w:top w:val="nil"/>
            </w:tcBorders>
            <w:shd w:val="clear" w:color="auto" w:fill="auto"/>
            <w:noWrap/>
            <w:vAlign w:val="bottom"/>
            <w:hideMark/>
          </w:tcPr>
          <w:p w14:paraId="53F963E2"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0.120</w:t>
            </w:r>
          </w:p>
        </w:tc>
        <w:tc>
          <w:tcPr>
            <w:tcW w:w="1172" w:type="dxa"/>
            <w:tcBorders>
              <w:top w:val="nil"/>
            </w:tcBorders>
            <w:shd w:val="clear" w:color="auto" w:fill="auto"/>
            <w:noWrap/>
            <w:vAlign w:val="bottom"/>
            <w:hideMark/>
          </w:tcPr>
          <w:p w14:paraId="2179C1C0"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0.120</w:t>
            </w:r>
          </w:p>
        </w:tc>
        <w:tc>
          <w:tcPr>
            <w:tcW w:w="1173" w:type="dxa"/>
            <w:tcBorders>
              <w:top w:val="nil"/>
            </w:tcBorders>
            <w:shd w:val="clear" w:color="auto" w:fill="auto"/>
            <w:noWrap/>
            <w:vAlign w:val="bottom"/>
            <w:hideMark/>
          </w:tcPr>
          <w:p w14:paraId="570AA4C3"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0.360</w:t>
            </w:r>
          </w:p>
        </w:tc>
      </w:tr>
      <w:tr w:rsidR="00BA0682" w:rsidRPr="00C7065D" w14:paraId="0279A0AB" w14:textId="77777777" w:rsidTr="005A02AA">
        <w:tblPrEx>
          <w:tblBorders>
            <w:top w:val="none" w:sz="0" w:space="0" w:color="auto"/>
            <w:bottom w:val="none" w:sz="0" w:space="0" w:color="auto"/>
            <w:insideH w:val="none" w:sz="0" w:space="0" w:color="auto"/>
          </w:tblBorders>
        </w:tblPrEx>
        <w:trPr>
          <w:trHeight w:val="290"/>
        </w:trPr>
        <w:tc>
          <w:tcPr>
            <w:tcW w:w="3500" w:type="dxa"/>
            <w:tcBorders>
              <w:top w:val="nil"/>
            </w:tcBorders>
            <w:shd w:val="clear" w:color="auto" w:fill="auto"/>
            <w:noWrap/>
            <w:vAlign w:val="bottom"/>
            <w:hideMark/>
          </w:tcPr>
          <w:p w14:paraId="46AF9134" w14:textId="1322001A" w:rsidR="00C7065D" w:rsidRPr="005A02AA" w:rsidRDefault="00C7065D" w:rsidP="005A02AA">
            <w:pPr>
              <w:pStyle w:val="TableText"/>
              <w:rPr>
                <w:rFonts w:cs="Segoe UI"/>
                <w:szCs w:val="18"/>
                <w:lang w:eastAsia="en-NZ"/>
              </w:rPr>
            </w:pPr>
            <w:r w:rsidRPr="005A02AA">
              <w:rPr>
                <w:rFonts w:cs="Segoe UI"/>
                <w:szCs w:val="18"/>
                <w:lang w:eastAsia="en-NZ"/>
              </w:rPr>
              <w:t>Workforce Development (PH)</w:t>
            </w:r>
          </w:p>
        </w:tc>
        <w:tc>
          <w:tcPr>
            <w:tcW w:w="1172" w:type="dxa"/>
            <w:tcBorders>
              <w:top w:val="nil"/>
            </w:tcBorders>
            <w:shd w:val="clear" w:color="auto" w:fill="auto"/>
            <w:noWrap/>
            <w:vAlign w:val="bottom"/>
            <w:hideMark/>
          </w:tcPr>
          <w:p w14:paraId="58624212"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0.100</w:t>
            </w:r>
          </w:p>
        </w:tc>
        <w:tc>
          <w:tcPr>
            <w:tcW w:w="1173" w:type="dxa"/>
            <w:tcBorders>
              <w:top w:val="nil"/>
            </w:tcBorders>
            <w:shd w:val="clear" w:color="auto" w:fill="auto"/>
            <w:noWrap/>
            <w:vAlign w:val="bottom"/>
            <w:hideMark/>
          </w:tcPr>
          <w:p w14:paraId="4C8D7FA2"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0.100</w:t>
            </w:r>
          </w:p>
        </w:tc>
        <w:tc>
          <w:tcPr>
            <w:tcW w:w="1172" w:type="dxa"/>
            <w:tcBorders>
              <w:top w:val="nil"/>
            </w:tcBorders>
            <w:shd w:val="clear" w:color="auto" w:fill="auto"/>
            <w:noWrap/>
            <w:vAlign w:val="bottom"/>
            <w:hideMark/>
          </w:tcPr>
          <w:p w14:paraId="6B66548C"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0.100</w:t>
            </w:r>
          </w:p>
        </w:tc>
        <w:tc>
          <w:tcPr>
            <w:tcW w:w="1173" w:type="dxa"/>
            <w:tcBorders>
              <w:top w:val="nil"/>
            </w:tcBorders>
            <w:shd w:val="clear" w:color="auto" w:fill="auto"/>
            <w:noWrap/>
            <w:vAlign w:val="bottom"/>
            <w:hideMark/>
          </w:tcPr>
          <w:p w14:paraId="4FC671E0"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0.300</w:t>
            </w:r>
          </w:p>
        </w:tc>
      </w:tr>
      <w:tr w:rsidR="00BA0682" w:rsidRPr="00C7065D" w14:paraId="4280B4C9" w14:textId="77777777" w:rsidTr="005A02AA">
        <w:tblPrEx>
          <w:tblBorders>
            <w:top w:val="none" w:sz="0" w:space="0" w:color="auto"/>
            <w:bottom w:val="none" w:sz="0" w:space="0" w:color="auto"/>
            <w:insideH w:val="none" w:sz="0" w:space="0" w:color="auto"/>
          </w:tblBorders>
        </w:tblPrEx>
        <w:trPr>
          <w:trHeight w:val="290"/>
        </w:trPr>
        <w:tc>
          <w:tcPr>
            <w:tcW w:w="3500" w:type="dxa"/>
            <w:tcBorders>
              <w:top w:val="nil"/>
              <w:bottom w:val="single" w:sz="4" w:space="0" w:color="A6A6A6" w:themeColor="background1" w:themeShade="A6"/>
            </w:tcBorders>
            <w:shd w:val="clear" w:color="auto" w:fill="auto"/>
            <w:noWrap/>
            <w:vAlign w:val="bottom"/>
            <w:hideMark/>
          </w:tcPr>
          <w:p w14:paraId="5107338D" w14:textId="317BCE92" w:rsidR="00C7065D" w:rsidRPr="005A02AA" w:rsidRDefault="00C7065D" w:rsidP="005A02AA">
            <w:pPr>
              <w:pStyle w:val="TableText"/>
              <w:rPr>
                <w:rFonts w:cs="Segoe UI"/>
                <w:szCs w:val="18"/>
                <w:lang w:eastAsia="en-NZ"/>
              </w:rPr>
            </w:pPr>
            <w:r w:rsidRPr="005A02AA">
              <w:rPr>
                <w:rFonts w:cs="Segoe UI"/>
                <w:szCs w:val="18"/>
                <w:lang w:eastAsia="en-NZ"/>
              </w:rPr>
              <w:t>Lived Experience Advisory Group</w:t>
            </w:r>
          </w:p>
        </w:tc>
        <w:tc>
          <w:tcPr>
            <w:tcW w:w="1172" w:type="dxa"/>
            <w:tcBorders>
              <w:top w:val="nil"/>
              <w:bottom w:val="single" w:sz="4" w:space="0" w:color="A6A6A6" w:themeColor="background1" w:themeShade="A6"/>
            </w:tcBorders>
            <w:shd w:val="clear" w:color="auto" w:fill="auto"/>
            <w:noWrap/>
            <w:vAlign w:val="bottom"/>
            <w:hideMark/>
          </w:tcPr>
          <w:p w14:paraId="1C517D1E"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0.130</w:t>
            </w:r>
          </w:p>
        </w:tc>
        <w:tc>
          <w:tcPr>
            <w:tcW w:w="1173" w:type="dxa"/>
            <w:tcBorders>
              <w:top w:val="nil"/>
              <w:bottom w:val="single" w:sz="4" w:space="0" w:color="A6A6A6" w:themeColor="background1" w:themeShade="A6"/>
            </w:tcBorders>
            <w:shd w:val="clear" w:color="auto" w:fill="auto"/>
            <w:noWrap/>
            <w:vAlign w:val="bottom"/>
            <w:hideMark/>
          </w:tcPr>
          <w:p w14:paraId="7D39BA04"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0.130</w:t>
            </w:r>
          </w:p>
        </w:tc>
        <w:tc>
          <w:tcPr>
            <w:tcW w:w="1172" w:type="dxa"/>
            <w:tcBorders>
              <w:top w:val="nil"/>
              <w:bottom w:val="single" w:sz="4" w:space="0" w:color="A6A6A6" w:themeColor="background1" w:themeShade="A6"/>
            </w:tcBorders>
            <w:shd w:val="clear" w:color="auto" w:fill="auto"/>
            <w:noWrap/>
            <w:vAlign w:val="bottom"/>
            <w:hideMark/>
          </w:tcPr>
          <w:p w14:paraId="2AA22EA7"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0.130</w:t>
            </w:r>
          </w:p>
        </w:tc>
        <w:tc>
          <w:tcPr>
            <w:tcW w:w="1173" w:type="dxa"/>
            <w:tcBorders>
              <w:top w:val="nil"/>
              <w:bottom w:val="single" w:sz="4" w:space="0" w:color="A6A6A6" w:themeColor="background1" w:themeShade="A6"/>
            </w:tcBorders>
            <w:shd w:val="clear" w:color="auto" w:fill="auto"/>
            <w:noWrap/>
            <w:vAlign w:val="bottom"/>
            <w:hideMark/>
          </w:tcPr>
          <w:p w14:paraId="2AE4989B" w14:textId="77777777" w:rsidR="00C7065D" w:rsidRPr="005A02AA" w:rsidRDefault="00C7065D" w:rsidP="005A02AA">
            <w:pPr>
              <w:pStyle w:val="TableText"/>
              <w:jc w:val="right"/>
              <w:rPr>
                <w:rFonts w:cs="Segoe UI"/>
                <w:szCs w:val="18"/>
                <w:lang w:eastAsia="en-NZ"/>
              </w:rPr>
            </w:pPr>
            <w:r w:rsidRPr="005A02AA">
              <w:rPr>
                <w:rFonts w:cs="Segoe UI"/>
                <w:szCs w:val="18"/>
                <w:lang w:eastAsia="en-NZ"/>
              </w:rPr>
              <w:t>0.390</w:t>
            </w:r>
          </w:p>
        </w:tc>
      </w:tr>
      <w:tr w:rsidR="00BA0682" w:rsidRPr="00C7065D" w14:paraId="42FC94A1" w14:textId="77777777" w:rsidTr="005A02AA">
        <w:tblPrEx>
          <w:tblBorders>
            <w:top w:val="none" w:sz="0" w:space="0" w:color="auto"/>
            <w:bottom w:val="none" w:sz="0" w:space="0" w:color="auto"/>
            <w:insideH w:val="none" w:sz="0" w:space="0" w:color="auto"/>
          </w:tblBorders>
        </w:tblPrEx>
        <w:trPr>
          <w:trHeight w:val="290"/>
        </w:trPr>
        <w:tc>
          <w:tcPr>
            <w:tcW w:w="3500"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2B1E47E2" w14:textId="77777777" w:rsidR="00C7065D" w:rsidRPr="005A02AA" w:rsidRDefault="00C7065D" w:rsidP="005A02AA">
            <w:pPr>
              <w:spacing w:before="60" w:after="60"/>
              <w:rPr>
                <w:rFonts w:cs="Segoe UI"/>
                <w:b/>
                <w:bCs/>
                <w:color w:val="000000"/>
                <w:sz w:val="18"/>
                <w:szCs w:val="18"/>
                <w:lang w:eastAsia="en-NZ"/>
              </w:rPr>
            </w:pPr>
            <w:r w:rsidRPr="005A02AA">
              <w:rPr>
                <w:rFonts w:cs="Segoe UI"/>
                <w:b/>
                <w:bCs/>
                <w:color w:val="000000"/>
                <w:sz w:val="18"/>
                <w:szCs w:val="18"/>
                <w:lang w:eastAsia="en-NZ"/>
              </w:rPr>
              <w:t xml:space="preserve">Total </w:t>
            </w:r>
          </w:p>
        </w:tc>
        <w:tc>
          <w:tcPr>
            <w:tcW w:w="1172"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43B881D1" w14:textId="77777777" w:rsidR="00C7065D" w:rsidRPr="005A02AA" w:rsidRDefault="00C7065D" w:rsidP="005A02AA">
            <w:pPr>
              <w:spacing w:before="60" w:after="60"/>
              <w:jc w:val="right"/>
              <w:rPr>
                <w:rFonts w:cs="Segoe UI"/>
                <w:b/>
                <w:bCs/>
                <w:color w:val="000000"/>
                <w:sz w:val="18"/>
                <w:szCs w:val="18"/>
                <w:lang w:eastAsia="en-NZ"/>
              </w:rPr>
            </w:pPr>
            <w:r w:rsidRPr="005A02AA">
              <w:rPr>
                <w:rFonts w:cs="Segoe UI"/>
                <w:b/>
                <w:bCs/>
                <w:color w:val="000000"/>
                <w:sz w:val="18"/>
                <w:szCs w:val="18"/>
                <w:lang w:eastAsia="en-NZ"/>
              </w:rPr>
              <w:t>8.653</w:t>
            </w:r>
          </w:p>
        </w:tc>
        <w:tc>
          <w:tcPr>
            <w:tcW w:w="1173"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18590B2A" w14:textId="77777777" w:rsidR="00C7065D" w:rsidRPr="005A02AA" w:rsidRDefault="00C7065D" w:rsidP="005A02AA">
            <w:pPr>
              <w:spacing w:before="60" w:after="60"/>
              <w:jc w:val="right"/>
              <w:rPr>
                <w:rFonts w:cs="Segoe UI"/>
                <w:b/>
                <w:bCs/>
                <w:color w:val="000000"/>
                <w:sz w:val="18"/>
                <w:szCs w:val="18"/>
                <w:lang w:eastAsia="en-NZ"/>
              </w:rPr>
            </w:pPr>
            <w:r w:rsidRPr="005A02AA">
              <w:rPr>
                <w:rFonts w:cs="Segoe UI"/>
                <w:b/>
                <w:bCs/>
                <w:color w:val="000000"/>
                <w:sz w:val="18"/>
                <w:szCs w:val="18"/>
                <w:lang w:eastAsia="en-NZ"/>
              </w:rPr>
              <w:t>8.828</w:t>
            </w:r>
          </w:p>
        </w:tc>
        <w:tc>
          <w:tcPr>
            <w:tcW w:w="1172"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2B0E14BD" w14:textId="77777777" w:rsidR="00C7065D" w:rsidRPr="005A02AA" w:rsidRDefault="00C7065D" w:rsidP="005A02AA">
            <w:pPr>
              <w:spacing w:before="60" w:after="60"/>
              <w:jc w:val="right"/>
              <w:rPr>
                <w:rFonts w:cs="Segoe UI"/>
                <w:b/>
                <w:bCs/>
                <w:color w:val="000000"/>
                <w:sz w:val="18"/>
                <w:szCs w:val="18"/>
                <w:lang w:eastAsia="en-NZ"/>
              </w:rPr>
            </w:pPr>
            <w:r w:rsidRPr="005A02AA">
              <w:rPr>
                <w:rFonts w:cs="Segoe UI"/>
                <w:b/>
                <w:bCs/>
                <w:color w:val="000000"/>
                <w:sz w:val="18"/>
                <w:szCs w:val="18"/>
                <w:lang w:eastAsia="en-NZ"/>
              </w:rPr>
              <w:t>8.975</w:t>
            </w:r>
          </w:p>
        </w:tc>
        <w:tc>
          <w:tcPr>
            <w:tcW w:w="1173"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563E5F44" w14:textId="7132A588" w:rsidR="00C7065D" w:rsidRPr="005A02AA" w:rsidRDefault="00C7065D" w:rsidP="005A02AA">
            <w:pPr>
              <w:spacing w:before="60" w:after="60"/>
              <w:jc w:val="right"/>
              <w:rPr>
                <w:rFonts w:cs="Segoe UI"/>
                <w:b/>
                <w:bCs/>
                <w:color w:val="000000"/>
                <w:sz w:val="18"/>
                <w:szCs w:val="18"/>
                <w:lang w:eastAsia="en-NZ"/>
              </w:rPr>
            </w:pPr>
            <w:r w:rsidRPr="005A02AA">
              <w:rPr>
                <w:rFonts w:cs="Segoe UI"/>
                <w:b/>
                <w:bCs/>
                <w:color w:val="000000"/>
                <w:sz w:val="18"/>
                <w:szCs w:val="18"/>
                <w:lang w:eastAsia="en-NZ"/>
              </w:rPr>
              <w:t>26.45</w:t>
            </w:r>
            <w:r w:rsidR="008E304D" w:rsidRPr="005A02AA">
              <w:rPr>
                <w:rFonts w:cs="Segoe UI"/>
                <w:b/>
                <w:bCs/>
                <w:color w:val="000000"/>
                <w:sz w:val="18"/>
                <w:szCs w:val="18"/>
                <w:lang w:eastAsia="en-NZ"/>
              </w:rPr>
              <w:t>5</w:t>
            </w:r>
          </w:p>
        </w:tc>
      </w:tr>
    </w:tbl>
    <w:p w14:paraId="4D86DAC1" w14:textId="77777777" w:rsidR="00CE5300" w:rsidRPr="00917D02" w:rsidRDefault="00CE5300" w:rsidP="00CE5300">
      <w:pPr>
        <w:pStyle w:val="Note"/>
        <w:rPr>
          <w:rFonts w:eastAsia="Lucida Sans Unicode"/>
        </w:rPr>
      </w:pPr>
      <w:r w:rsidRPr="00917D02">
        <w:rPr>
          <w:rFonts w:eastAsia="Lucida Sans Unicode"/>
        </w:rPr>
        <w:t>Note: Budget sums may not total due to rounding.</w:t>
      </w:r>
    </w:p>
    <w:p w14:paraId="49830FB4" w14:textId="77777777" w:rsidR="00CE5300" w:rsidRDefault="00CE5300" w:rsidP="00CE5300">
      <w:pPr>
        <w:pStyle w:val="Table"/>
      </w:pPr>
    </w:p>
    <w:p w14:paraId="43FE5451" w14:textId="7BA920C7" w:rsidR="00CE5300" w:rsidRPr="00533CA0" w:rsidRDefault="00CE5300" w:rsidP="52103CC6">
      <w:pPr>
        <w:pStyle w:val="Table"/>
      </w:pPr>
      <w:bookmarkStart w:id="32" w:name="_Toc197534217"/>
      <w:r w:rsidRPr="52103CC6">
        <w:t xml:space="preserve">Table A5.3: </w:t>
      </w:r>
      <w:r w:rsidR="6CA9D586" w:rsidRPr="52103CC6">
        <w:t>Treatment</w:t>
      </w:r>
      <w:r w:rsidRPr="52103CC6">
        <w:t xml:space="preserve"> services, NZ$m</w:t>
      </w:r>
      <w:bookmarkEnd w:id="32"/>
    </w:p>
    <w:tbl>
      <w:tblPr>
        <w:tblW w:w="8227" w:type="dxa"/>
        <w:tblInd w:w="-5" w:type="dxa"/>
        <w:tblBorders>
          <w:top w:val="single" w:sz="4" w:space="0" w:color="A6A6A6" w:themeColor="background1" w:themeShade="A6"/>
          <w:bottom w:val="single" w:sz="4" w:space="0" w:color="A6A6A6" w:themeColor="background1" w:themeShade="A6"/>
          <w:insideH w:val="single" w:sz="6" w:space="0" w:color="A6A6A6" w:themeColor="background1" w:themeShade="A6"/>
        </w:tblBorders>
        <w:tblLayout w:type="fixed"/>
        <w:tblLook w:val="04A0" w:firstRow="1" w:lastRow="0" w:firstColumn="1" w:lastColumn="0" w:noHBand="0" w:noVBand="1"/>
      </w:tblPr>
      <w:tblGrid>
        <w:gridCol w:w="3407"/>
        <w:gridCol w:w="1205"/>
        <w:gridCol w:w="1205"/>
        <w:gridCol w:w="1205"/>
        <w:gridCol w:w="1205"/>
      </w:tblGrid>
      <w:tr w:rsidR="006B44F5" w:rsidRPr="009D47BB" w14:paraId="4C9BF10B" w14:textId="77777777" w:rsidTr="005A02AA">
        <w:tc>
          <w:tcPr>
            <w:tcW w:w="3407" w:type="dxa"/>
            <w:tcBorders>
              <w:top w:val="nil"/>
              <w:bottom w:val="nil"/>
            </w:tcBorders>
            <w:shd w:val="clear" w:color="auto" w:fill="D9D9D9" w:themeFill="background1" w:themeFillShade="D9"/>
            <w:vAlign w:val="center"/>
            <w:hideMark/>
          </w:tcPr>
          <w:p w14:paraId="0EF57ECC" w14:textId="77777777" w:rsidR="00CE5300" w:rsidRPr="009D47BB" w:rsidRDefault="00CE5300">
            <w:pPr>
              <w:pStyle w:val="TableText"/>
              <w:rPr>
                <w:b/>
                <w:bCs/>
              </w:rPr>
            </w:pPr>
            <w:r w:rsidRPr="009D47BB">
              <w:rPr>
                <w:b/>
                <w:bCs/>
              </w:rPr>
              <w:t>Service area</w:t>
            </w:r>
          </w:p>
        </w:tc>
        <w:tc>
          <w:tcPr>
            <w:tcW w:w="1205" w:type="dxa"/>
            <w:tcBorders>
              <w:top w:val="nil"/>
              <w:bottom w:val="nil"/>
            </w:tcBorders>
            <w:shd w:val="clear" w:color="auto" w:fill="D9D9D9" w:themeFill="background1" w:themeFillShade="D9"/>
            <w:vAlign w:val="center"/>
            <w:hideMark/>
          </w:tcPr>
          <w:p w14:paraId="7B0E03A4" w14:textId="77777777" w:rsidR="00CE5300" w:rsidRPr="009D47BB" w:rsidRDefault="00CE5300">
            <w:pPr>
              <w:pStyle w:val="TableText"/>
              <w:jc w:val="right"/>
              <w:rPr>
                <w:b/>
                <w:bCs/>
              </w:rPr>
            </w:pPr>
            <w:r w:rsidRPr="009D47BB">
              <w:rPr>
                <w:b/>
                <w:bCs/>
              </w:rPr>
              <w:t>2025/26</w:t>
            </w:r>
          </w:p>
        </w:tc>
        <w:tc>
          <w:tcPr>
            <w:tcW w:w="1205" w:type="dxa"/>
            <w:tcBorders>
              <w:top w:val="nil"/>
              <w:bottom w:val="nil"/>
            </w:tcBorders>
            <w:shd w:val="clear" w:color="auto" w:fill="D9D9D9" w:themeFill="background1" w:themeFillShade="D9"/>
            <w:vAlign w:val="center"/>
            <w:hideMark/>
          </w:tcPr>
          <w:p w14:paraId="63AE98DF" w14:textId="77777777" w:rsidR="00CE5300" w:rsidRPr="009D47BB" w:rsidRDefault="00CE5300">
            <w:pPr>
              <w:pStyle w:val="TableText"/>
              <w:jc w:val="right"/>
              <w:rPr>
                <w:b/>
                <w:bCs/>
              </w:rPr>
            </w:pPr>
            <w:r w:rsidRPr="009D47BB">
              <w:rPr>
                <w:b/>
                <w:bCs/>
              </w:rPr>
              <w:t>2026/27</w:t>
            </w:r>
          </w:p>
        </w:tc>
        <w:tc>
          <w:tcPr>
            <w:tcW w:w="1205" w:type="dxa"/>
            <w:tcBorders>
              <w:top w:val="nil"/>
              <w:bottom w:val="nil"/>
            </w:tcBorders>
            <w:shd w:val="clear" w:color="auto" w:fill="D9D9D9" w:themeFill="background1" w:themeFillShade="D9"/>
            <w:vAlign w:val="center"/>
            <w:hideMark/>
          </w:tcPr>
          <w:p w14:paraId="3C2B8B3D" w14:textId="77777777" w:rsidR="00CE5300" w:rsidRPr="009D47BB" w:rsidRDefault="00CE5300">
            <w:pPr>
              <w:pStyle w:val="TableText"/>
              <w:jc w:val="right"/>
              <w:rPr>
                <w:b/>
                <w:bCs/>
              </w:rPr>
            </w:pPr>
            <w:r w:rsidRPr="009D47BB">
              <w:rPr>
                <w:b/>
                <w:bCs/>
              </w:rPr>
              <w:t>2027/28</w:t>
            </w:r>
          </w:p>
        </w:tc>
        <w:tc>
          <w:tcPr>
            <w:tcW w:w="1205" w:type="dxa"/>
            <w:tcBorders>
              <w:top w:val="nil"/>
              <w:bottom w:val="nil"/>
            </w:tcBorders>
            <w:shd w:val="clear" w:color="auto" w:fill="D9D9D9" w:themeFill="background1" w:themeFillShade="D9"/>
            <w:vAlign w:val="center"/>
            <w:hideMark/>
          </w:tcPr>
          <w:p w14:paraId="6D897009" w14:textId="77777777" w:rsidR="00CE5300" w:rsidRPr="009D47BB" w:rsidRDefault="00CE5300">
            <w:pPr>
              <w:pStyle w:val="TableText"/>
              <w:jc w:val="right"/>
              <w:rPr>
                <w:b/>
                <w:bCs/>
              </w:rPr>
            </w:pPr>
            <w:r w:rsidRPr="009D47BB">
              <w:rPr>
                <w:b/>
                <w:bCs/>
              </w:rPr>
              <w:t>Total</w:t>
            </w:r>
          </w:p>
        </w:tc>
      </w:tr>
      <w:tr w:rsidR="00A7569A" w:rsidRPr="00A7569A" w14:paraId="6E749DF2" w14:textId="77777777" w:rsidTr="005A02AA">
        <w:tblPrEx>
          <w:tblBorders>
            <w:top w:val="none" w:sz="0" w:space="0" w:color="auto"/>
            <w:bottom w:val="none" w:sz="0" w:space="0" w:color="auto"/>
            <w:insideH w:val="none" w:sz="0" w:space="0" w:color="auto"/>
          </w:tblBorders>
        </w:tblPrEx>
        <w:trPr>
          <w:trHeight w:val="290"/>
        </w:trPr>
        <w:tc>
          <w:tcPr>
            <w:tcW w:w="3407" w:type="dxa"/>
            <w:tcBorders>
              <w:top w:val="nil"/>
              <w:left w:val="nil"/>
              <w:bottom w:val="nil"/>
              <w:right w:val="nil"/>
            </w:tcBorders>
            <w:shd w:val="clear" w:color="auto" w:fill="auto"/>
            <w:noWrap/>
            <w:vAlign w:val="bottom"/>
            <w:hideMark/>
          </w:tcPr>
          <w:p w14:paraId="1C226F98" w14:textId="77777777" w:rsidR="00A7569A" w:rsidRPr="004A3F51" w:rsidRDefault="00A7569A" w:rsidP="004A3F51">
            <w:pPr>
              <w:pStyle w:val="TableText"/>
              <w:rPr>
                <w:lang w:eastAsia="en-NZ"/>
              </w:rPr>
            </w:pPr>
            <w:r w:rsidRPr="004A3F51">
              <w:rPr>
                <w:lang w:eastAsia="en-NZ"/>
              </w:rPr>
              <w:t>Clinical Interventions</w:t>
            </w:r>
          </w:p>
        </w:tc>
        <w:tc>
          <w:tcPr>
            <w:tcW w:w="1205" w:type="dxa"/>
            <w:tcBorders>
              <w:top w:val="nil"/>
              <w:left w:val="nil"/>
              <w:bottom w:val="nil"/>
              <w:right w:val="nil"/>
            </w:tcBorders>
            <w:shd w:val="clear" w:color="auto" w:fill="auto"/>
            <w:noWrap/>
            <w:vAlign w:val="bottom"/>
            <w:hideMark/>
          </w:tcPr>
          <w:p w14:paraId="701FCB72" w14:textId="77777777" w:rsidR="00A7569A" w:rsidRPr="004A3F51" w:rsidRDefault="00A7569A" w:rsidP="005A02AA">
            <w:pPr>
              <w:pStyle w:val="TableText"/>
              <w:jc w:val="right"/>
              <w:rPr>
                <w:lang w:eastAsia="en-NZ"/>
              </w:rPr>
            </w:pPr>
            <w:r w:rsidRPr="004A3F51">
              <w:rPr>
                <w:lang w:eastAsia="en-NZ"/>
              </w:rPr>
              <w:t>9.800</w:t>
            </w:r>
          </w:p>
        </w:tc>
        <w:tc>
          <w:tcPr>
            <w:tcW w:w="1205" w:type="dxa"/>
            <w:tcBorders>
              <w:top w:val="nil"/>
              <w:left w:val="nil"/>
              <w:bottom w:val="nil"/>
              <w:right w:val="nil"/>
            </w:tcBorders>
            <w:shd w:val="clear" w:color="auto" w:fill="auto"/>
            <w:noWrap/>
            <w:vAlign w:val="bottom"/>
            <w:hideMark/>
          </w:tcPr>
          <w:p w14:paraId="0ECCBB38" w14:textId="77777777" w:rsidR="00A7569A" w:rsidRPr="004A3F51" w:rsidRDefault="00A7569A" w:rsidP="005A02AA">
            <w:pPr>
              <w:pStyle w:val="TableText"/>
              <w:jc w:val="right"/>
              <w:rPr>
                <w:lang w:eastAsia="en-NZ"/>
              </w:rPr>
            </w:pPr>
            <w:r w:rsidRPr="004A3F51">
              <w:rPr>
                <w:lang w:eastAsia="en-NZ"/>
              </w:rPr>
              <w:t>10.094</w:t>
            </w:r>
          </w:p>
        </w:tc>
        <w:tc>
          <w:tcPr>
            <w:tcW w:w="1205" w:type="dxa"/>
            <w:tcBorders>
              <w:top w:val="nil"/>
              <w:left w:val="nil"/>
              <w:bottom w:val="nil"/>
              <w:right w:val="nil"/>
            </w:tcBorders>
            <w:shd w:val="clear" w:color="auto" w:fill="auto"/>
            <w:noWrap/>
            <w:vAlign w:val="bottom"/>
            <w:hideMark/>
          </w:tcPr>
          <w:p w14:paraId="5F370EE9" w14:textId="77777777" w:rsidR="00A7569A" w:rsidRPr="004A3F51" w:rsidRDefault="00A7569A" w:rsidP="005A02AA">
            <w:pPr>
              <w:pStyle w:val="TableText"/>
              <w:jc w:val="right"/>
              <w:rPr>
                <w:lang w:eastAsia="en-NZ"/>
              </w:rPr>
            </w:pPr>
            <w:r w:rsidRPr="004A3F51">
              <w:rPr>
                <w:lang w:eastAsia="en-NZ"/>
              </w:rPr>
              <w:t>10.397</w:t>
            </w:r>
          </w:p>
        </w:tc>
        <w:tc>
          <w:tcPr>
            <w:tcW w:w="1205" w:type="dxa"/>
            <w:tcBorders>
              <w:top w:val="nil"/>
              <w:left w:val="nil"/>
              <w:bottom w:val="nil"/>
              <w:right w:val="nil"/>
            </w:tcBorders>
            <w:shd w:val="clear" w:color="auto" w:fill="auto"/>
            <w:noWrap/>
            <w:vAlign w:val="bottom"/>
            <w:hideMark/>
          </w:tcPr>
          <w:p w14:paraId="5E43E9FE" w14:textId="77777777" w:rsidR="00A7569A" w:rsidRPr="004A3F51" w:rsidRDefault="00A7569A" w:rsidP="005A02AA">
            <w:pPr>
              <w:pStyle w:val="TableText"/>
              <w:jc w:val="right"/>
              <w:rPr>
                <w:lang w:eastAsia="en-NZ"/>
              </w:rPr>
            </w:pPr>
            <w:r w:rsidRPr="004A3F51">
              <w:rPr>
                <w:lang w:eastAsia="en-NZ"/>
              </w:rPr>
              <w:t>30.291</w:t>
            </w:r>
          </w:p>
        </w:tc>
      </w:tr>
      <w:tr w:rsidR="00A7569A" w:rsidRPr="00A7569A" w14:paraId="519D109B" w14:textId="77777777" w:rsidTr="005A02AA">
        <w:tblPrEx>
          <w:tblBorders>
            <w:top w:val="none" w:sz="0" w:space="0" w:color="auto"/>
            <w:bottom w:val="none" w:sz="0" w:space="0" w:color="auto"/>
            <w:insideH w:val="none" w:sz="0" w:space="0" w:color="auto"/>
          </w:tblBorders>
        </w:tblPrEx>
        <w:trPr>
          <w:trHeight w:val="290"/>
        </w:trPr>
        <w:tc>
          <w:tcPr>
            <w:tcW w:w="3407" w:type="dxa"/>
            <w:tcBorders>
              <w:top w:val="nil"/>
              <w:left w:val="nil"/>
              <w:bottom w:val="nil"/>
              <w:right w:val="nil"/>
            </w:tcBorders>
            <w:shd w:val="clear" w:color="auto" w:fill="auto"/>
            <w:noWrap/>
            <w:vAlign w:val="bottom"/>
            <w:hideMark/>
          </w:tcPr>
          <w:p w14:paraId="0ADC439B" w14:textId="77777777" w:rsidR="00A7569A" w:rsidRPr="004A3F51" w:rsidRDefault="00A7569A" w:rsidP="004A3F51">
            <w:pPr>
              <w:pStyle w:val="TableText"/>
              <w:rPr>
                <w:lang w:eastAsia="en-NZ"/>
              </w:rPr>
            </w:pPr>
            <w:r w:rsidRPr="004A3F51">
              <w:rPr>
                <w:lang w:eastAsia="en-NZ"/>
              </w:rPr>
              <w:t>Primary Healthcare Initiative</w:t>
            </w:r>
          </w:p>
        </w:tc>
        <w:tc>
          <w:tcPr>
            <w:tcW w:w="1205" w:type="dxa"/>
            <w:tcBorders>
              <w:top w:val="nil"/>
              <w:left w:val="nil"/>
              <w:bottom w:val="nil"/>
              <w:right w:val="nil"/>
            </w:tcBorders>
            <w:shd w:val="clear" w:color="auto" w:fill="auto"/>
            <w:noWrap/>
            <w:vAlign w:val="bottom"/>
            <w:hideMark/>
          </w:tcPr>
          <w:p w14:paraId="3F1A39FF" w14:textId="77777777" w:rsidR="00A7569A" w:rsidRPr="004A3F51" w:rsidRDefault="00A7569A" w:rsidP="005A02AA">
            <w:pPr>
              <w:pStyle w:val="TableText"/>
              <w:jc w:val="right"/>
              <w:rPr>
                <w:lang w:eastAsia="en-NZ"/>
              </w:rPr>
            </w:pPr>
            <w:r w:rsidRPr="004A3F51">
              <w:rPr>
                <w:lang w:eastAsia="en-NZ"/>
              </w:rPr>
              <w:t>0.490</w:t>
            </w:r>
          </w:p>
        </w:tc>
        <w:tc>
          <w:tcPr>
            <w:tcW w:w="1205" w:type="dxa"/>
            <w:tcBorders>
              <w:top w:val="nil"/>
              <w:left w:val="nil"/>
              <w:bottom w:val="nil"/>
              <w:right w:val="nil"/>
            </w:tcBorders>
            <w:shd w:val="clear" w:color="auto" w:fill="auto"/>
            <w:noWrap/>
            <w:vAlign w:val="bottom"/>
            <w:hideMark/>
          </w:tcPr>
          <w:p w14:paraId="6C2FB750" w14:textId="77777777" w:rsidR="00A7569A" w:rsidRPr="004A3F51" w:rsidRDefault="00A7569A" w:rsidP="005A02AA">
            <w:pPr>
              <w:pStyle w:val="TableText"/>
              <w:jc w:val="right"/>
              <w:rPr>
                <w:lang w:eastAsia="en-NZ"/>
              </w:rPr>
            </w:pPr>
            <w:r w:rsidRPr="004A3F51">
              <w:rPr>
                <w:lang w:eastAsia="en-NZ"/>
              </w:rPr>
              <w:t>0.490</w:t>
            </w:r>
          </w:p>
        </w:tc>
        <w:tc>
          <w:tcPr>
            <w:tcW w:w="1205" w:type="dxa"/>
            <w:tcBorders>
              <w:top w:val="nil"/>
              <w:left w:val="nil"/>
              <w:bottom w:val="nil"/>
              <w:right w:val="nil"/>
            </w:tcBorders>
            <w:shd w:val="clear" w:color="auto" w:fill="auto"/>
            <w:noWrap/>
            <w:vAlign w:val="bottom"/>
            <w:hideMark/>
          </w:tcPr>
          <w:p w14:paraId="7D98636E" w14:textId="77777777" w:rsidR="00A7569A" w:rsidRPr="004A3F51" w:rsidRDefault="00A7569A" w:rsidP="005A02AA">
            <w:pPr>
              <w:pStyle w:val="TableText"/>
              <w:jc w:val="right"/>
              <w:rPr>
                <w:lang w:eastAsia="en-NZ"/>
              </w:rPr>
            </w:pPr>
            <w:r w:rsidRPr="004A3F51">
              <w:rPr>
                <w:lang w:eastAsia="en-NZ"/>
              </w:rPr>
              <w:t>0.490</w:t>
            </w:r>
          </w:p>
        </w:tc>
        <w:tc>
          <w:tcPr>
            <w:tcW w:w="1205" w:type="dxa"/>
            <w:tcBorders>
              <w:top w:val="nil"/>
              <w:left w:val="nil"/>
              <w:bottom w:val="nil"/>
              <w:right w:val="nil"/>
            </w:tcBorders>
            <w:shd w:val="clear" w:color="auto" w:fill="auto"/>
            <w:noWrap/>
            <w:vAlign w:val="bottom"/>
            <w:hideMark/>
          </w:tcPr>
          <w:p w14:paraId="5A2B7E67" w14:textId="77777777" w:rsidR="00A7569A" w:rsidRPr="004A3F51" w:rsidRDefault="00A7569A" w:rsidP="005A02AA">
            <w:pPr>
              <w:pStyle w:val="TableText"/>
              <w:jc w:val="right"/>
              <w:rPr>
                <w:lang w:eastAsia="en-NZ"/>
              </w:rPr>
            </w:pPr>
            <w:r w:rsidRPr="004A3F51">
              <w:rPr>
                <w:lang w:eastAsia="en-NZ"/>
              </w:rPr>
              <w:t>1.470</w:t>
            </w:r>
          </w:p>
        </w:tc>
      </w:tr>
      <w:tr w:rsidR="00A7569A" w:rsidRPr="00A7569A" w14:paraId="6D4EA878" w14:textId="77777777" w:rsidTr="005A02AA">
        <w:tblPrEx>
          <w:tblBorders>
            <w:top w:val="none" w:sz="0" w:space="0" w:color="auto"/>
            <w:bottom w:val="none" w:sz="0" w:space="0" w:color="auto"/>
            <w:insideH w:val="none" w:sz="0" w:space="0" w:color="auto"/>
          </w:tblBorders>
        </w:tblPrEx>
        <w:trPr>
          <w:trHeight w:val="290"/>
        </w:trPr>
        <w:tc>
          <w:tcPr>
            <w:tcW w:w="3407" w:type="dxa"/>
            <w:tcBorders>
              <w:top w:val="nil"/>
              <w:left w:val="nil"/>
              <w:bottom w:val="nil"/>
              <w:right w:val="nil"/>
            </w:tcBorders>
            <w:shd w:val="clear" w:color="auto" w:fill="auto"/>
            <w:noWrap/>
            <w:vAlign w:val="bottom"/>
            <w:hideMark/>
          </w:tcPr>
          <w:p w14:paraId="1192E653" w14:textId="77777777" w:rsidR="00A7569A" w:rsidRPr="004A3F51" w:rsidRDefault="00A7569A" w:rsidP="004A3F51">
            <w:pPr>
              <w:pStyle w:val="TableText"/>
              <w:rPr>
                <w:lang w:eastAsia="en-NZ"/>
              </w:rPr>
            </w:pPr>
            <w:r w:rsidRPr="004A3F51">
              <w:rPr>
                <w:lang w:eastAsia="en-NZ"/>
              </w:rPr>
              <w:t xml:space="preserve">Intensive Support </w:t>
            </w:r>
          </w:p>
        </w:tc>
        <w:tc>
          <w:tcPr>
            <w:tcW w:w="1205" w:type="dxa"/>
            <w:tcBorders>
              <w:top w:val="nil"/>
              <w:left w:val="nil"/>
              <w:bottom w:val="nil"/>
              <w:right w:val="nil"/>
            </w:tcBorders>
            <w:shd w:val="clear" w:color="auto" w:fill="auto"/>
            <w:noWrap/>
            <w:vAlign w:val="bottom"/>
            <w:hideMark/>
          </w:tcPr>
          <w:p w14:paraId="4B9AB3BA" w14:textId="77777777" w:rsidR="00A7569A" w:rsidRPr="004A3F51" w:rsidRDefault="00A7569A" w:rsidP="005A02AA">
            <w:pPr>
              <w:pStyle w:val="TableText"/>
              <w:jc w:val="right"/>
              <w:rPr>
                <w:lang w:eastAsia="en-NZ"/>
              </w:rPr>
            </w:pPr>
            <w:r w:rsidRPr="004A3F51">
              <w:rPr>
                <w:lang w:eastAsia="en-NZ"/>
              </w:rPr>
              <w:t>0.350</w:t>
            </w:r>
          </w:p>
        </w:tc>
        <w:tc>
          <w:tcPr>
            <w:tcW w:w="1205" w:type="dxa"/>
            <w:tcBorders>
              <w:top w:val="nil"/>
              <w:left w:val="nil"/>
              <w:bottom w:val="nil"/>
              <w:right w:val="nil"/>
            </w:tcBorders>
            <w:shd w:val="clear" w:color="auto" w:fill="auto"/>
            <w:noWrap/>
            <w:vAlign w:val="bottom"/>
            <w:hideMark/>
          </w:tcPr>
          <w:p w14:paraId="08EDBB8B" w14:textId="77777777" w:rsidR="00A7569A" w:rsidRPr="004A3F51" w:rsidRDefault="00A7569A" w:rsidP="005A02AA">
            <w:pPr>
              <w:pStyle w:val="TableText"/>
              <w:jc w:val="right"/>
              <w:rPr>
                <w:lang w:eastAsia="en-NZ"/>
              </w:rPr>
            </w:pPr>
            <w:r w:rsidRPr="004A3F51">
              <w:rPr>
                <w:lang w:eastAsia="en-NZ"/>
              </w:rPr>
              <w:t>0.350</w:t>
            </w:r>
          </w:p>
        </w:tc>
        <w:tc>
          <w:tcPr>
            <w:tcW w:w="1205" w:type="dxa"/>
            <w:tcBorders>
              <w:top w:val="nil"/>
              <w:left w:val="nil"/>
              <w:bottom w:val="nil"/>
              <w:right w:val="nil"/>
            </w:tcBorders>
            <w:shd w:val="clear" w:color="auto" w:fill="auto"/>
            <w:noWrap/>
            <w:vAlign w:val="bottom"/>
            <w:hideMark/>
          </w:tcPr>
          <w:p w14:paraId="2340763A" w14:textId="77777777" w:rsidR="00A7569A" w:rsidRPr="004A3F51" w:rsidRDefault="00A7569A" w:rsidP="005A02AA">
            <w:pPr>
              <w:pStyle w:val="TableText"/>
              <w:jc w:val="right"/>
              <w:rPr>
                <w:lang w:eastAsia="en-NZ"/>
              </w:rPr>
            </w:pPr>
            <w:r w:rsidRPr="004A3F51">
              <w:rPr>
                <w:lang w:eastAsia="en-NZ"/>
              </w:rPr>
              <w:t>0.300</w:t>
            </w:r>
          </w:p>
        </w:tc>
        <w:tc>
          <w:tcPr>
            <w:tcW w:w="1205" w:type="dxa"/>
            <w:tcBorders>
              <w:top w:val="nil"/>
              <w:left w:val="nil"/>
              <w:bottom w:val="nil"/>
              <w:right w:val="nil"/>
            </w:tcBorders>
            <w:shd w:val="clear" w:color="auto" w:fill="auto"/>
            <w:noWrap/>
            <w:vAlign w:val="bottom"/>
            <w:hideMark/>
          </w:tcPr>
          <w:p w14:paraId="7B04416B" w14:textId="77777777" w:rsidR="00A7569A" w:rsidRPr="004A3F51" w:rsidRDefault="00A7569A" w:rsidP="005A02AA">
            <w:pPr>
              <w:pStyle w:val="TableText"/>
              <w:jc w:val="right"/>
              <w:rPr>
                <w:lang w:eastAsia="en-NZ"/>
              </w:rPr>
            </w:pPr>
            <w:r w:rsidRPr="004A3F51">
              <w:rPr>
                <w:lang w:eastAsia="en-NZ"/>
              </w:rPr>
              <w:t>1.000</w:t>
            </w:r>
          </w:p>
        </w:tc>
      </w:tr>
      <w:tr w:rsidR="00A7569A" w:rsidRPr="00A7569A" w14:paraId="603B1F85" w14:textId="77777777" w:rsidTr="005A02AA">
        <w:tblPrEx>
          <w:tblBorders>
            <w:top w:val="none" w:sz="0" w:space="0" w:color="auto"/>
            <w:bottom w:val="none" w:sz="0" w:space="0" w:color="auto"/>
            <w:insideH w:val="none" w:sz="0" w:space="0" w:color="auto"/>
          </w:tblBorders>
        </w:tblPrEx>
        <w:trPr>
          <w:trHeight w:val="290"/>
        </w:trPr>
        <w:tc>
          <w:tcPr>
            <w:tcW w:w="3407" w:type="dxa"/>
            <w:tcBorders>
              <w:top w:val="nil"/>
              <w:left w:val="nil"/>
              <w:bottom w:val="nil"/>
              <w:right w:val="nil"/>
            </w:tcBorders>
            <w:shd w:val="clear" w:color="auto" w:fill="auto"/>
            <w:noWrap/>
            <w:vAlign w:val="bottom"/>
            <w:hideMark/>
          </w:tcPr>
          <w:p w14:paraId="7DA1F482" w14:textId="77777777" w:rsidR="00A7569A" w:rsidRPr="004A3F51" w:rsidRDefault="00A7569A" w:rsidP="004A3F51">
            <w:pPr>
              <w:pStyle w:val="TableText"/>
              <w:rPr>
                <w:lang w:eastAsia="en-NZ"/>
              </w:rPr>
            </w:pPr>
            <w:r w:rsidRPr="004A3F51">
              <w:rPr>
                <w:lang w:eastAsia="en-NZ"/>
              </w:rPr>
              <w:t xml:space="preserve">National gambling helpline </w:t>
            </w:r>
          </w:p>
        </w:tc>
        <w:tc>
          <w:tcPr>
            <w:tcW w:w="1205" w:type="dxa"/>
            <w:tcBorders>
              <w:top w:val="nil"/>
              <w:left w:val="nil"/>
              <w:bottom w:val="nil"/>
              <w:right w:val="nil"/>
            </w:tcBorders>
            <w:shd w:val="clear" w:color="auto" w:fill="auto"/>
            <w:noWrap/>
            <w:vAlign w:val="bottom"/>
            <w:hideMark/>
          </w:tcPr>
          <w:p w14:paraId="492E153D" w14:textId="77777777" w:rsidR="00A7569A" w:rsidRPr="004A3F51" w:rsidRDefault="00A7569A" w:rsidP="005A02AA">
            <w:pPr>
              <w:pStyle w:val="TableText"/>
              <w:jc w:val="right"/>
              <w:rPr>
                <w:lang w:eastAsia="en-NZ"/>
              </w:rPr>
            </w:pPr>
            <w:r w:rsidRPr="004A3F51">
              <w:rPr>
                <w:lang w:eastAsia="en-NZ"/>
              </w:rPr>
              <w:t>1.100</w:t>
            </w:r>
          </w:p>
        </w:tc>
        <w:tc>
          <w:tcPr>
            <w:tcW w:w="1205" w:type="dxa"/>
            <w:tcBorders>
              <w:top w:val="nil"/>
              <w:left w:val="nil"/>
              <w:bottom w:val="nil"/>
              <w:right w:val="nil"/>
            </w:tcBorders>
            <w:shd w:val="clear" w:color="auto" w:fill="auto"/>
            <w:noWrap/>
            <w:vAlign w:val="bottom"/>
            <w:hideMark/>
          </w:tcPr>
          <w:p w14:paraId="07F1A24D" w14:textId="77777777" w:rsidR="00A7569A" w:rsidRPr="004A3F51" w:rsidRDefault="00A7569A" w:rsidP="005A02AA">
            <w:pPr>
              <w:pStyle w:val="TableText"/>
              <w:jc w:val="right"/>
              <w:rPr>
                <w:lang w:eastAsia="en-NZ"/>
              </w:rPr>
            </w:pPr>
            <w:r w:rsidRPr="004A3F51">
              <w:rPr>
                <w:lang w:eastAsia="en-NZ"/>
              </w:rPr>
              <w:t>1.100</w:t>
            </w:r>
          </w:p>
        </w:tc>
        <w:tc>
          <w:tcPr>
            <w:tcW w:w="1205" w:type="dxa"/>
            <w:tcBorders>
              <w:top w:val="nil"/>
              <w:left w:val="nil"/>
              <w:bottom w:val="nil"/>
              <w:right w:val="nil"/>
            </w:tcBorders>
            <w:shd w:val="clear" w:color="auto" w:fill="auto"/>
            <w:noWrap/>
            <w:vAlign w:val="bottom"/>
            <w:hideMark/>
          </w:tcPr>
          <w:p w14:paraId="5BEC0EFB" w14:textId="77777777" w:rsidR="00A7569A" w:rsidRPr="004A3F51" w:rsidRDefault="00A7569A" w:rsidP="005A02AA">
            <w:pPr>
              <w:pStyle w:val="TableText"/>
              <w:jc w:val="right"/>
              <w:rPr>
                <w:lang w:eastAsia="en-NZ"/>
              </w:rPr>
            </w:pPr>
            <w:r w:rsidRPr="004A3F51">
              <w:rPr>
                <w:lang w:eastAsia="en-NZ"/>
              </w:rPr>
              <w:t>1.100</w:t>
            </w:r>
          </w:p>
        </w:tc>
        <w:tc>
          <w:tcPr>
            <w:tcW w:w="1205" w:type="dxa"/>
            <w:tcBorders>
              <w:top w:val="nil"/>
              <w:left w:val="nil"/>
              <w:bottom w:val="nil"/>
              <w:right w:val="nil"/>
            </w:tcBorders>
            <w:shd w:val="clear" w:color="auto" w:fill="auto"/>
            <w:noWrap/>
            <w:vAlign w:val="bottom"/>
            <w:hideMark/>
          </w:tcPr>
          <w:p w14:paraId="0A079711" w14:textId="77777777" w:rsidR="00A7569A" w:rsidRPr="004A3F51" w:rsidRDefault="00A7569A" w:rsidP="005A02AA">
            <w:pPr>
              <w:pStyle w:val="TableText"/>
              <w:jc w:val="right"/>
              <w:rPr>
                <w:lang w:eastAsia="en-NZ"/>
              </w:rPr>
            </w:pPr>
            <w:r w:rsidRPr="004A3F51">
              <w:rPr>
                <w:lang w:eastAsia="en-NZ"/>
              </w:rPr>
              <w:t>3.300</w:t>
            </w:r>
          </w:p>
        </w:tc>
      </w:tr>
      <w:tr w:rsidR="00A7569A" w:rsidRPr="00A7569A" w14:paraId="44481CAB" w14:textId="77777777" w:rsidTr="005A02AA">
        <w:tblPrEx>
          <w:tblBorders>
            <w:top w:val="none" w:sz="0" w:space="0" w:color="auto"/>
            <w:bottom w:val="none" w:sz="0" w:space="0" w:color="auto"/>
            <w:insideH w:val="none" w:sz="0" w:space="0" w:color="auto"/>
          </w:tblBorders>
        </w:tblPrEx>
        <w:trPr>
          <w:trHeight w:val="290"/>
        </w:trPr>
        <w:tc>
          <w:tcPr>
            <w:tcW w:w="3407" w:type="dxa"/>
            <w:tcBorders>
              <w:top w:val="nil"/>
              <w:left w:val="nil"/>
              <w:bottom w:val="nil"/>
              <w:right w:val="nil"/>
            </w:tcBorders>
            <w:shd w:val="clear" w:color="auto" w:fill="auto"/>
            <w:noWrap/>
            <w:vAlign w:val="bottom"/>
            <w:hideMark/>
          </w:tcPr>
          <w:p w14:paraId="573521EF" w14:textId="1C43628F" w:rsidR="00A7569A" w:rsidRPr="004A3F51" w:rsidRDefault="00A7569A" w:rsidP="004A3F51">
            <w:pPr>
              <w:pStyle w:val="TableText"/>
              <w:rPr>
                <w:lang w:eastAsia="en-NZ"/>
              </w:rPr>
            </w:pPr>
            <w:r w:rsidRPr="004A3F51">
              <w:rPr>
                <w:lang w:eastAsia="en-NZ"/>
              </w:rPr>
              <w:t>Workforce Development (Clinical)</w:t>
            </w:r>
          </w:p>
        </w:tc>
        <w:tc>
          <w:tcPr>
            <w:tcW w:w="1205" w:type="dxa"/>
            <w:tcBorders>
              <w:top w:val="nil"/>
              <w:left w:val="nil"/>
              <w:bottom w:val="nil"/>
              <w:right w:val="nil"/>
            </w:tcBorders>
            <w:shd w:val="clear" w:color="auto" w:fill="auto"/>
            <w:noWrap/>
            <w:vAlign w:val="bottom"/>
            <w:hideMark/>
          </w:tcPr>
          <w:p w14:paraId="2C63A7E4" w14:textId="77777777" w:rsidR="00A7569A" w:rsidRPr="004A3F51" w:rsidRDefault="00A7569A" w:rsidP="005A02AA">
            <w:pPr>
              <w:pStyle w:val="TableText"/>
              <w:jc w:val="right"/>
              <w:rPr>
                <w:lang w:eastAsia="en-NZ"/>
              </w:rPr>
            </w:pPr>
            <w:r w:rsidRPr="004A3F51">
              <w:rPr>
                <w:lang w:eastAsia="en-NZ"/>
              </w:rPr>
              <w:t>0.150</w:t>
            </w:r>
          </w:p>
        </w:tc>
        <w:tc>
          <w:tcPr>
            <w:tcW w:w="1205" w:type="dxa"/>
            <w:tcBorders>
              <w:top w:val="nil"/>
              <w:left w:val="nil"/>
              <w:bottom w:val="nil"/>
              <w:right w:val="nil"/>
            </w:tcBorders>
            <w:shd w:val="clear" w:color="auto" w:fill="auto"/>
            <w:noWrap/>
            <w:vAlign w:val="bottom"/>
            <w:hideMark/>
          </w:tcPr>
          <w:p w14:paraId="062C960C" w14:textId="77777777" w:rsidR="00A7569A" w:rsidRPr="004A3F51" w:rsidRDefault="00A7569A" w:rsidP="005A02AA">
            <w:pPr>
              <w:pStyle w:val="TableText"/>
              <w:jc w:val="right"/>
              <w:rPr>
                <w:lang w:eastAsia="en-NZ"/>
              </w:rPr>
            </w:pPr>
            <w:r w:rsidRPr="004A3F51">
              <w:rPr>
                <w:lang w:eastAsia="en-NZ"/>
              </w:rPr>
              <w:t>0.150</w:t>
            </w:r>
          </w:p>
        </w:tc>
        <w:tc>
          <w:tcPr>
            <w:tcW w:w="1205" w:type="dxa"/>
            <w:tcBorders>
              <w:top w:val="nil"/>
              <w:left w:val="nil"/>
              <w:bottom w:val="nil"/>
              <w:right w:val="nil"/>
            </w:tcBorders>
            <w:shd w:val="clear" w:color="auto" w:fill="auto"/>
            <w:noWrap/>
            <w:vAlign w:val="bottom"/>
            <w:hideMark/>
          </w:tcPr>
          <w:p w14:paraId="7784F105" w14:textId="77777777" w:rsidR="00A7569A" w:rsidRPr="004A3F51" w:rsidRDefault="00A7569A" w:rsidP="005A02AA">
            <w:pPr>
              <w:pStyle w:val="TableText"/>
              <w:jc w:val="right"/>
              <w:rPr>
                <w:lang w:eastAsia="en-NZ"/>
              </w:rPr>
            </w:pPr>
            <w:r w:rsidRPr="004A3F51">
              <w:rPr>
                <w:lang w:eastAsia="en-NZ"/>
              </w:rPr>
              <w:t>0.150</w:t>
            </w:r>
          </w:p>
        </w:tc>
        <w:tc>
          <w:tcPr>
            <w:tcW w:w="1205" w:type="dxa"/>
            <w:tcBorders>
              <w:top w:val="nil"/>
              <w:left w:val="nil"/>
              <w:bottom w:val="nil"/>
              <w:right w:val="nil"/>
            </w:tcBorders>
            <w:shd w:val="clear" w:color="auto" w:fill="auto"/>
            <w:noWrap/>
            <w:vAlign w:val="bottom"/>
            <w:hideMark/>
          </w:tcPr>
          <w:p w14:paraId="421F4287" w14:textId="77777777" w:rsidR="00A7569A" w:rsidRPr="004A3F51" w:rsidRDefault="00A7569A" w:rsidP="005A02AA">
            <w:pPr>
              <w:pStyle w:val="TableText"/>
              <w:jc w:val="right"/>
              <w:rPr>
                <w:lang w:eastAsia="en-NZ"/>
              </w:rPr>
            </w:pPr>
            <w:r w:rsidRPr="004A3F51">
              <w:rPr>
                <w:lang w:eastAsia="en-NZ"/>
              </w:rPr>
              <w:t>0.450</w:t>
            </w:r>
          </w:p>
        </w:tc>
      </w:tr>
      <w:tr w:rsidR="00A7569A" w:rsidRPr="00A7569A" w14:paraId="2D4838BD" w14:textId="77777777" w:rsidTr="005A02AA">
        <w:tblPrEx>
          <w:tblBorders>
            <w:top w:val="none" w:sz="0" w:space="0" w:color="auto"/>
            <w:bottom w:val="none" w:sz="0" w:space="0" w:color="auto"/>
            <w:insideH w:val="none" w:sz="0" w:space="0" w:color="auto"/>
          </w:tblBorders>
        </w:tblPrEx>
        <w:trPr>
          <w:trHeight w:val="290"/>
        </w:trPr>
        <w:tc>
          <w:tcPr>
            <w:tcW w:w="3407" w:type="dxa"/>
            <w:tcBorders>
              <w:top w:val="nil"/>
              <w:left w:val="nil"/>
              <w:bottom w:val="nil"/>
              <w:right w:val="nil"/>
            </w:tcBorders>
            <w:shd w:val="clear" w:color="auto" w:fill="auto"/>
            <w:hideMark/>
          </w:tcPr>
          <w:p w14:paraId="1D80ADFB" w14:textId="77777777" w:rsidR="00A7569A" w:rsidRPr="004A3F51" w:rsidRDefault="00A7569A" w:rsidP="004A3F51">
            <w:pPr>
              <w:pStyle w:val="TableText"/>
              <w:rPr>
                <w:lang w:eastAsia="en-NZ"/>
              </w:rPr>
            </w:pPr>
            <w:r w:rsidRPr="004A3F51">
              <w:rPr>
                <w:lang w:eastAsia="en-NZ"/>
              </w:rPr>
              <w:t>Data management solution</w:t>
            </w:r>
          </w:p>
        </w:tc>
        <w:tc>
          <w:tcPr>
            <w:tcW w:w="1205" w:type="dxa"/>
            <w:tcBorders>
              <w:top w:val="nil"/>
              <w:left w:val="nil"/>
              <w:bottom w:val="nil"/>
              <w:right w:val="nil"/>
            </w:tcBorders>
            <w:shd w:val="clear" w:color="auto" w:fill="auto"/>
            <w:noWrap/>
            <w:vAlign w:val="bottom"/>
            <w:hideMark/>
          </w:tcPr>
          <w:p w14:paraId="6C9F3233" w14:textId="77777777" w:rsidR="00A7569A" w:rsidRPr="004A3F51" w:rsidRDefault="00A7569A" w:rsidP="005A02AA">
            <w:pPr>
              <w:pStyle w:val="TableText"/>
              <w:jc w:val="right"/>
              <w:rPr>
                <w:lang w:eastAsia="en-NZ"/>
              </w:rPr>
            </w:pPr>
            <w:r w:rsidRPr="004A3F51">
              <w:rPr>
                <w:lang w:eastAsia="en-NZ"/>
              </w:rPr>
              <w:t>0.581</w:t>
            </w:r>
          </w:p>
        </w:tc>
        <w:tc>
          <w:tcPr>
            <w:tcW w:w="1205" w:type="dxa"/>
            <w:tcBorders>
              <w:top w:val="nil"/>
              <w:left w:val="nil"/>
              <w:bottom w:val="nil"/>
              <w:right w:val="nil"/>
            </w:tcBorders>
            <w:shd w:val="clear" w:color="auto" w:fill="auto"/>
            <w:noWrap/>
            <w:vAlign w:val="bottom"/>
            <w:hideMark/>
          </w:tcPr>
          <w:p w14:paraId="3255BB53" w14:textId="77777777" w:rsidR="00A7569A" w:rsidRPr="004A3F51" w:rsidRDefault="00A7569A" w:rsidP="005A02AA">
            <w:pPr>
              <w:pStyle w:val="TableText"/>
              <w:jc w:val="right"/>
              <w:rPr>
                <w:lang w:eastAsia="en-NZ"/>
              </w:rPr>
            </w:pPr>
            <w:r w:rsidRPr="004A3F51">
              <w:rPr>
                <w:lang w:eastAsia="en-NZ"/>
              </w:rPr>
              <w:t>0.605</w:t>
            </w:r>
          </w:p>
        </w:tc>
        <w:tc>
          <w:tcPr>
            <w:tcW w:w="1205" w:type="dxa"/>
            <w:tcBorders>
              <w:top w:val="nil"/>
              <w:left w:val="nil"/>
              <w:bottom w:val="nil"/>
              <w:right w:val="nil"/>
            </w:tcBorders>
            <w:shd w:val="clear" w:color="auto" w:fill="auto"/>
            <w:noWrap/>
            <w:vAlign w:val="bottom"/>
            <w:hideMark/>
          </w:tcPr>
          <w:p w14:paraId="1E002F1A" w14:textId="77777777" w:rsidR="00A7569A" w:rsidRPr="004A3F51" w:rsidRDefault="00A7569A" w:rsidP="005A02AA">
            <w:pPr>
              <w:pStyle w:val="TableText"/>
              <w:jc w:val="right"/>
              <w:rPr>
                <w:lang w:eastAsia="en-NZ"/>
              </w:rPr>
            </w:pPr>
            <w:r w:rsidRPr="004A3F51">
              <w:rPr>
                <w:lang w:eastAsia="en-NZ"/>
              </w:rPr>
              <w:t>0.425</w:t>
            </w:r>
          </w:p>
        </w:tc>
        <w:tc>
          <w:tcPr>
            <w:tcW w:w="1205" w:type="dxa"/>
            <w:tcBorders>
              <w:top w:val="nil"/>
              <w:left w:val="nil"/>
              <w:bottom w:val="nil"/>
              <w:right w:val="nil"/>
            </w:tcBorders>
            <w:shd w:val="clear" w:color="auto" w:fill="auto"/>
            <w:noWrap/>
            <w:vAlign w:val="bottom"/>
            <w:hideMark/>
          </w:tcPr>
          <w:p w14:paraId="081BCB05" w14:textId="77777777" w:rsidR="00A7569A" w:rsidRPr="004A3F51" w:rsidRDefault="00A7569A" w:rsidP="005A02AA">
            <w:pPr>
              <w:pStyle w:val="TableText"/>
              <w:jc w:val="right"/>
              <w:rPr>
                <w:lang w:eastAsia="en-NZ"/>
              </w:rPr>
            </w:pPr>
            <w:r w:rsidRPr="004A3F51">
              <w:rPr>
                <w:lang w:eastAsia="en-NZ"/>
              </w:rPr>
              <w:t>1.611</w:t>
            </w:r>
          </w:p>
        </w:tc>
      </w:tr>
      <w:tr w:rsidR="00A7569A" w:rsidRPr="00A7569A" w14:paraId="7EAC6ED9" w14:textId="77777777" w:rsidTr="005A02AA">
        <w:tblPrEx>
          <w:tblBorders>
            <w:top w:val="none" w:sz="0" w:space="0" w:color="auto"/>
            <w:bottom w:val="none" w:sz="0" w:space="0" w:color="auto"/>
            <w:insideH w:val="none" w:sz="0" w:space="0" w:color="auto"/>
          </w:tblBorders>
        </w:tblPrEx>
        <w:trPr>
          <w:trHeight w:val="290"/>
        </w:trPr>
        <w:tc>
          <w:tcPr>
            <w:tcW w:w="3407" w:type="dxa"/>
            <w:tcBorders>
              <w:top w:val="nil"/>
              <w:left w:val="nil"/>
              <w:bottom w:val="nil"/>
              <w:right w:val="nil"/>
            </w:tcBorders>
            <w:shd w:val="clear" w:color="auto" w:fill="auto"/>
            <w:noWrap/>
            <w:vAlign w:val="bottom"/>
            <w:hideMark/>
          </w:tcPr>
          <w:p w14:paraId="46B56DCC" w14:textId="77777777" w:rsidR="00A7569A" w:rsidRPr="004A3F51" w:rsidRDefault="00A7569A" w:rsidP="004A3F51">
            <w:pPr>
              <w:pStyle w:val="TableText"/>
              <w:rPr>
                <w:lang w:eastAsia="en-NZ"/>
              </w:rPr>
            </w:pPr>
            <w:r w:rsidRPr="004A3F51">
              <w:rPr>
                <w:lang w:eastAsia="en-NZ"/>
              </w:rPr>
              <w:t xml:space="preserve">Digital Services and Supports </w:t>
            </w:r>
          </w:p>
        </w:tc>
        <w:tc>
          <w:tcPr>
            <w:tcW w:w="1205" w:type="dxa"/>
            <w:tcBorders>
              <w:top w:val="nil"/>
              <w:left w:val="nil"/>
              <w:bottom w:val="nil"/>
              <w:right w:val="nil"/>
            </w:tcBorders>
            <w:shd w:val="clear" w:color="auto" w:fill="auto"/>
            <w:noWrap/>
            <w:vAlign w:val="bottom"/>
            <w:hideMark/>
          </w:tcPr>
          <w:p w14:paraId="3941FB5C" w14:textId="77777777" w:rsidR="00A7569A" w:rsidRPr="004A3F51" w:rsidRDefault="00A7569A" w:rsidP="005A02AA">
            <w:pPr>
              <w:pStyle w:val="TableText"/>
              <w:jc w:val="right"/>
              <w:rPr>
                <w:lang w:eastAsia="en-NZ"/>
              </w:rPr>
            </w:pPr>
            <w:r w:rsidRPr="004A3F51">
              <w:rPr>
                <w:lang w:eastAsia="en-NZ"/>
              </w:rPr>
              <w:t>0.968</w:t>
            </w:r>
          </w:p>
        </w:tc>
        <w:tc>
          <w:tcPr>
            <w:tcW w:w="1205" w:type="dxa"/>
            <w:tcBorders>
              <w:top w:val="nil"/>
              <w:left w:val="nil"/>
              <w:bottom w:val="nil"/>
              <w:right w:val="nil"/>
            </w:tcBorders>
            <w:shd w:val="clear" w:color="auto" w:fill="auto"/>
            <w:noWrap/>
            <w:vAlign w:val="bottom"/>
            <w:hideMark/>
          </w:tcPr>
          <w:p w14:paraId="3354C081" w14:textId="77777777" w:rsidR="00A7569A" w:rsidRPr="004A3F51" w:rsidRDefault="00A7569A" w:rsidP="005A02AA">
            <w:pPr>
              <w:pStyle w:val="TableText"/>
              <w:jc w:val="right"/>
              <w:rPr>
                <w:lang w:eastAsia="en-NZ"/>
              </w:rPr>
            </w:pPr>
            <w:r w:rsidRPr="004A3F51">
              <w:rPr>
                <w:lang w:eastAsia="en-NZ"/>
              </w:rPr>
              <w:t>0.984</w:t>
            </w:r>
          </w:p>
        </w:tc>
        <w:tc>
          <w:tcPr>
            <w:tcW w:w="1205" w:type="dxa"/>
            <w:tcBorders>
              <w:top w:val="nil"/>
              <w:left w:val="nil"/>
              <w:bottom w:val="nil"/>
              <w:right w:val="nil"/>
            </w:tcBorders>
            <w:shd w:val="clear" w:color="auto" w:fill="auto"/>
            <w:noWrap/>
            <w:vAlign w:val="bottom"/>
            <w:hideMark/>
          </w:tcPr>
          <w:p w14:paraId="5569E4A9" w14:textId="77777777" w:rsidR="00A7569A" w:rsidRPr="004A3F51" w:rsidRDefault="00A7569A" w:rsidP="005A02AA">
            <w:pPr>
              <w:pStyle w:val="TableText"/>
              <w:jc w:val="right"/>
              <w:rPr>
                <w:lang w:eastAsia="en-NZ"/>
              </w:rPr>
            </w:pPr>
            <w:r w:rsidRPr="004A3F51">
              <w:rPr>
                <w:lang w:eastAsia="en-NZ"/>
              </w:rPr>
              <w:t>1.001</w:t>
            </w:r>
          </w:p>
        </w:tc>
        <w:tc>
          <w:tcPr>
            <w:tcW w:w="1205" w:type="dxa"/>
            <w:tcBorders>
              <w:top w:val="nil"/>
              <w:left w:val="nil"/>
              <w:bottom w:val="nil"/>
              <w:right w:val="nil"/>
            </w:tcBorders>
            <w:shd w:val="clear" w:color="auto" w:fill="auto"/>
            <w:noWrap/>
            <w:vAlign w:val="bottom"/>
            <w:hideMark/>
          </w:tcPr>
          <w:p w14:paraId="5A761264" w14:textId="77777777" w:rsidR="00A7569A" w:rsidRPr="004A3F51" w:rsidRDefault="00A7569A" w:rsidP="005A02AA">
            <w:pPr>
              <w:pStyle w:val="TableText"/>
              <w:jc w:val="right"/>
              <w:rPr>
                <w:lang w:eastAsia="en-NZ"/>
              </w:rPr>
            </w:pPr>
            <w:r w:rsidRPr="004A3F51">
              <w:rPr>
                <w:lang w:eastAsia="en-NZ"/>
              </w:rPr>
              <w:t>2.953</w:t>
            </w:r>
          </w:p>
        </w:tc>
      </w:tr>
      <w:tr w:rsidR="00A7569A" w:rsidRPr="00A7569A" w14:paraId="1C472975" w14:textId="77777777" w:rsidTr="005A02AA">
        <w:tblPrEx>
          <w:tblBorders>
            <w:top w:val="none" w:sz="0" w:space="0" w:color="auto"/>
            <w:bottom w:val="none" w:sz="0" w:space="0" w:color="auto"/>
            <w:insideH w:val="none" w:sz="0" w:space="0" w:color="auto"/>
          </w:tblBorders>
        </w:tblPrEx>
        <w:trPr>
          <w:trHeight w:val="290"/>
        </w:trPr>
        <w:tc>
          <w:tcPr>
            <w:tcW w:w="3407" w:type="dxa"/>
            <w:tcBorders>
              <w:top w:val="nil"/>
              <w:left w:val="nil"/>
              <w:bottom w:val="single" w:sz="4" w:space="0" w:color="A6A6A6" w:themeColor="background1" w:themeShade="A6"/>
              <w:right w:val="nil"/>
            </w:tcBorders>
            <w:shd w:val="clear" w:color="auto" w:fill="auto"/>
            <w:noWrap/>
            <w:vAlign w:val="bottom"/>
            <w:hideMark/>
          </w:tcPr>
          <w:p w14:paraId="382589F2" w14:textId="77777777" w:rsidR="00A7569A" w:rsidRPr="004A3F51" w:rsidRDefault="00A7569A" w:rsidP="004A3F51">
            <w:pPr>
              <w:pStyle w:val="TableText"/>
              <w:rPr>
                <w:lang w:eastAsia="en-NZ"/>
              </w:rPr>
            </w:pPr>
            <w:r w:rsidRPr="004A3F51">
              <w:rPr>
                <w:lang w:eastAsia="en-NZ"/>
              </w:rPr>
              <w:t>Practitioner Guide Refresh</w:t>
            </w:r>
          </w:p>
        </w:tc>
        <w:tc>
          <w:tcPr>
            <w:tcW w:w="1205" w:type="dxa"/>
            <w:tcBorders>
              <w:top w:val="nil"/>
              <w:left w:val="nil"/>
              <w:bottom w:val="single" w:sz="4" w:space="0" w:color="A6A6A6" w:themeColor="background1" w:themeShade="A6"/>
              <w:right w:val="nil"/>
            </w:tcBorders>
            <w:shd w:val="clear" w:color="auto" w:fill="auto"/>
            <w:noWrap/>
            <w:vAlign w:val="bottom"/>
            <w:hideMark/>
          </w:tcPr>
          <w:p w14:paraId="1329E05C" w14:textId="77777777" w:rsidR="00A7569A" w:rsidRPr="004A3F51" w:rsidRDefault="00A7569A" w:rsidP="005A02AA">
            <w:pPr>
              <w:pStyle w:val="TableText"/>
              <w:jc w:val="right"/>
              <w:rPr>
                <w:lang w:eastAsia="en-NZ"/>
              </w:rPr>
            </w:pPr>
            <w:r w:rsidRPr="004A3F51">
              <w:rPr>
                <w:lang w:eastAsia="en-NZ"/>
              </w:rPr>
              <w:t>0.000</w:t>
            </w:r>
          </w:p>
        </w:tc>
        <w:tc>
          <w:tcPr>
            <w:tcW w:w="1205" w:type="dxa"/>
            <w:tcBorders>
              <w:top w:val="nil"/>
              <w:left w:val="nil"/>
              <w:bottom w:val="single" w:sz="4" w:space="0" w:color="A6A6A6" w:themeColor="background1" w:themeShade="A6"/>
              <w:right w:val="nil"/>
            </w:tcBorders>
            <w:shd w:val="clear" w:color="auto" w:fill="auto"/>
            <w:noWrap/>
            <w:vAlign w:val="bottom"/>
            <w:hideMark/>
          </w:tcPr>
          <w:p w14:paraId="4890DBEC" w14:textId="77777777" w:rsidR="00A7569A" w:rsidRPr="004A3F51" w:rsidRDefault="00A7569A" w:rsidP="005A02AA">
            <w:pPr>
              <w:pStyle w:val="TableText"/>
              <w:jc w:val="right"/>
              <w:rPr>
                <w:lang w:eastAsia="en-NZ"/>
              </w:rPr>
            </w:pPr>
            <w:r w:rsidRPr="004A3F51">
              <w:rPr>
                <w:lang w:eastAsia="en-NZ"/>
              </w:rPr>
              <w:t>0.100</w:t>
            </w:r>
          </w:p>
        </w:tc>
        <w:tc>
          <w:tcPr>
            <w:tcW w:w="1205" w:type="dxa"/>
            <w:tcBorders>
              <w:top w:val="nil"/>
              <w:left w:val="nil"/>
              <w:bottom w:val="single" w:sz="4" w:space="0" w:color="A6A6A6" w:themeColor="background1" w:themeShade="A6"/>
              <w:right w:val="nil"/>
            </w:tcBorders>
            <w:shd w:val="clear" w:color="auto" w:fill="auto"/>
            <w:noWrap/>
            <w:vAlign w:val="bottom"/>
            <w:hideMark/>
          </w:tcPr>
          <w:p w14:paraId="7851D6E8" w14:textId="77777777" w:rsidR="00A7569A" w:rsidRPr="004A3F51" w:rsidRDefault="00A7569A" w:rsidP="005A02AA">
            <w:pPr>
              <w:pStyle w:val="TableText"/>
              <w:jc w:val="right"/>
              <w:rPr>
                <w:lang w:eastAsia="en-NZ"/>
              </w:rPr>
            </w:pPr>
            <w:r w:rsidRPr="004A3F51">
              <w:rPr>
                <w:lang w:eastAsia="en-NZ"/>
              </w:rPr>
              <w:t>0.100</w:t>
            </w:r>
          </w:p>
        </w:tc>
        <w:tc>
          <w:tcPr>
            <w:tcW w:w="1205" w:type="dxa"/>
            <w:tcBorders>
              <w:top w:val="nil"/>
              <w:left w:val="nil"/>
              <w:bottom w:val="single" w:sz="4" w:space="0" w:color="A6A6A6" w:themeColor="background1" w:themeShade="A6"/>
              <w:right w:val="nil"/>
            </w:tcBorders>
            <w:shd w:val="clear" w:color="auto" w:fill="auto"/>
            <w:noWrap/>
            <w:vAlign w:val="bottom"/>
            <w:hideMark/>
          </w:tcPr>
          <w:p w14:paraId="76AE6AE1" w14:textId="77777777" w:rsidR="00A7569A" w:rsidRPr="004A3F51" w:rsidRDefault="00A7569A" w:rsidP="005A02AA">
            <w:pPr>
              <w:pStyle w:val="TableText"/>
              <w:jc w:val="right"/>
              <w:rPr>
                <w:lang w:eastAsia="en-NZ"/>
              </w:rPr>
            </w:pPr>
            <w:r w:rsidRPr="004A3F51">
              <w:rPr>
                <w:lang w:eastAsia="en-NZ"/>
              </w:rPr>
              <w:t>0.200</w:t>
            </w:r>
          </w:p>
        </w:tc>
      </w:tr>
      <w:tr w:rsidR="00A7569A" w:rsidRPr="00A7569A" w14:paraId="7D3C28D9" w14:textId="77777777" w:rsidTr="005A02AA">
        <w:tblPrEx>
          <w:tblBorders>
            <w:top w:val="none" w:sz="0" w:space="0" w:color="auto"/>
            <w:bottom w:val="none" w:sz="0" w:space="0" w:color="auto"/>
            <w:insideH w:val="none" w:sz="0" w:space="0" w:color="auto"/>
          </w:tblBorders>
        </w:tblPrEx>
        <w:trPr>
          <w:trHeight w:val="290"/>
        </w:trPr>
        <w:tc>
          <w:tcPr>
            <w:tcW w:w="3407"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tcPr>
          <w:p w14:paraId="64E99922" w14:textId="42981404" w:rsidR="00A7569A" w:rsidRPr="00A7569A" w:rsidRDefault="00A7569A" w:rsidP="00A7569A">
            <w:pPr>
              <w:pStyle w:val="TableText"/>
              <w:rPr>
                <w:lang w:eastAsia="en-NZ"/>
              </w:rPr>
            </w:pPr>
            <w:r w:rsidRPr="00043D33">
              <w:rPr>
                <w:b/>
                <w:bCs/>
                <w:lang w:eastAsia="en-NZ"/>
              </w:rPr>
              <w:t>Total</w:t>
            </w:r>
          </w:p>
        </w:tc>
        <w:tc>
          <w:tcPr>
            <w:tcW w:w="1205"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tcPr>
          <w:p w14:paraId="70A49067" w14:textId="57A4050A" w:rsidR="00A7569A" w:rsidRPr="00A7569A" w:rsidRDefault="00A7569A" w:rsidP="005A02AA">
            <w:pPr>
              <w:pStyle w:val="TableText"/>
              <w:jc w:val="right"/>
              <w:rPr>
                <w:lang w:eastAsia="en-NZ"/>
              </w:rPr>
            </w:pPr>
            <w:r w:rsidRPr="00043D33">
              <w:rPr>
                <w:b/>
                <w:bCs/>
                <w:lang w:eastAsia="en-NZ"/>
              </w:rPr>
              <w:t>13.439</w:t>
            </w:r>
          </w:p>
        </w:tc>
        <w:tc>
          <w:tcPr>
            <w:tcW w:w="1205"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tcPr>
          <w:p w14:paraId="7444C490" w14:textId="4A62479E" w:rsidR="00A7569A" w:rsidRPr="00A7569A" w:rsidRDefault="00A7569A" w:rsidP="005A02AA">
            <w:pPr>
              <w:pStyle w:val="TableText"/>
              <w:jc w:val="right"/>
              <w:rPr>
                <w:lang w:eastAsia="en-NZ"/>
              </w:rPr>
            </w:pPr>
            <w:r w:rsidRPr="00043D33">
              <w:rPr>
                <w:b/>
                <w:bCs/>
                <w:lang w:eastAsia="en-NZ"/>
              </w:rPr>
              <w:t>13.873</w:t>
            </w:r>
          </w:p>
        </w:tc>
        <w:tc>
          <w:tcPr>
            <w:tcW w:w="1205"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tcPr>
          <w:p w14:paraId="0D35BFFA" w14:textId="37626352" w:rsidR="00A7569A" w:rsidRPr="00A7569A" w:rsidRDefault="00A7569A" w:rsidP="005A02AA">
            <w:pPr>
              <w:pStyle w:val="TableText"/>
              <w:jc w:val="right"/>
              <w:rPr>
                <w:lang w:eastAsia="en-NZ"/>
              </w:rPr>
            </w:pPr>
            <w:r w:rsidRPr="00043D33">
              <w:rPr>
                <w:b/>
                <w:bCs/>
                <w:lang w:eastAsia="en-NZ"/>
              </w:rPr>
              <w:t>13.963</w:t>
            </w:r>
          </w:p>
        </w:tc>
        <w:tc>
          <w:tcPr>
            <w:tcW w:w="1205"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tcPr>
          <w:p w14:paraId="62129071" w14:textId="54892258" w:rsidR="00A7569A" w:rsidRPr="00A7569A" w:rsidRDefault="00A7569A" w:rsidP="005A02AA">
            <w:pPr>
              <w:pStyle w:val="TableText"/>
              <w:jc w:val="right"/>
              <w:rPr>
                <w:lang w:eastAsia="en-NZ"/>
              </w:rPr>
            </w:pPr>
            <w:r w:rsidRPr="00043D33">
              <w:rPr>
                <w:b/>
                <w:bCs/>
                <w:lang w:eastAsia="en-NZ"/>
              </w:rPr>
              <w:t>41.275</w:t>
            </w:r>
          </w:p>
        </w:tc>
      </w:tr>
    </w:tbl>
    <w:p w14:paraId="5AD416F1" w14:textId="77777777" w:rsidR="00CE5300" w:rsidRPr="00FB7905" w:rsidRDefault="00CE5300" w:rsidP="00CE5300">
      <w:pPr>
        <w:pStyle w:val="Note"/>
        <w:rPr>
          <w:rFonts w:eastAsia="Lucida Sans Unicode"/>
        </w:rPr>
      </w:pPr>
      <w:r w:rsidRPr="00FB7905">
        <w:rPr>
          <w:rFonts w:eastAsia="Lucida Sans Unicode"/>
        </w:rPr>
        <w:t>Note: Budget sums may not total due to rounding.</w:t>
      </w:r>
    </w:p>
    <w:p w14:paraId="06149580" w14:textId="3E787B2F" w:rsidR="00A7569A" w:rsidRDefault="00A7569A" w:rsidP="00CE5300"/>
    <w:p w14:paraId="126C2B4F" w14:textId="3E57453C" w:rsidR="00CE5300" w:rsidRDefault="00CE5300" w:rsidP="00CE5300">
      <w:r w:rsidRPr="00533CA0">
        <w:t>$</w:t>
      </w:r>
      <w:r w:rsidR="00A7569A">
        <w:t>3.315</w:t>
      </w:r>
      <w:r w:rsidRPr="00533CA0">
        <w:t xml:space="preserve"> million is proposed for new services to respond to changes in the gambling environment and issues raised by the needs assessment, as </w:t>
      </w:r>
      <w:r>
        <w:t>outlined in Table A4.4.</w:t>
      </w:r>
    </w:p>
    <w:p w14:paraId="1C373154" w14:textId="77777777" w:rsidR="00235C06" w:rsidRPr="00533CA0" w:rsidRDefault="00235C06" w:rsidP="00CE5300">
      <w:pPr>
        <w:rPr>
          <w:rFonts w:eastAsia="Calibri"/>
        </w:rPr>
      </w:pPr>
    </w:p>
    <w:p w14:paraId="5AC63636" w14:textId="77777777" w:rsidR="00CE5300" w:rsidRPr="00533CA0" w:rsidRDefault="00CE5300" w:rsidP="00CE5300">
      <w:pPr>
        <w:pStyle w:val="Table"/>
      </w:pPr>
      <w:bookmarkStart w:id="33" w:name="_Toc197534218"/>
      <w:r w:rsidRPr="52103CC6">
        <w:lastRenderedPageBreak/>
        <w:t>Table A5.4: Budget for new services (NZ$m, GST exclusive), 2025/26 to 2027/28</w:t>
      </w:r>
      <w:bookmarkEnd w:id="33"/>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544"/>
        <w:gridCol w:w="1134"/>
        <w:gridCol w:w="1134"/>
        <w:gridCol w:w="1134"/>
        <w:gridCol w:w="1134"/>
      </w:tblGrid>
      <w:tr w:rsidR="00CE5300" w:rsidRPr="00FB7905" w14:paraId="4978EBD4" w14:textId="77777777" w:rsidTr="00235C06">
        <w:tc>
          <w:tcPr>
            <w:tcW w:w="3544" w:type="dxa"/>
            <w:tcBorders>
              <w:top w:val="nil"/>
              <w:bottom w:val="nil"/>
            </w:tcBorders>
            <w:shd w:val="clear" w:color="auto" w:fill="D9D9D9" w:themeFill="background1" w:themeFillShade="D9"/>
            <w:hideMark/>
          </w:tcPr>
          <w:p w14:paraId="011A9E85" w14:textId="77777777" w:rsidR="00CE5300" w:rsidRPr="00FB7905" w:rsidRDefault="00CE5300">
            <w:pPr>
              <w:pStyle w:val="TableText"/>
              <w:rPr>
                <w:rFonts w:eastAsia="Lucida Sans Unicode"/>
                <w:b/>
                <w:bCs/>
              </w:rPr>
            </w:pPr>
            <w:r w:rsidRPr="00FB7905">
              <w:rPr>
                <w:rFonts w:eastAsia="Lucida Sans Unicode"/>
                <w:b/>
                <w:bCs/>
              </w:rPr>
              <w:t>Service area</w:t>
            </w:r>
          </w:p>
        </w:tc>
        <w:tc>
          <w:tcPr>
            <w:tcW w:w="1134" w:type="dxa"/>
            <w:tcBorders>
              <w:top w:val="nil"/>
              <w:bottom w:val="nil"/>
            </w:tcBorders>
            <w:shd w:val="clear" w:color="auto" w:fill="D9D9D9" w:themeFill="background1" w:themeFillShade="D9"/>
            <w:hideMark/>
          </w:tcPr>
          <w:p w14:paraId="7540132E" w14:textId="77777777" w:rsidR="00CE5300" w:rsidRPr="00FB7905" w:rsidRDefault="00CE5300">
            <w:pPr>
              <w:pStyle w:val="TableText"/>
              <w:jc w:val="right"/>
              <w:rPr>
                <w:rFonts w:eastAsia="Lucida Sans Unicode"/>
                <w:b/>
                <w:bCs/>
              </w:rPr>
            </w:pPr>
            <w:r w:rsidRPr="00FB7905">
              <w:rPr>
                <w:rFonts w:eastAsia="Lucida Sans Unicode"/>
                <w:b/>
                <w:bCs/>
              </w:rPr>
              <w:t>2025/26</w:t>
            </w:r>
          </w:p>
        </w:tc>
        <w:tc>
          <w:tcPr>
            <w:tcW w:w="1134" w:type="dxa"/>
            <w:tcBorders>
              <w:top w:val="nil"/>
              <w:bottom w:val="nil"/>
            </w:tcBorders>
            <w:shd w:val="clear" w:color="auto" w:fill="D9D9D9" w:themeFill="background1" w:themeFillShade="D9"/>
            <w:hideMark/>
          </w:tcPr>
          <w:p w14:paraId="362CB4C3" w14:textId="77777777" w:rsidR="00CE5300" w:rsidRPr="00FB7905" w:rsidRDefault="00CE5300">
            <w:pPr>
              <w:pStyle w:val="TableText"/>
              <w:jc w:val="right"/>
              <w:rPr>
                <w:rFonts w:eastAsia="Lucida Sans Unicode"/>
                <w:b/>
                <w:bCs/>
              </w:rPr>
            </w:pPr>
            <w:r w:rsidRPr="00FB7905">
              <w:rPr>
                <w:rFonts w:eastAsia="Lucida Sans Unicode"/>
                <w:b/>
                <w:bCs/>
              </w:rPr>
              <w:t>2026/27</w:t>
            </w:r>
          </w:p>
        </w:tc>
        <w:tc>
          <w:tcPr>
            <w:tcW w:w="1134" w:type="dxa"/>
            <w:tcBorders>
              <w:top w:val="nil"/>
              <w:bottom w:val="nil"/>
            </w:tcBorders>
            <w:shd w:val="clear" w:color="auto" w:fill="D9D9D9" w:themeFill="background1" w:themeFillShade="D9"/>
            <w:hideMark/>
          </w:tcPr>
          <w:p w14:paraId="6C1F752E" w14:textId="77777777" w:rsidR="00CE5300" w:rsidRPr="00FB7905" w:rsidRDefault="00CE5300">
            <w:pPr>
              <w:pStyle w:val="TableText"/>
              <w:jc w:val="right"/>
              <w:rPr>
                <w:rFonts w:eastAsia="Lucida Sans Unicode"/>
                <w:b/>
                <w:bCs/>
              </w:rPr>
            </w:pPr>
            <w:r w:rsidRPr="00FB7905">
              <w:rPr>
                <w:rFonts w:eastAsia="Lucida Sans Unicode"/>
                <w:b/>
                <w:bCs/>
              </w:rPr>
              <w:t>2027/28</w:t>
            </w:r>
          </w:p>
        </w:tc>
        <w:tc>
          <w:tcPr>
            <w:tcW w:w="1134" w:type="dxa"/>
            <w:tcBorders>
              <w:top w:val="nil"/>
              <w:bottom w:val="nil"/>
            </w:tcBorders>
            <w:shd w:val="clear" w:color="auto" w:fill="D9D9D9" w:themeFill="background1" w:themeFillShade="D9"/>
            <w:hideMark/>
          </w:tcPr>
          <w:p w14:paraId="0DDF4579" w14:textId="77777777" w:rsidR="00CE5300" w:rsidRPr="00FB7905" w:rsidRDefault="00CE5300">
            <w:pPr>
              <w:pStyle w:val="TableText"/>
              <w:jc w:val="right"/>
              <w:rPr>
                <w:rFonts w:eastAsia="Lucida Sans Unicode"/>
                <w:b/>
                <w:bCs/>
              </w:rPr>
            </w:pPr>
            <w:r w:rsidRPr="00FB7905">
              <w:rPr>
                <w:rFonts w:eastAsia="Lucida Sans Unicode"/>
                <w:b/>
                <w:bCs/>
              </w:rPr>
              <w:t>Total</w:t>
            </w:r>
          </w:p>
        </w:tc>
      </w:tr>
      <w:tr w:rsidR="00CE5300" w:rsidRPr="00FB7905" w14:paraId="5D5CC434" w14:textId="77777777" w:rsidTr="004A3F51">
        <w:tc>
          <w:tcPr>
            <w:tcW w:w="3544" w:type="dxa"/>
            <w:tcBorders>
              <w:top w:val="nil"/>
              <w:left w:val="nil"/>
              <w:bottom w:val="nil"/>
              <w:right w:val="nil"/>
            </w:tcBorders>
            <w:shd w:val="clear" w:color="auto" w:fill="auto"/>
            <w:vAlign w:val="bottom"/>
            <w:hideMark/>
          </w:tcPr>
          <w:p w14:paraId="3EFBF8AF" w14:textId="3507DE4C" w:rsidR="00CE5300" w:rsidRPr="004A3F51" w:rsidRDefault="00A7569A" w:rsidP="004A3F51">
            <w:pPr>
              <w:pStyle w:val="TableText"/>
              <w:spacing w:line="240" w:lineRule="auto"/>
              <w:rPr>
                <w:rFonts w:eastAsia="Lucida Sans Unicode"/>
                <w:lang w:eastAsia="en-NZ"/>
              </w:rPr>
            </w:pPr>
            <w:r w:rsidRPr="004A3F51">
              <w:rPr>
                <w:lang w:eastAsia="en-NZ"/>
              </w:rPr>
              <w:t>Develop NZQA Qualification Content</w:t>
            </w:r>
          </w:p>
        </w:tc>
        <w:tc>
          <w:tcPr>
            <w:tcW w:w="1134" w:type="dxa"/>
            <w:tcBorders>
              <w:top w:val="nil"/>
              <w:left w:val="nil"/>
              <w:bottom w:val="nil"/>
              <w:right w:val="nil"/>
            </w:tcBorders>
            <w:shd w:val="clear" w:color="auto" w:fill="auto"/>
            <w:vAlign w:val="bottom"/>
            <w:hideMark/>
          </w:tcPr>
          <w:p w14:paraId="63803527" w14:textId="09E7D8BD" w:rsidR="00CE5300" w:rsidRPr="004A3F51" w:rsidRDefault="00CE5300" w:rsidP="004A3F51">
            <w:pPr>
              <w:pStyle w:val="TableText"/>
              <w:spacing w:line="240" w:lineRule="auto"/>
              <w:jc w:val="right"/>
              <w:rPr>
                <w:rFonts w:eastAsia="Lucida Sans Unicode"/>
                <w:lang w:eastAsia="en-NZ"/>
              </w:rPr>
            </w:pPr>
            <w:r w:rsidRPr="004A3F51">
              <w:rPr>
                <w:rFonts w:eastAsia="Lucida Sans Unicode"/>
                <w:lang w:eastAsia="en-NZ"/>
              </w:rPr>
              <w:t>0.</w:t>
            </w:r>
            <w:r w:rsidR="00A7569A" w:rsidRPr="004A3F51">
              <w:rPr>
                <w:lang w:eastAsia="en-NZ"/>
              </w:rPr>
              <w:t>000</w:t>
            </w:r>
          </w:p>
        </w:tc>
        <w:tc>
          <w:tcPr>
            <w:tcW w:w="1134" w:type="dxa"/>
            <w:tcBorders>
              <w:top w:val="nil"/>
              <w:left w:val="nil"/>
              <w:bottom w:val="nil"/>
              <w:right w:val="nil"/>
            </w:tcBorders>
            <w:shd w:val="clear" w:color="auto" w:fill="auto"/>
            <w:vAlign w:val="bottom"/>
            <w:hideMark/>
          </w:tcPr>
          <w:p w14:paraId="4884025E" w14:textId="1E7276F2" w:rsidR="00CE5300" w:rsidRPr="004A3F51" w:rsidRDefault="00CE5300" w:rsidP="004A3F51">
            <w:pPr>
              <w:pStyle w:val="TableText"/>
              <w:spacing w:line="240" w:lineRule="auto"/>
              <w:jc w:val="right"/>
              <w:rPr>
                <w:rFonts w:eastAsia="Lucida Sans Unicode"/>
                <w:lang w:eastAsia="en-NZ"/>
              </w:rPr>
            </w:pPr>
            <w:r w:rsidRPr="004A3F51">
              <w:rPr>
                <w:rFonts w:eastAsia="Lucida Sans Unicode"/>
                <w:lang w:eastAsia="en-NZ"/>
              </w:rPr>
              <w:t>0.</w:t>
            </w:r>
            <w:r w:rsidR="00A7569A" w:rsidRPr="004A3F51">
              <w:rPr>
                <w:lang w:eastAsia="en-NZ"/>
              </w:rPr>
              <w:t>000</w:t>
            </w:r>
          </w:p>
        </w:tc>
        <w:tc>
          <w:tcPr>
            <w:tcW w:w="1134" w:type="dxa"/>
            <w:tcBorders>
              <w:top w:val="nil"/>
              <w:left w:val="nil"/>
              <w:bottom w:val="nil"/>
              <w:right w:val="nil"/>
            </w:tcBorders>
            <w:shd w:val="clear" w:color="auto" w:fill="auto"/>
            <w:vAlign w:val="bottom"/>
            <w:hideMark/>
          </w:tcPr>
          <w:p w14:paraId="0B5BAAE4" w14:textId="2849E2CE" w:rsidR="00CE5300" w:rsidRPr="004A3F51" w:rsidRDefault="00CE5300" w:rsidP="004A3F51">
            <w:pPr>
              <w:pStyle w:val="TableText"/>
              <w:spacing w:line="240" w:lineRule="auto"/>
              <w:jc w:val="right"/>
              <w:rPr>
                <w:rFonts w:eastAsia="Lucida Sans Unicode"/>
                <w:lang w:eastAsia="en-NZ"/>
              </w:rPr>
            </w:pPr>
            <w:r w:rsidRPr="004A3F51">
              <w:rPr>
                <w:rFonts w:eastAsia="Lucida Sans Unicode"/>
                <w:lang w:eastAsia="en-NZ"/>
              </w:rPr>
              <w:t>0.</w:t>
            </w:r>
            <w:r w:rsidR="00A7569A" w:rsidRPr="004A3F51">
              <w:rPr>
                <w:lang w:eastAsia="en-NZ"/>
              </w:rPr>
              <w:t>250</w:t>
            </w:r>
          </w:p>
        </w:tc>
        <w:tc>
          <w:tcPr>
            <w:tcW w:w="1134" w:type="dxa"/>
            <w:tcBorders>
              <w:top w:val="nil"/>
              <w:left w:val="nil"/>
              <w:bottom w:val="nil"/>
              <w:right w:val="nil"/>
            </w:tcBorders>
            <w:shd w:val="clear" w:color="auto" w:fill="auto"/>
            <w:vAlign w:val="bottom"/>
            <w:hideMark/>
          </w:tcPr>
          <w:p w14:paraId="56B79F07" w14:textId="358EB7DA" w:rsidR="00CE5300" w:rsidRPr="004A3F51" w:rsidRDefault="00A7569A" w:rsidP="004A3F51">
            <w:pPr>
              <w:pStyle w:val="TableText"/>
              <w:spacing w:line="240" w:lineRule="auto"/>
              <w:jc w:val="right"/>
              <w:rPr>
                <w:rFonts w:eastAsia="Lucida Sans Unicode"/>
                <w:lang w:eastAsia="en-NZ"/>
              </w:rPr>
            </w:pPr>
            <w:r w:rsidRPr="004A3F51">
              <w:rPr>
                <w:lang w:eastAsia="en-NZ"/>
              </w:rPr>
              <w:t>0.250</w:t>
            </w:r>
          </w:p>
        </w:tc>
      </w:tr>
      <w:tr w:rsidR="00CE5300" w:rsidRPr="00FB7905" w14:paraId="4A6DEA1C" w14:textId="77777777" w:rsidTr="004A3F51">
        <w:tc>
          <w:tcPr>
            <w:tcW w:w="3544" w:type="dxa"/>
            <w:tcBorders>
              <w:top w:val="nil"/>
              <w:left w:val="nil"/>
              <w:bottom w:val="nil"/>
              <w:right w:val="nil"/>
            </w:tcBorders>
            <w:shd w:val="clear" w:color="auto" w:fill="auto"/>
            <w:vAlign w:val="bottom"/>
            <w:hideMark/>
          </w:tcPr>
          <w:p w14:paraId="4ADFF7F9" w14:textId="3F2FF6D2" w:rsidR="00CE5300" w:rsidRPr="004A3F51" w:rsidRDefault="00A7569A" w:rsidP="004A3F51">
            <w:pPr>
              <w:pStyle w:val="TableText"/>
              <w:spacing w:line="240" w:lineRule="auto"/>
              <w:rPr>
                <w:rFonts w:eastAsia="Lucida Sans Unicode"/>
                <w:lang w:eastAsia="en-NZ"/>
              </w:rPr>
            </w:pPr>
            <w:r w:rsidRPr="004A3F51">
              <w:rPr>
                <w:lang w:eastAsia="en-NZ"/>
              </w:rPr>
              <w:t>Clinical Internships</w:t>
            </w:r>
          </w:p>
        </w:tc>
        <w:tc>
          <w:tcPr>
            <w:tcW w:w="1134" w:type="dxa"/>
            <w:tcBorders>
              <w:top w:val="nil"/>
              <w:left w:val="nil"/>
              <w:bottom w:val="nil"/>
              <w:right w:val="nil"/>
            </w:tcBorders>
            <w:shd w:val="clear" w:color="auto" w:fill="auto"/>
            <w:vAlign w:val="bottom"/>
            <w:hideMark/>
          </w:tcPr>
          <w:p w14:paraId="0D38F9AE" w14:textId="2E1C9ADA" w:rsidR="00CE5300" w:rsidRPr="004A3F51" w:rsidRDefault="00CE5300" w:rsidP="004A3F51">
            <w:pPr>
              <w:pStyle w:val="TableText"/>
              <w:spacing w:line="240" w:lineRule="auto"/>
              <w:jc w:val="right"/>
              <w:rPr>
                <w:rFonts w:eastAsia="Lucida Sans Unicode"/>
                <w:lang w:eastAsia="en-NZ"/>
              </w:rPr>
            </w:pPr>
            <w:r w:rsidRPr="004A3F51">
              <w:rPr>
                <w:rFonts w:eastAsia="Lucida Sans Unicode"/>
                <w:lang w:eastAsia="en-NZ"/>
              </w:rPr>
              <w:t>0.</w:t>
            </w:r>
            <w:r w:rsidR="00A7569A" w:rsidRPr="004A3F51">
              <w:rPr>
                <w:lang w:eastAsia="en-NZ"/>
              </w:rPr>
              <w:t>300</w:t>
            </w:r>
          </w:p>
        </w:tc>
        <w:tc>
          <w:tcPr>
            <w:tcW w:w="1134" w:type="dxa"/>
            <w:tcBorders>
              <w:top w:val="nil"/>
              <w:left w:val="nil"/>
              <w:bottom w:val="nil"/>
              <w:right w:val="nil"/>
            </w:tcBorders>
            <w:shd w:val="clear" w:color="auto" w:fill="auto"/>
            <w:vAlign w:val="bottom"/>
            <w:hideMark/>
          </w:tcPr>
          <w:p w14:paraId="5DCF431A" w14:textId="1A6D5864" w:rsidR="00CE5300" w:rsidRPr="004A3F51" w:rsidRDefault="00CE5300" w:rsidP="004A3F51">
            <w:pPr>
              <w:pStyle w:val="TableText"/>
              <w:spacing w:line="240" w:lineRule="auto"/>
              <w:jc w:val="right"/>
              <w:rPr>
                <w:rFonts w:eastAsia="Lucida Sans Unicode"/>
                <w:lang w:eastAsia="en-NZ"/>
              </w:rPr>
            </w:pPr>
            <w:r w:rsidRPr="004A3F51">
              <w:rPr>
                <w:rFonts w:eastAsia="Lucida Sans Unicode"/>
                <w:lang w:eastAsia="en-NZ"/>
              </w:rPr>
              <w:t>0.</w:t>
            </w:r>
            <w:r w:rsidR="00A7569A" w:rsidRPr="004A3F51">
              <w:rPr>
                <w:lang w:eastAsia="en-NZ"/>
              </w:rPr>
              <w:t>300</w:t>
            </w:r>
          </w:p>
        </w:tc>
        <w:tc>
          <w:tcPr>
            <w:tcW w:w="1134" w:type="dxa"/>
            <w:tcBorders>
              <w:top w:val="nil"/>
              <w:left w:val="nil"/>
              <w:bottom w:val="nil"/>
              <w:right w:val="nil"/>
            </w:tcBorders>
            <w:shd w:val="clear" w:color="auto" w:fill="auto"/>
            <w:vAlign w:val="bottom"/>
            <w:hideMark/>
          </w:tcPr>
          <w:p w14:paraId="734E33CE" w14:textId="6FE4BAD5" w:rsidR="00CE5300" w:rsidRPr="004A3F51" w:rsidRDefault="00CE5300" w:rsidP="004A3F51">
            <w:pPr>
              <w:pStyle w:val="TableText"/>
              <w:spacing w:line="240" w:lineRule="auto"/>
              <w:jc w:val="right"/>
              <w:rPr>
                <w:rFonts w:eastAsia="Lucida Sans Unicode"/>
                <w:lang w:eastAsia="en-NZ"/>
              </w:rPr>
            </w:pPr>
            <w:r w:rsidRPr="004A3F51">
              <w:rPr>
                <w:rFonts w:eastAsia="Lucida Sans Unicode"/>
                <w:lang w:eastAsia="en-NZ"/>
              </w:rPr>
              <w:t>0.</w:t>
            </w:r>
            <w:r w:rsidR="00A7569A" w:rsidRPr="004A3F51">
              <w:rPr>
                <w:lang w:eastAsia="en-NZ"/>
              </w:rPr>
              <w:t>300</w:t>
            </w:r>
          </w:p>
        </w:tc>
        <w:tc>
          <w:tcPr>
            <w:tcW w:w="1134" w:type="dxa"/>
            <w:tcBorders>
              <w:top w:val="nil"/>
              <w:left w:val="nil"/>
              <w:bottom w:val="nil"/>
              <w:right w:val="nil"/>
            </w:tcBorders>
            <w:shd w:val="clear" w:color="auto" w:fill="auto"/>
            <w:vAlign w:val="bottom"/>
            <w:hideMark/>
          </w:tcPr>
          <w:p w14:paraId="1A264D3D" w14:textId="34E07AA9" w:rsidR="00CE5300" w:rsidRPr="004A3F51" w:rsidRDefault="00CE5300" w:rsidP="004A3F51">
            <w:pPr>
              <w:pStyle w:val="TableText"/>
              <w:spacing w:line="240" w:lineRule="auto"/>
              <w:jc w:val="right"/>
              <w:rPr>
                <w:rFonts w:eastAsia="Lucida Sans Unicode"/>
                <w:lang w:eastAsia="en-NZ"/>
              </w:rPr>
            </w:pPr>
            <w:r w:rsidRPr="004A3F51">
              <w:rPr>
                <w:rFonts w:eastAsia="Lucida Sans Unicode"/>
                <w:lang w:eastAsia="en-NZ"/>
              </w:rPr>
              <w:t>0.</w:t>
            </w:r>
            <w:r w:rsidR="00A7569A" w:rsidRPr="004A3F51">
              <w:rPr>
                <w:lang w:eastAsia="en-NZ"/>
              </w:rPr>
              <w:t>900</w:t>
            </w:r>
          </w:p>
        </w:tc>
      </w:tr>
      <w:tr w:rsidR="00CE5300" w:rsidRPr="00FB7905" w14:paraId="6D9B5CE1" w14:textId="77777777" w:rsidTr="004A3F51">
        <w:tc>
          <w:tcPr>
            <w:tcW w:w="3544" w:type="dxa"/>
            <w:tcBorders>
              <w:top w:val="nil"/>
              <w:left w:val="nil"/>
              <w:bottom w:val="nil"/>
              <w:right w:val="nil"/>
            </w:tcBorders>
            <w:shd w:val="clear" w:color="auto" w:fill="auto"/>
            <w:vAlign w:val="bottom"/>
            <w:hideMark/>
          </w:tcPr>
          <w:p w14:paraId="75BB22EA" w14:textId="22CE73D9" w:rsidR="00CE5300" w:rsidRPr="004A3F51" w:rsidRDefault="00A7569A" w:rsidP="004A3F51">
            <w:pPr>
              <w:pStyle w:val="TableText"/>
              <w:spacing w:line="240" w:lineRule="auto"/>
              <w:rPr>
                <w:rFonts w:eastAsia="Lucida Sans Unicode"/>
                <w:lang w:eastAsia="en-NZ"/>
              </w:rPr>
            </w:pPr>
            <w:r w:rsidRPr="004A3F51">
              <w:rPr>
                <w:lang w:eastAsia="en-NZ"/>
              </w:rPr>
              <w:t xml:space="preserve">Online Gambling Exclusion System </w:t>
            </w:r>
          </w:p>
        </w:tc>
        <w:tc>
          <w:tcPr>
            <w:tcW w:w="1134" w:type="dxa"/>
            <w:tcBorders>
              <w:top w:val="nil"/>
              <w:left w:val="nil"/>
              <w:bottom w:val="nil"/>
              <w:right w:val="nil"/>
            </w:tcBorders>
            <w:shd w:val="clear" w:color="auto" w:fill="auto"/>
            <w:vAlign w:val="bottom"/>
            <w:hideMark/>
          </w:tcPr>
          <w:p w14:paraId="273756AE" w14:textId="653F0620" w:rsidR="00CE5300" w:rsidRPr="004A3F51" w:rsidRDefault="00CE5300" w:rsidP="004A3F51">
            <w:pPr>
              <w:pStyle w:val="TableText"/>
              <w:spacing w:line="240" w:lineRule="auto"/>
              <w:jc w:val="right"/>
              <w:rPr>
                <w:rFonts w:eastAsia="Lucida Sans Unicode"/>
                <w:lang w:eastAsia="en-NZ"/>
              </w:rPr>
            </w:pPr>
            <w:r w:rsidRPr="004A3F51">
              <w:rPr>
                <w:rFonts w:eastAsia="Lucida Sans Unicode"/>
                <w:lang w:eastAsia="en-NZ"/>
              </w:rPr>
              <w:t>0.</w:t>
            </w:r>
            <w:r w:rsidR="00A7569A" w:rsidRPr="004A3F51">
              <w:rPr>
                <w:lang w:eastAsia="en-NZ"/>
              </w:rPr>
              <w:t>000</w:t>
            </w:r>
          </w:p>
        </w:tc>
        <w:tc>
          <w:tcPr>
            <w:tcW w:w="1134" w:type="dxa"/>
            <w:tcBorders>
              <w:top w:val="nil"/>
              <w:left w:val="nil"/>
              <w:bottom w:val="nil"/>
              <w:right w:val="nil"/>
            </w:tcBorders>
            <w:shd w:val="clear" w:color="auto" w:fill="auto"/>
            <w:vAlign w:val="bottom"/>
            <w:hideMark/>
          </w:tcPr>
          <w:p w14:paraId="11052BCD" w14:textId="3DDADF9A" w:rsidR="00CE5300" w:rsidRPr="004A3F51" w:rsidRDefault="00CE5300" w:rsidP="004A3F51">
            <w:pPr>
              <w:pStyle w:val="TableText"/>
              <w:spacing w:line="240" w:lineRule="auto"/>
              <w:jc w:val="right"/>
              <w:rPr>
                <w:rFonts w:eastAsia="Lucida Sans Unicode"/>
                <w:lang w:eastAsia="en-NZ"/>
              </w:rPr>
            </w:pPr>
            <w:r w:rsidRPr="004A3F51">
              <w:rPr>
                <w:rFonts w:eastAsia="Lucida Sans Unicode"/>
                <w:lang w:eastAsia="en-NZ"/>
              </w:rPr>
              <w:t>0.</w:t>
            </w:r>
            <w:r w:rsidR="00A7569A" w:rsidRPr="004A3F51">
              <w:rPr>
                <w:lang w:eastAsia="en-NZ"/>
              </w:rPr>
              <w:t>250</w:t>
            </w:r>
          </w:p>
        </w:tc>
        <w:tc>
          <w:tcPr>
            <w:tcW w:w="1134" w:type="dxa"/>
            <w:tcBorders>
              <w:top w:val="nil"/>
              <w:left w:val="nil"/>
              <w:bottom w:val="nil"/>
              <w:right w:val="nil"/>
            </w:tcBorders>
            <w:shd w:val="clear" w:color="auto" w:fill="auto"/>
            <w:vAlign w:val="bottom"/>
            <w:hideMark/>
          </w:tcPr>
          <w:p w14:paraId="0E6E221B" w14:textId="10C0F8F4" w:rsidR="00CE5300" w:rsidRPr="004A3F51" w:rsidRDefault="00CE5300" w:rsidP="004A3F51">
            <w:pPr>
              <w:pStyle w:val="TableText"/>
              <w:spacing w:line="240" w:lineRule="auto"/>
              <w:jc w:val="right"/>
              <w:rPr>
                <w:rFonts w:eastAsia="Lucida Sans Unicode"/>
                <w:lang w:eastAsia="en-NZ"/>
              </w:rPr>
            </w:pPr>
            <w:r w:rsidRPr="004A3F51">
              <w:rPr>
                <w:rFonts w:eastAsia="Lucida Sans Unicode"/>
                <w:lang w:eastAsia="en-NZ"/>
              </w:rPr>
              <w:t>0.</w:t>
            </w:r>
            <w:r w:rsidR="00A7569A" w:rsidRPr="004A3F51">
              <w:rPr>
                <w:lang w:eastAsia="en-NZ"/>
              </w:rPr>
              <w:t>250</w:t>
            </w:r>
          </w:p>
        </w:tc>
        <w:tc>
          <w:tcPr>
            <w:tcW w:w="1134" w:type="dxa"/>
            <w:tcBorders>
              <w:top w:val="nil"/>
              <w:left w:val="nil"/>
              <w:bottom w:val="nil"/>
              <w:right w:val="nil"/>
            </w:tcBorders>
            <w:shd w:val="clear" w:color="auto" w:fill="auto"/>
            <w:vAlign w:val="bottom"/>
            <w:hideMark/>
          </w:tcPr>
          <w:p w14:paraId="321F15FD" w14:textId="561B7298" w:rsidR="00CE5300" w:rsidRPr="004A3F51" w:rsidRDefault="00CE5300" w:rsidP="004A3F51">
            <w:pPr>
              <w:pStyle w:val="TableText"/>
              <w:spacing w:line="240" w:lineRule="auto"/>
              <w:jc w:val="right"/>
              <w:rPr>
                <w:rFonts w:eastAsia="Lucida Sans Unicode"/>
                <w:lang w:eastAsia="en-NZ"/>
              </w:rPr>
            </w:pPr>
            <w:r w:rsidRPr="004A3F51">
              <w:rPr>
                <w:rFonts w:eastAsia="Lucida Sans Unicode"/>
                <w:lang w:eastAsia="en-NZ"/>
              </w:rPr>
              <w:t>0.</w:t>
            </w:r>
            <w:r w:rsidR="00A7569A" w:rsidRPr="004A3F51">
              <w:rPr>
                <w:lang w:eastAsia="en-NZ"/>
              </w:rPr>
              <w:t>500</w:t>
            </w:r>
          </w:p>
        </w:tc>
      </w:tr>
      <w:tr w:rsidR="005A02AA" w:rsidRPr="00FB7905" w14:paraId="2502FA50" w14:textId="77777777" w:rsidTr="004A3F51">
        <w:tc>
          <w:tcPr>
            <w:tcW w:w="3544" w:type="dxa"/>
            <w:tcBorders>
              <w:top w:val="nil"/>
              <w:left w:val="nil"/>
              <w:bottom w:val="nil"/>
              <w:right w:val="nil"/>
            </w:tcBorders>
            <w:shd w:val="clear" w:color="auto" w:fill="auto"/>
            <w:vAlign w:val="bottom"/>
          </w:tcPr>
          <w:p w14:paraId="71B608F4" w14:textId="61F52FBF" w:rsidR="005A02AA" w:rsidRPr="004A3F51" w:rsidRDefault="005A02AA" w:rsidP="005A02AA">
            <w:pPr>
              <w:pStyle w:val="TableText"/>
              <w:rPr>
                <w:lang w:eastAsia="en-NZ"/>
              </w:rPr>
            </w:pPr>
            <w:r w:rsidRPr="004A3F51">
              <w:rPr>
                <w:lang w:eastAsia="en-NZ"/>
              </w:rPr>
              <w:t>Gambling Harm Scholarships</w:t>
            </w:r>
          </w:p>
        </w:tc>
        <w:tc>
          <w:tcPr>
            <w:tcW w:w="1134" w:type="dxa"/>
            <w:tcBorders>
              <w:top w:val="nil"/>
              <w:left w:val="nil"/>
              <w:bottom w:val="nil"/>
              <w:right w:val="nil"/>
            </w:tcBorders>
            <w:shd w:val="clear" w:color="auto" w:fill="auto"/>
            <w:vAlign w:val="bottom"/>
          </w:tcPr>
          <w:p w14:paraId="6F827F5C" w14:textId="1635A09C" w:rsidR="005A02AA" w:rsidRPr="004A3F51" w:rsidRDefault="005A02AA" w:rsidP="005A02AA">
            <w:pPr>
              <w:pStyle w:val="TableText"/>
              <w:jc w:val="right"/>
              <w:rPr>
                <w:rFonts w:eastAsia="Lucida Sans Unicode"/>
                <w:lang w:eastAsia="en-NZ"/>
              </w:rPr>
            </w:pPr>
            <w:r w:rsidRPr="004A3F51">
              <w:rPr>
                <w:rFonts w:eastAsia="Lucida Sans Unicode"/>
                <w:lang w:eastAsia="en-NZ"/>
              </w:rPr>
              <w:t>0.</w:t>
            </w:r>
            <w:r w:rsidRPr="004A3F51">
              <w:rPr>
                <w:lang w:eastAsia="en-NZ"/>
              </w:rPr>
              <w:t>140</w:t>
            </w:r>
          </w:p>
        </w:tc>
        <w:tc>
          <w:tcPr>
            <w:tcW w:w="1134" w:type="dxa"/>
            <w:tcBorders>
              <w:top w:val="nil"/>
              <w:left w:val="nil"/>
              <w:bottom w:val="nil"/>
              <w:right w:val="nil"/>
            </w:tcBorders>
            <w:shd w:val="clear" w:color="auto" w:fill="auto"/>
            <w:vAlign w:val="bottom"/>
          </w:tcPr>
          <w:p w14:paraId="7C5CDD09" w14:textId="225F3B91" w:rsidR="005A02AA" w:rsidRPr="004A3F51" w:rsidRDefault="005A02AA" w:rsidP="005A02AA">
            <w:pPr>
              <w:pStyle w:val="TableText"/>
              <w:jc w:val="right"/>
              <w:rPr>
                <w:rFonts w:eastAsia="Lucida Sans Unicode"/>
                <w:lang w:eastAsia="en-NZ"/>
              </w:rPr>
            </w:pPr>
            <w:r w:rsidRPr="004A3F51">
              <w:rPr>
                <w:rFonts w:eastAsia="Lucida Sans Unicode"/>
                <w:lang w:eastAsia="en-NZ"/>
              </w:rPr>
              <w:t>0.</w:t>
            </w:r>
            <w:r w:rsidRPr="004A3F51">
              <w:rPr>
                <w:lang w:eastAsia="en-NZ"/>
              </w:rPr>
              <w:t>140</w:t>
            </w:r>
          </w:p>
        </w:tc>
        <w:tc>
          <w:tcPr>
            <w:tcW w:w="1134" w:type="dxa"/>
            <w:tcBorders>
              <w:top w:val="nil"/>
              <w:left w:val="nil"/>
              <w:bottom w:val="nil"/>
              <w:right w:val="nil"/>
            </w:tcBorders>
            <w:shd w:val="clear" w:color="auto" w:fill="auto"/>
            <w:vAlign w:val="bottom"/>
          </w:tcPr>
          <w:p w14:paraId="1198A2C6" w14:textId="3A7CFAAD" w:rsidR="005A02AA" w:rsidRPr="004A3F51" w:rsidRDefault="005A02AA" w:rsidP="005A02AA">
            <w:pPr>
              <w:pStyle w:val="TableText"/>
              <w:jc w:val="right"/>
              <w:rPr>
                <w:rFonts w:eastAsia="Lucida Sans Unicode"/>
                <w:lang w:eastAsia="en-NZ"/>
              </w:rPr>
            </w:pPr>
            <w:r w:rsidRPr="004A3F51">
              <w:rPr>
                <w:rFonts w:eastAsia="Lucida Sans Unicode"/>
                <w:lang w:eastAsia="en-NZ"/>
              </w:rPr>
              <w:t>0.</w:t>
            </w:r>
            <w:r w:rsidRPr="004A3F51">
              <w:rPr>
                <w:lang w:eastAsia="en-NZ"/>
              </w:rPr>
              <w:t>140</w:t>
            </w:r>
          </w:p>
        </w:tc>
        <w:tc>
          <w:tcPr>
            <w:tcW w:w="1134" w:type="dxa"/>
            <w:tcBorders>
              <w:top w:val="nil"/>
              <w:left w:val="nil"/>
              <w:bottom w:val="nil"/>
              <w:right w:val="nil"/>
            </w:tcBorders>
            <w:shd w:val="clear" w:color="auto" w:fill="auto"/>
            <w:vAlign w:val="bottom"/>
          </w:tcPr>
          <w:p w14:paraId="27A94D30" w14:textId="67A97FE2" w:rsidR="005A02AA" w:rsidRPr="004A3F51" w:rsidRDefault="005A02AA" w:rsidP="005A02AA">
            <w:pPr>
              <w:pStyle w:val="TableText"/>
              <w:jc w:val="right"/>
              <w:rPr>
                <w:rFonts w:eastAsia="Lucida Sans Unicode"/>
                <w:lang w:eastAsia="en-NZ"/>
              </w:rPr>
            </w:pPr>
            <w:r w:rsidRPr="004A3F51">
              <w:rPr>
                <w:rFonts w:eastAsia="Lucida Sans Unicode"/>
                <w:lang w:eastAsia="en-NZ"/>
              </w:rPr>
              <w:t>0.</w:t>
            </w:r>
            <w:r w:rsidRPr="004A3F51">
              <w:rPr>
                <w:lang w:eastAsia="en-NZ"/>
              </w:rPr>
              <w:t>420</w:t>
            </w:r>
          </w:p>
        </w:tc>
      </w:tr>
      <w:tr w:rsidR="005A02AA" w:rsidRPr="00FB7905" w14:paraId="38C6AC67" w14:textId="77777777" w:rsidTr="005A02AA">
        <w:tc>
          <w:tcPr>
            <w:tcW w:w="3544" w:type="dxa"/>
            <w:tcBorders>
              <w:top w:val="nil"/>
              <w:left w:val="nil"/>
              <w:bottom w:val="single" w:sz="4" w:space="0" w:color="A6A6A6" w:themeColor="background1" w:themeShade="A6"/>
              <w:right w:val="nil"/>
            </w:tcBorders>
            <w:shd w:val="clear" w:color="auto" w:fill="auto"/>
            <w:vAlign w:val="bottom"/>
          </w:tcPr>
          <w:p w14:paraId="1DB2CD14" w14:textId="6C9BF46A" w:rsidR="005A02AA" w:rsidRPr="004A3F51" w:rsidRDefault="005A02AA" w:rsidP="005A02AA">
            <w:pPr>
              <w:pStyle w:val="TableText"/>
              <w:rPr>
                <w:lang w:eastAsia="en-NZ"/>
              </w:rPr>
            </w:pPr>
            <w:r w:rsidRPr="004A3F51">
              <w:rPr>
                <w:lang w:eastAsia="en-NZ"/>
              </w:rPr>
              <w:t xml:space="preserve">Service Promotion </w:t>
            </w:r>
          </w:p>
        </w:tc>
        <w:tc>
          <w:tcPr>
            <w:tcW w:w="1134" w:type="dxa"/>
            <w:tcBorders>
              <w:top w:val="nil"/>
              <w:left w:val="nil"/>
              <w:bottom w:val="single" w:sz="4" w:space="0" w:color="A6A6A6" w:themeColor="background1" w:themeShade="A6"/>
              <w:right w:val="nil"/>
            </w:tcBorders>
            <w:shd w:val="clear" w:color="auto" w:fill="auto"/>
            <w:vAlign w:val="bottom"/>
          </w:tcPr>
          <w:p w14:paraId="6F723A46" w14:textId="35FC7541" w:rsidR="005A02AA" w:rsidRPr="004A3F51" w:rsidRDefault="005A02AA" w:rsidP="005A02AA">
            <w:pPr>
              <w:pStyle w:val="TableText"/>
              <w:jc w:val="right"/>
              <w:rPr>
                <w:rFonts w:eastAsia="Lucida Sans Unicode"/>
                <w:lang w:eastAsia="en-NZ"/>
              </w:rPr>
            </w:pPr>
            <w:r w:rsidRPr="004A3F51">
              <w:rPr>
                <w:rFonts w:eastAsia="Lucida Sans Unicode"/>
                <w:lang w:eastAsia="en-NZ"/>
              </w:rPr>
              <w:t>0.</w:t>
            </w:r>
            <w:r w:rsidRPr="004A3F51">
              <w:rPr>
                <w:lang w:eastAsia="en-NZ"/>
              </w:rPr>
              <w:t>415</w:t>
            </w:r>
          </w:p>
        </w:tc>
        <w:tc>
          <w:tcPr>
            <w:tcW w:w="1134" w:type="dxa"/>
            <w:tcBorders>
              <w:top w:val="nil"/>
              <w:left w:val="nil"/>
              <w:bottom w:val="single" w:sz="4" w:space="0" w:color="A6A6A6" w:themeColor="background1" w:themeShade="A6"/>
              <w:right w:val="nil"/>
            </w:tcBorders>
            <w:shd w:val="clear" w:color="auto" w:fill="auto"/>
            <w:vAlign w:val="bottom"/>
          </w:tcPr>
          <w:p w14:paraId="0C32909C" w14:textId="312B0413" w:rsidR="005A02AA" w:rsidRPr="004A3F51" w:rsidRDefault="005A02AA" w:rsidP="005A02AA">
            <w:pPr>
              <w:pStyle w:val="TableText"/>
              <w:jc w:val="right"/>
              <w:rPr>
                <w:rFonts w:eastAsia="Lucida Sans Unicode"/>
                <w:lang w:eastAsia="en-NZ"/>
              </w:rPr>
            </w:pPr>
            <w:r w:rsidRPr="004A3F51">
              <w:rPr>
                <w:rFonts w:eastAsia="Lucida Sans Unicode"/>
                <w:lang w:eastAsia="en-NZ"/>
              </w:rPr>
              <w:t>0.</w:t>
            </w:r>
            <w:r w:rsidRPr="004A3F51">
              <w:rPr>
                <w:lang w:eastAsia="en-NZ"/>
              </w:rPr>
              <w:t>415</w:t>
            </w:r>
          </w:p>
        </w:tc>
        <w:tc>
          <w:tcPr>
            <w:tcW w:w="1134" w:type="dxa"/>
            <w:tcBorders>
              <w:top w:val="nil"/>
              <w:left w:val="nil"/>
              <w:bottom w:val="single" w:sz="4" w:space="0" w:color="A6A6A6" w:themeColor="background1" w:themeShade="A6"/>
              <w:right w:val="nil"/>
            </w:tcBorders>
            <w:shd w:val="clear" w:color="auto" w:fill="auto"/>
            <w:vAlign w:val="bottom"/>
          </w:tcPr>
          <w:p w14:paraId="0AE269D9" w14:textId="5A480EFD" w:rsidR="005A02AA" w:rsidRPr="004A3F51" w:rsidRDefault="005A02AA" w:rsidP="005A02AA">
            <w:pPr>
              <w:pStyle w:val="TableText"/>
              <w:jc w:val="right"/>
              <w:rPr>
                <w:rFonts w:eastAsia="Lucida Sans Unicode"/>
                <w:lang w:eastAsia="en-NZ"/>
              </w:rPr>
            </w:pPr>
            <w:r w:rsidRPr="004A3F51">
              <w:rPr>
                <w:rFonts w:eastAsia="Lucida Sans Unicode"/>
                <w:lang w:eastAsia="en-NZ"/>
              </w:rPr>
              <w:t>0.</w:t>
            </w:r>
            <w:r w:rsidRPr="004A3F51">
              <w:rPr>
                <w:lang w:eastAsia="en-NZ"/>
              </w:rPr>
              <w:t>415</w:t>
            </w:r>
          </w:p>
        </w:tc>
        <w:tc>
          <w:tcPr>
            <w:tcW w:w="1134" w:type="dxa"/>
            <w:tcBorders>
              <w:top w:val="nil"/>
              <w:left w:val="nil"/>
              <w:bottom w:val="single" w:sz="4" w:space="0" w:color="A6A6A6" w:themeColor="background1" w:themeShade="A6"/>
              <w:right w:val="nil"/>
            </w:tcBorders>
            <w:shd w:val="clear" w:color="auto" w:fill="auto"/>
            <w:vAlign w:val="bottom"/>
          </w:tcPr>
          <w:p w14:paraId="2B034DA6" w14:textId="1973E1B2" w:rsidR="005A02AA" w:rsidRPr="004A3F51" w:rsidRDefault="005A02AA" w:rsidP="005A02AA">
            <w:pPr>
              <w:pStyle w:val="TableText"/>
              <w:jc w:val="right"/>
              <w:rPr>
                <w:rFonts w:eastAsia="Lucida Sans Unicode"/>
                <w:lang w:eastAsia="en-NZ"/>
              </w:rPr>
            </w:pPr>
            <w:r w:rsidRPr="004A3F51">
              <w:rPr>
                <w:lang w:eastAsia="en-NZ"/>
              </w:rPr>
              <w:t>1.245</w:t>
            </w:r>
          </w:p>
        </w:tc>
      </w:tr>
      <w:tr w:rsidR="005A02AA" w:rsidRPr="00FB7905" w14:paraId="6404B7BB" w14:textId="77777777" w:rsidTr="005A02AA">
        <w:tc>
          <w:tcPr>
            <w:tcW w:w="3544" w:type="dxa"/>
            <w:tcBorders>
              <w:top w:val="single" w:sz="4" w:space="0" w:color="A6A6A6" w:themeColor="background1" w:themeShade="A6"/>
              <w:left w:val="nil"/>
              <w:bottom w:val="single" w:sz="4" w:space="0" w:color="A6A6A6" w:themeColor="background1" w:themeShade="A6"/>
              <w:right w:val="nil"/>
            </w:tcBorders>
            <w:shd w:val="clear" w:color="auto" w:fill="auto"/>
            <w:vAlign w:val="bottom"/>
          </w:tcPr>
          <w:p w14:paraId="6066DC5E" w14:textId="11A920FD" w:rsidR="005A02AA" w:rsidRPr="004A3F51" w:rsidRDefault="005A02AA" w:rsidP="005A02AA">
            <w:pPr>
              <w:pStyle w:val="TableText"/>
              <w:rPr>
                <w:lang w:eastAsia="en-NZ"/>
              </w:rPr>
            </w:pPr>
            <w:r w:rsidRPr="004A3F51">
              <w:rPr>
                <w:rFonts w:eastAsia="Lucida Sans Unicode"/>
                <w:b/>
                <w:lang w:eastAsia="en-NZ"/>
              </w:rPr>
              <w:t>Total</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vAlign w:val="bottom"/>
          </w:tcPr>
          <w:p w14:paraId="6520E401" w14:textId="20633BAA" w:rsidR="005A02AA" w:rsidRPr="004A3F51" w:rsidRDefault="005A02AA" w:rsidP="005A02AA">
            <w:pPr>
              <w:pStyle w:val="TableText"/>
              <w:jc w:val="right"/>
              <w:rPr>
                <w:rFonts w:eastAsia="Lucida Sans Unicode"/>
                <w:lang w:eastAsia="en-NZ"/>
              </w:rPr>
            </w:pPr>
            <w:r w:rsidRPr="004A3F51">
              <w:rPr>
                <w:b/>
                <w:bCs/>
                <w:lang w:eastAsia="en-NZ"/>
              </w:rPr>
              <w:t>0.855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vAlign w:val="bottom"/>
          </w:tcPr>
          <w:p w14:paraId="39D7DCBF" w14:textId="19F4B39D" w:rsidR="005A02AA" w:rsidRPr="004A3F51" w:rsidRDefault="005A02AA" w:rsidP="005A02AA">
            <w:pPr>
              <w:pStyle w:val="TableText"/>
              <w:jc w:val="right"/>
              <w:rPr>
                <w:rFonts w:eastAsia="Lucida Sans Unicode"/>
                <w:lang w:eastAsia="en-NZ"/>
              </w:rPr>
            </w:pPr>
            <w:r w:rsidRPr="004A3F51">
              <w:rPr>
                <w:rFonts w:eastAsia="Lucida Sans Unicode"/>
                <w:b/>
                <w:lang w:eastAsia="en-NZ"/>
              </w:rPr>
              <w:t>1.</w:t>
            </w:r>
            <w:r w:rsidRPr="004A3F51">
              <w:rPr>
                <w:b/>
                <w:bCs/>
                <w:lang w:eastAsia="en-NZ"/>
              </w:rPr>
              <w:t>105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vAlign w:val="bottom"/>
          </w:tcPr>
          <w:p w14:paraId="293C51D2" w14:textId="5B9B531E" w:rsidR="005A02AA" w:rsidRPr="004A3F51" w:rsidRDefault="005A02AA" w:rsidP="005A02AA">
            <w:pPr>
              <w:pStyle w:val="TableText"/>
              <w:jc w:val="right"/>
              <w:rPr>
                <w:rFonts w:eastAsia="Lucida Sans Unicode"/>
                <w:lang w:eastAsia="en-NZ"/>
              </w:rPr>
            </w:pPr>
            <w:r w:rsidRPr="004A3F51">
              <w:rPr>
                <w:rFonts w:eastAsia="Lucida Sans Unicode"/>
                <w:b/>
                <w:lang w:eastAsia="en-NZ"/>
              </w:rPr>
              <w:t>1.</w:t>
            </w:r>
            <w:r w:rsidRPr="004A3F51">
              <w:rPr>
                <w:b/>
                <w:bCs/>
                <w:lang w:eastAsia="en-NZ"/>
              </w:rPr>
              <w:t>355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vAlign w:val="bottom"/>
          </w:tcPr>
          <w:p w14:paraId="0A1BB53E" w14:textId="70D091DE" w:rsidR="005A02AA" w:rsidRPr="004A3F51" w:rsidRDefault="005A02AA" w:rsidP="005A02AA">
            <w:pPr>
              <w:pStyle w:val="TableText"/>
              <w:jc w:val="right"/>
              <w:rPr>
                <w:lang w:eastAsia="en-NZ"/>
              </w:rPr>
            </w:pPr>
            <w:r w:rsidRPr="004A3F51">
              <w:rPr>
                <w:b/>
                <w:bCs/>
                <w:lang w:eastAsia="en-NZ"/>
              </w:rPr>
              <w:t>3.315</w:t>
            </w:r>
          </w:p>
        </w:tc>
      </w:tr>
    </w:tbl>
    <w:p w14:paraId="253C9EC3" w14:textId="77777777" w:rsidR="00CE5300" w:rsidRPr="00FB7905" w:rsidRDefault="00CE5300" w:rsidP="00CE5300">
      <w:pPr>
        <w:pStyle w:val="Note"/>
        <w:rPr>
          <w:rFonts w:eastAsia="Lucida Sans Unicode"/>
        </w:rPr>
      </w:pPr>
      <w:r w:rsidRPr="00FB7905">
        <w:rPr>
          <w:rFonts w:eastAsia="Lucida Sans Unicode"/>
        </w:rPr>
        <w:t>Note: Budget sums may not total due to rounding.</w:t>
      </w:r>
    </w:p>
    <w:p w14:paraId="21A36054" w14:textId="77777777" w:rsidR="00CE5300" w:rsidRPr="00FB7905" w:rsidRDefault="00CE5300" w:rsidP="00CE5300">
      <w:pPr>
        <w:pStyle w:val="Heading2"/>
      </w:pPr>
      <w:bookmarkStart w:id="34" w:name="_Toc197534207"/>
      <w:r w:rsidRPr="00FB7905">
        <w:t>Research and evaluation priorities</w:t>
      </w:r>
      <w:bookmarkEnd w:id="34"/>
      <w:r w:rsidRPr="00FB7905">
        <w:t xml:space="preserve"> </w:t>
      </w:r>
    </w:p>
    <w:p w14:paraId="13B346EB" w14:textId="77777777" w:rsidR="00CE5300" w:rsidRDefault="00CE5300" w:rsidP="52103CC6">
      <w:pPr>
        <w:rPr>
          <w:rFonts w:eastAsia="Calibri"/>
        </w:rPr>
      </w:pPr>
      <w:r w:rsidRPr="52103CC6">
        <w:t>This section should be read in conjunction with the Research and Evaluation component in the service plan, which describes the Ministry’s research framework developed to</w:t>
      </w:r>
      <w:r w:rsidRPr="52103CC6">
        <w:rPr>
          <w:rFonts w:eastAsia="Calibri"/>
        </w:rPr>
        <w:t xml:space="preserve"> guide the planning of the gambling harm research programme within and beyond the three-year Strategy period (the framework). The framework includes the following functions.</w:t>
      </w:r>
    </w:p>
    <w:p w14:paraId="5FB45506" w14:textId="77777777" w:rsidR="00CE5300" w:rsidRDefault="00CE5300" w:rsidP="00CE5300">
      <w:pPr>
        <w:pStyle w:val="Bullet"/>
      </w:pPr>
      <w:r>
        <w:t>Monitoring of gambling harm</w:t>
      </w:r>
    </w:p>
    <w:p w14:paraId="242EB51A" w14:textId="77777777" w:rsidR="00CE5300" w:rsidRDefault="00CE5300" w:rsidP="00CE5300">
      <w:pPr>
        <w:pStyle w:val="Bullet"/>
      </w:pPr>
      <w:r>
        <w:t>Research to build knowledge base</w:t>
      </w:r>
    </w:p>
    <w:p w14:paraId="2EE66BD5" w14:textId="77777777" w:rsidR="00CE5300" w:rsidRDefault="00CE5300" w:rsidP="00CE5300">
      <w:pPr>
        <w:pStyle w:val="Bullet"/>
      </w:pPr>
      <w:r>
        <w:t>Evaluation to understand what works</w:t>
      </w:r>
    </w:p>
    <w:p w14:paraId="58C3857F" w14:textId="5323C57F" w:rsidR="00CE5300" w:rsidRDefault="00CE5300" w:rsidP="00CE5300">
      <w:pPr>
        <w:pStyle w:val="Bullet"/>
      </w:pPr>
      <w:r>
        <w:t xml:space="preserve">Dissemination </w:t>
      </w:r>
      <w:r w:rsidR="00233C43">
        <w:t xml:space="preserve">to support </w:t>
      </w:r>
      <w:r w:rsidR="005611D1">
        <w:t>evidence-based</w:t>
      </w:r>
      <w:r w:rsidR="00233C43">
        <w:t xml:space="preserve"> decision</w:t>
      </w:r>
      <w:r w:rsidR="001B1096">
        <w:t xml:space="preserve">-making </w:t>
      </w:r>
    </w:p>
    <w:p w14:paraId="5FE53F0A" w14:textId="77777777" w:rsidR="00CE5300" w:rsidRDefault="00CE5300" w:rsidP="00CE5300"/>
    <w:p w14:paraId="78B03DAB" w14:textId="20E5A613" w:rsidR="00CE5300" w:rsidRDefault="00CE5300" w:rsidP="00CE5300">
      <w:pPr>
        <w:rPr>
          <w:rFonts w:eastAsia="Calibri"/>
        </w:rPr>
      </w:pPr>
      <w:r w:rsidRPr="0BD8A957">
        <w:rPr>
          <w:rFonts w:eastAsia="Calibri"/>
        </w:rPr>
        <w:t xml:space="preserve">Please refer to </w:t>
      </w:r>
      <w:r w:rsidR="009843A1">
        <w:rPr>
          <w:rFonts w:eastAsia="Calibri"/>
        </w:rPr>
        <w:t xml:space="preserve">the ‘Research and Evaluation’ section </w:t>
      </w:r>
      <w:r w:rsidRPr="0BD8A957">
        <w:rPr>
          <w:rFonts w:eastAsia="Calibri"/>
        </w:rPr>
        <w:t xml:space="preserve">in the Strategy for more details on the </w:t>
      </w:r>
      <w:r w:rsidR="00515734">
        <w:rPr>
          <w:rFonts w:eastAsia="Calibri"/>
        </w:rPr>
        <w:t xml:space="preserve">research </w:t>
      </w:r>
      <w:r w:rsidR="62ACDAFF" w:rsidRPr="79BBA5D8">
        <w:rPr>
          <w:rFonts w:eastAsia="Calibri"/>
        </w:rPr>
        <w:t>f</w:t>
      </w:r>
      <w:r w:rsidRPr="0BD8A957">
        <w:rPr>
          <w:rFonts w:eastAsia="Calibri"/>
        </w:rPr>
        <w:t>ramework</w:t>
      </w:r>
      <w:r>
        <w:rPr>
          <w:rFonts w:eastAsia="Calibri"/>
        </w:rPr>
        <w:t>.</w:t>
      </w:r>
      <w:r w:rsidRPr="67A699A4">
        <w:rPr>
          <w:rFonts w:eastAsia="Calibri"/>
        </w:rPr>
        <w:t xml:space="preserve"> </w:t>
      </w:r>
    </w:p>
    <w:p w14:paraId="1C3ABD90" w14:textId="77777777" w:rsidR="00CE5300" w:rsidRDefault="00CE5300" w:rsidP="00CE5300">
      <w:pPr>
        <w:rPr>
          <w:rFonts w:eastAsia="Calibri"/>
        </w:rPr>
      </w:pPr>
    </w:p>
    <w:p w14:paraId="1486FB48" w14:textId="01A7D73A" w:rsidR="00CE5300" w:rsidRDefault="2F384D40" w:rsidP="00CE5300">
      <w:r w:rsidRPr="52103CC6">
        <w:rPr>
          <w:rFonts w:eastAsia="Calibri"/>
        </w:rPr>
        <w:t>Using this framework t</w:t>
      </w:r>
      <w:r w:rsidR="00CE5300" w:rsidRPr="52103CC6">
        <w:rPr>
          <w:rFonts w:eastAsia="Calibri"/>
        </w:rPr>
        <w:t xml:space="preserve">he </w:t>
      </w:r>
      <w:r w:rsidR="00231126" w:rsidRPr="52103CC6">
        <w:rPr>
          <w:rFonts w:eastAsia="Calibri"/>
        </w:rPr>
        <w:t>Ministry will</w:t>
      </w:r>
      <w:r w:rsidR="00CE5300" w:rsidRPr="52103CC6">
        <w:rPr>
          <w:rFonts w:eastAsia="Calibri"/>
        </w:rPr>
        <w:t xml:space="preserve"> commission a research programme targeting strategic priority areas described below. </w:t>
      </w:r>
      <w:r w:rsidR="00CE5300" w:rsidRPr="52103CC6">
        <w:t>The proposed budget for research and evaluation is $5.0</w:t>
      </w:r>
      <w:r w:rsidR="00EF0B8B">
        <w:t>35</w:t>
      </w:r>
      <w:r w:rsidR="00CE5300" w:rsidRPr="52103CC6">
        <w:t xml:space="preserve"> million. This budget takes account of the need to fund the gambling prevalence survey due to the cessation of the </w:t>
      </w:r>
      <w:r w:rsidR="00CE3EC4">
        <w:t>HLS</w:t>
      </w:r>
      <w:r w:rsidR="00CE5300" w:rsidRPr="52103CC6">
        <w:t xml:space="preserve">. It also includes funding for the strategic evaluation of the </w:t>
      </w:r>
      <w:r w:rsidR="315F89D0" w:rsidRPr="52103CC6">
        <w:t>S</w:t>
      </w:r>
      <w:r w:rsidR="00CE5300" w:rsidRPr="52103CC6">
        <w:t xml:space="preserve">trategy to understand its impact and to develop a sector monitoring framework to monitor gambling harm.  </w:t>
      </w:r>
    </w:p>
    <w:p w14:paraId="3B95F146" w14:textId="77777777" w:rsidR="00CE5300" w:rsidRDefault="00CE5300" w:rsidP="00CE5300">
      <w:pPr>
        <w:pStyle w:val="Heading3"/>
      </w:pPr>
      <w:r w:rsidRPr="67A699A4">
        <w:t xml:space="preserve">Strategic </w:t>
      </w:r>
      <w:r w:rsidRPr="00EA3E2E">
        <w:t>priorities</w:t>
      </w:r>
      <w:r w:rsidRPr="67A699A4">
        <w:t xml:space="preserve"> for 2025/26 to 2027/28</w:t>
      </w:r>
    </w:p>
    <w:p w14:paraId="0255CEEB" w14:textId="33F947B4" w:rsidR="00CE5300" w:rsidRDefault="00CE5300" w:rsidP="00CE5300">
      <w:r w:rsidRPr="52103CC6">
        <w:rPr>
          <w:rFonts w:eastAsia="Calibri"/>
        </w:rPr>
        <w:t xml:space="preserve">The research priorities for this Strategy period sit within the research framework outlined above and take into account feedback from the needs assessment.  These priorities reflect a commitment to grow the evidence base that supports all our work; inform policy and operational decisions to prevent and minimise gambling harm; evaluate </w:t>
      </w:r>
      <w:r w:rsidR="474FCF9A" w:rsidRPr="62CBA64A">
        <w:rPr>
          <w:rFonts w:eastAsia="Calibri"/>
        </w:rPr>
        <w:t xml:space="preserve">this </w:t>
      </w:r>
      <w:r w:rsidR="369588ED" w:rsidRPr="62CBA64A">
        <w:rPr>
          <w:rFonts w:eastAsia="Calibri"/>
        </w:rPr>
        <w:t>S</w:t>
      </w:r>
      <w:r w:rsidRPr="52103CC6">
        <w:rPr>
          <w:rFonts w:eastAsia="Calibri"/>
        </w:rPr>
        <w:t>trategy, services and initiatives; and better disseminate research and strengthen research capacity and capability.</w:t>
      </w:r>
    </w:p>
    <w:p w14:paraId="30EFC199" w14:textId="3573FC8F" w:rsidR="00CE5300" w:rsidRDefault="00CE5300" w:rsidP="52103CC6">
      <w:pPr>
        <w:pStyle w:val="Bullet"/>
        <w:rPr>
          <w:rFonts w:eastAsia="Calibri"/>
        </w:rPr>
      </w:pPr>
      <w:r w:rsidRPr="52103CC6">
        <w:rPr>
          <w:rFonts w:eastAsia="Calibri"/>
          <w:b/>
          <w:bCs/>
        </w:rPr>
        <w:t>Research</w:t>
      </w:r>
      <w:r w:rsidRPr="52103CC6">
        <w:rPr>
          <w:rFonts w:eastAsia="Calibri"/>
        </w:rPr>
        <w:t xml:space="preserve">: Studying patterns and impacts of gambling (online or </w:t>
      </w:r>
      <w:r w:rsidR="001840BD" w:rsidRPr="52103CC6">
        <w:rPr>
          <w:rFonts w:eastAsia="Calibri"/>
        </w:rPr>
        <w:t>land based</w:t>
      </w:r>
      <w:r w:rsidRPr="52103CC6">
        <w:rPr>
          <w:rFonts w:eastAsia="Calibri"/>
        </w:rPr>
        <w:t>) and the intersection between gambling and gaming, especially in terms of young people for early preventing and intervention of harm. (Supporting</w:t>
      </w:r>
      <w:r w:rsidRPr="52103CC6">
        <w:rPr>
          <w:rFonts w:eastAsia="Calibri"/>
          <w:b/>
          <w:bCs/>
        </w:rPr>
        <w:t xml:space="preserve"> Outcome 1</w:t>
      </w:r>
      <w:r w:rsidRPr="52103CC6">
        <w:rPr>
          <w:rFonts w:eastAsia="Calibri"/>
        </w:rPr>
        <w:t xml:space="preserve">: There is a </w:t>
      </w:r>
      <w:r w:rsidRPr="52103CC6">
        <w:rPr>
          <w:rFonts w:eastAsia="Calibri"/>
        </w:rPr>
        <w:lastRenderedPageBreak/>
        <w:t>full spectrum of services and supports to prevent and minimise gambling harm</w:t>
      </w:r>
      <w:r w:rsidR="4DA11A32" w:rsidRPr="52103CC6">
        <w:rPr>
          <w:rFonts w:eastAsia="Calibri"/>
        </w:rPr>
        <w:t>, as well as the DIA’s developing regulatory approach to online gambling</w:t>
      </w:r>
      <w:r w:rsidRPr="52103CC6">
        <w:rPr>
          <w:rFonts w:eastAsia="Calibri"/>
        </w:rPr>
        <w:t xml:space="preserve">) </w:t>
      </w:r>
    </w:p>
    <w:p w14:paraId="78E2D536" w14:textId="77777777" w:rsidR="00CE5300" w:rsidRDefault="00CE5300" w:rsidP="00CE5300">
      <w:pPr>
        <w:pStyle w:val="Bullet"/>
        <w:rPr>
          <w:rFonts w:eastAsia="Calibri"/>
        </w:rPr>
      </w:pPr>
      <w:r w:rsidRPr="67A699A4">
        <w:rPr>
          <w:rFonts w:eastAsia="Calibri"/>
          <w:b/>
          <w:bCs/>
        </w:rPr>
        <w:t>Research</w:t>
      </w:r>
      <w:r w:rsidRPr="67A699A4">
        <w:rPr>
          <w:rFonts w:eastAsia="Calibri"/>
        </w:rPr>
        <w:t>: Studying the harm and impact of different forms of gambling and comorbidities of gambling harm</w:t>
      </w:r>
      <w:r>
        <w:rPr>
          <w:rFonts w:eastAsia="Calibri"/>
        </w:rPr>
        <w:t xml:space="preserve"> and ways minimising</w:t>
      </w:r>
      <w:r w:rsidRPr="67A699A4">
        <w:rPr>
          <w:rFonts w:eastAsia="Calibri"/>
        </w:rPr>
        <w:t xml:space="preserve"> harm</w:t>
      </w:r>
      <w:r>
        <w:rPr>
          <w:rFonts w:eastAsia="Calibri"/>
        </w:rPr>
        <w:t xml:space="preserve"> on self and others and supporting the journey back to health and wellbeing</w:t>
      </w:r>
      <w:r w:rsidRPr="67A699A4">
        <w:rPr>
          <w:rFonts w:eastAsia="Calibri"/>
        </w:rPr>
        <w:t xml:space="preserve"> (</w:t>
      </w:r>
      <w:r>
        <w:rPr>
          <w:rFonts w:eastAsia="Calibri"/>
        </w:rPr>
        <w:t>for example,</w:t>
      </w:r>
      <w:r w:rsidRPr="67A699A4">
        <w:rPr>
          <w:rFonts w:eastAsia="Calibri"/>
        </w:rPr>
        <w:t xml:space="preserve"> using existing administrative data) for a deeper understanding of gambling related harm. (Supporting</w:t>
      </w:r>
      <w:r w:rsidRPr="67A699A4">
        <w:rPr>
          <w:rFonts w:eastAsia="Calibri"/>
          <w:b/>
          <w:bCs/>
        </w:rPr>
        <w:t xml:space="preserve"> </w:t>
      </w:r>
      <w:r>
        <w:rPr>
          <w:rFonts w:eastAsia="Calibri"/>
          <w:b/>
          <w:bCs/>
        </w:rPr>
        <w:t>Outcome</w:t>
      </w:r>
      <w:r w:rsidRPr="67A699A4">
        <w:rPr>
          <w:rFonts w:eastAsia="Calibri"/>
          <w:b/>
          <w:bCs/>
        </w:rPr>
        <w:t xml:space="preserve"> 1</w:t>
      </w:r>
      <w:r w:rsidRPr="67A699A4">
        <w:rPr>
          <w:rFonts w:eastAsia="Calibri"/>
        </w:rPr>
        <w:t>: There is a full spectrum of services and support</w:t>
      </w:r>
      <w:r>
        <w:rPr>
          <w:rFonts w:eastAsia="Calibri"/>
        </w:rPr>
        <w:t>s</w:t>
      </w:r>
      <w:r w:rsidRPr="67A699A4">
        <w:rPr>
          <w:rFonts w:eastAsia="Calibri"/>
        </w:rPr>
        <w:t xml:space="preserve"> to prevent and minimise gambling harm) </w:t>
      </w:r>
    </w:p>
    <w:p w14:paraId="311A662A" w14:textId="77777777" w:rsidR="00CE5300" w:rsidRDefault="00CE5300" w:rsidP="52103CC6">
      <w:pPr>
        <w:pStyle w:val="Bullet"/>
        <w:rPr>
          <w:rFonts w:eastAsia="Calibri"/>
        </w:rPr>
      </w:pPr>
      <w:r w:rsidRPr="52103CC6">
        <w:rPr>
          <w:rFonts w:eastAsia="Calibri"/>
          <w:b/>
          <w:bCs/>
        </w:rPr>
        <w:t>Research</w:t>
      </w:r>
      <w:r w:rsidRPr="52103CC6">
        <w:rPr>
          <w:rFonts w:eastAsia="Calibri"/>
        </w:rPr>
        <w:t>: Exploring factors supporting and hindering service access, quality and outcomes, such as peer support, cultural competencies and other treatment and support options for population groups that are more likely to experience harm from gambling to understand their specific needs. (Supporting</w:t>
      </w:r>
      <w:r w:rsidRPr="52103CC6">
        <w:rPr>
          <w:rFonts w:eastAsia="Calibri"/>
          <w:b/>
          <w:bCs/>
        </w:rPr>
        <w:t xml:space="preserve"> Outcome 2</w:t>
      </w:r>
      <w:r w:rsidRPr="52103CC6">
        <w:rPr>
          <w:rFonts w:eastAsia="Calibri"/>
        </w:rPr>
        <w:t xml:space="preserve">: Social and cultural norms prevent and minimise harm from gambling) </w:t>
      </w:r>
    </w:p>
    <w:p w14:paraId="5CCE2250" w14:textId="77777777" w:rsidR="00CE5300" w:rsidRDefault="00CE5300" w:rsidP="52103CC6">
      <w:pPr>
        <w:pStyle w:val="Bullet"/>
        <w:rPr>
          <w:rFonts w:eastAsia="Calibri"/>
        </w:rPr>
      </w:pPr>
      <w:r w:rsidRPr="52103CC6">
        <w:rPr>
          <w:rFonts w:eastAsia="Calibri"/>
          <w:b/>
          <w:bCs/>
        </w:rPr>
        <w:t>Research</w:t>
      </w:r>
      <w:r w:rsidRPr="52103CC6">
        <w:rPr>
          <w:rFonts w:eastAsia="Calibri"/>
        </w:rPr>
        <w:t>: Supporting gambling harm research led by Māori, Pacific, Asian and youth researchers to support research capacity and capability in these communities as well as community-led solutions for harm minimisation and recovery. (Supporting</w:t>
      </w:r>
      <w:r w:rsidRPr="52103CC6">
        <w:rPr>
          <w:rFonts w:eastAsia="Calibri"/>
          <w:b/>
          <w:bCs/>
        </w:rPr>
        <w:t xml:space="preserve"> Outcome 1</w:t>
      </w:r>
      <w:r w:rsidRPr="52103CC6">
        <w:rPr>
          <w:rFonts w:eastAsia="Calibri"/>
        </w:rPr>
        <w:t xml:space="preserve">: There is a full spectrum of services and supports to prevent and minimise gambling harm and </w:t>
      </w:r>
      <w:r w:rsidRPr="52103CC6">
        <w:rPr>
          <w:rFonts w:eastAsia="Calibri"/>
          <w:b/>
          <w:bCs/>
        </w:rPr>
        <w:t>Outcome 2</w:t>
      </w:r>
      <w:r w:rsidRPr="52103CC6">
        <w:rPr>
          <w:rFonts w:eastAsia="Calibri"/>
        </w:rPr>
        <w:t>: Social and cultural norms prevent and minimise harm from gambling)</w:t>
      </w:r>
    </w:p>
    <w:p w14:paraId="6B0734B8" w14:textId="326AB5F6" w:rsidR="00CE5300" w:rsidRDefault="00CE5300" w:rsidP="52103CC6">
      <w:pPr>
        <w:pStyle w:val="Bullet"/>
        <w:rPr>
          <w:rFonts w:eastAsia="Calibri"/>
        </w:rPr>
      </w:pPr>
      <w:r w:rsidRPr="52103CC6">
        <w:rPr>
          <w:rFonts w:eastAsia="Calibri"/>
          <w:b/>
          <w:bCs/>
        </w:rPr>
        <w:t>Evaluation</w:t>
      </w:r>
      <w:r w:rsidRPr="52103CC6">
        <w:rPr>
          <w:rFonts w:eastAsia="Calibri"/>
        </w:rPr>
        <w:t xml:space="preserve">: Evaluating </w:t>
      </w:r>
      <w:r w:rsidR="3F6F61E0" w:rsidRPr="62CBA64A">
        <w:rPr>
          <w:rFonts w:eastAsia="Calibri"/>
        </w:rPr>
        <w:t xml:space="preserve">the Strategy </w:t>
      </w:r>
      <w:r w:rsidR="342E3AE6" w:rsidRPr="62CBA64A">
        <w:rPr>
          <w:rFonts w:eastAsia="Calibri"/>
        </w:rPr>
        <w:t>and</w:t>
      </w:r>
      <w:r w:rsidRPr="52103CC6">
        <w:rPr>
          <w:rFonts w:eastAsia="Calibri"/>
        </w:rPr>
        <w:t xml:space="preserve"> services (for both Māori and non-Māori) and other topics as required to assess the differences they are making against the intended outcomes. (Supporting</w:t>
      </w:r>
      <w:r w:rsidRPr="52103CC6">
        <w:rPr>
          <w:rFonts w:eastAsia="Calibri"/>
          <w:b/>
          <w:bCs/>
        </w:rPr>
        <w:t xml:space="preserve"> Outcome 3</w:t>
      </w:r>
      <w:r w:rsidRPr="52103CC6">
        <w:rPr>
          <w:rFonts w:eastAsia="Calibri"/>
        </w:rPr>
        <w:t xml:space="preserve">: There is strong leadership and accountability in the gambling harm prevention system, with decision-making as close to communities as possible) </w:t>
      </w:r>
    </w:p>
    <w:p w14:paraId="0E7E78FF" w14:textId="487C6F9D" w:rsidR="00CE5300" w:rsidRDefault="00CE5300" w:rsidP="00CE5300">
      <w:pPr>
        <w:pStyle w:val="Bullet"/>
        <w:rPr>
          <w:rFonts w:eastAsia="Calibri"/>
        </w:rPr>
      </w:pPr>
      <w:r w:rsidRPr="67A699A4">
        <w:rPr>
          <w:rFonts w:eastAsia="Calibri"/>
          <w:b/>
          <w:bCs/>
        </w:rPr>
        <w:t>Dissemination</w:t>
      </w:r>
      <w:r w:rsidRPr="67A699A4">
        <w:rPr>
          <w:rFonts w:eastAsia="Calibri"/>
        </w:rPr>
        <w:t xml:space="preserve">: </w:t>
      </w:r>
      <w:r w:rsidR="00F74448">
        <w:rPr>
          <w:rFonts w:eastAsia="Calibri"/>
        </w:rPr>
        <w:t>Exploring platforms</w:t>
      </w:r>
      <w:r w:rsidRPr="67A699A4">
        <w:rPr>
          <w:rFonts w:eastAsia="Calibri"/>
        </w:rPr>
        <w:t xml:space="preserve"> and tools for better dissemination of research findings and </w:t>
      </w:r>
      <w:r>
        <w:rPr>
          <w:rFonts w:eastAsia="Calibri"/>
        </w:rPr>
        <w:t xml:space="preserve">to </w:t>
      </w:r>
      <w:r w:rsidRPr="67A699A4">
        <w:rPr>
          <w:rFonts w:eastAsia="Calibri"/>
        </w:rPr>
        <w:t>support research use. (Supporting</w:t>
      </w:r>
      <w:r w:rsidRPr="67A699A4">
        <w:rPr>
          <w:rFonts w:eastAsia="Calibri"/>
          <w:b/>
          <w:bCs/>
        </w:rPr>
        <w:t xml:space="preserve"> </w:t>
      </w:r>
      <w:r>
        <w:rPr>
          <w:rFonts w:eastAsia="Calibri"/>
          <w:b/>
          <w:bCs/>
        </w:rPr>
        <w:t>Outcome</w:t>
      </w:r>
      <w:r w:rsidRPr="67A699A4">
        <w:rPr>
          <w:rFonts w:eastAsia="Calibri"/>
          <w:b/>
          <w:bCs/>
        </w:rPr>
        <w:t xml:space="preserve"> 3</w:t>
      </w:r>
      <w:r w:rsidRPr="67A699A4">
        <w:rPr>
          <w:rFonts w:eastAsia="Calibri"/>
        </w:rPr>
        <w:t xml:space="preserve">: </w:t>
      </w:r>
      <w:r>
        <w:rPr>
          <w:rFonts w:eastAsia="Calibri"/>
        </w:rPr>
        <w:t>There is s</w:t>
      </w:r>
      <w:r w:rsidRPr="67A699A4">
        <w:rPr>
          <w:rFonts w:eastAsia="Calibri"/>
        </w:rPr>
        <w:t xml:space="preserve">trong leadership and accountability </w:t>
      </w:r>
      <w:r>
        <w:rPr>
          <w:rFonts w:eastAsia="Calibri"/>
        </w:rPr>
        <w:t>in</w:t>
      </w:r>
      <w:r w:rsidRPr="67A699A4">
        <w:rPr>
          <w:rFonts w:eastAsia="Calibri"/>
        </w:rPr>
        <w:t xml:space="preserve"> the gambling harm prevention </w:t>
      </w:r>
      <w:r w:rsidR="75A90798" w:rsidRPr="6C748A5E">
        <w:rPr>
          <w:rFonts w:eastAsia="Calibri"/>
        </w:rPr>
        <w:t xml:space="preserve">and </w:t>
      </w:r>
      <w:r w:rsidR="75A90798" w:rsidRPr="4DA27E23">
        <w:rPr>
          <w:rFonts w:eastAsia="Calibri"/>
        </w:rPr>
        <w:t xml:space="preserve">minimisation </w:t>
      </w:r>
      <w:r w:rsidRPr="4DA27E23">
        <w:rPr>
          <w:rFonts w:eastAsia="Calibri"/>
        </w:rPr>
        <w:t>system</w:t>
      </w:r>
      <w:r>
        <w:rPr>
          <w:rFonts w:eastAsia="Calibri"/>
        </w:rPr>
        <w:t>, with decision-making as close to communities as possible</w:t>
      </w:r>
      <w:r w:rsidRPr="67A699A4">
        <w:rPr>
          <w:rFonts w:eastAsia="Calibri"/>
        </w:rPr>
        <w:t xml:space="preserve">) </w:t>
      </w:r>
    </w:p>
    <w:p w14:paraId="24F495BF" w14:textId="77777777" w:rsidR="00CE5300" w:rsidRDefault="00CE5300" w:rsidP="52103CC6">
      <w:pPr>
        <w:pStyle w:val="Bullet"/>
        <w:rPr>
          <w:rFonts w:eastAsia="Calibri"/>
        </w:rPr>
      </w:pPr>
      <w:r w:rsidRPr="52103CC6">
        <w:rPr>
          <w:rFonts w:eastAsiaTheme="minorEastAsia"/>
          <w:b/>
          <w:bCs/>
        </w:rPr>
        <w:t xml:space="preserve">Monitoring: </w:t>
      </w:r>
      <w:r w:rsidRPr="52103CC6">
        <w:rPr>
          <w:rFonts w:eastAsiaTheme="minorEastAsia"/>
        </w:rPr>
        <w:t xml:space="preserve">Obtaining longitudinal study and prevalence data about gambling, such as population-level surveys, to monitor the prevalence of gambling harm. (Supporting </w:t>
      </w:r>
      <w:r w:rsidRPr="52103CC6">
        <w:rPr>
          <w:rFonts w:eastAsia="Calibri"/>
          <w:b/>
          <w:bCs/>
        </w:rPr>
        <w:t>Outcome</w:t>
      </w:r>
      <w:r w:rsidRPr="52103CC6">
        <w:rPr>
          <w:rFonts w:eastAsiaTheme="minorEastAsia"/>
        </w:rPr>
        <w:t xml:space="preserve"> </w:t>
      </w:r>
      <w:r w:rsidRPr="52103CC6">
        <w:rPr>
          <w:rFonts w:eastAsiaTheme="minorEastAsia"/>
          <w:b/>
          <w:bCs/>
        </w:rPr>
        <w:t>4</w:t>
      </w:r>
      <w:r w:rsidRPr="52103CC6">
        <w:rPr>
          <w:rFonts w:eastAsiaTheme="minorEastAsia"/>
        </w:rPr>
        <w:t>: There is a system focus on those who are most at risk of harm from gambling).</w:t>
      </w:r>
    </w:p>
    <w:p w14:paraId="56218253" w14:textId="77777777" w:rsidR="00CE5300" w:rsidRDefault="00CE5300" w:rsidP="00CE5300">
      <w:pPr>
        <w:rPr>
          <w:rFonts w:eastAsia="Calibri"/>
        </w:rPr>
      </w:pPr>
    </w:p>
    <w:p w14:paraId="5E917DFF" w14:textId="6ED64250" w:rsidR="00CE5300" w:rsidRDefault="00CE5300" w:rsidP="52103CC6">
      <w:pPr>
        <w:rPr>
          <w:rFonts w:eastAsia="Calibri"/>
        </w:rPr>
      </w:pPr>
      <w:r w:rsidRPr="52103CC6">
        <w:rPr>
          <w:rFonts w:eastAsia="Calibri"/>
        </w:rPr>
        <w:t xml:space="preserve">In order to achieve our strategic outcomes and system priorities, </w:t>
      </w:r>
      <w:r w:rsidR="5985318A" w:rsidRPr="52103CC6">
        <w:rPr>
          <w:rFonts w:eastAsia="Calibri"/>
        </w:rPr>
        <w:t>the Ministry</w:t>
      </w:r>
      <w:r w:rsidRPr="52103CC6">
        <w:rPr>
          <w:rFonts w:eastAsia="Calibri"/>
        </w:rPr>
        <w:t xml:space="preserve"> value</w:t>
      </w:r>
      <w:r w:rsidR="43E86A5F" w:rsidRPr="52103CC6">
        <w:rPr>
          <w:rFonts w:eastAsia="Calibri"/>
        </w:rPr>
        <w:t>s</w:t>
      </w:r>
      <w:r w:rsidRPr="52103CC6">
        <w:rPr>
          <w:rFonts w:eastAsia="Calibri"/>
        </w:rPr>
        <w:t xml:space="preserve"> research that involves</w:t>
      </w:r>
      <w:r w:rsidR="0052105A">
        <w:rPr>
          <w:rFonts w:eastAsia="Calibri"/>
        </w:rPr>
        <w:t>:</w:t>
      </w:r>
      <w:r w:rsidRPr="52103CC6">
        <w:rPr>
          <w:rFonts w:eastAsia="Calibri"/>
        </w:rPr>
        <w:t xml:space="preserve"> </w:t>
      </w:r>
    </w:p>
    <w:p w14:paraId="0E9B834B" w14:textId="7D320130" w:rsidR="00CE5300" w:rsidRPr="00205B32" w:rsidRDefault="00CE5300" w:rsidP="00CE5300">
      <w:pPr>
        <w:pStyle w:val="Bullet"/>
      </w:pPr>
      <w:r w:rsidRPr="00555AE5">
        <w:rPr>
          <w:rFonts w:eastAsia="Calibri"/>
        </w:rPr>
        <w:t>co-design</w:t>
      </w:r>
      <w:r>
        <w:rPr>
          <w:rFonts w:eastAsia="Calibri"/>
        </w:rPr>
        <w:t xml:space="preserve">, </w:t>
      </w:r>
      <w:r w:rsidRPr="00555AE5">
        <w:rPr>
          <w:rFonts w:eastAsia="Calibri"/>
        </w:rPr>
        <w:t>human-centred design, lived experience of gambling addiction and harm</w:t>
      </w:r>
    </w:p>
    <w:p w14:paraId="7F089E0C" w14:textId="02647B80" w:rsidR="00CE5300" w:rsidRPr="00205B32" w:rsidRDefault="00CE5300" w:rsidP="52103CC6">
      <w:pPr>
        <w:pStyle w:val="Bullet"/>
        <w:rPr>
          <w:rFonts w:eastAsia="Calibri"/>
        </w:rPr>
      </w:pPr>
      <w:r w:rsidRPr="52103CC6">
        <w:rPr>
          <w:rFonts w:eastAsia="Calibri"/>
        </w:rPr>
        <w:t>partnerships between academics, non-governmental organisations and service providers</w:t>
      </w:r>
    </w:p>
    <w:p w14:paraId="08A42F58" w14:textId="63E28C54" w:rsidR="00CE5300" w:rsidRPr="00205B32" w:rsidRDefault="00CE5300" w:rsidP="00CE5300">
      <w:pPr>
        <w:pStyle w:val="Bullet"/>
      </w:pPr>
      <w:r w:rsidRPr="52103CC6">
        <w:rPr>
          <w:rFonts w:eastAsia="Calibri"/>
        </w:rPr>
        <w:t>consideration of equity in research methodology and purpose</w:t>
      </w:r>
    </w:p>
    <w:p w14:paraId="1DB8F58C" w14:textId="052E6084" w:rsidR="00CE5300" w:rsidRPr="00205B32" w:rsidRDefault="00CE5300" w:rsidP="00CE5300">
      <w:pPr>
        <w:pStyle w:val="Bullet"/>
      </w:pPr>
      <w:r w:rsidRPr="00555AE5">
        <w:rPr>
          <w:rFonts w:eastAsia="Calibri"/>
        </w:rPr>
        <w:t>a wide range of disciplines (for example, psychology and technology); and data (for example, data from health and social surveys and the Integrated Data Infrastructure, IDI, data</w:t>
      </w:r>
      <w:r w:rsidRPr="00225DF0">
        <w:rPr>
          <w:rStyle w:val="FootnoteReference"/>
          <w:rFonts w:eastAsia="Calibri"/>
        </w:rPr>
        <w:footnoteReference w:id="50"/>
      </w:r>
      <w:r w:rsidRPr="00555AE5">
        <w:rPr>
          <w:rFonts w:eastAsia="Calibri"/>
        </w:rPr>
        <w:t xml:space="preserve">) </w:t>
      </w:r>
    </w:p>
    <w:p w14:paraId="5BB0C6A3" w14:textId="77777777" w:rsidR="00CE5300" w:rsidRDefault="00CE5300" w:rsidP="00CE5300">
      <w:pPr>
        <w:pStyle w:val="Bullet"/>
      </w:pPr>
      <w:r w:rsidRPr="00555AE5">
        <w:rPr>
          <w:rFonts w:eastAsia="Calibri"/>
        </w:rPr>
        <w:t xml:space="preserve">research that relates to the New Zealand context. </w:t>
      </w:r>
    </w:p>
    <w:p w14:paraId="27C13FB2" w14:textId="77777777" w:rsidR="00CE5300" w:rsidRDefault="00CE5300" w:rsidP="00CE5300">
      <w:pPr>
        <w:rPr>
          <w:rFonts w:eastAsia="Calibri"/>
        </w:rPr>
      </w:pPr>
    </w:p>
    <w:p w14:paraId="3BB55965" w14:textId="77777777" w:rsidR="00CE5300" w:rsidRDefault="00CE5300" w:rsidP="00CE5300">
      <w:pPr>
        <w:rPr>
          <w:rFonts w:eastAsia="Calibri"/>
        </w:rPr>
      </w:pPr>
      <w:r w:rsidRPr="67A699A4">
        <w:rPr>
          <w:rFonts w:eastAsia="Calibri"/>
        </w:rPr>
        <w:lastRenderedPageBreak/>
        <w:t xml:space="preserve">The Ministry will work closely with the gambling sector to make research and evaluation findings more accessible, communicate findings to stakeholders and affected communities and support </w:t>
      </w:r>
      <w:r>
        <w:rPr>
          <w:rFonts w:eastAsia="Calibri"/>
        </w:rPr>
        <w:t xml:space="preserve">the </w:t>
      </w:r>
      <w:r w:rsidRPr="67A699A4">
        <w:rPr>
          <w:rFonts w:eastAsia="Calibri"/>
        </w:rPr>
        <w:t>application of these learnings into gambling harm services.</w:t>
      </w:r>
    </w:p>
    <w:p w14:paraId="37334757" w14:textId="77777777" w:rsidR="00CE5300" w:rsidRDefault="00CE5300" w:rsidP="00CE5300">
      <w:pPr>
        <w:pStyle w:val="Heading2"/>
      </w:pPr>
      <w:bookmarkStart w:id="35" w:name="_Toc197534208"/>
      <w:r>
        <w:t>Agency operating costs</w:t>
      </w:r>
      <w:bookmarkEnd w:id="35"/>
    </w:p>
    <w:p w14:paraId="4544B1AB" w14:textId="77777777" w:rsidR="00CE5300" w:rsidRDefault="00CE5300" w:rsidP="00CE5300">
      <w:r w:rsidRPr="52103CC6">
        <w:t xml:space="preserve">Following the 2022 health system reforms, roles and responsibilities for developing, delivering, and monitoring the Strategy and service plan have been divided between the Ministry and </w:t>
      </w:r>
      <w:r w:rsidRPr="52103CC6">
        <w:rPr>
          <w:rFonts w:eastAsia="Lucida Sans Unicode"/>
        </w:rPr>
        <w:t>Health New Zealand</w:t>
      </w:r>
      <w:r w:rsidRPr="52103CC6">
        <w:t>, which has resulted in additional staff involvement.</w:t>
      </w:r>
    </w:p>
    <w:p w14:paraId="7760B786" w14:textId="77777777" w:rsidR="00CE5300" w:rsidRPr="002B0406" w:rsidRDefault="00CE5300" w:rsidP="00CE5300"/>
    <w:p w14:paraId="546D77AE" w14:textId="42D36C11" w:rsidR="00CE5300" w:rsidRDefault="00CE5300" w:rsidP="00CE5300">
      <w:r w:rsidRPr="52103CC6">
        <w:rPr>
          <w:b/>
          <w:bCs/>
        </w:rPr>
        <w:t>The Ministry of Health</w:t>
      </w:r>
      <w:r w:rsidRPr="52103CC6">
        <w:t xml:space="preserve"> now holds primary responsibility for providing sector leadership and policy advice (including advice on gambling harm) and managing the three-yearly refresh of the Strategy and the research component of the service plan. </w:t>
      </w:r>
      <w:r w:rsidR="008F623E">
        <w:t xml:space="preserve">The main reason for the </w:t>
      </w:r>
      <w:r w:rsidRPr="52103CC6">
        <w:t xml:space="preserve">increase to the </w:t>
      </w:r>
      <w:r w:rsidR="008F623E">
        <w:t xml:space="preserve">Ministry’s </w:t>
      </w:r>
      <w:r w:rsidRPr="52103CC6">
        <w:t xml:space="preserve">operating costs </w:t>
      </w:r>
      <w:r w:rsidR="008F623E">
        <w:t xml:space="preserve">from the current </w:t>
      </w:r>
      <w:r w:rsidR="51DA8DD1">
        <w:t>S</w:t>
      </w:r>
      <w:r w:rsidR="008F623E">
        <w:t xml:space="preserve">trategy </w:t>
      </w:r>
      <w:r w:rsidRPr="52103CC6">
        <w:t>is driven by the need for strategic oversight through the impact evaluation and developing a sector monitoring framework to assess performance going forward.</w:t>
      </w:r>
    </w:p>
    <w:p w14:paraId="06952C8D" w14:textId="77777777" w:rsidR="00CE5300" w:rsidRDefault="00CE5300" w:rsidP="00CE5300">
      <w:pPr>
        <w:rPr>
          <w:rFonts w:eastAsia="Lucida Sans Unicode"/>
        </w:rPr>
      </w:pPr>
    </w:p>
    <w:p w14:paraId="23DAC4A3" w14:textId="0B0F4006" w:rsidR="00CE5300" w:rsidRDefault="00CE5300" w:rsidP="00CE5300">
      <w:pPr>
        <w:rPr>
          <w:rFonts w:eastAsia="Lucida Sans Unicode"/>
        </w:rPr>
      </w:pPr>
      <w:r w:rsidRPr="00DF7B0C">
        <w:rPr>
          <w:b/>
        </w:rPr>
        <w:t>Health New Zealand</w:t>
      </w:r>
      <w:r>
        <w:t xml:space="preserve"> now holds primary responsibility for service commissioning, service development and design, contract monitoring, evaluation, national health promotion and </w:t>
      </w:r>
      <w:r w:rsidR="2BD005EB">
        <w:t>treatment</w:t>
      </w:r>
      <w:r w:rsidR="00471046">
        <w:t xml:space="preserve"> </w:t>
      </w:r>
      <w:r w:rsidR="00444B13">
        <w:t xml:space="preserve">(including </w:t>
      </w:r>
      <w:r>
        <w:t>clinical intervention service</w:t>
      </w:r>
      <w:r w:rsidR="00F95527">
        <w:t>s</w:t>
      </w:r>
      <w:r w:rsidR="00FB5151">
        <w:t>) and service</w:t>
      </w:r>
      <w:r>
        <w:t xml:space="preserve"> data management. </w:t>
      </w:r>
      <w:r>
        <w:rPr>
          <w:rFonts w:eastAsia="Lucida Sans Unicode"/>
        </w:rPr>
        <w:t>In summary:</w:t>
      </w:r>
    </w:p>
    <w:p w14:paraId="1AB66986" w14:textId="77777777" w:rsidR="00CE5300" w:rsidRPr="002B0406" w:rsidRDefault="00CE5300" w:rsidP="00CE5300">
      <w:pPr>
        <w:pStyle w:val="Bullet"/>
      </w:pPr>
      <w:r w:rsidRPr="52103CC6">
        <w:t xml:space="preserve">the budget line titled ‘Health New Zealand Commissioning’ comprises staff costs related to commissioning the services identified in the service plan, including additional capacity in relation to Hauora Māori services, and a new lived experience leadership role </w:t>
      </w:r>
    </w:p>
    <w:p w14:paraId="62FAF805" w14:textId="166D18CE" w:rsidR="00CE5300" w:rsidRDefault="00CE5300" w:rsidP="00CE5300">
      <w:pPr>
        <w:pStyle w:val="Bullet"/>
      </w:pPr>
      <w:r w:rsidRPr="52103CC6">
        <w:rPr>
          <w:rFonts w:eastAsia="Lucida Sans Unicode"/>
        </w:rPr>
        <w:t xml:space="preserve">the budget line titled ‘Health New Zealand Health Promotion’ is the work of the former Te Hiringa Hauora </w:t>
      </w:r>
      <w:r w:rsidR="005B137B" w:rsidRPr="52103CC6">
        <w:rPr>
          <w:rFonts w:eastAsia="Lucida Sans Unicode"/>
        </w:rPr>
        <w:t>-</w:t>
      </w:r>
      <w:r w:rsidRPr="52103CC6">
        <w:rPr>
          <w:rFonts w:eastAsia="Lucida Sans Unicode"/>
        </w:rPr>
        <w:t xml:space="preserve"> Health Promotion Agency, which was incorporated into Health New Zealand on 1 July 2022. The </w:t>
      </w:r>
      <w:r w:rsidRPr="52103CC6">
        <w:t>costs for this budget line, which were not included in previous Strategies, include full-time equivalent staffing required to deliver a comprehensive health promotion programme, including scoping, development, delivery and monitoring of health promotion activities.</w:t>
      </w:r>
    </w:p>
    <w:p w14:paraId="118F7A78" w14:textId="77777777" w:rsidR="009B720C" w:rsidRDefault="009B720C" w:rsidP="00AA4E79"/>
    <w:p w14:paraId="048C8AC9" w14:textId="77777777" w:rsidR="00CE5300" w:rsidRDefault="00CE5300" w:rsidP="52103CC6">
      <w:pPr>
        <w:pStyle w:val="Table"/>
        <w:rPr>
          <w:rFonts w:eastAsia="Lucida Sans Unicode"/>
        </w:rPr>
      </w:pPr>
      <w:bookmarkStart w:id="36" w:name="_Toc197534219"/>
      <w:r w:rsidRPr="52103CC6">
        <w:t xml:space="preserve">Table A5.5: </w:t>
      </w:r>
      <w:r w:rsidRPr="52103CC6">
        <w:rPr>
          <w:rFonts w:eastAsia="Lucida Sans Unicode"/>
        </w:rPr>
        <w:t>Budget agency operating costs (NZ$m, GST exclusive), 2025/26 to 2027/28</w:t>
      </w:r>
      <w:bookmarkEnd w:id="36"/>
    </w:p>
    <w:tbl>
      <w:tblPr>
        <w:tblStyle w:val="TableGrid"/>
        <w:tblW w:w="7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1088"/>
        <w:gridCol w:w="1089"/>
        <w:gridCol w:w="1089"/>
        <w:gridCol w:w="1089"/>
      </w:tblGrid>
      <w:tr w:rsidR="00CE5300" w:rsidRPr="00D92DB1" w14:paraId="182565F1" w14:textId="77777777" w:rsidTr="005A02AA">
        <w:tc>
          <w:tcPr>
            <w:tcW w:w="3261" w:type="dxa"/>
            <w:shd w:val="clear" w:color="auto" w:fill="D9D9D9" w:themeFill="background1" w:themeFillShade="D9"/>
            <w:vAlign w:val="center"/>
            <w:hideMark/>
          </w:tcPr>
          <w:p w14:paraId="1EB500F0" w14:textId="77777777" w:rsidR="00CE5300" w:rsidRPr="00FB7905" w:rsidRDefault="00CE5300">
            <w:pPr>
              <w:pStyle w:val="TableText"/>
              <w:rPr>
                <w:rFonts w:eastAsia="Lucida Sans Unicode"/>
                <w:b/>
                <w:bCs/>
              </w:rPr>
            </w:pPr>
            <w:r w:rsidRPr="00FB7905">
              <w:rPr>
                <w:rFonts w:eastAsia="Lucida Sans Unicode"/>
                <w:b/>
                <w:bCs/>
              </w:rPr>
              <w:t>Agency</w:t>
            </w:r>
          </w:p>
        </w:tc>
        <w:tc>
          <w:tcPr>
            <w:tcW w:w="1088" w:type="dxa"/>
            <w:shd w:val="clear" w:color="auto" w:fill="D9D9D9" w:themeFill="background1" w:themeFillShade="D9"/>
            <w:vAlign w:val="center"/>
            <w:hideMark/>
          </w:tcPr>
          <w:p w14:paraId="20F1A858" w14:textId="77777777" w:rsidR="00CE5300" w:rsidRPr="00FB7905" w:rsidRDefault="00CE5300">
            <w:pPr>
              <w:pStyle w:val="TableText"/>
              <w:jc w:val="right"/>
              <w:rPr>
                <w:rFonts w:eastAsia="Lucida Sans Unicode"/>
                <w:b/>
                <w:bCs/>
              </w:rPr>
            </w:pPr>
            <w:r w:rsidRPr="00FB7905">
              <w:rPr>
                <w:rFonts w:eastAsia="Lucida Sans Unicode"/>
                <w:b/>
                <w:bCs/>
              </w:rPr>
              <w:t>2025/26</w:t>
            </w:r>
          </w:p>
        </w:tc>
        <w:tc>
          <w:tcPr>
            <w:tcW w:w="1089" w:type="dxa"/>
            <w:shd w:val="clear" w:color="auto" w:fill="D9D9D9" w:themeFill="background1" w:themeFillShade="D9"/>
            <w:vAlign w:val="center"/>
            <w:hideMark/>
          </w:tcPr>
          <w:p w14:paraId="71D3F170" w14:textId="77777777" w:rsidR="00CE5300" w:rsidRPr="00FB7905" w:rsidRDefault="00CE5300">
            <w:pPr>
              <w:pStyle w:val="TableText"/>
              <w:jc w:val="right"/>
              <w:rPr>
                <w:rFonts w:eastAsia="Lucida Sans Unicode"/>
                <w:b/>
                <w:bCs/>
              </w:rPr>
            </w:pPr>
            <w:r w:rsidRPr="00FB7905">
              <w:rPr>
                <w:rFonts w:eastAsia="Lucida Sans Unicode"/>
                <w:b/>
                <w:bCs/>
              </w:rPr>
              <w:t>2026/27</w:t>
            </w:r>
          </w:p>
        </w:tc>
        <w:tc>
          <w:tcPr>
            <w:tcW w:w="1089" w:type="dxa"/>
            <w:shd w:val="clear" w:color="auto" w:fill="D9D9D9" w:themeFill="background1" w:themeFillShade="D9"/>
            <w:vAlign w:val="center"/>
            <w:hideMark/>
          </w:tcPr>
          <w:p w14:paraId="6AE23BBD" w14:textId="77777777" w:rsidR="00CE5300" w:rsidRPr="00FB7905" w:rsidRDefault="00CE5300">
            <w:pPr>
              <w:pStyle w:val="TableText"/>
              <w:jc w:val="right"/>
              <w:rPr>
                <w:rFonts w:eastAsia="Lucida Sans Unicode"/>
                <w:b/>
                <w:bCs/>
              </w:rPr>
            </w:pPr>
            <w:r w:rsidRPr="00FB7905">
              <w:rPr>
                <w:rFonts w:eastAsia="Lucida Sans Unicode"/>
                <w:b/>
                <w:bCs/>
              </w:rPr>
              <w:t>2027/28</w:t>
            </w:r>
          </w:p>
        </w:tc>
        <w:tc>
          <w:tcPr>
            <w:tcW w:w="1089" w:type="dxa"/>
            <w:shd w:val="clear" w:color="auto" w:fill="D9D9D9" w:themeFill="background1" w:themeFillShade="D9"/>
            <w:vAlign w:val="center"/>
            <w:hideMark/>
          </w:tcPr>
          <w:p w14:paraId="041AAACA" w14:textId="77777777" w:rsidR="00CE5300" w:rsidRPr="00FB7905" w:rsidRDefault="00CE5300">
            <w:pPr>
              <w:pStyle w:val="TableText"/>
              <w:jc w:val="right"/>
              <w:rPr>
                <w:rFonts w:eastAsia="Lucida Sans Unicode"/>
                <w:b/>
                <w:bCs/>
              </w:rPr>
            </w:pPr>
            <w:r w:rsidRPr="00FB7905">
              <w:rPr>
                <w:rFonts w:eastAsia="Lucida Sans Unicode"/>
                <w:b/>
                <w:bCs/>
              </w:rPr>
              <w:t>Total</w:t>
            </w:r>
          </w:p>
        </w:tc>
      </w:tr>
      <w:tr w:rsidR="00CE5300" w:rsidRPr="00D92DB1" w14:paraId="757418F4" w14:textId="77777777" w:rsidTr="005A02AA">
        <w:tc>
          <w:tcPr>
            <w:tcW w:w="3261" w:type="dxa"/>
            <w:noWrap/>
            <w:vAlign w:val="center"/>
            <w:hideMark/>
          </w:tcPr>
          <w:p w14:paraId="6DC4985A" w14:textId="77777777" w:rsidR="00CE5300" w:rsidRPr="00324382" w:rsidRDefault="00CE5300">
            <w:pPr>
              <w:pStyle w:val="TableText"/>
              <w:rPr>
                <w:rFonts w:eastAsia="Lucida Sans Unicode"/>
              </w:rPr>
            </w:pPr>
            <w:r w:rsidRPr="00324382">
              <w:rPr>
                <w:rFonts w:eastAsia="Lucida Sans Unicode"/>
              </w:rPr>
              <w:t>Health New Zealand Commissioning</w:t>
            </w:r>
          </w:p>
        </w:tc>
        <w:tc>
          <w:tcPr>
            <w:tcW w:w="1088" w:type="dxa"/>
            <w:shd w:val="clear" w:color="000000" w:fill="FFFFFF"/>
            <w:vAlign w:val="center"/>
            <w:hideMark/>
          </w:tcPr>
          <w:p w14:paraId="2A15B1AD" w14:textId="43E5AFE0" w:rsidR="00CE5300" w:rsidRPr="004A3F51" w:rsidRDefault="00CE5300">
            <w:pPr>
              <w:pStyle w:val="TableText"/>
              <w:jc w:val="right"/>
              <w:rPr>
                <w:rFonts w:eastAsia="Lucida Sans Unicode"/>
                <w:szCs w:val="18"/>
              </w:rPr>
            </w:pPr>
            <w:r w:rsidRPr="004A3F51">
              <w:rPr>
                <w:rFonts w:eastAsia="Lucida Sans Unicode"/>
                <w:szCs w:val="18"/>
              </w:rPr>
              <w:t>0.</w:t>
            </w:r>
            <w:r w:rsidR="00A7569A" w:rsidRPr="004A3F51">
              <w:rPr>
                <w:rFonts w:eastAsia="Lucida Sans Unicode"/>
                <w:szCs w:val="18"/>
              </w:rPr>
              <w:t>610</w:t>
            </w:r>
          </w:p>
        </w:tc>
        <w:tc>
          <w:tcPr>
            <w:tcW w:w="1089" w:type="dxa"/>
            <w:shd w:val="clear" w:color="000000" w:fill="FFFFFF"/>
            <w:vAlign w:val="center"/>
            <w:hideMark/>
          </w:tcPr>
          <w:p w14:paraId="1D4E12CA" w14:textId="5D990D33" w:rsidR="00CE5300" w:rsidRPr="00FB7905" w:rsidRDefault="00CE5300">
            <w:pPr>
              <w:pStyle w:val="TableText"/>
              <w:jc w:val="right"/>
              <w:rPr>
                <w:rFonts w:eastAsia="Lucida Sans Unicode"/>
              </w:rPr>
            </w:pPr>
            <w:r w:rsidRPr="004A3F51">
              <w:rPr>
                <w:rFonts w:eastAsia="Lucida Sans Unicode"/>
                <w:szCs w:val="18"/>
              </w:rPr>
              <w:t>0.</w:t>
            </w:r>
            <w:r w:rsidR="00A7569A" w:rsidRPr="004A3F51">
              <w:rPr>
                <w:rFonts w:eastAsia="Lucida Sans Unicode"/>
                <w:szCs w:val="18"/>
              </w:rPr>
              <w:t>628</w:t>
            </w:r>
          </w:p>
        </w:tc>
        <w:tc>
          <w:tcPr>
            <w:tcW w:w="1089" w:type="dxa"/>
            <w:shd w:val="clear" w:color="000000" w:fill="FFFFFF"/>
            <w:vAlign w:val="center"/>
            <w:hideMark/>
          </w:tcPr>
          <w:p w14:paraId="57339A29" w14:textId="539C3BC9" w:rsidR="00CE5300" w:rsidRPr="00FB7905" w:rsidRDefault="00CE5300">
            <w:pPr>
              <w:pStyle w:val="TableText"/>
              <w:jc w:val="right"/>
              <w:rPr>
                <w:rFonts w:eastAsia="Lucida Sans Unicode"/>
              </w:rPr>
            </w:pPr>
            <w:r w:rsidRPr="004A3F51">
              <w:rPr>
                <w:rFonts w:eastAsia="Lucida Sans Unicode"/>
                <w:szCs w:val="18"/>
              </w:rPr>
              <w:t>0.</w:t>
            </w:r>
            <w:r w:rsidR="00A7569A" w:rsidRPr="004A3F51">
              <w:rPr>
                <w:rFonts w:eastAsia="Lucida Sans Unicode"/>
                <w:szCs w:val="18"/>
              </w:rPr>
              <w:t>629</w:t>
            </w:r>
          </w:p>
        </w:tc>
        <w:tc>
          <w:tcPr>
            <w:tcW w:w="1089" w:type="dxa"/>
            <w:shd w:val="clear" w:color="000000" w:fill="FFFFFF"/>
            <w:vAlign w:val="center"/>
            <w:hideMark/>
          </w:tcPr>
          <w:p w14:paraId="71ADFB5F" w14:textId="2BAE7B31" w:rsidR="00CE5300" w:rsidRPr="00FB7905" w:rsidRDefault="00A7569A">
            <w:pPr>
              <w:pStyle w:val="TableText"/>
              <w:jc w:val="right"/>
              <w:rPr>
                <w:rFonts w:eastAsia="Lucida Sans Unicode"/>
              </w:rPr>
            </w:pPr>
            <w:r w:rsidRPr="004A3F51">
              <w:rPr>
                <w:rFonts w:eastAsia="Lucida Sans Unicode"/>
                <w:szCs w:val="18"/>
              </w:rPr>
              <w:t>1.867</w:t>
            </w:r>
          </w:p>
        </w:tc>
      </w:tr>
      <w:tr w:rsidR="00CE5300" w:rsidRPr="00D92DB1" w14:paraId="214CA00C" w14:textId="77777777" w:rsidTr="005A02AA">
        <w:tc>
          <w:tcPr>
            <w:tcW w:w="3261" w:type="dxa"/>
            <w:noWrap/>
            <w:vAlign w:val="center"/>
            <w:hideMark/>
          </w:tcPr>
          <w:p w14:paraId="01EE4C12" w14:textId="77777777" w:rsidR="00CE5300" w:rsidRPr="00324382" w:rsidRDefault="00CE5300">
            <w:pPr>
              <w:pStyle w:val="TableText"/>
              <w:rPr>
                <w:rFonts w:eastAsia="Lucida Sans Unicode"/>
              </w:rPr>
            </w:pPr>
            <w:r w:rsidRPr="00324382">
              <w:rPr>
                <w:rFonts w:eastAsia="Lucida Sans Unicode"/>
              </w:rPr>
              <w:t xml:space="preserve">Health New Zealand Health Promotion </w:t>
            </w:r>
          </w:p>
        </w:tc>
        <w:tc>
          <w:tcPr>
            <w:tcW w:w="1088" w:type="dxa"/>
            <w:shd w:val="clear" w:color="000000" w:fill="FFFFFF"/>
            <w:vAlign w:val="center"/>
            <w:hideMark/>
          </w:tcPr>
          <w:p w14:paraId="2DE8F2BB" w14:textId="5FB8D33A" w:rsidR="00CE5300" w:rsidRPr="00FB7905" w:rsidRDefault="00CE5300">
            <w:pPr>
              <w:pStyle w:val="TableText"/>
              <w:jc w:val="right"/>
              <w:rPr>
                <w:rFonts w:eastAsia="Lucida Sans Unicode"/>
              </w:rPr>
            </w:pPr>
            <w:r w:rsidRPr="004A3F51">
              <w:rPr>
                <w:rFonts w:eastAsia="Lucida Sans Unicode"/>
                <w:szCs w:val="18"/>
              </w:rPr>
              <w:t>0.</w:t>
            </w:r>
            <w:r w:rsidR="00A7569A" w:rsidRPr="004A3F51">
              <w:rPr>
                <w:rFonts w:eastAsia="Lucida Sans Unicode"/>
                <w:szCs w:val="18"/>
              </w:rPr>
              <w:t>493</w:t>
            </w:r>
          </w:p>
        </w:tc>
        <w:tc>
          <w:tcPr>
            <w:tcW w:w="1089" w:type="dxa"/>
            <w:shd w:val="clear" w:color="000000" w:fill="FFFFFF"/>
            <w:vAlign w:val="center"/>
            <w:hideMark/>
          </w:tcPr>
          <w:p w14:paraId="5CB4BF82" w14:textId="508C3C66" w:rsidR="00CE5300" w:rsidRPr="00FB7905" w:rsidRDefault="00CE5300">
            <w:pPr>
              <w:pStyle w:val="TableText"/>
              <w:jc w:val="right"/>
              <w:rPr>
                <w:rFonts w:eastAsia="Lucida Sans Unicode"/>
              </w:rPr>
            </w:pPr>
            <w:r w:rsidRPr="004A3F51">
              <w:rPr>
                <w:rFonts w:eastAsia="Lucida Sans Unicode"/>
                <w:szCs w:val="18"/>
              </w:rPr>
              <w:t>0.</w:t>
            </w:r>
            <w:r w:rsidR="00A7569A" w:rsidRPr="004A3F51">
              <w:rPr>
                <w:rFonts w:eastAsia="Lucida Sans Unicode"/>
                <w:szCs w:val="18"/>
              </w:rPr>
              <w:t>493</w:t>
            </w:r>
          </w:p>
        </w:tc>
        <w:tc>
          <w:tcPr>
            <w:tcW w:w="1089" w:type="dxa"/>
            <w:shd w:val="clear" w:color="000000" w:fill="FFFFFF"/>
            <w:vAlign w:val="center"/>
            <w:hideMark/>
          </w:tcPr>
          <w:p w14:paraId="1D23CB53" w14:textId="2EF5F736" w:rsidR="00CE5300" w:rsidRPr="00FB7905" w:rsidRDefault="00CE5300">
            <w:pPr>
              <w:pStyle w:val="TableText"/>
              <w:jc w:val="right"/>
              <w:rPr>
                <w:rFonts w:eastAsia="Lucida Sans Unicode"/>
              </w:rPr>
            </w:pPr>
            <w:r w:rsidRPr="004A3F51">
              <w:rPr>
                <w:rFonts w:eastAsia="Lucida Sans Unicode"/>
                <w:szCs w:val="18"/>
              </w:rPr>
              <w:t>0.</w:t>
            </w:r>
            <w:r w:rsidR="00A7569A" w:rsidRPr="004A3F51">
              <w:rPr>
                <w:rFonts w:eastAsia="Lucida Sans Unicode"/>
                <w:szCs w:val="18"/>
              </w:rPr>
              <w:t>493</w:t>
            </w:r>
          </w:p>
        </w:tc>
        <w:tc>
          <w:tcPr>
            <w:tcW w:w="1089" w:type="dxa"/>
            <w:shd w:val="clear" w:color="000000" w:fill="FFFFFF"/>
            <w:vAlign w:val="center"/>
            <w:hideMark/>
          </w:tcPr>
          <w:p w14:paraId="013BF49D" w14:textId="2D19AA82" w:rsidR="00CE5300" w:rsidRPr="00FB7905" w:rsidRDefault="00A7569A">
            <w:pPr>
              <w:pStyle w:val="TableText"/>
              <w:jc w:val="right"/>
              <w:rPr>
                <w:rFonts w:eastAsia="Lucida Sans Unicode"/>
              </w:rPr>
            </w:pPr>
            <w:r w:rsidRPr="004A3F51">
              <w:rPr>
                <w:rFonts w:eastAsia="Lucida Sans Unicode"/>
                <w:szCs w:val="18"/>
              </w:rPr>
              <w:t>1.479</w:t>
            </w:r>
          </w:p>
        </w:tc>
      </w:tr>
      <w:tr w:rsidR="00CE5300" w:rsidRPr="00D92DB1" w14:paraId="09369F55" w14:textId="77777777" w:rsidTr="005A02AA">
        <w:tc>
          <w:tcPr>
            <w:tcW w:w="3261" w:type="dxa"/>
            <w:tcBorders>
              <w:bottom w:val="single" w:sz="4" w:space="0" w:color="A6A6A6" w:themeColor="background1" w:themeShade="A6"/>
            </w:tcBorders>
            <w:noWrap/>
            <w:vAlign w:val="center"/>
            <w:hideMark/>
          </w:tcPr>
          <w:p w14:paraId="13A4AD07" w14:textId="77777777" w:rsidR="00CE5300" w:rsidRPr="00324382" w:rsidRDefault="00CE5300">
            <w:pPr>
              <w:pStyle w:val="TableText"/>
              <w:rPr>
                <w:rFonts w:eastAsia="Lucida Sans Unicode"/>
              </w:rPr>
            </w:pPr>
            <w:r w:rsidRPr="00324382">
              <w:rPr>
                <w:rFonts w:eastAsia="Lucida Sans Unicode"/>
              </w:rPr>
              <w:t>Ministry of Health</w:t>
            </w:r>
          </w:p>
        </w:tc>
        <w:tc>
          <w:tcPr>
            <w:tcW w:w="1088" w:type="dxa"/>
            <w:tcBorders>
              <w:bottom w:val="single" w:sz="4" w:space="0" w:color="A6A6A6" w:themeColor="background1" w:themeShade="A6"/>
            </w:tcBorders>
            <w:shd w:val="clear" w:color="000000" w:fill="FFFFFF"/>
            <w:vAlign w:val="center"/>
            <w:hideMark/>
          </w:tcPr>
          <w:p w14:paraId="2F8E8FA7" w14:textId="03211562" w:rsidR="00CE5300" w:rsidRPr="004A3F51" w:rsidRDefault="00CE5300">
            <w:pPr>
              <w:pStyle w:val="TableText"/>
              <w:jc w:val="right"/>
              <w:rPr>
                <w:rFonts w:eastAsia="Lucida Sans Unicode"/>
                <w:szCs w:val="18"/>
              </w:rPr>
            </w:pPr>
            <w:r w:rsidRPr="004A3F51">
              <w:rPr>
                <w:rFonts w:eastAsia="Lucida Sans Unicode"/>
                <w:szCs w:val="18"/>
              </w:rPr>
              <w:t>0.</w:t>
            </w:r>
            <w:r w:rsidR="00D25416" w:rsidRPr="004A3F51">
              <w:rPr>
                <w:rFonts w:eastAsia="Lucida Sans Unicode"/>
                <w:szCs w:val="18"/>
              </w:rPr>
              <w:t>59</w:t>
            </w:r>
            <w:r w:rsidR="00D25416">
              <w:rPr>
                <w:rFonts w:eastAsia="Lucida Sans Unicode"/>
                <w:szCs w:val="18"/>
              </w:rPr>
              <w:t>3</w:t>
            </w:r>
          </w:p>
        </w:tc>
        <w:tc>
          <w:tcPr>
            <w:tcW w:w="1089" w:type="dxa"/>
            <w:tcBorders>
              <w:bottom w:val="single" w:sz="4" w:space="0" w:color="A6A6A6" w:themeColor="background1" w:themeShade="A6"/>
            </w:tcBorders>
            <w:shd w:val="clear" w:color="000000" w:fill="FFFFFF"/>
            <w:vAlign w:val="center"/>
            <w:hideMark/>
          </w:tcPr>
          <w:p w14:paraId="0B29D6A8" w14:textId="74739494" w:rsidR="00CE5300" w:rsidRPr="004A3F51" w:rsidRDefault="00CE5300">
            <w:pPr>
              <w:pStyle w:val="TableText"/>
              <w:jc w:val="right"/>
              <w:rPr>
                <w:rFonts w:eastAsia="Lucida Sans Unicode"/>
                <w:szCs w:val="18"/>
              </w:rPr>
            </w:pPr>
            <w:r w:rsidRPr="004A3F51">
              <w:rPr>
                <w:rFonts w:eastAsia="Lucida Sans Unicode"/>
                <w:szCs w:val="18"/>
              </w:rPr>
              <w:t>0.</w:t>
            </w:r>
            <w:r w:rsidR="00A7569A" w:rsidRPr="004A3F51">
              <w:rPr>
                <w:rFonts w:eastAsia="Lucida Sans Unicode"/>
                <w:szCs w:val="18"/>
              </w:rPr>
              <w:t>844</w:t>
            </w:r>
          </w:p>
        </w:tc>
        <w:tc>
          <w:tcPr>
            <w:tcW w:w="1089" w:type="dxa"/>
            <w:tcBorders>
              <w:bottom w:val="single" w:sz="4" w:space="0" w:color="A6A6A6" w:themeColor="background1" w:themeShade="A6"/>
            </w:tcBorders>
            <w:shd w:val="clear" w:color="000000" w:fill="FFFFFF"/>
            <w:vAlign w:val="center"/>
            <w:hideMark/>
          </w:tcPr>
          <w:p w14:paraId="5F1CAE77" w14:textId="1117DC9E" w:rsidR="00CE5300" w:rsidRPr="004A3F51" w:rsidRDefault="00CE5300">
            <w:pPr>
              <w:pStyle w:val="TableText"/>
              <w:jc w:val="right"/>
              <w:rPr>
                <w:rFonts w:eastAsia="Lucida Sans Unicode"/>
                <w:szCs w:val="18"/>
              </w:rPr>
            </w:pPr>
            <w:r w:rsidRPr="004A3F51">
              <w:rPr>
                <w:rFonts w:eastAsia="Lucida Sans Unicode"/>
                <w:szCs w:val="18"/>
              </w:rPr>
              <w:t>0.</w:t>
            </w:r>
            <w:r w:rsidR="00A7569A" w:rsidRPr="004A3F51">
              <w:rPr>
                <w:rFonts w:eastAsia="Lucida Sans Unicode"/>
                <w:szCs w:val="18"/>
              </w:rPr>
              <w:t>494</w:t>
            </w:r>
          </w:p>
        </w:tc>
        <w:tc>
          <w:tcPr>
            <w:tcW w:w="1089" w:type="dxa"/>
            <w:tcBorders>
              <w:bottom w:val="single" w:sz="4" w:space="0" w:color="A6A6A6" w:themeColor="background1" w:themeShade="A6"/>
            </w:tcBorders>
            <w:shd w:val="clear" w:color="000000" w:fill="FFFFFF"/>
            <w:vAlign w:val="center"/>
            <w:hideMark/>
          </w:tcPr>
          <w:p w14:paraId="6A5DF75A" w14:textId="78ADCB7C" w:rsidR="00CE5300" w:rsidRPr="004A3F51" w:rsidRDefault="00A7569A">
            <w:pPr>
              <w:pStyle w:val="TableText"/>
              <w:jc w:val="right"/>
              <w:rPr>
                <w:rFonts w:eastAsia="Lucida Sans Unicode"/>
                <w:szCs w:val="18"/>
              </w:rPr>
            </w:pPr>
            <w:r w:rsidRPr="004A3F51">
              <w:rPr>
                <w:rFonts w:eastAsia="Lucida Sans Unicode"/>
                <w:szCs w:val="18"/>
              </w:rPr>
              <w:t>1.</w:t>
            </w:r>
            <w:r w:rsidR="009E2C7E" w:rsidRPr="004A3F51">
              <w:rPr>
                <w:rFonts w:eastAsia="Lucida Sans Unicode"/>
                <w:szCs w:val="18"/>
              </w:rPr>
              <w:t>93</w:t>
            </w:r>
            <w:r w:rsidR="009E2C7E">
              <w:rPr>
                <w:rFonts w:eastAsia="Lucida Sans Unicode"/>
                <w:szCs w:val="18"/>
              </w:rPr>
              <w:t>1</w:t>
            </w:r>
          </w:p>
        </w:tc>
      </w:tr>
      <w:tr w:rsidR="00CE5300" w:rsidRPr="00FB7905" w14:paraId="32BED977" w14:textId="77777777" w:rsidTr="005A02AA">
        <w:tc>
          <w:tcPr>
            <w:tcW w:w="3261" w:type="dxa"/>
            <w:tcBorders>
              <w:top w:val="single" w:sz="4" w:space="0" w:color="A6A6A6" w:themeColor="background1" w:themeShade="A6"/>
              <w:bottom w:val="single" w:sz="4" w:space="0" w:color="A6A6A6" w:themeColor="background1" w:themeShade="A6"/>
            </w:tcBorders>
            <w:vAlign w:val="center"/>
            <w:hideMark/>
          </w:tcPr>
          <w:p w14:paraId="0F8B366E" w14:textId="77777777" w:rsidR="00CE5300" w:rsidRPr="00FB7905" w:rsidRDefault="00CE5300">
            <w:pPr>
              <w:pStyle w:val="TableText"/>
              <w:rPr>
                <w:rFonts w:eastAsia="Lucida Sans Unicode"/>
                <w:b/>
                <w:bCs/>
              </w:rPr>
            </w:pPr>
            <w:r w:rsidRPr="00FB7905">
              <w:rPr>
                <w:rFonts w:eastAsia="Lucida Sans Unicode"/>
                <w:b/>
                <w:bCs/>
              </w:rPr>
              <w:t>Total</w:t>
            </w:r>
          </w:p>
        </w:tc>
        <w:tc>
          <w:tcPr>
            <w:tcW w:w="1088" w:type="dxa"/>
            <w:tcBorders>
              <w:top w:val="single" w:sz="4" w:space="0" w:color="A6A6A6" w:themeColor="background1" w:themeShade="A6"/>
              <w:bottom w:val="single" w:sz="4" w:space="0" w:color="A6A6A6" w:themeColor="background1" w:themeShade="A6"/>
            </w:tcBorders>
            <w:shd w:val="clear" w:color="000000" w:fill="FFFFFF"/>
            <w:vAlign w:val="center"/>
            <w:hideMark/>
          </w:tcPr>
          <w:p w14:paraId="6AB3D66D" w14:textId="7A9F7B87" w:rsidR="00CE5300" w:rsidRPr="004A3F51" w:rsidRDefault="00A7569A" w:rsidP="004A3F51">
            <w:pPr>
              <w:pStyle w:val="TableText"/>
              <w:spacing w:before="0" w:after="0" w:line="240" w:lineRule="auto"/>
              <w:jc w:val="right"/>
              <w:rPr>
                <w:rFonts w:eastAsia="Lucida Sans Unicode"/>
                <w:b/>
                <w:szCs w:val="18"/>
              </w:rPr>
            </w:pPr>
            <w:r w:rsidRPr="004A3F51">
              <w:rPr>
                <w:rFonts w:eastAsia="Lucida Sans Unicode"/>
                <w:b/>
                <w:bCs/>
                <w:szCs w:val="18"/>
              </w:rPr>
              <w:t>1.69</w:t>
            </w:r>
            <w:r w:rsidR="001E09E1">
              <w:rPr>
                <w:rFonts w:eastAsia="Lucida Sans Unicode"/>
                <w:b/>
                <w:bCs/>
                <w:szCs w:val="18"/>
              </w:rPr>
              <w:t>6</w:t>
            </w:r>
          </w:p>
        </w:tc>
        <w:tc>
          <w:tcPr>
            <w:tcW w:w="1089" w:type="dxa"/>
            <w:tcBorders>
              <w:top w:val="single" w:sz="4" w:space="0" w:color="A6A6A6" w:themeColor="background1" w:themeShade="A6"/>
              <w:bottom w:val="single" w:sz="4" w:space="0" w:color="A6A6A6" w:themeColor="background1" w:themeShade="A6"/>
            </w:tcBorders>
            <w:shd w:val="clear" w:color="000000" w:fill="FFFFFF"/>
            <w:vAlign w:val="center"/>
            <w:hideMark/>
          </w:tcPr>
          <w:p w14:paraId="103603D8" w14:textId="20AE3F70" w:rsidR="00CE5300" w:rsidRPr="004A3F51" w:rsidRDefault="00A7569A" w:rsidP="004A3F51">
            <w:pPr>
              <w:pStyle w:val="TableText"/>
              <w:spacing w:before="0" w:after="0" w:line="240" w:lineRule="auto"/>
              <w:jc w:val="right"/>
              <w:rPr>
                <w:rFonts w:eastAsia="Lucida Sans Unicode"/>
                <w:b/>
                <w:szCs w:val="18"/>
              </w:rPr>
            </w:pPr>
            <w:r w:rsidRPr="004A3F51">
              <w:rPr>
                <w:rFonts w:eastAsia="Lucida Sans Unicode"/>
                <w:b/>
                <w:bCs/>
                <w:szCs w:val="18"/>
              </w:rPr>
              <w:t>1.965</w:t>
            </w:r>
          </w:p>
        </w:tc>
        <w:tc>
          <w:tcPr>
            <w:tcW w:w="1089" w:type="dxa"/>
            <w:tcBorders>
              <w:top w:val="single" w:sz="4" w:space="0" w:color="A6A6A6" w:themeColor="background1" w:themeShade="A6"/>
              <w:bottom w:val="single" w:sz="4" w:space="0" w:color="A6A6A6" w:themeColor="background1" w:themeShade="A6"/>
            </w:tcBorders>
            <w:shd w:val="clear" w:color="000000" w:fill="FFFFFF"/>
            <w:vAlign w:val="center"/>
            <w:hideMark/>
          </w:tcPr>
          <w:p w14:paraId="033E2CB2" w14:textId="57C47E68" w:rsidR="00CE5300" w:rsidRPr="004A3F51" w:rsidRDefault="00A7569A" w:rsidP="004A3F51">
            <w:pPr>
              <w:pStyle w:val="TableText"/>
              <w:spacing w:before="0" w:after="0" w:line="240" w:lineRule="auto"/>
              <w:jc w:val="right"/>
              <w:rPr>
                <w:rFonts w:eastAsia="Lucida Sans Unicode"/>
                <w:b/>
                <w:szCs w:val="18"/>
              </w:rPr>
            </w:pPr>
            <w:r w:rsidRPr="004A3F51">
              <w:rPr>
                <w:rFonts w:eastAsia="Lucida Sans Unicode"/>
                <w:b/>
                <w:bCs/>
                <w:szCs w:val="18"/>
              </w:rPr>
              <w:t>1.616</w:t>
            </w:r>
          </w:p>
        </w:tc>
        <w:tc>
          <w:tcPr>
            <w:tcW w:w="1089" w:type="dxa"/>
            <w:tcBorders>
              <w:top w:val="single" w:sz="4" w:space="0" w:color="A6A6A6" w:themeColor="background1" w:themeShade="A6"/>
              <w:bottom w:val="single" w:sz="4" w:space="0" w:color="A6A6A6" w:themeColor="background1" w:themeShade="A6"/>
            </w:tcBorders>
            <w:shd w:val="clear" w:color="000000" w:fill="FFFFFF"/>
            <w:vAlign w:val="center"/>
            <w:hideMark/>
          </w:tcPr>
          <w:p w14:paraId="03455720" w14:textId="28324A01" w:rsidR="00CE5300" w:rsidRPr="004A3F51" w:rsidRDefault="00A7569A" w:rsidP="004A3F51">
            <w:pPr>
              <w:pStyle w:val="TableText"/>
              <w:spacing w:before="0" w:after="0" w:line="240" w:lineRule="auto"/>
              <w:jc w:val="right"/>
              <w:rPr>
                <w:rFonts w:eastAsia="Lucida Sans Unicode"/>
                <w:b/>
                <w:szCs w:val="18"/>
              </w:rPr>
            </w:pPr>
            <w:r w:rsidRPr="004A3F51">
              <w:rPr>
                <w:rFonts w:eastAsia="Lucida Sans Unicode"/>
                <w:b/>
                <w:bCs/>
                <w:szCs w:val="18"/>
              </w:rPr>
              <w:t>5.27</w:t>
            </w:r>
            <w:r w:rsidR="00BA0682">
              <w:rPr>
                <w:rFonts w:eastAsia="Lucida Sans Unicode"/>
                <w:b/>
                <w:bCs/>
                <w:szCs w:val="18"/>
              </w:rPr>
              <w:t>7</w:t>
            </w:r>
          </w:p>
        </w:tc>
      </w:tr>
    </w:tbl>
    <w:p w14:paraId="05239B8A" w14:textId="100FFA7E" w:rsidR="00D61452" w:rsidRDefault="00CE5300" w:rsidP="00AA4E79">
      <w:pPr>
        <w:pStyle w:val="Note"/>
        <w:rPr>
          <w:b/>
          <w:color w:val="23305D"/>
          <w:spacing w:val="-10"/>
          <w:sz w:val="60"/>
          <w:szCs w:val="60"/>
          <w:lang w:val="en-GB"/>
        </w:rPr>
      </w:pPr>
      <w:r w:rsidRPr="00FB7905">
        <w:rPr>
          <w:rFonts w:eastAsia="Lucida Sans Unicode"/>
        </w:rPr>
        <w:t>Note: Budget sums may not total due to rounding.</w:t>
      </w:r>
      <w:r w:rsidR="00D61452">
        <w:br w:type="page"/>
      </w:r>
    </w:p>
    <w:p w14:paraId="4395E65B" w14:textId="4399FA49" w:rsidR="0002659E" w:rsidRDefault="0002659E" w:rsidP="0002659E">
      <w:pPr>
        <w:pStyle w:val="Heading1"/>
      </w:pPr>
      <w:bookmarkStart w:id="37" w:name="_Toc197534209"/>
      <w:r>
        <w:lastRenderedPageBreak/>
        <w:t>Appendix Six: Inputs and calculating the problem gambling levy</w:t>
      </w:r>
      <w:bookmarkEnd w:id="37"/>
    </w:p>
    <w:p w14:paraId="68B30C9E" w14:textId="77777777" w:rsidR="0002659E" w:rsidRDefault="0002659E" w:rsidP="0002659E">
      <w:pPr>
        <w:rPr>
          <w:rFonts w:eastAsia="Segoe UI" w:cstheme="minorHAnsi"/>
        </w:rPr>
      </w:pPr>
      <w:r>
        <w:t xml:space="preserve">Section 320 of the </w:t>
      </w:r>
      <w:r>
        <w:rPr>
          <w:rFonts w:eastAsia="Segoe UI" w:cstheme="minorHAnsi"/>
        </w:rPr>
        <w:t xml:space="preserve">Gambling </w:t>
      </w:r>
      <w:r w:rsidRPr="00324382">
        <w:rPr>
          <w:rFonts w:eastAsia="Segoe UI" w:cstheme="minorHAnsi"/>
        </w:rPr>
        <w:t>Act</w:t>
      </w:r>
      <w:r>
        <w:rPr>
          <w:rFonts w:eastAsia="Segoe UI" w:cstheme="minorHAnsi"/>
        </w:rPr>
        <w:t xml:space="preserve"> 2003 (the Act)</w:t>
      </w:r>
      <w:r w:rsidRPr="00324382">
        <w:rPr>
          <w:rFonts w:eastAsia="Segoe UI" w:cstheme="minorHAnsi"/>
        </w:rPr>
        <w:t xml:space="preserve"> </w:t>
      </w:r>
      <w:r>
        <w:rPr>
          <w:rFonts w:eastAsia="Segoe UI" w:cstheme="minorHAnsi"/>
        </w:rPr>
        <w:t>provides the following formula to help estimate the proposed levy rates payable by gambling operators.</w:t>
      </w:r>
    </w:p>
    <w:p w14:paraId="37F80841" w14:textId="77777777" w:rsidR="0002659E" w:rsidRDefault="0002659E" w:rsidP="0002659E">
      <w:pPr>
        <w:rPr>
          <w:rFonts w:eastAsia="Segoe UI" w:cstheme="minorHAnsi"/>
        </w:rPr>
      </w:pPr>
    </w:p>
    <w:p w14:paraId="41616CF2" w14:textId="77777777" w:rsidR="0002659E" w:rsidRPr="00324382" w:rsidRDefault="0002659E" w:rsidP="0002659E">
      <w:pPr>
        <w:spacing w:before="120"/>
        <w:ind w:left="567"/>
        <w:rPr>
          <w:rFonts w:cstheme="minorHAnsi"/>
        </w:rPr>
      </w:pPr>
      <w:r w:rsidRPr="00324382">
        <w:rPr>
          <w:rFonts w:eastAsia="Segoe UI" w:cstheme="minorHAnsi"/>
        </w:rPr>
        <w:t xml:space="preserve">Levy rate for each sector = </w:t>
      </w:r>
      <w:r w:rsidRPr="00324382">
        <w:rPr>
          <w:rFonts w:eastAsia="Segoe UI" w:cstheme="minorHAnsi"/>
          <w:u w:val="single"/>
        </w:rPr>
        <w:t>{[(A x W1) + (B x W2)] x C} plus or minus R</w:t>
      </w:r>
    </w:p>
    <w:p w14:paraId="519D56C1" w14:textId="77777777" w:rsidR="0002659E" w:rsidRDefault="0002659E" w:rsidP="0002659E">
      <w:pPr>
        <w:ind w:left="3600" w:firstLine="720"/>
      </w:pPr>
      <w:r w:rsidRPr="00324382">
        <w:rPr>
          <w:rFonts w:eastAsia="Segoe UI" w:cstheme="minorHAnsi"/>
        </w:rPr>
        <w:t>D</w:t>
      </w:r>
    </w:p>
    <w:p w14:paraId="509F4805" w14:textId="77777777" w:rsidR="00235C06" w:rsidRDefault="00235C06" w:rsidP="0002659E">
      <w:pPr>
        <w:rPr>
          <w:rFonts w:eastAsia="Segoe UI"/>
        </w:rPr>
      </w:pPr>
    </w:p>
    <w:p w14:paraId="16A1F6C9" w14:textId="17683781" w:rsidR="0002659E" w:rsidRPr="00324382" w:rsidRDefault="0002659E" w:rsidP="52103CC6">
      <w:pPr>
        <w:rPr>
          <w:rFonts w:eastAsia="Segoe UI"/>
        </w:rPr>
      </w:pPr>
      <w:r w:rsidRPr="52103CC6">
        <w:rPr>
          <w:rFonts w:eastAsia="Segoe UI"/>
        </w:rPr>
        <w:t xml:space="preserve">The formula in the Act requires the levy rate calculation to take account of the latest, most reliable and most appropriate sources of information. </w:t>
      </w:r>
    </w:p>
    <w:p w14:paraId="5E853C42" w14:textId="77777777" w:rsidR="0002659E" w:rsidRDefault="0002659E" w:rsidP="0002659E">
      <w:pPr>
        <w:pStyle w:val="Heading2"/>
      </w:pPr>
      <w:bookmarkStart w:id="38" w:name="_Toc197534210"/>
      <w:r w:rsidRPr="3181C03E">
        <w:t>(A)</w:t>
      </w:r>
      <w:r>
        <w:t xml:space="preserve"> </w:t>
      </w:r>
      <w:r w:rsidRPr="3181C03E">
        <w:t>Estimated current player expenditure</w:t>
      </w:r>
      <w:bookmarkEnd w:id="38"/>
      <w:r w:rsidRPr="3181C03E">
        <w:t xml:space="preserve"> </w:t>
      </w:r>
    </w:p>
    <w:p w14:paraId="1099E4D7" w14:textId="5B31F18C" w:rsidR="007D241F" w:rsidRDefault="007D241F" w:rsidP="52103CC6">
      <w:pPr>
        <w:pStyle w:val="Heading3"/>
        <w:rPr>
          <w:rFonts w:eastAsia="Lucida Sans Unicode"/>
          <w:color w:val="auto"/>
          <w:spacing w:val="0"/>
          <w:sz w:val="21"/>
          <w:szCs w:val="21"/>
        </w:rPr>
      </w:pPr>
      <w:r w:rsidRPr="52103CC6">
        <w:rPr>
          <w:rFonts w:eastAsia="Lucida Sans Unicode"/>
          <w:color w:val="auto"/>
          <w:sz w:val="21"/>
          <w:szCs w:val="21"/>
        </w:rPr>
        <w:t xml:space="preserve">The formula in the Act requires the levy rate calculation to take into account the latest, most reliable and most appropriate sources of information. The figures used </w:t>
      </w:r>
      <w:r w:rsidR="00E04F25" w:rsidRPr="52103CC6">
        <w:rPr>
          <w:rFonts w:eastAsia="Lucida Sans Unicode"/>
          <w:color w:val="auto"/>
          <w:sz w:val="21"/>
          <w:szCs w:val="21"/>
        </w:rPr>
        <w:t>for 2024/25</w:t>
      </w:r>
      <w:r w:rsidR="00A209B3">
        <w:rPr>
          <w:rFonts w:eastAsia="Lucida Sans Unicode"/>
          <w:color w:val="auto"/>
          <w:sz w:val="21"/>
          <w:szCs w:val="21"/>
        </w:rPr>
        <w:t xml:space="preserve"> </w:t>
      </w:r>
      <w:r w:rsidRPr="52103CC6">
        <w:rPr>
          <w:rFonts w:eastAsia="Lucida Sans Unicode"/>
          <w:color w:val="auto"/>
          <w:sz w:val="21"/>
          <w:szCs w:val="21"/>
        </w:rPr>
        <w:t xml:space="preserve">are DIA estimates of player expenditure for each sector. The Ministry </w:t>
      </w:r>
      <w:r w:rsidR="00E04F25">
        <w:rPr>
          <w:rFonts w:eastAsia="Lucida Sans Unicode"/>
          <w:color w:val="auto"/>
          <w:sz w:val="21"/>
          <w:szCs w:val="21"/>
        </w:rPr>
        <w:t xml:space="preserve">used </w:t>
      </w:r>
      <w:r w:rsidRPr="52103CC6">
        <w:rPr>
          <w:rFonts w:eastAsia="Lucida Sans Unicode"/>
          <w:color w:val="auto"/>
          <w:sz w:val="21"/>
          <w:szCs w:val="21"/>
        </w:rPr>
        <w:t>actual reported expenditure for 2023/24 and earlier years.</w:t>
      </w:r>
    </w:p>
    <w:p w14:paraId="38659581" w14:textId="6E2F0E58" w:rsidR="0002659E" w:rsidRDefault="0002659E" w:rsidP="0002659E">
      <w:pPr>
        <w:rPr>
          <w:rFonts w:eastAsia="Segoe UI"/>
        </w:rPr>
      </w:pPr>
      <w:r w:rsidRPr="00324382">
        <w:rPr>
          <w:rFonts w:eastAsia="Segoe UI"/>
        </w:rPr>
        <w:t xml:space="preserve">DIA has estimated current player expenditure using a variety of sources of information, including its </w:t>
      </w:r>
      <w:r w:rsidR="48564C41" w:rsidRPr="32885753">
        <w:rPr>
          <w:rFonts w:eastAsia="Segoe UI"/>
        </w:rPr>
        <w:t>C</w:t>
      </w:r>
      <w:r w:rsidRPr="32885753">
        <w:rPr>
          <w:rFonts w:eastAsia="Segoe UI"/>
        </w:rPr>
        <w:t>lass</w:t>
      </w:r>
      <w:r w:rsidRPr="00324382">
        <w:rPr>
          <w:rFonts w:eastAsia="Segoe UI"/>
        </w:rPr>
        <w:t xml:space="preserve"> 4 electronic monitoring system (EMS), gambling operators’ annual and half-yearly reports and information from Inland Revenue. Other data on gambling expenditure is available on DIA’s website (</w:t>
      </w:r>
      <w:hyperlink r:id="rId43">
        <w:r w:rsidRPr="6E8A898F">
          <w:rPr>
            <w:rStyle w:val="Hyperlink"/>
            <w:rFonts w:eastAsia="Segoe UI" w:cstheme="minorBidi"/>
          </w:rPr>
          <w:t>dia.govt.nz</w:t>
        </w:r>
      </w:hyperlink>
      <w:r w:rsidRPr="00324382">
        <w:rPr>
          <w:rFonts w:eastAsia="Segoe UI"/>
        </w:rPr>
        <w:t xml:space="preserve">). </w:t>
      </w:r>
    </w:p>
    <w:p w14:paraId="7A060F14" w14:textId="77777777" w:rsidR="0002659E" w:rsidRDefault="0002659E" w:rsidP="0002659E">
      <w:pPr>
        <w:pStyle w:val="Heading2"/>
      </w:pPr>
      <w:bookmarkStart w:id="39" w:name="_Toc197534211"/>
      <w:r w:rsidRPr="3181C03E">
        <w:t>(B)</w:t>
      </w:r>
      <w:r>
        <w:t xml:space="preserve"> Customer p</w:t>
      </w:r>
      <w:r w:rsidRPr="3181C03E">
        <w:t>resentations</w:t>
      </w:r>
      <w:bookmarkEnd w:id="39"/>
      <w:r w:rsidRPr="3181C03E">
        <w:t xml:space="preserve"> </w:t>
      </w:r>
    </w:p>
    <w:p w14:paraId="264CE314" w14:textId="0C8F86BA" w:rsidR="00B26380" w:rsidRDefault="0002659E" w:rsidP="52103CC6">
      <w:pPr>
        <w:rPr>
          <w:rFonts w:eastAsia="Segoe UI"/>
        </w:rPr>
      </w:pPr>
      <w:r w:rsidRPr="52103CC6">
        <w:rPr>
          <w:rFonts w:eastAsia="Segoe UI"/>
        </w:rPr>
        <w:t xml:space="preserve">Each sector’s share of customer presentations is factored into the levy calculations. The formula in the Act requires the levy rate calculation to take into account the latest, most reliable and most appropriate sources of information available to the Ministry on client presentations to </w:t>
      </w:r>
      <w:r w:rsidR="00772204" w:rsidRPr="52103CC6">
        <w:rPr>
          <w:rFonts w:eastAsia="Segoe UI"/>
        </w:rPr>
        <w:t xml:space="preserve">gambling harm </w:t>
      </w:r>
      <w:r w:rsidR="008C3E50" w:rsidRPr="52103CC6">
        <w:rPr>
          <w:rFonts w:eastAsia="Segoe UI"/>
        </w:rPr>
        <w:t xml:space="preserve">treatment </w:t>
      </w:r>
      <w:r w:rsidRPr="52103CC6">
        <w:rPr>
          <w:rFonts w:eastAsia="Segoe UI"/>
        </w:rPr>
        <w:t>service</w:t>
      </w:r>
      <w:r w:rsidR="00B26380" w:rsidRPr="52103CC6">
        <w:rPr>
          <w:rFonts w:eastAsia="Segoe UI"/>
        </w:rPr>
        <w:t>s,</w:t>
      </w:r>
      <w:r w:rsidR="00B26380" w:rsidRPr="52103CC6">
        <w:rPr>
          <w:rFonts w:eastAsia="Lucida Sans Unicode"/>
        </w:rPr>
        <w:t xml:space="preserve"> that can be attributed to a gambling sector required to pay the levy.</w:t>
      </w:r>
    </w:p>
    <w:p w14:paraId="0E231373" w14:textId="025C49F1" w:rsidR="00B26380" w:rsidRDefault="00B26380" w:rsidP="00B26380">
      <w:pPr>
        <w:rPr>
          <w:rFonts w:eastAsia="Segoe UI"/>
        </w:rPr>
      </w:pPr>
    </w:p>
    <w:p w14:paraId="09B5A571" w14:textId="182B6843" w:rsidR="0002659E" w:rsidRDefault="0002659E" w:rsidP="52103CC6">
      <w:pPr>
        <w:rPr>
          <w:rFonts w:eastAsia="Segoe UI"/>
        </w:rPr>
      </w:pPr>
      <w:r w:rsidRPr="003262C8">
        <w:rPr>
          <w:rFonts w:eastAsia="Segoe UI"/>
        </w:rPr>
        <w:t>From 1 July 2023</w:t>
      </w:r>
      <w:r>
        <w:rPr>
          <w:rFonts w:eastAsia="Segoe UI"/>
        </w:rPr>
        <w:t>,</w:t>
      </w:r>
      <w:r w:rsidRPr="003262C8">
        <w:rPr>
          <w:rFonts w:eastAsia="Segoe UI"/>
        </w:rPr>
        <w:t xml:space="preserve"> the Ministry has relied on data collected and reported by Health New Zealand</w:t>
      </w:r>
      <w:r>
        <w:rPr>
          <w:rFonts w:eastAsia="Segoe UI"/>
        </w:rPr>
        <w:t>.</w:t>
      </w:r>
      <w:r w:rsidR="00E04F25">
        <w:rPr>
          <w:rFonts w:eastAsia="Segoe UI"/>
        </w:rPr>
        <w:t xml:space="preserve">  </w:t>
      </w:r>
      <w:r w:rsidRPr="52103CC6">
        <w:rPr>
          <w:rFonts w:eastAsia="Segoe UI"/>
        </w:rPr>
        <w:t>The presentation figures used in the levy calculations described below were generated from data collected from psychosocial intervention service providers. The figures relate to all clients who received a full, facilitation or follow-up intervention session during the 12 months from 1 January 2023 to 31 December 2023.  Each qualifying client counts as one presentation for the specified period.</w:t>
      </w:r>
    </w:p>
    <w:p w14:paraId="1898A80F" w14:textId="77777777" w:rsidR="0002659E" w:rsidRDefault="0002659E" w:rsidP="0002659E">
      <w:pPr>
        <w:rPr>
          <w:rFonts w:eastAsia="Segoe UI"/>
        </w:rPr>
      </w:pPr>
    </w:p>
    <w:p w14:paraId="6C5A4826" w14:textId="544B8B5C" w:rsidR="00E04F25" w:rsidRDefault="0002659E" w:rsidP="52103CC6">
      <w:pPr>
        <w:rPr>
          <w:rFonts w:eastAsia="Segoe UI"/>
        </w:rPr>
      </w:pPr>
      <w:r w:rsidRPr="52103CC6">
        <w:rPr>
          <w:rFonts w:eastAsia="Segoe UI"/>
        </w:rPr>
        <w:t xml:space="preserve">These figures exclude brief screening interventions and primary problem gambling modes (PPGM) in gambling sectors that are not subject to the levy (although these are </w:t>
      </w:r>
      <w:r w:rsidRPr="52103CC6">
        <w:rPr>
          <w:rFonts w:eastAsia="Segoe UI"/>
        </w:rPr>
        <w:lastRenderedPageBreak/>
        <w:t>recorded). ‘Brief interventions’ essentially means short assessments for problem gambling carried out in non-clinical settings. They are excluded because they are considered unrepresentative of a gambling sector. This is because a sector’s share of brief screening interventions will vary depending on the settings in which service providers decide to undertake them.</w:t>
      </w:r>
      <w:r w:rsidR="00E04F25">
        <w:rPr>
          <w:rFonts w:eastAsia="Segoe UI"/>
        </w:rPr>
        <w:t xml:space="preserve"> </w:t>
      </w:r>
    </w:p>
    <w:p w14:paraId="716C937A" w14:textId="77777777" w:rsidR="00E04F25" w:rsidRDefault="00E04F25" w:rsidP="52103CC6">
      <w:pPr>
        <w:rPr>
          <w:rFonts w:eastAsia="Segoe UI"/>
        </w:rPr>
      </w:pPr>
    </w:p>
    <w:p w14:paraId="33741048" w14:textId="02375F36" w:rsidR="0002659E" w:rsidRDefault="00E04F25" w:rsidP="52103CC6">
      <w:pPr>
        <w:rPr>
          <w:rFonts w:eastAsia="Segoe UI"/>
        </w:rPr>
      </w:pPr>
      <w:r>
        <w:rPr>
          <w:rFonts w:eastAsia="Segoe UI"/>
        </w:rPr>
        <w:t xml:space="preserve">It is important to note service records show a similar number of people attend ‘brief interventions’ as present for full treatment.  </w:t>
      </w:r>
    </w:p>
    <w:p w14:paraId="06A162EA" w14:textId="77777777" w:rsidR="0002659E" w:rsidRDefault="0002659E" w:rsidP="0002659E">
      <w:pPr>
        <w:rPr>
          <w:rFonts w:eastAsia="Segoe UI"/>
        </w:rPr>
      </w:pPr>
    </w:p>
    <w:p w14:paraId="1247A3B9" w14:textId="1FD0BF60" w:rsidR="00A42E07" w:rsidRDefault="00A42E07" w:rsidP="0002659E">
      <w:pPr>
        <w:rPr>
          <w:rFonts w:eastAsia="Segoe UI"/>
        </w:rPr>
      </w:pPr>
      <w:r>
        <w:rPr>
          <w:rFonts w:eastAsia="Segoe UI"/>
        </w:rPr>
        <w:t xml:space="preserve">As noted in the proposals document, due to a combination of newly commissioned service providers and difficulty using the dated CLIC collection system, there was a data collection gap in 2023/24. While this did not appear to distort sector shares of presentations </w:t>
      </w:r>
      <w:r w:rsidR="005330DD">
        <w:rPr>
          <w:rFonts w:eastAsia="Segoe UI"/>
        </w:rPr>
        <w:t>Health New Zealand</w:t>
      </w:r>
      <w:r>
        <w:rPr>
          <w:rFonts w:eastAsia="Segoe UI"/>
        </w:rPr>
        <w:t xml:space="preserve"> advises that the calendar 2023 data was the most complete and reliable available for all four sectors. </w:t>
      </w:r>
      <w:r w:rsidR="0010689A">
        <w:rPr>
          <w:rFonts w:eastAsia="Segoe UI"/>
        </w:rPr>
        <w:t>Accordingly,</w:t>
      </w:r>
      <w:r>
        <w:rPr>
          <w:rFonts w:eastAsia="Segoe UI"/>
        </w:rPr>
        <w:t xml:space="preserve"> the Ministry has used these records to calculat</w:t>
      </w:r>
      <w:r w:rsidR="005330DD">
        <w:rPr>
          <w:rFonts w:eastAsia="Segoe UI"/>
        </w:rPr>
        <w:t>e</w:t>
      </w:r>
      <w:r>
        <w:rPr>
          <w:rFonts w:eastAsia="Segoe UI"/>
        </w:rPr>
        <w:t xml:space="preserve"> each sector’s share of presentations.</w:t>
      </w:r>
    </w:p>
    <w:p w14:paraId="66542A51" w14:textId="77777777" w:rsidR="0002659E" w:rsidRPr="00FE59A8" w:rsidRDefault="0002659E" w:rsidP="00505E23">
      <w:pPr>
        <w:rPr>
          <w:rFonts w:eastAsia="Segoe UI"/>
        </w:rPr>
      </w:pPr>
    </w:p>
    <w:p w14:paraId="45E85093" w14:textId="369CDD90" w:rsidR="0002659E" w:rsidRDefault="0002659E" w:rsidP="52103CC6">
      <w:pPr>
        <w:rPr>
          <w:rFonts w:eastAsia="Segoe UI"/>
        </w:rPr>
      </w:pPr>
      <w:r w:rsidRPr="52103CC6">
        <w:rPr>
          <w:rFonts w:eastAsia="Segoe UI"/>
        </w:rPr>
        <w:t>Other than the data collection gap noted above there has been no changes to the way in which we record or weight PPGMs since the last levy period. As previous consultation documents have discussed the meaning of PPGMs at length, we do not intend to repeat that detail in this document but can provide an in-depth description if required.</w:t>
      </w:r>
    </w:p>
    <w:p w14:paraId="2BB07D9D" w14:textId="77777777" w:rsidR="0002659E" w:rsidRDefault="0002659E" w:rsidP="0002659E">
      <w:pPr>
        <w:pStyle w:val="Heading2"/>
      </w:pPr>
      <w:bookmarkStart w:id="40" w:name="_Toc197534212"/>
      <w:r w:rsidRPr="3181C03E">
        <w:t>(C)</w:t>
      </w:r>
      <w:r>
        <w:t xml:space="preserve"> </w:t>
      </w:r>
      <w:r w:rsidRPr="3181C03E">
        <w:t>The funding requirement</w:t>
      </w:r>
      <w:bookmarkEnd w:id="40"/>
      <w:r w:rsidRPr="3181C03E">
        <w:t xml:space="preserve"> </w:t>
      </w:r>
    </w:p>
    <w:p w14:paraId="73ECBCDE" w14:textId="2C4DC342" w:rsidR="00782F10" w:rsidRPr="007C18BE" w:rsidRDefault="0002659E" w:rsidP="52103CC6">
      <w:pPr>
        <w:rPr>
          <w:rFonts w:eastAsia="Segoe UI" w:cstheme="minorBidi"/>
        </w:rPr>
      </w:pPr>
      <w:r w:rsidRPr="52103CC6">
        <w:rPr>
          <w:rFonts w:eastAsia="Segoe UI" w:cstheme="minorBidi"/>
        </w:rPr>
        <w:t xml:space="preserve">The funding requirement represented by </w:t>
      </w:r>
      <w:r w:rsidRPr="52103CC6">
        <w:t>C</w:t>
      </w:r>
      <w:r w:rsidRPr="52103CC6">
        <w:rPr>
          <w:rFonts w:eastAsia="Segoe UI" w:cstheme="minorBidi"/>
        </w:rPr>
        <w:t xml:space="preserve"> in the formula is the total cost of the Strategy for 2025/26 to 2027/28, which the Ministry </w:t>
      </w:r>
      <w:r w:rsidRPr="007C18BE">
        <w:rPr>
          <w:rFonts w:eastAsia="Segoe UI" w:cstheme="minorBidi"/>
        </w:rPr>
        <w:t>estimates as $</w:t>
      </w:r>
      <w:r w:rsidR="00585BDE" w:rsidRPr="007C18BE">
        <w:rPr>
          <w:rFonts w:eastAsia="Segoe UI" w:cstheme="minorBidi"/>
        </w:rPr>
        <w:t>81.358</w:t>
      </w:r>
      <w:r w:rsidRPr="007C18BE">
        <w:rPr>
          <w:rFonts w:eastAsia="Segoe UI" w:cstheme="minorBidi"/>
        </w:rPr>
        <w:t xml:space="preserve"> million. This calculation is the first since Health New Zealand was established, and accordingly, the total costs includes both Health New Zealand and Ministry costs. </w:t>
      </w:r>
    </w:p>
    <w:p w14:paraId="2A187E90" w14:textId="77777777" w:rsidR="00782F10" w:rsidRPr="007C18BE" w:rsidRDefault="00782F10" w:rsidP="0002659E">
      <w:pPr>
        <w:rPr>
          <w:rFonts w:eastAsia="Segoe UI" w:cstheme="minorHAnsi"/>
        </w:rPr>
      </w:pPr>
    </w:p>
    <w:p w14:paraId="2CCFB066" w14:textId="4E310C4B" w:rsidR="0002659E" w:rsidRPr="00347CBC" w:rsidRDefault="0002659E" w:rsidP="52103CC6">
      <w:pPr>
        <w:rPr>
          <w:rFonts w:cstheme="minorBidi"/>
        </w:rPr>
      </w:pPr>
      <w:r w:rsidRPr="007C18BE">
        <w:rPr>
          <w:rFonts w:eastAsia="Segoe UI" w:cstheme="minorBidi"/>
        </w:rPr>
        <w:t xml:space="preserve">The service plan described in </w:t>
      </w:r>
      <w:r w:rsidRPr="007C18BE">
        <w:t>the main consultation document</w:t>
      </w:r>
      <w:r w:rsidRPr="007C18BE">
        <w:rPr>
          <w:rFonts w:eastAsia="Segoe UI" w:cstheme="minorBidi"/>
        </w:rPr>
        <w:t xml:space="preserve"> and Appendix Four above, sets out details about the $</w:t>
      </w:r>
      <w:r w:rsidR="004C715F" w:rsidRPr="007C18BE">
        <w:rPr>
          <w:rFonts w:eastAsia="Segoe UI" w:cstheme="minorBidi"/>
        </w:rPr>
        <w:t>81.358</w:t>
      </w:r>
      <w:r w:rsidRPr="007C18BE">
        <w:rPr>
          <w:rFonts w:eastAsia="Segoe UI" w:cstheme="minorBidi"/>
        </w:rPr>
        <w:t xml:space="preserve"> million cost</w:t>
      </w:r>
      <w:r w:rsidRPr="52103CC6">
        <w:rPr>
          <w:rFonts w:eastAsia="Segoe UI" w:cstheme="minorBidi"/>
        </w:rPr>
        <w:t xml:space="preserve"> to provide and implement the Strategy.</w:t>
      </w:r>
      <w:r w:rsidR="00782F10" w:rsidRPr="52103CC6">
        <w:rPr>
          <w:rFonts w:eastAsia="Lucida Sans Unicode"/>
        </w:rPr>
        <w:t xml:space="preserve"> This amount is $</w:t>
      </w:r>
      <w:r w:rsidR="004C715F">
        <w:rPr>
          <w:rFonts w:eastAsia="Lucida Sans Unicode"/>
        </w:rPr>
        <w:t>5.235</w:t>
      </w:r>
      <w:r w:rsidR="00782F10" w:rsidRPr="52103CC6">
        <w:rPr>
          <w:rFonts w:eastAsia="Lucida Sans Unicode"/>
        </w:rPr>
        <w:t xml:space="preserve"> million more than for the last levy period. The reasons for this additional funding are discussed in the service plan</w:t>
      </w:r>
    </w:p>
    <w:p w14:paraId="36AF1405" w14:textId="77777777" w:rsidR="0002659E" w:rsidRDefault="0002659E" w:rsidP="0002659E">
      <w:pPr>
        <w:pStyle w:val="Heading2"/>
      </w:pPr>
      <w:bookmarkStart w:id="41" w:name="_Toc197534213"/>
      <w:r w:rsidRPr="3181C03E">
        <w:t>(D)</w:t>
      </w:r>
      <w:r>
        <w:t xml:space="preserve"> </w:t>
      </w:r>
      <w:r w:rsidRPr="3181C03E">
        <w:t>Forecast player expenditure</w:t>
      </w:r>
      <w:r w:rsidRPr="00BB7C0D">
        <w:rPr>
          <w:rStyle w:val="FootnoteReference"/>
          <w:sz w:val="24"/>
          <w:szCs w:val="24"/>
        </w:rPr>
        <w:footnoteReference w:id="51"/>
      </w:r>
      <w:bookmarkEnd w:id="41"/>
    </w:p>
    <w:p w14:paraId="759FCAEC" w14:textId="77777777" w:rsidR="0002659E" w:rsidRDefault="0002659E" w:rsidP="0002659E">
      <w:r w:rsidRPr="52103CC6">
        <w:t>The amounts represented by D in the formula are sector-by-sector forecasts of the amounts that DIA expects gamblers to spend on the gambling products of the four levy-paying gambling sectors in the period 2025/26 to 2027/28. The higher the forecast expenditure, the lower the levy rate necessary for a sector to pay its required contribution (as determined by the top line of the formula).</w:t>
      </w:r>
    </w:p>
    <w:p w14:paraId="0E38A80A" w14:textId="77777777" w:rsidR="0002659E" w:rsidRPr="00347CBC" w:rsidRDefault="0002659E" w:rsidP="0002659E"/>
    <w:p w14:paraId="2E93351E" w14:textId="16921EA1" w:rsidR="0002659E" w:rsidRDefault="0002659E" w:rsidP="52103CC6">
      <w:pPr>
        <w:rPr>
          <w:rFonts w:eastAsia="Segoe UI"/>
        </w:rPr>
      </w:pPr>
      <w:r w:rsidRPr="52103CC6">
        <w:rPr>
          <w:rFonts w:eastAsia="Segoe UI"/>
        </w:rPr>
        <w:t>As noted above, these forecasts by DIA considered the latest, most reliable and most appropriate sources of information on player expenditure, including its</w:t>
      </w:r>
      <w:r w:rsidR="00505E23">
        <w:rPr>
          <w:rFonts w:eastAsia="Segoe UI"/>
        </w:rPr>
        <w:t xml:space="preserve"> </w:t>
      </w:r>
      <w:r w:rsidRPr="52103CC6">
        <w:rPr>
          <w:rFonts w:eastAsia="Segoe UI"/>
        </w:rPr>
        <w:t xml:space="preserve">class 4 </w:t>
      </w:r>
      <w:r w:rsidR="00505E23">
        <w:rPr>
          <w:rFonts w:eastAsia="Segoe UI"/>
        </w:rPr>
        <w:t xml:space="preserve">electronic </w:t>
      </w:r>
      <w:r w:rsidR="004553DF">
        <w:rPr>
          <w:rFonts w:eastAsia="Segoe UI"/>
        </w:rPr>
        <w:t xml:space="preserve">monitoring system, </w:t>
      </w:r>
      <w:r w:rsidRPr="52103CC6">
        <w:rPr>
          <w:rFonts w:eastAsia="Segoe UI"/>
        </w:rPr>
        <w:t>gambling operators’ annual and half-yearly reports</w:t>
      </w:r>
      <w:r w:rsidR="00505E23">
        <w:rPr>
          <w:rFonts w:eastAsia="Segoe UI"/>
        </w:rPr>
        <w:t xml:space="preserve">, </w:t>
      </w:r>
      <w:r w:rsidR="00505E23">
        <w:rPr>
          <w:rFonts w:eastAsia="Segoe UI"/>
        </w:rPr>
        <w:lastRenderedPageBreak/>
        <w:t>statements of intent</w:t>
      </w:r>
      <w:r w:rsidRPr="52103CC6">
        <w:rPr>
          <w:rFonts w:eastAsia="Segoe UI"/>
        </w:rPr>
        <w:t xml:space="preserve"> and information from Inland Revenue. The reasoning behind the DIA forecast for each of the four sectors is </w:t>
      </w:r>
      <w:r w:rsidR="004553DF">
        <w:rPr>
          <w:rFonts w:eastAsia="Segoe UI"/>
        </w:rPr>
        <w:t xml:space="preserve">noted </w:t>
      </w:r>
      <w:r w:rsidRPr="52103CC6">
        <w:rPr>
          <w:rFonts w:eastAsia="Segoe UI"/>
        </w:rPr>
        <w:t>below.</w:t>
      </w:r>
      <w:r w:rsidRPr="52103CC6">
        <w:rPr>
          <w:rStyle w:val="FootnoteReference"/>
          <w:rFonts w:eastAsia="Segoe UI" w:cstheme="minorBidi"/>
        </w:rPr>
        <w:footnoteReference w:id="52"/>
      </w:r>
    </w:p>
    <w:p w14:paraId="60697D30" w14:textId="77777777" w:rsidR="0002659E" w:rsidRPr="00347CBC" w:rsidRDefault="0002659E" w:rsidP="0002659E"/>
    <w:p w14:paraId="49F48A9B" w14:textId="6E2AD7B4" w:rsidR="0002659E" w:rsidRPr="00347CBC" w:rsidRDefault="0002659E" w:rsidP="0002659E">
      <w:r w:rsidRPr="52103CC6">
        <w:rPr>
          <w:rFonts w:eastAsia="Segoe UI"/>
        </w:rPr>
        <w:t xml:space="preserve">Future changes in gambling regulation could have an impact on the levy rates and levy amount collected. These forecasts assume the current regulatory settings will remain and there is no significant shift in gambling expenditure patterns, for example, towards offshore online gambling. There may be changes in gambling expenditure as a result of future changes to the Act or regulations, for example, many </w:t>
      </w:r>
      <w:r w:rsidR="00782F10" w:rsidRPr="52103CC6">
        <w:rPr>
          <w:rFonts w:eastAsia="Segoe UI"/>
        </w:rPr>
        <w:t xml:space="preserve">submissions suggested </w:t>
      </w:r>
      <w:r w:rsidRPr="52103CC6">
        <w:rPr>
          <w:rFonts w:eastAsia="Segoe UI"/>
        </w:rPr>
        <w:t>there should be stronger regulatory control on class 4 gambling. Should there be changes to the Act or regulations, this could have an impact on expenditure. However, it is not possible to forecast the likely impact of any changes until the nature of any legislative or policy changes has been made clear.</w:t>
      </w:r>
    </w:p>
    <w:p w14:paraId="457632ED" w14:textId="135411E8" w:rsidR="0002659E" w:rsidRDefault="0002659E" w:rsidP="0002659E">
      <w:pPr>
        <w:pStyle w:val="Heading3"/>
      </w:pPr>
      <w:r w:rsidRPr="52103CC6">
        <w:t>Class 4 (Non-casino gaming machines)</w:t>
      </w:r>
    </w:p>
    <w:p w14:paraId="7E691935" w14:textId="7B7115F9" w:rsidR="004553DF" w:rsidRDefault="0002659E" w:rsidP="004553DF">
      <w:pPr>
        <w:pStyle w:val="Bullet-list"/>
        <w:widowControl w:val="0"/>
        <w:numPr>
          <w:ilvl w:val="0"/>
          <w:numId w:val="0"/>
        </w:numPr>
        <w:spacing w:before="120" w:after="0" w:line="240" w:lineRule="auto"/>
        <w:rPr>
          <w:rFonts w:asciiTheme="minorHAnsi" w:eastAsia="Segoe UI" w:hAnsiTheme="minorHAnsi" w:cstheme="minorHAnsi"/>
          <w:szCs w:val="22"/>
        </w:rPr>
      </w:pPr>
      <w:r w:rsidRPr="00AA4E79">
        <w:rPr>
          <w:rFonts w:asciiTheme="minorHAnsi" w:eastAsia="Segoe UI" w:hAnsiTheme="minorHAnsi" w:cstheme="minorHAnsi"/>
          <w:szCs w:val="22"/>
        </w:rPr>
        <w:t xml:space="preserve">The number of </w:t>
      </w:r>
      <w:r w:rsidR="289FE84B" w:rsidRPr="00AA4E79">
        <w:rPr>
          <w:rFonts w:asciiTheme="minorHAnsi" w:eastAsia="Segoe UI" w:hAnsiTheme="minorHAnsi" w:cstheme="minorHAnsi"/>
          <w:szCs w:val="22"/>
        </w:rPr>
        <w:t>C</w:t>
      </w:r>
      <w:r w:rsidRPr="00AA4E79">
        <w:rPr>
          <w:rFonts w:asciiTheme="minorHAnsi" w:eastAsia="Segoe UI" w:hAnsiTheme="minorHAnsi" w:cstheme="minorHAnsi"/>
          <w:szCs w:val="22"/>
        </w:rPr>
        <w:t xml:space="preserve">lass 4 machines in New Zealand has declined from 25,221 in 2003 to </w:t>
      </w:r>
      <w:r w:rsidR="004553DF" w:rsidRPr="00AA4E79">
        <w:rPr>
          <w:rFonts w:asciiTheme="minorHAnsi" w:hAnsiTheme="minorHAnsi" w:cstheme="minorHAnsi"/>
          <w:szCs w:val="22"/>
        </w:rPr>
        <w:t>13</w:t>
      </w:r>
      <w:r w:rsidR="00282598">
        <w:rPr>
          <w:rFonts w:asciiTheme="minorHAnsi" w:hAnsiTheme="minorHAnsi" w:cstheme="minorHAnsi"/>
          <w:szCs w:val="22"/>
        </w:rPr>
        <w:t>,</w:t>
      </w:r>
      <w:r w:rsidR="004553DF" w:rsidRPr="00AA4E79">
        <w:rPr>
          <w:rFonts w:asciiTheme="minorHAnsi" w:hAnsiTheme="minorHAnsi" w:cstheme="minorHAnsi"/>
          <w:szCs w:val="22"/>
        </w:rPr>
        <w:t>985 NCGMs</w:t>
      </w:r>
      <w:r w:rsidR="004553DF">
        <w:rPr>
          <w:rFonts w:asciiTheme="minorHAnsi" w:hAnsiTheme="minorHAnsi" w:cstheme="minorHAnsi"/>
          <w:szCs w:val="22"/>
        </w:rPr>
        <w:t xml:space="preserve"> at December </w:t>
      </w:r>
      <w:r w:rsidR="00ED61BD">
        <w:rPr>
          <w:rFonts w:asciiTheme="minorHAnsi" w:hAnsiTheme="minorHAnsi" w:cstheme="minorHAnsi"/>
          <w:szCs w:val="22"/>
        </w:rPr>
        <w:t>2024</w:t>
      </w:r>
      <w:r w:rsidR="004553DF">
        <w:rPr>
          <w:rFonts w:asciiTheme="minorHAnsi" w:hAnsiTheme="minorHAnsi" w:cstheme="minorHAnsi"/>
          <w:szCs w:val="22"/>
        </w:rPr>
        <w:t xml:space="preserve"> </w:t>
      </w:r>
      <w:r w:rsidR="004553DF" w:rsidRPr="00AA4E79">
        <w:rPr>
          <w:rFonts w:asciiTheme="minorHAnsi" w:hAnsiTheme="minorHAnsi" w:cstheme="minorHAnsi"/>
          <w:szCs w:val="22"/>
        </w:rPr>
        <w:t>in 977 licensed venues (pubs, clubs, and TAB venues).</w:t>
      </w:r>
      <w:r w:rsidR="004553DF" w:rsidRPr="00AA4E79">
        <w:rPr>
          <w:rStyle w:val="FootnoteReference"/>
          <w:rFonts w:asciiTheme="minorHAnsi" w:hAnsiTheme="minorHAnsi" w:cstheme="minorHAnsi"/>
          <w:szCs w:val="22"/>
        </w:rPr>
        <w:t xml:space="preserve"> </w:t>
      </w:r>
      <w:r w:rsidR="004553DF" w:rsidRPr="00AA4E79">
        <w:rPr>
          <w:rStyle w:val="FootnoteReference"/>
          <w:rFonts w:asciiTheme="minorHAnsi" w:hAnsiTheme="minorHAnsi" w:cstheme="minorHAnsi"/>
          <w:szCs w:val="22"/>
        </w:rPr>
        <w:footnoteReference w:id="53"/>
      </w:r>
      <w:r w:rsidR="004553DF" w:rsidRPr="00AA4E79">
        <w:rPr>
          <w:rFonts w:asciiTheme="minorHAnsi" w:hAnsiTheme="minorHAnsi" w:cstheme="minorHAnsi"/>
          <w:szCs w:val="22"/>
        </w:rPr>
        <w:t xml:space="preserve"> This reflects a trend of decline in numbers since 2003</w:t>
      </w:r>
      <w:r w:rsidR="004553DF">
        <w:rPr>
          <w:rFonts w:asciiTheme="minorHAnsi" w:eastAsia="Segoe UI" w:hAnsiTheme="minorHAnsi" w:cstheme="minorHAnsi"/>
          <w:szCs w:val="22"/>
        </w:rPr>
        <w:t>.</w:t>
      </w:r>
      <w:r w:rsidRPr="00AA4E79">
        <w:rPr>
          <w:rStyle w:val="FootnoteReference"/>
          <w:rFonts w:asciiTheme="minorHAnsi" w:eastAsia="Segoe UI" w:hAnsiTheme="minorHAnsi" w:cstheme="minorHAnsi"/>
          <w:szCs w:val="22"/>
        </w:rPr>
        <w:footnoteReference w:id="54"/>
      </w:r>
      <w:r w:rsidRPr="00AA4E79">
        <w:rPr>
          <w:rFonts w:asciiTheme="minorHAnsi" w:eastAsia="Segoe UI" w:hAnsiTheme="minorHAnsi" w:cstheme="minorHAnsi"/>
          <w:szCs w:val="22"/>
        </w:rPr>
        <w:t xml:space="preserve"> Expenditure on </w:t>
      </w:r>
      <w:r w:rsidR="235BA895" w:rsidRPr="00AA4E79">
        <w:rPr>
          <w:rFonts w:asciiTheme="minorHAnsi" w:eastAsia="Segoe UI" w:hAnsiTheme="minorHAnsi" w:cstheme="minorHAnsi"/>
          <w:szCs w:val="22"/>
        </w:rPr>
        <w:t>C</w:t>
      </w:r>
      <w:r w:rsidRPr="00AA4E79">
        <w:rPr>
          <w:rFonts w:asciiTheme="minorHAnsi" w:eastAsia="Segoe UI" w:hAnsiTheme="minorHAnsi" w:cstheme="minorHAnsi"/>
          <w:szCs w:val="22"/>
        </w:rPr>
        <w:t xml:space="preserve">lass 4 gaming machines also declined for several years but has seen yearly increases for most years since 2013/14. From a historical low of $806 million in 2013/14, expenditure increased steadily to $924 million in 2018/19. Since then, expenditure has fluctuated, reflecting the impacts of COVID-19 restrictions as </w:t>
      </w:r>
      <w:r w:rsidR="1D48C82C" w:rsidRPr="00AA4E79">
        <w:rPr>
          <w:rFonts w:asciiTheme="minorHAnsi" w:eastAsia="Segoe UI" w:hAnsiTheme="minorHAnsi" w:cstheme="minorHAnsi"/>
          <w:szCs w:val="22"/>
        </w:rPr>
        <w:t>C</w:t>
      </w:r>
      <w:r w:rsidRPr="00AA4E79">
        <w:rPr>
          <w:rFonts w:asciiTheme="minorHAnsi" w:eastAsia="Segoe UI" w:hAnsiTheme="minorHAnsi" w:cstheme="minorHAnsi"/>
          <w:szCs w:val="22"/>
        </w:rPr>
        <w:t xml:space="preserve">lass 4 venues were closed during the COVID-19 lockdown. </w:t>
      </w:r>
      <w:r w:rsidR="004553DF">
        <w:rPr>
          <w:rFonts w:asciiTheme="minorHAnsi" w:eastAsia="Segoe UI" w:hAnsiTheme="minorHAnsi" w:cstheme="minorHAnsi"/>
          <w:szCs w:val="22"/>
        </w:rPr>
        <w:t xml:space="preserve">That said, </w:t>
      </w:r>
      <w:r w:rsidR="009C6326">
        <w:rPr>
          <w:rFonts w:asciiTheme="minorHAnsi" w:eastAsia="Segoe UI" w:hAnsiTheme="minorHAnsi" w:cstheme="minorHAnsi"/>
          <w:szCs w:val="22"/>
        </w:rPr>
        <w:t xml:space="preserve">the last two years have seen record levels of player </w:t>
      </w:r>
      <w:r w:rsidR="004553DF">
        <w:rPr>
          <w:rFonts w:asciiTheme="minorHAnsi" w:eastAsia="Segoe UI" w:hAnsiTheme="minorHAnsi" w:cstheme="minorHAnsi"/>
          <w:szCs w:val="22"/>
        </w:rPr>
        <w:t xml:space="preserve">expenditure </w:t>
      </w:r>
      <w:r w:rsidR="009C6326">
        <w:rPr>
          <w:rFonts w:asciiTheme="minorHAnsi" w:eastAsia="Segoe UI" w:hAnsiTheme="minorHAnsi" w:cstheme="minorHAnsi"/>
          <w:szCs w:val="22"/>
        </w:rPr>
        <w:t>at</w:t>
      </w:r>
      <w:r w:rsidRPr="00AA4E79">
        <w:rPr>
          <w:rFonts w:asciiTheme="minorHAnsi" w:eastAsia="Segoe UI" w:hAnsiTheme="minorHAnsi" w:cstheme="minorHAnsi"/>
          <w:szCs w:val="22"/>
        </w:rPr>
        <w:t xml:space="preserve"> $1,070 million in 2022/23 and $1,037 million in 2023/24 (about 3% less than in 2022/23). </w:t>
      </w:r>
    </w:p>
    <w:p w14:paraId="628C8709" w14:textId="54D0EC4D" w:rsidR="0002659E" w:rsidRDefault="0002659E" w:rsidP="004553DF">
      <w:pPr>
        <w:pStyle w:val="Bullet-list"/>
        <w:widowControl w:val="0"/>
        <w:numPr>
          <w:ilvl w:val="0"/>
          <w:numId w:val="0"/>
        </w:numPr>
        <w:spacing w:before="120" w:after="0" w:line="240" w:lineRule="auto"/>
        <w:rPr>
          <w:rFonts w:eastAsia="Segoe UI" w:cstheme="minorBidi"/>
        </w:rPr>
      </w:pPr>
      <w:r w:rsidRPr="00AA4E79">
        <w:rPr>
          <w:rFonts w:asciiTheme="minorHAnsi" w:eastAsia="Segoe UI" w:hAnsiTheme="minorHAnsi" w:cstheme="minorHAnsi"/>
          <w:szCs w:val="22"/>
        </w:rPr>
        <w:t xml:space="preserve">DIA </w:t>
      </w:r>
      <w:r w:rsidR="006B710A" w:rsidRPr="00AA4E79">
        <w:rPr>
          <w:rFonts w:asciiTheme="minorHAnsi" w:eastAsia="Segoe UI" w:hAnsiTheme="minorHAnsi" w:cstheme="minorHAnsi"/>
          <w:szCs w:val="22"/>
        </w:rPr>
        <w:t xml:space="preserve">notes that annual falls in expenditure are inconsistent with the </w:t>
      </w:r>
      <w:r w:rsidR="00782F10" w:rsidRPr="00AA4E79">
        <w:rPr>
          <w:rFonts w:asciiTheme="minorHAnsi" w:eastAsia="Segoe UI" w:hAnsiTheme="minorHAnsi" w:cstheme="minorHAnsi"/>
          <w:szCs w:val="22"/>
        </w:rPr>
        <w:t>long-term</w:t>
      </w:r>
      <w:r w:rsidR="006B710A" w:rsidRPr="00AA4E79">
        <w:rPr>
          <w:rFonts w:asciiTheme="minorHAnsi" w:eastAsia="Segoe UI" w:hAnsiTheme="minorHAnsi" w:cstheme="minorHAnsi"/>
          <w:szCs w:val="22"/>
        </w:rPr>
        <w:t xml:space="preserve"> trend</w:t>
      </w:r>
      <w:r w:rsidR="00AC1772" w:rsidRPr="00AA4E79">
        <w:rPr>
          <w:rFonts w:asciiTheme="minorHAnsi" w:eastAsia="Segoe UI" w:hAnsiTheme="minorHAnsi" w:cstheme="minorHAnsi"/>
          <w:szCs w:val="22"/>
        </w:rPr>
        <w:t>s</w:t>
      </w:r>
      <w:r w:rsidR="006B710A" w:rsidRPr="00AA4E79">
        <w:rPr>
          <w:rFonts w:asciiTheme="minorHAnsi" w:eastAsia="Segoe UI" w:hAnsiTheme="minorHAnsi" w:cstheme="minorHAnsi"/>
          <w:szCs w:val="22"/>
        </w:rPr>
        <w:t xml:space="preserve"> and </w:t>
      </w:r>
      <w:r w:rsidR="00782F10" w:rsidRPr="00AA4E79">
        <w:rPr>
          <w:rFonts w:asciiTheme="minorHAnsi" w:eastAsia="Segoe UI" w:hAnsiTheme="minorHAnsi" w:cstheme="minorHAnsi"/>
          <w:szCs w:val="22"/>
        </w:rPr>
        <w:t xml:space="preserve">so </w:t>
      </w:r>
      <w:r w:rsidRPr="00AA4E79">
        <w:rPr>
          <w:rFonts w:asciiTheme="minorHAnsi" w:eastAsia="Segoe UI" w:hAnsiTheme="minorHAnsi" w:cstheme="minorHAnsi"/>
          <w:szCs w:val="22"/>
        </w:rPr>
        <w:t xml:space="preserve">forecasts a modest increase in expenditure over the </w:t>
      </w:r>
      <w:r w:rsidR="6DF4BF5E" w:rsidRPr="00AA4E79">
        <w:rPr>
          <w:rFonts w:asciiTheme="minorHAnsi" w:eastAsia="Segoe UI" w:hAnsiTheme="minorHAnsi" w:cstheme="minorHAnsi"/>
          <w:szCs w:val="22"/>
        </w:rPr>
        <w:t>S</w:t>
      </w:r>
      <w:r w:rsidRPr="00AA4E79">
        <w:rPr>
          <w:rFonts w:asciiTheme="minorHAnsi" w:eastAsia="Segoe UI" w:hAnsiTheme="minorHAnsi" w:cstheme="minorHAnsi"/>
          <w:szCs w:val="22"/>
        </w:rPr>
        <w:t>trategy period with small annual increases over the next three years. Some variation in expenditure from year to year is expected, but the size of that variation cannot be forecast in advance</w:t>
      </w:r>
      <w:r w:rsidRPr="004553DF">
        <w:rPr>
          <w:rFonts w:eastAsia="Segoe UI" w:cstheme="minorBidi"/>
        </w:rPr>
        <w:t>.</w:t>
      </w:r>
    </w:p>
    <w:p w14:paraId="5AFEF550" w14:textId="56991A43" w:rsidR="009C6326" w:rsidRPr="00AA4E79" w:rsidRDefault="009C6326" w:rsidP="009C6326">
      <w:pPr>
        <w:spacing w:before="100" w:beforeAutospacing="1" w:after="100" w:afterAutospacing="1"/>
        <w:rPr>
          <w:rFonts w:asciiTheme="minorHAnsi" w:eastAsia="Segoe UI" w:hAnsiTheme="minorHAnsi" w:cstheme="minorHAnsi"/>
          <w:sz w:val="22"/>
          <w:szCs w:val="22"/>
          <w:lang w:val="en-AU" w:eastAsia="en-US"/>
        </w:rPr>
      </w:pPr>
      <w:r w:rsidRPr="00AA4E79">
        <w:rPr>
          <w:rFonts w:asciiTheme="minorHAnsi" w:eastAsia="Segoe UI" w:hAnsiTheme="minorHAnsi" w:cstheme="minorHAnsi"/>
          <w:sz w:val="22"/>
          <w:szCs w:val="22"/>
          <w:lang w:val="en-AU" w:eastAsia="en-US"/>
        </w:rPr>
        <w:t xml:space="preserve">Within the NCGM sector, there is a trend for club expenditure continuing to decrease while non-club expenditure increases. </w:t>
      </w:r>
      <w:r w:rsidR="00F10F9A">
        <w:rPr>
          <w:rFonts w:asciiTheme="minorHAnsi" w:eastAsia="Segoe UI" w:hAnsiTheme="minorHAnsi" w:cstheme="minorHAnsi"/>
          <w:sz w:val="22"/>
          <w:szCs w:val="22"/>
          <w:lang w:val="en-AU" w:eastAsia="en-US"/>
        </w:rPr>
        <w:t xml:space="preserve">As at June 2024, </w:t>
      </w:r>
      <w:r w:rsidRPr="00AA4E79">
        <w:rPr>
          <w:rFonts w:asciiTheme="minorHAnsi" w:eastAsia="Segoe UI" w:hAnsiTheme="minorHAnsi" w:cstheme="minorHAnsi"/>
          <w:sz w:val="22"/>
          <w:szCs w:val="22"/>
          <w:lang w:val="en-AU" w:eastAsia="en-US"/>
        </w:rPr>
        <w:t>club</w:t>
      </w:r>
      <w:r w:rsidR="00F10F9A">
        <w:rPr>
          <w:rFonts w:asciiTheme="minorHAnsi" w:eastAsia="Segoe UI" w:hAnsiTheme="minorHAnsi" w:cstheme="minorHAnsi"/>
          <w:sz w:val="22"/>
          <w:szCs w:val="22"/>
          <w:lang w:val="en-AU" w:eastAsia="en-US"/>
        </w:rPr>
        <w:t>s accounted for 17% of the Class 4 sector venues but only 9.53</w:t>
      </w:r>
      <w:r w:rsidR="00AC2393">
        <w:rPr>
          <w:rFonts w:asciiTheme="minorHAnsi" w:eastAsia="Segoe UI" w:hAnsiTheme="minorHAnsi" w:cstheme="minorHAnsi"/>
          <w:sz w:val="22"/>
          <w:szCs w:val="22"/>
          <w:lang w:val="en-AU" w:eastAsia="en-US"/>
        </w:rPr>
        <w:t>%</w:t>
      </w:r>
      <w:r w:rsidRPr="00AA4E79">
        <w:rPr>
          <w:rFonts w:asciiTheme="minorHAnsi" w:eastAsia="Segoe UI" w:hAnsiTheme="minorHAnsi" w:cstheme="minorHAnsi"/>
          <w:sz w:val="22"/>
          <w:szCs w:val="22"/>
          <w:lang w:val="en-AU" w:eastAsia="en-US"/>
        </w:rPr>
        <w:t xml:space="preserve"> of </w:t>
      </w:r>
      <w:r w:rsidR="00F10F9A">
        <w:rPr>
          <w:rFonts w:asciiTheme="minorHAnsi" w:eastAsia="Segoe UI" w:hAnsiTheme="minorHAnsi" w:cstheme="minorHAnsi"/>
          <w:sz w:val="22"/>
          <w:szCs w:val="22"/>
          <w:lang w:val="en-AU" w:eastAsia="en-US"/>
        </w:rPr>
        <w:t xml:space="preserve">player </w:t>
      </w:r>
      <w:r w:rsidRPr="00AA4E79">
        <w:rPr>
          <w:rFonts w:asciiTheme="minorHAnsi" w:eastAsia="Segoe UI" w:hAnsiTheme="minorHAnsi" w:cstheme="minorHAnsi"/>
          <w:sz w:val="22"/>
          <w:szCs w:val="22"/>
          <w:lang w:val="en-AU" w:eastAsia="en-US"/>
        </w:rPr>
        <w:t>expenditure.</w:t>
      </w:r>
    </w:p>
    <w:p w14:paraId="44255569" w14:textId="2595D313" w:rsidR="0002659E" w:rsidRDefault="0002659E" w:rsidP="0002659E">
      <w:pPr>
        <w:pStyle w:val="Heading3"/>
      </w:pPr>
      <w:r w:rsidRPr="3181C03E">
        <w:t>Casinos</w:t>
      </w:r>
    </w:p>
    <w:p w14:paraId="674A819F" w14:textId="0E2F47D4" w:rsidR="0002659E" w:rsidRPr="00347CBC" w:rsidRDefault="00AC2393" w:rsidP="52103CC6">
      <w:pPr>
        <w:ind w:right="-143"/>
        <w:rPr>
          <w:rFonts w:eastAsia="Segoe UI"/>
        </w:rPr>
      </w:pPr>
      <w:r w:rsidRPr="00AA4E79">
        <w:rPr>
          <w:rFonts w:asciiTheme="minorHAnsi" w:eastAsia="Segoe UI" w:hAnsiTheme="minorHAnsi" w:cstheme="minorHAnsi"/>
          <w:sz w:val="22"/>
          <w:szCs w:val="22"/>
          <w:lang w:val="en-AU" w:eastAsia="en-US"/>
        </w:rPr>
        <w:t xml:space="preserve">Over recent years spending on casino gambling has fluctuated. </w:t>
      </w:r>
      <w:r w:rsidR="00C073E5">
        <w:rPr>
          <w:rFonts w:asciiTheme="minorHAnsi" w:eastAsia="Segoe UI" w:hAnsiTheme="minorHAnsi" w:cstheme="minorHAnsi"/>
          <w:sz w:val="22"/>
          <w:szCs w:val="22"/>
          <w:lang w:val="en-AU" w:eastAsia="en-US"/>
        </w:rPr>
        <w:t xml:space="preserve">DIA figures show </w:t>
      </w:r>
      <w:r w:rsidR="0002659E" w:rsidRPr="52103CC6">
        <w:rPr>
          <w:rFonts w:eastAsia="Segoe UI"/>
        </w:rPr>
        <w:t>expenditure of $559 million in 2020/21, $387 million in 2021/22 and $604 million in 2022/23</w:t>
      </w:r>
      <w:r w:rsidR="00C073E5">
        <w:rPr>
          <w:rFonts w:eastAsia="Segoe UI"/>
        </w:rPr>
        <w:t xml:space="preserve"> and $592 million in 2023/24</w:t>
      </w:r>
      <w:r w:rsidR="0002659E" w:rsidRPr="52103CC6">
        <w:rPr>
          <w:rStyle w:val="FootnoteReference"/>
          <w:rFonts w:eastAsia="Segoe UI" w:cstheme="minorBidi"/>
        </w:rPr>
        <w:footnoteReference w:id="55"/>
      </w:r>
      <w:r w:rsidR="0002659E" w:rsidRPr="52103CC6">
        <w:rPr>
          <w:rFonts w:eastAsia="Segoe UI"/>
        </w:rPr>
        <w:t>. Casino expenditure is impacted by variations in international tourist numbers, including ‘VIP’(high-stakes) gamblers. This was most noticeable in the 2021/22 year given the restrictions during that period due to COVID-19. DIA anticipates some growth in expenditure in this sector for 2024/25 to 2027/28, but its forecast is relatively conservative.</w:t>
      </w:r>
    </w:p>
    <w:p w14:paraId="305BA0DB" w14:textId="77777777" w:rsidR="0002659E" w:rsidRPr="00235C06" w:rsidRDefault="0002659E" w:rsidP="00235C06">
      <w:pPr>
        <w:pStyle w:val="Heading3"/>
        <w:spacing w:before="320"/>
      </w:pPr>
      <w:r w:rsidRPr="00235C06">
        <w:lastRenderedPageBreak/>
        <w:t>TAB NZ</w:t>
      </w:r>
    </w:p>
    <w:p w14:paraId="55A171CB" w14:textId="0739740F" w:rsidR="00E61A6B" w:rsidRDefault="0002659E" w:rsidP="005A02AA">
      <w:pPr>
        <w:rPr>
          <w:rFonts w:eastAsia="Segoe UI"/>
        </w:rPr>
      </w:pPr>
      <w:r w:rsidRPr="52103CC6">
        <w:rPr>
          <w:rFonts w:eastAsia="Segoe UI"/>
        </w:rPr>
        <w:t xml:space="preserve">Spending on TAB NZ products was relatively flat for some years, with a peak in 2017/18 of $350 million then a drop to $315 million in 2019/20. Spending in 2020/21 to </w:t>
      </w:r>
      <w:r w:rsidR="00C073E5" w:rsidRPr="52103CC6">
        <w:rPr>
          <w:rFonts w:eastAsia="Segoe UI"/>
        </w:rPr>
        <w:t>202</w:t>
      </w:r>
      <w:r w:rsidR="00C073E5">
        <w:rPr>
          <w:rFonts w:eastAsia="Segoe UI"/>
        </w:rPr>
        <w:t>3</w:t>
      </w:r>
      <w:r w:rsidRPr="52103CC6">
        <w:rPr>
          <w:rFonts w:eastAsia="Segoe UI"/>
        </w:rPr>
        <w:t>/</w:t>
      </w:r>
      <w:r w:rsidR="00C073E5" w:rsidRPr="52103CC6">
        <w:rPr>
          <w:rFonts w:eastAsia="Segoe UI"/>
        </w:rPr>
        <w:t>2</w:t>
      </w:r>
      <w:r w:rsidR="00C073E5">
        <w:rPr>
          <w:rFonts w:eastAsia="Segoe UI"/>
        </w:rPr>
        <w:t>4</w:t>
      </w:r>
      <w:r w:rsidR="00C073E5" w:rsidRPr="52103CC6">
        <w:rPr>
          <w:rFonts w:eastAsia="Segoe UI"/>
        </w:rPr>
        <w:t xml:space="preserve"> </w:t>
      </w:r>
      <w:r w:rsidRPr="52103CC6">
        <w:rPr>
          <w:rFonts w:eastAsia="Segoe UI"/>
        </w:rPr>
        <w:t xml:space="preserve">period </w:t>
      </w:r>
      <w:r w:rsidR="00C073E5">
        <w:rPr>
          <w:rFonts w:eastAsia="Segoe UI"/>
        </w:rPr>
        <w:t xml:space="preserve">has been relatively </w:t>
      </w:r>
      <w:r w:rsidRPr="52103CC6">
        <w:rPr>
          <w:rFonts w:eastAsia="Segoe UI"/>
        </w:rPr>
        <w:t>steady</w:t>
      </w:r>
      <w:r w:rsidR="00E61A6B">
        <w:rPr>
          <w:rFonts w:eastAsia="Segoe UI"/>
        </w:rPr>
        <w:t xml:space="preserve"> from a record high of </w:t>
      </w:r>
      <w:r w:rsidRPr="52103CC6">
        <w:rPr>
          <w:rFonts w:eastAsia="Segoe UI"/>
        </w:rPr>
        <w:t>$385 million in 2020/21, $380 million in 2021/22</w:t>
      </w:r>
      <w:r w:rsidR="00E61A6B">
        <w:rPr>
          <w:rFonts w:eastAsia="Segoe UI"/>
        </w:rPr>
        <w:t xml:space="preserve">, </w:t>
      </w:r>
      <w:r w:rsidRPr="52103CC6">
        <w:rPr>
          <w:rFonts w:eastAsia="Segoe UI"/>
        </w:rPr>
        <w:t>$376 million in 2022/23</w:t>
      </w:r>
      <w:r w:rsidR="00C073E5">
        <w:rPr>
          <w:rFonts w:eastAsia="Segoe UI"/>
        </w:rPr>
        <w:t xml:space="preserve"> and $371 million in 2023/24</w:t>
      </w:r>
      <w:r w:rsidRPr="52103CC6">
        <w:rPr>
          <w:rFonts w:eastAsia="Segoe UI"/>
        </w:rPr>
        <w:t xml:space="preserve">. </w:t>
      </w:r>
    </w:p>
    <w:p w14:paraId="7F20A944" w14:textId="77777777" w:rsidR="00E61A6B" w:rsidRDefault="00E61A6B" w:rsidP="005A02AA">
      <w:pPr>
        <w:rPr>
          <w:rFonts w:eastAsia="Segoe UI"/>
        </w:rPr>
      </w:pPr>
    </w:p>
    <w:p w14:paraId="4636C135" w14:textId="31F0D4CE" w:rsidR="0002659E" w:rsidRPr="00347CBC" w:rsidRDefault="0002659E" w:rsidP="005A02AA">
      <w:pPr>
        <w:rPr>
          <w:rFonts w:cstheme="minorBidi"/>
        </w:rPr>
      </w:pPr>
      <w:r w:rsidRPr="52103CC6">
        <w:rPr>
          <w:rFonts w:eastAsia="Segoe UI"/>
        </w:rPr>
        <w:t>DIA anticipates modest expenditure growth in the next 2024/25 to 2027/28 period</w:t>
      </w:r>
      <w:r w:rsidRPr="52103CC6">
        <w:rPr>
          <w:rStyle w:val="FootnoteReference"/>
          <w:rFonts w:eastAsia="Segoe UI" w:cstheme="minorBidi"/>
        </w:rPr>
        <w:footnoteReference w:id="56"/>
      </w:r>
      <w:r w:rsidRPr="52103CC6">
        <w:rPr>
          <w:rFonts w:eastAsia="Segoe UI"/>
        </w:rPr>
        <w:t>. Potential increases in expenditure due to technical innovations and product developments may be impacted by competition in the racing and sports betting market from offshore betting agencies.</w:t>
      </w:r>
    </w:p>
    <w:p w14:paraId="3D9EEB51" w14:textId="77777777" w:rsidR="0002659E" w:rsidRPr="00235C06" w:rsidRDefault="0002659E" w:rsidP="00235C06">
      <w:pPr>
        <w:pStyle w:val="Heading3"/>
        <w:spacing w:before="320"/>
      </w:pPr>
      <w:r w:rsidRPr="00235C06">
        <w:t>Lotto NZ</w:t>
      </w:r>
    </w:p>
    <w:p w14:paraId="4743F614" w14:textId="77777777" w:rsidR="00653F49" w:rsidRDefault="0002659E" w:rsidP="005A02AA">
      <w:pPr>
        <w:rPr>
          <w:rFonts w:eastAsia="Segoe UI"/>
        </w:rPr>
      </w:pPr>
      <w:r w:rsidRPr="52103CC6">
        <w:rPr>
          <w:rFonts w:eastAsia="Segoe UI"/>
        </w:rPr>
        <w:t xml:space="preserve">Spending growth on Lotto NZ products has been relatively high, but volatile, since 2005/06. This volatility appears to relate to the number of large jackpots in a year. </w:t>
      </w:r>
    </w:p>
    <w:p w14:paraId="3A8B52B1" w14:textId="77777777" w:rsidR="00653F49" w:rsidRDefault="00653F49" w:rsidP="005A02AA">
      <w:pPr>
        <w:rPr>
          <w:rFonts w:eastAsia="Segoe UI"/>
        </w:rPr>
      </w:pPr>
    </w:p>
    <w:p w14:paraId="1C828F5B" w14:textId="42260701" w:rsidR="00E61A6B" w:rsidRDefault="0002659E" w:rsidP="005A02AA">
      <w:pPr>
        <w:rPr>
          <w:rFonts w:eastAsia="Segoe UI"/>
        </w:rPr>
      </w:pPr>
      <w:r w:rsidRPr="52103CC6">
        <w:rPr>
          <w:rFonts w:eastAsia="Segoe UI"/>
        </w:rPr>
        <w:t>Strong growth has continued over recent years: DIA noted player expenditure of $694 million in 2020/21, $654 million in 2021/22 and $710 in 2022/23</w:t>
      </w:r>
      <w:r w:rsidR="00653F49">
        <w:rPr>
          <w:rFonts w:eastAsia="Segoe UI"/>
        </w:rPr>
        <w:t xml:space="preserve"> and $790 million in 2023/24 attributed to the unusually high number of jackpots in that year</w:t>
      </w:r>
      <w:r w:rsidRPr="52103CC6">
        <w:rPr>
          <w:rFonts w:eastAsia="Segoe UI"/>
        </w:rPr>
        <w:t xml:space="preserve">. The significant increase in 2019/20 and onwards has been largely attributed to the growth in the number of people playing MyLotto online games during and after the first COVID-19 lockdown. </w:t>
      </w:r>
    </w:p>
    <w:p w14:paraId="58353A4F" w14:textId="77777777" w:rsidR="00E61A6B" w:rsidRDefault="00E61A6B" w:rsidP="005A02AA">
      <w:pPr>
        <w:rPr>
          <w:rFonts w:eastAsia="Segoe UI"/>
        </w:rPr>
      </w:pPr>
    </w:p>
    <w:p w14:paraId="14B64CD5" w14:textId="6CA29B76" w:rsidR="0002659E" w:rsidRDefault="00471B1C" w:rsidP="005A02AA">
      <w:pPr>
        <w:rPr>
          <w:rFonts w:eastAsia="Segoe UI"/>
        </w:rPr>
      </w:pPr>
      <w:r>
        <w:rPr>
          <w:rFonts w:eastAsia="Segoe UI"/>
        </w:rPr>
        <w:t xml:space="preserve">Over the past three years Lotto online sales have grown to 44% of total sales, </w:t>
      </w:r>
      <w:r w:rsidR="00E61A6B">
        <w:rPr>
          <w:rFonts w:eastAsia="Segoe UI"/>
        </w:rPr>
        <w:t xml:space="preserve">and jackpot like growth in total sales </w:t>
      </w:r>
      <w:r>
        <w:rPr>
          <w:rFonts w:eastAsia="Segoe UI"/>
        </w:rPr>
        <w:t>supported by a retail network of 1200 outlets.</w:t>
      </w:r>
      <w:r>
        <w:rPr>
          <w:rStyle w:val="FootnoteReference"/>
          <w:rFonts w:eastAsia="Segoe UI"/>
        </w:rPr>
        <w:footnoteReference w:id="57"/>
      </w:r>
      <w:r>
        <w:rPr>
          <w:rFonts w:eastAsia="Segoe UI"/>
        </w:rPr>
        <w:t xml:space="preserve"> </w:t>
      </w:r>
      <w:r w:rsidR="00653F49">
        <w:rPr>
          <w:rFonts w:eastAsia="Segoe UI"/>
        </w:rPr>
        <w:t xml:space="preserve">Lotto </w:t>
      </w:r>
      <w:r>
        <w:rPr>
          <w:rFonts w:eastAsia="Segoe UI"/>
        </w:rPr>
        <w:t xml:space="preserve">NZ </w:t>
      </w:r>
      <w:r w:rsidR="0002659E" w:rsidRPr="52103CC6">
        <w:rPr>
          <w:rFonts w:eastAsia="Segoe UI"/>
        </w:rPr>
        <w:t xml:space="preserve">is also working to </w:t>
      </w:r>
      <w:r w:rsidR="00E61A6B">
        <w:rPr>
          <w:rFonts w:eastAsia="Segoe UI"/>
        </w:rPr>
        <w:t xml:space="preserve">continue to refresh and </w:t>
      </w:r>
      <w:r w:rsidR="0002659E" w:rsidRPr="52103CC6">
        <w:rPr>
          <w:rFonts w:eastAsia="Segoe UI"/>
        </w:rPr>
        <w:t xml:space="preserve">diversify its portfolio by introducing new games, like online bingo, to help mitigate fluctuations in spending on its lottery products. </w:t>
      </w:r>
    </w:p>
    <w:p w14:paraId="3532E9D7" w14:textId="77777777" w:rsidR="005A02AA" w:rsidRDefault="005A02AA" w:rsidP="005A02AA">
      <w:pPr>
        <w:rPr>
          <w:rFonts w:eastAsia="Segoe UI"/>
        </w:rPr>
      </w:pPr>
    </w:p>
    <w:p w14:paraId="30AE4904" w14:textId="7B0288B1" w:rsidR="0002659E" w:rsidRDefault="00471B1C" w:rsidP="005A02AA">
      <w:pPr>
        <w:rPr>
          <w:rFonts w:eastAsia="Segoe UI"/>
        </w:rPr>
      </w:pPr>
      <w:r>
        <w:t>E</w:t>
      </w:r>
      <w:r w:rsidR="0002659E" w:rsidRPr="00C55C23">
        <w:rPr>
          <w:rFonts w:eastAsia="Segoe UI"/>
        </w:rPr>
        <w:t xml:space="preserve">xpenditure forecasts by year and sector are shown in Table </w:t>
      </w:r>
      <w:r w:rsidR="0002659E">
        <w:rPr>
          <w:rFonts w:eastAsia="Segoe UI"/>
        </w:rPr>
        <w:t>A6.3</w:t>
      </w:r>
      <w:r w:rsidR="0002659E" w:rsidRPr="00C55C23">
        <w:rPr>
          <w:rFonts w:eastAsia="Segoe UI"/>
        </w:rPr>
        <w:t xml:space="preserve">. DIA forecasts </w:t>
      </w:r>
      <w:r w:rsidR="0002659E">
        <w:rPr>
          <w:rFonts w:eastAsia="Segoe UI"/>
        </w:rPr>
        <w:t xml:space="preserve">low but </w:t>
      </w:r>
      <w:r w:rsidR="0002659E" w:rsidRPr="00C55C23">
        <w:rPr>
          <w:rFonts w:eastAsia="Segoe UI"/>
        </w:rPr>
        <w:t>steady expenditure growth in all sectors.</w:t>
      </w:r>
    </w:p>
    <w:p w14:paraId="426BD837" w14:textId="77777777" w:rsidR="00235C06" w:rsidRPr="00C55C23" w:rsidRDefault="00235C06" w:rsidP="0002659E"/>
    <w:p w14:paraId="2933FCCA" w14:textId="77777777" w:rsidR="0002659E" w:rsidRPr="00C55C23" w:rsidRDefault="0002659E" w:rsidP="0002659E">
      <w:pPr>
        <w:pStyle w:val="Table"/>
      </w:pPr>
      <w:r w:rsidRPr="00C55C23">
        <w:rPr>
          <w:rFonts w:eastAsia="Segoe UI"/>
          <w:sz w:val="21"/>
          <w:szCs w:val="21"/>
        </w:rPr>
        <w:t xml:space="preserve"> </w:t>
      </w:r>
      <w:bookmarkStart w:id="42" w:name="_Toc197534220"/>
      <w:r w:rsidRPr="00C55C23">
        <w:rPr>
          <w:rFonts w:eastAsia="Segoe UI"/>
        </w:rPr>
        <w:t xml:space="preserve">Table </w:t>
      </w:r>
      <w:r>
        <w:rPr>
          <w:rFonts w:eastAsia="Segoe UI"/>
        </w:rPr>
        <w:t>A6.3</w:t>
      </w:r>
      <w:r w:rsidRPr="00C55C23">
        <w:rPr>
          <w:rFonts w:eastAsia="Segoe UI"/>
        </w:rPr>
        <w:t>: Forecast expenditure by sector (GST-inclusive), 2025/26 to 2027/28</w:t>
      </w:r>
      <w:bookmarkEnd w:id="42"/>
    </w:p>
    <w:tbl>
      <w:tblPr>
        <w:tblW w:w="8020" w:type="dxa"/>
        <w:tblInd w:w="60" w:type="dxa"/>
        <w:tblBorders>
          <w:top w:val="single" w:sz="8" w:space="0" w:color="BFBFBF" w:themeColor="background1" w:themeShade="BF"/>
          <w:bottom w:val="single" w:sz="8" w:space="0" w:color="BFBFBF" w:themeColor="background1" w:themeShade="BF"/>
          <w:insideH w:val="single" w:sz="8" w:space="0" w:color="BFBFBF" w:themeColor="background1" w:themeShade="BF"/>
        </w:tblBorders>
        <w:tblLayout w:type="fixed"/>
        <w:tblLook w:val="06A0" w:firstRow="1" w:lastRow="0" w:firstColumn="1" w:lastColumn="0" w:noHBand="1" w:noVBand="1"/>
      </w:tblPr>
      <w:tblGrid>
        <w:gridCol w:w="2427"/>
        <w:gridCol w:w="1398"/>
        <w:gridCol w:w="1398"/>
        <w:gridCol w:w="1398"/>
        <w:gridCol w:w="1399"/>
      </w:tblGrid>
      <w:tr w:rsidR="0002659E" w:rsidRPr="00BB5615" w14:paraId="077740FE" w14:textId="77777777" w:rsidTr="005A02AA">
        <w:tc>
          <w:tcPr>
            <w:tcW w:w="2427" w:type="dxa"/>
            <w:tcBorders>
              <w:top w:val="nil"/>
              <w:bottom w:val="nil"/>
            </w:tcBorders>
            <w:shd w:val="clear" w:color="auto" w:fill="D9D9D9" w:themeFill="background1" w:themeFillShade="D9"/>
            <w:tcMar>
              <w:left w:w="57" w:type="dxa"/>
              <w:right w:w="57" w:type="dxa"/>
            </w:tcMar>
          </w:tcPr>
          <w:p w14:paraId="4A759F28" w14:textId="77777777" w:rsidR="0002659E" w:rsidRPr="00BB5615" w:rsidRDefault="0002659E">
            <w:pPr>
              <w:pStyle w:val="TableText"/>
              <w:rPr>
                <w:b/>
                <w:bCs/>
              </w:rPr>
            </w:pPr>
            <w:r w:rsidRPr="00BB5615">
              <w:rPr>
                <w:rFonts w:eastAsia="Segoe UI"/>
                <w:b/>
                <w:bCs/>
              </w:rPr>
              <w:t>Forecast expenditure</w:t>
            </w:r>
          </w:p>
        </w:tc>
        <w:tc>
          <w:tcPr>
            <w:tcW w:w="1398" w:type="dxa"/>
            <w:tcBorders>
              <w:top w:val="nil"/>
              <w:bottom w:val="nil"/>
            </w:tcBorders>
            <w:shd w:val="clear" w:color="auto" w:fill="D9D9D9" w:themeFill="background1" w:themeFillShade="D9"/>
            <w:tcMar>
              <w:left w:w="57" w:type="dxa"/>
              <w:right w:w="57" w:type="dxa"/>
            </w:tcMar>
          </w:tcPr>
          <w:p w14:paraId="1D67B034" w14:textId="77777777" w:rsidR="0002659E" w:rsidRPr="00BB5615" w:rsidRDefault="0002659E" w:rsidP="005A02AA">
            <w:pPr>
              <w:pStyle w:val="TableText"/>
              <w:jc w:val="right"/>
              <w:rPr>
                <w:b/>
                <w:bCs/>
              </w:rPr>
            </w:pPr>
            <w:r w:rsidRPr="00BB5615">
              <w:rPr>
                <w:rFonts w:eastAsia="Segoe UI"/>
                <w:b/>
                <w:bCs/>
              </w:rPr>
              <w:t>Class 4</w:t>
            </w:r>
          </w:p>
        </w:tc>
        <w:tc>
          <w:tcPr>
            <w:tcW w:w="1398" w:type="dxa"/>
            <w:tcBorders>
              <w:top w:val="nil"/>
              <w:bottom w:val="nil"/>
            </w:tcBorders>
            <w:shd w:val="clear" w:color="auto" w:fill="D9D9D9" w:themeFill="background1" w:themeFillShade="D9"/>
            <w:tcMar>
              <w:left w:w="108" w:type="dxa"/>
              <w:right w:w="108" w:type="dxa"/>
            </w:tcMar>
          </w:tcPr>
          <w:p w14:paraId="2DDF793B" w14:textId="77777777" w:rsidR="0002659E" w:rsidRPr="00BB5615" w:rsidRDefault="0002659E" w:rsidP="005A02AA">
            <w:pPr>
              <w:pStyle w:val="TableText"/>
              <w:jc w:val="right"/>
              <w:rPr>
                <w:b/>
                <w:bCs/>
              </w:rPr>
            </w:pPr>
            <w:r w:rsidRPr="00BB5615">
              <w:rPr>
                <w:rFonts w:eastAsia="Segoe UI"/>
                <w:b/>
                <w:bCs/>
              </w:rPr>
              <w:t>Casinos</w:t>
            </w:r>
          </w:p>
        </w:tc>
        <w:tc>
          <w:tcPr>
            <w:tcW w:w="1398" w:type="dxa"/>
            <w:tcBorders>
              <w:top w:val="nil"/>
              <w:bottom w:val="nil"/>
            </w:tcBorders>
            <w:shd w:val="clear" w:color="auto" w:fill="D9D9D9" w:themeFill="background1" w:themeFillShade="D9"/>
            <w:tcMar>
              <w:left w:w="108" w:type="dxa"/>
              <w:right w:w="108" w:type="dxa"/>
            </w:tcMar>
          </w:tcPr>
          <w:p w14:paraId="713AAB11" w14:textId="77777777" w:rsidR="0002659E" w:rsidRPr="00BB5615" w:rsidRDefault="0002659E" w:rsidP="005A02AA">
            <w:pPr>
              <w:pStyle w:val="TableText"/>
              <w:jc w:val="right"/>
              <w:rPr>
                <w:b/>
                <w:bCs/>
              </w:rPr>
            </w:pPr>
            <w:r w:rsidRPr="00BB5615">
              <w:rPr>
                <w:rFonts w:eastAsia="Segoe UI"/>
                <w:b/>
                <w:bCs/>
              </w:rPr>
              <w:t>TAB NZ</w:t>
            </w:r>
          </w:p>
        </w:tc>
        <w:tc>
          <w:tcPr>
            <w:tcW w:w="1399" w:type="dxa"/>
            <w:tcBorders>
              <w:top w:val="nil"/>
              <w:bottom w:val="nil"/>
            </w:tcBorders>
            <w:shd w:val="clear" w:color="auto" w:fill="D9D9D9" w:themeFill="background1" w:themeFillShade="D9"/>
            <w:tcMar>
              <w:left w:w="108" w:type="dxa"/>
              <w:right w:w="108" w:type="dxa"/>
            </w:tcMar>
          </w:tcPr>
          <w:p w14:paraId="72C194D2" w14:textId="77777777" w:rsidR="0002659E" w:rsidRPr="00BB5615" w:rsidRDefault="0002659E" w:rsidP="005A02AA">
            <w:pPr>
              <w:pStyle w:val="TableText"/>
              <w:jc w:val="right"/>
              <w:rPr>
                <w:b/>
                <w:bCs/>
              </w:rPr>
            </w:pPr>
            <w:r w:rsidRPr="00BB5615">
              <w:rPr>
                <w:rFonts w:eastAsia="Segoe UI"/>
                <w:b/>
                <w:bCs/>
              </w:rPr>
              <w:t>Lotto NZ</w:t>
            </w:r>
          </w:p>
        </w:tc>
      </w:tr>
      <w:tr w:rsidR="00471B1C" w14:paraId="3E579CB9" w14:textId="77777777" w:rsidTr="005A02AA">
        <w:tc>
          <w:tcPr>
            <w:tcW w:w="2427" w:type="dxa"/>
            <w:tcBorders>
              <w:top w:val="nil"/>
              <w:bottom w:val="single" w:sz="4" w:space="0" w:color="A6A6A6" w:themeColor="background1" w:themeShade="A6"/>
              <w:right w:val="nil"/>
            </w:tcBorders>
            <w:tcMar>
              <w:left w:w="57" w:type="dxa"/>
              <w:right w:w="57" w:type="dxa"/>
            </w:tcMar>
            <w:vAlign w:val="center"/>
          </w:tcPr>
          <w:p w14:paraId="0504F7C4" w14:textId="77777777" w:rsidR="00471B1C" w:rsidRPr="00C55C23" w:rsidRDefault="00471B1C" w:rsidP="00471B1C">
            <w:pPr>
              <w:pStyle w:val="TableText"/>
            </w:pPr>
            <w:r w:rsidRPr="00C55C23">
              <w:rPr>
                <w:rFonts w:eastAsia="Segoe UI"/>
              </w:rPr>
              <w:t>2025/26 ($m)</w:t>
            </w:r>
          </w:p>
        </w:tc>
        <w:tc>
          <w:tcPr>
            <w:tcW w:w="1398" w:type="dxa"/>
            <w:tcBorders>
              <w:top w:val="nil"/>
              <w:left w:val="nil"/>
              <w:bottom w:val="single" w:sz="4" w:space="0" w:color="A6A6A6" w:themeColor="background1" w:themeShade="A6"/>
              <w:right w:val="nil"/>
            </w:tcBorders>
            <w:shd w:val="clear" w:color="auto" w:fill="FFFFFF" w:themeFill="background1"/>
            <w:tcMar>
              <w:left w:w="57" w:type="dxa"/>
              <w:right w:w="57" w:type="dxa"/>
            </w:tcMar>
            <w:vAlign w:val="bottom"/>
          </w:tcPr>
          <w:p w14:paraId="2AA1C31E" w14:textId="2B42E8E3" w:rsidR="00471B1C" w:rsidRPr="00AA4E79" w:rsidRDefault="00471B1C" w:rsidP="005A02AA">
            <w:pPr>
              <w:pStyle w:val="TableText"/>
              <w:jc w:val="right"/>
              <w:rPr>
                <w:rFonts w:eastAsia="Segoe UI"/>
              </w:rPr>
            </w:pPr>
            <w:r w:rsidRPr="00AA4E79">
              <w:rPr>
                <w:rFonts w:eastAsia="Segoe UI"/>
              </w:rPr>
              <w:t>1085.05</w:t>
            </w:r>
          </w:p>
        </w:tc>
        <w:tc>
          <w:tcPr>
            <w:tcW w:w="1398" w:type="dxa"/>
            <w:tcBorders>
              <w:top w:val="nil"/>
              <w:left w:val="nil"/>
              <w:bottom w:val="single" w:sz="4" w:space="0" w:color="A6A6A6" w:themeColor="background1" w:themeShade="A6"/>
              <w:right w:val="nil"/>
            </w:tcBorders>
            <w:shd w:val="clear" w:color="auto" w:fill="FFFFFF" w:themeFill="background1"/>
            <w:tcMar>
              <w:left w:w="108" w:type="dxa"/>
              <w:right w:w="108" w:type="dxa"/>
            </w:tcMar>
            <w:vAlign w:val="bottom"/>
          </w:tcPr>
          <w:p w14:paraId="1AC7101F" w14:textId="40ED063C" w:rsidR="00471B1C" w:rsidRPr="00AA4E79" w:rsidRDefault="00471B1C" w:rsidP="005A02AA">
            <w:pPr>
              <w:pStyle w:val="TableText"/>
              <w:jc w:val="right"/>
              <w:rPr>
                <w:rFonts w:eastAsia="Segoe UI"/>
              </w:rPr>
            </w:pPr>
            <w:r w:rsidRPr="00AA4E79">
              <w:rPr>
                <w:rFonts w:eastAsia="Segoe UI"/>
              </w:rPr>
              <w:t>634.34</w:t>
            </w:r>
          </w:p>
        </w:tc>
        <w:tc>
          <w:tcPr>
            <w:tcW w:w="1398" w:type="dxa"/>
            <w:tcBorders>
              <w:top w:val="nil"/>
              <w:left w:val="nil"/>
              <w:bottom w:val="single" w:sz="4" w:space="0" w:color="A6A6A6" w:themeColor="background1" w:themeShade="A6"/>
              <w:right w:val="nil"/>
            </w:tcBorders>
            <w:shd w:val="clear" w:color="auto" w:fill="FFFFFF" w:themeFill="background1"/>
            <w:tcMar>
              <w:left w:w="108" w:type="dxa"/>
              <w:right w:w="108" w:type="dxa"/>
            </w:tcMar>
            <w:vAlign w:val="bottom"/>
          </w:tcPr>
          <w:p w14:paraId="61C22DE8" w14:textId="6015075C" w:rsidR="00471B1C" w:rsidRPr="00AA4E79" w:rsidRDefault="00471B1C" w:rsidP="005A02AA">
            <w:pPr>
              <w:pStyle w:val="TableText"/>
              <w:jc w:val="right"/>
              <w:rPr>
                <w:rFonts w:eastAsia="Segoe UI"/>
              </w:rPr>
            </w:pPr>
            <w:r w:rsidRPr="00AA4E79">
              <w:rPr>
                <w:rFonts w:eastAsia="Segoe UI"/>
              </w:rPr>
              <w:t>390.22</w:t>
            </w:r>
          </w:p>
        </w:tc>
        <w:tc>
          <w:tcPr>
            <w:tcW w:w="1399" w:type="dxa"/>
            <w:tcBorders>
              <w:top w:val="nil"/>
              <w:left w:val="nil"/>
              <w:bottom w:val="single" w:sz="4" w:space="0" w:color="A6A6A6" w:themeColor="background1" w:themeShade="A6"/>
              <w:right w:val="nil"/>
            </w:tcBorders>
            <w:shd w:val="clear" w:color="auto" w:fill="FFFFFF" w:themeFill="background1"/>
            <w:tcMar>
              <w:left w:w="108" w:type="dxa"/>
              <w:right w:w="108" w:type="dxa"/>
            </w:tcMar>
            <w:vAlign w:val="bottom"/>
          </w:tcPr>
          <w:p w14:paraId="71680368" w14:textId="21C82CEA" w:rsidR="00471B1C" w:rsidRPr="00AA4E79" w:rsidRDefault="00471B1C" w:rsidP="005A02AA">
            <w:pPr>
              <w:pStyle w:val="TableText"/>
              <w:jc w:val="right"/>
              <w:rPr>
                <w:rFonts w:eastAsia="Segoe UI"/>
              </w:rPr>
            </w:pPr>
            <w:r w:rsidRPr="00AA4E79">
              <w:rPr>
                <w:rFonts w:eastAsia="Segoe UI"/>
              </w:rPr>
              <w:t>733.00</w:t>
            </w:r>
          </w:p>
        </w:tc>
      </w:tr>
      <w:tr w:rsidR="00471B1C" w14:paraId="6A115CC3" w14:textId="77777777" w:rsidTr="005A02AA">
        <w:tc>
          <w:tcPr>
            <w:tcW w:w="2427" w:type="dxa"/>
            <w:tcBorders>
              <w:top w:val="single" w:sz="4" w:space="0" w:color="A6A6A6" w:themeColor="background1" w:themeShade="A6"/>
              <w:bottom w:val="single" w:sz="4" w:space="0" w:color="A6A6A6" w:themeColor="background1" w:themeShade="A6"/>
              <w:right w:val="nil"/>
            </w:tcBorders>
            <w:tcMar>
              <w:left w:w="57" w:type="dxa"/>
              <w:right w:w="57" w:type="dxa"/>
            </w:tcMar>
            <w:vAlign w:val="center"/>
          </w:tcPr>
          <w:p w14:paraId="42244D6F" w14:textId="77777777" w:rsidR="00471B1C" w:rsidRPr="00C55C23" w:rsidRDefault="00471B1C" w:rsidP="00471B1C">
            <w:pPr>
              <w:pStyle w:val="TableText"/>
            </w:pPr>
            <w:r w:rsidRPr="00C55C23">
              <w:rPr>
                <w:rFonts w:eastAsia="Segoe UI"/>
              </w:rPr>
              <w:t>2026/27 ($m)</w:t>
            </w:r>
          </w:p>
        </w:tc>
        <w:tc>
          <w:tcPr>
            <w:tcW w:w="139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Mar>
              <w:left w:w="57" w:type="dxa"/>
              <w:right w:w="57" w:type="dxa"/>
            </w:tcMar>
            <w:vAlign w:val="bottom"/>
          </w:tcPr>
          <w:p w14:paraId="05BB6834" w14:textId="176FD458" w:rsidR="00471B1C" w:rsidRPr="00AA4E79" w:rsidRDefault="00471B1C" w:rsidP="005A02AA">
            <w:pPr>
              <w:pStyle w:val="TableText"/>
              <w:jc w:val="right"/>
              <w:rPr>
                <w:rFonts w:eastAsia="Segoe UI"/>
              </w:rPr>
            </w:pPr>
            <w:r w:rsidRPr="00AA4E79">
              <w:rPr>
                <w:rFonts w:eastAsia="Segoe UI"/>
              </w:rPr>
              <w:t>1110.12</w:t>
            </w:r>
          </w:p>
        </w:tc>
        <w:tc>
          <w:tcPr>
            <w:tcW w:w="139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Mar>
              <w:left w:w="108" w:type="dxa"/>
              <w:right w:w="108" w:type="dxa"/>
            </w:tcMar>
            <w:vAlign w:val="bottom"/>
          </w:tcPr>
          <w:p w14:paraId="0199544F" w14:textId="3831E473" w:rsidR="00471B1C" w:rsidRPr="00AA4E79" w:rsidRDefault="00471B1C" w:rsidP="005A02AA">
            <w:pPr>
              <w:pStyle w:val="TableText"/>
              <w:jc w:val="right"/>
              <w:rPr>
                <w:rFonts w:eastAsia="Segoe UI"/>
              </w:rPr>
            </w:pPr>
            <w:r w:rsidRPr="00AA4E79">
              <w:rPr>
                <w:rFonts w:eastAsia="Segoe UI"/>
              </w:rPr>
              <w:t>656.39</w:t>
            </w:r>
          </w:p>
        </w:tc>
        <w:tc>
          <w:tcPr>
            <w:tcW w:w="139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Mar>
              <w:left w:w="108" w:type="dxa"/>
              <w:right w:w="108" w:type="dxa"/>
            </w:tcMar>
            <w:vAlign w:val="bottom"/>
          </w:tcPr>
          <w:p w14:paraId="7243FDC3" w14:textId="6D15D742" w:rsidR="00471B1C" w:rsidRPr="00AA4E79" w:rsidRDefault="00471B1C" w:rsidP="005A02AA">
            <w:pPr>
              <w:pStyle w:val="TableText"/>
              <w:jc w:val="right"/>
              <w:rPr>
                <w:rFonts w:eastAsia="Segoe UI"/>
              </w:rPr>
            </w:pPr>
            <w:r w:rsidRPr="00AA4E79">
              <w:rPr>
                <w:rFonts w:eastAsia="Segoe UI"/>
              </w:rPr>
              <w:t>400.03</w:t>
            </w:r>
          </w:p>
        </w:tc>
        <w:tc>
          <w:tcPr>
            <w:tcW w:w="1399"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Mar>
              <w:left w:w="108" w:type="dxa"/>
              <w:right w:w="108" w:type="dxa"/>
            </w:tcMar>
            <w:vAlign w:val="bottom"/>
          </w:tcPr>
          <w:p w14:paraId="356B2258" w14:textId="79EFE3C0" w:rsidR="00471B1C" w:rsidRPr="00AA4E79" w:rsidRDefault="00471B1C" w:rsidP="005A02AA">
            <w:pPr>
              <w:pStyle w:val="TableText"/>
              <w:jc w:val="right"/>
              <w:rPr>
                <w:rFonts w:eastAsia="Segoe UI"/>
              </w:rPr>
            </w:pPr>
            <w:r w:rsidRPr="00AA4E79">
              <w:rPr>
                <w:rFonts w:eastAsia="Segoe UI"/>
              </w:rPr>
              <w:t>779.00</w:t>
            </w:r>
          </w:p>
        </w:tc>
      </w:tr>
      <w:tr w:rsidR="00471B1C" w14:paraId="22173CBA" w14:textId="77777777" w:rsidTr="005A02AA">
        <w:tc>
          <w:tcPr>
            <w:tcW w:w="2427" w:type="dxa"/>
            <w:tcBorders>
              <w:top w:val="single" w:sz="4" w:space="0" w:color="A6A6A6" w:themeColor="background1" w:themeShade="A6"/>
              <w:bottom w:val="single" w:sz="4" w:space="0" w:color="A6A6A6" w:themeColor="background1" w:themeShade="A6"/>
              <w:right w:val="nil"/>
            </w:tcBorders>
            <w:tcMar>
              <w:left w:w="57" w:type="dxa"/>
              <w:right w:w="57" w:type="dxa"/>
            </w:tcMar>
            <w:vAlign w:val="center"/>
          </w:tcPr>
          <w:p w14:paraId="37209A07" w14:textId="77777777" w:rsidR="00471B1C" w:rsidRPr="00C55C23" w:rsidRDefault="00471B1C" w:rsidP="00471B1C">
            <w:pPr>
              <w:pStyle w:val="TableText"/>
            </w:pPr>
            <w:r w:rsidRPr="00C55C23">
              <w:rPr>
                <w:rFonts w:eastAsia="Segoe UI"/>
              </w:rPr>
              <w:t>2027/28 ($m)</w:t>
            </w:r>
          </w:p>
        </w:tc>
        <w:tc>
          <w:tcPr>
            <w:tcW w:w="139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Mar>
              <w:left w:w="57" w:type="dxa"/>
              <w:right w:w="57" w:type="dxa"/>
            </w:tcMar>
            <w:vAlign w:val="bottom"/>
          </w:tcPr>
          <w:p w14:paraId="78C1DBAD" w14:textId="030148CC" w:rsidR="00471B1C" w:rsidRPr="00AA4E79" w:rsidRDefault="00471B1C" w:rsidP="005A02AA">
            <w:pPr>
              <w:pStyle w:val="TableText"/>
              <w:jc w:val="right"/>
              <w:rPr>
                <w:rFonts w:eastAsia="Segoe UI"/>
              </w:rPr>
            </w:pPr>
            <w:r w:rsidRPr="00AA4E79">
              <w:rPr>
                <w:rFonts w:eastAsia="Segoe UI"/>
              </w:rPr>
              <w:t>1135.77</w:t>
            </w:r>
          </w:p>
        </w:tc>
        <w:tc>
          <w:tcPr>
            <w:tcW w:w="139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Mar>
              <w:left w:w="108" w:type="dxa"/>
              <w:right w:w="108" w:type="dxa"/>
            </w:tcMar>
            <w:vAlign w:val="bottom"/>
          </w:tcPr>
          <w:p w14:paraId="40157395" w14:textId="635259F4" w:rsidR="00471B1C" w:rsidRPr="00AA4E79" w:rsidRDefault="00471B1C" w:rsidP="005A02AA">
            <w:pPr>
              <w:pStyle w:val="TableText"/>
              <w:jc w:val="right"/>
              <w:rPr>
                <w:rFonts w:eastAsia="Segoe UI"/>
              </w:rPr>
            </w:pPr>
            <w:r w:rsidRPr="00AA4E79">
              <w:rPr>
                <w:rFonts w:eastAsia="Segoe UI"/>
              </w:rPr>
              <w:t>679.21</w:t>
            </w:r>
          </w:p>
        </w:tc>
        <w:tc>
          <w:tcPr>
            <w:tcW w:w="1398"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Mar>
              <w:left w:w="108" w:type="dxa"/>
              <w:right w:w="108" w:type="dxa"/>
            </w:tcMar>
            <w:vAlign w:val="bottom"/>
          </w:tcPr>
          <w:p w14:paraId="11FFFF29" w14:textId="6951C70C" w:rsidR="00471B1C" w:rsidRPr="00AA4E79" w:rsidRDefault="00471B1C" w:rsidP="005A02AA">
            <w:pPr>
              <w:pStyle w:val="TableText"/>
              <w:jc w:val="right"/>
              <w:rPr>
                <w:rFonts w:eastAsia="Segoe UI"/>
              </w:rPr>
            </w:pPr>
            <w:r w:rsidRPr="00AA4E79">
              <w:rPr>
                <w:rFonts w:eastAsia="Segoe UI"/>
              </w:rPr>
              <w:t>410.08</w:t>
            </w:r>
          </w:p>
        </w:tc>
        <w:tc>
          <w:tcPr>
            <w:tcW w:w="1399"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tcMar>
              <w:left w:w="108" w:type="dxa"/>
              <w:right w:w="108" w:type="dxa"/>
            </w:tcMar>
            <w:vAlign w:val="bottom"/>
          </w:tcPr>
          <w:p w14:paraId="24EC8E2E" w14:textId="2A60F2B4" w:rsidR="00471B1C" w:rsidRPr="00AA4E79" w:rsidRDefault="00471B1C" w:rsidP="005A02AA">
            <w:pPr>
              <w:pStyle w:val="TableText"/>
              <w:jc w:val="right"/>
              <w:rPr>
                <w:rFonts w:eastAsia="Segoe UI"/>
              </w:rPr>
            </w:pPr>
            <w:r w:rsidRPr="00AA4E79">
              <w:rPr>
                <w:rFonts w:eastAsia="Segoe UI"/>
              </w:rPr>
              <w:t>805.00</w:t>
            </w:r>
          </w:p>
        </w:tc>
      </w:tr>
    </w:tbl>
    <w:p w14:paraId="70816004" w14:textId="57E87E47" w:rsidR="0002659E" w:rsidRPr="00BB5615" w:rsidRDefault="0002659E" w:rsidP="0002659E">
      <w:pPr>
        <w:pStyle w:val="Note"/>
      </w:pPr>
      <w:r w:rsidRPr="00BB5615">
        <w:rPr>
          <w:rFonts w:eastAsia="Segoe UI"/>
        </w:rPr>
        <w:t xml:space="preserve">Note: These forecasts are for the 2025/26 to 2027/28 levy period. They are based on </w:t>
      </w:r>
      <w:r w:rsidR="00471B1C">
        <w:rPr>
          <w:rFonts w:eastAsia="Segoe UI"/>
        </w:rPr>
        <w:t xml:space="preserve">DIA </w:t>
      </w:r>
      <w:r w:rsidRPr="00BB5615">
        <w:rPr>
          <w:rFonts w:eastAsia="Segoe UI"/>
        </w:rPr>
        <w:t xml:space="preserve">best estimates </w:t>
      </w:r>
      <w:r w:rsidR="00471B1C">
        <w:rPr>
          <w:rFonts w:eastAsia="Segoe UI"/>
        </w:rPr>
        <w:t xml:space="preserve">using </w:t>
      </w:r>
      <w:r w:rsidRPr="00BB5615">
        <w:rPr>
          <w:rFonts w:eastAsia="Segoe UI"/>
        </w:rPr>
        <w:t>actuals for 2023/24 (expected in early 2025</w:t>
      </w:r>
      <w:r w:rsidR="00E61A6B">
        <w:rPr>
          <w:rFonts w:eastAsia="Segoe UI"/>
        </w:rPr>
        <w:t xml:space="preserve">. The </w:t>
      </w:r>
      <w:r w:rsidR="00653F49">
        <w:rPr>
          <w:rFonts w:eastAsia="Segoe UI"/>
        </w:rPr>
        <w:t xml:space="preserve">Lotto NZ forecasts are </w:t>
      </w:r>
      <w:r w:rsidR="00E61A6B">
        <w:rPr>
          <w:rFonts w:eastAsia="Segoe UI"/>
        </w:rPr>
        <w:t>based on projections in their</w:t>
      </w:r>
      <w:r w:rsidR="00653F49">
        <w:rPr>
          <w:rFonts w:eastAsia="Segoe UI"/>
        </w:rPr>
        <w:t xml:space="preserve"> Statement of </w:t>
      </w:r>
      <w:r w:rsidR="00200109">
        <w:rPr>
          <w:rFonts w:eastAsia="Segoe UI"/>
        </w:rPr>
        <w:t>I</w:t>
      </w:r>
      <w:r w:rsidR="00653F49">
        <w:rPr>
          <w:rFonts w:eastAsia="Segoe UI"/>
        </w:rPr>
        <w:t xml:space="preserve">ntent 2025-2029.  </w:t>
      </w:r>
      <w:r w:rsidRPr="00BB5615">
        <w:rPr>
          <w:rFonts w:eastAsia="Segoe UI"/>
        </w:rPr>
        <w:t xml:space="preserve">The further </w:t>
      </w:r>
      <w:r w:rsidR="00653F49">
        <w:rPr>
          <w:rFonts w:eastAsia="Segoe UI"/>
        </w:rPr>
        <w:t xml:space="preserve">out a </w:t>
      </w:r>
      <w:r w:rsidRPr="00BB5615">
        <w:rPr>
          <w:rFonts w:eastAsia="Segoe UI"/>
        </w:rPr>
        <w:t xml:space="preserve">forecast, the less reliable that forecast can be. Therefore, while these ‘out years’ follow a general trend, they </w:t>
      </w:r>
      <w:r w:rsidR="00653F49">
        <w:rPr>
          <w:rFonts w:eastAsia="Segoe UI"/>
        </w:rPr>
        <w:t xml:space="preserve">may not be </w:t>
      </w:r>
      <w:r w:rsidRPr="00BB5615">
        <w:rPr>
          <w:rFonts w:eastAsia="Segoe UI"/>
        </w:rPr>
        <w:t>as reliable as a yearly forecast for the next year ahead.</w:t>
      </w:r>
    </w:p>
    <w:p w14:paraId="2E4D7F5A" w14:textId="77777777" w:rsidR="0002659E" w:rsidRPr="00CA08C6" w:rsidRDefault="0002659E" w:rsidP="0002659E">
      <w:pPr>
        <w:pStyle w:val="Heading2"/>
      </w:pPr>
      <w:bookmarkStart w:id="43" w:name="_Toc197534214"/>
      <w:r w:rsidRPr="00CA08C6">
        <w:lastRenderedPageBreak/>
        <w:t>(R)</w:t>
      </w:r>
      <w:r>
        <w:t xml:space="preserve"> </w:t>
      </w:r>
      <w:r w:rsidRPr="00CA08C6">
        <w:t>Estimated levy under- or over-recovery, by sector</w:t>
      </w:r>
      <w:bookmarkEnd w:id="43"/>
      <w:r w:rsidRPr="00CA08C6">
        <w:t xml:space="preserve"> </w:t>
      </w:r>
    </w:p>
    <w:p w14:paraId="6E1B69F2" w14:textId="2AD38651" w:rsidR="0002659E" w:rsidRDefault="0002659E" w:rsidP="52103CC6">
      <w:pPr>
        <w:rPr>
          <w:rFonts w:eastAsia="Segoe UI"/>
        </w:rPr>
      </w:pPr>
      <w:r w:rsidRPr="52103CC6">
        <w:rPr>
          <w:rFonts w:eastAsia="Segoe UI"/>
        </w:rPr>
        <w:t xml:space="preserve">Section 107 of the Gambling Amendment Act 2015 came into effect on 2 March 2015. It requires the calculation of each of the four gambling sectors’ levy rate to take into account any underpayment or overpayment from that sector in previous levy periods. This change ended the previous system, which had been deemed unfair, whereby all four gambling sectors were required to meet any net underpayment or overpayment of the levy amount across all sectors from the previous levy period. </w:t>
      </w:r>
    </w:p>
    <w:p w14:paraId="2CBC6958" w14:textId="77777777" w:rsidR="0002659E" w:rsidRPr="00C55C23" w:rsidRDefault="0002659E" w:rsidP="0002659E"/>
    <w:p w14:paraId="53221555" w14:textId="77777777" w:rsidR="0002659E" w:rsidRDefault="0002659E" w:rsidP="0002659E">
      <w:pPr>
        <w:rPr>
          <w:rFonts w:eastAsia="Segoe UI"/>
        </w:rPr>
      </w:pPr>
      <w:r w:rsidRPr="00C55C23">
        <w:rPr>
          <w:rFonts w:eastAsia="Segoe UI"/>
        </w:rPr>
        <w:t xml:space="preserve">In its 2019 report to the responsible Ministers, the Gambling Commission commented that R should be calculated by hindsight adjustment of earlier estimates of both C and D to produce (amend) the previously expected relative contribution from each sector to a corrected calculation of the actual cost of the </w:t>
      </w:r>
      <w:r>
        <w:rPr>
          <w:rFonts w:eastAsia="Segoe UI"/>
        </w:rPr>
        <w:t>S</w:t>
      </w:r>
      <w:r w:rsidRPr="00C55C23">
        <w:rPr>
          <w:rFonts w:eastAsia="Segoe UI"/>
        </w:rPr>
        <w:t xml:space="preserve">trategy to the end of the previous levy period. The </w:t>
      </w:r>
      <w:r>
        <w:rPr>
          <w:rFonts w:eastAsia="Segoe UI"/>
        </w:rPr>
        <w:t>c</w:t>
      </w:r>
      <w:r w:rsidRPr="00C55C23">
        <w:rPr>
          <w:rFonts w:eastAsia="Segoe UI"/>
        </w:rPr>
        <w:t>ommission considered this approach to be consistent with the objective intent of the 2015 amendments to the Act and to provide a fairer allocation of any under</w:t>
      </w:r>
      <w:r>
        <w:rPr>
          <w:rFonts w:eastAsia="Segoe UI"/>
        </w:rPr>
        <w:t>-</w:t>
      </w:r>
      <w:r w:rsidRPr="00C55C23">
        <w:rPr>
          <w:rFonts w:eastAsia="Segoe UI"/>
        </w:rPr>
        <w:t xml:space="preserve"> or overpayment, as adjustments to each sector would be made in the same proportions as received. </w:t>
      </w:r>
    </w:p>
    <w:p w14:paraId="5D9938D7" w14:textId="77777777" w:rsidR="0002659E" w:rsidRPr="00C55C23" w:rsidRDefault="0002659E" w:rsidP="0002659E"/>
    <w:p w14:paraId="5A267D93" w14:textId="48C00BC5" w:rsidR="0002659E" w:rsidRPr="00C55C23" w:rsidRDefault="0002659E" w:rsidP="0002659E">
      <w:r w:rsidRPr="52103CC6">
        <w:rPr>
          <w:rFonts w:eastAsia="Segoe UI"/>
        </w:rPr>
        <w:t>Accordingly, the Ministry has calculated R by calculating the projected total spending for the period 2004 to 2025 by:</w:t>
      </w:r>
    </w:p>
    <w:p w14:paraId="11AC58B5" w14:textId="07609AE9" w:rsidR="0002659E" w:rsidRPr="00C55C23" w:rsidRDefault="0002659E" w:rsidP="0002659E">
      <w:pPr>
        <w:pStyle w:val="Bullet"/>
        <w:rPr>
          <w:rFonts w:eastAsia="Segoe UI"/>
        </w:rPr>
      </w:pPr>
      <w:r w:rsidRPr="00C55C23">
        <w:rPr>
          <w:rFonts w:eastAsia="Segoe UI"/>
        </w:rPr>
        <w:t xml:space="preserve">using the actual spending from the Ministry (and Health New Zealand)’s annual reports from 2018/19 to </w:t>
      </w:r>
      <w:r w:rsidR="005E7B79" w:rsidRPr="00C55C23">
        <w:rPr>
          <w:rFonts w:eastAsia="Segoe UI"/>
        </w:rPr>
        <w:t>202</w:t>
      </w:r>
      <w:r w:rsidR="005E7B79">
        <w:rPr>
          <w:rFonts w:eastAsia="Segoe UI"/>
        </w:rPr>
        <w:t>3</w:t>
      </w:r>
      <w:r w:rsidRPr="00C55C23">
        <w:rPr>
          <w:rFonts w:eastAsia="Segoe UI"/>
        </w:rPr>
        <w:t>/</w:t>
      </w:r>
      <w:r w:rsidR="005E7B79" w:rsidRPr="00C55C23">
        <w:rPr>
          <w:rFonts w:eastAsia="Segoe UI"/>
        </w:rPr>
        <w:t>2</w:t>
      </w:r>
      <w:r w:rsidR="005E7B79">
        <w:rPr>
          <w:rFonts w:eastAsia="Segoe UI"/>
        </w:rPr>
        <w:t>4</w:t>
      </w:r>
      <w:r w:rsidR="005E7B79" w:rsidRPr="00C55C23">
        <w:rPr>
          <w:rFonts w:eastAsia="Segoe UI"/>
        </w:rPr>
        <w:t xml:space="preserve"> </w:t>
      </w:r>
    </w:p>
    <w:p w14:paraId="1BD3C53D" w14:textId="2C3D2180" w:rsidR="0002659E" w:rsidRPr="00C55C23" w:rsidRDefault="0002659E" w:rsidP="0002659E">
      <w:pPr>
        <w:pStyle w:val="Bullet"/>
        <w:rPr>
          <w:rFonts w:eastAsia="Segoe UI"/>
        </w:rPr>
      </w:pPr>
      <w:r w:rsidRPr="00C55C23">
        <w:rPr>
          <w:rFonts w:eastAsia="Segoe UI"/>
        </w:rPr>
        <w:t>using estimated expenditure for 2024/25</w:t>
      </w:r>
    </w:p>
    <w:p w14:paraId="26427274" w14:textId="77777777" w:rsidR="0002659E" w:rsidRPr="00C55C23" w:rsidRDefault="0002659E" w:rsidP="0002659E">
      <w:pPr>
        <w:pStyle w:val="Bullet"/>
        <w:rPr>
          <w:rFonts w:eastAsia="Segoe UI"/>
        </w:rPr>
      </w:pPr>
      <w:r w:rsidRPr="00C55C23">
        <w:rPr>
          <w:rFonts w:eastAsia="Segoe UI"/>
        </w:rPr>
        <w:t>adding these sums to the actual spending recorded for the levy period for each previous year between 2004/05 and 2017/18.</w:t>
      </w:r>
    </w:p>
    <w:p w14:paraId="5E2D95F2" w14:textId="77777777" w:rsidR="0002659E" w:rsidRDefault="0002659E" w:rsidP="0002659E">
      <w:pPr>
        <w:rPr>
          <w:rFonts w:eastAsia="Segoe UI"/>
        </w:rPr>
      </w:pPr>
    </w:p>
    <w:p w14:paraId="03B859E3" w14:textId="44DE2671" w:rsidR="00AF2B78" w:rsidRDefault="0002659E" w:rsidP="0002659E">
      <w:pPr>
        <w:rPr>
          <w:rFonts w:eastAsia="Segoe UI"/>
        </w:rPr>
      </w:pPr>
      <w:r w:rsidRPr="00C55C23">
        <w:rPr>
          <w:rFonts w:eastAsia="Segoe UI"/>
        </w:rPr>
        <w:t xml:space="preserve">This totals </w:t>
      </w:r>
      <w:r w:rsidRPr="00B70A1B">
        <w:rPr>
          <w:rFonts w:eastAsia="Segoe UI"/>
        </w:rPr>
        <w:t xml:space="preserve">to </w:t>
      </w:r>
      <w:r w:rsidR="00E34A3B" w:rsidRPr="00A06F66">
        <w:rPr>
          <w:rFonts w:eastAsia="Segoe UI"/>
        </w:rPr>
        <w:t>$385.076 million</w:t>
      </w:r>
      <w:r w:rsidR="00E34A3B" w:rsidRPr="007C18BE">
        <w:rPr>
          <w:rFonts w:eastAsia="Segoe UI"/>
        </w:rPr>
        <w:t xml:space="preserve"> </w:t>
      </w:r>
      <w:r w:rsidR="00B77F8C" w:rsidRPr="007C18BE">
        <w:rPr>
          <w:rFonts w:eastAsia="Segoe UI"/>
        </w:rPr>
        <w:t xml:space="preserve">cost of purchasing </w:t>
      </w:r>
      <w:r w:rsidR="1A3130A5" w:rsidRPr="007C18BE">
        <w:rPr>
          <w:rFonts w:eastAsia="Segoe UI"/>
        </w:rPr>
        <w:t>S</w:t>
      </w:r>
      <w:r w:rsidR="00B77F8C" w:rsidRPr="007C18BE">
        <w:rPr>
          <w:rFonts w:eastAsia="Segoe UI"/>
        </w:rPr>
        <w:t>trategy activities</w:t>
      </w:r>
      <w:r w:rsidRPr="007C18BE">
        <w:rPr>
          <w:rFonts w:eastAsia="Segoe UI"/>
        </w:rPr>
        <w:t xml:space="preserve">, which becomes the target recovery amount from the four levy-paying gambling sectors. We estimate the levy payments received by Inland Revenue will total to </w:t>
      </w:r>
      <w:r w:rsidR="00E34A3B" w:rsidRPr="00A06F66">
        <w:rPr>
          <w:rFonts w:eastAsia="Segoe UI"/>
        </w:rPr>
        <w:t>$382.960 million</w:t>
      </w:r>
      <w:r w:rsidR="00E34A3B" w:rsidRPr="007C18BE">
        <w:rPr>
          <w:rFonts w:eastAsia="Segoe UI"/>
        </w:rPr>
        <w:t xml:space="preserve"> </w:t>
      </w:r>
      <w:r w:rsidRPr="007C18BE">
        <w:rPr>
          <w:rFonts w:eastAsia="Segoe UI"/>
        </w:rPr>
        <w:t xml:space="preserve">by 30 June 2025. We calculated this by totalling actual payments from each sector made to Inland Revenue up to 30 June </w:t>
      </w:r>
      <w:r w:rsidR="00C81195" w:rsidRPr="007C18BE">
        <w:rPr>
          <w:rFonts w:eastAsia="Segoe UI"/>
        </w:rPr>
        <w:t>2024</w:t>
      </w:r>
      <w:r w:rsidRPr="007C18BE">
        <w:rPr>
          <w:rFonts w:eastAsia="Segoe UI"/>
        </w:rPr>
        <w:t>, together with the estimates of sector payments</w:t>
      </w:r>
      <w:r w:rsidRPr="00C55C23">
        <w:rPr>
          <w:rFonts w:eastAsia="Segoe UI"/>
        </w:rPr>
        <w:t xml:space="preserve"> up to 30 June 2025. </w:t>
      </w:r>
    </w:p>
    <w:p w14:paraId="43D46917" w14:textId="77777777" w:rsidR="00AF2B78" w:rsidRDefault="00AF2B78" w:rsidP="0002659E">
      <w:pPr>
        <w:rPr>
          <w:rFonts w:eastAsia="Segoe UI"/>
        </w:rPr>
      </w:pPr>
    </w:p>
    <w:p w14:paraId="15DE3B89" w14:textId="3C9539BA" w:rsidR="0002659E" w:rsidRPr="00C55C23" w:rsidRDefault="0002659E" w:rsidP="0002659E">
      <w:r w:rsidRPr="00C55C23">
        <w:rPr>
          <w:rFonts w:eastAsia="Segoe UI"/>
        </w:rPr>
        <w:t>We then calculated the amount of levy that each sector was expected to pay by:</w:t>
      </w:r>
    </w:p>
    <w:p w14:paraId="099EA95A" w14:textId="66D37073" w:rsidR="0002659E" w:rsidRPr="00C55C23" w:rsidRDefault="0002659E" w:rsidP="52103CC6">
      <w:pPr>
        <w:pStyle w:val="Bullet"/>
        <w:rPr>
          <w:rFonts w:eastAsia="Segoe UI"/>
        </w:rPr>
      </w:pPr>
      <w:r w:rsidRPr="52103CC6">
        <w:rPr>
          <w:rFonts w:eastAsia="Segoe UI"/>
        </w:rPr>
        <w:t xml:space="preserve">referring to the relevant Cabinet-approved </w:t>
      </w:r>
      <w:r w:rsidR="7004C5CC" w:rsidRPr="52103CC6">
        <w:rPr>
          <w:rFonts w:eastAsia="Segoe UI"/>
        </w:rPr>
        <w:t>S</w:t>
      </w:r>
      <w:r w:rsidRPr="52103CC6">
        <w:rPr>
          <w:rFonts w:eastAsia="Segoe UI"/>
        </w:rPr>
        <w:t>trategy before the start of each levy period to identify each sector’s expected share of the levy requirement for each three-year period</w:t>
      </w:r>
    </w:p>
    <w:p w14:paraId="26D3861D" w14:textId="77777777" w:rsidR="0002659E" w:rsidRPr="00C55C23" w:rsidRDefault="0002659E" w:rsidP="0002659E">
      <w:pPr>
        <w:pStyle w:val="Bullet"/>
        <w:rPr>
          <w:rFonts w:eastAsia="Segoe UI"/>
        </w:rPr>
      </w:pPr>
      <w:r w:rsidRPr="00C55C23">
        <w:rPr>
          <w:rFonts w:eastAsia="Segoe UI"/>
        </w:rPr>
        <w:t>using those shares to calculate the amount each sector was expected to pay as its contribution to the Ministry’s spending in each levy period</w:t>
      </w:r>
    </w:p>
    <w:p w14:paraId="1BCCC4A7" w14:textId="77777777" w:rsidR="0002659E" w:rsidRPr="00C55C23" w:rsidRDefault="0002659E" w:rsidP="0002659E">
      <w:pPr>
        <w:pStyle w:val="Bullet"/>
        <w:rPr>
          <w:rFonts w:eastAsia="Segoe UI"/>
        </w:rPr>
      </w:pPr>
      <w:r w:rsidRPr="00C55C23">
        <w:rPr>
          <w:rFonts w:eastAsia="Segoe UI"/>
        </w:rPr>
        <w:t>totalling these amounts across all levy periods to arrive at the amount each sector was expected to pay up to 30 June 2025.</w:t>
      </w:r>
    </w:p>
    <w:p w14:paraId="19A10466" w14:textId="77777777" w:rsidR="0002659E" w:rsidRPr="00C55C23" w:rsidRDefault="0002659E" w:rsidP="0002659E">
      <w:r w:rsidRPr="00C55C23">
        <w:rPr>
          <w:rFonts w:eastAsia="Segoe UI"/>
        </w:rPr>
        <w:t xml:space="preserve"> </w:t>
      </w:r>
    </w:p>
    <w:p w14:paraId="51328CB4" w14:textId="4330E930" w:rsidR="0002659E" w:rsidRPr="00C55C23" w:rsidRDefault="0002659E" w:rsidP="0002659E">
      <w:r w:rsidRPr="52103CC6">
        <w:rPr>
          <w:rFonts w:eastAsia="Segoe UI"/>
        </w:rPr>
        <w:t xml:space="preserve">R is the </w:t>
      </w:r>
      <w:r w:rsidR="00E61A6B">
        <w:rPr>
          <w:rFonts w:eastAsia="Segoe UI"/>
        </w:rPr>
        <w:t xml:space="preserve">net </w:t>
      </w:r>
      <w:r w:rsidRPr="52103CC6">
        <w:rPr>
          <w:rFonts w:eastAsia="Segoe UI"/>
        </w:rPr>
        <w:t>difference between the expected levy payments for each sector and the actual amount received in payments</w:t>
      </w:r>
      <w:r w:rsidR="001D2375">
        <w:rPr>
          <w:rFonts w:eastAsia="Segoe UI"/>
        </w:rPr>
        <w:t xml:space="preserve"> (to recover </w:t>
      </w:r>
      <w:r w:rsidR="00C27783">
        <w:rPr>
          <w:rFonts w:eastAsia="Segoe UI"/>
        </w:rPr>
        <w:t xml:space="preserve">Crown </w:t>
      </w:r>
      <w:r w:rsidR="00CC2C50">
        <w:rPr>
          <w:rFonts w:eastAsia="Segoe UI"/>
        </w:rPr>
        <w:t xml:space="preserve">expenditure on </w:t>
      </w:r>
      <w:r w:rsidR="00C27783">
        <w:rPr>
          <w:rFonts w:eastAsia="Segoe UI"/>
        </w:rPr>
        <w:t xml:space="preserve">purchasing </w:t>
      </w:r>
      <w:r w:rsidR="00CC2C50">
        <w:rPr>
          <w:rFonts w:eastAsia="Segoe UI"/>
        </w:rPr>
        <w:t>gambling harm services)</w:t>
      </w:r>
      <w:r w:rsidRPr="52103CC6">
        <w:rPr>
          <w:rFonts w:eastAsia="Segoe UI"/>
        </w:rPr>
        <w:t xml:space="preserve">. Table A6.4 shows the values of R obtained. Overpayment </w:t>
      </w:r>
      <w:r w:rsidRPr="52103CC6">
        <w:rPr>
          <w:rFonts w:eastAsia="Segoe UI"/>
        </w:rPr>
        <w:lastRenderedPageBreak/>
        <w:t>amounts are deducted from (credited to) the next levy period amounts required from each sector, while any underpayments are added to those amounts.</w:t>
      </w:r>
    </w:p>
    <w:p w14:paraId="1B4CB274" w14:textId="77777777" w:rsidR="0002659E" w:rsidRPr="00C55C23" w:rsidRDefault="0002659E" w:rsidP="0002659E">
      <w:pPr>
        <w:pStyle w:val="Table"/>
      </w:pPr>
      <w:bookmarkStart w:id="44" w:name="_Toc197534221"/>
      <w:r w:rsidRPr="00C55C23">
        <w:rPr>
          <w:rFonts w:eastAsia="Segoe UI"/>
        </w:rPr>
        <w:t xml:space="preserve">Table </w:t>
      </w:r>
      <w:r>
        <w:rPr>
          <w:rFonts w:eastAsia="Segoe UI"/>
        </w:rPr>
        <w:t>A6.4</w:t>
      </w:r>
      <w:r w:rsidRPr="00C55C23">
        <w:rPr>
          <w:rFonts w:eastAsia="Segoe UI"/>
        </w:rPr>
        <w:t>: Estimated under</w:t>
      </w:r>
      <w:r>
        <w:rPr>
          <w:rFonts w:eastAsia="Segoe UI"/>
        </w:rPr>
        <w:t>-</w:t>
      </w:r>
      <w:r w:rsidRPr="00C55C23">
        <w:rPr>
          <w:rFonts w:eastAsia="Segoe UI"/>
        </w:rPr>
        <w:t xml:space="preserve"> or overpayment of problem gambling levy, 2004/05 to 2024/25, by </w:t>
      </w:r>
      <w:r>
        <w:rPr>
          <w:rFonts w:eastAsia="Segoe UI"/>
        </w:rPr>
        <w:t xml:space="preserve">gambling </w:t>
      </w:r>
      <w:r w:rsidRPr="00C55C23">
        <w:rPr>
          <w:rFonts w:eastAsia="Segoe UI"/>
        </w:rPr>
        <w:t>sector</w:t>
      </w:r>
      <w:bookmarkEnd w:id="44"/>
    </w:p>
    <w:tbl>
      <w:tblPr>
        <w:tblW w:w="7878" w:type="dxa"/>
        <w:tblInd w:w="60" w:type="dxa"/>
        <w:tblBorders>
          <w:top w:val="single" w:sz="8" w:space="0" w:color="A6A6A6" w:themeColor="background1" w:themeShade="A6"/>
          <w:bottom w:val="single" w:sz="8" w:space="0" w:color="A6A6A6" w:themeColor="background1" w:themeShade="A6"/>
          <w:insideH w:val="single" w:sz="8" w:space="0" w:color="A6A6A6" w:themeColor="background1" w:themeShade="A6"/>
        </w:tblBorders>
        <w:tblLayout w:type="fixed"/>
        <w:tblLook w:val="06A0" w:firstRow="1" w:lastRow="0" w:firstColumn="1" w:lastColumn="0" w:noHBand="1" w:noVBand="1"/>
      </w:tblPr>
      <w:tblGrid>
        <w:gridCol w:w="4478"/>
        <w:gridCol w:w="3400"/>
      </w:tblGrid>
      <w:tr w:rsidR="0002659E" w:rsidRPr="00BB5615" w14:paraId="0705387A" w14:textId="77777777" w:rsidTr="005A02AA">
        <w:trPr>
          <w:trHeight w:val="300"/>
        </w:trPr>
        <w:tc>
          <w:tcPr>
            <w:tcW w:w="4478" w:type="dxa"/>
            <w:tcBorders>
              <w:top w:val="nil"/>
              <w:bottom w:val="nil"/>
            </w:tcBorders>
            <w:shd w:val="clear" w:color="auto" w:fill="D9D9D9" w:themeFill="background1" w:themeFillShade="D9"/>
            <w:tcMar>
              <w:left w:w="57" w:type="dxa"/>
              <w:right w:w="57" w:type="dxa"/>
            </w:tcMar>
          </w:tcPr>
          <w:p w14:paraId="6866D68B" w14:textId="77777777" w:rsidR="0002659E" w:rsidRPr="00BB5615" w:rsidRDefault="0002659E">
            <w:pPr>
              <w:pStyle w:val="TableText"/>
              <w:rPr>
                <w:b/>
                <w:bCs/>
              </w:rPr>
            </w:pPr>
            <w:r w:rsidRPr="00BB5615">
              <w:rPr>
                <w:rFonts w:eastAsia="Segoe UI"/>
                <w:b/>
                <w:bCs/>
              </w:rPr>
              <w:t>Sector</w:t>
            </w:r>
          </w:p>
        </w:tc>
        <w:tc>
          <w:tcPr>
            <w:tcW w:w="3400" w:type="dxa"/>
            <w:tcBorders>
              <w:top w:val="nil"/>
              <w:bottom w:val="nil"/>
            </w:tcBorders>
            <w:shd w:val="clear" w:color="auto" w:fill="D9D9D9" w:themeFill="background1" w:themeFillShade="D9"/>
            <w:tcMar>
              <w:left w:w="57" w:type="dxa"/>
              <w:right w:w="57" w:type="dxa"/>
            </w:tcMar>
          </w:tcPr>
          <w:p w14:paraId="4C417A7F" w14:textId="77777777" w:rsidR="0002659E" w:rsidRPr="00BB5615" w:rsidRDefault="0002659E">
            <w:pPr>
              <w:pStyle w:val="TableText"/>
              <w:rPr>
                <w:b/>
                <w:bCs/>
              </w:rPr>
            </w:pPr>
            <w:r w:rsidRPr="00BB5615">
              <w:rPr>
                <w:rFonts w:eastAsia="Segoe UI"/>
                <w:b/>
                <w:bCs/>
              </w:rPr>
              <w:t>$m (GST exclusive)</w:t>
            </w:r>
          </w:p>
        </w:tc>
      </w:tr>
      <w:tr w:rsidR="0002659E" w14:paraId="5ED35BB9" w14:textId="77777777" w:rsidTr="005A02AA">
        <w:trPr>
          <w:trHeight w:val="300"/>
        </w:trPr>
        <w:tc>
          <w:tcPr>
            <w:tcW w:w="4478" w:type="dxa"/>
            <w:tcBorders>
              <w:top w:val="nil"/>
            </w:tcBorders>
            <w:tcMar>
              <w:left w:w="57" w:type="dxa"/>
              <w:right w:w="57" w:type="dxa"/>
            </w:tcMar>
          </w:tcPr>
          <w:p w14:paraId="6E5447BB" w14:textId="77777777" w:rsidR="0002659E" w:rsidRPr="00C55C23" w:rsidRDefault="0002659E">
            <w:pPr>
              <w:pStyle w:val="TableText"/>
            </w:pPr>
            <w:r w:rsidRPr="00C55C23">
              <w:rPr>
                <w:rFonts w:eastAsia="Segoe UI"/>
              </w:rPr>
              <w:t>Class 4</w:t>
            </w:r>
          </w:p>
        </w:tc>
        <w:tc>
          <w:tcPr>
            <w:tcW w:w="3400" w:type="dxa"/>
            <w:tcBorders>
              <w:top w:val="nil"/>
            </w:tcBorders>
            <w:tcMar>
              <w:left w:w="57" w:type="dxa"/>
              <w:right w:w="57" w:type="dxa"/>
            </w:tcMar>
          </w:tcPr>
          <w:p w14:paraId="3250BF9B" w14:textId="6671DA68" w:rsidR="0002659E" w:rsidRPr="00C55C23" w:rsidRDefault="0002659E">
            <w:pPr>
              <w:pStyle w:val="TableText"/>
            </w:pPr>
            <w:r>
              <w:rPr>
                <w:rFonts w:eastAsia="Segoe UI"/>
              </w:rPr>
              <w:t>1.</w:t>
            </w:r>
            <w:r w:rsidR="00B77F8C">
              <w:rPr>
                <w:rFonts w:eastAsia="Segoe UI"/>
              </w:rPr>
              <w:t>143</w:t>
            </w:r>
          </w:p>
        </w:tc>
      </w:tr>
      <w:tr w:rsidR="0002659E" w14:paraId="2A9B9535" w14:textId="77777777" w:rsidTr="005A02AA">
        <w:trPr>
          <w:trHeight w:val="300"/>
        </w:trPr>
        <w:tc>
          <w:tcPr>
            <w:tcW w:w="4478" w:type="dxa"/>
            <w:tcMar>
              <w:left w:w="57" w:type="dxa"/>
              <w:right w:w="57" w:type="dxa"/>
            </w:tcMar>
          </w:tcPr>
          <w:p w14:paraId="6D72ADCF" w14:textId="77777777" w:rsidR="0002659E" w:rsidRPr="00C55C23" w:rsidRDefault="0002659E">
            <w:pPr>
              <w:pStyle w:val="TableText"/>
            </w:pPr>
            <w:r w:rsidRPr="00C55C23">
              <w:rPr>
                <w:rFonts w:eastAsia="Segoe UI"/>
              </w:rPr>
              <w:t>Casinos</w:t>
            </w:r>
          </w:p>
        </w:tc>
        <w:tc>
          <w:tcPr>
            <w:tcW w:w="3400" w:type="dxa"/>
            <w:tcMar>
              <w:left w:w="57" w:type="dxa"/>
              <w:right w:w="57" w:type="dxa"/>
            </w:tcMar>
          </w:tcPr>
          <w:p w14:paraId="6382C3BA" w14:textId="38D4C36A" w:rsidR="0002659E" w:rsidRPr="00C55C23" w:rsidRDefault="0002659E">
            <w:pPr>
              <w:pStyle w:val="TableText"/>
            </w:pPr>
            <w:r>
              <w:rPr>
                <w:rFonts w:eastAsia="Segoe UI"/>
              </w:rPr>
              <w:t>0.</w:t>
            </w:r>
            <w:r w:rsidR="00B77F8C">
              <w:rPr>
                <w:rFonts w:eastAsia="Segoe UI"/>
              </w:rPr>
              <w:t>816</w:t>
            </w:r>
          </w:p>
        </w:tc>
      </w:tr>
      <w:tr w:rsidR="0002659E" w14:paraId="79A822A0" w14:textId="77777777" w:rsidTr="005A02AA">
        <w:trPr>
          <w:trHeight w:val="300"/>
        </w:trPr>
        <w:tc>
          <w:tcPr>
            <w:tcW w:w="4478" w:type="dxa"/>
            <w:tcMar>
              <w:left w:w="57" w:type="dxa"/>
              <w:right w:w="57" w:type="dxa"/>
            </w:tcMar>
          </w:tcPr>
          <w:p w14:paraId="2DB7D58A" w14:textId="77777777" w:rsidR="0002659E" w:rsidRPr="00C55C23" w:rsidRDefault="0002659E">
            <w:pPr>
              <w:pStyle w:val="TableText"/>
            </w:pPr>
            <w:r w:rsidRPr="00C55C23">
              <w:rPr>
                <w:rFonts w:eastAsia="Segoe UI"/>
              </w:rPr>
              <w:t>TAB NZ</w:t>
            </w:r>
          </w:p>
        </w:tc>
        <w:tc>
          <w:tcPr>
            <w:tcW w:w="3400" w:type="dxa"/>
            <w:tcMar>
              <w:left w:w="57" w:type="dxa"/>
              <w:right w:w="57" w:type="dxa"/>
            </w:tcMar>
          </w:tcPr>
          <w:p w14:paraId="0087ED52" w14:textId="5559881B" w:rsidR="0002659E" w:rsidRPr="00C55C23" w:rsidRDefault="0002659E">
            <w:pPr>
              <w:pStyle w:val="TableText"/>
            </w:pPr>
            <w:r>
              <w:rPr>
                <w:rFonts w:eastAsia="Segoe UI"/>
              </w:rPr>
              <w:t>-0.</w:t>
            </w:r>
            <w:r w:rsidR="00B77F8C">
              <w:rPr>
                <w:rFonts w:eastAsia="Segoe UI"/>
              </w:rPr>
              <w:t>252</w:t>
            </w:r>
          </w:p>
        </w:tc>
      </w:tr>
      <w:tr w:rsidR="0002659E" w14:paraId="33D40857" w14:textId="77777777" w:rsidTr="005A02AA">
        <w:trPr>
          <w:trHeight w:val="300"/>
        </w:trPr>
        <w:tc>
          <w:tcPr>
            <w:tcW w:w="4478" w:type="dxa"/>
            <w:tcMar>
              <w:left w:w="57" w:type="dxa"/>
              <w:right w:w="57" w:type="dxa"/>
            </w:tcMar>
          </w:tcPr>
          <w:p w14:paraId="42454B0A" w14:textId="77777777" w:rsidR="0002659E" w:rsidRPr="00C55C23" w:rsidRDefault="0002659E">
            <w:pPr>
              <w:pStyle w:val="TableText"/>
            </w:pPr>
            <w:r w:rsidRPr="00C55C23">
              <w:rPr>
                <w:rFonts w:eastAsia="Segoe UI"/>
              </w:rPr>
              <w:t>Lotto N</w:t>
            </w:r>
            <w:r>
              <w:rPr>
                <w:rFonts w:eastAsia="Segoe UI"/>
              </w:rPr>
              <w:t>Z</w:t>
            </w:r>
          </w:p>
        </w:tc>
        <w:tc>
          <w:tcPr>
            <w:tcW w:w="3400" w:type="dxa"/>
            <w:tcMar>
              <w:left w:w="57" w:type="dxa"/>
              <w:right w:w="57" w:type="dxa"/>
            </w:tcMar>
          </w:tcPr>
          <w:p w14:paraId="775C87D6" w14:textId="66C76267" w:rsidR="0002659E" w:rsidRPr="00C55C23" w:rsidRDefault="0002659E">
            <w:pPr>
              <w:pStyle w:val="TableText"/>
            </w:pPr>
            <w:r>
              <w:rPr>
                <w:rFonts w:eastAsia="Segoe UI"/>
              </w:rPr>
              <w:t>0.</w:t>
            </w:r>
            <w:r w:rsidR="00B77F8C">
              <w:rPr>
                <w:rFonts w:eastAsia="Segoe UI"/>
              </w:rPr>
              <w:t>408</w:t>
            </w:r>
          </w:p>
        </w:tc>
      </w:tr>
      <w:tr w:rsidR="0002659E" w14:paraId="386AB491" w14:textId="77777777" w:rsidTr="005A02AA">
        <w:trPr>
          <w:trHeight w:val="300"/>
        </w:trPr>
        <w:tc>
          <w:tcPr>
            <w:tcW w:w="4478" w:type="dxa"/>
            <w:tcMar>
              <w:left w:w="57" w:type="dxa"/>
              <w:right w:w="57" w:type="dxa"/>
            </w:tcMar>
          </w:tcPr>
          <w:p w14:paraId="6850C526" w14:textId="77777777" w:rsidR="0002659E" w:rsidRPr="00C55C23" w:rsidRDefault="0002659E">
            <w:pPr>
              <w:pStyle w:val="TableText"/>
            </w:pPr>
            <w:r w:rsidRPr="00C55C23">
              <w:rPr>
                <w:rFonts w:eastAsia="Segoe UI"/>
              </w:rPr>
              <w:t>Net difference (total)</w:t>
            </w:r>
          </w:p>
        </w:tc>
        <w:tc>
          <w:tcPr>
            <w:tcW w:w="3400" w:type="dxa"/>
            <w:tcMar>
              <w:left w:w="57" w:type="dxa"/>
              <w:right w:w="57" w:type="dxa"/>
            </w:tcMar>
          </w:tcPr>
          <w:p w14:paraId="7DA830F2" w14:textId="0A16E728" w:rsidR="0002659E" w:rsidRPr="00C55C23" w:rsidRDefault="00B77F8C">
            <w:pPr>
              <w:pStyle w:val="TableText"/>
            </w:pPr>
            <w:r>
              <w:rPr>
                <w:rFonts w:eastAsia="Segoe UI"/>
              </w:rPr>
              <w:t>2.116</w:t>
            </w:r>
          </w:p>
        </w:tc>
      </w:tr>
    </w:tbl>
    <w:p w14:paraId="709DF3DE" w14:textId="7DDC2F61" w:rsidR="0002659E" w:rsidRPr="00C55C23" w:rsidRDefault="0002659E" w:rsidP="0002659E">
      <w:pPr>
        <w:pStyle w:val="Note"/>
      </w:pPr>
      <w:r w:rsidRPr="52103CC6">
        <w:rPr>
          <w:rFonts w:eastAsia="Segoe UI"/>
        </w:rPr>
        <w:t xml:space="preserve">Note: A negative figure indicates an expected overpayment </w:t>
      </w:r>
      <w:r w:rsidR="00745099">
        <w:rPr>
          <w:rFonts w:eastAsia="Segoe UI"/>
        </w:rPr>
        <w:t xml:space="preserve">of the levy </w:t>
      </w:r>
      <w:r w:rsidR="004F4478">
        <w:rPr>
          <w:rFonts w:eastAsia="Segoe UI"/>
        </w:rPr>
        <w:t xml:space="preserve">amount </w:t>
      </w:r>
      <w:r w:rsidR="009B7C7E">
        <w:rPr>
          <w:rFonts w:eastAsia="Segoe UI"/>
        </w:rPr>
        <w:t>is expected for t</w:t>
      </w:r>
      <w:r w:rsidRPr="52103CC6">
        <w:rPr>
          <w:rFonts w:eastAsia="Segoe UI"/>
        </w:rPr>
        <w:t xml:space="preserve">he levy periods to 30 June 2025. A positive figure indicates </w:t>
      </w:r>
      <w:r w:rsidR="00745099">
        <w:rPr>
          <w:rFonts w:eastAsia="Segoe UI"/>
        </w:rPr>
        <w:t>a</w:t>
      </w:r>
      <w:r w:rsidR="009B7C7E">
        <w:rPr>
          <w:rFonts w:eastAsia="Segoe UI"/>
        </w:rPr>
        <w:t xml:space="preserve">n expected </w:t>
      </w:r>
      <w:r w:rsidR="003A3FE2">
        <w:rPr>
          <w:rFonts w:eastAsia="Segoe UI"/>
        </w:rPr>
        <w:t xml:space="preserve">levy </w:t>
      </w:r>
      <w:r w:rsidRPr="52103CC6">
        <w:rPr>
          <w:rFonts w:eastAsia="Segoe UI"/>
        </w:rPr>
        <w:t>underpayment</w:t>
      </w:r>
      <w:r w:rsidR="009B7C7E">
        <w:rPr>
          <w:rFonts w:eastAsia="Segoe UI"/>
        </w:rPr>
        <w:t xml:space="preserve"> (</w:t>
      </w:r>
      <w:r w:rsidR="00E61EAD">
        <w:rPr>
          <w:rFonts w:eastAsia="Segoe UI"/>
        </w:rPr>
        <w:t>shortfall in cost recovery)</w:t>
      </w:r>
      <w:r w:rsidR="00AF2B78" w:rsidRPr="52103CC6">
        <w:rPr>
          <w:rFonts w:eastAsia="Segoe UI"/>
        </w:rPr>
        <w:t xml:space="preserve">. </w:t>
      </w:r>
    </w:p>
    <w:p w14:paraId="76A179A4" w14:textId="77777777" w:rsidR="0002659E" w:rsidRPr="007A3A7A" w:rsidRDefault="0002659E" w:rsidP="0002659E"/>
    <w:sectPr w:rsidR="0002659E" w:rsidRPr="007A3A7A" w:rsidSect="001151B7">
      <w:footerReference w:type="even" r:id="rId44"/>
      <w:footerReference w:type="default" r:id="rId45"/>
      <w:pgSz w:w="11907" w:h="16840"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8836A" w14:textId="77777777" w:rsidR="00C56EE9" w:rsidRDefault="00C56EE9">
      <w:r>
        <w:separator/>
      </w:r>
    </w:p>
    <w:p w14:paraId="1776433D" w14:textId="77777777" w:rsidR="00C56EE9" w:rsidRDefault="00C56EE9"/>
  </w:endnote>
  <w:endnote w:type="continuationSeparator" w:id="0">
    <w:p w14:paraId="6C88C442" w14:textId="77777777" w:rsidR="00C56EE9" w:rsidRDefault="00C56EE9">
      <w:r>
        <w:continuationSeparator/>
      </w:r>
    </w:p>
    <w:p w14:paraId="55DE08BE" w14:textId="77777777" w:rsidR="00C56EE9" w:rsidRDefault="00C56EE9"/>
  </w:endnote>
  <w:endnote w:type="continuationNotice" w:id="1">
    <w:p w14:paraId="6CBB2962" w14:textId="77777777" w:rsidR="00C56EE9" w:rsidRDefault="00C56E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DB373E" w14:paraId="44B766EA" w14:textId="77777777" w:rsidTr="03BA4D82">
      <w:trPr>
        <w:trHeight w:val="300"/>
      </w:trPr>
      <w:tc>
        <w:tcPr>
          <w:tcW w:w="3210" w:type="dxa"/>
        </w:tcPr>
        <w:p w14:paraId="29829818" w14:textId="1CAE16E3" w:rsidR="00DB373E" w:rsidRDefault="00DB373E" w:rsidP="03BA4D82">
          <w:pPr>
            <w:pStyle w:val="Header"/>
            <w:ind w:left="-115"/>
          </w:pPr>
        </w:p>
      </w:tc>
      <w:tc>
        <w:tcPr>
          <w:tcW w:w="3210" w:type="dxa"/>
        </w:tcPr>
        <w:p w14:paraId="2D1CEFDA" w14:textId="606F1420" w:rsidR="00DB373E" w:rsidRDefault="00DB373E" w:rsidP="03BA4D82">
          <w:pPr>
            <w:pStyle w:val="Header"/>
            <w:jc w:val="center"/>
          </w:pPr>
        </w:p>
      </w:tc>
      <w:tc>
        <w:tcPr>
          <w:tcW w:w="3210" w:type="dxa"/>
        </w:tcPr>
        <w:p w14:paraId="444E3E15" w14:textId="021B05D2" w:rsidR="00DB373E" w:rsidRDefault="00DB373E" w:rsidP="03BA4D82">
          <w:pPr>
            <w:pStyle w:val="Header"/>
            <w:ind w:right="-115"/>
            <w:jc w:val="right"/>
          </w:pPr>
        </w:p>
      </w:tc>
    </w:tr>
  </w:tbl>
  <w:p w14:paraId="638F3558" w14:textId="693F3B8E" w:rsidR="00DB373E" w:rsidRDefault="00DB373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B373E" w14:paraId="07E1FC89" w14:textId="77777777" w:rsidTr="00B657AF">
      <w:trPr>
        <w:cantSplit/>
      </w:trPr>
      <w:tc>
        <w:tcPr>
          <w:tcW w:w="8080" w:type="dxa"/>
          <w:vAlign w:val="center"/>
        </w:tcPr>
        <w:p w14:paraId="1A1F4627" w14:textId="7066BD44" w:rsidR="00DB373E" w:rsidRDefault="00DB373E" w:rsidP="00B657AF">
          <w:pPr>
            <w:pStyle w:val="RectoFooter"/>
          </w:pPr>
          <w:r>
            <w:t xml:space="preserve">APPENDICES: </w:t>
          </w:r>
          <w:r w:rsidRPr="00835945">
            <w:t>Strategy to Prevent and Minimise Gambling Harm 2025/26 to 2027/28</w:t>
          </w:r>
          <w:r>
            <w:t xml:space="preserve">: </w:t>
          </w:r>
          <w:r>
            <w:br/>
          </w:r>
        </w:p>
      </w:tc>
      <w:tc>
        <w:tcPr>
          <w:tcW w:w="709" w:type="dxa"/>
          <w:vAlign w:val="center"/>
        </w:tcPr>
        <w:p w14:paraId="3CD30E8D" w14:textId="77777777" w:rsidR="00DB373E" w:rsidRPr="00931466" w:rsidRDefault="00DB373E" w:rsidP="00B657AF">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03A1C7EC" w14:textId="77777777" w:rsidR="00DB373E" w:rsidRPr="00581EB8" w:rsidRDefault="00DB373E"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3BA45F09" w:rsidR="00DB373E" w:rsidRPr="00581136" w:rsidRDefault="00DB373E" w:rsidP="005A79E5">
    <w:pPr>
      <w:pStyle w:val="Footer"/>
      <w:pBdr>
        <w:bottom w:val="single" w:sz="4" w:space="1" w:color="auto"/>
      </w:pBdr>
      <w:tabs>
        <w:tab w:val="right" w:pos="9639"/>
      </w:tabs>
      <w:rPr>
        <w:b/>
      </w:rPr>
    </w:pPr>
    <w:r w:rsidRPr="00581136">
      <w:rPr>
        <w:b/>
      </w:rPr>
      <w:t>Released 20</w:t>
    </w:r>
    <w:r>
      <w:rPr>
        <w:b/>
      </w:rPr>
      <w:t>25</w:t>
    </w:r>
    <w:r w:rsidRPr="00581136">
      <w:rPr>
        <w:b/>
      </w:rPr>
      <w:tab/>
      <w:t>health.govt.nz</w:t>
    </w:r>
  </w:p>
  <w:p w14:paraId="524869F6" w14:textId="77777777" w:rsidR="00DB373E" w:rsidRPr="005A79E5" w:rsidRDefault="00DB373E">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DB373E" w:rsidRDefault="00DB373E" w:rsidP="004D6689">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DB373E" w:rsidRDefault="00DB37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DB373E" w14:paraId="4C3A3BF7" w14:textId="77777777" w:rsidTr="00D662F8">
      <w:trPr>
        <w:cantSplit/>
      </w:trPr>
      <w:tc>
        <w:tcPr>
          <w:tcW w:w="709" w:type="dxa"/>
          <w:vAlign w:val="center"/>
        </w:tcPr>
        <w:p w14:paraId="28F87ED7" w14:textId="77777777" w:rsidR="00DB373E" w:rsidRPr="00931466" w:rsidRDefault="00DB373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6A38C197" w:rsidR="00DB373E" w:rsidRDefault="00DB373E" w:rsidP="00926083">
          <w:pPr>
            <w:pStyle w:val="RectoFooter"/>
            <w:jc w:val="left"/>
          </w:pPr>
          <w:r>
            <w:t xml:space="preserve">APPENDICES: </w:t>
          </w:r>
          <w:r w:rsidRPr="00835945">
            <w:t>Strategy to Prevent and Minimise Gambling Harm 2025/26 to 2027/28</w:t>
          </w:r>
        </w:p>
      </w:tc>
    </w:tr>
  </w:tbl>
  <w:p w14:paraId="711B5D80" w14:textId="77777777" w:rsidR="00DB373E" w:rsidRPr="00571223" w:rsidRDefault="00DB373E"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B373E" w14:paraId="58AAB149" w14:textId="77777777" w:rsidTr="00D662F8">
      <w:trPr>
        <w:cantSplit/>
      </w:trPr>
      <w:tc>
        <w:tcPr>
          <w:tcW w:w="8080" w:type="dxa"/>
          <w:vAlign w:val="center"/>
        </w:tcPr>
        <w:p w14:paraId="20E2F0CC" w14:textId="4563AFC6" w:rsidR="00DB373E" w:rsidRDefault="00DB373E" w:rsidP="00926083">
          <w:pPr>
            <w:pStyle w:val="RectoFooter"/>
          </w:pPr>
          <w:r>
            <w:t xml:space="preserve">APPENDICES: </w:t>
          </w:r>
          <w:r w:rsidRPr="00835945">
            <w:t>Strategy to Prevent and Minimise Gambling Harm 2025/26 to 2027/28</w:t>
          </w:r>
          <w:r>
            <w:t xml:space="preserve"> </w:t>
          </w:r>
        </w:p>
      </w:tc>
      <w:tc>
        <w:tcPr>
          <w:tcW w:w="709" w:type="dxa"/>
          <w:vAlign w:val="center"/>
        </w:tcPr>
        <w:p w14:paraId="3D3C9847" w14:textId="77777777" w:rsidR="00DB373E" w:rsidRPr="00931466" w:rsidRDefault="00DB373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DB373E" w:rsidRPr="00581EB8" w:rsidRDefault="00DB373E" w:rsidP="00581EB8">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DB373E" w14:paraId="446A4E45" w14:textId="77777777" w:rsidTr="00D662F8">
      <w:trPr>
        <w:cantSplit/>
      </w:trPr>
      <w:tc>
        <w:tcPr>
          <w:tcW w:w="709" w:type="dxa"/>
          <w:vAlign w:val="center"/>
        </w:tcPr>
        <w:p w14:paraId="44A86804" w14:textId="65DE6A61" w:rsidR="00DB373E" w:rsidRPr="00931466" w:rsidRDefault="00DB373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0BAB445D" w14:textId="7DCA7209" w:rsidR="00DB373E" w:rsidRDefault="00DB373E" w:rsidP="00926083">
          <w:pPr>
            <w:pStyle w:val="RectoFooter"/>
            <w:jc w:val="left"/>
          </w:pPr>
          <w:r>
            <w:t xml:space="preserve">APPENDICES: </w:t>
          </w:r>
          <w:r w:rsidRPr="00835945">
            <w:t>Strategy to Prevent and Minimise Gambling Harm 2025/26 to 2027/28</w:t>
          </w:r>
          <w:r>
            <w:t xml:space="preserve">: </w:t>
          </w:r>
        </w:p>
      </w:tc>
    </w:tr>
  </w:tbl>
  <w:p w14:paraId="3D498688" w14:textId="77777777" w:rsidR="00DB373E" w:rsidRPr="00571223" w:rsidRDefault="00DB373E"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50"/>
      <w:gridCol w:w="709"/>
    </w:tblGrid>
    <w:tr w:rsidR="00DB373E" w14:paraId="2E7E9543" w14:textId="77777777" w:rsidTr="00BB5615">
      <w:trPr>
        <w:cantSplit/>
      </w:trPr>
      <w:tc>
        <w:tcPr>
          <w:tcW w:w="13750" w:type="dxa"/>
          <w:vAlign w:val="center"/>
        </w:tcPr>
        <w:p w14:paraId="44E0AF94" w14:textId="7935DF29" w:rsidR="00DB373E" w:rsidRDefault="00DB373E" w:rsidP="00B657AF">
          <w:pPr>
            <w:pStyle w:val="RectoFooter"/>
          </w:pPr>
          <w:r>
            <w:t xml:space="preserve">APPENDICES: </w:t>
          </w:r>
          <w:r w:rsidRPr="00835945">
            <w:t>Strategy to Prevent and Minimise Gambling Harm 2025/26 to 2027/28</w:t>
          </w:r>
          <w:r>
            <w:t xml:space="preserve"> </w:t>
          </w:r>
        </w:p>
      </w:tc>
      <w:tc>
        <w:tcPr>
          <w:tcW w:w="709" w:type="dxa"/>
          <w:vAlign w:val="center"/>
        </w:tcPr>
        <w:p w14:paraId="7ABC8D1D" w14:textId="77777777" w:rsidR="00DB373E" w:rsidRPr="00931466" w:rsidRDefault="00DB373E" w:rsidP="00B657AF">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4930EB67" w14:textId="77777777" w:rsidR="00DB373E" w:rsidRPr="00581EB8" w:rsidRDefault="00DB373E"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DB373E" w14:paraId="3F108430" w14:textId="77777777" w:rsidTr="00D662F8">
      <w:trPr>
        <w:cantSplit/>
      </w:trPr>
      <w:tc>
        <w:tcPr>
          <w:tcW w:w="709" w:type="dxa"/>
          <w:vAlign w:val="center"/>
        </w:tcPr>
        <w:p w14:paraId="12D8499B" w14:textId="77777777" w:rsidR="00DB373E" w:rsidRPr="00931466" w:rsidRDefault="00DB373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0E8C7FD3" w14:textId="4AE37121" w:rsidR="00DB373E" w:rsidRDefault="00DB373E" w:rsidP="00926083">
          <w:pPr>
            <w:pStyle w:val="RectoFooter"/>
            <w:jc w:val="left"/>
          </w:pPr>
          <w:r>
            <w:t xml:space="preserve">APPENDICES: </w:t>
          </w:r>
          <w:r w:rsidRPr="00835945">
            <w:t>Strategy to Prevent and Minimise Gambling Harm 2025/26 to 2027/28</w:t>
          </w:r>
          <w:r>
            <w:t xml:space="preserve">: </w:t>
          </w:r>
        </w:p>
      </w:tc>
    </w:tr>
  </w:tbl>
  <w:p w14:paraId="77AC0AAA" w14:textId="77777777" w:rsidR="00DB373E" w:rsidRPr="00571223" w:rsidRDefault="00DB373E"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6652B" w14:textId="77777777" w:rsidR="00C56EE9" w:rsidRPr="00A26E6B" w:rsidRDefault="00C56EE9" w:rsidP="00A26E6B"/>
  </w:footnote>
  <w:footnote w:type="continuationSeparator" w:id="0">
    <w:p w14:paraId="40C316E3" w14:textId="77777777" w:rsidR="00C56EE9" w:rsidRDefault="00C56EE9">
      <w:r>
        <w:continuationSeparator/>
      </w:r>
    </w:p>
    <w:p w14:paraId="1751CC46" w14:textId="77777777" w:rsidR="00C56EE9" w:rsidRDefault="00C56EE9"/>
  </w:footnote>
  <w:footnote w:type="continuationNotice" w:id="1">
    <w:p w14:paraId="4A159784" w14:textId="77777777" w:rsidR="00C56EE9" w:rsidRDefault="00C56EE9"/>
  </w:footnote>
  <w:footnote w:id="2">
    <w:p w14:paraId="6CD0A554" w14:textId="77777777" w:rsidR="00DB373E" w:rsidRDefault="00DB373E" w:rsidP="009616E5">
      <w:pPr>
        <w:pStyle w:val="FootnoteText"/>
      </w:pPr>
      <w:r>
        <w:rPr>
          <w:rStyle w:val="FootnoteReference"/>
        </w:rPr>
        <w:footnoteRef/>
      </w:r>
      <w:r>
        <w:t xml:space="preserve"> TAB retail outlets include bars and restaurants; sports and racing clubs; TAB stores and self-service options.</w:t>
      </w:r>
    </w:p>
  </w:footnote>
  <w:footnote w:id="3">
    <w:p w14:paraId="7B6940EA" w14:textId="77777777" w:rsidR="00DB373E" w:rsidRDefault="00DB373E" w:rsidP="00A52393">
      <w:pPr>
        <w:pStyle w:val="FootnoteText"/>
      </w:pPr>
      <w:r>
        <w:rPr>
          <w:rStyle w:val="FootnoteReference"/>
        </w:rPr>
        <w:footnoteRef/>
      </w:r>
      <w:r>
        <w:t xml:space="preserve"> Tran et al “The prevalence of gambling and problematic gambling: a systematic review and meta analysis” Lancet Public Health 2024 Vol 9 e594-613</w:t>
      </w:r>
    </w:p>
  </w:footnote>
  <w:footnote w:id="4">
    <w:p w14:paraId="151E51F0" w14:textId="2A0C1C0B" w:rsidR="00DB373E" w:rsidRDefault="00DB373E">
      <w:pPr>
        <w:pStyle w:val="FootnoteText"/>
      </w:pPr>
      <w:r>
        <w:rPr>
          <w:rStyle w:val="FootnoteReference"/>
        </w:rPr>
        <w:footnoteRef/>
      </w:r>
      <w:r>
        <w:t xml:space="preserve"> </w:t>
      </w:r>
      <w:r w:rsidRPr="00064F44">
        <w:t>Wardle H</w:t>
      </w:r>
      <w:r>
        <w:t xml:space="preserve"> et al </w:t>
      </w:r>
      <w:r w:rsidRPr="00064F44">
        <w:t>The Lancet Public Health Commission on gambling. Lancet Public Health.</w:t>
      </w:r>
      <w:r w:rsidRPr="00CE5A11">
        <w:t xml:space="preserve"> 2024 Oct 16 </w:t>
      </w:r>
      <w:hyperlink r:id="rId1" w:history="1">
        <w:r w:rsidR="008C3193" w:rsidRPr="008C3193">
          <w:rPr>
            <w:rStyle w:val="Hyperlink"/>
          </w:rPr>
          <w:t xml:space="preserve">pubmed.ncbi.nlm.nih.gov/39491880/ </w:t>
        </w:r>
      </w:hyperlink>
      <w:r w:rsidR="00A42689">
        <w:t>(accessed 28 February 2025).</w:t>
      </w:r>
    </w:p>
  </w:footnote>
  <w:footnote w:id="5">
    <w:p w14:paraId="1B637ECE" w14:textId="77777777" w:rsidR="00DB373E" w:rsidRPr="00653A83" w:rsidRDefault="00DB373E" w:rsidP="009616E5">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776367">
        <w:t>Growth rates have been above 20% most years; though a 7% decline in 2022/23 reflected especially high rates of online gambling during the pandemic in 2021/22.</w:t>
      </w:r>
    </w:p>
  </w:footnote>
  <w:footnote w:id="6">
    <w:p w14:paraId="53045EE8" w14:textId="77777777" w:rsidR="00DB373E" w:rsidRPr="00653A83" w:rsidRDefault="00DB373E" w:rsidP="009616E5">
      <w:pPr>
        <w:pStyle w:val="FootnoteText"/>
        <w:rPr>
          <w:rFonts w:cstheme="minorHAnsi"/>
          <w:sz w:val="16"/>
          <w:szCs w:val="16"/>
        </w:rPr>
      </w:pPr>
      <w:r w:rsidRPr="00653A83">
        <w:rPr>
          <w:rStyle w:val="FootnoteReference"/>
          <w:rFonts w:cstheme="minorHAnsi"/>
          <w:sz w:val="16"/>
          <w:szCs w:val="16"/>
        </w:rPr>
        <w:footnoteRef/>
      </w:r>
      <w:r w:rsidRPr="00653A83">
        <w:rPr>
          <w:rFonts w:cstheme="minorHAnsi"/>
          <w:sz w:val="16"/>
          <w:szCs w:val="16"/>
        </w:rPr>
        <w:t xml:space="preserve"> </w:t>
      </w:r>
      <w:r w:rsidRPr="00776367">
        <w:t>This figure includes all forms of offshore gambling, including sports and race betting.</w:t>
      </w:r>
    </w:p>
  </w:footnote>
  <w:footnote w:id="7">
    <w:p w14:paraId="5F3F9730" w14:textId="063BFFB3" w:rsidR="00DB373E" w:rsidRDefault="00DB373E">
      <w:pPr>
        <w:pStyle w:val="FootnoteText"/>
      </w:pPr>
      <w:r>
        <w:rPr>
          <w:rStyle w:val="FootnoteReference"/>
        </w:rPr>
        <w:footnoteRef/>
      </w:r>
      <w:r>
        <w:t xml:space="preserve"> NZGS 2023/24 </w:t>
      </w:r>
      <w:hyperlink r:id="rId2" w:history="1">
        <w:r w:rsidR="008C3193">
          <w:rPr>
            <w:rStyle w:val="Hyperlink"/>
          </w:rPr>
          <w:t>kupe.healthpromotion.govt.nz/nzgs/</w:t>
        </w:r>
      </w:hyperlink>
    </w:p>
  </w:footnote>
  <w:footnote w:id="8">
    <w:p w14:paraId="419777A3" w14:textId="40BF9ABC" w:rsidR="00DB373E" w:rsidRDefault="00DB373E">
      <w:pPr>
        <w:pStyle w:val="FootnoteText"/>
      </w:pPr>
      <w:r>
        <w:rPr>
          <w:rStyle w:val="FootnoteReference"/>
        </w:rPr>
        <w:footnoteRef/>
      </w:r>
      <w:r>
        <w:t xml:space="preserve"> </w:t>
      </w:r>
      <w:r w:rsidRPr="00B729F8">
        <w:t>Malatest International</w:t>
      </w:r>
      <w:r>
        <w:t>. 2024.</w:t>
      </w:r>
      <w:r w:rsidRPr="00B729F8">
        <w:t xml:space="preserve"> </w:t>
      </w:r>
      <w:r w:rsidRPr="00712CEF">
        <w:rPr>
          <w:i/>
          <w:iCs/>
        </w:rPr>
        <w:t>Gambling Harm Needs Assessment 202</w:t>
      </w:r>
      <w:r>
        <w:rPr>
          <w:i/>
          <w:iCs/>
        </w:rPr>
        <w:t>4</w:t>
      </w:r>
      <w:r>
        <w:t>. Wellington: Ministry of Health. The Gambling Act requires the Ministry to obtain a needs assessment as part of the strategy development.</w:t>
      </w:r>
    </w:p>
  </w:footnote>
  <w:footnote w:id="9">
    <w:p w14:paraId="69B9BB5A" w14:textId="77777777" w:rsidR="00DB373E" w:rsidRPr="00653A83" w:rsidRDefault="00DB373E" w:rsidP="009616E5">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6B4A33">
        <w:t>Continuous gambling is gambling where a person can immediately ‘reinvest’ their winnings in further gambling, for example, gaming machines (in or separate from a casino), casino table games, ‘scratchies’ (Instant Kiwi) and sports/race betting. Non-continuous gambling is where there is a delay of many hours or days between placing a stake or buying a ticket and receiving the result of a win or loss (for example, traditional lottery draws and raffles).</w:t>
      </w:r>
    </w:p>
  </w:footnote>
  <w:footnote w:id="10">
    <w:p w14:paraId="15555A11" w14:textId="77777777" w:rsidR="00DB373E" w:rsidRPr="00653A83" w:rsidRDefault="00DB373E" w:rsidP="009616E5">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6B4A33">
        <w:t>Abbott M. 2006. Do EGMs and problem gambling go together like a horse and carriage? Gambling Research: Journal of the National Association for Gambling Studies (Australia) 18(1): 7–38.</w:t>
      </w:r>
    </w:p>
  </w:footnote>
  <w:footnote w:id="11">
    <w:p w14:paraId="066D0703" w14:textId="77777777" w:rsidR="00DB373E" w:rsidRPr="00AC3B50" w:rsidRDefault="00DB373E" w:rsidP="009616E5">
      <w:pPr>
        <w:pStyle w:val="FootnoteText"/>
      </w:pPr>
      <w:r w:rsidRPr="0FD73C6D">
        <w:rPr>
          <w:rStyle w:val="FootnoteReference"/>
        </w:rPr>
        <w:footnoteRef/>
      </w:r>
      <w:r>
        <w:t xml:space="preserve"> </w:t>
      </w:r>
      <w:r w:rsidRPr="006B4A33">
        <w:t>In video gaming, a loot box is a virtual container or prize crate, a bit like a lucky dip, that players buy in a game with real or in-game money and that holds a random virtual item or ‘loot’ players can use in the game, such as a special ability to add to a player’s avatar or equipment like weapons or armour.</w:t>
      </w:r>
    </w:p>
  </w:footnote>
  <w:footnote w:id="12">
    <w:p w14:paraId="1FB2A07C" w14:textId="77777777" w:rsidR="00DB373E" w:rsidRPr="00C074DA" w:rsidRDefault="00DB373E" w:rsidP="009616E5">
      <w:pPr>
        <w:pStyle w:val="FootnoteText"/>
        <w:rPr>
          <w:lang w:val="en-GB"/>
        </w:rPr>
      </w:pPr>
      <w:r>
        <w:rPr>
          <w:rStyle w:val="FootnoteReference"/>
        </w:rPr>
        <w:footnoteRef/>
      </w:r>
      <w:r>
        <w:t xml:space="preserve"> </w:t>
      </w:r>
      <w:r w:rsidRPr="006B4A33">
        <w:t>In video gaming, any object that adds temporary benefits or abilities to the player’s character or avatar.</w:t>
      </w:r>
    </w:p>
  </w:footnote>
  <w:footnote w:id="13">
    <w:p w14:paraId="22C376D6" w14:textId="7626D1DE" w:rsidR="00DB373E" w:rsidRPr="00CE0047" w:rsidRDefault="00DB373E" w:rsidP="009616E5">
      <w:pPr>
        <w:pStyle w:val="FootnoteText"/>
      </w:pPr>
      <w:r w:rsidRPr="00653A83">
        <w:rPr>
          <w:rStyle w:val="FootnoteReference"/>
          <w:rFonts w:cstheme="minorHAnsi"/>
          <w:sz w:val="16"/>
          <w:szCs w:val="16"/>
        </w:rPr>
        <w:footnoteRef/>
      </w:r>
      <w:r w:rsidRPr="00CE0047">
        <w:t xml:space="preserve"> </w:t>
      </w:r>
      <w:r>
        <w:t xml:space="preserve">NZGS 2023/24 </w:t>
      </w:r>
      <w:hyperlink r:id="rId3" w:history="1">
        <w:r w:rsidR="002028ED">
          <w:rPr>
            <w:rStyle w:val="Hyperlink"/>
          </w:rPr>
          <w:t>kupe.healthpromotion.govt.nz/nzgs/</w:t>
        </w:r>
      </w:hyperlink>
    </w:p>
  </w:footnote>
  <w:footnote w:id="14">
    <w:p w14:paraId="3FB2B5A7" w14:textId="067BD77D" w:rsidR="00DB373E" w:rsidRPr="00653A83" w:rsidRDefault="00DB373E" w:rsidP="009616E5">
      <w:pPr>
        <w:pStyle w:val="FootnoteText"/>
        <w:rPr>
          <w:rFonts w:cstheme="minorHAnsi"/>
          <w:sz w:val="16"/>
          <w:szCs w:val="16"/>
        </w:rPr>
      </w:pPr>
      <w:r w:rsidRPr="00991E03">
        <w:rPr>
          <w:rStyle w:val="FootnoteReference"/>
          <w:sz w:val="16"/>
          <w:szCs w:val="18"/>
        </w:rPr>
        <w:footnoteRef/>
      </w:r>
      <w:r w:rsidRPr="00CE0047">
        <w:t xml:space="preserve"> Note these trends change if figures are adjusted for inflation. They can be viewed on the Gambling Expenditure Statistics Report webpage of the Data.govt.nz website </w:t>
      </w:r>
      <w:r>
        <w:t>at:</w:t>
      </w:r>
      <w:r w:rsidRPr="00653A83">
        <w:t xml:space="preserve"> </w:t>
      </w:r>
      <w:hyperlink r:id="rId4" w:history="1">
        <w:r w:rsidR="002028ED">
          <w:rPr>
            <w:rStyle w:val="Hyperlink"/>
          </w:rPr>
          <w:t>catalogue.data.govt.nz/dataset/gambling-expenditure-statistics/resource/941f3304-75a7-48b7-8af0-8d6733881a36</w:t>
        </w:r>
      </w:hyperlink>
      <w:r w:rsidRPr="00653A83">
        <w:rPr>
          <w:rFonts w:cstheme="minorHAnsi"/>
          <w:sz w:val="16"/>
          <w:szCs w:val="16"/>
          <w:lang w:eastAsia="en-NZ"/>
        </w:rPr>
        <w:t xml:space="preserve"> </w:t>
      </w:r>
    </w:p>
  </w:footnote>
  <w:footnote w:id="15">
    <w:p w14:paraId="45EF8D34" w14:textId="5130E545" w:rsidR="00DB373E" w:rsidRPr="00CE0047" w:rsidRDefault="00DB373E" w:rsidP="009616E5">
      <w:pPr>
        <w:pStyle w:val="FootnoteText"/>
      </w:pPr>
      <w:r w:rsidRPr="00653A83">
        <w:rPr>
          <w:rStyle w:val="FootnoteReference"/>
          <w:rFonts w:cstheme="minorHAnsi"/>
          <w:sz w:val="16"/>
          <w:szCs w:val="16"/>
        </w:rPr>
        <w:footnoteRef/>
      </w:r>
      <w:r w:rsidRPr="00CE0047">
        <w:t xml:space="preserve"> DIA. Gambling expenditure </w:t>
      </w:r>
      <w:hyperlink r:id="rId5" w:history="1">
        <w:r w:rsidR="002C0F5D">
          <w:rPr>
            <w:rStyle w:val="Hyperlink"/>
          </w:rPr>
          <w:t>dia.govt.nz/gambling-statistics-expenditure</w:t>
        </w:r>
      </w:hyperlink>
      <w:r>
        <w:t xml:space="preserve"> and figures supplied by DIA.</w:t>
      </w:r>
    </w:p>
  </w:footnote>
  <w:footnote w:id="16">
    <w:p w14:paraId="1208CCF3" w14:textId="2FC528E4" w:rsidR="00DB373E" w:rsidRPr="00653A83" w:rsidRDefault="00DB373E" w:rsidP="009616E5">
      <w:pPr>
        <w:pStyle w:val="FootnoteText"/>
        <w:rPr>
          <w:rFonts w:cstheme="minorHAnsi"/>
          <w:sz w:val="16"/>
          <w:szCs w:val="16"/>
          <w:lang w:val="mi-NZ"/>
        </w:rPr>
      </w:pPr>
      <w:r w:rsidRPr="00653A83">
        <w:rPr>
          <w:rStyle w:val="FootnoteReference"/>
          <w:rFonts w:cstheme="minorHAnsi"/>
          <w:sz w:val="16"/>
          <w:szCs w:val="16"/>
        </w:rPr>
        <w:footnoteRef/>
      </w:r>
      <w:r w:rsidRPr="00653A83">
        <w:rPr>
          <w:rFonts w:cstheme="minorHAnsi"/>
          <w:sz w:val="16"/>
          <w:szCs w:val="16"/>
        </w:rPr>
        <w:t xml:space="preserve"> </w:t>
      </w:r>
      <w:r w:rsidRPr="006B4A33">
        <w:rPr>
          <w:rFonts w:cstheme="minorHAnsi"/>
          <w:szCs w:val="17"/>
        </w:rPr>
        <w:t xml:space="preserve">Central Queensland University and Auckland University of Technology. 2017. </w:t>
      </w:r>
      <w:r w:rsidRPr="006B4A33">
        <w:rPr>
          <w:rFonts w:cstheme="minorHAnsi"/>
          <w:i/>
          <w:iCs/>
          <w:szCs w:val="17"/>
        </w:rPr>
        <w:t>Measuring the Burden of Gambling Harm in New Zealand</w:t>
      </w:r>
      <w:r w:rsidRPr="006B4A33">
        <w:rPr>
          <w:rFonts w:cstheme="minorHAnsi"/>
          <w:szCs w:val="17"/>
        </w:rPr>
        <w:t xml:space="preserve">. Wellington: Ministry of Health, p 58. URL: </w:t>
      </w:r>
      <w:hyperlink r:id="rId6" w:history="1">
        <w:r w:rsidR="00A44D1D">
          <w:rPr>
            <w:rStyle w:val="Hyperlink"/>
            <w:rFonts w:cstheme="minorHAnsi"/>
            <w:szCs w:val="17"/>
          </w:rPr>
          <w:t>health.govt.nz/publications/measuring-the-burden-of-gambling-harm-in-new-zealand</w:t>
        </w:r>
      </w:hyperlink>
      <w:r w:rsidRPr="006B4A33">
        <w:rPr>
          <w:rFonts w:cstheme="minorHAnsi"/>
          <w:szCs w:val="17"/>
        </w:rPr>
        <w:t xml:space="preserve"> (accessed </w:t>
      </w:r>
      <w:r w:rsidR="008724FF">
        <w:rPr>
          <w:rFonts w:cstheme="minorHAnsi"/>
          <w:szCs w:val="17"/>
        </w:rPr>
        <w:t>21 May 2025</w:t>
      </w:r>
      <w:r w:rsidRPr="006B4A33">
        <w:rPr>
          <w:rFonts w:cstheme="minorHAnsi"/>
          <w:szCs w:val="17"/>
        </w:rPr>
        <w:t>).</w:t>
      </w:r>
    </w:p>
  </w:footnote>
  <w:footnote w:id="17">
    <w:p w14:paraId="76AB3D92" w14:textId="77777777" w:rsidR="00DB373E" w:rsidRPr="00653A83" w:rsidRDefault="00DB373E" w:rsidP="009616E5">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6B4A33">
        <w:rPr>
          <w:rFonts w:cstheme="minorHAnsi"/>
          <w:szCs w:val="17"/>
        </w:rPr>
        <w:t>Ferris JA, Wynne HJ. 2001. The Canadian Problem Gambling Index. Ottawa, ON: Canadian Centre on Substance Abuse, pp. 1–59.</w:t>
      </w:r>
    </w:p>
  </w:footnote>
  <w:footnote w:id="18">
    <w:p w14:paraId="22660C31" w14:textId="78130A58" w:rsidR="00DB373E" w:rsidRPr="00D07ACB" w:rsidRDefault="00DB373E" w:rsidP="009616E5">
      <w:pPr>
        <w:pStyle w:val="FootnoteText"/>
        <w:rPr>
          <w:lang w:val="en-GB"/>
        </w:rPr>
      </w:pPr>
      <w:r>
        <w:rPr>
          <w:rStyle w:val="FootnoteReference"/>
        </w:rPr>
        <w:footnoteRef/>
      </w:r>
      <w:r>
        <w:t xml:space="preserve"> </w:t>
      </w:r>
      <w:r w:rsidR="003E6AF2" w:rsidRPr="003E6AF2">
        <w:t>NZGS 2023/24</w:t>
      </w:r>
      <w:r w:rsidRPr="00C61A96">
        <w:t xml:space="preserve"> </w:t>
      </w:r>
      <w:hyperlink r:id="rId7" w:history="1">
        <w:r w:rsidR="003E6AF2" w:rsidRPr="003E6AF2">
          <w:rPr>
            <w:rStyle w:val="Hyperlink"/>
          </w:rPr>
          <w:t>kupe.healthpromotion.govt.nz/nzgs/</w:t>
        </w:r>
      </w:hyperlink>
    </w:p>
  </w:footnote>
  <w:footnote w:id="19">
    <w:p w14:paraId="3FEE7AE8" w14:textId="64415486" w:rsidR="00DB373E" w:rsidRPr="00653A83" w:rsidRDefault="00DB373E" w:rsidP="009616E5">
      <w:pPr>
        <w:pStyle w:val="FootnoteText"/>
        <w:rPr>
          <w:lang w:val="en-US"/>
        </w:rPr>
      </w:pPr>
      <w:r w:rsidRPr="00653A83">
        <w:rPr>
          <w:rStyle w:val="FootnoteReference"/>
          <w:rFonts w:cstheme="minorHAnsi"/>
          <w:sz w:val="16"/>
          <w:szCs w:val="16"/>
        </w:rPr>
        <w:footnoteRef/>
      </w:r>
      <w:r w:rsidRPr="00653A83">
        <w:t xml:space="preserve"> Te Hiringa Hauora. 2020. </w:t>
      </w:r>
      <w:r w:rsidRPr="00AA4E79">
        <w:rPr>
          <w:i/>
        </w:rPr>
        <w:t>Health</w:t>
      </w:r>
      <w:r w:rsidRPr="00653A83">
        <w:rPr>
          <w:i/>
        </w:rPr>
        <w:t xml:space="preserve"> and Lifestyles Survey Gambling </w:t>
      </w:r>
      <w:r>
        <w:rPr>
          <w:i/>
        </w:rPr>
        <w:t>h</w:t>
      </w:r>
      <w:r w:rsidRPr="00653A83">
        <w:rPr>
          <w:i/>
        </w:rPr>
        <w:t>arm</w:t>
      </w:r>
      <w:r w:rsidRPr="00653A83">
        <w:t xml:space="preserve">. URL: </w:t>
      </w:r>
      <w:hyperlink r:id="rId8" w:history="1">
        <w:r w:rsidR="00090249">
          <w:rPr>
            <w:rStyle w:val="Hyperlink"/>
          </w:rPr>
          <w:t>kupe.healthpromotion.govt.nz</w:t>
        </w:r>
      </w:hyperlink>
    </w:p>
  </w:footnote>
  <w:footnote w:id="20">
    <w:p w14:paraId="3AEDFE95" w14:textId="77777777" w:rsidR="00DB373E" w:rsidRPr="006B4A33" w:rsidRDefault="00DB373E" w:rsidP="009616E5">
      <w:pPr>
        <w:pStyle w:val="FootnoteText"/>
        <w:rPr>
          <w:szCs w:val="17"/>
        </w:rPr>
      </w:pPr>
      <w:r w:rsidRPr="00653A83">
        <w:rPr>
          <w:rStyle w:val="FootnoteReference"/>
          <w:rFonts w:cstheme="minorHAnsi"/>
          <w:sz w:val="16"/>
          <w:szCs w:val="16"/>
        </w:rPr>
        <w:footnoteRef/>
      </w:r>
      <w:r w:rsidRPr="000357A0">
        <w:t xml:space="preserve"> </w:t>
      </w:r>
      <w:r w:rsidRPr="006B4A33">
        <w:rPr>
          <w:szCs w:val="17"/>
        </w:rPr>
        <w:t>Te Hiringa Hauora. 2021. Results from the Health and Lifestyles Survey 2020.</w:t>
      </w:r>
    </w:p>
  </w:footnote>
  <w:footnote w:id="21">
    <w:p w14:paraId="6883AAC4" w14:textId="13922CD5" w:rsidR="00DB373E" w:rsidRDefault="00DB373E">
      <w:pPr>
        <w:pStyle w:val="FootnoteText"/>
      </w:pPr>
      <w:r>
        <w:rPr>
          <w:rStyle w:val="FootnoteReference"/>
        </w:rPr>
        <w:footnoteRef/>
      </w:r>
      <w:r>
        <w:t xml:space="preserve"> 2023/24 NZGS </w:t>
      </w:r>
      <w:hyperlink r:id="rId9" w:history="1">
        <w:r w:rsidRPr="00090249">
          <w:rPr>
            <w:rStyle w:val="Hyperlink"/>
          </w:rPr>
          <w:t>kupe.healthpromotion.govt.nz/nzgs</w:t>
        </w:r>
      </w:hyperlink>
    </w:p>
  </w:footnote>
  <w:footnote w:id="22">
    <w:p w14:paraId="574C6DF9" w14:textId="52696A36" w:rsidR="00DB373E" w:rsidRPr="006B4A33" w:rsidRDefault="00DB373E" w:rsidP="009616E5">
      <w:pPr>
        <w:pStyle w:val="FootnoteText"/>
        <w:rPr>
          <w:szCs w:val="17"/>
          <w:lang w:val="en-US"/>
        </w:rPr>
      </w:pPr>
      <w:r w:rsidRPr="006B4A33">
        <w:rPr>
          <w:rStyle w:val="FootnoteReference"/>
          <w:rFonts w:cstheme="minorHAnsi"/>
          <w:szCs w:val="17"/>
        </w:rPr>
        <w:footnoteRef/>
      </w:r>
      <w:r w:rsidRPr="006B4A33">
        <w:rPr>
          <w:szCs w:val="17"/>
        </w:rPr>
        <w:t xml:space="preserve"> The 2017 study </w:t>
      </w:r>
      <w:r w:rsidRPr="006B4A33">
        <w:rPr>
          <w:i/>
          <w:szCs w:val="17"/>
        </w:rPr>
        <w:t>Measuring the Burden of Gambling Harm in New Zealand</w:t>
      </w:r>
      <w:r w:rsidRPr="006B4A33">
        <w:rPr>
          <w:szCs w:val="17"/>
        </w:rPr>
        <w:t xml:space="preserve"> estimated that, in 2012, there were 161,928 years of life lost to incapacity as a result of harms from gambling (Central Queensland University and Auckland University of Technology. 2017. </w:t>
      </w:r>
      <w:r w:rsidRPr="006B4A33">
        <w:rPr>
          <w:i/>
          <w:szCs w:val="17"/>
        </w:rPr>
        <w:t>Measuring the Burden of Gambling Harm in New Zealand</w:t>
      </w:r>
      <w:r w:rsidRPr="006B4A33">
        <w:rPr>
          <w:szCs w:val="17"/>
        </w:rPr>
        <w:t>. Wellington: Ministry of Health. URL</w:t>
      </w:r>
      <w:r>
        <w:rPr>
          <w:szCs w:val="17"/>
        </w:rPr>
        <w:t>:</w:t>
      </w:r>
      <w:r w:rsidRPr="00261F6B">
        <w:t xml:space="preserve"> </w:t>
      </w:r>
      <w:hyperlink r:id="rId10" w:history="1">
        <w:r w:rsidR="00090249" w:rsidRPr="00090249">
          <w:rPr>
            <w:rStyle w:val="Hyperlink"/>
          </w:rPr>
          <w:t>health.govt.nz/publications/measuring-the-burden-of-gambling-harm-in-new-zealand</w:t>
        </w:r>
      </w:hyperlink>
    </w:p>
  </w:footnote>
  <w:footnote w:id="23">
    <w:p w14:paraId="2A23CD1D" w14:textId="77777777" w:rsidR="00DB373E" w:rsidRPr="006B4A33" w:rsidRDefault="00DB373E" w:rsidP="009616E5">
      <w:pPr>
        <w:pStyle w:val="FootnoteText"/>
        <w:rPr>
          <w:szCs w:val="17"/>
        </w:rPr>
      </w:pPr>
      <w:r w:rsidRPr="006B4A33">
        <w:rPr>
          <w:rStyle w:val="FootnoteReference"/>
          <w:rFonts w:cstheme="minorHAnsi"/>
          <w:szCs w:val="17"/>
        </w:rPr>
        <w:footnoteRef/>
      </w:r>
      <w:r w:rsidRPr="006B4A33">
        <w:rPr>
          <w:szCs w:val="17"/>
        </w:rPr>
        <w:t xml:space="preserve"> Gov.UK. 2023. Research and analysis: Gambling-related harms evidence review: Summary. URL: </w:t>
      </w:r>
      <w:hyperlink r:id="rId11" w:history="1">
        <w:r w:rsidRPr="006B4A33">
          <w:rPr>
            <w:rStyle w:val="Hyperlink"/>
            <w:szCs w:val="17"/>
          </w:rPr>
          <w:t>www.gov.uk/government/publications/gambling-related-harms-evidence-review/gambling-related-harms-evidence-review-summary--2</w:t>
        </w:r>
      </w:hyperlink>
    </w:p>
  </w:footnote>
  <w:footnote w:id="24">
    <w:p w14:paraId="3A809B57" w14:textId="77777777" w:rsidR="00DB373E" w:rsidRPr="006B4A33" w:rsidRDefault="00DB373E" w:rsidP="009616E5">
      <w:pPr>
        <w:pStyle w:val="FootnoteText"/>
        <w:rPr>
          <w:szCs w:val="17"/>
        </w:rPr>
      </w:pPr>
      <w:r w:rsidRPr="006B4A33">
        <w:rPr>
          <w:rStyle w:val="FootnoteReference"/>
          <w:rFonts w:cstheme="minorHAnsi"/>
          <w:szCs w:val="17"/>
        </w:rPr>
        <w:footnoteRef/>
      </w:r>
      <w:r w:rsidRPr="006B4A33">
        <w:rPr>
          <w:szCs w:val="17"/>
        </w:rPr>
        <w:t xml:space="preserve"> Andreeva M, Audette-Chapdelaine S, Brodeur M. 2022. Gambling-related completed suicides: a scoping review. </w:t>
      </w:r>
      <w:r w:rsidRPr="006B4A33">
        <w:rPr>
          <w:i/>
          <w:szCs w:val="17"/>
        </w:rPr>
        <w:t xml:space="preserve">Addiction Research &amp; </w:t>
      </w:r>
      <w:r w:rsidRPr="006B4A33">
        <w:rPr>
          <w:szCs w:val="17"/>
        </w:rPr>
        <w:t>Theory, 30(6), 391–402.</w:t>
      </w:r>
    </w:p>
  </w:footnote>
  <w:footnote w:id="25">
    <w:p w14:paraId="72D42F38" w14:textId="77777777" w:rsidR="00DB373E" w:rsidRPr="006B4A33" w:rsidRDefault="00DB373E" w:rsidP="009616E5">
      <w:pPr>
        <w:pStyle w:val="FootnoteText"/>
        <w:rPr>
          <w:szCs w:val="17"/>
          <w:lang w:val="mi-NZ"/>
        </w:rPr>
      </w:pPr>
      <w:r w:rsidRPr="006B4A33">
        <w:rPr>
          <w:rStyle w:val="FootnoteReference"/>
          <w:rFonts w:cstheme="minorHAnsi"/>
          <w:szCs w:val="17"/>
        </w:rPr>
        <w:footnoteRef/>
      </w:r>
      <w:r w:rsidRPr="006B4A33">
        <w:rPr>
          <w:szCs w:val="17"/>
        </w:rPr>
        <w:t xml:space="preserve"> </w:t>
      </w:r>
      <w:r w:rsidRPr="006B4A33">
        <w:rPr>
          <w:szCs w:val="17"/>
          <w:shd w:val="clear" w:color="auto" w:fill="FFFFFF"/>
        </w:rPr>
        <w:t>Rockloff M</w:t>
      </w:r>
      <w:r w:rsidRPr="006B4A33">
        <w:rPr>
          <w:rFonts w:cstheme="minorHAnsi"/>
          <w:color w:val="222222"/>
          <w:szCs w:val="17"/>
          <w:shd w:val="clear" w:color="auto" w:fill="FFFFFF"/>
        </w:rPr>
        <w:t>., Armstrong, T., Hing, N., Browne, M., Russell, A. M., Bellringer, M., ... &amp; Lowe, G. (</w:t>
      </w:r>
      <w:r w:rsidRPr="006B4A33">
        <w:rPr>
          <w:szCs w:val="17"/>
          <w:shd w:val="clear" w:color="auto" w:fill="FFFFFF"/>
        </w:rPr>
        <w:t xml:space="preserve">2022. Legacy gambling harms: what </w:t>
      </w:r>
      <w:r w:rsidRPr="006B4A33">
        <w:rPr>
          <w:szCs w:val="17"/>
        </w:rPr>
        <w:t>happens</w:t>
      </w:r>
      <w:r w:rsidRPr="006B4A33">
        <w:rPr>
          <w:szCs w:val="17"/>
          <w:shd w:val="clear" w:color="auto" w:fill="FFFFFF"/>
        </w:rPr>
        <w:t xml:space="preserve"> once the gambling stops? </w:t>
      </w:r>
      <w:r w:rsidRPr="006B4A33">
        <w:rPr>
          <w:i/>
          <w:szCs w:val="17"/>
          <w:shd w:val="clear" w:color="auto" w:fill="FFFFFF"/>
        </w:rPr>
        <w:t>Current Addiction Reports</w:t>
      </w:r>
      <w:r w:rsidRPr="006B4A33">
        <w:rPr>
          <w:szCs w:val="17"/>
          <w:shd w:val="clear" w:color="auto" w:fill="FFFFFF"/>
        </w:rPr>
        <w:t>, </w:t>
      </w:r>
      <w:r w:rsidRPr="006B4A33">
        <w:rPr>
          <w:i/>
          <w:szCs w:val="17"/>
          <w:shd w:val="clear" w:color="auto" w:fill="FFFFFF"/>
        </w:rPr>
        <w:t>9</w:t>
      </w:r>
      <w:r w:rsidRPr="006B4A33">
        <w:rPr>
          <w:szCs w:val="17"/>
          <w:shd w:val="clear" w:color="auto" w:fill="FFFFFF"/>
        </w:rPr>
        <w:t>(4), 392</w:t>
      </w:r>
      <w:r w:rsidRPr="006B4A33">
        <w:rPr>
          <w:rFonts w:cstheme="minorHAnsi"/>
          <w:color w:val="222222"/>
          <w:szCs w:val="17"/>
          <w:shd w:val="clear" w:color="auto" w:fill="FFFFFF"/>
        </w:rPr>
        <w:t>-399</w:t>
      </w:r>
      <w:r w:rsidRPr="006B4A33">
        <w:rPr>
          <w:szCs w:val="17"/>
          <w:shd w:val="clear" w:color="auto" w:fill="FFFFFF"/>
        </w:rPr>
        <w:t>.</w:t>
      </w:r>
    </w:p>
  </w:footnote>
  <w:footnote w:id="26">
    <w:p w14:paraId="512476A5" w14:textId="557D97F4" w:rsidR="00DB373E" w:rsidRPr="000357A0" w:rsidRDefault="00DB373E" w:rsidP="009616E5">
      <w:pPr>
        <w:pStyle w:val="FootnoteText"/>
        <w:rPr>
          <w:lang w:val="mi-NZ"/>
        </w:rPr>
      </w:pPr>
      <w:r w:rsidRPr="006B4A33">
        <w:rPr>
          <w:rStyle w:val="FootnoteReference"/>
          <w:rFonts w:cstheme="minorHAnsi"/>
          <w:szCs w:val="17"/>
        </w:rPr>
        <w:footnoteRef/>
      </w:r>
      <w:r w:rsidRPr="006B4A33">
        <w:rPr>
          <w:rFonts w:cstheme="minorHAnsi"/>
          <w:szCs w:val="17"/>
        </w:rPr>
        <w:t xml:space="preserve"> Rockloff, M., Bellringer, M. E., Lowe, G., Armstrong, T., Brown, M., Palmer Du Preez, K., Russel, A., Hing, N., &amp; Greer, N. (2022)</w:t>
      </w:r>
      <w:r w:rsidRPr="006B4A33">
        <w:rPr>
          <w:szCs w:val="17"/>
        </w:rPr>
        <w:t xml:space="preserve">. </w:t>
      </w:r>
      <w:r w:rsidRPr="006B4A33">
        <w:rPr>
          <w:i/>
          <w:szCs w:val="17"/>
        </w:rPr>
        <w:t xml:space="preserve">Life Course and Legacy </w:t>
      </w:r>
      <w:r w:rsidRPr="006B4A33">
        <w:rPr>
          <w:szCs w:val="17"/>
        </w:rPr>
        <w:t>Gambling</w:t>
      </w:r>
      <w:r w:rsidRPr="006B4A33">
        <w:rPr>
          <w:i/>
          <w:szCs w:val="17"/>
        </w:rPr>
        <w:t xml:space="preserve"> Harms in New Zealand</w:t>
      </w:r>
      <w:r w:rsidRPr="006B4A33">
        <w:rPr>
          <w:szCs w:val="17"/>
        </w:rPr>
        <w:t>. Queensland: Central Queensland University, Experimental Gambling Research Laboratory and Auckland: Auckland University of Technology, Gambling and Addictions Research Centre.</w:t>
      </w:r>
    </w:p>
  </w:footnote>
  <w:footnote w:id="27">
    <w:p w14:paraId="7EE88928" w14:textId="77777777" w:rsidR="00DB373E" w:rsidRDefault="00DB373E" w:rsidP="009616E5">
      <w:pPr>
        <w:pStyle w:val="FootnoteText"/>
      </w:pPr>
      <w:r w:rsidRPr="37EDD86C">
        <w:rPr>
          <w:rStyle w:val="FootnoteReference"/>
        </w:rPr>
        <w:footnoteRef/>
      </w:r>
      <w:r>
        <w:t xml:space="preserve"> Past HLS years information is available at </w:t>
      </w:r>
      <w:r w:rsidRPr="00253706">
        <w:rPr>
          <w:rStyle w:val="Hyperlink"/>
        </w:rPr>
        <w:t>kupe.healthpromotion.govt.nz/#!/</w:t>
      </w:r>
    </w:p>
  </w:footnote>
  <w:footnote w:id="28">
    <w:p w14:paraId="39E2AEFB" w14:textId="7DFED4CE" w:rsidR="00DB373E" w:rsidRPr="000357A0" w:rsidRDefault="00DB373E" w:rsidP="009616E5">
      <w:pPr>
        <w:pStyle w:val="FootnoteText"/>
        <w:rPr>
          <w:lang w:val="en-US"/>
        </w:rPr>
      </w:pPr>
      <w:r w:rsidRPr="00653A83">
        <w:rPr>
          <w:rStyle w:val="FootnoteReference"/>
          <w:rFonts w:cstheme="minorHAnsi"/>
          <w:sz w:val="16"/>
          <w:szCs w:val="16"/>
        </w:rPr>
        <w:footnoteRef/>
      </w:r>
      <w:r w:rsidRPr="000357A0">
        <w:t xml:space="preserve"> PGF Group. 2020. </w:t>
      </w:r>
      <w:r w:rsidRPr="000357A0">
        <w:rPr>
          <w:i/>
        </w:rPr>
        <w:t>Report to Stakeholders 2020</w:t>
      </w:r>
      <w:r w:rsidRPr="000357A0">
        <w:t xml:space="preserve">. </w:t>
      </w:r>
      <w:r w:rsidRPr="000357A0">
        <w:rPr>
          <w:i/>
        </w:rPr>
        <w:t>Te Pūrongo Ā-</w:t>
      </w:r>
      <w:r w:rsidRPr="00440560">
        <w:rPr>
          <w:i/>
          <w:iCs/>
        </w:rPr>
        <w:t>Tau</w:t>
      </w:r>
      <w:r w:rsidRPr="000357A0">
        <w:t xml:space="preserve">. Auckland: PGF Group. URL: </w:t>
      </w:r>
      <w:hyperlink r:id="rId12" w:history="1">
        <w:r w:rsidR="002761B1">
          <w:rPr>
            <w:rStyle w:val="Hyperlink"/>
            <w:rFonts w:cstheme="minorHAnsi"/>
            <w:sz w:val="16"/>
            <w:szCs w:val="16"/>
          </w:rPr>
          <w:t>pgf.nz/downloads/assets/13448/1/pgf0033</w:t>
        </w:r>
      </w:hyperlink>
      <w:r>
        <w:rPr>
          <w:rStyle w:val="Hyperlink"/>
          <w:rFonts w:cstheme="minorHAnsi"/>
          <w:sz w:val="16"/>
          <w:szCs w:val="16"/>
        </w:rPr>
        <w:t xml:space="preserve"> </w:t>
      </w:r>
      <w:r w:rsidRPr="00B22A91">
        <w:t>(accessed 2 August 2024)</w:t>
      </w:r>
      <w:r w:rsidRPr="00653A83">
        <w:t>.</w:t>
      </w:r>
    </w:p>
  </w:footnote>
  <w:footnote w:id="29">
    <w:p w14:paraId="485F98F1" w14:textId="32EFCA5C" w:rsidR="00DB373E" w:rsidRPr="000357A0" w:rsidRDefault="00DB373E" w:rsidP="009616E5">
      <w:pPr>
        <w:pStyle w:val="FootnoteText"/>
        <w:rPr>
          <w:lang w:val="en-US"/>
        </w:rPr>
      </w:pPr>
      <w:r w:rsidRPr="00653A83">
        <w:rPr>
          <w:rStyle w:val="FootnoteReference"/>
          <w:rFonts w:cstheme="minorHAnsi"/>
          <w:sz w:val="16"/>
          <w:szCs w:val="16"/>
        </w:rPr>
        <w:footnoteRef/>
      </w:r>
      <w:r w:rsidRPr="000357A0">
        <w:t xml:space="preserve"> Archer D, et al. 2021. </w:t>
      </w:r>
      <w:r w:rsidRPr="000357A0">
        <w:rPr>
          <w:i/>
        </w:rPr>
        <w:t>Youth19</w:t>
      </w:r>
      <w:r w:rsidRPr="00440560">
        <w:rPr>
          <w:i/>
          <w:iCs/>
        </w:rPr>
        <w:t xml:space="preserve"> –</w:t>
      </w:r>
      <w:r w:rsidRPr="000357A0">
        <w:rPr>
          <w:i/>
        </w:rPr>
        <w:t xml:space="preserve"> Gambling Brief</w:t>
      </w:r>
      <w:r w:rsidRPr="000357A0">
        <w:t xml:space="preserve">. The Youth19 Researchers and The Adolescent Health Research Group, Auckland and Wellington. </w:t>
      </w:r>
      <w:r w:rsidRPr="00653A83">
        <w:t xml:space="preserve">URL: </w:t>
      </w:r>
      <w:hyperlink r:id="rId13" w:history="1">
        <w:r w:rsidR="00D331FF">
          <w:rPr>
            <w:rStyle w:val="Hyperlink"/>
            <w:rFonts w:cstheme="minorHAnsi"/>
            <w:sz w:val="16"/>
            <w:szCs w:val="16"/>
          </w:rPr>
          <w:t>youth19.ac.nz/publications/gambling</w:t>
        </w:r>
      </w:hyperlink>
      <w:r>
        <w:t xml:space="preserve"> (accessed 2 August 2024).</w:t>
      </w:r>
    </w:p>
  </w:footnote>
  <w:footnote w:id="30">
    <w:p w14:paraId="167B3384" w14:textId="30F173C2" w:rsidR="00DB373E" w:rsidRPr="00653A83" w:rsidRDefault="00DB373E" w:rsidP="009616E5">
      <w:pPr>
        <w:pStyle w:val="FootnoteText"/>
        <w:rPr>
          <w:lang w:val="en-US"/>
        </w:rPr>
      </w:pPr>
      <w:r w:rsidRPr="00653A83">
        <w:rPr>
          <w:rStyle w:val="FootnoteReference"/>
          <w:rFonts w:cstheme="minorHAnsi"/>
          <w:sz w:val="16"/>
          <w:szCs w:val="16"/>
        </w:rPr>
        <w:footnoteRef/>
      </w:r>
      <w:r w:rsidRPr="00653A83">
        <w:t xml:space="preserve"> </w:t>
      </w:r>
      <w:r w:rsidRPr="00B22A91">
        <w:t>That</w:t>
      </w:r>
      <w:r w:rsidRPr="00653A83">
        <w:t xml:space="preserve"> is, 11</w:t>
      </w:r>
      <w:r>
        <w:t>.9%</w:t>
      </w:r>
      <w:r w:rsidRPr="00653A83">
        <w:t xml:space="preserve"> of New Zealand adults, according to </w:t>
      </w:r>
      <w:r>
        <w:t>the 2023/24</w:t>
      </w:r>
      <w:r w:rsidRPr="00653A83">
        <w:t xml:space="preserve"> </w:t>
      </w:r>
      <w:r>
        <w:t xml:space="preserve">NZGS </w:t>
      </w:r>
    </w:p>
  </w:footnote>
  <w:footnote w:id="31">
    <w:p w14:paraId="0F73F9E4" w14:textId="6D29C076" w:rsidR="00DB373E" w:rsidRPr="00653A83" w:rsidRDefault="00DB373E" w:rsidP="009616E5">
      <w:pPr>
        <w:pStyle w:val="FootnoteText"/>
        <w:rPr>
          <w:rFonts w:cstheme="minorHAnsi"/>
          <w:sz w:val="16"/>
          <w:szCs w:val="16"/>
          <w:lang w:val="mi-NZ"/>
        </w:rPr>
      </w:pPr>
      <w:r w:rsidRPr="00653A83">
        <w:rPr>
          <w:rStyle w:val="FootnoteReference"/>
          <w:rFonts w:cstheme="minorHAnsi"/>
          <w:sz w:val="16"/>
          <w:szCs w:val="16"/>
        </w:rPr>
        <w:footnoteRef/>
      </w:r>
      <w:r w:rsidRPr="00653A83">
        <w:rPr>
          <w:rFonts w:cstheme="minorHAnsi"/>
          <w:sz w:val="16"/>
          <w:szCs w:val="16"/>
        </w:rPr>
        <w:t xml:space="preserve"> </w:t>
      </w:r>
      <w:r w:rsidRPr="00C61A96">
        <w:t>Te Hiringa Hauora. 2020.</w:t>
      </w:r>
      <w:r w:rsidRPr="00726CDC">
        <w:t xml:space="preserve"> </w:t>
      </w:r>
      <w:r w:rsidRPr="00726CDC">
        <w:rPr>
          <w:i/>
        </w:rPr>
        <w:t>Health and Lifestyles Survey</w:t>
      </w:r>
      <w:r>
        <w:rPr>
          <w:i/>
          <w:iCs/>
        </w:rPr>
        <w:t>:</w:t>
      </w:r>
      <w:r w:rsidRPr="00C61A96">
        <w:rPr>
          <w:i/>
          <w:iCs/>
        </w:rPr>
        <w:t xml:space="preserve"> Gambling </w:t>
      </w:r>
      <w:r>
        <w:rPr>
          <w:i/>
          <w:iCs/>
        </w:rPr>
        <w:t>h</w:t>
      </w:r>
      <w:r w:rsidRPr="00C61A96">
        <w:rPr>
          <w:i/>
          <w:iCs/>
        </w:rPr>
        <w:t>arm</w:t>
      </w:r>
      <w:r w:rsidRPr="00C61A96">
        <w:t xml:space="preserve">. URL: </w:t>
      </w:r>
      <w:hyperlink r:id="rId14" w:history="1">
        <w:r w:rsidR="00D331FF" w:rsidRPr="00D331FF">
          <w:rPr>
            <w:rStyle w:val="Hyperlink"/>
          </w:rPr>
          <w:t>kupe.healthpromotion.govt.nz</w:t>
        </w:r>
      </w:hyperlink>
      <w:r w:rsidRPr="00DB373E" w:rsidDel="003D571F">
        <w:rPr>
          <w:rStyle w:val="Hyperlink"/>
        </w:rPr>
        <w:t xml:space="preserve"> </w:t>
      </w:r>
    </w:p>
  </w:footnote>
  <w:footnote w:id="32">
    <w:p w14:paraId="6F465660" w14:textId="0237383A" w:rsidR="00DB373E" w:rsidRPr="00726CDC" w:rsidRDefault="00DB373E" w:rsidP="009616E5">
      <w:pPr>
        <w:pStyle w:val="FootnoteText"/>
        <w:rPr>
          <w:rStyle w:val="Hyperlink"/>
        </w:rPr>
      </w:pPr>
      <w:r w:rsidRPr="00253706">
        <w:rPr>
          <w:rStyle w:val="FootnoteReference"/>
          <w:rFonts w:cstheme="minorHAnsi"/>
          <w:sz w:val="16"/>
          <w:szCs w:val="16"/>
        </w:rPr>
        <w:footnoteRef/>
      </w:r>
      <w:r w:rsidRPr="00253706">
        <w:rPr>
          <w:rStyle w:val="FootnoteReference"/>
          <w:rFonts w:cstheme="minorHAnsi"/>
          <w:sz w:val="16"/>
          <w:szCs w:val="16"/>
        </w:rPr>
        <w:t xml:space="preserve"> </w:t>
      </w:r>
      <w:r w:rsidRPr="00726CDC">
        <w:t>DIA</w:t>
      </w:r>
      <w:r>
        <w:t>.</w:t>
      </w:r>
      <w:r w:rsidRPr="00653A83">
        <w:t xml:space="preserve"> 31 May 2024</w:t>
      </w:r>
      <w:r>
        <w:t>.</w:t>
      </w:r>
      <w:r w:rsidRPr="00726CDC">
        <w:t xml:space="preserve"> Gaming Machine Profits (GMP</w:t>
      </w:r>
      <w:r w:rsidRPr="00653A83">
        <w:t xml:space="preserve"> </w:t>
      </w:r>
      <w:r>
        <w:t>d</w:t>
      </w:r>
      <w:r w:rsidRPr="00653A83">
        <w:t>ashboard</w:t>
      </w:r>
      <w:r>
        <w:t>).</w:t>
      </w:r>
      <w:r w:rsidRPr="00653A83">
        <w:t xml:space="preserve"> </w:t>
      </w:r>
      <w:r>
        <w:t>URL:</w:t>
      </w:r>
      <w:r w:rsidRPr="00726CDC">
        <w:t xml:space="preserve"> </w:t>
      </w:r>
      <w:hyperlink r:id="rId15" w:history="1">
        <w:r w:rsidR="003C4E23">
          <w:rPr>
            <w:rStyle w:val="Hyperlink"/>
          </w:rPr>
          <w:t>dia.govt.nz/gambling-statistics-gmp-dashboard</w:t>
        </w:r>
      </w:hyperlink>
    </w:p>
  </w:footnote>
  <w:footnote w:id="33">
    <w:p w14:paraId="30C85D02" w14:textId="5A3E8366" w:rsidR="00DB373E" w:rsidRPr="00726CDC" w:rsidRDefault="00DB373E" w:rsidP="009616E5">
      <w:pPr>
        <w:pStyle w:val="FootnoteText"/>
        <w:rPr>
          <w:lang w:val="mi-NZ"/>
        </w:rPr>
      </w:pPr>
      <w:r w:rsidRPr="00653A83">
        <w:rPr>
          <w:rStyle w:val="FootnoteReference"/>
          <w:rFonts w:cstheme="minorHAnsi"/>
          <w:sz w:val="16"/>
          <w:szCs w:val="16"/>
        </w:rPr>
        <w:footnoteRef/>
      </w:r>
      <w:r w:rsidRPr="00726CDC">
        <w:t xml:space="preserve"> </w:t>
      </w:r>
      <w:r>
        <w:t>Gov.</w:t>
      </w:r>
      <w:r w:rsidRPr="00726CDC">
        <w:t>UK</w:t>
      </w:r>
      <w:r w:rsidRPr="00653A83">
        <w:t xml:space="preserve">. </w:t>
      </w:r>
      <w:r w:rsidRPr="00726CDC">
        <w:t>2023</w:t>
      </w:r>
      <w:r w:rsidRPr="00653A83">
        <w:t xml:space="preserve">. </w:t>
      </w:r>
      <w:r>
        <w:t>Research and analysis:</w:t>
      </w:r>
      <w:r w:rsidRPr="00726CDC">
        <w:t xml:space="preserve"> Gambling-related harms evidence review: Summary. </w:t>
      </w:r>
      <w:r>
        <w:t xml:space="preserve">URL: </w:t>
      </w:r>
      <w:hyperlink r:id="rId16" w:history="1">
        <w:r w:rsidRPr="00DB373E">
          <w:rPr>
            <w:rStyle w:val="Hyperlink"/>
          </w:rPr>
          <w:t>www.gov.uk/government/publications/gambling-related-harms-evidence-review/gambling-related-harms-evidence-review-summary--2</w:t>
        </w:r>
      </w:hyperlink>
    </w:p>
  </w:footnote>
  <w:footnote w:id="34">
    <w:p w14:paraId="11A4E36E" w14:textId="77777777" w:rsidR="00DB373E" w:rsidRDefault="00DB373E">
      <w:pPr>
        <w:pStyle w:val="FootnoteText"/>
      </w:pPr>
      <w:r>
        <w:rPr>
          <w:rStyle w:val="FootnoteReference"/>
        </w:rPr>
        <w:footnoteRef/>
      </w:r>
      <w:r>
        <w:t xml:space="preserve"> Tran et al “</w:t>
      </w:r>
      <w:r w:rsidRPr="00AA4E79">
        <w:rPr>
          <w:i/>
          <w:iCs/>
        </w:rPr>
        <w:t>The prevalence of gambling and problematic gambling: a systematic review and meta analysis</w:t>
      </w:r>
      <w:r>
        <w:t>” Lancet Public Health 2024 Vol 9 e594-613</w:t>
      </w:r>
    </w:p>
  </w:footnote>
  <w:footnote w:id="35">
    <w:p w14:paraId="402C1EC7" w14:textId="77777777" w:rsidR="00DB373E" w:rsidRPr="00AA4E79" w:rsidRDefault="00DB373E" w:rsidP="008873C2">
      <w:pPr>
        <w:pStyle w:val="FootnoteText"/>
        <w:rPr>
          <w:b/>
          <w:bCs/>
        </w:rPr>
      </w:pPr>
      <w:r>
        <w:rPr>
          <w:rStyle w:val="FootnoteReference"/>
        </w:rPr>
        <w:footnoteRef/>
      </w:r>
      <w:r>
        <w:t xml:space="preserve"> </w:t>
      </w:r>
      <w:hyperlink r:id="rId17" w:history="1">
        <w:r w:rsidRPr="00AA4E79">
          <w:rPr>
            <w:rStyle w:val="Hyperlink"/>
            <w:b w:val="0"/>
            <w:bCs/>
          </w:rPr>
          <w:t>Compliance-and-Enforcement- Policy-Final-design</w:t>
        </w:r>
      </w:hyperlink>
    </w:p>
  </w:footnote>
  <w:footnote w:id="36">
    <w:p w14:paraId="49345173" w14:textId="77777777" w:rsidR="00DB373E" w:rsidRPr="00653A83" w:rsidRDefault="00DB373E" w:rsidP="00685496">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FA3285">
        <w:t>Gambling Act 2003, sections 98 to 103 and Racing Industry Act 2002, sections 96 and 97.</w:t>
      </w:r>
    </w:p>
  </w:footnote>
  <w:footnote w:id="37">
    <w:p w14:paraId="77257DD1" w14:textId="77777777" w:rsidR="00DB373E" w:rsidRPr="00653A83" w:rsidRDefault="00DB373E" w:rsidP="00685496">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211F2F">
        <w:t>The Gambling Commission approves a casino operator’s Host Responsibility Programme (HRP), which the operator must comply with as part of their licence conditions. Casino operators report to the Gambling Commission annually about the implementation of their HRP. DIA may also provide input into the HRP when it is periodically reviewed by the Gambling Commission.</w:t>
      </w:r>
    </w:p>
  </w:footnote>
  <w:footnote w:id="38">
    <w:p w14:paraId="327E7A31" w14:textId="77777777" w:rsidR="00DB373E" w:rsidRPr="00653A83" w:rsidRDefault="00DB373E" w:rsidP="002D20D2">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211F2F">
        <w:t xml:space="preserve">Korn DA, Shaffer HJ. 1999. Gambling and the health of the public: adopting a public health perspective. </w:t>
      </w:r>
      <w:r w:rsidRPr="00211F2F">
        <w:rPr>
          <w:i/>
          <w:iCs/>
        </w:rPr>
        <w:t>Journal of Gambling Studies</w:t>
      </w:r>
      <w:r w:rsidRPr="00211F2F">
        <w:t xml:space="preserve"> 15: 289–365. DOI: doi.org/10.1023/A:1023005115932 (accessed 15 July 2021).</w:t>
      </w:r>
    </w:p>
  </w:footnote>
  <w:footnote w:id="39">
    <w:p w14:paraId="39226DD6" w14:textId="2D345704" w:rsidR="00DB373E" w:rsidRPr="00A41EEB" w:rsidRDefault="00DB373E" w:rsidP="002D20D2">
      <w:pPr>
        <w:pStyle w:val="FootnoteText"/>
        <w:rPr>
          <w:lang w:val="en-GB"/>
        </w:rPr>
      </w:pPr>
      <w:r>
        <w:rPr>
          <w:rStyle w:val="FootnoteReference"/>
        </w:rPr>
        <w:footnoteRef/>
      </w:r>
      <w:r>
        <w:t xml:space="preserve"> </w:t>
      </w:r>
      <w:r>
        <w:rPr>
          <w:lang w:val="en-GB"/>
        </w:rPr>
        <w:t xml:space="preserve">For more information about the Pae Ora Act, see the Ministry of Health’s website at URL: </w:t>
      </w:r>
      <w:hyperlink r:id="rId18" w:history="1">
        <w:r w:rsidR="00971984" w:rsidRPr="00971984">
          <w:rPr>
            <w:rStyle w:val="Hyperlink"/>
            <w:lang w:val="en-GB"/>
          </w:rPr>
          <w:t>health.govt.nz/about-us/new-zealands-health-system/overview-and-statutory-framework/pae-ora-healthy-futures-act</w:t>
        </w:r>
      </w:hyperlink>
    </w:p>
  </w:footnote>
  <w:footnote w:id="40">
    <w:p w14:paraId="78DC81E1" w14:textId="134395BF" w:rsidR="00DB373E" w:rsidRPr="00BA7FA0" w:rsidRDefault="00DB373E" w:rsidP="002D20D2">
      <w:pPr>
        <w:pStyle w:val="FootnoteText"/>
        <w:spacing w:before="40" w:line="240" w:lineRule="auto"/>
        <w:rPr>
          <w:rFonts w:cs="Segoe UI"/>
          <w:szCs w:val="17"/>
          <w:lang w:val="en-GB"/>
        </w:rPr>
      </w:pPr>
      <w:r w:rsidRPr="00310579">
        <w:rPr>
          <w:rStyle w:val="FootnoteReference"/>
          <w:rFonts w:cs="Segoe UI"/>
          <w:szCs w:val="17"/>
        </w:rPr>
        <w:footnoteRef/>
      </w:r>
      <w:r w:rsidRPr="00310579">
        <w:rPr>
          <w:rFonts w:cs="Segoe UI"/>
          <w:szCs w:val="17"/>
        </w:rPr>
        <w:t xml:space="preserve"> </w:t>
      </w:r>
      <w:r w:rsidRPr="00BA7FA0">
        <w:rPr>
          <w:rFonts w:cs="Segoe UI"/>
          <w:szCs w:val="17"/>
          <w:lang w:val="en-GB"/>
        </w:rPr>
        <w:t xml:space="preserve">Gamgard is part of an international initiative to promote healthy playing behaviour and guide responsible game design. It identifies how risky a game is likely to be for vulnerable players. For more information, see the website Gamgard at URL: </w:t>
      </w:r>
      <w:hyperlink r:id="rId19" w:history="1">
        <w:r w:rsidRPr="006329D0">
          <w:rPr>
            <w:rStyle w:val="Hyperlink"/>
            <w:rFonts w:cs="Segoe UI"/>
            <w:szCs w:val="17"/>
            <w:lang w:val="en-GB"/>
          </w:rPr>
          <w:t>gamgard.com</w:t>
        </w:r>
      </w:hyperlink>
      <w:r>
        <w:rPr>
          <w:rFonts w:cs="Segoe UI"/>
          <w:szCs w:val="17"/>
          <w:lang w:val="en-GB"/>
        </w:rPr>
        <w:t xml:space="preserve"> </w:t>
      </w:r>
    </w:p>
  </w:footnote>
  <w:footnote w:id="41">
    <w:p w14:paraId="3E6F9E75" w14:textId="0E1CEEEC" w:rsidR="00DB373E" w:rsidRPr="00BA7FA0" w:rsidRDefault="00DB373E" w:rsidP="002D20D2">
      <w:pPr>
        <w:pStyle w:val="Bullet"/>
        <w:numPr>
          <w:ilvl w:val="0"/>
          <w:numId w:val="0"/>
        </w:numPr>
        <w:spacing w:before="40"/>
        <w:ind w:left="284" w:hanging="284"/>
        <w:rPr>
          <w:rFonts w:cs="Segoe UI"/>
          <w:sz w:val="17"/>
          <w:szCs w:val="17"/>
        </w:rPr>
      </w:pPr>
      <w:r w:rsidRPr="00BA7FA0">
        <w:rPr>
          <w:rStyle w:val="FootnoteReference"/>
          <w:rFonts w:cs="Segoe UI"/>
          <w:sz w:val="17"/>
          <w:szCs w:val="17"/>
        </w:rPr>
        <w:footnoteRef/>
      </w:r>
      <w:r w:rsidRPr="00BA7FA0">
        <w:rPr>
          <w:rFonts w:cs="Segoe UI"/>
          <w:sz w:val="17"/>
          <w:szCs w:val="17"/>
        </w:rPr>
        <w:t xml:space="preserve"> </w:t>
      </w:r>
      <w:r w:rsidRPr="00BA7FA0">
        <w:rPr>
          <w:rStyle w:val="FootnoteTextChar"/>
          <w:szCs w:val="17"/>
        </w:rPr>
        <w:t>Bellringer ME, et al. 2021. Effectiveness of Face-to-face Gambling Interventions: A randomised controlled trial. Auckland: Auckland University of Technology, Gambling and Addictions Research Centre.</w:t>
      </w:r>
      <w:r w:rsidRPr="00B744F1">
        <w:rPr>
          <w:b/>
          <w:sz w:val="17"/>
          <w:szCs w:val="17"/>
        </w:rPr>
        <w:t xml:space="preserve"> </w:t>
      </w:r>
      <w:r w:rsidRPr="00B744F1">
        <w:rPr>
          <w:bCs/>
          <w:sz w:val="17"/>
          <w:szCs w:val="17"/>
        </w:rPr>
        <w:t>URL:</w:t>
      </w:r>
      <w:r w:rsidRPr="00B744F1">
        <w:rPr>
          <w:b/>
          <w:sz w:val="17"/>
          <w:szCs w:val="17"/>
        </w:rPr>
        <w:br/>
      </w:r>
      <w:hyperlink r:id="rId20" w:history="1">
        <w:r w:rsidR="00B744F1" w:rsidRPr="00B744F1">
          <w:rPr>
            <w:rStyle w:val="Hyperlink"/>
            <w:sz w:val="17"/>
            <w:szCs w:val="17"/>
          </w:rPr>
          <w:t>health.govt.nz/publications/effectiveness-of-face-to-face-gambling-interventions-a-randomised-controlled-trial</w:t>
        </w:r>
      </w:hyperlink>
      <w:r>
        <w:rPr>
          <w:rStyle w:val="FootnoteTextChar"/>
          <w:szCs w:val="17"/>
        </w:rPr>
        <w:t xml:space="preserve"> </w:t>
      </w:r>
      <w:r w:rsidRPr="00BA7FA0">
        <w:rPr>
          <w:rFonts w:eastAsia="Calibri" w:cs="Segoe UI"/>
          <w:sz w:val="17"/>
          <w:szCs w:val="17"/>
        </w:rPr>
        <w:t xml:space="preserve"> </w:t>
      </w:r>
    </w:p>
  </w:footnote>
  <w:footnote w:id="42">
    <w:p w14:paraId="5B1EC2F2" w14:textId="5CD2B042" w:rsidR="00DB373E" w:rsidRPr="00BA7FA0" w:rsidRDefault="00DB373E" w:rsidP="002D20D2">
      <w:pPr>
        <w:pStyle w:val="Bullet"/>
        <w:numPr>
          <w:ilvl w:val="0"/>
          <w:numId w:val="0"/>
        </w:numPr>
        <w:spacing w:before="40"/>
        <w:ind w:left="284" w:hanging="284"/>
        <w:rPr>
          <w:rFonts w:cs="Segoe UI"/>
          <w:sz w:val="17"/>
          <w:szCs w:val="17"/>
        </w:rPr>
      </w:pPr>
      <w:r w:rsidRPr="00BA7FA0">
        <w:rPr>
          <w:rStyle w:val="FootnoteReference"/>
          <w:rFonts w:cs="Segoe UI"/>
          <w:sz w:val="17"/>
          <w:szCs w:val="17"/>
        </w:rPr>
        <w:footnoteRef/>
      </w:r>
      <w:r w:rsidRPr="00BA7FA0">
        <w:rPr>
          <w:rFonts w:cs="Segoe UI"/>
          <w:sz w:val="17"/>
          <w:szCs w:val="17"/>
        </w:rPr>
        <w:t xml:space="preserve"> Bellringer ME, et al. 2022. Effectiveness of Face-to-face Gambling Interventions: Two years later. Auckland: Auckland University of Technology, Gambling and Addictions Research Centre. URL: </w:t>
      </w:r>
      <w:hyperlink r:id="rId21" w:history="1">
        <w:r w:rsidR="002D20C6">
          <w:rPr>
            <w:rStyle w:val="Hyperlink"/>
            <w:rFonts w:eastAsia="Segoe UI" w:cs="Segoe UI"/>
            <w:sz w:val="17"/>
            <w:szCs w:val="17"/>
          </w:rPr>
          <w:t>health.govt.nz/publications/effectiveness-of-face-to-face-gambling-interventions-two-years-later</w:t>
        </w:r>
      </w:hyperlink>
      <w:r w:rsidRPr="00BA7FA0">
        <w:rPr>
          <w:rFonts w:eastAsia="Segoe UI" w:cs="Segoe UI"/>
          <w:b/>
          <w:sz w:val="17"/>
          <w:szCs w:val="17"/>
        </w:rPr>
        <w:t xml:space="preserve"> </w:t>
      </w:r>
    </w:p>
  </w:footnote>
  <w:footnote w:id="43">
    <w:p w14:paraId="4629B2F4" w14:textId="421B7734" w:rsidR="00DB373E" w:rsidRPr="00BA7FA0" w:rsidRDefault="00DB373E" w:rsidP="002D20D2">
      <w:pPr>
        <w:pStyle w:val="Bullet"/>
        <w:numPr>
          <w:ilvl w:val="0"/>
          <w:numId w:val="0"/>
        </w:numPr>
        <w:spacing w:before="40"/>
        <w:ind w:left="284" w:hanging="284"/>
        <w:rPr>
          <w:sz w:val="17"/>
          <w:szCs w:val="17"/>
        </w:rPr>
      </w:pPr>
      <w:r w:rsidRPr="00BA7FA0">
        <w:rPr>
          <w:rStyle w:val="FootnoteReference"/>
          <w:rFonts w:cs="Segoe UI"/>
          <w:sz w:val="17"/>
          <w:szCs w:val="17"/>
        </w:rPr>
        <w:footnoteRef/>
      </w:r>
      <w:r w:rsidRPr="00BA7FA0">
        <w:rPr>
          <w:rFonts w:cs="Segoe UI"/>
          <w:sz w:val="17"/>
          <w:szCs w:val="17"/>
        </w:rPr>
        <w:t xml:space="preserve"> </w:t>
      </w:r>
      <w:r w:rsidRPr="00BA7FA0">
        <w:rPr>
          <w:rFonts w:eastAsia="Calibri" w:cs="Segoe UI"/>
          <w:sz w:val="17"/>
          <w:szCs w:val="17"/>
        </w:rPr>
        <w:t xml:space="preserve">Te Pou. 2022. Peer Worker Roles for the Preventing and Minimising Gambling Harm Sector: Literature review. Wellington: Ministry of Health. URL: </w:t>
      </w:r>
      <w:hyperlink r:id="rId22" w:history="1">
        <w:r w:rsidR="006E520E">
          <w:rPr>
            <w:rStyle w:val="Hyperlink"/>
            <w:rFonts w:eastAsia="Segoe UI" w:cs="Segoe UI"/>
            <w:sz w:val="17"/>
            <w:szCs w:val="17"/>
          </w:rPr>
          <w:t>health.govt.nz/publications/peer-worker-roles-for-the-preventing-and-minimising-gambling-harm-sector-literature-review</w:t>
        </w:r>
      </w:hyperlink>
    </w:p>
  </w:footnote>
  <w:footnote w:id="44">
    <w:p w14:paraId="48C309D7" w14:textId="25FA3E74" w:rsidR="00DB373E" w:rsidRPr="00BA7FA0" w:rsidRDefault="00DB373E" w:rsidP="002D20D2">
      <w:pPr>
        <w:pStyle w:val="Bullet"/>
        <w:numPr>
          <w:ilvl w:val="0"/>
          <w:numId w:val="0"/>
        </w:numPr>
        <w:ind w:left="284" w:hanging="284"/>
        <w:rPr>
          <w:rFonts w:eastAsia="Calibri"/>
          <w:sz w:val="17"/>
          <w:szCs w:val="17"/>
        </w:rPr>
      </w:pPr>
      <w:r w:rsidRPr="00BA7FA0">
        <w:rPr>
          <w:rStyle w:val="FootnoteReference"/>
          <w:sz w:val="17"/>
          <w:szCs w:val="17"/>
        </w:rPr>
        <w:footnoteRef/>
      </w:r>
      <w:r w:rsidRPr="00BA7FA0">
        <w:rPr>
          <w:sz w:val="17"/>
          <w:szCs w:val="17"/>
        </w:rPr>
        <w:t xml:space="preserve"> </w:t>
      </w:r>
      <w:r w:rsidRPr="00BA7FA0">
        <w:rPr>
          <w:rFonts w:eastAsia="Calibri"/>
          <w:sz w:val="17"/>
          <w:szCs w:val="17"/>
        </w:rPr>
        <w:t xml:space="preserve">Sullivan S, et al. 2020. </w:t>
      </w:r>
      <w:r w:rsidRPr="00BA7FA0">
        <w:rPr>
          <w:rFonts w:eastAsia="Calibri"/>
          <w:i/>
          <w:iCs/>
          <w:sz w:val="17"/>
          <w:szCs w:val="17"/>
        </w:rPr>
        <w:t>Literature Review of the Provision and Effectiveness of Residential Programmes for Gambling Harm Treatment</w:t>
      </w:r>
      <w:r w:rsidRPr="00BA7FA0">
        <w:rPr>
          <w:rFonts w:eastAsia="Calibri"/>
          <w:sz w:val="17"/>
          <w:szCs w:val="17"/>
        </w:rPr>
        <w:t xml:space="preserve">. Auckland: ABACUS Counselling Training &amp; Supervision Ltd. URL: </w:t>
      </w:r>
      <w:hyperlink r:id="rId23" w:history="1">
        <w:r w:rsidR="00EE0EB5">
          <w:rPr>
            <w:rStyle w:val="Hyperlink"/>
            <w:rFonts w:eastAsia="Segoe UI"/>
            <w:sz w:val="17"/>
            <w:szCs w:val="17"/>
          </w:rPr>
          <w:t>health.govt.nz/publications/literature-review-of-the-provision-and-effectiveness-of-residential-programmes-for-gambling-harm</w:t>
        </w:r>
      </w:hyperlink>
      <w:r w:rsidRPr="00BA7FA0">
        <w:rPr>
          <w:rFonts w:eastAsia="Calibri"/>
          <w:sz w:val="17"/>
          <w:szCs w:val="17"/>
        </w:rPr>
        <w:t>)</w:t>
      </w:r>
    </w:p>
    <w:p w14:paraId="7D5D56B7" w14:textId="77777777" w:rsidR="00DB373E" w:rsidRDefault="00DB373E" w:rsidP="002D20D2">
      <w:pPr>
        <w:pStyle w:val="FootnoteText"/>
      </w:pPr>
    </w:p>
  </w:footnote>
  <w:footnote w:id="45">
    <w:p w14:paraId="5635F7BB" w14:textId="77777777" w:rsidR="00DB373E" w:rsidRPr="00653A83" w:rsidRDefault="00DB373E" w:rsidP="00705A59">
      <w:pPr>
        <w:pStyle w:val="FootnoteText"/>
        <w:rPr>
          <w:rFonts w:cstheme="minorHAnsi"/>
          <w:sz w:val="16"/>
          <w:szCs w:val="16"/>
          <w:lang w:val="mi-NZ"/>
        </w:rPr>
      </w:pPr>
      <w:r w:rsidRPr="00653A83">
        <w:rPr>
          <w:rStyle w:val="FootnoteReference"/>
          <w:rFonts w:cstheme="minorHAnsi"/>
          <w:sz w:val="16"/>
          <w:szCs w:val="16"/>
        </w:rPr>
        <w:footnoteRef/>
      </w:r>
      <w:r w:rsidRPr="00653A83">
        <w:rPr>
          <w:rFonts w:cstheme="minorHAnsi"/>
          <w:sz w:val="16"/>
          <w:szCs w:val="16"/>
        </w:rPr>
        <w:t xml:space="preserve"> </w:t>
      </w:r>
      <w:r w:rsidRPr="00ED7024">
        <w:rPr>
          <w:rFonts w:cstheme="minorHAnsi"/>
          <w:szCs w:val="17"/>
        </w:rPr>
        <w:t>Around 10% of Australian problem gamblers seek treatment (Delfabbro P. 2008. A report prepared for the Independent Gambling Authority of South Australia. </w:t>
      </w:r>
      <w:r w:rsidRPr="00ED7024">
        <w:rPr>
          <w:rFonts w:cstheme="minorHAnsi"/>
          <w:i/>
          <w:szCs w:val="17"/>
        </w:rPr>
        <w:t>Australasian Gambling Review</w:t>
      </w:r>
      <w:r w:rsidRPr="00ED7024">
        <w:rPr>
          <w:rFonts w:cstheme="minorHAnsi"/>
          <w:iCs/>
          <w:szCs w:val="17"/>
        </w:rPr>
        <w:t>)</w:t>
      </w:r>
      <w:r w:rsidRPr="00ED7024">
        <w:rPr>
          <w:rFonts w:cstheme="minorHAnsi"/>
          <w:szCs w:val="17"/>
        </w:rPr>
        <w:t>.</w:t>
      </w:r>
      <w:r w:rsidRPr="00653A83">
        <w:rPr>
          <w:rFonts w:cstheme="minorHAnsi"/>
          <w:sz w:val="16"/>
          <w:szCs w:val="16"/>
        </w:rPr>
        <w:t xml:space="preserve"> </w:t>
      </w:r>
    </w:p>
  </w:footnote>
  <w:footnote w:id="46">
    <w:p w14:paraId="1FB1F00D" w14:textId="08C6C235" w:rsidR="00DB373E" w:rsidRDefault="00DB373E">
      <w:pPr>
        <w:pStyle w:val="FootnoteText"/>
      </w:pPr>
      <w:r>
        <w:rPr>
          <w:rStyle w:val="FootnoteReference"/>
        </w:rPr>
        <w:footnoteRef/>
      </w:r>
      <w:r>
        <w:t xml:space="preserve"> 2023/24 NZGS</w:t>
      </w:r>
    </w:p>
  </w:footnote>
  <w:footnote w:id="47">
    <w:p w14:paraId="5BB4C5A4" w14:textId="77777777" w:rsidR="00DB373E" w:rsidRDefault="00DB373E" w:rsidP="00705A59">
      <w:pPr>
        <w:pStyle w:val="pf0"/>
        <w:spacing w:before="0" w:beforeAutospacing="0" w:after="0" w:afterAutospacing="0"/>
        <w:ind w:left="284" w:hanging="284"/>
      </w:pPr>
      <w:r w:rsidRPr="00991E03">
        <w:rPr>
          <w:rStyle w:val="FootnoteReference"/>
          <w:rFonts w:ascii="Segoe UI" w:hAnsi="Segoe UI" w:cs="Segoe UI"/>
          <w:sz w:val="16"/>
          <w:szCs w:val="16"/>
        </w:rPr>
        <w:footnoteRef/>
      </w:r>
      <w:r>
        <w:t xml:space="preserve"> </w:t>
      </w:r>
      <w:r w:rsidRPr="00991E03">
        <w:rPr>
          <w:rStyle w:val="FootnoteTextChar"/>
        </w:rPr>
        <w:t>Gambling operators all have duties to minimise gambling harm and be responsible hosts. The government and other third parties can work with operators (for example, providing guidance etc.), but most are well resourced and required to minimise gambling harm anyway.</w:t>
      </w:r>
    </w:p>
  </w:footnote>
  <w:footnote w:id="48">
    <w:p w14:paraId="25FB6A28" w14:textId="77777777" w:rsidR="00DB373E" w:rsidRDefault="00DB373E" w:rsidP="00CE5300">
      <w:pPr>
        <w:pStyle w:val="FootnoteText"/>
      </w:pPr>
      <w:r>
        <w:rPr>
          <w:rStyle w:val="FootnoteReference"/>
        </w:rPr>
        <w:footnoteRef/>
      </w:r>
      <w:r>
        <w:t xml:space="preserve"> </w:t>
      </w:r>
      <w:r w:rsidRPr="009C0ED4">
        <w:t>This is a portion of the total budget allocated for</w:t>
      </w:r>
      <w:r>
        <w:t xml:space="preserve"> a</w:t>
      </w:r>
      <w:r w:rsidRPr="009C0ED4">
        <w:t xml:space="preserve"> service line</w:t>
      </w:r>
      <w:r>
        <w:t xml:space="preserve"> in the prior service plan</w:t>
      </w:r>
      <w:r w:rsidRPr="009C0ED4">
        <w:t xml:space="preserve"> titled ‘New ways to address inequity (public health and intervention services)’ (it excludes the budget for equivalent Hauora Māori services, and services related to </w:t>
      </w:r>
      <w:r>
        <w:t>clinical intervention</w:t>
      </w:r>
      <w:r w:rsidRPr="009C0ED4">
        <w:t>).</w:t>
      </w:r>
    </w:p>
  </w:footnote>
  <w:footnote w:id="49">
    <w:p w14:paraId="3924477D" w14:textId="77777777" w:rsidR="00DB373E" w:rsidRDefault="00DB373E" w:rsidP="00CE5300">
      <w:pPr>
        <w:pStyle w:val="FootnoteText"/>
      </w:pPr>
      <w:r>
        <w:rPr>
          <w:rStyle w:val="FootnoteReference"/>
        </w:rPr>
        <w:footnoteRef/>
      </w:r>
      <w:r>
        <w:t xml:space="preserve"> This is a portion of the total budget allocated for a service line in the prior service plan titled ‘</w:t>
      </w:r>
      <w:r w:rsidRPr="00F70A1D">
        <w:t>New ways to address inequity (public health and intervention services)</w:t>
      </w:r>
      <w:r>
        <w:t xml:space="preserve">’ (it excludes the budget for equivalent Hauora Māori services, and services related to public health). </w:t>
      </w:r>
    </w:p>
  </w:footnote>
  <w:footnote w:id="50">
    <w:p w14:paraId="3FD760C6" w14:textId="5253A6B3" w:rsidR="00DB373E" w:rsidRPr="00CB5435" w:rsidRDefault="00DB373E" w:rsidP="00CE5300">
      <w:pPr>
        <w:pStyle w:val="FootnoteText"/>
        <w:rPr>
          <w:lang w:val="en-GB"/>
        </w:rPr>
      </w:pPr>
      <w:r>
        <w:rPr>
          <w:rStyle w:val="FootnoteReference"/>
        </w:rPr>
        <w:footnoteRef/>
      </w:r>
      <w:r>
        <w:t xml:space="preserve"> </w:t>
      </w:r>
      <w:r>
        <w:rPr>
          <w:lang w:val="en-GB"/>
        </w:rPr>
        <w:t xml:space="preserve">For more information on IDI data, see the Integrated Data Infrastructure webpage on the Stats NZ website at URL: </w:t>
      </w:r>
      <w:hyperlink r:id="rId24" w:history="1">
        <w:r w:rsidRPr="007E0656">
          <w:rPr>
            <w:rStyle w:val="Hyperlink"/>
            <w:rFonts w:eastAsia="MS Gothic"/>
          </w:rPr>
          <w:t>stats.govt.nz/integrated-data/integrated-data-infrastructure</w:t>
        </w:r>
      </w:hyperlink>
      <w:r>
        <w:rPr>
          <w:lang w:val="en-GB"/>
        </w:rPr>
        <w:t xml:space="preserve"> </w:t>
      </w:r>
    </w:p>
  </w:footnote>
  <w:footnote w:id="51">
    <w:p w14:paraId="2BBAC9AF" w14:textId="22A7E54E" w:rsidR="00DB373E" w:rsidRDefault="00DB373E" w:rsidP="0002659E">
      <w:pPr>
        <w:pStyle w:val="FootnoteText"/>
      </w:pPr>
      <w:r>
        <w:rPr>
          <w:rStyle w:val="FootnoteReference"/>
        </w:rPr>
        <w:footnoteRef/>
      </w:r>
      <w:r>
        <w:t xml:space="preserve"> </w:t>
      </w:r>
      <w:r w:rsidRPr="003262C8">
        <w:rPr>
          <w:rFonts w:eastAsia="Segoe UI" w:cstheme="minorHAnsi"/>
          <w:szCs w:val="17"/>
        </w:rPr>
        <w:t xml:space="preserve">Source: The </w:t>
      </w:r>
      <w:r>
        <w:rPr>
          <w:rFonts w:eastAsia="Segoe UI" w:cstheme="minorHAnsi"/>
          <w:szCs w:val="17"/>
        </w:rPr>
        <w:t xml:space="preserve">Gambling </w:t>
      </w:r>
      <w:r w:rsidRPr="003262C8">
        <w:rPr>
          <w:rFonts w:eastAsia="Segoe UI" w:cstheme="minorHAnsi"/>
          <w:szCs w:val="17"/>
        </w:rPr>
        <w:t xml:space="preserve">expenditure </w:t>
      </w:r>
      <w:r>
        <w:rPr>
          <w:rFonts w:eastAsia="Segoe UI" w:cstheme="minorHAnsi"/>
          <w:szCs w:val="17"/>
        </w:rPr>
        <w:t>webpage on</w:t>
      </w:r>
      <w:r w:rsidRPr="003262C8">
        <w:rPr>
          <w:rFonts w:eastAsia="Segoe UI" w:cstheme="minorHAnsi"/>
          <w:szCs w:val="17"/>
        </w:rPr>
        <w:t xml:space="preserve"> </w:t>
      </w:r>
      <w:r>
        <w:rPr>
          <w:rFonts w:eastAsia="Segoe UI" w:cstheme="minorHAnsi"/>
          <w:szCs w:val="17"/>
        </w:rPr>
        <w:t>the</w:t>
      </w:r>
      <w:r w:rsidRPr="003262C8">
        <w:rPr>
          <w:rFonts w:eastAsia="Segoe UI" w:cstheme="minorHAnsi"/>
          <w:szCs w:val="17"/>
        </w:rPr>
        <w:t xml:space="preserve"> DIA website: </w:t>
      </w:r>
      <w:hyperlink r:id="rId25">
        <w:r w:rsidRPr="003262C8">
          <w:rPr>
            <w:rStyle w:val="Hyperlink"/>
            <w:rFonts w:eastAsia="Segoe UI" w:cstheme="minorHAnsi"/>
            <w:szCs w:val="17"/>
          </w:rPr>
          <w:t>dia.govt.nz/gambling-statistics-expenditure</w:t>
        </w:r>
      </w:hyperlink>
      <w:r w:rsidRPr="003262C8">
        <w:rPr>
          <w:rFonts w:eastAsia="Calibri" w:cstheme="minorHAnsi"/>
          <w:b/>
          <w:color w:val="595959" w:themeColor="text1" w:themeTint="A6"/>
          <w:szCs w:val="17"/>
        </w:rPr>
        <w:t xml:space="preserve"> </w:t>
      </w:r>
      <w:r w:rsidRPr="003262C8">
        <w:rPr>
          <w:rFonts w:eastAsia="Segoe UI" w:cstheme="minorHAnsi"/>
          <w:szCs w:val="17"/>
        </w:rPr>
        <w:t xml:space="preserve">(accessed </w:t>
      </w:r>
      <w:r w:rsidR="001008AD">
        <w:rPr>
          <w:rFonts w:eastAsia="Segoe UI" w:cstheme="minorHAnsi"/>
          <w:szCs w:val="17"/>
        </w:rPr>
        <w:t>21 May 2025</w:t>
      </w:r>
      <w:r w:rsidRPr="003262C8">
        <w:rPr>
          <w:rFonts w:eastAsia="Segoe UI" w:cstheme="minorHAnsi"/>
          <w:szCs w:val="17"/>
        </w:rPr>
        <w:t xml:space="preserve">). Expenditure data from earlier years is </w:t>
      </w:r>
      <w:r>
        <w:rPr>
          <w:rFonts w:eastAsia="Segoe UI" w:cstheme="minorHAnsi"/>
          <w:szCs w:val="17"/>
        </w:rPr>
        <w:t xml:space="preserve">also </w:t>
      </w:r>
      <w:r w:rsidRPr="003262C8">
        <w:rPr>
          <w:rFonts w:eastAsia="Segoe UI" w:cstheme="minorHAnsi"/>
          <w:szCs w:val="17"/>
        </w:rPr>
        <w:t>available at this source</w:t>
      </w:r>
    </w:p>
  </w:footnote>
  <w:footnote w:id="52">
    <w:p w14:paraId="37D80575" w14:textId="1E1498DC" w:rsidR="00DB373E" w:rsidRDefault="00DB373E" w:rsidP="0002659E">
      <w:pPr>
        <w:pStyle w:val="FootnoteText"/>
        <w:spacing w:before="0" w:line="240" w:lineRule="auto"/>
      </w:pPr>
      <w:r>
        <w:rPr>
          <w:rStyle w:val="FootnoteReference"/>
        </w:rPr>
        <w:footnoteRef/>
      </w:r>
      <w:r>
        <w:t xml:space="preserve"> Most of the data in this section is sourced from DIA </w:t>
      </w:r>
      <w:r>
        <w:rPr>
          <w:rFonts w:eastAsia="Segoe UI" w:cstheme="minorHAnsi"/>
          <w:szCs w:val="17"/>
        </w:rPr>
        <w:t xml:space="preserve">Gambling </w:t>
      </w:r>
      <w:r w:rsidRPr="003262C8">
        <w:rPr>
          <w:rFonts w:eastAsia="Segoe UI" w:cstheme="minorHAnsi"/>
          <w:szCs w:val="17"/>
        </w:rPr>
        <w:t xml:space="preserve">expenditure </w:t>
      </w:r>
      <w:r>
        <w:rPr>
          <w:rFonts w:eastAsia="Segoe UI" w:cstheme="minorHAnsi"/>
          <w:szCs w:val="17"/>
        </w:rPr>
        <w:t>webpage on</w:t>
      </w:r>
      <w:r w:rsidRPr="003262C8">
        <w:rPr>
          <w:rFonts w:eastAsia="Segoe UI" w:cstheme="minorHAnsi"/>
          <w:szCs w:val="17"/>
        </w:rPr>
        <w:t xml:space="preserve"> </w:t>
      </w:r>
      <w:r>
        <w:rPr>
          <w:rFonts w:eastAsia="Segoe UI" w:cstheme="minorHAnsi"/>
          <w:szCs w:val="17"/>
        </w:rPr>
        <w:t>the</w:t>
      </w:r>
      <w:r w:rsidRPr="003262C8">
        <w:rPr>
          <w:rFonts w:eastAsia="Segoe UI" w:cstheme="minorHAnsi"/>
          <w:szCs w:val="17"/>
        </w:rPr>
        <w:t xml:space="preserve"> DIA website: </w:t>
      </w:r>
      <w:hyperlink r:id="rId26">
        <w:r w:rsidRPr="003262C8">
          <w:rPr>
            <w:rStyle w:val="Hyperlink"/>
            <w:rFonts w:eastAsia="Segoe UI" w:cstheme="minorHAnsi"/>
            <w:szCs w:val="17"/>
          </w:rPr>
          <w:t>dia.govt.nz/gambling-statistics-expenditure</w:t>
        </w:r>
      </w:hyperlink>
      <w:r w:rsidRPr="003262C8">
        <w:rPr>
          <w:rFonts w:eastAsia="Calibri" w:cstheme="minorHAnsi"/>
          <w:b/>
          <w:color w:val="595959" w:themeColor="text1" w:themeTint="A6"/>
          <w:szCs w:val="17"/>
        </w:rPr>
        <w:t xml:space="preserve"> </w:t>
      </w:r>
      <w:r w:rsidRPr="003262C8">
        <w:rPr>
          <w:rFonts w:eastAsia="Segoe UI" w:cstheme="minorHAnsi"/>
          <w:szCs w:val="17"/>
        </w:rPr>
        <w:t xml:space="preserve">(accessed 17 </w:t>
      </w:r>
      <w:r>
        <w:rPr>
          <w:rFonts w:eastAsia="Segoe UI" w:cstheme="minorHAnsi"/>
          <w:szCs w:val="17"/>
        </w:rPr>
        <w:t>February 2025).</w:t>
      </w:r>
    </w:p>
  </w:footnote>
  <w:footnote w:id="53">
    <w:p w14:paraId="43D91FA2" w14:textId="77777777" w:rsidR="00DB373E" w:rsidRPr="00322BDF" w:rsidRDefault="00DB373E" w:rsidP="004553DF">
      <w:pPr>
        <w:pStyle w:val="FootnoteText"/>
      </w:pPr>
      <w:r>
        <w:rPr>
          <w:rStyle w:val="FootnoteReference"/>
        </w:rPr>
        <w:footnoteRef/>
      </w:r>
      <w:r>
        <w:t xml:space="preserve"> Correspondence with DIA, 18 February 2025</w:t>
      </w:r>
    </w:p>
  </w:footnote>
  <w:footnote w:id="54">
    <w:p w14:paraId="75562CE5" w14:textId="15B4C257" w:rsidR="00DB373E" w:rsidRDefault="00DB373E" w:rsidP="0002659E">
      <w:pPr>
        <w:pStyle w:val="FootnoteText"/>
        <w:spacing w:before="0" w:line="240" w:lineRule="auto"/>
      </w:pPr>
      <w:r>
        <w:rPr>
          <w:rStyle w:val="FootnoteReference"/>
        </w:rPr>
        <w:footnoteRef/>
      </w:r>
      <w:r>
        <w:t xml:space="preserve"> Source: Gaming machine profits (GMP dashboard) webpage on the DIA website</w:t>
      </w:r>
      <w:r w:rsidRPr="0003777A">
        <w:t xml:space="preserve">: </w:t>
      </w:r>
      <w:hyperlink r:id="rId27" w:history="1">
        <w:r w:rsidRPr="00C25919">
          <w:rPr>
            <w:rStyle w:val="Hyperlink"/>
          </w:rPr>
          <w:t>dia.govt.nz/gambling-statistics-gmp-dashboard</w:t>
        </w:r>
      </w:hyperlink>
      <w:r w:rsidRPr="0003777A">
        <w:t xml:space="preserve"> (accessed</w:t>
      </w:r>
      <w:r>
        <w:t xml:space="preserve"> 17 June 2024 and 12 November 2024</w:t>
      </w:r>
      <w:r w:rsidRPr="0003777A">
        <w:t>).</w:t>
      </w:r>
      <w:r>
        <w:t xml:space="preserve"> </w:t>
      </w:r>
    </w:p>
  </w:footnote>
  <w:footnote w:id="55">
    <w:p w14:paraId="060553C4" w14:textId="5290502E" w:rsidR="00DB373E" w:rsidRDefault="00DB373E" w:rsidP="0002659E">
      <w:pPr>
        <w:pStyle w:val="FootnoteText"/>
        <w:spacing w:before="0" w:line="240" w:lineRule="auto"/>
      </w:pPr>
      <w:r>
        <w:rPr>
          <w:rStyle w:val="FootnoteReference"/>
        </w:rPr>
        <w:footnoteRef/>
      </w:r>
      <w:r>
        <w:t xml:space="preserve"> Source: Gaming machine profits (GMP dashboard) webpage on the DIA website</w:t>
      </w:r>
      <w:r w:rsidRPr="0003777A">
        <w:t xml:space="preserve">: </w:t>
      </w:r>
      <w:hyperlink r:id="rId28" w:history="1">
        <w:r w:rsidRPr="00C25919">
          <w:rPr>
            <w:rStyle w:val="Hyperlink"/>
          </w:rPr>
          <w:t>dia.govt.nz/gambling-statistics-gmp-dashboard</w:t>
        </w:r>
      </w:hyperlink>
      <w:r w:rsidRPr="0003777A">
        <w:t xml:space="preserve"> (accessed</w:t>
      </w:r>
      <w:r>
        <w:t xml:space="preserve"> 17 June 2024</w:t>
      </w:r>
      <w:r w:rsidRPr="0003777A">
        <w:t>).</w:t>
      </w:r>
      <w:r>
        <w:t xml:space="preserve"> </w:t>
      </w:r>
    </w:p>
  </w:footnote>
  <w:footnote w:id="56">
    <w:p w14:paraId="156B4260" w14:textId="0560E6FB" w:rsidR="00DB373E" w:rsidRDefault="00DB373E" w:rsidP="0002659E">
      <w:pPr>
        <w:pStyle w:val="FootnoteText"/>
        <w:spacing w:before="0" w:line="240" w:lineRule="auto"/>
      </w:pPr>
      <w:r>
        <w:rPr>
          <w:rStyle w:val="FootnoteReference"/>
        </w:rPr>
        <w:footnoteRef/>
      </w:r>
      <w:r>
        <w:t xml:space="preserve"> Source: Gaming machine profits (GMP dashboard) webpage on the DIA website</w:t>
      </w:r>
      <w:r w:rsidRPr="0003777A">
        <w:t xml:space="preserve">: </w:t>
      </w:r>
      <w:hyperlink r:id="rId29" w:history="1">
        <w:r w:rsidRPr="00C25919">
          <w:rPr>
            <w:rStyle w:val="Hyperlink"/>
          </w:rPr>
          <w:t>dia.govt.nz/gambling-statistics-gmp-dashboard</w:t>
        </w:r>
      </w:hyperlink>
      <w:r w:rsidRPr="0003777A">
        <w:t xml:space="preserve"> (accessed</w:t>
      </w:r>
      <w:r>
        <w:t xml:space="preserve"> 17 June 2024</w:t>
      </w:r>
      <w:r w:rsidRPr="0003777A">
        <w:t>).</w:t>
      </w:r>
    </w:p>
  </w:footnote>
  <w:footnote w:id="57">
    <w:p w14:paraId="235A82EC" w14:textId="77777777" w:rsidR="00DB373E" w:rsidRDefault="00DB373E" w:rsidP="00471B1C">
      <w:pPr>
        <w:pStyle w:val="FootnoteText"/>
      </w:pPr>
      <w:r>
        <w:rPr>
          <w:rStyle w:val="FootnoteReference"/>
        </w:rPr>
        <w:footnoteRef/>
      </w:r>
      <w:r>
        <w:t xml:space="preserve"> Lotto New Zealand Statement of intent for 1 July 2025 to 30 June 2029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DB373E" w14:paraId="5298AC85" w14:textId="77777777" w:rsidTr="03BA4D82">
      <w:trPr>
        <w:trHeight w:val="300"/>
      </w:trPr>
      <w:tc>
        <w:tcPr>
          <w:tcW w:w="3210" w:type="dxa"/>
        </w:tcPr>
        <w:p w14:paraId="1592705F" w14:textId="50C0E42F" w:rsidR="00DB373E" w:rsidRDefault="00DB373E" w:rsidP="03BA4D82">
          <w:pPr>
            <w:pStyle w:val="Header"/>
            <w:ind w:left="-115"/>
          </w:pPr>
        </w:p>
      </w:tc>
      <w:tc>
        <w:tcPr>
          <w:tcW w:w="3210" w:type="dxa"/>
        </w:tcPr>
        <w:p w14:paraId="6B68F320" w14:textId="22FEFCFC" w:rsidR="00DB373E" w:rsidRDefault="00DB373E" w:rsidP="03BA4D82">
          <w:pPr>
            <w:pStyle w:val="Header"/>
            <w:jc w:val="center"/>
          </w:pPr>
        </w:p>
      </w:tc>
      <w:tc>
        <w:tcPr>
          <w:tcW w:w="3210" w:type="dxa"/>
        </w:tcPr>
        <w:p w14:paraId="4FC2B414" w14:textId="5224FCF2" w:rsidR="00DB373E" w:rsidRDefault="00DB373E" w:rsidP="03BA4D82">
          <w:pPr>
            <w:pStyle w:val="Header"/>
            <w:ind w:right="-115"/>
            <w:jc w:val="right"/>
          </w:pPr>
        </w:p>
      </w:tc>
    </w:tr>
  </w:tbl>
  <w:p w14:paraId="1833622E" w14:textId="5178872C" w:rsidR="00DB373E" w:rsidRDefault="00DB37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DB373E" w14:paraId="31C41A28" w14:textId="77777777">
      <w:trPr>
        <w:cantSplit/>
      </w:trPr>
      <w:tc>
        <w:tcPr>
          <w:tcW w:w="5210" w:type="dxa"/>
          <w:vAlign w:val="center"/>
        </w:tcPr>
        <w:p w14:paraId="4556CA5F" w14:textId="358A02C8" w:rsidR="00DB373E" w:rsidRDefault="00DB373E" w:rsidP="00235C06">
          <w:pPr>
            <w:pStyle w:val="Header"/>
          </w:pPr>
        </w:p>
      </w:tc>
      <w:tc>
        <w:tcPr>
          <w:tcW w:w="4429" w:type="dxa"/>
          <w:vAlign w:val="center"/>
        </w:tcPr>
        <w:p w14:paraId="2D9E6CE3" w14:textId="0A997F3D" w:rsidR="00DB373E" w:rsidRDefault="00DB373E" w:rsidP="00235C06">
          <w:pPr>
            <w:pStyle w:val="Header"/>
            <w:jc w:val="right"/>
          </w:pPr>
        </w:p>
      </w:tc>
    </w:tr>
  </w:tbl>
  <w:p w14:paraId="4AC8EC99" w14:textId="5504351E" w:rsidR="00DB373E" w:rsidRDefault="00DB37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455"/>
      <w:gridCol w:w="2455"/>
      <w:gridCol w:w="2455"/>
    </w:tblGrid>
    <w:tr w:rsidR="00DB373E" w14:paraId="1BBCDE8B" w14:textId="77777777" w:rsidTr="03BA4D82">
      <w:trPr>
        <w:trHeight w:val="300"/>
      </w:trPr>
      <w:tc>
        <w:tcPr>
          <w:tcW w:w="2455" w:type="dxa"/>
        </w:tcPr>
        <w:p w14:paraId="7C26FEA1" w14:textId="4501CE45" w:rsidR="00DB373E" w:rsidRDefault="00DB373E" w:rsidP="03BA4D82">
          <w:pPr>
            <w:pStyle w:val="Header"/>
            <w:ind w:left="-115"/>
          </w:pPr>
        </w:p>
      </w:tc>
      <w:tc>
        <w:tcPr>
          <w:tcW w:w="2455" w:type="dxa"/>
        </w:tcPr>
        <w:p w14:paraId="05758A5E" w14:textId="1E9019EB" w:rsidR="00DB373E" w:rsidRDefault="00DB373E" w:rsidP="03BA4D82">
          <w:pPr>
            <w:pStyle w:val="Header"/>
            <w:jc w:val="center"/>
          </w:pPr>
        </w:p>
      </w:tc>
      <w:tc>
        <w:tcPr>
          <w:tcW w:w="2455" w:type="dxa"/>
        </w:tcPr>
        <w:p w14:paraId="181FAB59" w14:textId="5D3112DF" w:rsidR="00DB373E" w:rsidRDefault="00DB373E" w:rsidP="03BA4D82">
          <w:pPr>
            <w:pStyle w:val="Header"/>
            <w:ind w:right="-115"/>
            <w:jc w:val="right"/>
          </w:pPr>
        </w:p>
      </w:tc>
    </w:tr>
  </w:tbl>
  <w:p w14:paraId="580E8472" w14:textId="4F114C56" w:rsidR="00DB373E" w:rsidRDefault="00DB37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DB373E" w:rsidRDefault="00DB373E"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DB373E" w:rsidRDefault="00DB373E"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8C158" w14:textId="77777777" w:rsidR="00DB373E" w:rsidRPr="00B2000D" w:rsidRDefault="00DB373E" w:rsidP="00866B9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19FE" w14:textId="77777777" w:rsidR="00DB373E" w:rsidRPr="00B2000D" w:rsidRDefault="00DB373E" w:rsidP="00866B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174F6D"/>
    <w:multiLevelType w:val="hybridMultilevel"/>
    <w:tmpl w:val="FFFFFFFF"/>
    <w:lvl w:ilvl="0" w:tplc="B9F8DE7E">
      <w:start w:val="1"/>
      <w:numFmt w:val="bullet"/>
      <w:lvlText w:val="·"/>
      <w:lvlJc w:val="left"/>
      <w:pPr>
        <w:ind w:left="720" w:hanging="360"/>
      </w:pPr>
      <w:rPr>
        <w:rFonts w:ascii="Symbol" w:hAnsi="Symbol" w:hint="default"/>
      </w:rPr>
    </w:lvl>
    <w:lvl w:ilvl="1" w:tplc="4886A8EC">
      <w:start w:val="1"/>
      <w:numFmt w:val="bullet"/>
      <w:lvlText w:val="o"/>
      <w:lvlJc w:val="left"/>
      <w:pPr>
        <w:ind w:left="1440" w:hanging="360"/>
      </w:pPr>
      <w:rPr>
        <w:rFonts w:ascii="Courier New" w:hAnsi="Courier New" w:hint="default"/>
      </w:rPr>
    </w:lvl>
    <w:lvl w:ilvl="2" w:tplc="FE268E14">
      <w:start w:val="1"/>
      <w:numFmt w:val="bullet"/>
      <w:lvlText w:val=""/>
      <w:lvlJc w:val="left"/>
      <w:pPr>
        <w:ind w:left="2160" w:hanging="360"/>
      </w:pPr>
      <w:rPr>
        <w:rFonts w:ascii="Wingdings" w:hAnsi="Wingdings" w:hint="default"/>
      </w:rPr>
    </w:lvl>
    <w:lvl w:ilvl="3" w:tplc="238AB82C">
      <w:start w:val="1"/>
      <w:numFmt w:val="bullet"/>
      <w:lvlText w:val=""/>
      <w:lvlJc w:val="left"/>
      <w:pPr>
        <w:ind w:left="2880" w:hanging="360"/>
      </w:pPr>
      <w:rPr>
        <w:rFonts w:ascii="Symbol" w:hAnsi="Symbol" w:hint="default"/>
      </w:rPr>
    </w:lvl>
    <w:lvl w:ilvl="4" w:tplc="23084D4E">
      <w:start w:val="1"/>
      <w:numFmt w:val="bullet"/>
      <w:lvlText w:val="o"/>
      <w:lvlJc w:val="left"/>
      <w:pPr>
        <w:ind w:left="3600" w:hanging="360"/>
      </w:pPr>
      <w:rPr>
        <w:rFonts w:ascii="Courier New" w:hAnsi="Courier New" w:hint="default"/>
      </w:rPr>
    </w:lvl>
    <w:lvl w:ilvl="5" w:tplc="1908ADAC">
      <w:start w:val="1"/>
      <w:numFmt w:val="bullet"/>
      <w:lvlText w:val=""/>
      <w:lvlJc w:val="left"/>
      <w:pPr>
        <w:ind w:left="4320" w:hanging="360"/>
      </w:pPr>
      <w:rPr>
        <w:rFonts w:ascii="Wingdings" w:hAnsi="Wingdings" w:hint="default"/>
      </w:rPr>
    </w:lvl>
    <w:lvl w:ilvl="6" w:tplc="35B83270">
      <w:start w:val="1"/>
      <w:numFmt w:val="bullet"/>
      <w:lvlText w:val=""/>
      <w:lvlJc w:val="left"/>
      <w:pPr>
        <w:ind w:left="5040" w:hanging="360"/>
      </w:pPr>
      <w:rPr>
        <w:rFonts w:ascii="Symbol" w:hAnsi="Symbol" w:hint="default"/>
      </w:rPr>
    </w:lvl>
    <w:lvl w:ilvl="7" w:tplc="686E9E4E">
      <w:start w:val="1"/>
      <w:numFmt w:val="bullet"/>
      <w:lvlText w:val="o"/>
      <w:lvlJc w:val="left"/>
      <w:pPr>
        <w:ind w:left="5760" w:hanging="360"/>
      </w:pPr>
      <w:rPr>
        <w:rFonts w:ascii="Courier New" w:hAnsi="Courier New" w:hint="default"/>
      </w:rPr>
    </w:lvl>
    <w:lvl w:ilvl="8" w:tplc="A008BFDC">
      <w:start w:val="1"/>
      <w:numFmt w:val="bullet"/>
      <w:lvlText w:val=""/>
      <w:lvlJc w:val="left"/>
      <w:pPr>
        <w:ind w:left="6480" w:hanging="360"/>
      </w:pPr>
      <w:rPr>
        <w:rFonts w:ascii="Wingdings" w:hAnsi="Wingdings" w:hint="default"/>
      </w:rPr>
    </w:lvl>
  </w:abstractNum>
  <w:abstractNum w:abstractNumId="2" w15:restartNumberingAfterBreak="0">
    <w:nsid w:val="06117281"/>
    <w:multiLevelType w:val="hybridMultilevel"/>
    <w:tmpl w:val="28A4A20E"/>
    <w:lvl w:ilvl="0" w:tplc="14090019">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C5B7590"/>
    <w:multiLevelType w:val="hybridMultilevel"/>
    <w:tmpl w:val="F20087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D72670A"/>
    <w:multiLevelType w:val="hybridMultilevel"/>
    <w:tmpl w:val="FFFFFFFF"/>
    <w:lvl w:ilvl="0" w:tplc="FFFFFFFF">
      <w:start w:val="1"/>
      <w:numFmt w:val="decimal"/>
      <w:lvlText w:val="●"/>
      <w:lvlJc w:val="left"/>
      <w:pPr>
        <w:ind w:left="6" w:hanging="360"/>
      </w:pPr>
    </w:lvl>
    <w:lvl w:ilvl="1" w:tplc="B4BE6304">
      <w:start w:val="1"/>
      <w:numFmt w:val="lowerLetter"/>
      <w:lvlText w:val="%2."/>
      <w:lvlJc w:val="left"/>
      <w:pPr>
        <w:ind w:left="726" w:hanging="360"/>
      </w:pPr>
    </w:lvl>
    <w:lvl w:ilvl="2" w:tplc="0F3006B6">
      <w:start w:val="1"/>
      <w:numFmt w:val="lowerRoman"/>
      <w:lvlText w:val="%3."/>
      <w:lvlJc w:val="right"/>
      <w:pPr>
        <w:ind w:left="1446" w:hanging="180"/>
      </w:pPr>
    </w:lvl>
    <w:lvl w:ilvl="3" w:tplc="E6DE965C">
      <w:start w:val="1"/>
      <w:numFmt w:val="decimal"/>
      <w:lvlText w:val="%4."/>
      <w:lvlJc w:val="left"/>
      <w:pPr>
        <w:ind w:left="2166" w:hanging="360"/>
      </w:pPr>
    </w:lvl>
    <w:lvl w:ilvl="4" w:tplc="CC324948">
      <w:start w:val="1"/>
      <w:numFmt w:val="lowerLetter"/>
      <w:lvlText w:val="%5."/>
      <w:lvlJc w:val="left"/>
      <w:pPr>
        <w:ind w:left="2886" w:hanging="360"/>
      </w:pPr>
    </w:lvl>
    <w:lvl w:ilvl="5" w:tplc="DAFEF650">
      <w:start w:val="1"/>
      <w:numFmt w:val="lowerRoman"/>
      <w:lvlText w:val="%6."/>
      <w:lvlJc w:val="right"/>
      <w:pPr>
        <w:ind w:left="3606" w:hanging="180"/>
      </w:pPr>
    </w:lvl>
    <w:lvl w:ilvl="6" w:tplc="00F4E79E">
      <w:start w:val="1"/>
      <w:numFmt w:val="decimal"/>
      <w:lvlText w:val="%7."/>
      <w:lvlJc w:val="left"/>
      <w:pPr>
        <w:ind w:left="4326" w:hanging="360"/>
      </w:pPr>
    </w:lvl>
    <w:lvl w:ilvl="7" w:tplc="23642046">
      <w:start w:val="1"/>
      <w:numFmt w:val="lowerLetter"/>
      <w:lvlText w:val="%8."/>
      <w:lvlJc w:val="left"/>
      <w:pPr>
        <w:ind w:left="5046" w:hanging="360"/>
      </w:pPr>
    </w:lvl>
    <w:lvl w:ilvl="8" w:tplc="70FE4040">
      <w:start w:val="1"/>
      <w:numFmt w:val="lowerRoman"/>
      <w:lvlText w:val="%9."/>
      <w:lvlJc w:val="right"/>
      <w:pPr>
        <w:ind w:left="5766" w:hanging="180"/>
      </w:pPr>
    </w:lvl>
  </w:abstractNum>
  <w:abstractNum w:abstractNumId="5"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CA91AFD"/>
    <w:multiLevelType w:val="hybridMultilevel"/>
    <w:tmpl w:val="0330A9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3174597C"/>
    <w:multiLevelType w:val="multilevel"/>
    <w:tmpl w:val="CC66E496"/>
    <w:lvl w:ilvl="0">
      <w:start w:val="1"/>
      <w:numFmt w:val="decimal"/>
      <w:pStyle w:val="ReportBody-MOH"/>
      <w:lvlText w:val="%1"/>
      <w:lvlJc w:val="left"/>
      <w:pPr>
        <w:tabs>
          <w:tab w:val="num" w:pos="493"/>
        </w:tabs>
        <w:ind w:left="493" w:hanging="493"/>
      </w:pPr>
    </w:lvl>
    <w:lvl w:ilvl="1">
      <w:start w:val="1"/>
      <w:numFmt w:val="decimal"/>
      <w:pStyle w:val="ReportBody2-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8" w15:restartNumberingAfterBreak="0">
    <w:nsid w:val="31AC5BCC"/>
    <w:multiLevelType w:val="multilevel"/>
    <w:tmpl w:val="E2B82BAE"/>
    <w:name w:val="CabNumeric2"/>
    <w:lvl w:ilvl="0">
      <w:start w:val="1"/>
      <w:numFmt w:val="decimal"/>
      <w:pStyle w:val="CabStandard"/>
      <w:lvlText w:val="%1"/>
      <w:lvlJc w:val="left"/>
      <w:pPr>
        <w:tabs>
          <w:tab w:val="num" w:pos="720"/>
        </w:tabs>
        <w:ind w:left="720" w:hanging="720"/>
      </w:pPr>
      <w:rPr>
        <w:rFonts w:ascii="Arial" w:hAnsi="Arial" w:cs="Arial" w:hint="default"/>
        <w:i w:val="0"/>
        <w:iCs/>
        <w:strike w:val="0"/>
        <w:color w:val="auto"/>
      </w:rPr>
    </w:lvl>
    <w:lvl w:ilvl="1">
      <w:start w:val="1"/>
      <w:numFmt w:val="decimal"/>
      <w:lvlText w:val="%1.%2"/>
      <w:lvlJc w:val="left"/>
      <w:pPr>
        <w:tabs>
          <w:tab w:val="num" w:pos="1440"/>
        </w:tabs>
        <w:ind w:left="1440" w:hanging="720"/>
      </w:pPr>
      <w:rPr>
        <w:rFonts w:hint="default"/>
        <w:i w:val="0"/>
        <w:iCs/>
        <w:strike w:val="0"/>
        <w:color w:val="auto"/>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9" w15:restartNumberingAfterBreak="0">
    <w:nsid w:val="38DE5A8D"/>
    <w:multiLevelType w:val="hybridMultilevel"/>
    <w:tmpl w:val="7D1C1876"/>
    <w:lvl w:ilvl="0" w:tplc="E2C8BEB8">
      <w:start w:val="1"/>
      <w:numFmt w:val="bullet"/>
      <w:pStyle w:val="Bullet-lis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39553477"/>
    <w:multiLevelType w:val="hybridMultilevel"/>
    <w:tmpl w:val="EFC052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39953A54"/>
    <w:multiLevelType w:val="hybridMultilevel"/>
    <w:tmpl w:val="D3169C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C250BD8"/>
    <w:multiLevelType w:val="hybridMultilevel"/>
    <w:tmpl w:val="38AEDE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5FBD1A"/>
    <w:multiLevelType w:val="hybridMultilevel"/>
    <w:tmpl w:val="45820602"/>
    <w:lvl w:ilvl="0" w:tplc="F884A244">
      <w:start w:val="1"/>
      <w:numFmt w:val="bullet"/>
      <w:pStyle w:val="Tablebullets"/>
      <w:lvlText w:val="·"/>
      <w:lvlJc w:val="left"/>
      <w:pPr>
        <w:ind w:left="720" w:hanging="360"/>
      </w:pPr>
      <w:rPr>
        <w:rFonts w:ascii="Symbol" w:hAnsi="Symbol" w:hint="default"/>
      </w:rPr>
    </w:lvl>
    <w:lvl w:ilvl="1" w:tplc="C5D2B574">
      <w:start w:val="1"/>
      <w:numFmt w:val="bullet"/>
      <w:lvlText w:val="o"/>
      <w:lvlJc w:val="left"/>
      <w:pPr>
        <w:ind w:left="1440" w:hanging="360"/>
      </w:pPr>
      <w:rPr>
        <w:rFonts w:ascii="Courier New" w:hAnsi="Courier New" w:hint="default"/>
      </w:rPr>
    </w:lvl>
    <w:lvl w:ilvl="2" w:tplc="B794484E">
      <w:start w:val="1"/>
      <w:numFmt w:val="bullet"/>
      <w:lvlText w:val=""/>
      <w:lvlJc w:val="left"/>
      <w:pPr>
        <w:ind w:left="2160" w:hanging="360"/>
      </w:pPr>
      <w:rPr>
        <w:rFonts w:ascii="Wingdings" w:hAnsi="Wingdings" w:hint="default"/>
      </w:rPr>
    </w:lvl>
    <w:lvl w:ilvl="3" w:tplc="62A241FE">
      <w:start w:val="1"/>
      <w:numFmt w:val="bullet"/>
      <w:lvlText w:val=""/>
      <w:lvlJc w:val="left"/>
      <w:pPr>
        <w:ind w:left="2880" w:hanging="360"/>
      </w:pPr>
      <w:rPr>
        <w:rFonts w:ascii="Symbol" w:hAnsi="Symbol" w:hint="default"/>
      </w:rPr>
    </w:lvl>
    <w:lvl w:ilvl="4" w:tplc="10E0CDA4">
      <w:start w:val="1"/>
      <w:numFmt w:val="bullet"/>
      <w:lvlText w:val="o"/>
      <w:lvlJc w:val="left"/>
      <w:pPr>
        <w:ind w:left="3600" w:hanging="360"/>
      </w:pPr>
      <w:rPr>
        <w:rFonts w:ascii="Courier New" w:hAnsi="Courier New" w:hint="default"/>
      </w:rPr>
    </w:lvl>
    <w:lvl w:ilvl="5" w:tplc="8B6066C2">
      <w:start w:val="1"/>
      <w:numFmt w:val="bullet"/>
      <w:lvlText w:val=""/>
      <w:lvlJc w:val="left"/>
      <w:pPr>
        <w:ind w:left="4320" w:hanging="360"/>
      </w:pPr>
      <w:rPr>
        <w:rFonts w:ascii="Wingdings" w:hAnsi="Wingdings" w:hint="default"/>
      </w:rPr>
    </w:lvl>
    <w:lvl w:ilvl="6" w:tplc="9FC6FD98">
      <w:start w:val="1"/>
      <w:numFmt w:val="bullet"/>
      <w:lvlText w:val=""/>
      <w:lvlJc w:val="left"/>
      <w:pPr>
        <w:ind w:left="5040" w:hanging="360"/>
      </w:pPr>
      <w:rPr>
        <w:rFonts w:ascii="Symbol" w:hAnsi="Symbol" w:hint="default"/>
      </w:rPr>
    </w:lvl>
    <w:lvl w:ilvl="7" w:tplc="349A6ECA">
      <w:start w:val="1"/>
      <w:numFmt w:val="bullet"/>
      <w:lvlText w:val="o"/>
      <w:lvlJc w:val="left"/>
      <w:pPr>
        <w:ind w:left="5760" w:hanging="360"/>
      </w:pPr>
      <w:rPr>
        <w:rFonts w:ascii="Courier New" w:hAnsi="Courier New" w:hint="default"/>
      </w:rPr>
    </w:lvl>
    <w:lvl w:ilvl="8" w:tplc="A5EC005A">
      <w:start w:val="1"/>
      <w:numFmt w:val="bullet"/>
      <w:lvlText w:val=""/>
      <w:lvlJc w:val="left"/>
      <w:pPr>
        <w:ind w:left="6480" w:hanging="360"/>
      </w:pPr>
      <w:rPr>
        <w:rFonts w:ascii="Wingdings" w:hAnsi="Wingdings" w:hint="default"/>
      </w:rPr>
    </w:lvl>
  </w:abstractNum>
  <w:abstractNum w:abstractNumId="16" w15:restartNumberingAfterBreak="0">
    <w:nsid w:val="4C285B14"/>
    <w:multiLevelType w:val="hybridMultilevel"/>
    <w:tmpl w:val="1D328178"/>
    <w:lvl w:ilvl="0" w:tplc="C08C3524">
      <w:start w:val="2"/>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49B04E2"/>
    <w:multiLevelType w:val="hybridMultilevel"/>
    <w:tmpl w:val="221E658C"/>
    <w:lvl w:ilvl="0" w:tplc="68B08BF2">
      <w:start w:val="1"/>
      <w:numFmt w:val="bullet"/>
      <w:lvlText w:val=""/>
      <w:lvlJc w:val="left"/>
      <w:pPr>
        <w:ind w:left="360" w:hanging="360"/>
      </w:pPr>
      <w:rPr>
        <w:rFonts w:ascii="Symbol" w:hAnsi="Symbol" w:hint="default"/>
      </w:rPr>
    </w:lvl>
    <w:lvl w:ilvl="1" w:tplc="06901BF6">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5A6342C9"/>
    <w:multiLevelType w:val="hybridMultilevel"/>
    <w:tmpl w:val="A3AA50A4"/>
    <w:lvl w:ilvl="0" w:tplc="099E7010">
      <w:start w:val="1"/>
      <w:numFmt w:val="bullet"/>
      <w:lvlText w:val=""/>
      <w:lvlJc w:val="left"/>
      <w:pPr>
        <w:ind w:left="1000" w:hanging="360"/>
      </w:pPr>
      <w:rPr>
        <w:rFonts w:ascii="Symbol" w:hAnsi="Symbol"/>
      </w:rPr>
    </w:lvl>
    <w:lvl w:ilvl="1" w:tplc="88F48E72">
      <w:start w:val="1"/>
      <w:numFmt w:val="bullet"/>
      <w:lvlText w:val=""/>
      <w:lvlJc w:val="left"/>
      <w:pPr>
        <w:ind w:left="1000" w:hanging="360"/>
      </w:pPr>
      <w:rPr>
        <w:rFonts w:ascii="Symbol" w:hAnsi="Symbol"/>
      </w:rPr>
    </w:lvl>
    <w:lvl w:ilvl="2" w:tplc="553E8386">
      <w:start w:val="1"/>
      <w:numFmt w:val="bullet"/>
      <w:lvlText w:val=""/>
      <w:lvlJc w:val="left"/>
      <w:pPr>
        <w:ind w:left="1000" w:hanging="360"/>
      </w:pPr>
      <w:rPr>
        <w:rFonts w:ascii="Symbol" w:hAnsi="Symbol"/>
      </w:rPr>
    </w:lvl>
    <w:lvl w:ilvl="3" w:tplc="161230E4">
      <w:start w:val="1"/>
      <w:numFmt w:val="bullet"/>
      <w:lvlText w:val=""/>
      <w:lvlJc w:val="left"/>
      <w:pPr>
        <w:ind w:left="1000" w:hanging="360"/>
      </w:pPr>
      <w:rPr>
        <w:rFonts w:ascii="Symbol" w:hAnsi="Symbol"/>
      </w:rPr>
    </w:lvl>
    <w:lvl w:ilvl="4" w:tplc="FF68C1F2">
      <w:start w:val="1"/>
      <w:numFmt w:val="bullet"/>
      <w:lvlText w:val=""/>
      <w:lvlJc w:val="left"/>
      <w:pPr>
        <w:ind w:left="1000" w:hanging="360"/>
      </w:pPr>
      <w:rPr>
        <w:rFonts w:ascii="Symbol" w:hAnsi="Symbol"/>
      </w:rPr>
    </w:lvl>
    <w:lvl w:ilvl="5" w:tplc="FA9852F8">
      <w:start w:val="1"/>
      <w:numFmt w:val="bullet"/>
      <w:lvlText w:val=""/>
      <w:lvlJc w:val="left"/>
      <w:pPr>
        <w:ind w:left="1000" w:hanging="360"/>
      </w:pPr>
      <w:rPr>
        <w:rFonts w:ascii="Symbol" w:hAnsi="Symbol"/>
      </w:rPr>
    </w:lvl>
    <w:lvl w:ilvl="6" w:tplc="7FBCB0E6">
      <w:start w:val="1"/>
      <w:numFmt w:val="bullet"/>
      <w:lvlText w:val=""/>
      <w:lvlJc w:val="left"/>
      <w:pPr>
        <w:ind w:left="1000" w:hanging="360"/>
      </w:pPr>
      <w:rPr>
        <w:rFonts w:ascii="Symbol" w:hAnsi="Symbol"/>
      </w:rPr>
    </w:lvl>
    <w:lvl w:ilvl="7" w:tplc="FA983372">
      <w:start w:val="1"/>
      <w:numFmt w:val="bullet"/>
      <w:lvlText w:val=""/>
      <w:lvlJc w:val="left"/>
      <w:pPr>
        <w:ind w:left="1000" w:hanging="360"/>
      </w:pPr>
      <w:rPr>
        <w:rFonts w:ascii="Symbol" w:hAnsi="Symbol"/>
      </w:rPr>
    </w:lvl>
    <w:lvl w:ilvl="8" w:tplc="2C48519A">
      <w:start w:val="1"/>
      <w:numFmt w:val="bullet"/>
      <w:lvlText w:val=""/>
      <w:lvlJc w:val="left"/>
      <w:pPr>
        <w:ind w:left="1000" w:hanging="360"/>
      </w:pPr>
      <w:rPr>
        <w:rFonts w:ascii="Symbol" w:hAnsi="Symbol"/>
      </w:rPr>
    </w:lvl>
  </w:abstractNum>
  <w:abstractNum w:abstractNumId="19" w15:restartNumberingAfterBreak="0">
    <w:nsid w:val="5A635895"/>
    <w:multiLevelType w:val="hybridMultilevel"/>
    <w:tmpl w:val="78BE86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67689F4"/>
    <w:multiLevelType w:val="hybridMultilevel"/>
    <w:tmpl w:val="54BE552A"/>
    <w:lvl w:ilvl="0" w:tplc="C7B87760">
      <w:start w:val="1"/>
      <w:numFmt w:val="bullet"/>
      <w:lvlText w:val=""/>
      <w:lvlJc w:val="left"/>
      <w:pPr>
        <w:ind w:left="726" w:hanging="360"/>
      </w:pPr>
      <w:rPr>
        <w:rFonts w:ascii="Symbol" w:hAnsi="Symbol" w:hint="default"/>
      </w:rPr>
    </w:lvl>
    <w:lvl w:ilvl="1" w:tplc="FF261304">
      <w:start w:val="1"/>
      <w:numFmt w:val="bullet"/>
      <w:lvlText w:val="o"/>
      <w:lvlJc w:val="left"/>
      <w:pPr>
        <w:ind w:left="1446" w:hanging="360"/>
      </w:pPr>
      <w:rPr>
        <w:rFonts w:ascii="Courier New" w:hAnsi="Courier New" w:hint="default"/>
      </w:rPr>
    </w:lvl>
    <w:lvl w:ilvl="2" w:tplc="EC50748C">
      <w:start w:val="1"/>
      <w:numFmt w:val="bullet"/>
      <w:lvlText w:val=""/>
      <w:lvlJc w:val="left"/>
      <w:pPr>
        <w:ind w:left="2166" w:hanging="360"/>
      </w:pPr>
      <w:rPr>
        <w:rFonts w:ascii="Wingdings" w:hAnsi="Wingdings" w:hint="default"/>
      </w:rPr>
    </w:lvl>
    <w:lvl w:ilvl="3" w:tplc="7E46BDE2">
      <w:start w:val="1"/>
      <w:numFmt w:val="bullet"/>
      <w:lvlText w:val=""/>
      <w:lvlJc w:val="left"/>
      <w:pPr>
        <w:ind w:left="2886" w:hanging="360"/>
      </w:pPr>
      <w:rPr>
        <w:rFonts w:ascii="Symbol" w:hAnsi="Symbol" w:hint="default"/>
      </w:rPr>
    </w:lvl>
    <w:lvl w:ilvl="4" w:tplc="0AD62406">
      <w:start w:val="1"/>
      <w:numFmt w:val="bullet"/>
      <w:lvlText w:val="o"/>
      <w:lvlJc w:val="left"/>
      <w:pPr>
        <w:ind w:left="3606" w:hanging="360"/>
      </w:pPr>
      <w:rPr>
        <w:rFonts w:ascii="Courier New" w:hAnsi="Courier New" w:hint="default"/>
      </w:rPr>
    </w:lvl>
    <w:lvl w:ilvl="5" w:tplc="709C9798">
      <w:start w:val="1"/>
      <w:numFmt w:val="bullet"/>
      <w:lvlText w:val=""/>
      <w:lvlJc w:val="left"/>
      <w:pPr>
        <w:ind w:left="4326" w:hanging="360"/>
      </w:pPr>
      <w:rPr>
        <w:rFonts w:ascii="Wingdings" w:hAnsi="Wingdings" w:hint="default"/>
      </w:rPr>
    </w:lvl>
    <w:lvl w:ilvl="6" w:tplc="47806E24">
      <w:start w:val="1"/>
      <w:numFmt w:val="bullet"/>
      <w:lvlText w:val=""/>
      <w:lvlJc w:val="left"/>
      <w:pPr>
        <w:ind w:left="5046" w:hanging="360"/>
      </w:pPr>
      <w:rPr>
        <w:rFonts w:ascii="Symbol" w:hAnsi="Symbol" w:hint="default"/>
      </w:rPr>
    </w:lvl>
    <w:lvl w:ilvl="7" w:tplc="CFD25366">
      <w:start w:val="1"/>
      <w:numFmt w:val="bullet"/>
      <w:lvlText w:val="o"/>
      <w:lvlJc w:val="left"/>
      <w:pPr>
        <w:ind w:left="5766" w:hanging="360"/>
      </w:pPr>
      <w:rPr>
        <w:rFonts w:ascii="Courier New" w:hAnsi="Courier New" w:hint="default"/>
      </w:rPr>
    </w:lvl>
    <w:lvl w:ilvl="8" w:tplc="F43ADA54">
      <w:start w:val="1"/>
      <w:numFmt w:val="bullet"/>
      <w:lvlText w:val=""/>
      <w:lvlJc w:val="left"/>
      <w:pPr>
        <w:ind w:left="6486" w:hanging="360"/>
      </w:pPr>
      <w:rPr>
        <w:rFonts w:ascii="Wingdings" w:hAnsi="Wingdings" w:hint="default"/>
      </w:rPr>
    </w:lvl>
  </w:abstractNum>
  <w:abstractNum w:abstractNumId="21" w15:restartNumberingAfterBreak="0">
    <w:nsid w:val="6F6378F1"/>
    <w:multiLevelType w:val="hybridMultilevel"/>
    <w:tmpl w:val="0866A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23" w15:restartNumberingAfterBreak="0">
    <w:nsid w:val="7CC72B21"/>
    <w:multiLevelType w:val="multilevel"/>
    <w:tmpl w:val="273EF2D8"/>
    <w:lvl w:ilvl="0">
      <w:start w:val="1"/>
      <w:numFmt w:val="decimal"/>
      <w:pStyle w:val="Numberedpara"/>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87709373">
    <w:abstractNumId w:val="22"/>
  </w:num>
  <w:num w:numId="2" w16cid:durableId="1055470884">
    <w:abstractNumId w:val="13"/>
  </w:num>
  <w:num w:numId="3" w16cid:durableId="1135215834">
    <w:abstractNumId w:val="14"/>
  </w:num>
  <w:num w:numId="4" w16cid:durableId="706032101">
    <w:abstractNumId w:val="0"/>
  </w:num>
  <w:num w:numId="5" w16cid:durableId="288440313">
    <w:abstractNumId w:val="23"/>
  </w:num>
  <w:num w:numId="6" w16cid:durableId="951784347">
    <w:abstractNumId w:val="5"/>
  </w:num>
  <w:num w:numId="7" w16cid:durableId="1168322312">
    <w:abstractNumId w:val="8"/>
  </w:num>
  <w:num w:numId="8" w16cid:durableId="729959478">
    <w:abstractNumId w:val="17"/>
  </w:num>
  <w:num w:numId="9" w16cid:durableId="245189496">
    <w:abstractNumId w:val="15"/>
  </w:num>
  <w:num w:numId="10" w16cid:durableId="455802917">
    <w:abstractNumId w:val="7"/>
    <w:lvlOverride w:ilvl="0">
      <w:lvl w:ilvl="0">
        <w:numFmt w:val="decimal"/>
        <w:pStyle w:val="ReportBody-MOH"/>
        <w:lvlText w:val="%1."/>
        <w:lvlJc w:val="left"/>
        <w:pPr>
          <w:ind w:left="851" w:hanging="851"/>
        </w:pPr>
        <w:rPr>
          <w:rFonts w:hint="default"/>
          <w:i w:val="0"/>
          <w:color w:val="auto"/>
        </w:rPr>
      </w:lvl>
    </w:lvlOverride>
    <w:lvlOverride w:ilvl="1">
      <w:lvl w:ilvl="1">
        <w:start w:val="1"/>
        <w:numFmt w:val="lowerLetter"/>
        <w:pStyle w:val="ReportBody2-MOH"/>
        <w:lvlText w:val="%2."/>
        <w:lvlJc w:val="left"/>
        <w:pPr>
          <w:ind w:left="1276" w:hanging="425"/>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1" w16cid:durableId="508564202">
    <w:abstractNumId w:val="11"/>
  </w:num>
  <w:num w:numId="12" w16cid:durableId="912158453">
    <w:abstractNumId w:val="22"/>
  </w:num>
  <w:num w:numId="13" w16cid:durableId="1253315115">
    <w:abstractNumId w:val="22"/>
  </w:num>
  <w:num w:numId="14" w16cid:durableId="1751924694">
    <w:abstractNumId w:val="22"/>
  </w:num>
  <w:num w:numId="15" w16cid:durableId="1909612184">
    <w:abstractNumId w:val="22"/>
  </w:num>
  <w:num w:numId="16" w16cid:durableId="99299511">
    <w:abstractNumId w:val="22"/>
  </w:num>
  <w:num w:numId="17" w16cid:durableId="1892842855">
    <w:abstractNumId w:val="22"/>
  </w:num>
  <w:num w:numId="18" w16cid:durableId="1004667553">
    <w:abstractNumId w:val="22"/>
  </w:num>
  <w:num w:numId="19" w16cid:durableId="2049794326">
    <w:abstractNumId w:val="22"/>
  </w:num>
  <w:num w:numId="20" w16cid:durableId="960916260">
    <w:abstractNumId w:val="22"/>
  </w:num>
  <w:num w:numId="21" w16cid:durableId="1427656185">
    <w:abstractNumId w:val="22"/>
  </w:num>
  <w:num w:numId="22" w16cid:durableId="1921480638">
    <w:abstractNumId w:val="22"/>
  </w:num>
  <w:num w:numId="23" w16cid:durableId="1818838127">
    <w:abstractNumId w:val="6"/>
  </w:num>
  <w:num w:numId="24" w16cid:durableId="1486237079">
    <w:abstractNumId w:val="3"/>
  </w:num>
  <w:num w:numId="25" w16cid:durableId="1990404982">
    <w:abstractNumId w:val="12"/>
  </w:num>
  <w:num w:numId="26" w16cid:durableId="210927554">
    <w:abstractNumId w:val="10"/>
  </w:num>
  <w:num w:numId="27" w16cid:durableId="786974726">
    <w:abstractNumId w:val="20"/>
  </w:num>
  <w:num w:numId="28" w16cid:durableId="961768788">
    <w:abstractNumId w:val="4"/>
  </w:num>
  <w:num w:numId="29" w16cid:durableId="902759526">
    <w:abstractNumId w:val="19"/>
  </w:num>
  <w:num w:numId="30" w16cid:durableId="1559629577">
    <w:abstractNumId w:val="21"/>
  </w:num>
  <w:num w:numId="31" w16cid:durableId="1669870373">
    <w:abstractNumId w:val="1"/>
  </w:num>
  <w:num w:numId="32" w16cid:durableId="1131828721">
    <w:abstractNumId w:val="16"/>
  </w:num>
  <w:num w:numId="33" w16cid:durableId="1830317602">
    <w:abstractNumId w:val="18"/>
  </w:num>
  <w:num w:numId="34" w16cid:durableId="1419133323">
    <w:abstractNumId w:val="9"/>
  </w:num>
  <w:num w:numId="35" w16cid:durableId="163128070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0251"/>
    <w:rsid w:val="00000C46"/>
    <w:rsid w:val="00001806"/>
    <w:rsid w:val="000025B8"/>
    <w:rsid w:val="00005B14"/>
    <w:rsid w:val="00005BB5"/>
    <w:rsid w:val="0000642B"/>
    <w:rsid w:val="0000733A"/>
    <w:rsid w:val="00010061"/>
    <w:rsid w:val="00011317"/>
    <w:rsid w:val="000115D0"/>
    <w:rsid w:val="00011BE4"/>
    <w:rsid w:val="000130B3"/>
    <w:rsid w:val="000134CF"/>
    <w:rsid w:val="00016F8D"/>
    <w:rsid w:val="000172C7"/>
    <w:rsid w:val="0001741D"/>
    <w:rsid w:val="000174CD"/>
    <w:rsid w:val="00017584"/>
    <w:rsid w:val="00017C2F"/>
    <w:rsid w:val="00020687"/>
    <w:rsid w:val="00021E81"/>
    <w:rsid w:val="00023F98"/>
    <w:rsid w:val="00025A6F"/>
    <w:rsid w:val="0002618D"/>
    <w:rsid w:val="000261A9"/>
    <w:rsid w:val="0002659E"/>
    <w:rsid w:val="0003023A"/>
    <w:rsid w:val="00030603"/>
    <w:rsid w:val="00030B21"/>
    <w:rsid w:val="00030B26"/>
    <w:rsid w:val="00030E84"/>
    <w:rsid w:val="000324C0"/>
    <w:rsid w:val="00032C0A"/>
    <w:rsid w:val="00034251"/>
    <w:rsid w:val="00035131"/>
    <w:rsid w:val="00035257"/>
    <w:rsid w:val="00035D68"/>
    <w:rsid w:val="0003637E"/>
    <w:rsid w:val="000369F3"/>
    <w:rsid w:val="00037859"/>
    <w:rsid w:val="0004374B"/>
    <w:rsid w:val="00043A2F"/>
    <w:rsid w:val="00044260"/>
    <w:rsid w:val="00046648"/>
    <w:rsid w:val="00046982"/>
    <w:rsid w:val="00047145"/>
    <w:rsid w:val="00047A64"/>
    <w:rsid w:val="00051E90"/>
    <w:rsid w:val="00052705"/>
    <w:rsid w:val="00052D57"/>
    <w:rsid w:val="00052FD4"/>
    <w:rsid w:val="0005302F"/>
    <w:rsid w:val="00054B44"/>
    <w:rsid w:val="00055188"/>
    <w:rsid w:val="00060041"/>
    <w:rsid w:val="00062027"/>
    <w:rsid w:val="0006228D"/>
    <w:rsid w:val="00062903"/>
    <w:rsid w:val="00062E38"/>
    <w:rsid w:val="00064114"/>
    <w:rsid w:val="00064C02"/>
    <w:rsid w:val="00066697"/>
    <w:rsid w:val="00070DCC"/>
    <w:rsid w:val="000716B9"/>
    <w:rsid w:val="0007176A"/>
    <w:rsid w:val="00071D2E"/>
    <w:rsid w:val="00072BD6"/>
    <w:rsid w:val="00073AA3"/>
    <w:rsid w:val="00074B9F"/>
    <w:rsid w:val="00075B78"/>
    <w:rsid w:val="00075F89"/>
    <w:rsid w:val="000763E9"/>
    <w:rsid w:val="000764C1"/>
    <w:rsid w:val="00077032"/>
    <w:rsid w:val="0007750F"/>
    <w:rsid w:val="000775F7"/>
    <w:rsid w:val="00080D23"/>
    <w:rsid w:val="000815DF"/>
    <w:rsid w:val="000818E2"/>
    <w:rsid w:val="0008256D"/>
    <w:rsid w:val="00082CD6"/>
    <w:rsid w:val="0008331B"/>
    <w:rsid w:val="00083746"/>
    <w:rsid w:val="00083BD0"/>
    <w:rsid w:val="0008437D"/>
    <w:rsid w:val="00084BCA"/>
    <w:rsid w:val="00085AFE"/>
    <w:rsid w:val="00090249"/>
    <w:rsid w:val="00090FC7"/>
    <w:rsid w:val="00091738"/>
    <w:rsid w:val="00092405"/>
    <w:rsid w:val="00094800"/>
    <w:rsid w:val="00096128"/>
    <w:rsid w:val="000A1D2C"/>
    <w:rsid w:val="000A3D11"/>
    <w:rsid w:val="000A41ED"/>
    <w:rsid w:val="000A560A"/>
    <w:rsid w:val="000A5825"/>
    <w:rsid w:val="000A59D2"/>
    <w:rsid w:val="000A5BB0"/>
    <w:rsid w:val="000A7143"/>
    <w:rsid w:val="000A7A6C"/>
    <w:rsid w:val="000B0172"/>
    <w:rsid w:val="000B0730"/>
    <w:rsid w:val="000B2239"/>
    <w:rsid w:val="000B25CB"/>
    <w:rsid w:val="000B397E"/>
    <w:rsid w:val="000B39D0"/>
    <w:rsid w:val="000B544B"/>
    <w:rsid w:val="000B5E03"/>
    <w:rsid w:val="000B6F3C"/>
    <w:rsid w:val="000B7625"/>
    <w:rsid w:val="000C0620"/>
    <w:rsid w:val="000C18AA"/>
    <w:rsid w:val="000C5780"/>
    <w:rsid w:val="000C5CB1"/>
    <w:rsid w:val="000D19F4"/>
    <w:rsid w:val="000D2509"/>
    <w:rsid w:val="000D254B"/>
    <w:rsid w:val="000D2CA4"/>
    <w:rsid w:val="000D3C0D"/>
    <w:rsid w:val="000D58DD"/>
    <w:rsid w:val="000D61E7"/>
    <w:rsid w:val="000E1622"/>
    <w:rsid w:val="000E247A"/>
    <w:rsid w:val="000E31FB"/>
    <w:rsid w:val="000E68FE"/>
    <w:rsid w:val="000E6D86"/>
    <w:rsid w:val="000E7153"/>
    <w:rsid w:val="000E7B1A"/>
    <w:rsid w:val="000F2ACE"/>
    <w:rsid w:val="000F2AE2"/>
    <w:rsid w:val="000F2BFF"/>
    <w:rsid w:val="000F35FF"/>
    <w:rsid w:val="000F3924"/>
    <w:rsid w:val="000F405E"/>
    <w:rsid w:val="000F4D60"/>
    <w:rsid w:val="0010043B"/>
    <w:rsid w:val="001008AD"/>
    <w:rsid w:val="0010100B"/>
    <w:rsid w:val="00101DB4"/>
    <w:rsid w:val="00102063"/>
    <w:rsid w:val="001037C2"/>
    <w:rsid w:val="0010388B"/>
    <w:rsid w:val="00103B89"/>
    <w:rsid w:val="00103C86"/>
    <w:rsid w:val="00104520"/>
    <w:rsid w:val="0010476F"/>
    <w:rsid w:val="0010541C"/>
    <w:rsid w:val="00105D1D"/>
    <w:rsid w:val="0010689A"/>
    <w:rsid w:val="00106D7E"/>
    <w:rsid w:val="00106F93"/>
    <w:rsid w:val="00107508"/>
    <w:rsid w:val="00110F69"/>
    <w:rsid w:val="00111C66"/>
    <w:rsid w:val="00111D50"/>
    <w:rsid w:val="0011304A"/>
    <w:rsid w:val="00113B8E"/>
    <w:rsid w:val="00113D6E"/>
    <w:rsid w:val="00114F62"/>
    <w:rsid w:val="001151B7"/>
    <w:rsid w:val="00116162"/>
    <w:rsid w:val="00120506"/>
    <w:rsid w:val="0012053C"/>
    <w:rsid w:val="001216C3"/>
    <w:rsid w:val="00122363"/>
    <w:rsid w:val="00123E0F"/>
    <w:rsid w:val="001250C3"/>
    <w:rsid w:val="001253EF"/>
    <w:rsid w:val="0012551A"/>
    <w:rsid w:val="00125766"/>
    <w:rsid w:val="00126361"/>
    <w:rsid w:val="00133F44"/>
    <w:rsid w:val="001342C7"/>
    <w:rsid w:val="001348DD"/>
    <w:rsid w:val="0013585C"/>
    <w:rsid w:val="00137BA1"/>
    <w:rsid w:val="00142261"/>
    <w:rsid w:val="00142954"/>
    <w:rsid w:val="001460E0"/>
    <w:rsid w:val="00146BB6"/>
    <w:rsid w:val="001472F0"/>
    <w:rsid w:val="00147689"/>
    <w:rsid w:val="001478AA"/>
    <w:rsid w:val="00147F71"/>
    <w:rsid w:val="00150442"/>
    <w:rsid w:val="00150A6E"/>
    <w:rsid w:val="001513BE"/>
    <w:rsid w:val="00151949"/>
    <w:rsid w:val="001530D3"/>
    <w:rsid w:val="0015582B"/>
    <w:rsid w:val="0016304B"/>
    <w:rsid w:val="0016334F"/>
    <w:rsid w:val="001634D2"/>
    <w:rsid w:val="001637F1"/>
    <w:rsid w:val="00164430"/>
    <w:rsid w:val="0016468A"/>
    <w:rsid w:val="001678B1"/>
    <w:rsid w:val="00171D18"/>
    <w:rsid w:val="00172194"/>
    <w:rsid w:val="001727AD"/>
    <w:rsid w:val="001738A2"/>
    <w:rsid w:val="0018165E"/>
    <w:rsid w:val="001822ED"/>
    <w:rsid w:val="0018246C"/>
    <w:rsid w:val="0018287F"/>
    <w:rsid w:val="001839D0"/>
    <w:rsid w:val="001840BD"/>
    <w:rsid w:val="0018662D"/>
    <w:rsid w:val="001868EF"/>
    <w:rsid w:val="00187A7C"/>
    <w:rsid w:val="001901E4"/>
    <w:rsid w:val="001915C6"/>
    <w:rsid w:val="00192C31"/>
    <w:rsid w:val="00196221"/>
    <w:rsid w:val="001963AC"/>
    <w:rsid w:val="001964CD"/>
    <w:rsid w:val="00196F1A"/>
    <w:rsid w:val="00196FC4"/>
    <w:rsid w:val="001970C2"/>
    <w:rsid w:val="00197427"/>
    <w:rsid w:val="001A084E"/>
    <w:rsid w:val="001A21B4"/>
    <w:rsid w:val="001A44E4"/>
    <w:rsid w:val="001A470C"/>
    <w:rsid w:val="001A5CF5"/>
    <w:rsid w:val="001A6EE9"/>
    <w:rsid w:val="001B0566"/>
    <w:rsid w:val="001B0583"/>
    <w:rsid w:val="001B08E6"/>
    <w:rsid w:val="001B1096"/>
    <w:rsid w:val="001B19AE"/>
    <w:rsid w:val="001B30A0"/>
    <w:rsid w:val="001B39D2"/>
    <w:rsid w:val="001B3D88"/>
    <w:rsid w:val="001B4BF8"/>
    <w:rsid w:val="001B6EF2"/>
    <w:rsid w:val="001B76ED"/>
    <w:rsid w:val="001C0A2D"/>
    <w:rsid w:val="001C0F36"/>
    <w:rsid w:val="001C1802"/>
    <w:rsid w:val="001C19D1"/>
    <w:rsid w:val="001C1A08"/>
    <w:rsid w:val="001C4326"/>
    <w:rsid w:val="001C665E"/>
    <w:rsid w:val="001D0FA1"/>
    <w:rsid w:val="001D1CC9"/>
    <w:rsid w:val="001D2375"/>
    <w:rsid w:val="001D2FD2"/>
    <w:rsid w:val="001D3541"/>
    <w:rsid w:val="001D3551"/>
    <w:rsid w:val="001D3E4E"/>
    <w:rsid w:val="001D3EDE"/>
    <w:rsid w:val="001D6A7A"/>
    <w:rsid w:val="001D7B25"/>
    <w:rsid w:val="001E09E1"/>
    <w:rsid w:val="001E0C55"/>
    <w:rsid w:val="001E254A"/>
    <w:rsid w:val="001E44D3"/>
    <w:rsid w:val="001E7386"/>
    <w:rsid w:val="001F1142"/>
    <w:rsid w:val="001F166E"/>
    <w:rsid w:val="001F1841"/>
    <w:rsid w:val="001F1E04"/>
    <w:rsid w:val="001F45A7"/>
    <w:rsid w:val="001F45D8"/>
    <w:rsid w:val="001F4B54"/>
    <w:rsid w:val="001F5302"/>
    <w:rsid w:val="00200109"/>
    <w:rsid w:val="002009B1"/>
    <w:rsid w:val="0020196C"/>
    <w:rsid w:val="00201A01"/>
    <w:rsid w:val="002028ED"/>
    <w:rsid w:val="00204714"/>
    <w:rsid w:val="0020754B"/>
    <w:rsid w:val="002078AB"/>
    <w:rsid w:val="0021019C"/>
    <w:rsid w:val="002104D3"/>
    <w:rsid w:val="00210DA5"/>
    <w:rsid w:val="00211006"/>
    <w:rsid w:val="00211F2F"/>
    <w:rsid w:val="002125DE"/>
    <w:rsid w:val="00212D3A"/>
    <w:rsid w:val="00213A33"/>
    <w:rsid w:val="0021763B"/>
    <w:rsid w:val="00220B7A"/>
    <w:rsid w:val="00221384"/>
    <w:rsid w:val="0022195B"/>
    <w:rsid w:val="002229DB"/>
    <w:rsid w:val="00222D60"/>
    <w:rsid w:val="00224EC9"/>
    <w:rsid w:val="002252BD"/>
    <w:rsid w:val="00225DF0"/>
    <w:rsid w:val="002260BC"/>
    <w:rsid w:val="00226169"/>
    <w:rsid w:val="00231126"/>
    <w:rsid w:val="00231AEF"/>
    <w:rsid w:val="00232FD3"/>
    <w:rsid w:val="00233C43"/>
    <w:rsid w:val="00234849"/>
    <w:rsid w:val="00235935"/>
    <w:rsid w:val="00235C06"/>
    <w:rsid w:val="00237249"/>
    <w:rsid w:val="00237E8E"/>
    <w:rsid w:val="0024007A"/>
    <w:rsid w:val="002422D8"/>
    <w:rsid w:val="00243815"/>
    <w:rsid w:val="00244E0E"/>
    <w:rsid w:val="00245047"/>
    <w:rsid w:val="00245E13"/>
    <w:rsid w:val="002464EB"/>
    <w:rsid w:val="00246979"/>
    <w:rsid w:val="00246DB1"/>
    <w:rsid w:val="002476B5"/>
    <w:rsid w:val="0024787B"/>
    <w:rsid w:val="002520CC"/>
    <w:rsid w:val="00253039"/>
    <w:rsid w:val="00253706"/>
    <w:rsid w:val="0025379F"/>
    <w:rsid w:val="00253A46"/>
    <w:rsid w:val="00253ECF"/>
    <w:rsid w:val="002546A1"/>
    <w:rsid w:val="002569F1"/>
    <w:rsid w:val="00260693"/>
    <w:rsid w:val="00261F6B"/>
    <w:rsid w:val="00261F7C"/>
    <w:rsid w:val="002628F4"/>
    <w:rsid w:val="0026416B"/>
    <w:rsid w:val="002642E6"/>
    <w:rsid w:val="00265C71"/>
    <w:rsid w:val="00267B4E"/>
    <w:rsid w:val="00267C7F"/>
    <w:rsid w:val="002718DA"/>
    <w:rsid w:val="00273D5B"/>
    <w:rsid w:val="00275D08"/>
    <w:rsid w:val="002761B1"/>
    <w:rsid w:val="00282232"/>
    <w:rsid w:val="00282598"/>
    <w:rsid w:val="00284549"/>
    <w:rsid w:val="002855D6"/>
    <w:rsid w:val="002858E3"/>
    <w:rsid w:val="00286A2A"/>
    <w:rsid w:val="00287ECE"/>
    <w:rsid w:val="002908AE"/>
    <w:rsid w:val="0029190A"/>
    <w:rsid w:val="00292C5A"/>
    <w:rsid w:val="00293B9C"/>
    <w:rsid w:val="00295241"/>
    <w:rsid w:val="0029653C"/>
    <w:rsid w:val="002A078C"/>
    <w:rsid w:val="002A0DC8"/>
    <w:rsid w:val="002A15B3"/>
    <w:rsid w:val="002A30A0"/>
    <w:rsid w:val="002A425C"/>
    <w:rsid w:val="002A4DFC"/>
    <w:rsid w:val="002A7BEF"/>
    <w:rsid w:val="002B047D"/>
    <w:rsid w:val="002B1729"/>
    <w:rsid w:val="002B1D8D"/>
    <w:rsid w:val="002B2E74"/>
    <w:rsid w:val="002B32BD"/>
    <w:rsid w:val="002B368C"/>
    <w:rsid w:val="002B43CA"/>
    <w:rsid w:val="002B491F"/>
    <w:rsid w:val="002B512D"/>
    <w:rsid w:val="002B5B9B"/>
    <w:rsid w:val="002B616C"/>
    <w:rsid w:val="002B68B9"/>
    <w:rsid w:val="002B732B"/>
    <w:rsid w:val="002B76A7"/>
    <w:rsid w:val="002C0C07"/>
    <w:rsid w:val="002C0F5D"/>
    <w:rsid w:val="002C0FA0"/>
    <w:rsid w:val="002C0FE3"/>
    <w:rsid w:val="002C18A8"/>
    <w:rsid w:val="002C2219"/>
    <w:rsid w:val="002C2552"/>
    <w:rsid w:val="002C3102"/>
    <w:rsid w:val="002C380A"/>
    <w:rsid w:val="002C579F"/>
    <w:rsid w:val="002C6648"/>
    <w:rsid w:val="002C6C8A"/>
    <w:rsid w:val="002D007F"/>
    <w:rsid w:val="002D0DF2"/>
    <w:rsid w:val="002D20C6"/>
    <w:rsid w:val="002D20D2"/>
    <w:rsid w:val="002D23BD"/>
    <w:rsid w:val="002E0B47"/>
    <w:rsid w:val="002E20B0"/>
    <w:rsid w:val="002E243B"/>
    <w:rsid w:val="002E346F"/>
    <w:rsid w:val="002E3FFE"/>
    <w:rsid w:val="002E574E"/>
    <w:rsid w:val="002E5B54"/>
    <w:rsid w:val="002E720C"/>
    <w:rsid w:val="002F154F"/>
    <w:rsid w:val="002F358B"/>
    <w:rsid w:val="002F430C"/>
    <w:rsid w:val="002F431C"/>
    <w:rsid w:val="002F4685"/>
    <w:rsid w:val="002F49B7"/>
    <w:rsid w:val="002F4E44"/>
    <w:rsid w:val="002F53E7"/>
    <w:rsid w:val="002F5CF1"/>
    <w:rsid w:val="002F7213"/>
    <w:rsid w:val="00301BC9"/>
    <w:rsid w:val="00301CAF"/>
    <w:rsid w:val="00301F7E"/>
    <w:rsid w:val="0030382F"/>
    <w:rsid w:val="0030408D"/>
    <w:rsid w:val="003060E4"/>
    <w:rsid w:val="0030742B"/>
    <w:rsid w:val="003104DB"/>
    <w:rsid w:val="003111CC"/>
    <w:rsid w:val="003160E7"/>
    <w:rsid w:val="0031703E"/>
    <w:rsid w:val="0031715F"/>
    <w:rsid w:val="0031739E"/>
    <w:rsid w:val="00317A65"/>
    <w:rsid w:val="00320861"/>
    <w:rsid w:val="003222C5"/>
    <w:rsid w:val="0032301C"/>
    <w:rsid w:val="003309CA"/>
    <w:rsid w:val="00330A30"/>
    <w:rsid w:val="00330C07"/>
    <w:rsid w:val="003325AB"/>
    <w:rsid w:val="00332967"/>
    <w:rsid w:val="003332D1"/>
    <w:rsid w:val="0033412B"/>
    <w:rsid w:val="003344F3"/>
    <w:rsid w:val="00336D77"/>
    <w:rsid w:val="0033751A"/>
    <w:rsid w:val="00337BC0"/>
    <w:rsid w:val="003404BC"/>
    <w:rsid w:val="00340757"/>
    <w:rsid w:val="00340DD1"/>
    <w:rsid w:val="00341161"/>
    <w:rsid w:val="00342068"/>
    <w:rsid w:val="003429AC"/>
    <w:rsid w:val="00343365"/>
    <w:rsid w:val="0034375B"/>
    <w:rsid w:val="003445F4"/>
    <w:rsid w:val="00346803"/>
    <w:rsid w:val="00347F3D"/>
    <w:rsid w:val="00350103"/>
    <w:rsid w:val="00350D04"/>
    <w:rsid w:val="00352B05"/>
    <w:rsid w:val="00352FD1"/>
    <w:rsid w:val="00353182"/>
    <w:rsid w:val="00353501"/>
    <w:rsid w:val="00353734"/>
    <w:rsid w:val="00353BBE"/>
    <w:rsid w:val="00353F74"/>
    <w:rsid w:val="00353F87"/>
    <w:rsid w:val="003542E6"/>
    <w:rsid w:val="003545F8"/>
    <w:rsid w:val="00354983"/>
    <w:rsid w:val="00357604"/>
    <w:rsid w:val="003606F8"/>
    <w:rsid w:val="00361577"/>
    <w:rsid w:val="00362523"/>
    <w:rsid w:val="00362911"/>
    <w:rsid w:val="003648EF"/>
    <w:rsid w:val="00365AFC"/>
    <w:rsid w:val="003672D4"/>
    <w:rsid w:val="003673E6"/>
    <w:rsid w:val="00370E18"/>
    <w:rsid w:val="00377264"/>
    <w:rsid w:val="003779D2"/>
    <w:rsid w:val="0038079A"/>
    <w:rsid w:val="003809AF"/>
    <w:rsid w:val="00380C57"/>
    <w:rsid w:val="00382D3C"/>
    <w:rsid w:val="00385E38"/>
    <w:rsid w:val="003862B7"/>
    <w:rsid w:val="00387151"/>
    <w:rsid w:val="003900C6"/>
    <w:rsid w:val="0039058C"/>
    <w:rsid w:val="003911B0"/>
    <w:rsid w:val="003955D0"/>
    <w:rsid w:val="00395E3D"/>
    <w:rsid w:val="00396E54"/>
    <w:rsid w:val="003A0FE7"/>
    <w:rsid w:val="003A269A"/>
    <w:rsid w:val="003A26A5"/>
    <w:rsid w:val="003A3761"/>
    <w:rsid w:val="003A3FE2"/>
    <w:rsid w:val="003A4122"/>
    <w:rsid w:val="003A41ED"/>
    <w:rsid w:val="003A4BC6"/>
    <w:rsid w:val="003A512D"/>
    <w:rsid w:val="003A5DFC"/>
    <w:rsid w:val="003A5FEA"/>
    <w:rsid w:val="003A6E21"/>
    <w:rsid w:val="003B1D10"/>
    <w:rsid w:val="003B6290"/>
    <w:rsid w:val="003B6627"/>
    <w:rsid w:val="003B6A96"/>
    <w:rsid w:val="003C26A2"/>
    <w:rsid w:val="003C3346"/>
    <w:rsid w:val="003C4E23"/>
    <w:rsid w:val="003C5313"/>
    <w:rsid w:val="003C6D35"/>
    <w:rsid w:val="003C6EDB"/>
    <w:rsid w:val="003C76D4"/>
    <w:rsid w:val="003C78DB"/>
    <w:rsid w:val="003D014C"/>
    <w:rsid w:val="003D104C"/>
    <w:rsid w:val="003D137D"/>
    <w:rsid w:val="003D1F80"/>
    <w:rsid w:val="003D2C9A"/>
    <w:rsid w:val="003D2CC5"/>
    <w:rsid w:val="003D39F1"/>
    <w:rsid w:val="003D3A86"/>
    <w:rsid w:val="003D4D6A"/>
    <w:rsid w:val="003D6058"/>
    <w:rsid w:val="003D62D9"/>
    <w:rsid w:val="003D6798"/>
    <w:rsid w:val="003D7B30"/>
    <w:rsid w:val="003E04C1"/>
    <w:rsid w:val="003E0887"/>
    <w:rsid w:val="003E0F71"/>
    <w:rsid w:val="003E1CC2"/>
    <w:rsid w:val="003E344F"/>
    <w:rsid w:val="003E3BF7"/>
    <w:rsid w:val="003E405F"/>
    <w:rsid w:val="003E48C6"/>
    <w:rsid w:val="003E64FC"/>
    <w:rsid w:val="003E6AF2"/>
    <w:rsid w:val="003E6CDC"/>
    <w:rsid w:val="003E734E"/>
    <w:rsid w:val="003E74C8"/>
    <w:rsid w:val="003E7C46"/>
    <w:rsid w:val="003E7C65"/>
    <w:rsid w:val="003F0535"/>
    <w:rsid w:val="003F129C"/>
    <w:rsid w:val="003F1F60"/>
    <w:rsid w:val="003F2106"/>
    <w:rsid w:val="003F43C1"/>
    <w:rsid w:val="003F52A7"/>
    <w:rsid w:val="003F7013"/>
    <w:rsid w:val="003F7E96"/>
    <w:rsid w:val="004008A7"/>
    <w:rsid w:val="00400E9A"/>
    <w:rsid w:val="004011D5"/>
    <w:rsid w:val="0040240C"/>
    <w:rsid w:val="00403727"/>
    <w:rsid w:val="004061BA"/>
    <w:rsid w:val="00411050"/>
    <w:rsid w:val="00411263"/>
    <w:rsid w:val="004112AB"/>
    <w:rsid w:val="00411898"/>
    <w:rsid w:val="00412EC2"/>
    <w:rsid w:val="00413021"/>
    <w:rsid w:val="00414B0C"/>
    <w:rsid w:val="00415B4D"/>
    <w:rsid w:val="00416076"/>
    <w:rsid w:val="00417579"/>
    <w:rsid w:val="0041766E"/>
    <w:rsid w:val="0042713E"/>
    <w:rsid w:val="00427DA0"/>
    <w:rsid w:val="00427E54"/>
    <w:rsid w:val="004301C6"/>
    <w:rsid w:val="0043072B"/>
    <w:rsid w:val="00431306"/>
    <w:rsid w:val="0043478F"/>
    <w:rsid w:val="004357E4"/>
    <w:rsid w:val="00435CF0"/>
    <w:rsid w:val="0043602B"/>
    <w:rsid w:val="004373E9"/>
    <w:rsid w:val="004400F3"/>
    <w:rsid w:val="00440BE0"/>
    <w:rsid w:val="00440CA7"/>
    <w:rsid w:val="00442C1C"/>
    <w:rsid w:val="004434CD"/>
    <w:rsid w:val="00444B13"/>
    <w:rsid w:val="0044584B"/>
    <w:rsid w:val="004474B8"/>
    <w:rsid w:val="004477FE"/>
    <w:rsid w:val="00447CB7"/>
    <w:rsid w:val="0045154B"/>
    <w:rsid w:val="00451796"/>
    <w:rsid w:val="00451C62"/>
    <w:rsid w:val="00453F54"/>
    <w:rsid w:val="004553DF"/>
    <w:rsid w:val="00455CC9"/>
    <w:rsid w:val="00456804"/>
    <w:rsid w:val="00456F28"/>
    <w:rsid w:val="00457CAC"/>
    <w:rsid w:val="00460826"/>
    <w:rsid w:val="00460BDA"/>
    <w:rsid w:val="00460EA7"/>
    <w:rsid w:val="0046195B"/>
    <w:rsid w:val="00461FC1"/>
    <w:rsid w:val="0046273B"/>
    <w:rsid w:val="00463029"/>
    <w:rsid w:val="0046362D"/>
    <w:rsid w:val="00465075"/>
    <w:rsid w:val="0046519F"/>
    <w:rsid w:val="0046596D"/>
    <w:rsid w:val="0046610A"/>
    <w:rsid w:val="004662A6"/>
    <w:rsid w:val="00466D76"/>
    <w:rsid w:val="00471046"/>
    <w:rsid w:val="00471B1C"/>
    <w:rsid w:val="00472D50"/>
    <w:rsid w:val="0047302E"/>
    <w:rsid w:val="00474468"/>
    <w:rsid w:val="004768E0"/>
    <w:rsid w:val="0048211D"/>
    <w:rsid w:val="00482646"/>
    <w:rsid w:val="00483BE3"/>
    <w:rsid w:val="004866EE"/>
    <w:rsid w:val="00487C04"/>
    <w:rsid w:val="00487F68"/>
    <w:rsid w:val="004907E1"/>
    <w:rsid w:val="00491D12"/>
    <w:rsid w:val="00492F72"/>
    <w:rsid w:val="0049448B"/>
    <w:rsid w:val="00494B48"/>
    <w:rsid w:val="00496066"/>
    <w:rsid w:val="00496850"/>
    <w:rsid w:val="00497308"/>
    <w:rsid w:val="00497E31"/>
    <w:rsid w:val="004A035B"/>
    <w:rsid w:val="004A1744"/>
    <w:rsid w:val="004A2108"/>
    <w:rsid w:val="004A29C9"/>
    <w:rsid w:val="004A360A"/>
    <w:rsid w:val="004A38D7"/>
    <w:rsid w:val="004A3ED9"/>
    <w:rsid w:val="004A3F51"/>
    <w:rsid w:val="004A778C"/>
    <w:rsid w:val="004B0360"/>
    <w:rsid w:val="004B30D6"/>
    <w:rsid w:val="004B48C7"/>
    <w:rsid w:val="004B662C"/>
    <w:rsid w:val="004B6BDD"/>
    <w:rsid w:val="004B6C16"/>
    <w:rsid w:val="004B6C7F"/>
    <w:rsid w:val="004C09C5"/>
    <w:rsid w:val="004C0AD1"/>
    <w:rsid w:val="004C2E6A"/>
    <w:rsid w:val="004C64B8"/>
    <w:rsid w:val="004C6C7B"/>
    <w:rsid w:val="004C715F"/>
    <w:rsid w:val="004C7DE7"/>
    <w:rsid w:val="004D2A2D"/>
    <w:rsid w:val="004D479F"/>
    <w:rsid w:val="004D6689"/>
    <w:rsid w:val="004D67D7"/>
    <w:rsid w:val="004E0B7D"/>
    <w:rsid w:val="004E1D1D"/>
    <w:rsid w:val="004E1FE7"/>
    <w:rsid w:val="004E54B7"/>
    <w:rsid w:val="004E66AE"/>
    <w:rsid w:val="004E68C1"/>
    <w:rsid w:val="004E6C2D"/>
    <w:rsid w:val="004E7AC8"/>
    <w:rsid w:val="004F04F7"/>
    <w:rsid w:val="004F0C91"/>
    <w:rsid w:val="004F0C94"/>
    <w:rsid w:val="004F208A"/>
    <w:rsid w:val="004F3036"/>
    <w:rsid w:val="004F3DE0"/>
    <w:rsid w:val="004F4478"/>
    <w:rsid w:val="004F5BBE"/>
    <w:rsid w:val="004F678C"/>
    <w:rsid w:val="0050028E"/>
    <w:rsid w:val="005003AC"/>
    <w:rsid w:val="005019AE"/>
    <w:rsid w:val="00503749"/>
    <w:rsid w:val="00503C0A"/>
    <w:rsid w:val="005045D4"/>
    <w:rsid w:val="00504CF4"/>
    <w:rsid w:val="00505E23"/>
    <w:rsid w:val="00505F86"/>
    <w:rsid w:val="0050635B"/>
    <w:rsid w:val="00506A65"/>
    <w:rsid w:val="00506AB9"/>
    <w:rsid w:val="00510D5D"/>
    <w:rsid w:val="005118DC"/>
    <w:rsid w:val="00512DE2"/>
    <w:rsid w:val="00513BDC"/>
    <w:rsid w:val="005151C2"/>
    <w:rsid w:val="00515734"/>
    <w:rsid w:val="00515F9E"/>
    <w:rsid w:val="005208DB"/>
    <w:rsid w:val="0052105A"/>
    <w:rsid w:val="00523D8D"/>
    <w:rsid w:val="00524CBA"/>
    <w:rsid w:val="00525688"/>
    <w:rsid w:val="00526501"/>
    <w:rsid w:val="005266E6"/>
    <w:rsid w:val="00526C21"/>
    <w:rsid w:val="00526DD3"/>
    <w:rsid w:val="0052733B"/>
    <w:rsid w:val="005302C6"/>
    <w:rsid w:val="0053199F"/>
    <w:rsid w:val="00531E12"/>
    <w:rsid w:val="005330DD"/>
    <w:rsid w:val="005334C4"/>
    <w:rsid w:val="005334E6"/>
    <w:rsid w:val="00533B90"/>
    <w:rsid w:val="00533C0B"/>
    <w:rsid w:val="005342A2"/>
    <w:rsid w:val="005355D0"/>
    <w:rsid w:val="005362A5"/>
    <w:rsid w:val="00536A0F"/>
    <w:rsid w:val="005410F8"/>
    <w:rsid w:val="00541F80"/>
    <w:rsid w:val="0054403D"/>
    <w:rsid w:val="005441A3"/>
    <w:rsid w:val="005448EC"/>
    <w:rsid w:val="00545963"/>
    <w:rsid w:val="00550256"/>
    <w:rsid w:val="00552F0A"/>
    <w:rsid w:val="00553165"/>
    <w:rsid w:val="00553958"/>
    <w:rsid w:val="005544E1"/>
    <w:rsid w:val="0055464F"/>
    <w:rsid w:val="00554A44"/>
    <w:rsid w:val="00555149"/>
    <w:rsid w:val="00555E57"/>
    <w:rsid w:val="00556BB7"/>
    <w:rsid w:val="0055763D"/>
    <w:rsid w:val="005611D1"/>
    <w:rsid w:val="00561516"/>
    <w:rsid w:val="005621F2"/>
    <w:rsid w:val="0056224C"/>
    <w:rsid w:val="00562682"/>
    <w:rsid w:val="005665FD"/>
    <w:rsid w:val="005676A6"/>
    <w:rsid w:val="00567B58"/>
    <w:rsid w:val="00571223"/>
    <w:rsid w:val="005714EE"/>
    <w:rsid w:val="00571DED"/>
    <w:rsid w:val="005726FE"/>
    <w:rsid w:val="00573414"/>
    <w:rsid w:val="00575891"/>
    <w:rsid w:val="0057619D"/>
    <w:rsid w:val="005763E0"/>
    <w:rsid w:val="00581136"/>
    <w:rsid w:val="00581908"/>
    <w:rsid w:val="00581EB8"/>
    <w:rsid w:val="00583072"/>
    <w:rsid w:val="0058425B"/>
    <w:rsid w:val="0058437A"/>
    <w:rsid w:val="00585899"/>
    <w:rsid w:val="00585BDE"/>
    <w:rsid w:val="00592E74"/>
    <w:rsid w:val="005941E1"/>
    <w:rsid w:val="005943DC"/>
    <w:rsid w:val="00594C45"/>
    <w:rsid w:val="00594D00"/>
    <w:rsid w:val="005961BF"/>
    <w:rsid w:val="005A02AA"/>
    <w:rsid w:val="005A27C6"/>
    <w:rsid w:val="005A27CA"/>
    <w:rsid w:val="005A409D"/>
    <w:rsid w:val="005A43BD"/>
    <w:rsid w:val="005A51BA"/>
    <w:rsid w:val="005A55C6"/>
    <w:rsid w:val="005A74F4"/>
    <w:rsid w:val="005A79E5"/>
    <w:rsid w:val="005A7EAF"/>
    <w:rsid w:val="005B0CAB"/>
    <w:rsid w:val="005B137B"/>
    <w:rsid w:val="005B190D"/>
    <w:rsid w:val="005B3264"/>
    <w:rsid w:val="005B4B81"/>
    <w:rsid w:val="005B672D"/>
    <w:rsid w:val="005C0516"/>
    <w:rsid w:val="005C1B3F"/>
    <w:rsid w:val="005C2E29"/>
    <w:rsid w:val="005C4255"/>
    <w:rsid w:val="005C59D3"/>
    <w:rsid w:val="005C5B19"/>
    <w:rsid w:val="005C66D1"/>
    <w:rsid w:val="005D034C"/>
    <w:rsid w:val="005D412F"/>
    <w:rsid w:val="005D6706"/>
    <w:rsid w:val="005D76D6"/>
    <w:rsid w:val="005D7FF7"/>
    <w:rsid w:val="005E01E3"/>
    <w:rsid w:val="005E1D7A"/>
    <w:rsid w:val="005E226E"/>
    <w:rsid w:val="005E2486"/>
    <w:rsid w:val="005E2636"/>
    <w:rsid w:val="005E29EC"/>
    <w:rsid w:val="005E322E"/>
    <w:rsid w:val="005E3A3A"/>
    <w:rsid w:val="005E6595"/>
    <w:rsid w:val="005E7B79"/>
    <w:rsid w:val="005F2828"/>
    <w:rsid w:val="005F3446"/>
    <w:rsid w:val="005F46DD"/>
    <w:rsid w:val="005F52FA"/>
    <w:rsid w:val="005F74F2"/>
    <w:rsid w:val="005F77FC"/>
    <w:rsid w:val="00600430"/>
    <w:rsid w:val="006015D7"/>
    <w:rsid w:val="00601B21"/>
    <w:rsid w:val="0060238B"/>
    <w:rsid w:val="00602EF4"/>
    <w:rsid w:val="006041F0"/>
    <w:rsid w:val="00605C47"/>
    <w:rsid w:val="00605C6D"/>
    <w:rsid w:val="00611520"/>
    <w:rsid w:val="00611B17"/>
    <w:rsid w:val="00611B3A"/>
    <w:rsid w:val="006120CA"/>
    <w:rsid w:val="00612135"/>
    <w:rsid w:val="006151B0"/>
    <w:rsid w:val="006174D5"/>
    <w:rsid w:val="006208B2"/>
    <w:rsid w:val="006232F5"/>
    <w:rsid w:val="00624174"/>
    <w:rsid w:val="00625734"/>
    <w:rsid w:val="00626431"/>
    <w:rsid w:val="00626CF8"/>
    <w:rsid w:val="00627237"/>
    <w:rsid w:val="006314AF"/>
    <w:rsid w:val="0063355A"/>
    <w:rsid w:val="00634ED8"/>
    <w:rsid w:val="00635511"/>
    <w:rsid w:val="00636C8D"/>
    <w:rsid w:val="00636D7D"/>
    <w:rsid w:val="00637408"/>
    <w:rsid w:val="00637873"/>
    <w:rsid w:val="00640737"/>
    <w:rsid w:val="00642868"/>
    <w:rsid w:val="00645401"/>
    <w:rsid w:val="006470F6"/>
    <w:rsid w:val="00647AFE"/>
    <w:rsid w:val="006512BC"/>
    <w:rsid w:val="00651600"/>
    <w:rsid w:val="00651CC6"/>
    <w:rsid w:val="00653A5A"/>
    <w:rsid w:val="00653F49"/>
    <w:rsid w:val="006554AC"/>
    <w:rsid w:val="006575F4"/>
    <w:rsid w:val="006579E6"/>
    <w:rsid w:val="00660682"/>
    <w:rsid w:val="00660F74"/>
    <w:rsid w:val="00661EAB"/>
    <w:rsid w:val="00662F54"/>
    <w:rsid w:val="00663EDC"/>
    <w:rsid w:val="006642D9"/>
    <w:rsid w:val="00667E20"/>
    <w:rsid w:val="00671078"/>
    <w:rsid w:val="006711AA"/>
    <w:rsid w:val="00671F7E"/>
    <w:rsid w:val="00672887"/>
    <w:rsid w:val="00672DEF"/>
    <w:rsid w:val="00673DE9"/>
    <w:rsid w:val="00673F90"/>
    <w:rsid w:val="00673FEE"/>
    <w:rsid w:val="006758CA"/>
    <w:rsid w:val="0067720E"/>
    <w:rsid w:val="00677ED9"/>
    <w:rsid w:val="00680840"/>
    <w:rsid w:val="00680A04"/>
    <w:rsid w:val="00681F60"/>
    <w:rsid w:val="006838D2"/>
    <w:rsid w:val="006838E1"/>
    <w:rsid w:val="00684992"/>
    <w:rsid w:val="00685496"/>
    <w:rsid w:val="00686D80"/>
    <w:rsid w:val="006924A2"/>
    <w:rsid w:val="0069259C"/>
    <w:rsid w:val="00692838"/>
    <w:rsid w:val="00694895"/>
    <w:rsid w:val="00695BB6"/>
    <w:rsid w:val="006962F2"/>
    <w:rsid w:val="00696B50"/>
    <w:rsid w:val="00696E12"/>
    <w:rsid w:val="00697E2E"/>
    <w:rsid w:val="006A0693"/>
    <w:rsid w:val="006A1C7F"/>
    <w:rsid w:val="006A23CE"/>
    <w:rsid w:val="006A25A2"/>
    <w:rsid w:val="006A2A22"/>
    <w:rsid w:val="006A30EE"/>
    <w:rsid w:val="006A38A9"/>
    <w:rsid w:val="006A3B87"/>
    <w:rsid w:val="006A3C0C"/>
    <w:rsid w:val="006A4C1C"/>
    <w:rsid w:val="006A60EF"/>
    <w:rsid w:val="006B0E73"/>
    <w:rsid w:val="006B1E3D"/>
    <w:rsid w:val="006B42AA"/>
    <w:rsid w:val="006B4365"/>
    <w:rsid w:val="006B44F5"/>
    <w:rsid w:val="006B4A33"/>
    <w:rsid w:val="006B4A4D"/>
    <w:rsid w:val="006B5695"/>
    <w:rsid w:val="006B710A"/>
    <w:rsid w:val="006B7B2E"/>
    <w:rsid w:val="006B7BB6"/>
    <w:rsid w:val="006C378D"/>
    <w:rsid w:val="006C446D"/>
    <w:rsid w:val="006C78EB"/>
    <w:rsid w:val="006D01CB"/>
    <w:rsid w:val="006D1437"/>
    <w:rsid w:val="006D1660"/>
    <w:rsid w:val="006D62A7"/>
    <w:rsid w:val="006D63E5"/>
    <w:rsid w:val="006D7F16"/>
    <w:rsid w:val="006E171D"/>
    <w:rsid w:val="006E1753"/>
    <w:rsid w:val="006E3911"/>
    <w:rsid w:val="006E4320"/>
    <w:rsid w:val="006E48C5"/>
    <w:rsid w:val="006E4C54"/>
    <w:rsid w:val="006E520E"/>
    <w:rsid w:val="006F151E"/>
    <w:rsid w:val="006F1944"/>
    <w:rsid w:val="006F1B67"/>
    <w:rsid w:val="006F1DE8"/>
    <w:rsid w:val="006F2C78"/>
    <w:rsid w:val="006F4D9C"/>
    <w:rsid w:val="006F5926"/>
    <w:rsid w:val="006F7E03"/>
    <w:rsid w:val="0070091D"/>
    <w:rsid w:val="007015AD"/>
    <w:rsid w:val="00701814"/>
    <w:rsid w:val="00702393"/>
    <w:rsid w:val="00702854"/>
    <w:rsid w:val="0070295F"/>
    <w:rsid w:val="007031C2"/>
    <w:rsid w:val="00703424"/>
    <w:rsid w:val="00705A59"/>
    <w:rsid w:val="007060B4"/>
    <w:rsid w:val="0070624C"/>
    <w:rsid w:val="00707C0B"/>
    <w:rsid w:val="00710293"/>
    <w:rsid w:val="00712001"/>
    <w:rsid w:val="0071741C"/>
    <w:rsid w:val="00720973"/>
    <w:rsid w:val="00720CD0"/>
    <w:rsid w:val="00724712"/>
    <w:rsid w:val="00724EE6"/>
    <w:rsid w:val="00725CEE"/>
    <w:rsid w:val="00726531"/>
    <w:rsid w:val="00727AAD"/>
    <w:rsid w:val="00727F15"/>
    <w:rsid w:val="00730C26"/>
    <w:rsid w:val="00731A3D"/>
    <w:rsid w:val="00734140"/>
    <w:rsid w:val="007349F6"/>
    <w:rsid w:val="007424BD"/>
    <w:rsid w:val="00742706"/>
    <w:rsid w:val="00742B90"/>
    <w:rsid w:val="0074302B"/>
    <w:rsid w:val="0074357D"/>
    <w:rsid w:val="0074434D"/>
    <w:rsid w:val="00744EEC"/>
    <w:rsid w:val="00745099"/>
    <w:rsid w:val="007465EA"/>
    <w:rsid w:val="00746B90"/>
    <w:rsid w:val="00747DFB"/>
    <w:rsid w:val="007502C1"/>
    <w:rsid w:val="0075087E"/>
    <w:rsid w:val="00751286"/>
    <w:rsid w:val="007547D2"/>
    <w:rsid w:val="007570C4"/>
    <w:rsid w:val="007605B8"/>
    <w:rsid w:val="007624ED"/>
    <w:rsid w:val="00766B44"/>
    <w:rsid w:val="0077067F"/>
    <w:rsid w:val="007706FE"/>
    <w:rsid w:val="00771B1E"/>
    <w:rsid w:val="00771D1C"/>
    <w:rsid w:val="00772204"/>
    <w:rsid w:val="00773C95"/>
    <w:rsid w:val="00776367"/>
    <w:rsid w:val="007770B1"/>
    <w:rsid w:val="0078171E"/>
    <w:rsid w:val="00781A48"/>
    <w:rsid w:val="00781A7A"/>
    <w:rsid w:val="00782F10"/>
    <w:rsid w:val="007843ED"/>
    <w:rsid w:val="007856B1"/>
    <w:rsid w:val="0078598A"/>
    <w:rsid w:val="0078658E"/>
    <w:rsid w:val="00786B46"/>
    <w:rsid w:val="007920E2"/>
    <w:rsid w:val="0079347D"/>
    <w:rsid w:val="007949A9"/>
    <w:rsid w:val="0079553C"/>
    <w:rsid w:val="0079566E"/>
    <w:rsid w:val="00795B34"/>
    <w:rsid w:val="0079679A"/>
    <w:rsid w:val="00797BED"/>
    <w:rsid w:val="007A067F"/>
    <w:rsid w:val="007A3E7F"/>
    <w:rsid w:val="007A4852"/>
    <w:rsid w:val="007A55E6"/>
    <w:rsid w:val="007A66C8"/>
    <w:rsid w:val="007B1770"/>
    <w:rsid w:val="007B24EF"/>
    <w:rsid w:val="007B366E"/>
    <w:rsid w:val="007B4D3E"/>
    <w:rsid w:val="007B60A1"/>
    <w:rsid w:val="007B76A3"/>
    <w:rsid w:val="007B7C70"/>
    <w:rsid w:val="007B7D61"/>
    <w:rsid w:val="007B7DEB"/>
    <w:rsid w:val="007C0449"/>
    <w:rsid w:val="007C18BE"/>
    <w:rsid w:val="007C49E9"/>
    <w:rsid w:val="007C65FB"/>
    <w:rsid w:val="007D0EF6"/>
    <w:rsid w:val="007D2151"/>
    <w:rsid w:val="007D241F"/>
    <w:rsid w:val="007D3434"/>
    <w:rsid w:val="007D3B90"/>
    <w:rsid w:val="007D42CC"/>
    <w:rsid w:val="007D4369"/>
    <w:rsid w:val="007D5905"/>
    <w:rsid w:val="007D5DE4"/>
    <w:rsid w:val="007D5F7C"/>
    <w:rsid w:val="007D739A"/>
    <w:rsid w:val="007D73F1"/>
    <w:rsid w:val="007D78D4"/>
    <w:rsid w:val="007D7C3A"/>
    <w:rsid w:val="007E0777"/>
    <w:rsid w:val="007E120B"/>
    <w:rsid w:val="007E1227"/>
    <w:rsid w:val="007E1341"/>
    <w:rsid w:val="007E1B41"/>
    <w:rsid w:val="007E1EC4"/>
    <w:rsid w:val="007E2E09"/>
    <w:rsid w:val="007E30B9"/>
    <w:rsid w:val="007E552B"/>
    <w:rsid w:val="007E5993"/>
    <w:rsid w:val="007E5D12"/>
    <w:rsid w:val="007E748D"/>
    <w:rsid w:val="007E74F1"/>
    <w:rsid w:val="007F0F0C"/>
    <w:rsid w:val="007F1288"/>
    <w:rsid w:val="007F3CE3"/>
    <w:rsid w:val="007F5EA7"/>
    <w:rsid w:val="007F7D11"/>
    <w:rsid w:val="00800A8A"/>
    <w:rsid w:val="0080143D"/>
    <w:rsid w:val="0080155C"/>
    <w:rsid w:val="00801DAF"/>
    <w:rsid w:val="008025B0"/>
    <w:rsid w:val="00803328"/>
    <w:rsid w:val="00803A6D"/>
    <w:rsid w:val="00803DB3"/>
    <w:rsid w:val="00804F80"/>
    <w:rsid w:val="008052E1"/>
    <w:rsid w:val="00811DD6"/>
    <w:rsid w:val="00812B39"/>
    <w:rsid w:val="00812E41"/>
    <w:rsid w:val="00813007"/>
    <w:rsid w:val="0081534B"/>
    <w:rsid w:val="0081631C"/>
    <w:rsid w:val="00817557"/>
    <w:rsid w:val="0082232E"/>
    <w:rsid w:val="008224F7"/>
    <w:rsid w:val="00822F2C"/>
    <w:rsid w:val="00823DEE"/>
    <w:rsid w:val="00825EA5"/>
    <w:rsid w:val="008261CD"/>
    <w:rsid w:val="008305E8"/>
    <w:rsid w:val="00830F66"/>
    <w:rsid w:val="00831F48"/>
    <w:rsid w:val="00833F4A"/>
    <w:rsid w:val="00835945"/>
    <w:rsid w:val="00836165"/>
    <w:rsid w:val="00836993"/>
    <w:rsid w:val="00840F27"/>
    <w:rsid w:val="008429F7"/>
    <w:rsid w:val="00846306"/>
    <w:rsid w:val="0084640C"/>
    <w:rsid w:val="00852668"/>
    <w:rsid w:val="008533D4"/>
    <w:rsid w:val="00854267"/>
    <w:rsid w:val="0085469B"/>
    <w:rsid w:val="0085522C"/>
    <w:rsid w:val="00856088"/>
    <w:rsid w:val="00860826"/>
    <w:rsid w:val="00860E21"/>
    <w:rsid w:val="00863117"/>
    <w:rsid w:val="0086388B"/>
    <w:rsid w:val="008642E5"/>
    <w:rsid w:val="00864488"/>
    <w:rsid w:val="008658B6"/>
    <w:rsid w:val="00866B9D"/>
    <w:rsid w:val="00866D15"/>
    <w:rsid w:val="00870A36"/>
    <w:rsid w:val="00870ACC"/>
    <w:rsid w:val="00870D98"/>
    <w:rsid w:val="008724FF"/>
    <w:rsid w:val="00872662"/>
    <w:rsid w:val="00872D93"/>
    <w:rsid w:val="00872DC2"/>
    <w:rsid w:val="008736C8"/>
    <w:rsid w:val="0087436A"/>
    <w:rsid w:val="00874615"/>
    <w:rsid w:val="00876462"/>
    <w:rsid w:val="00876827"/>
    <w:rsid w:val="00880470"/>
    <w:rsid w:val="00880D94"/>
    <w:rsid w:val="00881C51"/>
    <w:rsid w:val="00883441"/>
    <w:rsid w:val="00883BD5"/>
    <w:rsid w:val="00885DC5"/>
    <w:rsid w:val="00885EFE"/>
    <w:rsid w:val="00886F51"/>
    <w:rsid w:val="00886F64"/>
    <w:rsid w:val="008873C2"/>
    <w:rsid w:val="008924DE"/>
    <w:rsid w:val="00894FBE"/>
    <w:rsid w:val="00895666"/>
    <w:rsid w:val="00895EDF"/>
    <w:rsid w:val="00896C8D"/>
    <w:rsid w:val="0089731B"/>
    <w:rsid w:val="008A05E8"/>
    <w:rsid w:val="008A08AB"/>
    <w:rsid w:val="008A1B06"/>
    <w:rsid w:val="008A2C52"/>
    <w:rsid w:val="008A3755"/>
    <w:rsid w:val="008A648F"/>
    <w:rsid w:val="008B0245"/>
    <w:rsid w:val="008B0B48"/>
    <w:rsid w:val="008B15F0"/>
    <w:rsid w:val="008B19DC"/>
    <w:rsid w:val="008B264F"/>
    <w:rsid w:val="008B2DB5"/>
    <w:rsid w:val="008B3C24"/>
    <w:rsid w:val="008B4E41"/>
    <w:rsid w:val="008B6F83"/>
    <w:rsid w:val="008B7614"/>
    <w:rsid w:val="008B792A"/>
    <w:rsid w:val="008B7FD8"/>
    <w:rsid w:val="008C0038"/>
    <w:rsid w:val="008C0DFE"/>
    <w:rsid w:val="008C0FC7"/>
    <w:rsid w:val="008C1108"/>
    <w:rsid w:val="008C1DC0"/>
    <w:rsid w:val="008C2973"/>
    <w:rsid w:val="008C2F5C"/>
    <w:rsid w:val="008C3193"/>
    <w:rsid w:val="008C3E50"/>
    <w:rsid w:val="008C48BF"/>
    <w:rsid w:val="008C4D8E"/>
    <w:rsid w:val="008C5AA8"/>
    <w:rsid w:val="008C6324"/>
    <w:rsid w:val="008C64C4"/>
    <w:rsid w:val="008D1BF5"/>
    <w:rsid w:val="008D21BC"/>
    <w:rsid w:val="008D2367"/>
    <w:rsid w:val="008D2792"/>
    <w:rsid w:val="008D2CDD"/>
    <w:rsid w:val="008D421A"/>
    <w:rsid w:val="008D43CB"/>
    <w:rsid w:val="008D592B"/>
    <w:rsid w:val="008D5AF1"/>
    <w:rsid w:val="008D63E2"/>
    <w:rsid w:val="008D74D5"/>
    <w:rsid w:val="008D7F27"/>
    <w:rsid w:val="008E0ED1"/>
    <w:rsid w:val="008E19DD"/>
    <w:rsid w:val="008E304D"/>
    <w:rsid w:val="008E3A07"/>
    <w:rsid w:val="008E3BFF"/>
    <w:rsid w:val="008E537B"/>
    <w:rsid w:val="008E557F"/>
    <w:rsid w:val="008E7A5E"/>
    <w:rsid w:val="008F1AFE"/>
    <w:rsid w:val="008F29BE"/>
    <w:rsid w:val="008F2B72"/>
    <w:rsid w:val="008F2F76"/>
    <w:rsid w:val="008F41DF"/>
    <w:rsid w:val="008F4508"/>
    <w:rsid w:val="008F4877"/>
    <w:rsid w:val="008F4AE5"/>
    <w:rsid w:val="008F51EB"/>
    <w:rsid w:val="008F623E"/>
    <w:rsid w:val="008F7028"/>
    <w:rsid w:val="00900197"/>
    <w:rsid w:val="00900476"/>
    <w:rsid w:val="009016AD"/>
    <w:rsid w:val="00902DF5"/>
    <w:rsid w:val="00902F55"/>
    <w:rsid w:val="0090582B"/>
    <w:rsid w:val="00905E60"/>
    <w:rsid w:val="009060C0"/>
    <w:rsid w:val="0090738D"/>
    <w:rsid w:val="00907A05"/>
    <w:rsid w:val="00907B11"/>
    <w:rsid w:val="00910CF2"/>
    <w:rsid w:val="009114A2"/>
    <w:rsid w:val="00913294"/>
    <w:rsid w:val="009133F5"/>
    <w:rsid w:val="00913D83"/>
    <w:rsid w:val="00915A00"/>
    <w:rsid w:val="00916023"/>
    <w:rsid w:val="0091756F"/>
    <w:rsid w:val="00917892"/>
    <w:rsid w:val="00917D02"/>
    <w:rsid w:val="00920A27"/>
    <w:rsid w:val="00921216"/>
    <w:rsid w:val="009216CC"/>
    <w:rsid w:val="00921975"/>
    <w:rsid w:val="00921C6E"/>
    <w:rsid w:val="00922F8E"/>
    <w:rsid w:val="00923149"/>
    <w:rsid w:val="00924A95"/>
    <w:rsid w:val="009255D4"/>
    <w:rsid w:val="00926083"/>
    <w:rsid w:val="00926813"/>
    <w:rsid w:val="00927E31"/>
    <w:rsid w:val="009309E4"/>
    <w:rsid w:val="00930D08"/>
    <w:rsid w:val="00931466"/>
    <w:rsid w:val="00932D69"/>
    <w:rsid w:val="00935097"/>
    <w:rsid w:val="00935589"/>
    <w:rsid w:val="00936352"/>
    <w:rsid w:val="00937CEF"/>
    <w:rsid w:val="0094220B"/>
    <w:rsid w:val="00944647"/>
    <w:rsid w:val="0094567D"/>
    <w:rsid w:val="00951B7C"/>
    <w:rsid w:val="00953B5B"/>
    <w:rsid w:val="00954D46"/>
    <w:rsid w:val="00955317"/>
    <w:rsid w:val="0095565C"/>
    <w:rsid w:val="00956D7D"/>
    <w:rsid w:val="009574EC"/>
    <w:rsid w:val="00957833"/>
    <w:rsid w:val="00960F3D"/>
    <w:rsid w:val="009616E5"/>
    <w:rsid w:val="00962CC1"/>
    <w:rsid w:val="00964AB6"/>
    <w:rsid w:val="00965231"/>
    <w:rsid w:val="00965526"/>
    <w:rsid w:val="00966F9A"/>
    <w:rsid w:val="00970421"/>
    <w:rsid w:val="00971984"/>
    <w:rsid w:val="009722E6"/>
    <w:rsid w:val="009746B7"/>
    <w:rsid w:val="00976222"/>
    <w:rsid w:val="00976778"/>
    <w:rsid w:val="00976C85"/>
    <w:rsid w:val="00977B8A"/>
    <w:rsid w:val="00981D67"/>
    <w:rsid w:val="00982971"/>
    <w:rsid w:val="0098347E"/>
    <w:rsid w:val="009843A1"/>
    <w:rsid w:val="009845AD"/>
    <w:rsid w:val="00984835"/>
    <w:rsid w:val="00985559"/>
    <w:rsid w:val="0098639B"/>
    <w:rsid w:val="00991E03"/>
    <w:rsid w:val="009928EF"/>
    <w:rsid w:val="00992CD7"/>
    <w:rsid w:val="009933EF"/>
    <w:rsid w:val="00993F95"/>
    <w:rsid w:val="009943A1"/>
    <w:rsid w:val="00995B80"/>
    <w:rsid w:val="00995BA0"/>
    <w:rsid w:val="00996E67"/>
    <w:rsid w:val="009971D6"/>
    <w:rsid w:val="009A418B"/>
    <w:rsid w:val="009A426F"/>
    <w:rsid w:val="009A42D5"/>
    <w:rsid w:val="009A4473"/>
    <w:rsid w:val="009A5701"/>
    <w:rsid w:val="009A6229"/>
    <w:rsid w:val="009A6CDF"/>
    <w:rsid w:val="009B0016"/>
    <w:rsid w:val="009B05C9"/>
    <w:rsid w:val="009B1912"/>
    <w:rsid w:val="009B2249"/>
    <w:rsid w:val="009B286C"/>
    <w:rsid w:val="009B2D22"/>
    <w:rsid w:val="009B31D0"/>
    <w:rsid w:val="009B414D"/>
    <w:rsid w:val="009B4AC9"/>
    <w:rsid w:val="009B720C"/>
    <w:rsid w:val="009B7C7E"/>
    <w:rsid w:val="009B7CE8"/>
    <w:rsid w:val="009C151C"/>
    <w:rsid w:val="009C4005"/>
    <w:rsid w:val="009C440A"/>
    <w:rsid w:val="009C5458"/>
    <w:rsid w:val="009C5565"/>
    <w:rsid w:val="009C6326"/>
    <w:rsid w:val="009C650C"/>
    <w:rsid w:val="009C76A9"/>
    <w:rsid w:val="009C79BD"/>
    <w:rsid w:val="009C7B26"/>
    <w:rsid w:val="009D0C33"/>
    <w:rsid w:val="009D1AC7"/>
    <w:rsid w:val="009D23AB"/>
    <w:rsid w:val="009D26C2"/>
    <w:rsid w:val="009D47BB"/>
    <w:rsid w:val="009D48A2"/>
    <w:rsid w:val="009D5125"/>
    <w:rsid w:val="009D5F32"/>
    <w:rsid w:val="009D60B8"/>
    <w:rsid w:val="009D7D4B"/>
    <w:rsid w:val="009E0C09"/>
    <w:rsid w:val="009E2910"/>
    <w:rsid w:val="009E2C7E"/>
    <w:rsid w:val="009E36ED"/>
    <w:rsid w:val="009E3C8C"/>
    <w:rsid w:val="009E4255"/>
    <w:rsid w:val="009E5E75"/>
    <w:rsid w:val="009E634E"/>
    <w:rsid w:val="009E6B77"/>
    <w:rsid w:val="009F1CB7"/>
    <w:rsid w:val="009F371C"/>
    <w:rsid w:val="009F3B73"/>
    <w:rsid w:val="009F460A"/>
    <w:rsid w:val="009F5D15"/>
    <w:rsid w:val="009F6093"/>
    <w:rsid w:val="00A020CE"/>
    <w:rsid w:val="00A043FB"/>
    <w:rsid w:val="00A04BC8"/>
    <w:rsid w:val="00A04C5B"/>
    <w:rsid w:val="00A04F7D"/>
    <w:rsid w:val="00A06828"/>
    <w:rsid w:val="00A06BE4"/>
    <w:rsid w:val="00A06F66"/>
    <w:rsid w:val="00A0729C"/>
    <w:rsid w:val="00A07779"/>
    <w:rsid w:val="00A07C84"/>
    <w:rsid w:val="00A10059"/>
    <w:rsid w:val="00A103FD"/>
    <w:rsid w:val="00A1166A"/>
    <w:rsid w:val="00A13204"/>
    <w:rsid w:val="00A13347"/>
    <w:rsid w:val="00A143B3"/>
    <w:rsid w:val="00A16003"/>
    <w:rsid w:val="00A209B3"/>
    <w:rsid w:val="00A20B2E"/>
    <w:rsid w:val="00A2172C"/>
    <w:rsid w:val="00A22425"/>
    <w:rsid w:val="00A238C2"/>
    <w:rsid w:val="00A23D1E"/>
    <w:rsid w:val="00A24F33"/>
    <w:rsid w:val="00A25069"/>
    <w:rsid w:val="00A26E6B"/>
    <w:rsid w:val="00A279D2"/>
    <w:rsid w:val="00A3068F"/>
    <w:rsid w:val="00A3145B"/>
    <w:rsid w:val="00A320AE"/>
    <w:rsid w:val="00A323EF"/>
    <w:rsid w:val="00A339D0"/>
    <w:rsid w:val="00A41002"/>
    <w:rsid w:val="00A4201A"/>
    <w:rsid w:val="00A42126"/>
    <w:rsid w:val="00A42689"/>
    <w:rsid w:val="00A42E07"/>
    <w:rsid w:val="00A44CD3"/>
    <w:rsid w:val="00A44D1D"/>
    <w:rsid w:val="00A44E19"/>
    <w:rsid w:val="00A515F3"/>
    <w:rsid w:val="00A52393"/>
    <w:rsid w:val="00A531F4"/>
    <w:rsid w:val="00A53EA4"/>
    <w:rsid w:val="00A543F6"/>
    <w:rsid w:val="00A5465D"/>
    <w:rsid w:val="00A54AB1"/>
    <w:rsid w:val="00A553CE"/>
    <w:rsid w:val="00A5677A"/>
    <w:rsid w:val="00A56DCC"/>
    <w:rsid w:val="00A57360"/>
    <w:rsid w:val="00A60586"/>
    <w:rsid w:val="00A625E8"/>
    <w:rsid w:val="00A63DFF"/>
    <w:rsid w:val="00A6490D"/>
    <w:rsid w:val="00A64C65"/>
    <w:rsid w:val="00A653C6"/>
    <w:rsid w:val="00A65867"/>
    <w:rsid w:val="00A67650"/>
    <w:rsid w:val="00A70657"/>
    <w:rsid w:val="00A7194A"/>
    <w:rsid w:val="00A7415D"/>
    <w:rsid w:val="00A7569A"/>
    <w:rsid w:val="00A80363"/>
    <w:rsid w:val="00A80939"/>
    <w:rsid w:val="00A8196C"/>
    <w:rsid w:val="00A83E9D"/>
    <w:rsid w:val="00A864F8"/>
    <w:rsid w:val="00A87BDD"/>
    <w:rsid w:val="00A87C05"/>
    <w:rsid w:val="00A9169D"/>
    <w:rsid w:val="00A91E10"/>
    <w:rsid w:val="00A92267"/>
    <w:rsid w:val="00A922FE"/>
    <w:rsid w:val="00A9510C"/>
    <w:rsid w:val="00A95A5C"/>
    <w:rsid w:val="00A9792C"/>
    <w:rsid w:val="00AA1C7F"/>
    <w:rsid w:val="00AA1FF8"/>
    <w:rsid w:val="00AA240C"/>
    <w:rsid w:val="00AA3038"/>
    <w:rsid w:val="00AA371F"/>
    <w:rsid w:val="00AA4E79"/>
    <w:rsid w:val="00AA6315"/>
    <w:rsid w:val="00AB075E"/>
    <w:rsid w:val="00AB1E74"/>
    <w:rsid w:val="00AB3A4C"/>
    <w:rsid w:val="00AB4EF4"/>
    <w:rsid w:val="00AB52F5"/>
    <w:rsid w:val="00AB593D"/>
    <w:rsid w:val="00AB5C05"/>
    <w:rsid w:val="00AB63C9"/>
    <w:rsid w:val="00AB6676"/>
    <w:rsid w:val="00AB6D79"/>
    <w:rsid w:val="00AC0455"/>
    <w:rsid w:val="00AC0BEF"/>
    <w:rsid w:val="00AC101C"/>
    <w:rsid w:val="00AC1772"/>
    <w:rsid w:val="00AC200C"/>
    <w:rsid w:val="00AC2393"/>
    <w:rsid w:val="00AC2CB9"/>
    <w:rsid w:val="00AC2EC3"/>
    <w:rsid w:val="00AC3572"/>
    <w:rsid w:val="00AC6E32"/>
    <w:rsid w:val="00AC7212"/>
    <w:rsid w:val="00AC73FE"/>
    <w:rsid w:val="00AC75D7"/>
    <w:rsid w:val="00AD40EC"/>
    <w:rsid w:val="00AD4CF1"/>
    <w:rsid w:val="00AD5988"/>
    <w:rsid w:val="00AD6293"/>
    <w:rsid w:val="00AD65E2"/>
    <w:rsid w:val="00AD6C67"/>
    <w:rsid w:val="00AD73DD"/>
    <w:rsid w:val="00AE007C"/>
    <w:rsid w:val="00AE076F"/>
    <w:rsid w:val="00AE311E"/>
    <w:rsid w:val="00AE31AB"/>
    <w:rsid w:val="00AE3513"/>
    <w:rsid w:val="00AE542E"/>
    <w:rsid w:val="00AE65E4"/>
    <w:rsid w:val="00AF14A1"/>
    <w:rsid w:val="00AF1BA8"/>
    <w:rsid w:val="00AF2B78"/>
    <w:rsid w:val="00AF44E3"/>
    <w:rsid w:val="00AF4B0C"/>
    <w:rsid w:val="00AF6823"/>
    <w:rsid w:val="00AF7256"/>
    <w:rsid w:val="00AF7800"/>
    <w:rsid w:val="00B001ED"/>
    <w:rsid w:val="00B00CF5"/>
    <w:rsid w:val="00B01DEB"/>
    <w:rsid w:val="00B023C6"/>
    <w:rsid w:val="00B06531"/>
    <w:rsid w:val="00B072E0"/>
    <w:rsid w:val="00B07F9F"/>
    <w:rsid w:val="00B1007E"/>
    <w:rsid w:val="00B104D7"/>
    <w:rsid w:val="00B115F7"/>
    <w:rsid w:val="00B13C77"/>
    <w:rsid w:val="00B13C9E"/>
    <w:rsid w:val="00B14425"/>
    <w:rsid w:val="00B14E79"/>
    <w:rsid w:val="00B17B51"/>
    <w:rsid w:val="00B21BB3"/>
    <w:rsid w:val="00B253F6"/>
    <w:rsid w:val="00B25EAC"/>
    <w:rsid w:val="00B26380"/>
    <w:rsid w:val="00B26675"/>
    <w:rsid w:val="00B26F0F"/>
    <w:rsid w:val="00B26F60"/>
    <w:rsid w:val="00B305DB"/>
    <w:rsid w:val="00B332F8"/>
    <w:rsid w:val="00B3492B"/>
    <w:rsid w:val="00B36B47"/>
    <w:rsid w:val="00B446DB"/>
    <w:rsid w:val="00B449FE"/>
    <w:rsid w:val="00B4646F"/>
    <w:rsid w:val="00B471B6"/>
    <w:rsid w:val="00B52CEB"/>
    <w:rsid w:val="00B52DE1"/>
    <w:rsid w:val="00B55302"/>
    <w:rsid w:val="00B5555F"/>
    <w:rsid w:val="00B55C7D"/>
    <w:rsid w:val="00B56B09"/>
    <w:rsid w:val="00B57524"/>
    <w:rsid w:val="00B60500"/>
    <w:rsid w:val="00B62E50"/>
    <w:rsid w:val="00B62EF3"/>
    <w:rsid w:val="00B63038"/>
    <w:rsid w:val="00B6336D"/>
    <w:rsid w:val="00B6434C"/>
    <w:rsid w:val="00B648AB"/>
    <w:rsid w:val="00B64BD8"/>
    <w:rsid w:val="00B64D95"/>
    <w:rsid w:val="00B657AF"/>
    <w:rsid w:val="00B701D1"/>
    <w:rsid w:val="00B70A1B"/>
    <w:rsid w:val="00B73461"/>
    <w:rsid w:val="00B73AF2"/>
    <w:rsid w:val="00B7445F"/>
    <w:rsid w:val="00B744F1"/>
    <w:rsid w:val="00B745DE"/>
    <w:rsid w:val="00B7551A"/>
    <w:rsid w:val="00B770B9"/>
    <w:rsid w:val="00B773F1"/>
    <w:rsid w:val="00B77F8C"/>
    <w:rsid w:val="00B819DC"/>
    <w:rsid w:val="00B82AF2"/>
    <w:rsid w:val="00B83EBF"/>
    <w:rsid w:val="00B84210"/>
    <w:rsid w:val="00B8537E"/>
    <w:rsid w:val="00B86AB1"/>
    <w:rsid w:val="00B90AF7"/>
    <w:rsid w:val="00B911F5"/>
    <w:rsid w:val="00B954FD"/>
    <w:rsid w:val="00B95EF0"/>
    <w:rsid w:val="00B9621D"/>
    <w:rsid w:val="00B97540"/>
    <w:rsid w:val="00B97F07"/>
    <w:rsid w:val="00BA03FA"/>
    <w:rsid w:val="00BA0682"/>
    <w:rsid w:val="00BA25EC"/>
    <w:rsid w:val="00BA32CA"/>
    <w:rsid w:val="00BA6F08"/>
    <w:rsid w:val="00BA7D89"/>
    <w:rsid w:val="00BA7EBA"/>
    <w:rsid w:val="00BA7F2E"/>
    <w:rsid w:val="00BA7FA0"/>
    <w:rsid w:val="00BB2A06"/>
    <w:rsid w:val="00BB2CBB"/>
    <w:rsid w:val="00BB3E6E"/>
    <w:rsid w:val="00BB4198"/>
    <w:rsid w:val="00BB54BE"/>
    <w:rsid w:val="00BB5615"/>
    <w:rsid w:val="00BB580D"/>
    <w:rsid w:val="00BB6A1C"/>
    <w:rsid w:val="00BB7C0D"/>
    <w:rsid w:val="00BC03EE"/>
    <w:rsid w:val="00BC0D02"/>
    <w:rsid w:val="00BC18D7"/>
    <w:rsid w:val="00BC1F3D"/>
    <w:rsid w:val="00BC3E46"/>
    <w:rsid w:val="00BC4428"/>
    <w:rsid w:val="00BC52B1"/>
    <w:rsid w:val="00BC59F1"/>
    <w:rsid w:val="00BC5A9F"/>
    <w:rsid w:val="00BC5D44"/>
    <w:rsid w:val="00BC6793"/>
    <w:rsid w:val="00BD1AF2"/>
    <w:rsid w:val="00BD20CF"/>
    <w:rsid w:val="00BD3A11"/>
    <w:rsid w:val="00BD5683"/>
    <w:rsid w:val="00BD5D14"/>
    <w:rsid w:val="00BD79EA"/>
    <w:rsid w:val="00BD7C0D"/>
    <w:rsid w:val="00BE06DA"/>
    <w:rsid w:val="00BE2385"/>
    <w:rsid w:val="00BE3CDD"/>
    <w:rsid w:val="00BE41FC"/>
    <w:rsid w:val="00BE71E8"/>
    <w:rsid w:val="00BE7E1B"/>
    <w:rsid w:val="00BF03DF"/>
    <w:rsid w:val="00BF1BBA"/>
    <w:rsid w:val="00BF25D9"/>
    <w:rsid w:val="00BF3DE1"/>
    <w:rsid w:val="00BF4843"/>
    <w:rsid w:val="00BF5106"/>
    <w:rsid w:val="00BF5205"/>
    <w:rsid w:val="00BF629A"/>
    <w:rsid w:val="00C01A2E"/>
    <w:rsid w:val="00C02230"/>
    <w:rsid w:val="00C027BA"/>
    <w:rsid w:val="00C05132"/>
    <w:rsid w:val="00C073E5"/>
    <w:rsid w:val="00C079F9"/>
    <w:rsid w:val="00C07D60"/>
    <w:rsid w:val="00C1022B"/>
    <w:rsid w:val="00C11796"/>
    <w:rsid w:val="00C117CF"/>
    <w:rsid w:val="00C11A91"/>
    <w:rsid w:val="00C12508"/>
    <w:rsid w:val="00C13A82"/>
    <w:rsid w:val="00C14CE3"/>
    <w:rsid w:val="00C170F9"/>
    <w:rsid w:val="00C20583"/>
    <w:rsid w:val="00C23728"/>
    <w:rsid w:val="00C24397"/>
    <w:rsid w:val="00C27783"/>
    <w:rsid w:val="00C3026C"/>
    <w:rsid w:val="00C313A9"/>
    <w:rsid w:val="00C32CAD"/>
    <w:rsid w:val="00C331E0"/>
    <w:rsid w:val="00C337D6"/>
    <w:rsid w:val="00C33CD7"/>
    <w:rsid w:val="00C34E39"/>
    <w:rsid w:val="00C36240"/>
    <w:rsid w:val="00C36654"/>
    <w:rsid w:val="00C36A0B"/>
    <w:rsid w:val="00C36C0A"/>
    <w:rsid w:val="00C40B4B"/>
    <w:rsid w:val="00C41155"/>
    <w:rsid w:val="00C42A80"/>
    <w:rsid w:val="00C441CF"/>
    <w:rsid w:val="00C45A2C"/>
    <w:rsid w:val="00C45AA2"/>
    <w:rsid w:val="00C45CE0"/>
    <w:rsid w:val="00C47785"/>
    <w:rsid w:val="00C4792C"/>
    <w:rsid w:val="00C50F41"/>
    <w:rsid w:val="00C5175C"/>
    <w:rsid w:val="00C51CD2"/>
    <w:rsid w:val="00C538A3"/>
    <w:rsid w:val="00C54A86"/>
    <w:rsid w:val="00C55BEF"/>
    <w:rsid w:val="00C55DA7"/>
    <w:rsid w:val="00C5606F"/>
    <w:rsid w:val="00C56EE9"/>
    <w:rsid w:val="00C601AF"/>
    <w:rsid w:val="00C605C6"/>
    <w:rsid w:val="00C61566"/>
    <w:rsid w:val="00C61A63"/>
    <w:rsid w:val="00C6491C"/>
    <w:rsid w:val="00C65DF8"/>
    <w:rsid w:val="00C66296"/>
    <w:rsid w:val="00C66BB8"/>
    <w:rsid w:val="00C675FF"/>
    <w:rsid w:val="00C7065D"/>
    <w:rsid w:val="00C7394D"/>
    <w:rsid w:val="00C73D8B"/>
    <w:rsid w:val="00C76148"/>
    <w:rsid w:val="00C76F0C"/>
    <w:rsid w:val="00C77282"/>
    <w:rsid w:val="00C77DEB"/>
    <w:rsid w:val="00C81195"/>
    <w:rsid w:val="00C84DE5"/>
    <w:rsid w:val="00C86248"/>
    <w:rsid w:val="00C86D40"/>
    <w:rsid w:val="00C90103"/>
    <w:rsid w:val="00C90B31"/>
    <w:rsid w:val="00C93391"/>
    <w:rsid w:val="00C9352A"/>
    <w:rsid w:val="00C93839"/>
    <w:rsid w:val="00C95738"/>
    <w:rsid w:val="00C96A28"/>
    <w:rsid w:val="00C96FA1"/>
    <w:rsid w:val="00CA0D6F"/>
    <w:rsid w:val="00CA1DFC"/>
    <w:rsid w:val="00CA2B8D"/>
    <w:rsid w:val="00CA3974"/>
    <w:rsid w:val="00CA4C33"/>
    <w:rsid w:val="00CA537E"/>
    <w:rsid w:val="00CA57C3"/>
    <w:rsid w:val="00CA6F4A"/>
    <w:rsid w:val="00CA7246"/>
    <w:rsid w:val="00CB0013"/>
    <w:rsid w:val="00CB13FF"/>
    <w:rsid w:val="00CB1CE8"/>
    <w:rsid w:val="00CB2590"/>
    <w:rsid w:val="00CB2A04"/>
    <w:rsid w:val="00CB2B47"/>
    <w:rsid w:val="00CB4A13"/>
    <w:rsid w:val="00CB6427"/>
    <w:rsid w:val="00CB656E"/>
    <w:rsid w:val="00CC01F7"/>
    <w:rsid w:val="00CC02A8"/>
    <w:rsid w:val="00CC0312"/>
    <w:rsid w:val="00CC0983"/>
    <w:rsid w:val="00CC0FBE"/>
    <w:rsid w:val="00CC17F5"/>
    <w:rsid w:val="00CC22DE"/>
    <w:rsid w:val="00CC291A"/>
    <w:rsid w:val="00CC2C50"/>
    <w:rsid w:val="00CC4B3A"/>
    <w:rsid w:val="00CC50E5"/>
    <w:rsid w:val="00CC55F7"/>
    <w:rsid w:val="00CC67D8"/>
    <w:rsid w:val="00CD2119"/>
    <w:rsid w:val="00CD237A"/>
    <w:rsid w:val="00CD243A"/>
    <w:rsid w:val="00CD3009"/>
    <w:rsid w:val="00CD315D"/>
    <w:rsid w:val="00CD36AC"/>
    <w:rsid w:val="00CD5097"/>
    <w:rsid w:val="00CD73F4"/>
    <w:rsid w:val="00CE13A3"/>
    <w:rsid w:val="00CE1B88"/>
    <w:rsid w:val="00CE34F8"/>
    <w:rsid w:val="00CE36BC"/>
    <w:rsid w:val="00CE3EC4"/>
    <w:rsid w:val="00CE5300"/>
    <w:rsid w:val="00CE5A11"/>
    <w:rsid w:val="00CF1747"/>
    <w:rsid w:val="00CF42CB"/>
    <w:rsid w:val="00CF60ED"/>
    <w:rsid w:val="00CF7E1A"/>
    <w:rsid w:val="00D0133F"/>
    <w:rsid w:val="00D01729"/>
    <w:rsid w:val="00D05A26"/>
    <w:rsid w:val="00D05D74"/>
    <w:rsid w:val="00D0778A"/>
    <w:rsid w:val="00D118F9"/>
    <w:rsid w:val="00D14762"/>
    <w:rsid w:val="00D147E3"/>
    <w:rsid w:val="00D164A8"/>
    <w:rsid w:val="00D164DA"/>
    <w:rsid w:val="00D16904"/>
    <w:rsid w:val="00D16FC1"/>
    <w:rsid w:val="00D1713A"/>
    <w:rsid w:val="00D1729B"/>
    <w:rsid w:val="00D17AC3"/>
    <w:rsid w:val="00D20232"/>
    <w:rsid w:val="00D20B1E"/>
    <w:rsid w:val="00D20C59"/>
    <w:rsid w:val="00D21930"/>
    <w:rsid w:val="00D2211E"/>
    <w:rsid w:val="00D22454"/>
    <w:rsid w:val="00D22947"/>
    <w:rsid w:val="00D23323"/>
    <w:rsid w:val="00D2341D"/>
    <w:rsid w:val="00D2392A"/>
    <w:rsid w:val="00D24584"/>
    <w:rsid w:val="00D24868"/>
    <w:rsid w:val="00D24933"/>
    <w:rsid w:val="00D25416"/>
    <w:rsid w:val="00D25FFE"/>
    <w:rsid w:val="00D30608"/>
    <w:rsid w:val="00D30BBE"/>
    <w:rsid w:val="00D30D0D"/>
    <w:rsid w:val="00D3161C"/>
    <w:rsid w:val="00D32400"/>
    <w:rsid w:val="00D331FF"/>
    <w:rsid w:val="00D33DD5"/>
    <w:rsid w:val="00D35019"/>
    <w:rsid w:val="00D37820"/>
    <w:rsid w:val="00D37D80"/>
    <w:rsid w:val="00D42D4E"/>
    <w:rsid w:val="00D430FF"/>
    <w:rsid w:val="00D4476F"/>
    <w:rsid w:val="00D457A4"/>
    <w:rsid w:val="00D457D0"/>
    <w:rsid w:val="00D46282"/>
    <w:rsid w:val="00D47DA2"/>
    <w:rsid w:val="00D47EFF"/>
    <w:rsid w:val="00D502D1"/>
    <w:rsid w:val="00D50573"/>
    <w:rsid w:val="00D54D50"/>
    <w:rsid w:val="00D560B4"/>
    <w:rsid w:val="00D562D3"/>
    <w:rsid w:val="00D57F48"/>
    <w:rsid w:val="00D60679"/>
    <w:rsid w:val="00D61452"/>
    <w:rsid w:val="00D63DE4"/>
    <w:rsid w:val="00D645CF"/>
    <w:rsid w:val="00D65D81"/>
    <w:rsid w:val="00D662F8"/>
    <w:rsid w:val="00D66797"/>
    <w:rsid w:val="00D668EA"/>
    <w:rsid w:val="00D7074B"/>
    <w:rsid w:val="00D7087C"/>
    <w:rsid w:val="00D70C3C"/>
    <w:rsid w:val="00D71DF7"/>
    <w:rsid w:val="00D72BE5"/>
    <w:rsid w:val="00D73F7A"/>
    <w:rsid w:val="00D759E0"/>
    <w:rsid w:val="00D7769D"/>
    <w:rsid w:val="00D81462"/>
    <w:rsid w:val="00D829AC"/>
    <w:rsid w:val="00D82E01"/>
    <w:rsid w:val="00D82F26"/>
    <w:rsid w:val="00D863D0"/>
    <w:rsid w:val="00D86B00"/>
    <w:rsid w:val="00D86FB9"/>
    <w:rsid w:val="00D87C87"/>
    <w:rsid w:val="00D9087B"/>
    <w:rsid w:val="00D90BB4"/>
    <w:rsid w:val="00D90E07"/>
    <w:rsid w:val="00D932C2"/>
    <w:rsid w:val="00D93523"/>
    <w:rsid w:val="00D94A4A"/>
    <w:rsid w:val="00D95D06"/>
    <w:rsid w:val="00D972F9"/>
    <w:rsid w:val="00DA000B"/>
    <w:rsid w:val="00DA0CBD"/>
    <w:rsid w:val="00DA2107"/>
    <w:rsid w:val="00DA2998"/>
    <w:rsid w:val="00DA2F1A"/>
    <w:rsid w:val="00DA46DA"/>
    <w:rsid w:val="00DB1A35"/>
    <w:rsid w:val="00DB1CBA"/>
    <w:rsid w:val="00DB2C52"/>
    <w:rsid w:val="00DB2E02"/>
    <w:rsid w:val="00DB373E"/>
    <w:rsid w:val="00DB3751"/>
    <w:rsid w:val="00DB39CF"/>
    <w:rsid w:val="00DB3ADE"/>
    <w:rsid w:val="00DB3CDD"/>
    <w:rsid w:val="00DB7256"/>
    <w:rsid w:val="00DC0401"/>
    <w:rsid w:val="00DC0621"/>
    <w:rsid w:val="00DC20BD"/>
    <w:rsid w:val="00DC2454"/>
    <w:rsid w:val="00DC2CBC"/>
    <w:rsid w:val="00DC4F29"/>
    <w:rsid w:val="00DC519D"/>
    <w:rsid w:val="00DC6CCE"/>
    <w:rsid w:val="00DC704A"/>
    <w:rsid w:val="00DC788F"/>
    <w:rsid w:val="00DD069D"/>
    <w:rsid w:val="00DD070E"/>
    <w:rsid w:val="00DD0BCD"/>
    <w:rsid w:val="00DD13F3"/>
    <w:rsid w:val="00DD1572"/>
    <w:rsid w:val="00DD16A6"/>
    <w:rsid w:val="00DD447A"/>
    <w:rsid w:val="00DD4E79"/>
    <w:rsid w:val="00DD6373"/>
    <w:rsid w:val="00DD64A3"/>
    <w:rsid w:val="00DD78D3"/>
    <w:rsid w:val="00DE0E28"/>
    <w:rsid w:val="00DE1FAB"/>
    <w:rsid w:val="00DE36AB"/>
    <w:rsid w:val="00DE3B20"/>
    <w:rsid w:val="00DE423F"/>
    <w:rsid w:val="00DE42ED"/>
    <w:rsid w:val="00DE5EAC"/>
    <w:rsid w:val="00DE6C94"/>
    <w:rsid w:val="00DE6F76"/>
    <w:rsid w:val="00DE6FD7"/>
    <w:rsid w:val="00DE7CDC"/>
    <w:rsid w:val="00DF1233"/>
    <w:rsid w:val="00DF30A5"/>
    <w:rsid w:val="00DF563F"/>
    <w:rsid w:val="00DF73C4"/>
    <w:rsid w:val="00DF7C55"/>
    <w:rsid w:val="00DF7F11"/>
    <w:rsid w:val="00E04F25"/>
    <w:rsid w:val="00E07BAB"/>
    <w:rsid w:val="00E13406"/>
    <w:rsid w:val="00E16162"/>
    <w:rsid w:val="00E169D8"/>
    <w:rsid w:val="00E176DC"/>
    <w:rsid w:val="00E21E33"/>
    <w:rsid w:val="00E220A1"/>
    <w:rsid w:val="00E2321C"/>
    <w:rsid w:val="00E23271"/>
    <w:rsid w:val="00E24B5C"/>
    <w:rsid w:val="00E24F80"/>
    <w:rsid w:val="00E258D8"/>
    <w:rsid w:val="00E259F3"/>
    <w:rsid w:val="00E270F4"/>
    <w:rsid w:val="00E27881"/>
    <w:rsid w:val="00E27972"/>
    <w:rsid w:val="00E30985"/>
    <w:rsid w:val="00E30F3A"/>
    <w:rsid w:val="00E313B6"/>
    <w:rsid w:val="00E31561"/>
    <w:rsid w:val="00E32A0E"/>
    <w:rsid w:val="00E33238"/>
    <w:rsid w:val="00E332FC"/>
    <w:rsid w:val="00E34A3B"/>
    <w:rsid w:val="00E36F56"/>
    <w:rsid w:val="00E36F93"/>
    <w:rsid w:val="00E376B7"/>
    <w:rsid w:val="00E4075D"/>
    <w:rsid w:val="00E42F5D"/>
    <w:rsid w:val="00E431CD"/>
    <w:rsid w:val="00E43C69"/>
    <w:rsid w:val="00E4486C"/>
    <w:rsid w:val="00E460B6"/>
    <w:rsid w:val="00E466EB"/>
    <w:rsid w:val="00E46DF4"/>
    <w:rsid w:val="00E50EC3"/>
    <w:rsid w:val="00E511D5"/>
    <w:rsid w:val="00E5135D"/>
    <w:rsid w:val="00E5245C"/>
    <w:rsid w:val="00E5245D"/>
    <w:rsid w:val="00E52B34"/>
    <w:rsid w:val="00E53A9F"/>
    <w:rsid w:val="00E53ED1"/>
    <w:rsid w:val="00E540A0"/>
    <w:rsid w:val="00E55E5E"/>
    <w:rsid w:val="00E576B1"/>
    <w:rsid w:val="00E60249"/>
    <w:rsid w:val="00E60BEE"/>
    <w:rsid w:val="00E6181D"/>
    <w:rsid w:val="00E61A6B"/>
    <w:rsid w:val="00E61EAD"/>
    <w:rsid w:val="00E624AC"/>
    <w:rsid w:val="00E626F5"/>
    <w:rsid w:val="00E630A3"/>
    <w:rsid w:val="00E633A9"/>
    <w:rsid w:val="00E64622"/>
    <w:rsid w:val="00E64ABE"/>
    <w:rsid w:val="00E64C79"/>
    <w:rsid w:val="00E6511F"/>
    <w:rsid w:val="00E65269"/>
    <w:rsid w:val="00E65FD2"/>
    <w:rsid w:val="00E67033"/>
    <w:rsid w:val="00E67F84"/>
    <w:rsid w:val="00E70816"/>
    <w:rsid w:val="00E73ADF"/>
    <w:rsid w:val="00E74DC6"/>
    <w:rsid w:val="00E75E4B"/>
    <w:rsid w:val="00E75E7F"/>
    <w:rsid w:val="00E76D66"/>
    <w:rsid w:val="00E7740E"/>
    <w:rsid w:val="00E77D98"/>
    <w:rsid w:val="00E80614"/>
    <w:rsid w:val="00E81B74"/>
    <w:rsid w:val="00E83F8D"/>
    <w:rsid w:val="00E852D4"/>
    <w:rsid w:val="00E85DF8"/>
    <w:rsid w:val="00E87E10"/>
    <w:rsid w:val="00E87E85"/>
    <w:rsid w:val="00E87FD3"/>
    <w:rsid w:val="00E9109B"/>
    <w:rsid w:val="00E914A5"/>
    <w:rsid w:val="00E91568"/>
    <w:rsid w:val="00E93187"/>
    <w:rsid w:val="00E933A5"/>
    <w:rsid w:val="00E934AE"/>
    <w:rsid w:val="00E94341"/>
    <w:rsid w:val="00E94DAE"/>
    <w:rsid w:val="00E95533"/>
    <w:rsid w:val="00E97135"/>
    <w:rsid w:val="00E97531"/>
    <w:rsid w:val="00EA0482"/>
    <w:rsid w:val="00EA0B5B"/>
    <w:rsid w:val="00EA21CE"/>
    <w:rsid w:val="00EA4509"/>
    <w:rsid w:val="00EA4EA9"/>
    <w:rsid w:val="00EA4F0C"/>
    <w:rsid w:val="00EA5CE7"/>
    <w:rsid w:val="00EA796A"/>
    <w:rsid w:val="00EB03E7"/>
    <w:rsid w:val="00EB0FA3"/>
    <w:rsid w:val="00EB1856"/>
    <w:rsid w:val="00EB2530"/>
    <w:rsid w:val="00EB3218"/>
    <w:rsid w:val="00EB3C05"/>
    <w:rsid w:val="00EB3D2F"/>
    <w:rsid w:val="00EB5A89"/>
    <w:rsid w:val="00EB6517"/>
    <w:rsid w:val="00EB6EE9"/>
    <w:rsid w:val="00EC0D1E"/>
    <w:rsid w:val="00EC2605"/>
    <w:rsid w:val="00EC359B"/>
    <w:rsid w:val="00EC3779"/>
    <w:rsid w:val="00EC4031"/>
    <w:rsid w:val="00EC41FD"/>
    <w:rsid w:val="00EC4525"/>
    <w:rsid w:val="00EC4C22"/>
    <w:rsid w:val="00EC50CE"/>
    <w:rsid w:val="00EC5B34"/>
    <w:rsid w:val="00EC634F"/>
    <w:rsid w:val="00EC763C"/>
    <w:rsid w:val="00EC7DFC"/>
    <w:rsid w:val="00ED021E"/>
    <w:rsid w:val="00ED323C"/>
    <w:rsid w:val="00ED5D18"/>
    <w:rsid w:val="00ED61BD"/>
    <w:rsid w:val="00ED7024"/>
    <w:rsid w:val="00ED7B81"/>
    <w:rsid w:val="00EE0EB5"/>
    <w:rsid w:val="00EE2CC7"/>
    <w:rsid w:val="00EE2D5C"/>
    <w:rsid w:val="00EE4ADE"/>
    <w:rsid w:val="00EE4DE8"/>
    <w:rsid w:val="00EE5C69"/>
    <w:rsid w:val="00EE5CB7"/>
    <w:rsid w:val="00EF0587"/>
    <w:rsid w:val="00EF0B8B"/>
    <w:rsid w:val="00EF5016"/>
    <w:rsid w:val="00EF5D39"/>
    <w:rsid w:val="00EF60A2"/>
    <w:rsid w:val="00F00F33"/>
    <w:rsid w:val="00F024FE"/>
    <w:rsid w:val="00F03D10"/>
    <w:rsid w:val="00F054F1"/>
    <w:rsid w:val="00F055A5"/>
    <w:rsid w:val="00F05AD4"/>
    <w:rsid w:val="00F06104"/>
    <w:rsid w:val="00F10546"/>
    <w:rsid w:val="00F10EB6"/>
    <w:rsid w:val="00F10F9A"/>
    <w:rsid w:val="00F11752"/>
    <w:rsid w:val="00F121A2"/>
    <w:rsid w:val="00F12680"/>
    <w:rsid w:val="00F13D50"/>
    <w:rsid w:val="00F13F07"/>
    <w:rsid w:val="00F140B2"/>
    <w:rsid w:val="00F16831"/>
    <w:rsid w:val="00F16FC4"/>
    <w:rsid w:val="00F25970"/>
    <w:rsid w:val="00F30AC3"/>
    <w:rsid w:val="00F311A9"/>
    <w:rsid w:val="00F326E6"/>
    <w:rsid w:val="00F32E10"/>
    <w:rsid w:val="00F429BE"/>
    <w:rsid w:val="00F4413E"/>
    <w:rsid w:val="00F4571B"/>
    <w:rsid w:val="00F4723C"/>
    <w:rsid w:val="00F50D18"/>
    <w:rsid w:val="00F5180D"/>
    <w:rsid w:val="00F524B1"/>
    <w:rsid w:val="00F53B92"/>
    <w:rsid w:val="00F55E72"/>
    <w:rsid w:val="00F577FE"/>
    <w:rsid w:val="00F63781"/>
    <w:rsid w:val="00F67496"/>
    <w:rsid w:val="00F71105"/>
    <w:rsid w:val="00F74448"/>
    <w:rsid w:val="00F75291"/>
    <w:rsid w:val="00F757B9"/>
    <w:rsid w:val="00F801BA"/>
    <w:rsid w:val="00F801E7"/>
    <w:rsid w:val="00F802DB"/>
    <w:rsid w:val="00F80D9A"/>
    <w:rsid w:val="00F82D3A"/>
    <w:rsid w:val="00F82E82"/>
    <w:rsid w:val="00F82E89"/>
    <w:rsid w:val="00F84921"/>
    <w:rsid w:val="00F873E2"/>
    <w:rsid w:val="00F87A2D"/>
    <w:rsid w:val="00F90937"/>
    <w:rsid w:val="00F91BCC"/>
    <w:rsid w:val="00F9366A"/>
    <w:rsid w:val="00F93954"/>
    <w:rsid w:val="00F946C9"/>
    <w:rsid w:val="00F95527"/>
    <w:rsid w:val="00F96580"/>
    <w:rsid w:val="00F965FB"/>
    <w:rsid w:val="00FA0EA5"/>
    <w:rsid w:val="00FA3285"/>
    <w:rsid w:val="00FA3BB5"/>
    <w:rsid w:val="00FA3BD1"/>
    <w:rsid w:val="00FA3C53"/>
    <w:rsid w:val="00FA61FA"/>
    <w:rsid w:val="00FA62A8"/>
    <w:rsid w:val="00FA6F8C"/>
    <w:rsid w:val="00FA74EE"/>
    <w:rsid w:val="00FB0485"/>
    <w:rsid w:val="00FB2412"/>
    <w:rsid w:val="00FB2B1B"/>
    <w:rsid w:val="00FB5151"/>
    <w:rsid w:val="00FB54F1"/>
    <w:rsid w:val="00FB56AE"/>
    <w:rsid w:val="00FB680D"/>
    <w:rsid w:val="00FB741E"/>
    <w:rsid w:val="00FB7905"/>
    <w:rsid w:val="00FC2D08"/>
    <w:rsid w:val="00FC2F90"/>
    <w:rsid w:val="00FC34DB"/>
    <w:rsid w:val="00FC3711"/>
    <w:rsid w:val="00FC46E7"/>
    <w:rsid w:val="00FC5D25"/>
    <w:rsid w:val="00FC74D8"/>
    <w:rsid w:val="00FD0A93"/>
    <w:rsid w:val="00FD0D7E"/>
    <w:rsid w:val="00FD0FFC"/>
    <w:rsid w:val="00FD1694"/>
    <w:rsid w:val="00FD1718"/>
    <w:rsid w:val="00FD3A45"/>
    <w:rsid w:val="00FD472A"/>
    <w:rsid w:val="00FD4FFB"/>
    <w:rsid w:val="00FD63A1"/>
    <w:rsid w:val="00FD711D"/>
    <w:rsid w:val="00FE0C0B"/>
    <w:rsid w:val="00FE2270"/>
    <w:rsid w:val="00FE239A"/>
    <w:rsid w:val="00FE55B3"/>
    <w:rsid w:val="00FE6E13"/>
    <w:rsid w:val="00FE7C52"/>
    <w:rsid w:val="00FE7E49"/>
    <w:rsid w:val="00FF15F6"/>
    <w:rsid w:val="00FF2032"/>
    <w:rsid w:val="00FF24E5"/>
    <w:rsid w:val="00FF527C"/>
    <w:rsid w:val="00FF65CD"/>
    <w:rsid w:val="01135BFB"/>
    <w:rsid w:val="013F5A17"/>
    <w:rsid w:val="01827D38"/>
    <w:rsid w:val="019FF683"/>
    <w:rsid w:val="01C53FFF"/>
    <w:rsid w:val="01E1BF4F"/>
    <w:rsid w:val="027A279C"/>
    <w:rsid w:val="029D3B4B"/>
    <w:rsid w:val="02A6D7B2"/>
    <w:rsid w:val="02D24A12"/>
    <w:rsid w:val="0305EE52"/>
    <w:rsid w:val="03820092"/>
    <w:rsid w:val="039704AA"/>
    <w:rsid w:val="03A0D55A"/>
    <w:rsid w:val="03BA4D82"/>
    <w:rsid w:val="03C52C0C"/>
    <w:rsid w:val="04AFE2FB"/>
    <w:rsid w:val="04EB2D4A"/>
    <w:rsid w:val="060EC348"/>
    <w:rsid w:val="06131CF0"/>
    <w:rsid w:val="06631932"/>
    <w:rsid w:val="070C38E4"/>
    <w:rsid w:val="0718ECE0"/>
    <w:rsid w:val="0732F7EA"/>
    <w:rsid w:val="07BC3299"/>
    <w:rsid w:val="07EBDA64"/>
    <w:rsid w:val="08218313"/>
    <w:rsid w:val="082857E2"/>
    <w:rsid w:val="087BAA93"/>
    <w:rsid w:val="089D16C0"/>
    <w:rsid w:val="08A72EF4"/>
    <w:rsid w:val="0990EBB3"/>
    <w:rsid w:val="09C61CED"/>
    <w:rsid w:val="0A3790B7"/>
    <w:rsid w:val="0A5E5060"/>
    <w:rsid w:val="0A71BBF6"/>
    <w:rsid w:val="0A7593BB"/>
    <w:rsid w:val="0A7892A4"/>
    <w:rsid w:val="0ABEE071"/>
    <w:rsid w:val="0AC99222"/>
    <w:rsid w:val="0AD21AE0"/>
    <w:rsid w:val="0B0419B8"/>
    <w:rsid w:val="0B155267"/>
    <w:rsid w:val="0B35F8EA"/>
    <w:rsid w:val="0B5E8DED"/>
    <w:rsid w:val="0B84AA66"/>
    <w:rsid w:val="0B87FF52"/>
    <w:rsid w:val="0B911F9C"/>
    <w:rsid w:val="0BA920D7"/>
    <w:rsid w:val="0BD75410"/>
    <w:rsid w:val="0C36C9E3"/>
    <w:rsid w:val="0C4993E2"/>
    <w:rsid w:val="0C826D28"/>
    <w:rsid w:val="0CC382A8"/>
    <w:rsid w:val="0CD31EB3"/>
    <w:rsid w:val="0CF4E799"/>
    <w:rsid w:val="0D368186"/>
    <w:rsid w:val="0D47037D"/>
    <w:rsid w:val="0DAFFFC1"/>
    <w:rsid w:val="0DC1BA73"/>
    <w:rsid w:val="0DCF27F1"/>
    <w:rsid w:val="0DF6DABB"/>
    <w:rsid w:val="0E0027A2"/>
    <w:rsid w:val="0E197FF4"/>
    <w:rsid w:val="0E2AAA92"/>
    <w:rsid w:val="0E327384"/>
    <w:rsid w:val="0E39340A"/>
    <w:rsid w:val="0E498105"/>
    <w:rsid w:val="0E63EF84"/>
    <w:rsid w:val="0E909498"/>
    <w:rsid w:val="0EA79A00"/>
    <w:rsid w:val="0EDD2C6F"/>
    <w:rsid w:val="0EEA18EC"/>
    <w:rsid w:val="0F5C4B02"/>
    <w:rsid w:val="0F79A35F"/>
    <w:rsid w:val="0FA0E884"/>
    <w:rsid w:val="0FCDD929"/>
    <w:rsid w:val="0FF5B1A5"/>
    <w:rsid w:val="10069EA0"/>
    <w:rsid w:val="10385725"/>
    <w:rsid w:val="1038A5F3"/>
    <w:rsid w:val="10FA9BFD"/>
    <w:rsid w:val="10FFB1AF"/>
    <w:rsid w:val="110E9CC2"/>
    <w:rsid w:val="116CDBD8"/>
    <w:rsid w:val="1179EF5E"/>
    <w:rsid w:val="117D0790"/>
    <w:rsid w:val="11A1EF8E"/>
    <w:rsid w:val="11B9F92F"/>
    <w:rsid w:val="11C297A0"/>
    <w:rsid w:val="11C5F2B1"/>
    <w:rsid w:val="11CAF576"/>
    <w:rsid w:val="11EA6EFE"/>
    <w:rsid w:val="1284F553"/>
    <w:rsid w:val="12DDEFC5"/>
    <w:rsid w:val="12F6E4B8"/>
    <w:rsid w:val="132EE441"/>
    <w:rsid w:val="1354D60A"/>
    <w:rsid w:val="139AFA7B"/>
    <w:rsid w:val="13F5643C"/>
    <w:rsid w:val="14A82896"/>
    <w:rsid w:val="14F805F5"/>
    <w:rsid w:val="155001FD"/>
    <w:rsid w:val="15594C44"/>
    <w:rsid w:val="1582D8F0"/>
    <w:rsid w:val="15BE2907"/>
    <w:rsid w:val="165BD228"/>
    <w:rsid w:val="16678A05"/>
    <w:rsid w:val="16903093"/>
    <w:rsid w:val="16C96598"/>
    <w:rsid w:val="16F10D8E"/>
    <w:rsid w:val="1713E8F2"/>
    <w:rsid w:val="17224721"/>
    <w:rsid w:val="1797988D"/>
    <w:rsid w:val="17D1AFEC"/>
    <w:rsid w:val="180F3E05"/>
    <w:rsid w:val="180F7890"/>
    <w:rsid w:val="18E51B30"/>
    <w:rsid w:val="18E89A6F"/>
    <w:rsid w:val="192B2D1F"/>
    <w:rsid w:val="193A2EB3"/>
    <w:rsid w:val="194A2DE4"/>
    <w:rsid w:val="19D4A78C"/>
    <w:rsid w:val="19DFCAF6"/>
    <w:rsid w:val="19F701B7"/>
    <w:rsid w:val="1A231315"/>
    <w:rsid w:val="1A3130A5"/>
    <w:rsid w:val="1A67A9D6"/>
    <w:rsid w:val="1A693BDD"/>
    <w:rsid w:val="1A89611C"/>
    <w:rsid w:val="1AC4FE4C"/>
    <w:rsid w:val="1ACA3BF4"/>
    <w:rsid w:val="1B405937"/>
    <w:rsid w:val="1B41DA8B"/>
    <w:rsid w:val="1B5E9D42"/>
    <w:rsid w:val="1B8BC334"/>
    <w:rsid w:val="1B96D908"/>
    <w:rsid w:val="1BC0CAB6"/>
    <w:rsid w:val="1C08549E"/>
    <w:rsid w:val="1C19D8CA"/>
    <w:rsid w:val="1C35FF7E"/>
    <w:rsid w:val="1C9A8F27"/>
    <w:rsid w:val="1CAD5B43"/>
    <w:rsid w:val="1CEA79D7"/>
    <w:rsid w:val="1D0816B0"/>
    <w:rsid w:val="1D48C82C"/>
    <w:rsid w:val="1D59D3CF"/>
    <w:rsid w:val="1D8C6810"/>
    <w:rsid w:val="1DC02AD8"/>
    <w:rsid w:val="1DD9D212"/>
    <w:rsid w:val="1E088D33"/>
    <w:rsid w:val="1E2DDDDA"/>
    <w:rsid w:val="1E593D6F"/>
    <w:rsid w:val="1E64ADE5"/>
    <w:rsid w:val="1E76CD0E"/>
    <w:rsid w:val="1E8F1B5D"/>
    <w:rsid w:val="1EA65B1B"/>
    <w:rsid w:val="1F05F9B5"/>
    <w:rsid w:val="1F0F4217"/>
    <w:rsid w:val="1F4C683A"/>
    <w:rsid w:val="1F508035"/>
    <w:rsid w:val="1FA6CCD7"/>
    <w:rsid w:val="207BB8C5"/>
    <w:rsid w:val="20A43DF8"/>
    <w:rsid w:val="20B24A7C"/>
    <w:rsid w:val="20C0BAD4"/>
    <w:rsid w:val="20DF18B0"/>
    <w:rsid w:val="2147532C"/>
    <w:rsid w:val="215FDCC2"/>
    <w:rsid w:val="217B11F8"/>
    <w:rsid w:val="2190908F"/>
    <w:rsid w:val="2192D1A4"/>
    <w:rsid w:val="21974EA4"/>
    <w:rsid w:val="21A0D03F"/>
    <w:rsid w:val="21DC2288"/>
    <w:rsid w:val="225105B6"/>
    <w:rsid w:val="2283FDF8"/>
    <w:rsid w:val="22F0B9CD"/>
    <w:rsid w:val="22FCA22A"/>
    <w:rsid w:val="235BA895"/>
    <w:rsid w:val="235D7357"/>
    <w:rsid w:val="237AAE4C"/>
    <w:rsid w:val="23992165"/>
    <w:rsid w:val="23CC7B18"/>
    <w:rsid w:val="241D3AEC"/>
    <w:rsid w:val="24659499"/>
    <w:rsid w:val="247E09C9"/>
    <w:rsid w:val="24B2A183"/>
    <w:rsid w:val="24FB72FC"/>
    <w:rsid w:val="252AD9C8"/>
    <w:rsid w:val="25F38951"/>
    <w:rsid w:val="26434561"/>
    <w:rsid w:val="268EDCCB"/>
    <w:rsid w:val="26978946"/>
    <w:rsid w:val="26AD395D"/>
    <w:rsid w:val="26B6F375"/>
    <w:rsid w:val="26FC6AB9"/>
    <w:rsid w:val="26FEFB14"/>
    <w:rsid w:val="2767DCAA"/>
    <w:rsid w:val="27C4B23C"/>
    <w:rsid w:val="27E35E7B"/>
    <w:rsid w:val="27F6544A"/>
    <w:rsid w:val="28475E26"/>
    <w:rsid w:val="284AE710"/>
    <w:rsid w:val="289FE84B"/>
    <w:rsid w:val="292F9D4B"/>
    <w:rsid w:val="294D401B"/>
    <w:rsid w:val="29C42D2F"/>
    <w:rsid w:val="2AC792DE"/>
    <w:rsid w:val="2AF6BB07"/>
    <w:rsid w:val="2AF7DDDC"/>
    <w:rsid w:val="2B36A05C"/>
    <w:rsid w:val="2B7E55AB"/>
    <w:rsid w:val="2BB356E3"/>
    <w:rsid w:val="2BD005EB"/>
    <w:rsid w:val="2BD9D345"/>
    <w:rsid w:val="2C20EAA0"/>
    <w:rsid w:val="2C48BF69"/>
    <w:rsid w:val="2C72544F"/>
    <w:rsid w:val="2C900FC7"/>
    <w:rsid w:val="2CA6FE50"/>
    <w:rsid w:val="2CA9AB8B"/>
    <w:rsid w:val="2CE34FBE"/>
    <w:rsid w:val="2D46B572"/>
    <w:rsid w:val="2DC6E2F7"/>
    <w:rsid w:val="2DDDF8A9"/>
    <w:rsid w:val="2E213D30"/>
    <w:rsid w:val="2E5A9E37"/>
    <w:rsid w:val="2F384D40"/>
    <w:rsid w:val="2FA1AF50"/>
    <w:rsid w:val="2FF0C4BA"/>
    <w:rsid w:val="300744D0"/>
    <w:rsid w:val="3017E7F7"/>
    <w:rsid w:val="3041673D"/>
    <w:rsid w:val="304B7423"/>
    <w:rsid w:val="30A4F296"/>
    <w:rsid w:val="315F89D0"/>
    <w:rsid w:val="31985151"/>
    <w:rsid w:val="31BE25BC"/>
    <w:rsid w:val="32166FD9"/>
    <w:rsid w:val="32885753"/>
    <w:rsid w:val="32E180D1"/>
    <w:rsid w:val="331C015A"/>
    <w:rsid w:val="3393230F"/>
    <w:rsid w:val="33BECFED"/>
    <w:rsid w:val="34072AA1"/>
    <w:rsid w:val="342E3AE6"/>
    <w:rsid w:val="345D3D96"/>
    <w:rsid w:val="34B1B0BF"/>
    <w:rsid w:val="34F5A8BD"/>
    <w:rsid w:val="34F770A0"/>
    <w:rsid w:val="35217299"/>
    <w:rsid w:val="352B22D5"/>
    <w:rsid w:val="35942224"/>
    <w:rsid w:val="3637063C"/>
    <w:rsid w:val="369588ED"/>
    <w:rsid w:val="36D206A1"/>
    <w:rsid w:val="36E47BC3"/>
    <w:rsid w:val="36EA09FE"/>
    <w:rsid w:val="36F4726B"/>
    <w:rsid w:val="371B79AE"/>
    <w:rsid w:val="377F6B63"/>
    <w:rsid w:val="38076CE9"/>
    <w:rsid w:val="3860697E"/>
    <w:rsid w:val="3864B2AE"/>
    <w:rsid w:val="386C1AF5"/>
    <w:rsid w:val="38815647"/>
    <w:rsid w:val="3958977C"/>
    <w:rsid w:val="396A1514"/>
    <w:rsid w:val="399D3496"/>
    <w:rsid w:val="39B3F8D5"/>
    <w:rsid w:val="39CF7FE8"/>
    <w:rsid w:val="39F1D4F1"/>
    <w:rsid w:val="39FFA1C4"/>
    <w:rsid w:val="3A1BF82C"/>
    <w:rsid w:val="3A236E8D"/>
    <w:rsid w:val="3A596EF0"/>
    <w:rsid w:val="3A65575C"/>
    <w:rsid w:val="3AB314A0"/>
    <w:rsid w:val="3ACCB8A8"/>
    <w:rsid w:val="3ADF35D8"/>
    <w:rsid w:val="3B5DA9DE"/>
    <w:rsid w:val="3BA9F040"/>
    <w:rsid w:val="3BE9A5CA"/>
    <w:rsid w:val="3C7CEB46"/>
    <w:rsid w:val="3C80F8F5"/>
    <w:rsid w:val="3CCEC636"/>
    <w:rsid w:val="3CFAB96B"/>
    <w:rsid w:val="3D12B358"/>
    <w:rsid w:val="3D17AABF"/>
    <w:rsid w:val="3D3633CC"/>
    <w:rsid w:val="3D4E4BEF"/>
    <w:rsid w:val="3D622818"/>
    <w:rsid w:val="3DC476D2"/>
    <w:rsid w:val="3E1B23C8"/>
    <w:rsid w:val="3E1D3290"/>
    <w:rsid w:val="3E1FAB1C"/>
    <w:rsid w:val="3E3E25E5"/>
    <w:rsid w:val="3E4F7802"/>
    <w:rsid w:val="3E63E091"/>
    <w:rsid w:val="3EAD464B"/>
    <w:rsid w:val="3EDF4893"/>
    <w:rsid w:val="3EE7D538"/>
    <w:rsid w:val="3EF7C09F"/>
    <w:rsid w:val="3EFA25E5"/>
    <w:rsid w:val="3F0D1466"/>
    <w:rsid w:val="3F16169C"/>
    <w:rsid w:val="3F6F61E0"/>
    <w:rsid w:val="404F2F19"/>
    <w:rsid w:val="4072D82E"/>
    <w:rsid w:val="40C81E44"/>
    <w:rsid w:val="40E355E0"/>
    <w:rsid w:val="41295E4A"/>
    <w:rsid w:val="41439D51"/>
    <w:rsid w:val="415565CF"/>
    <w:rsid w:val="41662745"/>
    <w:rsid w:val="417A5C40"/>
    <w:rsid w:val="41B68696"/>
    <w:rsid w:val="420FF3C2"/>
    <w:rsid w:val="4219BF75"/>
    <w:rsid w:val="4250D2F6"/>
    <w:rsid w:val="42FEEC9F"/>
    <w:rsid w:val="43814292"/>
    <w:rsid w:val="43E86A5F"/>
    <w:rsid w:val="4419FDB4"/>
    <w:rsid w:val="4423A508"/>
    <w:rsid w:val="445C9457"/>
    <w:rsid w:val="44BE4D4B"/>
    <w:rsid w:val="44D4DE7A"/>
    <w:rsid w:val="45415248"/>
    <w:rsid w:val="4567530E"/>
    <w:rsid w:val="45BB0B6C"/>
    <w:rsid w:val="45CA031E"/>
    <w:rsid w:val="45CA1604"/>
    <w:rsid w:val="45CAA956"/>
    <w:rsid w:val="46176FBD"/>
    <w:rsid w:val="46251D01"/>
    <w:rsid w:val="464B13A3"/>
    <w:rsid w:val="467CBE13"/>
    <w:rsid w:val="46811F6D"/>
    <w:rsid w:val="4687F7BF"/>
    <w:rsid w:val="46AFF9A8"/>
    <w:rsid w:val="46CDA382"/>
    <w:rsid w:val="46D44DEC"/>
    <w:rsid w:val="4705A693"/>
    <w:rsid w:val="47127D2B"/>
    <w:rsid w:val="474FCF9A"/>
    <w:rsid w:val="4756513D"/>
    <w:rsid w:val="479C00B9"/>
    <w:rsid w:val="47B8B819"/>
    <w:rsid w:val="47DAB62A"/>
    <w:rsid w:val="48564C41"/>
    <w:rsid w:val="485D5947"/>
    <w:rsid w:val="488B288E"/>
    <w:rsid w:val="48D0FC71"/>
    <w:rsid w:val="49787002"/>
    <w:rsid w:val="49CD2535"/>
    <w:rsid w:val="4A372508"/>
    <w:rsid w:val="4A6D6015"/>
    <w:rsid w:val="4AE7E8BF"/>
    <w:rsid w:val="4B2ECDDE"/>
    <w:rsid w:val="4B8265E8"/>
    <w:rsid w:val="4BE4F2F4"/>
    <w:rsid w:val="4BECCC03"/>
    <w:rsid w:val="4C2F7ECC"/>
    <w:rsid w:val="4C4DBF71"/>
    <w:rsid w:val="4C751BD9"/>
    <w:rsid w:val="4D0B40E1"/>
    <w:rsid w:val="4D22B97E"/>
    <w:rsid w:val="4D73B2AF"/>
    <w:rsid w:val="4DA11A32"/>
    <w:rsid w:val="4DA27E23"/>
    <w:rsid w:val="4E43CE0B"/>
    <w:rsid w:val="4E4B586D"/>
    <w:rsid w:val="4E7DB77D"/>
    <w:rsid w:val="4EE02228"/>
    <w:rsid w:val="4F392162"/>
    <w:rsid w:val="4F4FD415"/>
    <w:rsid w:val="4F636335"/>
    <w:rsid w:val="4FB75CB0"/>
    <w:rsid w:val="4FCE2A83"/>
    <w:rsid w:val="4FDBD9C3"/>
    <w:rsid w:val="50708FE6"/>
    <w:rsid w:val="5071E6AA"/>
    <w:rsid w:val="50888306"/>
    <w:rsid w:val="508E9E19"/>
    <w:rsid w:val="50C5E6F5"/>
    <w:rsid w:val="5166F754"/>
    <w:rsid w:val="51DA8DD1"/>
    <w:rsid w:val="52103CC6"/>
    <w:rsid w:val="521EBC82"/>
    <w:rsid w:val="523CF4C3"/>
    <w:rsid w:val="524C5C30"/>
    <w:rsid w:val="525E3737"/>
    <w:rsid w:val="528B2F39"/>
    <w:rsid w:val="5293C974"/>
    <w:rsid w:val="52A82565"/>
    <w:rsid w:val="537EDCF3"/>
    <w:rsid w:val="5390BE92"/>
    <w:rsid w:val="5443F21B"/>
    <w:rsid w:val="5471B586"/>
    <w:rsid w:val="550DFC4A"/>
    <w:rsid w:val="5512A5F7"/>
    <w:rsid w:val="555ED794"/>
    <w:rsid w:val="556D7D3C"/>
    <w:rsid w:val="55C3F753"/>
    <w:rsid w:val="568F05AD"/>
    <w:rsid w:val="5693A78A"/>
    <w:rsid w:val="56FEE1B5"/>
    <w:rsid w:val="5709A2B2"/>
    <w:rsid w:val="57753133"/>
    <w:rsid w:val="57A98191"/>
    <w:rsid w:val="5803957B"/>
    <w:rsid w:val="593F622F"/>
    <w:rsid w:val="5985318A"/>
    <w:rsid w:val="59953C96"/>
    <w:rsid w:val="59DB0E09"/>
    <w:rsid w:val="5A37B845"/>
    <w:rsid w:val="5A97C9CF"/>
    <w:rsid w:val="5AD862E6"/>
    <w:rsid w:val="5B384E7C"/>
    <w:rsid w:val="5B7DCC16"/>
    <w:rsid w:val="5BB1DDEF"/>
    <w:rsid w:val="5BD13EFA"/>
    <w:rsid w:val="5BDB20C9"/>
    <w:rsid w:val="5BE42615"/>
    <w:rsid w:val="5C3F080C"/>
    <w:rsid w:val="5C4D0C8D"/>
    <w:rsid w:val="5C694863"/>
    <w:rsid w:val="5CCA03BB"/>
    <w:rsid w:val="5CCABEE4"/>
    <w:rsid w:val="5CF2D8AF"/>
    <w:rsid w:val="5DAC1B1C"/>
    <w:rsid w:val="5DC98259"/>
    <w:rsid w:val="5DF19A97"/>
    <w:rsid w:val="5E141714"/>
    <w:rsid w:val="5E9E229B"/>
    <w:rsid w:val="5F69CE0D"/>
    <w:rsid w:val="5F8C4760"/>
    <w:rsid w:val="5FEA1419"/>
    <w:rsid w:val="600AECF0"/>
    <w:rsid w:val="604398C1"/>
    <w:rsid w:val="606B67C6"/>
    <w:rsid w:val="60A5143B"/>
    <w:rsid w:val="60ABB7C1"/>
    <w:rsid w:val="611A4FD0"/>
    <w:rsid w:val="61F7B8BF"/>
    <w:rsid w:val="62192836"/>
    <w:rsid w:val="6252A022"/>
    <w:rsid w:val="62ACDAFF"/>
    <w:rsid w:val="62CBA64A"/>
    <w:rsid w:val="6310FF58"/>
    <w:rsid w:val="63DD7C98"/>
    <w:rsid w:val="63F5CEC7"/>
    <w:rsid w:val="64780CEA"/>
    <w:rsid w:val="64ADEA94"/>
    <w:rsid w:val="64D1583C"/>
    <w:rsid w:val="64E2DF9A"/>
    <w:rsid w:val="64EDDB78"/>
    <w:rsid w:val="653427B6"/>
    <w:rsid w:val="65AF75C4"/>
    <w:rsid w:val="65F63BEF"/>
    <w:rsid w:val="661E2776"/>
    <w:rsid w:val="665F46CE"/>
    <w:rsid w:val="66E2C933"/>
    <w:rsid w:val="676007B9"/>
    <w:rsid w:val="67EA54A5"/>
    <w:rsid w:val="680539C7"/>
    <w:rsid w:val="68835ECA"/>
    <w:rsid w:val="68DFBF25"/>
    <w:rsid w:val="6931EEDF"/>
    <w:rsid w:val="69F2E099"/>
    <w:rsid w:val="6A94D14A"/>
    <w:rsid w:val="6A991F32"/>
    <w:rsid w:val="6AD16E55"/>
    <w:rsid w:val="6AF7FC53"/>
    <w:rsid w:val="6AFEE1DA"/>
    <w:rsid w:val="6B16C32B"/>
    <w:rsid w:val="6B646B33"/>
    <w:rsid w:val="6B6AE862"/>
    <w:rsid w:val="6B7C49AA"/>
    <w:rsid w:val="6BC3BE65"/>
    <w:rsid w:val="6BD9269B"/>
    <w:rsid w:val="6C3579C5"/>
    <w:rsid w:val="6C490C27"/>
    <w:rsid w:val="6C748A5E"/>
    <w:rsid w:val="6C978259"/>
    <w:rsid w:val="6CA9D586"/>
    <w:rsid w:val="6CC841D3"/>
    <w:rsid w:val="6D74EFCF"/>
    <w:rsid w:val="6D86A939"/>
    <w:rsid w:val="6DF4BF5E"/>
    <w:rsid w:val="6E0F7043"/>
    <w:rsid w:val="6E313499"/>
    <w:rsid w:val="6E47E953"/>
    <w:rsid w:val="6E8A898F"/>
    <w:rsid w:val="6EB02001"/>
    <w:rsid w:val="6F5C9F9F"/>
    <w:rsid w:val="6F631DC8"/>
    <w:rsid w:val="6FAEA7A2"/>
    <w:rsid w:val="6FB71B1A"/>
    <w:rsid w:val="6FC9AD55"/>
    <w:rsid w:val="7004C5CC"/>
    <w:rsid w:val="709BE876"/>
    <w:rsid w:val="70D4E962"/>
    <w:rsid w:val="715C91E8"/>
    <w:rsid w:val="71C812E5"/>
    <w:rsid w:val="71FE34E5"/>
    <w:rsid w:val="722ECAED"/>
    <w:rsid w:val="7231B642"/>
    <w:rsid w:val="7252A5EE"/>
    <w:rsid w:val="7254476A"/>
    <w:rsid w:val="729601D5"/>
    <w:rsid w:val="732E87D3"/>
    <w:rsid w:val="7341EEE8"/>
    <w:rsid w:val="73563FD0"/>
    <w:rsid w:val="73719988"/>
    <w:rsid w:val="73A1FC0B"/>
    <w:rsid w:val="73E8A5DE"/>
    <w:rsid w:val="746AC554"/>
    <w:rsid w:val="7480C6B5"/>
    <w:rsid w:val="7498B8A1"/>
    <w:rsid w:val="755C4634"/>
    <w:rsid w:val="756D9409"/>
    <w:rsid w:val="757EC1AD"/>
    <w:rsid w:val="7599977C"/>
    <w:rsid w:val="75A90798"/>
    <w:rsid w:val="75B77A15"/>
    <w:rsid w:val="75CED60E"/>
    <w:rsid w:val="76684333"/>
    <w:rsid w:val="767080A9"/>
    <w:rsid w:val="767DD623"/>
    <w:rsid w:val="76AF9FB0"/>
    <w:rsid w:val="76B265DC"/>
    <w:rsid w:val="76B410E1"/>
    <w:rsid w:val="771FC7A5"/>
    <w:rsid w:val="77BD1B38"/>
    <w:rsid w:val="77C23E99"/>
    <w:rsid w:val="77DFD281"/>
    <w:rsid w:val="7858294D"/>
    <w:rsid w:val="78A11DFD"/>
    <w:rsid w:val="78C5FBDF"/>
    <w:rsid w:val="792EF72C"/>
    <w:rsid w:val="7930D5F1"/>
    <w:rsid w:val="79419F94"/>
    <w:rsid w:val="794BD6BC"/>
    <w:rsid w:val="7955012C"/>
    <w:rsid w:val="796D8515"/>
    <w:rsid w:val="796F1F8F"/>
    <w:rsid w:val="79A1B81B"/>
    <w:rsid w:val="79B458A1"/>
    <w:rsid w:val="79BBA5D8"/>
    <w:rsid w:val="79E40447"/>
    <w:rsid w:val="7A15C1B2"/>
    <w:rsid w:val="7A2ED40D"/>
    <w:rsid w:val="7A58C2CE"/>
    <w:rsid w:val="7A614D07"/>
    <w:rsid w:val="7B5BF3BB"/>
    <w:rsid w:val="7B74B04F"/>
    <w:rsid w:val="7B86508F"/>
    <w:rsid w:val="7BDB86E0"/>
    <w:rsid w:val="7C5E2350"/>
    <w:rsid w:val="7D055C84"/>
    <w:rsid w:val="7D26FA30"/>
    <w:rsid w:val="7D3B21CE"/>
    <w:rsid w:val="7D3C8752"/>
    <w:rsid w:val="7D570629"/>
    <w:rsid w:val="7DD7BC44"/>
    <w:rsid w:val="7DE25044"/>
    <w:rsid w:val="7DF28047"/>
    <w:rsid w:val="7E7733DE"/>
    <w:rsid w:val="7EB64996"/>
    <w:rsid w:val="7F312FCD"/>
    <w:rsid w:val="7F315565"/>
    <w:rsid w:val="7F4AA447"/>
    <w:rsid w:val="7F744D75"/>
    <w:rsid w:val="7F97ABF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ECD73635-F9DF-4C19-A10E-0F6221D1B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9" w:qFormat="1"/>
    <w:lsdException w:name="heading 5" w:uiPriority="9"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172194"/>
    <w:pPr>
      <w:keepNext/>
      <w:spacing w:after="360"/>
      <w:outlineLvl w:val="0"/>
    </w:pPr>
    <w:rPr>
      <w:b/>
      <w:color w:val="23305D"/>
      <w:spacing w:val="-10"/>
      <w:sz w:val="60"/>
      <w:szCs w:val="60"/>
      <w:lang w:val="en-GB"/>
    </w:rPr>
  </w:style>
  <w:style w:type="paragraph" w:styleId="Heading2">
    <w:name w:val="heading 2"/>
    <w:basedOn w:val="Normal"/>
    <w:next w:val="Normal"/>
    <w:link w:val="Heading2Char"/>
    <w:uiPriority w:val="1"/>
    <w:qFormat/>
    <w:rsid w:val="002B32BD"/>
    <w:pPr>
      <w:keepNext/>
      <w:spacing w:before="480" w:after="180"/>
      <w:outlineLvl w:val="1"/>
    </w:pPr>
    <w:rPr>
      <w:b/>
      <w:color w:val="0A6AB4"/>
      <w:spacing w:val="-5"/>
      <w:sz w:val="40"/>
      <w:szCs w:val="16"/>
      <w:lang w:val="en-GB"/>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1"/>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styleId="FootnoteReference">
    <w:name w:val="footnote reference"/>
    <w:uiPriority w:val="1"/>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tabs>
        <w:tab w:val="clear" w:pos="567"/>
        <w:tab w:val="num" w:pos="360"/>
      </w:tabs>
      <w:spacing w:before="60"/>
      <w:ind w:left="284" w:hanging="284"/>
    </w:pPr>
  </w:style>
  <w:style w:type="paragraph" w:customStyle="1" w:styleId="TableText">
    <w:name w:val="TableText"/>
    <w:basedOn w:val="Normal"/>
    <w:link w:val="TableTextChar"/>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1"/>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9"/>
    <w:rsid w:val="00172194"/>
    <w:rPr>
      <w:rFonts w:ascii="Segoe UI" w:hAnsi="Segoe UI"/>
      <w:b/>
      <w:color w:val="23305D"/>
      <w:spacing w:val="-10"/>
      <w:sz w:val="60"/>
      <w:szCs w:val="60"/>
      <w:lang w:val="en-GB"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2B32BD"/>
    <w:rPr>
      <w:rFonts w:ascii="Segoe UI" w:hAnsi="Segoe UI"/>
      <w:b/>
      <w:color w:val="0A6AB4"/>
      <w:spacing w:val="-5"/>
      <w:sz w:val="40"/>
      <w:szCs w:val="16"/>
      <w:lang w:val="en-GB"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1"/>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1"/>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qFormat/>
    <w:rsid w:val="00F140B2"/>
    <w:pPr>
      <w:numPr>
        <w:numId w:val="6"/>
      </w:numPr>
      <w:spacing w:before="180"/>
    </w:pPr>
    <w:rPr>
      <w:szCs w:val="24"/>
    </w:rPr>
  </w:style>
  <w:style w:type="paragraph" w:customStyle="1" w:styleId="Letter">
    <w:name w:val="Letter"/>
    <w:basedOn w:val="Normal"/>
    <w:qFormat/>
    <w:rsid w:val="00F140B2"/>
    <w:pPr>
      <w:numPr>
        <w:ilvl w:val="1"/>
        <w:numId w:val="6"/>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6"/>
      </w:numPr>
      <w:spacing w:before="90"/>
    </w:pPr>
    <w:rPr>
      <w:rFonts w:eastAsia="Arial Unicode MS"/>
    </w:rPr>
  </w:style>
  <w:style w:type="character" w:customStyle="1" w:styleId="BulletChar">
    <w:name w:val="Bullet Char"/>
    <w:link w:val="Bullet"/>
    <w:locked/>
    <w:rsid w:val="002B32BD"/>
    <w:rPr>
      <w:rFonts w:ascii="Segoe UI" w:hAnsi="Segoe UI"/>
      <w:sz w:val="21"/>
      <w:lang w:eastAsia="en-GB"/>
    </w:rPr>
  </w:style>
  <w:style w:type="paragraph" w:customStyle="1" w:styleId="CabStandard">
    <w:name w:val="CabStandard"/>
    <w:basedOn w:val="Normal"/>
    <w:link w:val="CabStandardChar"/>
    <w:rsid w:val="002B32BD"/>
    <w:pPr>
      <w:keepLines/>
      <w:numPr>
        <w:numId w:val="7"/>
      </w:numPr>
      <w:spacing w:after="240"/>
    </w:pPr>
    <w:rPr>
      <w:rFonts w:ascii="Times New Roman" w:hAnsi="Times New Roman"/>
      <w:sz w:val="24"/>
      <w:lang w:val="en-GB" w:eastAsia="ja-JP"/>
    </w:rPr>
  </w:style>
  <w:style w:type="paragraph" w:customStyle="1" w:styleId="Second-levelbullets">
    <w:name w:val="Second-level bullets"/>
    <w:basedOn w:val="Bullet"/>
    <w:uiPriority w:val="3"/>
    <w:qFormat/>
    <w:rsid w:val="002B32BD"/>
    <w:pPr>
      <w:keepLines/>
      <w:numPr>
        <w:numId w:val="0"/>
      </w:numPr>
      <w:spacing w:before="0" w:after="160"/>
      <w:ind w:left="851" w:hanging="360"/>
    </w:pPr>
    <w:rPr>
      <w:rFonts w:asciiTheme="minorHAnsi" w:eastAsia="Segoe UI" w:hAnsiTheme="minorHAnsi" w:cstheme="minorHAnsi"/>
      <w:sz w:val="22"/>
      <w:szCs w:val="22"/>
      <w:lang w:val="en-GB" w:eastAsia="ja-JP"/>
    </w:rPr>
  </w:style>
  <w:style w:type="character" w:customStyle="1" w:styleId="CabStandardChar">
    <w:name w:val="CabStandard Char"/>
    <w:basedOn w:val="DefaultParagraphFont"/>
    <w:link w:val="CabStandard"/>
    <w:rsid w:val="002B32BD"/>
    <w:rPr>
      <w:sz w:val="24"/>
      <w:lang w:val="en-GB" w:eastAsia="ja-JP"/>
    </w:rPr>
  </w:style>
  <w:style w:type="character" w:styleId="UnresolvedMention">
    <w:name w:val="Unresolved Mention"/>
    <w:basedOn w:val="DefaultParagraphFont"/>
    <w:uiPriority w:val="99"/>
    <w:semiHidden/>
    <w:unhideWhenUsed/>
    <w:rsid w:val="002B68B9"/>
    <w:rPr>
      <w:color w:val="605E5C"/>
      <w:shd w:val="clear" w:color="auto" w:fill="E1DFDD"/>
    </w:rPr>
  </w:style>
  <w:style w:type="character" w:customStyle="1" w:styleId="FigureChar">
    <w:name w:val="Figure Char"/>
    <w:link w:val="Figure"/>
    <w:locked/>
    <w:rsid w:val="002B68B9"/>
    <w:rPr>
      <w:rFonts w:ascii="Segoe UI" w:hAnsi="Segoe UI"/>
      <w:b/>
      <w:lang w:eastAsia="en-GB"/>
    </w:rPr>
  </w:style>
  <w:style w:type="paragraph" w:customStyle="1" w:styleId="pf0">
    <w:name w:val="pf0"/>
    <w:basedOn w:val="Normal"/>
    <w:rsid w:val="002B68B9"/>
    <w:pPr>
      <w:keepLines/>
      <w:spacing w:before="100" w:beforeAutospacing="1" w:after="100" w:afterAutospacing="1"/>
    </w:pPr>
    <w:rPr>
      <w:rFonts w:ascii="Times New Roman" w:hAnsi="Times New Roman"/>
      <w:sz w:val="24"/>
      <w:szCs w:val="24"/>
      <w:lang w:eastAsia="en-NZ"/>
    </w:rPr>
  </w:style>
  <w:style w:type="paragraph" w:styleId="Caption">
    <w:name w:val="caption"/>
    <w:basedOn w:val="Normal"/>
    <w:next w:val="Normal"/>
    <w:unhideWhenUsed/>
    <w:qFormat/>
    <w:rsid w:val="002B68B9"/>
    <w:pPr>
      <w:spacing w:after="200"/>
    </w:pPr>
    <w:rPr>
      <w:i/>
      <w:iCs/>
      <w:color w:val="1F497D" w:themeColor="text2"/>
      <w:sz w:val="18"/>
      <w:szCs w:val="18"/>
    </w:rPr>
  </w:style>
  <w:style w:type="paragraph" w:customStyle="1" w:styleId="Tablebullets">
    <w:name w:val="Table bullets"/>
    <w:basedOn w:val="ListParagraph"/>
    <w:link w:val="TablebulletsChar"/>
    <w:qFormat/>
    <w:rsid w:val="00457CAC"/>
    <w:pPr>
      <w:keepLines/>
      <w:numPr>
        <w:numId w:val="9"/>
      </w:numPr>
      <w:spacing w:before="60" w:after="60"/>
      <w:ind w:left="284" w:hanging="284"/>
      <w:contextualSpacing w:val="0"/>
    </w:pPr>
    <w:rPr>
      <w:rFonts w:asciiTheme="minorHAnsi" w:eastAsia="Calibri" w:hAnsiTheme="minorHAnsi" w:cstheme="minorHAnsi"/>
      <w:sz w:val="20"/>
      <w:lang w:eastAsia="en-US"/>
    </w:rPr>
  </w:style>
  <w:style w:type="character" w:customStyle="1" w:styleId="TablebulletsChar">
    <w:name w:val="Table bullets Char"/>
    <w:basedOn w:val="DefaultParagraphFont"/>
    <w:link w:val="Tablebullets"/>
    <w:rsid w:val="00457CAC"/>
    <w:rPr>
      <w:rFonts w:asciiTheme="minorHAnsi" w:eastAsia="Calibri" w:hAnsiTheme="minorHAnsi" w:cstheme="minorHAnsi"/>
      <w:lang w:eastAsia="en-US"/>
    </w:rPr>
  </w:style>
  <w:style w:type="paragraph" w:styleId="ListParagraph">
    <w:name w:val="List Paragraph"/>
    <w:aliases w:val="Level 3,List Paragraph1,List Paragraph numbered,List Bullet indent,Normal text,Bullet Normal,numbered,FooterText,Paragraphe de liste1,Bulletr List Paragraph,列出段落,列出段落1,Bullet List,Board paper bullet list,#List Paragraph,target,Rec para,L"/>
    <w:basedOn w:val="Normal"/>
    <w:link w:val="ListParagraphChar"/>
    <w:uiPriority w:val="34"/>
    <w:qFormat/>
    <w:rsid w:val="00457CAC"/>
    <w:pPr>
      <w:ind w:left="720"/>
      <w:contextualSpacing/>
    </w:pPr>
  </w:style>
  <w:style w:type="character" w:customStyle="1" w:styleId="ListParagraphChar">
    <w:name w:val="List Paragraph Char"/>
    <w:aliases w:val="Level 3 Char,List Paragraph1 Char,List Paragraph numbered Char,List Bullet indent Char,Normal text Char,Bullet Normal Char,numbered Char,FooterText Char,Paragraphe de liste1 Char,Bulletr List Paragraph Char,列出段落 Char,列出段落1 Char"/>
    <w:basedOn w:val="DefaultParagraphFont"/>
    <w:link w:val="ListParagraph"/>
    <w:uiPriority w:val="34"/>
    <w:qFormat/>
    <w:rsid w:val="002422D8"/>
    <w:rPr>
      <w:rFonts w:ascii="Segoe UI" w:hAnsi="Segoe UI"/>
      <w:sz w:val="21"/>
      <w:lang w:eastAsia="en-GB"/>
    </w:rPr>
  </w:style>
  <w:style w:type="character" w:customStyle="1" w:styleId="TableTextChar">
    <w:name w:val="TableText Char"/>
    <w:link w:val="TableText"/>
    <w:uiPriority w:val="99"/>
    <w:rsid w:val="008B792A"/>
    <w:rPr>
      <w:rFonts w:ascii="Segoe UI" w:hAnsi="Segoe UI"/>
      <w:sz w:val="18"/>
      <w:lang w:eastAsia="en-GB"/>
    </w:rPr>
  </w:style>
  <w:style w:type="paragraph" w:styleId="CommentText">
    <w:name w:val="annotation text"/>
    <w:basedOn w:val="Normal"/>
    <w:link w:val="CommentTextChar"/>
    <w:uiPriority w:val="99"/>
    <w:unhideWhenUsed/>
    <w:rsid w:val="006B4A33"/>
    <w:rPr>
      <w:sz w:val="20"/>
    </w:rPr>
  </w:style>
  <w:style w:type="character" w:customStyle="1" w:styleId="CommentTextChar">
    <w:name w:val="Comment Text Char"/>
    <w:basedOn w:val="DefaultParagraphFont"/>
    <w:link w:val="CommentText"/>
    <w:uiPriority w:val="99"/>
    <w:rsid w:val="006B4A33"/>
    <w:rPr>
      <w:rFonts w:ascii="Segoe UI" w:hAnsi="Segoe UI"/>
      <w:lang w:eastAsia="en-GB"/>
    </w:rPr>
  </w:style>
  <w:style w:type="character" w:styleId="CommentReference">
    <w:name w:val="annotation reference"/>
    <w:basedOn w:val="DefaultParagraphFont"/>
    <w:uiPriority w:val="99"/>
    <w:semiHidden/>
    <w:unhideWhenUsed/>
    <w:rsid w:val="006B4A33"/>
    <w:rPr>
      <w:sz w:val="16"/>
      <w:szCs w:val="16"/>
    </w:rPr>
  </w:style>
  <w:style w:type="paragraph" w:styleId="NoSpacing">
    <w:name w:val="No Spacing"/>
    <w:uiPriority w:val="1"/>
    <w:qFormat/>
    <w:rsid w:val="00FA3285"/>
    <w:rPr>
      <w:rFonts w:asciiTheme="minorHAnsi" w:eastAsiaTheme="minorHAnsi" w:hAnsiTheme="minorHAnsi" w:cstheme="minorBidi"/>
      <w:sz w:val="22"/>
      <w:szCs w:val="22"/>
      <w:lang w:eastAsia="en-US"/>
    </w:rPr>
  </w:style>
  <w:style w:type="paragraph" w:styleId="CommentSubject">
    <w:name w:val="annotation subject"/>
    <w:basedOn w:val="CommentText"/>
    <w:next w:val="CommentText"/>
    <w:link w:val="CommentSubjectChar"/>
    <w:uiPriority w:val="99"/>
    <w:semiHidden/>
    <w:unhideWhenUsed/>
    <w:rsid w:val="00FA3285"/>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A3285"/>
    <w:rPr>
      <w:rFonts w:asciiTheme="minorHAnsi" w:eastAsiaTheme="minorHAnsi" w:hAnsiTheme="minorHAnsi" w:cstheme="minorBidi"/>
      <w:b/>
      <w:bCs/>
      <w:lang w:eastAsia="en-US"/>
    </w:rPr>
  </w:style>
  <w:style w:type="paragraph" w:customStyle="1" w:styleId="text">
    <w:name w:val="text"/>
    <w:basedOn w:val="Normal"/>
    <w:rsid w:val="00FA3285"/>
    <w:pPr>
      <w:spacing w:before="100" w:beforeAutospacing="1" w:after="100" w:afterAutospacing="1"/>
    </w:pPr>
    <w:rPr>
      <w:rFonts w:ascii="Times New Roman" w:hAnsi="Times New Roman"/>
      <w:sz w:val="24"/>
      <w:szCs w:val="24"/>
      <w:lang w:eastAsia="en-NZ"/>
    </w:rPr>
  </w:style>
  <w:style w:type="character" w:customStyle="1" w:styleId="label">
    <w:name w:val="label"/>
    <w:basedOn w:val="DefaultParagraphFont"/>
    <w:rsid w:val="00FA3285"/>
  </w:style>
  <w:style w:type="character" w:customStyle="1" w:styleId="insertwords">
    <w:name w:val="insertwords"/>
    <w:basedOn w:val="DefaultParagraphFont"/>
    <w:rsid w:val="00FA3285"/>
  </w:style>
  <w:style w:type="paragraph" w:styleId="TOCHeading">
    <w:name w:val="TOC Heading"/>
    <w:basedOn w:val="Heading1"/>
    <w:next w:val="Normal"/>
    <w:uiPriority w:val="39"/>
    <w:unhideWhenUsed/>
    <w:qFormat/>
    <w:rsid w:val="00FA3285"/>
    <w:pPr>
      <w:spacing w:before="480" w:after="240"/>
      <w:outlineLvl w:val="9"/>
    </w:pPr>
    <w:rPr>
      <w:rFonts w:eastAsia="Lucida Sans Unicode" w:cs="Segoe UI"/>
      <w:color w:val="0A6AB4"/>
      <w:spacing w:val="-5"/>
      <w:sz w:val="48"/>
      <w:szCs w:val="48"/>
      <w:lang w:val="en-US"/>
    </w:rPr>
  </w:style>
  <w:style w:type="paragraph" w:styleId="TOC4">
    <w:name w:val="toc 4"/>
    <w:basedOn w:val="Normal"/>
    <w:next w:val="Normal"/>
    <w:autoRedefine/>
    <w:uiPriority w:val="39"/>
    <w:unhideWhenUsed/>
    <w:rsid w:val="00FA3285"/>
    <w:pPr>
      <w:tabs>
        <w:tab w:val="right" w:leader="dot" w:pos="9016"/>
      </w:tabs>
      <w:spacing w:after="100" w:line="259" w:lineRule="auto"/>
      <w:ind w:left="660"/>
    </w:pPr>
    <w:rPr>
      <w:rFonts w:asciiTheme="minorHAnsi" w:eastAsiaTheme="minorHAnsi" w:hAnsiTheme="minorHAnsi" w:cstheme="minorBidi"/>
      <w:sz w:val="22"/>
      <w:szCs w:val="22"/>
      <w:lang w:eastAsia="en-US"/>
    </w:rPr>
  </w:style>
  <w:style w:type="paragraph" w:customStyle="1" w:styleId="ReportBody-MOH">
    <w:name w:val="Report Body - MOH"/>
    <w:basedOn w:val="Normal"/>
    <w:link w:val="ReportBody-MOHChar"/>
    <w:qFormat/>
    <w:rsid w:val="00FA3285"/>
    <w:pPr>
      <w:numPr>
        <w:numId w:val="10"/>
      </w:numPr>
      <w:spacing w:before="120" w:after="120"/>
      <w:ind w:right="284"/>
    </w:pPr>
    <w:rPr>
      <w:rFonts w:cs="Arial"/>
      <w:kern w:val="22"/>
      <w:sz w:val="22"/>
      <w:szCs w:val="22"/>
      <w:lang w:eastAsia="en-NZ"/>
    </w:rPr>
  </w:style>
  <w:style w:type="paragraph" w:customStyle="1" w:styleId="ReportBody2-MOH">
    <w:name w:val="Report Body 2 - MOH"/>
    <w:basedOn w:val="ReportBody-MOH"/>
    <w:qFormat/>
    <w:rsid w:val="00FA3285"/>
    <w:pPr>
      <w:numPr>
        <w:ilvl w:val="1"/>
      </w:numPr>
      <w:tabs>
        <w:tab w:val="num" w:pos="360"/>
        <w:tab w:val="num" w:pos="1440"/>
      </w:tabs>
      <w:ind w:left="1440" w:hanging="360"/>
    </w:pPr>
  </w:style>
  <w:style w:type="character" w:customStyle="1" w:styleId="ReportBody-MOHChar">
    <w:name w:val="Report Body - MOH Char"/>
    <w:basedOn w:val="DefaultParagraphFont"/>
    <w:link w:val="ReportBody-MOH"/>
    <w:rsid w:val="00FA3285"/>
    <w:rPr>
      <w:rFonts w:ascii="Segoe UI" w:hAnsi="Segoe UI" w:cs="Arial"/>
      <w:kern w:val="22"/>
      <w:sz w:val="22"/>
      <w:szCs w:val="22"/>
    </w:rPr>
  </w:style>
  <w:style w:type="paragraph" w:customStyle="1" w:styleId="Default">
    <w:name w:val="Default"/>
    <w:rsid w:val="00FA3285"/>
    <w:pPr>
      <w:autoSpaceDE w:val="0"/>
      <w:autoSpaceDN w:val="0"/>
      <w:adjustRightInd w:val="0"/>
    </w:pPr>
    <w:rPr>
      <w:rFonts w:ascii="Calibri" w:eastAsiaTheme="minorHAnsi" w:hAnsi="Calibri" w:cs="Calibri"/>
      <w:color w:val="000000"/>
      <w:sz w:val="24"/>
      <w:szCs w:val="24"/>
      <w:lang w:eastAsia="en-US"/>
    </w:rPr>
  </w:style>
  <w:style w:type="paragraph" w:styleId="NormalWeb">
    <w:name w:val="Normal (Web)"/>
    <w:basedOn w:val="Normal"/>
    <w:uiPriority w:val="99"/>
    <w:semiHidden/>
    <w:unhideWhenUsed/>
    <w:rsid w:val="00FA3285"/>
    <w:pPr>
      <w:spacing w:before="100" w:beforeAutospacing="1" w:after="100" w:afterAutospacing="1"/>
    </w:pPr>
    <w:rPr>
      <w:rFonts w:ascii="Times New Roman" w:hAnsi="Times New Roman"/>
      <w:sz w:val="24"/>
      <w:szCs w:val="24"/>
      <w:lang w:eastAsia="en-NZ"/>
    </w:rPr>
  </w:style>
  <w:style w:type="paragraph" w:customStyle="1" w:styleId="Numberedpara">
    <w:name w:val="Numbered para"/>
    <w:basedOn w:val="CabStandard"/>
    <w:link w:val="NumberedparaChar"/>
    <w:uiPriority w:val="1"/>
    <w:qFormat/>
    <w:rsid w:val="00FA3285"/>
    <w:pPr>
      <w:numPr>
        <w:numId w:val="5"/>
      </w:numPr>
    </w:pPr>
    <w:rPr>
      <w:rFonts w:ascii="Arial" w:hAnsi="Arial" w:cs="Arial"/>
    </w:rPr>
  </w:style>
  <w:style w:type="character" w:customStyle="1" w:styleId="NumberedparaChar">
    <w:name w:val="Numbered para Char"/>
    <w:basedOn w:val="DefaultParagraphFont"/>
    <w:link w:val="Numberedpara"/>
    <w:uiPriority w:val="1"/>
    <w:rsid w:val="00FA3285"/>
    <w:rPr>
      <w:rFonts w:ascii="Arial" w:hAnsi="Arial" w:cs="Arial"/>
      <w:sz w:val="24"/>
      <w:lang w:val="en-GB" w:eastAsia="ja-JP"/>
    </w:rPr>
  </w:style>
  <w:style w:type="character" w:customStyle="1" w:styleId="ui-provider">
    <w:name w:val="ui-provider"/>
    <w:basedOn w:val="DefaultParagraphFont"/>
    <w:rsid w:val="00FA3285"/>
  </w:style>
  <w:style w:type="character" w:styleId="Strong">
    <w:name w:val="Strong"/>
    <w:basedOn w:val="DefaultParagraphFont"/>
    <w:uiPriority w:val="22"/>
    <w:qFormat/>
    <w:rsid w:val="00FA3285"/>
    <w:rPr>
      <w:b/>
      <w:bCs/>
    </w:rPr>
  </w:style>
  <w:style w:type="paragraph" w:customStyle="1" w:styleId="Bulleted">
    <w:name w:val="Bulleted"/>
    <w:basedOn w:val="Normal"/>
    <w:link w:val="BulletedChar"/>
    <w:uiPriority w:val="5"/>
    <w:qFormat/>
    <w:rsid w:val="00FA3285"/>
    <w:pPr>
      <w:spacing w:after="60" w:line="276" w:lineRule="auto"/>
      <w:ind w:left="714" w:hanging="357"/>
    </w:pPr>
    <w:rPr>
      <w:rFonts w:ascii="Calibri" w:hAnsi="Calibri"/>
      <w:color w:val="000000"/>
      <w:sz w:val="22"/>
      <w:szCs w:val="22"/>
      <w:lang w:eastAsia="en-NZ"/>
    </w:rPr>
  </w:style>
  <w:style w:type="character" w:customStyle="1" w:styleId="BulletedChar">
    <w:name w:val="Bulleted Char"/>
    <w:link w:val="Bulleted"/>
    <w:uiPriority w:val="5"/>
    <w:rsid w:val="00FA3285"/>
    <w:rPr>
      <w:rFonts w:ascii="Calibri" w:hAnsi="Calibri"/>
      <w:color w:val="000000"/>
      <w:sz w:val="22"/>
      <w:szCs w:val="22"/>
    </w:rPr>
  </w:style>
  <w:style w:type="character" w:customStyle="1" w:styleId="emailstyle15">
    <w:name w:val="emailstyle15"/>
    <w:basedOn w:val="DefaultParagraphFont"/>
    <w:semiHidden/>
    <w:rsid w:val="00FA3285"/>
    <w:rPr>
      <w:rFonts w:ascii="Calibri" w:hAnsi="Calibri" w:cs="Calibri" w:hint="default"/>
      <w:color w:val="auto"/>
    </w:rPr>
  </w:style>
  <w:style w:type="character" w:styleId="Mention">
    <w:name w:val="Mention"/>
    <w:basedOn w:val="DefaultParagraphFont"/>
    <w:uiPriority w:val="99"/>
    <w:unhideWhenUsed/>
    <w:rsid w:val="00FA3285"/>
    <w:rPr>
      <w:color w:val="2B579A"/>
      <w:shd w:val="clear" w:color="auto" w:fill="E1DFDD"/>
    </w:rPr>
  </w:style>
  <w:style w:type="character" w:customStyle="1" w:styleId="cf01">
    <w:name w:val="cf01"/>
    <w:basedOn w:val="DefaultParagraphFont"/>
    <w:rsid w:val="00FA3285"/>
    <w:rPr>
      <w:rFonts w:ascii="Segoe UI" w:hAnsi="Segoe UI" w:cs="Segoe UI" w:hint="default"/>
      <w:sz w:val="18"/>
      <w:szCs w:val="18"/>
    </w:rPr>
  </w:style>
  <w:style w:type="character" w:customStyle="1" w:styleId="cf11">
    <w:name w:val="cf11"/>
    <w:basedOn w:val="DefaultParagraphFont"/>
    <w:rsid w:val="00FA3285"/>
    <w:rPr>
      <w:rFonts w:ascii="Segoe UI" w:hAnsi="Segoe UI" w:cs="Segoe UI" w:hint="default"/>
      <w:sz w:val="18"/>
      <w:szCs w:val="18"/>
    </w:rPr>
  </w:style>
  <w:style w:type="paragraph" w:customStyle="1" w:styleId="msonormal0">
    <w:name w:val="msonormal"/>
    <w:basedOn w:val="Normal"/>
    <w:rsid w:val="00FA3285"/>
    <w:pPr>
      <w:spacing w:before="100" w:beforeAutospacing="1" w:after="100" w:afterAutospacing="1"/>
    </w:pPr>
    <w:rPr>
      <w:rFonts w:ascii="Times New Roman" w:hAnsi="Times New Roman"/>
      <w:sz w:val="24"/>
      <w:szCs w:val="24"/>
      <w:lang w:eastAsia="en-NZ"/>
    </w:rPr>
  </w:style>
  <w:style w:type="paragraph" w:customStyle="1" w:styleId="paragraph">
    <w:name w:val="paragraph"/>
    <w:basedOn w:val="Normal"/>
    <w:rsid w:val="00FA3285"/>
    <w:pPr>
      <w:spacing w:before="100" w:beforeAutospacing="1" w:after="100" w:afterAutospacing="1"/>
    </w:pPr>
    <w:rPr>
      <w:rFonts w:ascii="Times New Roman" w:hAnsi="Times New Roman"/>
      <w:sz w:val="24"/>
      <w:szCs w:val="24"/>
      <w:lang w:eastAsia="en-NZ"/>
    </w:rPr>
  </w:style>
  <w:style w:type="character" w:customStyle="1" w:styleId="textrun">
    <w:name w:val="textrun"/>
    <w:basedOn w:val="DefaultParagraphFont"/>
    <w:rsid w:val="00FA3285"/>
  </w:style>
  <w:style w:type="character" w:customStyle="1" w:styleId="normaltextrun">
    <w:name w:val="normaltextrun"/>
    <w:basedOn w:val="DefaultParagraphFont"/>
    <w:rsid w:val="00FA3285"/>
  </w:style>
  <w:style w:type="character" w:customStyle="1" w:styleId="eop">
    <w:name w:val="eop"/>
    <w:basedOn w:val="DefaultParagraphFont"/>
    <w:rsid w:val="00FA3285"/>
  </w:style>
  <w:style w:type="character" w:customStyle="1" w:styleId="trackchangetextinsertion">
    <w:name w:val="trackchangetextinsertion"/>
    <w:basedOn w:val="DefaultParagraphFont"/>
    <w:rsid w:val="00FA3285"/>
  </w:style>
  <w:style w:type="character" w:customStyle="1" w:styleId="trackchangetextdeletionmarker">
    <w:name w:val="trackchangetextdeletionmarker"/>
    <w:basedOn w:val="DefaultParagraphFont"/>
    <w:rsid w:val="00FA3285"/>
  </w:style>
  <w:style w:type="character" w:customStyle="1" w:styleId="tabrun">
    <w:name w:val="tabrun"/>
    <w:basedOn w:val="DefaultParagraphFont"/>
    <w:rsid w:val="00FA3285"/>
  </w:style>
  <w:style w:type="character" w:customStyle="1" w:styleId="tabchar">
    <w:name w:val="tabchar"/>
    <w:basedOn w:val="DefaultParagraphFont"/>
    <w:rsid w:val="00FA3285"/>
  </w:style>
  <w:style w:type="character" w:customStyle="1" w:styleId="tableaderchars">
    <w:name w:val="tableaderchars"/>
    <w:basedOn w:val="DefaultParagraphFont"/>
    <w:rsid w:val="00FA3285"/>
  </w:style>
  <w:style w:type="character" w:customStyle="1" w:styleId="superscript">
    <w:name w:val="superscript"/>
    <w:basedOn w:val="DefaultParagraphFont"/>
    <w:rsid w:val="00FA3285"/>
  </w:style>
  <w:style w:type="paragraph" w:customStyle="1" w:styleId="outlineelement">
    <w:name w:val="outlineelement"/>
    <w:basedOn w:val="Normal"/>
    <w:rsid w:val="00FA3285"/>
    <w:pPr>
      <w:spacing w:before="100" w:beforeAutospacing="1" w:after="100" w:afterAutospacing="1"/>
    </w:pPr>
    <w:rPr>
      <w:rFonts w:ascii="Times New Roman" w:hAnsi="Times New Roman"/>
      <w:sz w:val="24"/>
      <w:szCs w:val="24"/>
      <w:lang w:eastAsia="en-NZ"/>
    </w:rPr>
  </w:style>
  <w:style w:type="character" w:styleId="FollowedHyperlink">
    <w:name w:val="FollowedHyperlink"/>
    <w:basedOn w:val="DefaultParagraphFont"/>
    <w:uiPriority w:val="99"/>
    <w:semiHidden/>
    <w:unhideWhenUsed/>
    <w:rsid w:val="00FA3285"/>
    <w:rPr>
      <w:color w:val="800080"/>
      <w:u w:val="single"/>
    </w:rPr>
  </w:style>
  <w:style w:type="character" w:customStyle="1" w:styleId="fieldrange">
    <w:name w:val="fieldrange"/>
    <w:basedOn w:val="DefaultParagraphFont"/>
    <w:rsid w:val="00FA3285"/>
  </w:style>
  <w:style w:type="character" w:customStyle="1" w:styleId="pagebreakblob">
    <w:name w:val="pagebreakblob"/>
    <w:basedOn w:val="DefaultParagraphFont"/>
    <w:rsid w:val="00FA3285"/>
  </w:style>
  <w:style w:type="character" w:customStyle="1" w:styleId="pagebreakborderspan">
    <w:name w:val="pagebreakborderspan"/>
    <w:basedOn w:val="DefaultParagraphFont"/>
    <w:rsid w:val="00FA3285"/>
  </w:style>
  <w:style w:type="character" w:customStyle="1" w:styleId="pagebreaktextspan">
    <w:name w:val="pagebreaktextspan"/>
    <w:basedOn w:val="DefaultParagraphFont"/>
    <w:rsid w:val="00FA3285"/>
  </w:style>
  <w:style w:type="character" w:customStyle="1" w:styleId="trackedchange">
    <w:name w:val="trackedchange"/>
    <w:basedOn w:val="DefaultParagraphFont"/>
    <w:rsid w:val="00FA3285"/>
  </w:style>
  <w:style w:type="paragraph" w:styleId="TOC5">
    <w:name w:val="toc 5"/>
    <w:basedOn w:val="Normal"/>
    <w:next w:val="Normal"/>
    <w:autoRedefine/>
    <w:uiPriority w:val="39"/>
    <w:unhideWhenUsed/>
    <w:rsid w:val="00FA3285"/>
    <w:pPr>
      <w:spacing w:after="100"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FA3285"/>
    <w:pPr>
      <w:spacing w:after="100"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FA3285"/>
    <w:pPr>
      <w:spacing w:after="100"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FA3285"/>
    <w:pPr>
      <w:spacing w:after="100"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FA3285"/>
    <w:pPr>
      <w:spacing w:after="100" w:line="259" w:lineRule="auto"/>
      <w:ind w:left="1760"/>
    </w:pPr>
    <w:rPr>
      <w:rFonts w:asciiTheme="minorHAnsi" w:eastAsiaTheme="minorEastAsia" w:hAnsiTheme="minorHAnsi" w:cstheme="minorBidi"/>
      <w:sz w:val="22"/>
      <w:szCs w:val="22"/>
      <w:lang w:eastAsia="en-NZ"/>
    </w:rPr>
  </w:style>
  <w:style w:type="character" w:customStyle="1" w:styleId="cf21">
    <w:name w:val="cf21"/>
    <w:basedOn w:val="DefaultParagraphFont"/>
    <w:rsid w:val="00FA3285"/>
    <w:rPr>
      <w:rFonts w:ascii="Segoe UI" w:hAnsi="Segoe UI" w:cs="Segoe UI" w:hint="default"/>
      <w:b/>
      <w:bCs/>
      <w:sz w:val="18"/>
      <w:szCs w:val="18"/>
    </w:rPr>
  </w:style>
  <w:style w:type="paragraph" w:styleId="BodyText">
    <w:name w:val="Body Text"/>
    <w:basedOn w:val="Normal"/>
    <w:link w:val="BodyTextChar"/>
    <w:qFormat/>
    <w:rsid w:val="00FA3285"/>
    <w:pPr>
      <w:spacing w:before="240" w:after="240" w:line="320" w:lineRule="atLeast"/>
    </w:pPr>
    <w:rPr>
      <w:rFonts w:ascii="Verdana" w:eastAsia="Times" w:hAnsi="Verdana"/>
      <w:kern w:val="18"/>
      <w:sz w:val="24"/>
      <w:szCs w:val="24"/>
      <w:lang w:val="en-AU" w:eastAsia="en-AU"/>
    </w:rPr>
  </w:style>
  <w:style w:type="character" w:customStyle="1" w:styleId="BodyTextChar">
    <w:name w:val="Body Text Char"/>
    <w:basedOn w:val="DefaultParagraphFont"/>
    <w:link w:val="BodyText"/>
    <w:rsid w:val="00FA3285"/>
    <w:rPr>
      <w:rFonts w:ascii="Verdana" w:eastAsia="Times" w:hAnsi="Verdana"/>
      <w:kern w:val="18"/>
      <w:sz w:val="24"/>
      <w:szCs w:val="24"/>
      <w:lang w:val="en-AU" w:eastAsia="en-AU"/>
    </w:rPr>
  </w:style>
  <w:style w:type="paragraph" w:styleId="EndnoteText">
    <w:name w:val="endnote text"/>
    <w:basedOn w:val="Normal"/>
    <w:link w:val="EndnoteTextChar"/>
    <w:uiPriority w:val="99"/>
    <w:semiHidden/>
    <w:unhideWhenUsed/>
    <w:rsid w:val="00FA3285"/>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semiHidden/>
    <w:rsid w:val="00FA3285"/>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FA3285"/>
    <w:rPr>
      <w:vertAlign w:val="superscript"/>
    </w:rPr>
  </w:style>
  <w:style w:type="paragraph" w:customStyle="1" w:styleId="Bullet-list">
    <w:name w:val="Bullet-list"/>
    <w:qFormat/>
    <w:rsid w:val="004553DF"/>
    <w:pPr>
      <w:numPr>
        <w:numId w:val="34"/>
      </w:numPr>
      <w:spacing w:after="180" w:line="280" w:lineRule="exact"/>
    </w:pPr>
    <w:rPr>
      <w:rFonts w:ascii="Arial" w:hAnsi="Arial"/>
      <w:sz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8093">
      <w:bodyDiv w:val="1"/>
      <w:marLeft w:val="0"/>
      <w:marRight w:val="0"/>
      <w:marTop w:val="0"/>
      <w:marBottom w:val="0"/>
      <w:divBdr>
        <w:top w:val="none" w:sz="0" w:space="0" w:color="auto"/>
        <w:left w:val="none" w:sz="0" w:space="0" w:color="auto"/>
        <w:bottom w:val="none" w:sz="0" w:space="0" w:color="auto"/>
        <w:right w:val="none" w:sz="0" w:space="0" w:color="auto"/>
      </w:divBdr>
    </w:div>
    <w:div w:id="62410571">
      <w:bodyDiv w:val="1"/>
      <w:marLeft w:val="0"/>
      <w:marRight w:val="0"/>
      <w:marTop w:val="0"/>
      <w:marBottom w:val="0"/>
      <w:divBdr>
        <w:top w:val="none" w:sz="0" w:space="0" w:color="auto"/>
        <w:left w:val="none" w:sz="0" w:space="0" w:color="auto"/>
        <w:bottom w:val="none" w:sz="0" w:space="0" w:color="auto"/>
        <w:right w:val="none" w:sz="0" w:space="0" w:color="auto"/>
      </w:divBdr>
    </w:div>
    <w:div w:id="149029485">
      <w:bodyDiv w:val="1"/>
      <w:marLeft w:val="0"/>
      <w:marRight w:val="0"/>
      <w:marTop w:val="0"/>
      <w:marBottom w:val="0"/>
      <w:divBdr>
        <w:top w:val="none" w:sz="0" w:space="0" w:color="auto"/>
        <w:left w:val="none" w:sz="0" w:space="0" w:color="auto"/>
        <w:bottom w:val="none" w:sz="0" w:space="0" w:color="auto"/>
        <w:right w:val="none" w:sz="0" w:space="0" w:color="auto"/>
      </w:divBdr>
    </w:div>
    <w:div w:id="242567297">
      <w:bodyDiv w:val="1"/>
      <w:marLeft w:val="0"/>
      <w:marRight w:val="0"/>
      <w:marTop w:val="0"/>
      <w:marBottom w:val="0"/>
      <w:divBdr>
        <w:top w:val="none" w:sz="0" w:space="0" w:color="auto"/>
        <w:left w:val="none" w:sz="0" w:space="0" w:color="auto"/>
        <w:bottom w:val="none" w:sz="0" w:space="0" w:color="auto"/>
        <w:right w:val="none" w:sz="0" w:space="0" w:color="auto"/>
      </w:divBdr>
    </w:div>
    <w:div w:id="292178737">
      <w:bodyDiv w:val="1"/>
      <w:marLeft w:val="0"/>
      <w:marRight w:val="0"/>
      <w:marTop w:val="0"/>
      <w:marBottom w:val="0"/>
      <w:divBdr>
        <w:top w:val="none" w:sz="0" w:space="0" w:color="auto"/>
        <w:left w:val="none" w:sz="0" w:space="0" w:color="auto"/>
        <w:bottom w:val="none" w:sz="0" w:space="0" w:color="auto"/>
        <w:right w:val="none" w:sz="0" w:space="0" w:color="auto"/>
      </w:divBdr>
    </w:div>
    <w:div w:id="356664182">
      <w:bodyDiv w:val="1"/>
      <w:marLeft w:val="0"/>
      <w:marRight w:val="0"/>
      <w:marTop w:val="0"/>
      <w:marBottom w:val="0"/>
      <w:divBdr>
        <w:top w:val="none" w:sz="0" w:space="0" w:color="auto"/>
        <w:left w:val="none" w:sz="0" w:space="0" w:color="auto"/>
        <w:bottom w:val="none" w:sz="0" w:space="0" w:color="auto"/>
        <w:right w:val="none" w:sz="0" w:space="0" w:color="auto"/>
      </w:divBdr>
    </w:div>
    <w:div w:id="377435102">
      <w:bodyDiv w:val="1"/>
      <w:marLeft w:val="0"/>
      <w:marRight w:val="0"/>
      <w:marTop w:val="0"/>
      <w:marBottom w:val="0"/>
      <w:divBdr>
        <w:top w:val="none" w:sz="0" w:space="0" w:color="auto"/>
        <w:left w:val="none" w:sz="0" w:space="0" w:color="auto"/>
        <w:bottom w:val="none" w:sz="0" w:space="0" w:color="auto"/>
        <w:right w:val="none" w:sz="0" w:space="0" w:color="auto"/>
      </w:divBdr>
    </w:div>
    <w:div w:id="378019566">
      <w:bodyDiv w:val="1"/>
      <w:marLeft w:val="0"/>
      <w:marRight w:val="0"/>
      <w:marTop w:val="0"/>
      <w:marBottom w:val="0"/>
      <w:divBdr>
        <w:top w:val="none" w:sz="0" w:space="0" w:color="auto"/>
        <w:left w:val="none" w:sz="0" w:space="0" w:color="auto"/>
        <w:bottom w:val="none" w:sz="0" w:space="0" w:color="auto"/>
        <w:right w:val="none" w:sz="0" w:space="0" w:color="auto"/>
      </w:divBdr>
    </w:div>
    <w:div w:id="396441980">
      <w:bodyDiv w:val="1"/>
      <w:marLeft w:val="0"/>
      <w:marRight w:val="0"/>
      <w:marTop w:val="0"/>
      <w:marBottom w:val="0"/>
      <w:divBdr>
        <w:top w:val="none" w:sz="0" w:space="0" w:color="auto"/>
        <w:left w:val="none" w:sz="0" w:space="0" w:color="auto"/>
        <w:bottom w:val="none" w:sz="0" w:space="0" w:color="auto"/>
        <w:right w:val="none" w:sz="0" w:space="0" w:color="auto"/>
      </w:divBdr>
    </w:div>
    <w:div w:id="846141507">
      <w:bodyDiv w:val="1"/>
      <w:marLeft w:val="0"/>
      <w:marRight w:val="0"/>
      <w:marTop w:val="0"/>
      <w:marBottom w:val="0"/>
      <w:divBdr>
        <w:top w:val="none" w:sz="0" w:space="0" w:color="auto"/>
        <w:left w:val="none" w:sz="0" w:space="0" w:color="auto"/>
        <w:bottom w:val="none" w:sz="0" w:space="0" w:color="auto"/>
        <w:right w:val="none" w:sz="0" w:space="0" w:color="auto"/>
      </w:divBdr>
    </w:div>
    <w:div w:id="861825412">
      <w:bodyDiv w:val="1"/>
      <w:marLeft w:val="0"/>
      <w:marRight w:val="0"/>
      <w:marTop w:val="0"/>
      <w:marBottom w:val="0"/>
      <w:divBdr>
        <w:top w:val="none" w:sz="0" w:space="0" w:color="auto"/>
        <w:left w:val="none" w:sz="0" w:space="0" w:color="auto"/>
        <w:bottom w:val="none" w:sz="0" w:space="0" w:color="auto"/>
        <w:right w:val="none" w:sz="0" w:space="0" w:color="auto"/>
      </w:divBdr>
    </w:div>
    <w:div w:id="864027584">
      <w:bodyDiv w:val="1"/>
      <w:marLeft w:val="0"/>
      <w:marRight w:val="0"/>
      <w:marTop w:val="0"/>
      <w:marBottom w:val="0"/>
      <w:divBdr>
        <w:top w:val="none" w:sz="0" w:space="0" w:color="auto"/>
        <w:left w:val="none" w:sz="0" w:space="0" w:color="auto"/>
        <w:bottom w:val="none" w:sz="0" w:space="0" w:color="auto"/>
        <w:right w:val="none" w:sz="0" w:space="0" w:color="auto"/>
      </w:divBdr>
    </w:div>
    <w:div w:id="1274287054">
      <w:bodyDiv w:val="1"/>
      <w:marLeft w:val="0"/>
      <w:marRight w:val="0"/>
      <w:marTop w:val="0"/>
      <w:marBottom w:val="0"/>
      <w:divBdr>
        <w:top w:val="none" w:sz="0" w:space="0" w:color="auto"/>
        <w:left w:val="none" w:sz="0" w:space="0" w:color="auto"/>
        <w:bottom w:val="none" w:sz="0" w:space="0" w:color="auto"/>
        <w:right w:val="none" w:sz="0" w:space="0" w:color="auto"/>
      </w:divBdr>
    </w:div>
    <w:div w:id="1277102180">
      <w:bodyDiv w:val="1"/>
      <w:marLeft w:val="0"/>
      <w:marRight w:val="0"/>
      <w:marTop w:val="0"/>
      <w:marBottom w:val="0"/>
      <w:divBdr>
        <w:top w:val="none" w:sz="0" w:space="0" w:color="auto"/>
        <w:left w:val="none" w:sz="0" w:space="0" w:color="auto"/>
        <w:bottom w:val="none" w:sz="0" w:space="0" w:color="auto"/>
        <w:right w:val="none" w:sz="0" w:space="0" w:color="auto"/>
      </w:divBdr>
    </w:div>
    <w:div w:id="1547794651">
      <w:bodyDiv w:val="1"/>
      <w:marLeft w:val="0"/>
      <w:marRight w:val="0"/>
      <w:marTop w:val="0"/>
      <w:marBottom w:val="0"/>
      <w:divBdr>
        <w:top w:val="none" w:sz="0" w:space="0" w:color="auto"/>
        <w:left w:val="none" w:sz="0" w:space="0" w:color="auto"/>
        <w:bottom w:val="none" w:sz="0" w:space="0" w:color="auto"/>
        <w:right w:val="none" w:sz="0" w:space="0" w:color="auto"/>
      </w:divBdr>
    </w:div>
    <w:div w:id="1553956362">
      <w:bodyDiv w:val="1"/>
      <w:marLeft w:val="0"/>
      <w:marRight w:val="0"/>
      <w:marTop w:val="0"/>
      <w:marBottom w:val="0"/>
      <w:divBdr>
        <w:top w:val="none" w:sz="0" w:space="0" w:color="auto"/>
        <w:left w:val="none" w:sz="0" w:space="0" w:color="auto"/>
        <w:bottom w:val="none" w:sz="0" w:space="0" w:color="auto"/>
        <w:right w:val="none" w:sz="0" w:space="0" w:color="auto"/>
      </w:divBdr>
    </w:div>
    <w:div w:id="156992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hyperlink" Target="https://www.health.govt.nz/publications/life-course-and-legacy-gambling-harms-in-new-zealand"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0.png"/><Relationship Id="rId42" Type="http://schemas.openxmlformats.org/officeDocument/2006/relationships/footer" Target="footer8.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aus01.safelinks.protection.outlook.com/?url=https%3A%2F%2Fwww.dia.govt.nz%2Fdiawebsite.nsf%2Fwpg_URL%2FServices-Casino-and-Non-Casino-Gaming-Prohibited-Gambling%3FOpenDocument&amp;data=05%7C02%7CKirsten.Sharman%40health.govt.nz%7Caf03bf37f3b542c9493b08dc9c6ea2e0%7C23cec7246d204bd19fe9dc4447edd1fa%7C0%7C0%7C638557246223125432%7CUnknown%7CTWFpbGZsb3d8eyJWIjoiMC4wLjAwMDAiLCJQIjoiV2luMzIiLCJBTiI6Ik1haWwiLCJXVCI6Mn0%3D%7C0%7C%7C%7C&amp;sdata=B7TErmNKSYYVTgwQK8CDjndmlMtTceufgDz8RX4Fz%2Fg%3D&amp;reserved=0" TargetMode="External"/><Relationship Id="rId33" Type="http://schemas.openxmlformats.org/officeDocument/2006/relationships/image" Target="media/image9.png"/><Relationship Id="rId38" Type="http://schemas.openxmlformats.org/officeDocument/2006/relationships/hyperlink" Target="https://www.health.govt.nz/publications/enhancing-support-provided-to-family-and-affected-others-in-new-zealand-gambling-services-an"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4.xml"/><Relationship Id="rId29" Type="http://schemas.openxmlformats.org/officeDocument/2006/relationships/image" Target="media/image5.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8.png"/><Relationship Id="rId37" Type="http://schemas.openxmlformats.org/officeDocument/2006/relationships/hyperlink" Target="https://www.health.govt.nz/publications/pasifika-youth-online-gaming-and-gambling-research-are-online-video-games-a-gateway-to-problem" TargetMode="External"/><Relationship Id="rId40" Type="http://schemas.openxmlformats.org/officeDocument/2006/relationships/header" Target="header7.xml"/><Relationship Id="rId45"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4.png"/><Relationship Id="rId36" Type="http://schemas.openxmlformats.org/officeDocument/2006/relationships/hyperlink" Target="https://www.health.govt.nz/publications/gamgard-evaluation"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image" Target="media/image6.png"/><Relationship Id="rId35" Type="http://schemas.openxmlformats.org/officeDocument/2006/relationships/hyperlink" Target="https://www.health.govt.nz/statistics-research/research/gambling-harm-research-and-evaluation/current-research-projects" TargetMode="External"/><Relationship Id="rId43" Type="http://schemas.openxmlformats.org/officeDocument/2006/relationships/hyperlink" Target="http://www.dia.govt.nz/" TargetMode="External"/><Relationship Id="rId48"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8" Type="http://schemas.openxmlformats.org/officeDocument/2006/relationships/hyperlink" Target="https://kupe.healthpromotion.govt.nz/" TargetMode="External"/><Relationship Id="rId13" Type="http://schemas.openxmlformats.org/officeDocument/2006/relationships/hyperlink" Target="http://www.youth19.ac.nz/publications/gambling" TargetMode="External"/><Relationship Id="rId18" Type="http://schemas.openxmlformats.org/officeDocument/2006/relationships/hyperlink" Target="https://www.health.govt.nz/about-us/new-zealands-health-system/overview-and-statutory-framework/pae-ora-healthy-futures-act" TargetMode="External"/><Relationship Id="rId26" Type="http://schemas.openxmlformats.org/officeDocument/2006/relationships/hyperlink" Target="http://www.dia.govt.nz/gambling-statistics-expenditure" TargetMode="External"/><Relationship Id="rId3" Type="http://schemas.openxmlformats.org/officeDocument/2006/relationships/hyperlink" Target="https://kupe.healthpromotion.govt.nz/nzgs/" TargetMode="External"/><Relationship Id="rId21" Type="http://schemas.openxmlformats.org/officeDocument/2006/relationships/hyperlink" Target="https://www.health.govt.nz/publications/effectiveness-of-face-to-face-gambling-interventions-two-years-later" TargetMode="External"/><Relationship Id="rId7" Type="http://schemas.openxmlformats.org/officeDocument/2006/relationships/hyperlink" Target="https://mohgovtnz.sharepoint.com/sites/moh-ecm-MentHealSPL/Shared%20Documents/Preventing%20&amp;%20Minimising%20Gambling%20Harm/Strategy%20and%20policy/Strategy/Strategy%20to%20Prevent%20and%20Minimise%20Gambling%20Harm%202025-26%20to%202027-28/Developing%20Strategic%20and%20Service%20Plans/Final%20strategy/final%20strategy%20drafts/NZGS" TargetMode="External"/><Relationship Id="rId12" Type="http://schemas.openxmlformats.org/officeDocument/2006/relationships/hyperlink" Target="http://www.pgf.nz/downloads/assets/13448/1/pgf0033" TargetMode="External"/><Relationship Id="rId17" Type="http://schemas.openxmlformats.org/officeDocument/2006/relationships/hyperlink" Target="https://www.dia.govt.nz/diawebsite.nsf/Files/Compliance-and-Enforcement-Model-2-800/$file/Compliance-and-Enforcement-%20Policy-Final-design.pdf" TargetMode="External"/><Relationship Id="rId25" Type="http://schemas.openxmlformats.org/officeDocument/2006/relationships/hyperlink" Target="http://www.dia.govt.nz/gambling-statistics-expenditure" TargetMode="External"/><Relationship Id="rId2" Type="http://schemas.openxmlformats.org/officeDocument/2006/relationships/hyperlink" Target="https://kupe.healthpromotion.govt.nz/nzgs/" TargetMode="External"/><Relationship Id="rId16" Type="http://schemas.openxmlformats.org/officeDocument/2006/relationships/hyperlink" Target="https://www.gov.uk/government/publications/gambling-related-harms-evidence-review/gambling-related-harms-evidence-review-summary--2" TargetMode="External"/><Relationship Id="rId20" Type="http://schemas.openxmlformats.org/officeDocument/2006/relationships/hyperlink" Target="https://www.health.govt.nz/publications/effectiveness-of-face-to-face-gambling-interventions-a-randomised-controlled-trial" TargetMode="External"/><Relationship Id="rId29" Type="http://schemas.openxmlformats.org/officeDocument/2006/relationships/hyperlink" Target="https://www.dia.govt.nz/gambling-statistics-gmp-dashboard" TargetMode="External"/><Relationship Id="rId1" Type="http://schemas.openxmlformats.org/officeDocument/2006/relationships/hyperlink" Target="https://pubmed.ncbi.nlm.nih.gov/39491880/" TargetMode="External"/><Relationship Id="rId6" Type="http://schemas.openxmlformats.org/officeDocument/2006/relationships/hyperlink" Target="https://www.health.govt.nz/publications/measuring-the-burden-of-gambling-harm-in-new-zealand" TargetMode="External"/><Relationship Id="rId11" Type="http://schemas.openxmlformats.org/officeDocument/2006/relationships/hyperlink" Target="file:///D:/05%20Formatting/04%20MoH/2024.08.15%20Gambling%20Harm/www.gov.uk/government/publications/gambling-related-harms-evidence-review/gambling-related-harms-evidence-review-summary--2" TargetMode="External"/><Relationship Id="rId24" Type="http://schemas.openxmlformats.org/officeDocument/2006/relationships/hyperlink" Target="http://www.stats.govt.nz/integrated-data/integrated-data-infrastructure" TargetMode="External"/><Relationship Id="rId5" Type="http://schemas.openxmlformats.org/officeDocument/2006/relationships/hyperlink" Target="https://www.dia.govt.nz/gambling-statistics-expenditure" TargetMode="External"/><Relationship Id="rId15" Type="http://schemas.openxmlformats.org/officeDocument/2006/relationships/hyperlink" Target="http://www.dia.govt.nz/gambling-statistics-gmp-dashboard" TargetMode="External"/><Relationship Id="rId23" Type="http://schemas.openxmlformats.org/officeDocument/2006/relationships/hyperlink" Target="https://www.health.govt.nz/publications/literature-review-of-the-provision-and-effectiveness-of-residential-programmes-for-gambling-harm" TargetMode="External"/><Relationship Id="rId28" Type="http://schemas.openxmlformats.org/officeDocument/2006/relationships/hyperlink" Target="https://www.dia.govt.nz/gambling-statistics-gmp-dashboard" TargetMode="External"/><Relationship Id="rId10" Type="http://schemas.openxmlformats.org/officeDocument/2006/relationships/hyperlink" Target="https://www.health.govt.nz/publications/measuring-the-burden-of-gambling-harm-in-new-zealand" TargetMode="External"/><Relationship Id="rId19" Type="http://schemas.openxmlformats.org/officeDocument/2006/relationships/hyperlink" Target="http://www.gamgard.com" TargetMode="External"/><Relationship Id="rId4" Type="http://schemas.openxmlformats.org/officeDocument/2006/relationships/hyperlink" Target="https://catalogue.data.govt.nz/dataset/gambling-expenditure-statistics/resource/941f3304-75a7-48b7-8af0-8d6733881a36" TargetMode="External"/><Relationship Id="rId9" Type="http://schemas.openxmlformats.org/officeDocument/2006/relationships/hyperlink" Target="http://kupe.healthpromotion.govt.nz/nzgs" TargetMode="External"/><Relationship Id="rId14" Type="http://schemas.openxmlformats.org/officeDocument/2006/relationships/hyperlink" Target="https://kupe.healthpromotion.govt.nz" TargetMode="External"/><Relationship Id="rId22" Type="http://schemas.openxmlformats.org/officeDocument/2006/relationships/hyperlink" Target="https://www.health.govt.nz/publications/peer-worker-roles-for-the-preventing-and-minimising-gambling-harm-sector-literature-review" TargetMode="External"/><Relationship Id="rId27" Type="http://schemas.openxmlformats.org/officeDocument/2006/relationships/hyperlink" Target="https://www.dia.govt.nz/gambling-statistics-gmp-dashboar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documenttasks/documenttasks1.xml><?xml version="1.0" encoding="utf-8"?>
<t:Tasks xmlns:t="http://schemas.microsoft.com/office/tasks/2019/documenttasks" xmlns:oel="http://schemas.microsoft.com/office/2019/extlst">
  <t:Task id="{52B4400A-C5E8-41BE-81FF-0D3EC2B9B059}">
    <t:Anchor>
      <t:Comment id="724228941"/>
    </t:Anchor>
    <t:History>
      <t:Event id="{9DF73A5D-8612-4C01-84CC-F9A89A7C3005}" time="2025-03-07T02:32:13.606Z">
        <t:Attribution userId="S::Vassos.Gavriel@health.govt.nz::9351c158-c2ee-4cff-b40e-6e86fc813762" userProvider="AD" userName="Vassos Gavriel"/>
        <t:Anchor>
          <t:Comment id="729124861"/>
        </t:Anchor>
        <t:Create/>
      </t:Event>
      <t:Event id="{BF5DB85B-BF49-4CB2-80AC-34C025453DB8}" time="2025-03-07T02:32:13.606Z">
        <t:Attribution userId="S::Vassos.Gavriel@health.govt.nz::9351c158-c2ee-4cff-b40e-6e86fc813762" userProvider="AD" userName="Vassos Gavriel"/>
        <t:Anchor>
          <t:Comment id="729124861"/>
        </t:Anchor>
        <t:Assign userId="S::Hilary.Sharp@health.govt.nz::5bac6d79-49a3-4f21-a70f-c44bbfc2e7aa" userProvider="AD" userName="Hilary Sharp"/>
      </t:Event>
      <t:Event id="{55ABF79A-E4E2-455A-895A-EC2A3733ADCA}" time="2025-03-07T02:32:13.606Z">
        <t:Attribution userId="S::Vassos.Gavriel@health.govt.nz::9351c158-c2ee-4cff-b40e-6e86fc813762" userProvider="AD" userName="Vassos Gavriel"/>
        <t:Anchor>
          <t:Comment id="729124861"/>
        </t:Anchor>
        <t:SetTitle title="@Hilary Sharp would this be easy to get ? If yes can you please request "/>
      </t:Event>
      <t:Event id="{FEE35630-54F8-4E3E-BA42-EB4221B2B2D8}" time="2025-03-11T04:01:13.134Z">
        <t:Attribution userId="S::Michael.Woodside@health.govt.nz::65fd7997-fa93-4269-9acc-7ff3f1474d67" userProvider="AD" userName="Michael Woodsid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TaxCatchAll xmlns="c5b47098-0215-444c-9096-523bda4ac5c6" xsi:nil="true"/>
    <AggregationStatus xmlns="4f9c820c-e7e2-444d-97ee-45f2b3485c1d">Normal</AggregationStatus>
    <OverrideLabel xmlns="d0b61010-d6f3-4072-b934-7bbb13e97771" xsi:nil="true"/>
    <lcf76f155ced4ddcb4097134ff3c332f xmlns="54904628-6268-4ac5-9416-97794f1d508d">
      <Terms xmlns="http://schemas.microsoft.com/office/infopath/2007/PartnerControls"/>
    </lcf76f155ced4ddcb4097134ff3c332f>
    <CategoryValue xmlns="4f9c820c-e7e2-444d-97ee-45f2b3485c1d">Strategy</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Mental Health and Addiction Programme</Team>
    <Project xmlns="4f9c820c-e7e2-444d-97ee-45f2b3485c1d">NA</Project>
    <HasNHI xmlns="184c05c4-c568-455d-94a4-7e009b164348">false</HasNHI>
    <FunctionGroup xmlns="4f9c820c-e7e2-444d-97ee-45f2b3485c1d">Strategy Policy and Legislative Development</FunctionGroup>
    <Function xmlns="4f9c820c-e7e2-444d-97ee-45f2b3485c1d">Mental Health and Addiction Programme</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Preventing &amp; Minimising Gambling Harm</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Strategy and policy</CategoryName>
    <PRADateTrigger xmlns="4f9c820c-e7e2-444d-97ee-45f2b3485c1d" xsi:nil="true"/>
    <PRAText2 xmlns="4f9c820c-e7e2-444d-97ee-45f2b3485c1d" xsi:nil="true"/>
    <zLegacyID xmlns="184c05c4-c568-455d-94a4-7e009b164348" xsi:nil="true"/>
    <_dlc_DocId xmlns="c5b47098-0215-444c-9096-523bda4ac5c6">MOHECM-952532665-29932</_dlc_DocId>
    <_dlc_DocIdUrl xmlns="c5b47098-0215-444c-9096-523bda4ac5c6">
      <Url>https://mohgovtnz.sharepoint.com/sites/moh-ecm-MentHealSPL/_layouts/15/DocIdRedir.aspx?ID=MOHECM-952532665-29932</Url>
      <Description>MOHECM-952532665-29932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eDocument" ma:contentTypeID="0x010100A28230263C7D7A4FB197614F88F6A462" ma:contentTypeVersion="261" ma:contentTypeDescription="Create a new document." ma:contentTypeScope="" ma:versionID="040d7f83dec44107ebaabb31d293222f">
  <xsd:schema xmlns:xsd="http://www.w3.org/2001/XMLSchema" xmlns:xs="http://www.w3.org/2001/XMLSchema" xmlns:p="http://schemas.microsoft.com/office/2006/metadata/properties" xmlns:ns2="c5b47098-0215-444c-9096-523bda4ac5c6" xmlns:ns3="4f9c820c-e7e2-444d-97ee-45f2b3485c1d" xmlns:ns4="15ffb055-6eb4-45a1-bc20-bf2ac0d420da" xmlns:ns5="725c79e5-42ce-4aa0-ac78-b6418001f0d2" xmlns:ns6="c91a514c-9034-4fa3-897a-8352025b26ed" xmlns:ns7="d0b61010-d6f3-4072-b934-7bbb13e97771" xmlns:ns8="184c05c4-c568-455d-94a4-7e009b164348" xmlns:ns9="54904628-6268-4ac5-9416-97794f1d508d" targetNamespace="http://schemas.microsoft.com/office/2006/metadata/properties" ma:root="true" ma:fieldsID="42af7a6d3f9f7f10dd6560d3e42f50e3" ns2:_="" ns3:_="" ns4:_="" ns5:_="" ns6:_="" ns7:_="" ns8:_="" ns9:_="">
    <xsd:import namespace="c5b47098-0215-444c-9096-523bda4ac5c6"/>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54904628-6268-4ac5-9416-97794f1d508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lcf76f155ced4ddcb4097134ff3c332f" minOccurs="0"/>
                <xsd:element ref="ns2:TaxCatchAll" minOccurs="0"/>
                <xsd:element ref="ns9:MediaServiceGenerationTime" minOccurs="0"/>
                <xsd:element ref="ns9:MediaServiceEventHashCode" minOccurs="0"/>
                <xsd:element ref="ns9:MediaServiceOCR" minOccurs="0"/>
                <xsd:element ref="ns9:MediaServiceDateTaken" minOccurs="0"/>
                <xsd:element ref="ns9:MediaServiceLocation" minOccurs="0"/>
                <xsd:element ref="ns9:MediaLengthInSeconds" minOccurs="0"/>
                <xsd:element ref="ns9:MediaServiceObjectDetectorVersions"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47098-0215-444c-9096-523bda4ac5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ca88c282-f265-4c5d-a6ef-f1d25373d578}" ma:internalName="TaxCatchAll" ma:showField="CatchAllData" ma:web="c5b47098-0215-444c-9096-523bda4ac5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Strategy Policy and Legislative Development" ma:hidden="true" ma:internalName="FunctionGroup" ma:readOnly="false">
      <xsd:simpleType>
        <xsd:restriction base="dms:Text">
          <xsd:maxLength value="255"/>
        </xsd:restriction>
      </xsd:simpleType>
    </xsd:element>
    <xsd:element name="Function" ma:index="22" nillable="true" ma:displayName="Function" ma:default="Mental Health and Addiction Programme"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Mental Health and Addiction Programme"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54904628-6268-4ac5-9416-97794f1d508d"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58" nillable="true" ma:displayName="MediaServiceGenerationTime" ma:hidden="true" ma:internalName="MediaServiceGenerationTime" ma:readOnly="true">
      <xsd:simpleType>
        <xsd:restriction base="dms:Text"/>
      </xsd:simpleType>
    </xsd:element>
    <xsd:element name="MediaServiceEventHashCode" ma:index="59" nillable="true" ma:displayName="MediaServiceEventHashCode" ma:hidden="true" ma:internalName="MediaServiceEventHashCode" ma:readOnly="true">
      <xsd:simpleType>
        <xsd:restriction base="dms:Text"/>
      </xsd:simpleType>
    </xsd:element>
    <xsd:element name="MediaServiceOCR" ma:index="60" nillable="true" ma:displayName="Extracted Text" ma:internalName="MediaServiceOCR" ma:readOnly="true">
      <xsd:simpleType>
        <xsd:restriction base="dms:Note">
          <xsd:maxLength value="255"/>
        </xsd:restriction>
      </xsd:simpleType>
    </xsd:element>
    <xsd:element name="MediaServiceDateTaken" ma:index="61" nillable="true" ma:displayName="MediaServiceDateTaken" ma:hidden="true" ma:indexed="true" ma:internalName="MediaServiceDateTaken"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BC9458-29D2-4D1C-8674-467330D44A31}">
  <ds:schemaRefs>
    <ds:schemaRef ds:uri="http://schemas.microsoft.com/sharepoint/events"/>
  </ds:schemaRefs>
</ds:datastoreItem>
</file>

<file path=customXml/itemProps2.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c5b47098-0215-444c-9096-523bda4ac5c6"/>
    <ds:schemaRef ds:uri="d0b61010-d6f3-4072-b934-7bbb13e97771"/>
    <ds:schemaRef ds:uri="54904628-6268-4ac5-9416-97794f1d508d"/>
    <ds:schemaRef ds:uri="725c79e5-42ce-4aa0-ac78-b6418001f0d2"/>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5.xml><?xml version="1.0" encoding="utf-8"?>
<ds:datastoreItem xmlns:ds="http://schemas.openxmlformats.org/officeDocument/2006/customXml" ds:itemID="{5037914A-FBA1-462B-97C5-B0A259D77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47098-0215-444c-9096-523bda4ac5c6"/>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54904628-6268-4ac5-9416-97794f1d5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57</Pages>
  <Words>16844</Words>
  <Characters>96014</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Appendices: Strategy to Prevent and Minimise Gambling Harm 2025/26 to 2027/28: Proposals document</vt:lpstr>
    </vt:vector>
  </TitlesOfParts>
  <Company>Microsoft</Company>
  <LinksUpToDate>false</LinksUpToDate>
  <CharactersWithSpaces>112633</CharactersWithSpaces>
  <SharedDoc>false</SharedDoc>
  <HLinks>
    <vt:vector size="438" baseType="variant">
      <vt:variant>
        <vt:i4>7012450</vt:i4>
      </vt:variant>
      <vt:variant>
        <vt:i4>291</vt:i4>
      </vt:variant>
      <vt:variant>
        <vt:i4>0</vt:i4>
      </vt:variant>
      <vt:variant>
        <vt:i4>5</vt:i4>
      </vt:variant>
      <vt:variant>
        <vt:lpwstr>http://www.dia.govt.nz/</vt:lpwstr>
      </vt:variant>
      <vt:variant>
        <vt:lpwstr/>
      </vt:variant>
      <vt:variant>
        <vt:i4>3997809</vt:i4>
      </vt:variant>
      <vt:variant>
        <vt:i4>288</vt:i4>
      </vt:variant>
      <vt:variant>
        <vt:i4>0</vt:i4>
      </vt:variant>
      <vt:variant>
        <vt:i4>5</vt:i4>
      </vt:variant>
      <vt:variant>
        <vt:lpwstr>http://www.health.govt.nz/publication/life-course-and-legacy-gambling-harms-new-zealand</vt:lpwstr>
      </vt:variant>
      <vt:variant>
        <vt:lpwstr/>
      </vt:variant>
      <vt:variant>
        <vt:i4>1048653</vt:i4>
      </vt:variant>
      <vt:variant>
        <vt:i4>285</vt:i4>
      </vt:variant>
      <vt:variant>
        <vt:i4>0</vt:i4>
      </vt:variant>
      <vt:variant>
        <vt:i4>5</vt:i4>
      </vt:variant>
      <vt:variant>
        <vt:lpwstr>http://www.health.govt.nz/publication/enhancing-support-provided-family-and-affected-others-new-zealand-gambling-services-exploratory</vt:lpwstr>
      </vt:variant>
      <vt:variant>
        <vt:lpwstr/>
      </vt:variant>
      <vt:variant>
        <vt:i4>4980741</vt:i4>
      </vt:variant>
      <vt:variant>
        <vt:i4>282</vt:i4>
      </vt:variant>
      <vt:variant>
        <vt:i4>0</vt:i4>
      </vt:variant>
      <vt:variant>
        <vt:i4>5</vt:i4>
      </vt:variant>
      <vt:variant>
        <vt:lpwstr>http://www.health.govt.nz/publication/pasifika-youth-online-gaming-and-gambling-research-are-online-video-games-gateway-problem-gambling</vt:lpwstr>
      </vt:variant>
      <vt:variant>
        <vt:lpwstr/>
      </vt:variant>
      <vt:variant>
        <vt:i4>4784140</vt:i4>
      </vt:variant>
      <vt:variant>
        <vt:i4>279</vt:i4>
      </vt:variant>
      <vt:variant>
        <vt:i4>0</vt:i4>
      </vt:variant>
      <vt:variant>
        <vt:i4>5</vt:i4>
      </vt:variant>
      <vt:variant>
        <vt:lpwstr>http://www.health.govt.nz/publication/gamgard-evaluation</vt:lpwstr>
      </vt:variant>
      <vt:variant>
        <vt:lpwstr/>
      </vt:variant>
      <vt:variant>
        <vt:i4>4325398</vt:i4>
      </vt:variant>
      <vt:variant>
        <vt:i4>276</vt:i4>
      </vt:variant>
      <vt:variant>
        <vt:i4>0</vt:i4>
      </vt:variant>
      <vt:variant>
        <vt:i4>5</vt:i4>
      </vt:variant>
      <vt:variant>
        <vt:lpwstr>https://www.health.govt.nz/statistics-research/research/gambling-harm-research-and-evaluation/current-research-projects</vt:lpwstr>
      </vt:variant>
      <vt:variant>
        <vt:lpwstr>mig</vt:lpwstr>
      </vt:variant>
      <vt:variant>
        <vt:i4>6357017</vt:i4>
      </vt:variant>
      <vt:variant>
        <vt:i4>273</vt:i4>
      </vt:variant>
      <vt:variant>
        <vt:i4>0</vt:i4>
      </vt:variant>
      <vt:variant>
        <vt:i4>5</vt:i4>
      </vt:variant>
      <vt:variant>
        <vt:lpwstr>https://aus01.safelinks.protection.outlook.com/?url=https%3A%2F%2Fwww.dia.govt.nz%2Fdiawebsite.nsf%2Fwpg_URL%2FServices-Casino-and-Non-Casino-Gaming-Prohibited-Gambling%3FOpenDocument&amp;data=05%7C02%7CKirsten.Sharman%40health.govt.nz%7Caf03bf37f3b542c9493b08dc9c6ea2e0%7C23cec7246d204bd19fe9dc4447edd1fa%7C0%7C0%7C638557246223125432%7CUnknown%7CTWFpbGZsb3d8eyJWIjoiMC4wLjAwMDAiLCJQIjoiV2luMzIiLCJBTiI6Ik1haWwiLCJXVCI6Mn0%3D%7C0%7C%7C%7C&amp;sdata=B7TErmNKSYYVTgwQK8CDjndmlMtTceufgDz8RX4Fz%2Fg%3D&amp;reserved=0</vt:lpwstr>
      </vt:variant>
      <vt:variant>
        <vt:lpwstr/>
      </vt:variant>
      <vt:variant>
        <vt:i4>2031665</vt:i4>
      </vt:variant>
      <vt:variant>
        <vt:i4>266</vt:i4>
      </vt:variant>
      <vt:variant>
        <vt:i4>0</vt:i4>
      </vt:variant>
      <vt:variant>
        <vt:i4>5</vt:i4>
      </vt:variant>
      <vt:variant>
        <vt:lpwstr/>
      </vt:variant>
      <vt:variant>
        <vt:lpwstr>_Toc185340138</vt:lpwstr>
      </vt:variant>
      <vt:variant>
        <vt:i4>2031665</vt:i4>
      </vt:variant>
      <vt:variant>
        <vt:i4>260</vt:i4>
      </vt:variant>
      <vt:variant>
        <vt:i4>0</vt:i4>
      </vt:variant>
      <vt:variant>
        <vt:i4>5</vt:i4>
      </vt:variant>
      <vt:variant>
        <vt:lpwstr/>
      </vt:variant>
      <vt:variant>
        <vt:lpwstr>_Toc185340137</vt:lpwstr>
      </vt:variant>
      <vt:variant>
        <vt:i4>2031665</vt:i4>
      </vt:variant>
      <vt:variant>
        <vt:i4>254</vt:i4>
      </vt:variant>
      <vt:variant>
        <vt:i4>0</vt:i4>
      </vt:variant>
      <vt:variant>
        <vt:i4>5</vt:i4>
      </vt:variant>
      <vt:variant>
        <vt:lpwstr/>
      </vt:variant>
      <vt:variant>
        <vt:lpwstr>_Toc185340136</vt:lpwstr>
      </vt:variant>
      <vt:variant>
        <vt:i4>2031665</vt:i4>
      </vt:variant>
      <vt:variant>
        <vt:i4>248</vt:i4>
      </vt:variant>
      <vt:variant>
        <vt:i4>0</vt:i4>
      </vt:variant>
      <vt:variant>
        <vt:i4>5</vt:i4>
      </vt:variant>
      <vt:variant>
        <vt:lpwstr/>
      </vt:variant>
      <vt:variant>
        <vt:lpwstr>_Toc185340135</vt:lpwstr>
      </vt:variant>
      <vt:variant>
        <vt:i4>2031665</vt:i4>
      </vt:variant>
      <vt:variant>
        <vt:i4>242</vt:i4>
      </vt:variant>
      <vt:variant>
        <vt:i4>0</vt:i4>
      </vt:variant>
      <vt:variant>
        <vt:i4>5</vt:i4>
      </vt:variant>
      <vt:variant>
        <vt:lpwstr/>
      </vt:variant>
      <vt:variant>
        <vt:lpwstr>_Toc185340134</vt:lpwstr>
      </vt:variant>
      <vt:variant>
        <vt:i4>2031665</vt:i4>
      </vt:variant>
      <vt:variant>
        <vt:i4>236</vt:i4>
      </vt:variant>
      <vt:variant>
        <vt:i4>0</vt:i4>
      </vt:variant>
      <vt:variant>
        <vt:i4>5</vt:i4>
      </vt:variant>
      <vt:variant>
        <vt:lpwstr/>
      </vt:variant>
      <vt:variant>
        <vt:lpwstr>_Toc185340133</vt:lpwstr>
      </vt:variant>
      <vt:variant>
        <vt:i4>2031665</vt:i4>
      </vt:variant>
      <vt:variant>
        <vt:i4>230</vt:i4>
      </vt:variant>
      <vt:variant>
        <vt:i4>0</vt:i4>
      </vt:variant>
      <vt:variant>
        <vt:i4>5</vt:i4>
      </vt:variant>
      <vt:variant>
        <vt:lpwstr/>
      </vt:variant>
      <vt:variant>
        <vt:lpwstr>_Toc185340132</vt:lpwstr>
      </vt:variant>
      <vt:variant>
        <vt:i4>2031665</vt:i4>
      </vt:variant>
      <vt:variant>
        <vt:i4>224</vt:i4>
      </vt:variant>
      <vt:variant>
        <vt:i4>0</vt:i4>
      </vt:variant>
      <vt:variant>
        <vt:i4>5</vt:i4>
      </vt:variant>
      <vt:variant>
        <vt:lpwstr/>
      </vt:variant>
      <vt:variant>
        <vt:lpwstr>_Toc185340131</vt:lpwstr>
      </vt:variant>
      <vt:variant>
        <vt:i4>2031665</vt:i4>
      </vt:variant>
      <vt:variant>
        <vt:i4>218</vt:i4>
      </vt:variant>
      <vt:variant>
        <vt:i4>0</vt:i4>
      </vt:variant>
      <vt:variant>
        <vt:i4>5</vt:i4>
      </vt:variant>
      <vt:variant>
        <vt:lpwstr/>
      </vt:variant>
      <vt:variant>
        <vt:lpwstr>_Toc185340130</vt:lpwstr>
      </vt:variant>
      <vt:variant>
        <vt:i4>1966129</vt:i4>
      </vt:variant>
      <vt:variant>
        <vt:i4>209</vt:i4>
      </vt:variant>
      <vt:variant>
        <vt:i4>0</vt:i4>
      </vt:variant>
      <vt:variant>
        <vt:i4>5</vt:i4>
      </vt:variant>
      <vt:variant>
        <vt:lpwstr/>
      </vt:variant>
      <vt:variant>
        <vt:lpwstr>_Toc185340129</vt:lpwstr>
      </vt:variant>
      <vt:variant>
        <vt:i4>1966129</vt:i4>
      </vt:variant>
      <vt:variant>
        <vt:i4>203</vt:i4>
      </vt:variant>
      <vt:variant>
        <vt:i4>0</vt:i4>
      </vt:variant>
      <vt:variant>
        <vt:i4>5</vt:i4>
      </vt:variant>
      <vt:variant>
        <vt:lpwstr/>
      </vt:variant>
      <vt:variant>
        <vt:lpwstr>_Toc185340128</vt:lpwstr>
      </vt:variant>
      <vt:variant>
        <vt:i4>1703990</vt:i4>
      </vt:variant>
      <vt:variant>
        <vt:i4>194</vt:i4>
      </vt:variant>
      <vt:variant>
        <vt:i4>0</vt:i4>
      </vt:variant>
      <vt:variant>
        <vt:i4>5</vt:i4>
      </vt:variant>
      <vt:variant>
        <vt:lpwstr/>
      </vt:variant>
      <vt:variant>
        <vt:lpwstr>_Toc192572234</vt:lpwstr>
      </vt:variant>
      <vt:variant>
        <vt:i4>1703990</vt:i4>
      </vt:variant>
      <vt:variant>
        <vt:i4>188</vt:i4>
      </vt:variant>
      <vt:variant>
        <vt:i4>0</vt:i4>
      </vt:variant>
      <vt:variant>
        <vt:i4>5</vt:i4>
      </vt:variant>
      <vt:variant>
        <vt:lpwstr/>
      </vt:variant>
      <vt:variant>
        <vt:lpwstr>_Toc192572233</vt:lpwstr>
      </vt:variant>
      <vt:variant>
        <vt:i4>1703990</vt:i4>
      </vt:variant>
      <vt:variant>
        <vt:i4>182</vt:i4>
      </vt:variant>
      <vt:variant>
        <vt:i4>0</vt:i4>
      </vt:variant>
      <vt:variant>
        <vt:i4>5</vt:i4>
      </vt:variant>
      <vt:variant>
        <vt:lpwstr/>
      </vt:variant>
      <vt:variant>
        <vt:lpwstr>_Toc192572232</vt:lpwstr>
      </vt:variant>
      <vt:variant>
        <vt:i4>1703990</vt:i4>
      </vt:variant>
      <vt:variant>
        <vt:i4>176</vt:i4>
      </vt:variant>
      <vt:variant>
        <vt:i4>0</vt:i4>
      </vt:variant>
      <vt:variant>
        <vt:i4>5</vt:i4>
      </vt:variant>
      <vt:variant>
        <vt:lpwstr/>
      </vt:variant>
      <vt:variant>
        <vt:lpwstr>_Toc192572231</vt:lpwstr>
      </vt:variant>
      <vt:variant>
        <vt:i4>1703990</vt:i4>
      </vt:variant>
      <vt:variant>
        <vt:i4>170</vt:i4>
      </vt:variant>
      <vt:variant>
        <vt:i4>0</vt:i4>
      </vt:variant>
      <vt:variant>
        <vt:i4>5</vt:i4>
      </vt:variant>
      <vt:variant>
        <vt:lpwstr/>
      </vt:variant>
      <vt:variant>
        <vt:lpwstr>_Toc192572230</vt:lpwstr>
      </vt:variant>
      <vt:variant>
        <vt:i4>1769526</vt:i4>
      </vt:variant>
      <vt:variant>
        <vt:i4>164</vt:i4>
      </vt:variant>
      <vt:variant>
        <vt:i4>0</vt:i4>
      </vt:variant>
      <vt:variant>
        <vt:i4>5</vt:i4>
      </vt:variant>
      <vt:variant>
        <vt:lpwstr/>
      </vt:variant>
      <vt:variant>
        <vt:lpwstr>_Toc192572229</vt:lpwstr>
      </vt:variant>
      <vt:variant>
        <vt:i4>1769526</vt:i4>
      </vt:variant>
      <vt:variant>
        <vt:i4>158</vt:i4>
      </vt:variant>
      <vt:variant>
        <vt:i4>0</vt:i4>
      </vt:variant>
      <vt:variant>
        <vt:i4>5</vt:i4>
      </vt:variant>
      <vt:variant>
        <vt:lpwstr/>
      </vt:variant>
      <vt:variant>
        <vt:lpwstr>_Toc192572228</vt:lpwstr>
      </vt:variant>
      <vt:variant>
        <vt:i4>1769526</vt:i4>
      </vt:variant>
      <vt:variant>
        <vt:i4>152</vt:i4>
      </vt:variant>
      <vt:variant>
        <vt:i4>0</vt:i4>
      </vt:variant>
      <vt:variant>
        <vt:i4>5</vt:i4>
      </vt:variant>
      <vt:variant>
        <vt:lpwstr/>
      </vt:variant>
      <vt:variant>
        <vt:lpwstr>_Toc192572227</vt:lpwstr>
      </vt:variant>
      <vt:variant>
        <vt:i4>1769526</vt:i4>
      </vt:variant>
      <vt:variant>
        <vt:i4>146</vt:i4>
      </vt:variant>
      <vt:variant>
        <vt:i4>0</vt:i4>
      </vt:variant>
      <vt:variant>
        <vt:i4>5</vt:i4>
      </vt:variant>
      <vt:variant>
        <vt:lpwstr/>
      </vt:variant>
      <vt:variant>
        <vt:lpwstr>_Toc192572226</vt:lpwstr>
      </vt:variant>
      <vt:variant>
        <vt:i4>1769526</vt:i4>
      </vt:variant>
      <vt:variant>
        <vt:i4>140</vt:i4>
      </vt:variant>
      <vt:variant>
        <vt:i4>0</vt:i4>
      </vt:variant>
      <vt:variant>
        <vt:i4>5</vt:i4>
      </vt:variant>
      <vt:variant>
        <vt:lpwstr/>
      </vt:variant>
      <vt:variant>
        <vt:lpwstr>_Toc192572225</vt:lpwstr>
      </vt:variant>
      <vt:variant>
        <vt:i4>1769526</vt:i4>
      </vt:variant>
      <vt:variant>
        <vt:i4>134</vt:i4>
      </vt:variant>
      <vt:variant>
        <vt:i4>0</vt:i4>
      </vt:variant>
      <vt:variant>
        <vt:i4>5</vt:i4>
      </vt:variant>
      <vt:variant>
        <vt:lpwstr/>
      </vt:variant>
      <vt:variant>
        <vt:lpwstr>_Toc192572224</vt:lpwstr>
      </vt:variant>
      <vt:variant>
        <vt:i4>1769526</vt:i4>
      </vt:variant>
      <vt:variant>
        <vt:i4>128</vt:i4>
      </vt:variant>
      <vt:variant>
        <vt:i4>0</vt:i4>
      </vt:variant>
      <vt:variant>
        <vt:i4>5</vt:i4>
      </vt:variant>
      <vt:variant>
        <vt:lpwstr/>
      </vt:variant>
      <vt:variant>
        <vt:lpwstr>_Toc192572223</vt:lpwstr>
      </vt:variant>
      <vt:variant>
        <vt:i4>1769526</vt:i4>
      </vt:variant>
      <vt:variant>
        <vt:i4>122</vt:i4>
      </vt:variant>
      <vt:variant>
        <vt:i4>0</vt:i4>
      </vt:variant>
      <vt:variant>
        <vt:i4>5</vt:i4>
      </vt:variant>
      <vt:variant>
        <vt:lpwstr/>
      </vt:variant>
      <vt:variant>
        <vt:lpwstr>_Toc192572222</vt:lpwstr>
      </vt:variant>
      <vt:variant>
        <vt:i4>1769526</vt:i4>
      </vt:variant>
      <vt:variant>
        <vt:i4>116</vt:i4>
      </vt:variant>
      <vt:variant>
        <vt:i4>0</vt:i4>
      </vt:variant>
      <vt:variant>
        <vt:i4>5</vt:i4>
      </vt:variant>
      <vt:variant>
        <vt:lpwstr/>
      </vt:variant>
      <vt:variant>
        <vt:lpwstr>_Toc192572221</vt:lpwstr>
      </vt:variant>
      <vt:variant>
        <vt:i4>1769526</vt:i4>
      </vt:variant>
      <vt:variant>
        <vt:i4>110</vt:i4>
      </vt:variant>
      <vt:variant>
        <vt:i4>0</vt:i4>
      </vt:variant>
      <vt:variant>
        <vt:i4>5</vt:i4>
      </vt:variant>
      <vt:variant>
        <vt:lpwstr/>
      </vt:variant>
      <vt:variant>
        <vt:lpwstr>_Toc192572220</vt:lpwstr>
      </vt:variant>
      <vt:variant>
        <vt:i4>1572918</vt:i4>
      </vt:variant>
      <vt:variant>
        <vt:i4>104</vt:i4>
      </vt:variant>
      <vt:variant>
        <vt:i4>0</vt:i4>
      </vt:variant>
      <vt:variant>
        <vt:i4>5</vt:i4>
      </vt:variant>
      <vt:variant>
        <vt:lpwstr/>
      </vt:variant>
      <vt:variant>
        <vt:lpwstr>_Toc192572219</vt:lpwstr>
      </vt:variant>
      <vt:variant>
        <vt:i4>1572918</vt:i4>
      </vt:variant>
      <vt:variant>
        <vt:i4>98</vt:i4>
      </vt:variant>
      <vt:variant>
        <vt:i4>0</vt:i4>
      </vt:variant>
      <vt:variant>
        <vt:i4>5</vt:i4>
      </vt:variant>
      <vt:variant>
        <vt:lpwstr/>
      </vt:variant>
      <vt:variant>
        <vt:lpwstr>_Toc192572218</vt:lpwstr>
      </vt:variant>
      <vt:variant>
        <vt:i4>1572918</vt:i4>
      </vt:variant>
      <vt:variant>
        <vt:i4>92</vt:i4>
      </vt:variant>
      <vt:variant>
        <vt:i4>0</vt:i4>
      </vt:variant>
      <vt:variant>
        <vt:i4>5</vt:i4>
      </vt:variant>
      <vt:variant>
        <vt:lpwstr/>
      </vt:variant>
      <vt:variant>
        <vt:lpwstr>_Toc192572217</vt:lpwstr>
      </vt:variant>
      <vt:variant>
        <vt:i4>1572918</vt:i4>
      </vt:variant>
      <vt:variant>
        <vt:i4>86</vt:i4>
      </vt:variant>
      <vt:variant>
        <vt:i4>0</vt:i4>
      </vt:variant>
      <vt:variant>
        <vt:i4>5</vt:i4>
      </vt:variant>
      <vt:variant>
        <vt:lpwstr/>
      </vt:variant>
      <vt:variant>
        <vt:lpwstr>_Toc192572216</vt:lpwstr>
      </vt:variant>
      <vt:variant>
        <vt:i4>1572918</vt:i4>
      </vt:variant>
      <vt:variant>
        <vt:i4>80</vt:i4>
      </vt:variant>
      <vt:variant>
        <vt:i4>0</vt:i4>
      </vt:variant>
      <vt:variant>
        <vt:i4>5</vt:i4>
      </vt:variant>
      <vt:variant>
        <vt:lpwstr/>
      </vt:variant>
      <vt:variant>
        <vt:lpwstr>_Toc192572215</vt:lpwstr>
      </vt:variant>
      <vt:variant>
        <vt:i4>1572918</vt:i4>
      </vt:variant>
      <vt:variant>
        <vt:i4>74</vt:i4>
      </vt:variant>
      <vt:variant>
        <vt:i4>0</vt:i4>
      </vt:variant>
      <vt:variant>
        <vt:i4>5</vt:i4>
      </vt:variant>
      <vt:variant>
        <vt:lpwstr/>
      </vt:variant>
      <vt:variant>
        <vt:lpwstr>_Toc192572214</vt:lpwstr>
      </vt:variant>
      <vt:variant>
        <vt:i4>1572918</vt:i4>
      </vt:variant>
      <vt:variant>
        <vt:i4>68</vt:i4>
      </vt:variant>
      <vt:variant>
        <vt:i4>0</vt:i4>
      </vt:variant>
      <vt:variant>
        <vt:i4>5</vt:i4>
      </vt:variant>
      <vt:variant>
        <vt:lpwstr/>
      </vt:variant>
      <vt:variant>
        <vt:lpwstr>_Toc192572213</vt:lpwstr>
      </vt:variant>
      <vt:variant>
        <vt:i4>1572918</vt:i4>
      </vt:variant>
      <vt:variant>
        <vt:i4>62</vt:i4>
      </vt:variant>
      <vt:variant>
        <vt:i4>0</vt:i4>
      </vt:variant>
      <vt:variant>
        <vt:i4>5</vt:i4>
      </vt:variant>
      <vt:variant>
        <vt:lpwstr/>
      </vt:variant>
      <vt:variant>
        <vt:lpwstr>_Toc192572212</vt:lpwstr>
      </vt:variant>
      <vt:variant>
        <vt:i4>1572918</vt:i4>
      </vt:variant>
      <vt:variant>
        <vt:i4>56</vt:i4>
      </vt:variant>
      <vt:variant>
        <vt:i4>0</vt:i4>
      </vt:variant>
      <vt:variant>
        <vt:i4>5</vt:i4>
      </vt:variant>
      <vt:variant>
        <vt:lpwstr/>
      </vt:variant>
      <vt:variant>
        <vt:lpwstr>_Toc192572211</vt:lpwstr>
      </vt:variant>
      <vt:variant>
        <vt:i4>1572918</vt:i4>
      </vt:variant>
      <vt:variant>
        <vt:i4>50</vt:i4>
      </vt:variant>
      <vt:variant>
        <vt:i4>0</vt:i4>
      </vt:variant>
      <vt:variant>
        <vt:i4>5</vt:i4>
      </vt:variant>
      <vt:variant>
        <vt:lpwstr/>
      </vt:variant>
      <vt:variant>
        <vt:lpwstr>_Toc192572210</vt:lpwstr>
      </vt:variant>
      <vt:variant>
        <vt:i4>1638454</vt:i4>
      </vt:variant>
      <vt:variant>
        <vt:i4>44</vt:i4>
      </vt:variant>
      <vt:variant>
        <vt:i4>0</vt:i4>
      </vt:variant>
      <vt:variant>
        <vt:i4>5</vt:i4>
      </vt:variant>
      <vt:variant>
        <vt:lpwstr/>
      </vt:variant>
      <vt:variant>
        <vt:lpwstr>_Toc192572209</vt:lpwstr>
      </vt:variant>
      <vt:variant>
        <vt:i4>1638454</vt:i4>
      </vt:variant>
      <vt:variant>
        <vt:i4>38</vt:i4>
      </vt:variant>
      <vt:variant>
        <vt:i4>0</vt:i4>
      </vt:variant>
      <vt:variant>
        <vt:i4>5</vt:i4>
      </vt:variant>
      <vt:variant>
        <vt:lpwstr/>
      </vt:variant>
      <vt:variant>
        <vt:lpwstr>_Toc192572208</vt:lpwstr>
      </vt:variant>
      <vt:variant>
        <vt:i4>1638454</vt:i4>
      </vt:variant>
      <vt:variant>
        <vt:i4>32</vt:i4>
      </vt:variant>
      <vt:variant>
        <vt:i4>0</vt:i4>
      </vt:variant>
      <vt:variant>
        <vt:i4>5</vt:i4>
      </vt:variant>
      <vt:variant>
        <vt:lpwstr/>
      </vt:variant>
      <vt:variant>
        <vt:lpwstr>_Toc192572207</vt:lpwstr>
      </vt:variant>
      <vt:variant>
        <vt:i4>1638454</vt:i4>
      </vt:variant>
      <vt:variant>
        <vt:i4>26</vt:i4>
      </vt:variant>
      <vt:variant>
        <vt:i4>0</vt:i4>
      </vt:variant>
      <vt:variant>
        <vt:i4>5</vt:i4>
      </vt:variant>
      <vt:variant>
        <vt:lpwstr/>
      </vt:variant>
      <vt:variant>
        <vt:lpwstr>_Toc192572206</vt:lpwstr>
      </vt:variant>
      <vt:variant>
        <vt:i4>1638454</vt:i4>
      </vt:variant>
      <vt:variant>
        <vt:i4>20</vt:i4>
      </vt:variant>
      <vt:variant>
        <vt:i4>0</vt:i4>
      </vt:variant>
      <vt:variant>
        <vt:i4>5</vt:i4>
      </vt:variant>
      <vt:variant>
        <vt:lpwstr/>
      </vt:variant>
      <vt:variant>
        <vt:lpwstr>_Toc192572205</vt:lpwstr>
      </vt:variant>
      <vt:variant>
        <vt:i4>1638454</vt:i4>
      </vt:variant>
      <vt:variant>
        <vt:i4>14</vt:i4>
      </vt:variant>
      <vt:variant>
        <vt:i4>0</vt:i4>
      </vt:variant>
      <vt:variant>
        <vt:i4>5</vt:i4>
      </vt:variant>
      <vt:variant>
        <vt:lpwstr/>
      </vt:variant>
      <vt:variant>
        <vt:lpwstr>_Toc192572204</vt:lpwstr>
      </vt:variant>
      <vt:variant>
        <vt:i4>1638454</vt:i4>
      </vt:variant>
      <vt:variant>
        <vt:i4>8</vt:i4>
      </vt:variant>
      <vt:variant>
        <vt:i4>0</vt:i4>
      </vt:variant>
      <vt:variant>
        <vt:i4>5</vt:i4>
      </vt:variant>
      <vt:variant>
        <vt:lpwstr/>
      </vt:variant>
      <vt:variant>
        <vt:lpwstr>_Toc192572203</vt:lpwstr>
      </vt:variant>
      <vt:variant>
        <vt:i4>1638454</vt:i4>
      </vt:variant>
      <vt:variant>
        <vt:i4>2</vt:i4>
      </vt:variant>
      <vt:variant>
        <vt:i4>0</vt:i4>
      </vt:variant>
      <vt:variant>
        <vt:i4>5</vt:i4>
      </vt:variant>
      <vt:variant>
        <vt:lpwstr/>
      </vt:variant>
      <vt:variant>
        <vt:lpwstr>_Toc192572202</vt:lpwstr>
      </vt:variant>
      <vt:variant>
        <vt:i4>5046351</vt:i4>
      </vt:variant>
      <vt:variant>
        <vt:i4>66</vt:i4>
      </vt:variant>
      <vt:variant>
        <vt:i4>0</vt:i4>
      </vt:variant>
      <vt:variant>
        <vt:i4>5</vt:i4>
      </vt:variant>
      <vt:variant>
        <vt:lpwstr>https://www.dia.govt.nz/gambling-statistics-gmp-dashboard</vt:lpwstr>
      </vt:variant>
      <vt:variant>
        <vt:lpwstr/>
      </vt:variant>
      <vt:variant>
        <vt:i4>5046351</vt:i4>
      </vt:variant>
      <vt:variant>
        <vt:i4>63</vt:i4>
      </vt:variant>
      <vt:variant>
        <vt:i4>0</vt:i4>
      </vt:variant>
      <vt:variant>
        <vt:i4>5</vt:i4>
      </vt:variant>
      <vt:variant>
        <vt:lpwstr>https://www.dia.govt.nz/gambling-statistics-gmp-dashboard</vt:lpwstr>
      </vt:variant>
      <vt:variant>
        <vt:lpwstr/>
      </vt:variant>
      <vt:variant>
        <vt:i4>5046351</vt:i4>
      </vt:variant>
      <vt:variant>
        <vt:i4>60</vt:i4>
      </vt:variant>
      <vt:variant>
        <vt:i4>0</vt:i4>
      </vt:variant>
      <vt:variant>
        <vt:i4>5</vt:i4>
      </vt:variant>
      <vt:variant>
        <vt:lpwstr>https://www.dia.govt.nz/gambling-statistics-gmp-dashboard</vt:lpwstr>
      </vt:variant>
      <vt:variant>
        <vt:lpwstr/>
      </vt:variant>
      <vt:variant>
        <vt:i4>2424958</vt:i4>
      </vt:variant>
      <vt:variant>
        <vt:i4>57</vt:i4>
      </vt:variant>
      <vt:variant>
        <vt:i4>0</vt:i4>
      </vt:variant>
      <vt:variant>
        <vt:i4>5</vt:i4>
      </vt:variant>
      <vt:variant>
        <vt:lpwstr>http://www.dia.govt.nz/gambling-statistics-expenditure</vt:lpwstr>
      </vt:variant>
      <vt:variant>
        <vt:lpwstr/>
      </vt:variant>
      <vt:variant>
        <vt:i4>2424958</vt:i4>
      </vt:variant>
      <vt:variant>
        <vt:i4>54</vt:i4>
      </vt:variant>
      <vt:variant>
        <vt:i4>0</vt:i4>
      </vt:variant>
      <vt:variant>
        <vt:i4>5</vt:i4>
      </vt:variant>
      <vt:variant>
        <vt:lpwstr>http://www.dia.govt.nz/gambling-statistics-expenditure</vt:lpwstr>
      </vt:variant>
      <vt:variant>
        <vt:lpwstr/>
      </vt:variant>
      <vt:variant>
        <vt:i4>6684717</vt:i4>
      </vt:variant>
      <vt:variant>
        <vt:i4>51</vt:i4>
      </vt:variant>
      <vt:variant>
        <vt:i4>0</vt:i4>
      </vt:variant>
      <vt:variant>
        <vt:i4>5</vt:i4>
      </vt:variant>
      <vt:variant>
        <vt:lpwstr>http://www.stats.govt.nz/integrated-data/integrated-data-infrastructure</vt:lpwstr>
      </vt:variant>
      <vt:variant>
        <vt:lpwstr/>
      </vt:variant>
      <vt:variant>
        <vt:i4>8126513</vt:i4>
      </vt:variant>
      <vt:variant>
        <vt:i4>48</vt:i4>
      </vt:variant>
      <vt:variant>
        <vt:i4>0</vt:i4>
      </vt:variant>
      <vt:variant>
        <vt:i4>5</vt:i4>
      </vt:variant>
      <vt:variant>
        <vt:lpwstr>http://www.health.govt.nz/publication/literature-review-provision-and-effectiveness-residential-programmes-gambling-harm-treatment</vt:lpwstr>
      </vt:variant>
      <vt:variant>
        <vt:lpwstr/>
      </vt:variant>
      <vt:variant>
        <vt:i4>5046350</vt:i4>
      </vt:variant>
      <vt:variant>
        <vt:i4>45</vt:i4>
      </vt:variant>
      <vt:variant>
        <vt:i4>0</vt:i4>
      </vt:variant>
      <vt:variant>
        <vt:i4>5</vt:i4>
      </vt:variant>
      <vt:variant>
        <vt:lpwstr>http://www.health.govt.nz/publication/peer-worker-roles-preventing-and-minimising-gambling-harm-sector-literature-review</vt:lpwstr>
      </vt:variant>
      <vt:variant>
        <vt:lpwstr/>
      </vt:variant>
      <vt:variant>
        <vt:i4>262215</vt:i4>
      </vt:variant>
      <vt:variant>
        <vt:i4>42</vt:i4>
      </vt:variant>
      <vt:variant>
        <vt:i4>0</vt:i4>
      </vt:variant>
      <vt:variant>
        <vt:i4>5</vt:i4>
      </vt:variant>
      <vt:variant>
        <vt:lpwstr>http://www.health.govt.nz/publication/effectiveness-face-face-gambling-interventions-two-years-later</vt:lpwstr>
      </vt:variant>
      <vt:variant>
        <vt:lpwstr/>
      </vt:variant>
      <vt:variant>
        <vt:i4>2752613</vt:i4>
      </vt:variant>
      <vt:variant>
        <vt:i4>36</vt:i4>
      </vt:variant>
      <vt:variant>
        <vt:i4>0</vt:i4>
      </vt:variant>
      <vt:variant>
        <vt:i4>5</vt:i4>
      </vt:variant>
      <vt:variant>
        <vt:lpwstr>http://www.gamgard.com/</vt:lpwstr>
      </vt:variant>
      <vt:variant>
        <vt:lpwstr/>
      </vt:variant>
      <vt:variant>
        <vt:i4>1310815</vt:i4>
      </vt:variant>
      <vt:variant>
        <vt:i4>33</vt:i4>
      </vt:variant>
      <vt:variant>
        <vt:i4>0</vt:i4>
      </vt:variant>
      <vt:variant>
        <vt:i4>5</vt:i4>
      </vt:variant>
      <vt:variant>
        <vt:lpwstr>D:\05 Formatting\04 MoH\2024.08.15 Gambling Harm\www.health.govt.nz\new-zealand-health-system\health-system-reforms</vt:lpwstr>
      </vt:variant>
      <vt:variant>
        <vt:lpwstr/>
      </vt:variant>
      <vt:variant>
        <vt:i4>5898267</vt:i4>
      </vt:variant>
      <vt:variant>
        <vt:i4>30</vt:i4>
      </vt:variant>
      <vt:variant>
        <vt:i4>0</vt:i4>
      </vt:variant>
      <vt:variant>
        <vt:i4>5</vt:i4>
      </vt:variant>
      <vt:variant>
        <vt:lpwstr>https://www.dia.govt.nz/diawebsite.nsf/Files/Compliance-and-Enforcement-Model-2-800/$file/Compliance-and-Enforcement- Policy-Final-design.pdf</vt:lpwstr>
      </vt:variant>
      <vt:variant>
        <vt:lpwstr/>
      </vt:variant>
      <vt:variant>
        <vt:i4>4194389</vt:i4>
      </vt:variant>
      <vt:variant>
        <vt:i4>27</vt:i4>
      </vt:variant>
      <vt:variant>
        <vt:i4>0</vt:i4>
      </vt:variant>
      <vt:variant>
        <vt:i4>5</vt:i4>
      </vt:variant>
      <vt:variant>
        <vt:lpwstr>http://www.dia.govt.nz/gambling-statistics-gmp-dashboard</vt:lpwstr>
      </vt:variant>
      <vt:variant>
        <vt:lpwstr/>
      </vt:variant>
      <vt:variant>
        <vt:i4>8126572</vt:i4>
      </vt:variant>
      <vt:variant>
        <vt:i4>24</vt:i4>
      </vt:variant>
      <vt:variant>
        <vt:i4>0</vt:i4>
      </vt:variant>
      <vt:variant>
        <vt:i4>5</vt:i4>
      </vt:variant>
      <vt:variant>
        <vt:lpwstr>http://www.youth19.ac.nz/publications/gambling</vt:lpwstr>
      </vt:variant>
      <vt:variant>
        <vt:lpwstr/>
      </vt:variant>
      <vt:variant>
        <vt:i4>2424868</vt:i4>
      </vt:variant>
      <vt:variant>
        <vt:i4>21</vt:i4>
      </vt:variant>
      <vt:variant>
        <vt:i4>0</vt:i4>
      </vt:variant>
      <vt:variant>
        <vt:i4>5</vt:i4>
      </vt:variant>
      <vt:variant>
        <vt:lpwstr>http://www.pgf.nz/downloads/assets/13448/1/pgf0033</vt:lpwstr>
      </vt:variant>
      <vt:variant>
        <vt:lpwstr/>
      </vt:variant>
      <vt:variant>
        <vt:i4>2621551</vt:i4>
      </vt:variant>
      <vt:variant>
        <vt:i4>18</vt:i4>
      </vt:variant>
      <vt:variant>
        <vt:i4>0</vt:i4>
      </vt:variant>
      <vt:variant>
        <vt:i4>5</vt:i4>
      </vt:variant>
      <vt:variant>
        <vt:lpwstr>D:\05 Formatting\04 MoH\2024.08.15 Gambling Harm\www.gov.uk\government\publications\gambling-related-harms-evidence-review\gambling-related-harms-evidence-review-summary--2</vt:lpwstr>
      </vt:variant>
      <vt:variant>
        <vt:lpwstr/>
      </vt:variant>
      <vt:variant>
        <vt:i4>5111883</vt:i4>
      </vt:variant>
      <vt:variant>
        <vt:i4>15</vt:i4>
      </vt:variant>
      <vt:variant>
        <vt:i4>0</vt:i4>
      </vt:variant>
      <vt:variant>
        <vt:i4>5</vt:i4>
      </vt:variant>
      <vt:variant>
        <vt:lpwstr>https://kupe.healthpromotion.govt.nz/</vt:lpwstr>
      </vt:variant>
      <vt:variant>
        <vt:lpwstr/>
      </vt:variant>
      <vt:variant>
        <vt:i4>7078000</vt:i4>
      </vt:variant>
      <vt:variant>
        <vt:i4>12</vt:i4>
      </vt:variant>
      <vt:variant>
        <vt:i4>0</vt:i4>
      </vt:variant>
      <vt:variant>
        <vt:i4>5</vt:i4>
      </vt:variant>
      <vt:variant>
        <vt:lpwstr>https://mohgovtnz.sharepoint.com/sites/moh-ecm-MentHealSPL/Shared Documents/Preventing &amp; Minimising Gambling Harm/Strategy and policy/Strategy/Strategy to Prevent and Minimise Gambling Harm 2025-26 to 2027-28/Developing Strategic and Service Plans/Final strategy/final strategy drafts/NZGS</vt:lpwstr>
      </vt:variant>
      <vt:variant>
        <vt:lpwstr/>
      </vt:variant>
      <vt:variant>
        <vt:i4>1704019</vt:i4>
      </vt:variant>
      <vt:variant>
        <vt:i4>9</vt:i4>
      </vt:variant>
      <vt:variant>
        <vt:i4>0</vt:i4>
      </vt:variant>
      <vt:variant>
        <vt:i4>5</vt:i4>
      </vt:variant>
      <vt:variant>
        <vt:lpwstr>http://www.health.govt.nz/publication/measuring-burden-gambling-harm-new-zealand</vt:lpwstr>
      </vt:variant>
      <vt:variant>
        <vt:lpwstr/>
      </vt:variant>
      <vt:variant>
        <vt:i4>6684715</vt:i4>
      </vt:variant>
      <vt:variant>
        <vt:i4>6</vt:i4>
      </vt:variant>
      <vt:variant>
        <vt:i4>0</vt:i4>
      </vt:variant>
      <vt:variant>
        <vt:i4>5</vt:i4>
      </vt:variant>
      <vt:variant>
        <vt:lpwstr>https://www.dia.govt.nz/gambling-statistics-expenditure</vt:lpwstr>
      </vt:variant>
      <vt:variant>
        <vt:lpwstr/>
      </vt:variant>
      <vt:variant>
        <vt:i4>786511</vt:i4>
      </vt:variant>
      <vt:variant>
        <vt:i4>3</vt:i4>
      </vt:variant>
      <vt:variant>
        <vt:i4>0</vt:i4>
      </vt:variant>
      <vt:variant>
        <vt:i4>5</vt:i4>
      </vt:variant>
      <vt:variant>
        <vt:lpwstr>https://catalogue.data.govt.nz/dataset/gambling-expenditure-statistics/resource/941f3304-75a7-48b7-8af0-8d6733881a36</vt:lpwstr>
      </vt:variant>
      <vt:variant>
        <vt:lpwstr/>
      </vt:variant>
      <vt:variant>
        <vt:i4>131081</vt:i4>
      </vt:variant>
      <vt:variant>
        <vt:i4>0</vt:i4>
      </vt:variant>
      <vt:variant>
        <vt:i4>0</vt:i4>
      </vt:variant>
      <vt:variant>
        <vt:i4>5</vt:i4>
      </vt:variant>
      <vt:variant>
        <vt:lpwstr>https://pubmed.ncbi.nlm.nih.gov/39491880/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Appendices: Strategy to Prevent and Minimise Gambling Harm 2025/26 to 2027/28: Proposals document</dc:title>
  <dc:subject/>
  <dc:creator>Ministry of Health</dc:creator>
  <cp:keywords/>
  <cp:lastModifiedBy>Ministry of Health</cp:lastModifiedBy>
  <cp:revision>2</cp:revision>
  <cp:lastPrinted>2025-08-28T23:44:00Z</cp:lastPrinted>
  <dcterms:created xsi:type="dcterms:W3CDTF">2025-09-11T04:45:00Z</dcterms:created>
  <dcterms:modified xsi:type="dcterms:W3CDTF">2025-09-11T04:45:00Z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0x010100A28230263C7D7A4FB197614F88F6A462</vt:lpwstr>
  </property>
  <property fmtid="{D5CDD505-2E9C-101B-9397-08002B2CF9AE}" pid="3" name="_dlc_DocIdItemGuid">
    <vt:lpwstr>067528c8-94ef-4675-8fb4-208bb04739ea</vt:lpwstr>
  </property>
  <property fmtid="{D5CDD505-2E9C-101B-9397-08002B2CF9AE}" pid="4" name="MediaServiceImageTags">
    <vt:lpwstr/>
  </property>
</Properties>
</file>