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34" w:type="dxa"/>
        <w:tblLayout w:type="fixed"/>
        <w:tblCellMar>
          <w:left w:w="0" w:type="dxa"/>
          <w:right w:w="0" w:type="dxa"/>
        </w:tblCellMar>
        <w:tblLook w:val="04A0" w:firstRow="1" w:lastRow="0" w:firstColumn="1" w:lastColumn="0" w:noHBand="0" w:noVBand="1"/>
      </w:tblPr>
      <w:tblGrid>
        <w:gridCol w:w="425"/>
        <w:gridCol w:w="10348"/>
      </w:tblGrid>
      <w:tr w:rsidR="00DC7C56" w:rsidRPr="00DA30A0" w14:paraId="09DDDF23" w14:textId="77777777" w:rsidTr="00754A43">
        <w:trPr>
          <w:cantSplit/>
        </w:trPr>
        <w:tc>
          <w:tcPr>
            <w:tcW w:w="425" w:type="dxa"/>
            <w:vMerge w:val="restart"/>
            <w:tcBorders>
              <w:top w:val="nil"/>
              <w:left w:val="nil"/>
              <w:bottom w:val="nil"/>
              <w:right w:val="nil"/>
            </w:tcBorders>
            <w:shd w:val="clear" w:color="auto" w:fill="auto"/>
          </w:tcPr>
          <w:p w14:paraId="09DDDF21" w14:textId="77777777" w:rsidR="00DC7C56" w:rsidRPr="00DA30A0" w:rsidRDefault="00DC7C56" w:rsidP="00DC7C56"/>
        </w:tc>
        <w:tc>
          <w:tcPr>
            <w:tcW w:w="10348" w:type="dxa"/>
            <w:tcBorders>
              <w:top w:val="nil"/>
              <w:left w:val="nil"/>
              <w:bottom w:val="nil"/>
              <w:right w:val="nil"/>
            </w:tcBorders>
            <w:shd w:val="clear" w:color="auto" w:fill="auto"/>
          </w:tcPr>
          <w:p w14:paraId="09DDDF22" w14:textId="57538928" w:rsidR="00DC7C56" w:rsidRPr="00DA30A0" w:rsidRDefault="00F84134" w:rsidP="00DC7C56">
            <w:pPr>
              <w:pStyle w:val="Title"/>
              <w:rPr>
                <w:color w:val="23305D" w:themeColor="text2"/>
              </w:rPr>
            </w:pPr>
            <w:r w:rsidRPr="00DA30A0">
              <w:rPr>
                <w:color w:val="23305D" w:themeColor="text2"/>
              </w:rPr>
              <w:t>P</w:t>
            </w:r>
            <w:r w:rsidR="00FE4B14">
              <w:rPr>
                <w:color w:val="23305D" w:themeColor="text2"/>
              </w:rPr>
              <w:t>ublic</w:t>
            </w:r>
            <w:r w:rsidRPr="00DA30A0">
              <w:rPr>
                <w:color w:val="23305D" w:themeColor="text2"/>
              </w:rPr>
              <w:t xml:space="preserve"> health guidance for hairdressers and barbers</w:t>
            </w:r>
          </w:p>
        </w:tc>
      </w:tr>
      <w:tr w:rsidR="00DC7C56" w:rsidRPr="00DA30A0" w14:paraId="09DDDF26" w14:textId="77777777" w:rsidTr="00754A43">
        <w:trPr>
          <w:cantSplit/>
        </w:trPr>
        <w:tc>
          <w:tcPr>
            <w:tcW w:w="425" w:type="dxa"/>
            <w:vMerge/>
            <w:tcBorders>
              <w:top w:val="nil"/>
              <w:left w:val="nil"/>
              <w:bottom w:val="nil"/>
              <w:right w:val="nil"/>
            </w:tcBorders>
            <w:shd w:val="clear" w:color="auto" w:fill="auto"/>
          </w:tcPr>
          <w:p w14:paraId="09DDDF24" w14:textId="77777777" w:rsidR="00DC7C56" w:rsidRPr="00DA30A0" w:rsidRDefault="00DC7C56" w:rsidP="00DC7C56"/>
        </w:tc>
        <w:tc>
          <w:tcPr>
            <w:tcW w:w="10348" w:type="dxa"/>
            <w:tcBorders>
              <w:top w:val="nil"/>
              <w:left w:val="nil"/>
              <w:bottom w:val="nil"/>
              <w:right w:val="nil"/>
            </w:tcBorders>
            <w:shd w:val="clear" w:color="auto" w:fill="auto"/>
          </w:tcPr>
          <w:p w14:paraId="09DDDF25" w14:textId="581B4270" w:rsidR="00DC7C56" w:rsidRPr="00DA30A0" w:rsidRDefault="00DC7C56" w:rsidP="00F84134">
            <w:pPr>
              <w:pStyle w:val="Subhead"/>
              <w:spacing w:before="120"/>
              <w:rPr>
                <w:color w:val="23305D" w:themeColor="text2"/>
              </w:rPr>
            </w:pPr>
          </w:p>
        </w:tc>
      </w:tr>
      <w:tr w:rsidR="00DC7C56" w:rsidRPr="00DA30A0" w14:paraId="09DDDF29" w14:textId="77777777" w:rsidTr="00754A43">
        <w:trPr>
          <w:cantSplit/>
        </w:trPr>
        <w:tc>
          <w:tcPr>
            <w:tcW w:w="425" w:type="dxa"/>
            <w:vMerge/>
            <w:tcBorders>
              <w:top w:val="nil"/>
              <w:left w:val="nil"/>
              <w:bottom w:val="nil"/>
              <w:right w:val="nil"/>
            </w:tcBorders>
            <w:shd w:val="clear" w:color="auto" w:fill="auto"/>
          </w:tcPr>
          <w:p w14:paraId="09DDDF27" w14:textId="77777777" w:rsidR="00DC7C56" w:rsidRPr="00DA30A0" w:rsidRDefault="00DC7C56" w:rsidP="00DC7C56"/>
        </w:tc>
        <w:tc>
          <w:tcPr>
            <w:tcW w:w="10348" w:type="dxa"/>
            <w:tcBorders>
              <w:top w:val="nil"/>
              <w:left w:val="nil"/>
              <w:bottom w:val="nil"/>
              <w:right w:val="nil"/>
            </w:tcBorders>
            <w:shd w:val="clear" w:color="auto" w:fill="auto"/>
          </w:tcPr>
          <w:p w14:paraId="09DDDF28" w14:textId="0163E256" w:rsidR="00DC7C56" w:rsidRPr="00DA30A0" w:rsidRDefault="00F84134" w:rsidP="00F84134">
            <w:pPr>
              <w:pStyle w:val="Year"/>
              <w:spacing w:before="100" w:beforeAutospacing="1"/>
              <w:rPr>
                <w:color w:val="23305D" w:themeColor="text2"/>
              </w:rPr>
            </w:pPr>
            <w:r w:rsidRPr="00DA30A0">
              <w:rPr>
                <w:color w:val="23305D" w:themeColor="text2"/>
              </w:rPr>
              <w:t>2025</w:t>
            </w:r>
          </w:p>
        </w:tc>
      </w:tr>
    </w:tbl>
    <w:p w14:paraId="09DDDF2A" w14:textId="77777777" w:rsidR="00C05132" w:rsidRPr="00DA30A0" w:rsidRDefault="00DC7C56" w:rsidP="004C6811">
      <w:pPr>
        <w:spacing w:before="600"/>
      </w:pPr>
      <w:r w:rsidRPr="00DA30A0">
        <w:rPr>
          <w:noProof/>
          <w:lang w:eastAsia="en-NZ"/>
        </w:rPr>
        <w:drawing>
          <wp:inline distT="0" distB="0" distL="0" distR="0" wp14:anchorId="09DDDF8A" wp14:editId="09DDDF8B">
            <wp:extent cx="6113639" cy="4206240"/>
            <wp:effectExtent l="0" t="0" r="1905" b="3810"/>
            <wp:docPr id="8" name="Picture 1" descr="Background pattern&#10;&#10;Description automatically generated">
              <a:extLst xmlns:a="http://schemas.openxmlformats.org/drawingml/2006/main">
                <a:ext uri="{FF2B5EF4-FFF2-40B4-BE49-F238E27FC236}">
                  <a16:creationId xmlns:a16="http://schemas.microsoft.com/office/drawing/2014/main" id="{AD64F633-D4C7-BE1E-3B6B-F6DD95A2B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a:extLst>
                        <a:ext uri="{FF2B5EF4-FFF2-40B4-BE49-F238E27FC236}">
                          <a16:creationId xmlns:a16="http://schemas.microsoft.com/office/drawing/2014/main" id="{AD64F633-D4C7-BE1E-3B6B-F6DD95A2B235}"/>
                        </a:ext>
                      </a:extLst>
                    </pic:cNvPr>
                    <pic:cNvPicPr>
                      <a:picLocks noChangeAspect="1"/>
                    </pic:cNvPicPr>
                  </pic:nvPicPr>
                  <pic:blipFill rotWithShape="1">
                    <a:blip r:embed="rId13">
                      <a:extLst>
                        <a:ext uri="{28A0092B-C50C-407E-A947-70E740481C1C}">
                          <a14:useLocalDpi xmlns:a14="http://schemas.microsoft.com/office/drawing/2010/main" val="0"/>
                        </a:ext>
                      </a:extLst>
                    </a:blip>
                    <a:srcRect t="38812" b="15341"/>
                    <a:stretch/>
                  </pic:blipFill>
                  <pic:spPr bwMode="auto">
                    <a:xfrm>
                      <a:off x="0" y="0"/>
                      <a:ext cx="6116308" cy="4208077"/>
                    </a:xfrm>
                    <a:prstGeom prst="rect">
                      <a:avLst/>
                    </a:prstGeom>
                    <a:ln>
                      <a:noFill/>
                    </a:ln>
                    <a:extLst>
                      <a:ext uri="{53640926-AAD7-44D8-BBD7-CCE9431645EC}">
                        <a14:shadowObscured xmlns:a14="http://schemas.microsoft.com/office/drawing/2010/main"/>
                      </a:ext>
                    </a:extLst>
                  </pic:spPr>
                </pic:pic>
              </a:graphicData>
            </a:graphic>
          </wp:inline>
        </w:drawing>
      </w:r>
    </w:p>
    <w:p w14:paraId="09DDDF2B" w14:textId="77777777" w:rsidR="00142954" w:rsidRPr="00DA30A0" w:rsidRDefault="00142954" w:rsidP="00142954">
      <w:pPr>
        <w:sectPr w:rsidR="00142954" w:rsidRPr="00DA30A0" w:rsidSect="00E064D9">
          <w:headerReference w:type="default" r:id="rId14"/>
          <w:footerReference w:type="default" r:id="rId15"/>
          <w:pgSz w:w="11907" w:h="16834" w:code="9"/>
          <w:pgMar w:top="3119" w:right="1134" w:bottom="1134" w:left="1134" w:header="567" w:footer="851" w:gutter="0"/>
          <w:pgNumType w:start="1"/>
          <w:cols w:space="720"/>
        </w:sectPr>
      </w:pPr>
    </w:p>
    <w:p w14:paraId="09DDDF2C" w14:textId="77777777" w:rsidR="00D27922" w:rsidRPr="00DA30A0" w:rsidRDefault="00D27922" w:rsidP="00567E1E">
      <w:pPr>
        <w:pStyle w:val="Heading3"/>
        <w:spacing w:before="120"/>
      </w:pPr>
      <w:r w:rsidRPr="00DA30A0">
        <w:lastRenderedPageBreak/>
        <w:t>Acknowledgements</w:t>
      </w:r>
    </w:p>
    <w:p w14:paraId="09DDDF2D" w14:textId="23463197" w:rsidR="00D27922" w:rsidRPr="00DA30A0" w:rsidRDefault="004C6811" w:rsidP="00462608">
      <w:r w:rsidRPr="00DA30A0">
        <w:rPr>
          <w:rFonts w:cs="Segoe UI"/>
          <w:sz w:val="20"/>
        </w:rPr>
        <w:t>This document has been developed based on similar guidance provided by Australian states – particularly drawing on material developed by the Departments of Health in Victoria and Western Australia.</w:t>
      </w:r>
    </w:p>
    <w:p w14:paraId="23F0894E" w14:textId="77777777" w:rsidR="00462608" w:rsidRPr="00DA30A0" w:rsidRDefault="00462608" w:rsidP="00462608">
      <w:pPr>
        <w:pStyle w:val="Heading3"/>
      </w:pPr>
      <w:r w:rsidRPr="00DA30A0">
        <w:t>Comments</w:t>
      </w:r>
    </w:p>
    <w:p w14:paraId="5DD032A1" w14:textId="77777777" w:rsidR="00462608" w:rsidRPr="00DA30A0" w:rsidRDefault="00462608" w:rsidP="006904D1">
      <w:pPr>
        <w:rPr>
          <w:rFonts w:cs="Segoe UI"/>
          <w:sz w:val="20"/>
        </w:rPr>
      </w:pPr>
      <w:r w:rsidRPr="00DA30A0">
        <w:rPr>
          <w:rFonts w:cs="Segoe UI"/>
          <w:sz w:val="20"/>
        </w:rPr>
        <w:t>If you have any comments, please send them to the Ministry of Health:</w:t>
      </w:r>
    </w:p>
    <w:p w14:paraId="173322AF" w14:textId="77777777" w:rsidR="00462608" w:rsidRPr="00DA30A0" w:rsidRDefault="00462608" w:rsidP="00462608">
      <w:pPr>
        <w:rPr>
          <w:sz w:val="11"/>
          <w:szCs w:val="10"/>
        </w:rPr>
      </w:pPr>
    </w:p>
    <w:p w14:paraId="27604129" w14:textId="00D29C5E" w:rsidR="00462608" w:rsidRPr="00DA30A0" w:rsidRDefault="00462608" w:rsidP="006904D1">
      <w:pPr>
        <w:ind w:left="1701" w:right="-567" w:hanging="1701"/>
        <w:rPr>
          <w:rFonts w:cs="Segoe UI"/>
          <w:sz w:val="20"/>
        </w:rPr>
      </w:pPr>
      <w:r w:rsidRPr="00DA30A0">
        <w:rPr>
          <w:rFonts w:cs="Segoe UI"/>
          <w:sz w:val="20"/>
        </w:rPr>
        <w:t>by post to:</w:t>
      </w:r>
      <w:r w:rsidRPr="00DA30A0">
        <w:rPr>
          <w:rFonts w:cs="Segoe UI"/>
          <w:sz w:val="20"/>
        </w:rPr>
        <w:tab/>
      </w:r>
      <w:r w:rsidRPr="00DA30A0">
        <w:rPr>
          <w:rFonts w:cs="Segoe UI"/>
          <w:sz w:val="20"/>
        </w:rPr>
        <w:tab/>
        <w:t>Ministry of Health – Manatū Hauora</w:t>
      </w:r>
      <w:r w:rsidR="0052100A" w:rsidRPr="00DA30A0">
        <w:rPr>
          <w:rFonts w:cs="Segoe UI"/>
          <w:sz w:val="20"/>
        </w:rPr>
        <w:br/>
      </w:r>
      <w:r w:rsidRPr="00DA30A0">
        <w:rPr>
          <w:rFonts w:cs="Segoe UI"/>
          <w:sz w:val="20"/>
        </w:rPr>
        <w:t>133 Molesworth Street</w:t>
      </w:r>
      <w:r w:rsidR="0052100A" w:rsidRPr="00DA30A0">
        <w:rPr>
          <w:rFonts w:cs="Segoe UI"/>
          <w:sz w:val="20"/>
        </w:rPr>
        <w:br/>
      </w:r>
      <w:r w:rsidRPr="00DA30A0">
        <w:rPr>
          <w:rFonts w:cs="Segoe UI"/>
          <w:sz w:val="20"/>
        </w:rPr>
        <w:tab/>
        <w:t>PO Box 5013</w:t>
      </w:r>
      <w:r w:rsidR="0052100A" w:rsidRPr="00DA30A0">
        <w:rPr>
          <w:rFonts w:cs="Segoe UI"/>
          <w:sz w:val="20"/>
        </w:rPr>
        <w:br/>
      </w:r>
      <w:r w:rsidRPr="00DA30A0">
        <w:rPr>
          <w:rFonts w:cs="Segoe UI"/>
          <w:sz w:val="20"/>
        </w:rPr>
        <w:tab/>
        <w:t>Wellington 6145</w:t>
      </w:r>
    </w:p>
    <w:p w14:paraId="32B086D4" w14:textId="77777777" w:rsidR="00462608" w:rsidRPr="00DA30A0" w:rsidRDefault="00462608" w:rsidP="006904D1">
      <w:pPr>
        <w:rPr>
          <w:sz w:val="11"/>
          <w:szCs w:val="10"/>
        </w:rPr>
      </w:pPr>
    </w:p>
    <w:p w14:paraId="3931510D" w14:textId="6C21C961" w:rsidR="00462608" w:rsidRPr="00DA30A0" w:rsidRDefault="00462608" w:rsidP="006904D1">
      <w:pPr>
        <w:ind w:left="1701" w:right="-567" w:hanging="1701"/>
        <w:rPr>
          <w:rFonts w:cs="Segoe UI"/>
          <w:sz w:val="20"/>
        </w:rPr>
      </w:pPr>
      <w:r w:rsidRPr="00DA30A0">
        <w:rPr>
          <w:rFonts w:cs="Segoe UI"/>
          <w:sz w:val="20"/>
        </w:rPr>
        <w:t>or by email to:</w:t>
      </w:r>
      <w:r w:rsidRPr="00DA30A0">
        <w:rPr>
          <w:rFonts w:cs="Segoe UI"/>
          <w:sz w:val="20"/>
        </w:rPr>
        <w:tab/>
      </w:r>
      <w:hyperlink r:id="rId16" w:history="1">
        <w:r w:rsidRPr="00DA30A0">
          <w:rPr>
            <w:rStyle w:val="Hyperlink"/>
            <w:rFonts w:cs="Segoe UI"/>
            <w:sz w:val="20"/>
          </w:rPr>
          <w:t>info@health.govt.nz</w:t>
        </w:r>
      </w:hyperlink>
    </w:p>
    <w:p w14:paraId="6113BDB3" w14:textId="77777777" w:rsidR="00462608" w:rsidRPr="00DA30A0" w:rsidRDefault="00462608" w:rsidP="00462608">
      <w:pPr>
        <w:pStyle w:val="Heading3"/>
      </w:pPr>
      <w:r w:rsidRPr="00DA30A0">
        <w:t>Version</w:t>
      </w:r>
    </w:p>
    <w:p w14:paraId="2B8F4728" w14:textId="3273C0ED" w:rsidR="00462608" w:rsidRPr="00DA30A0" w:rsidRDefault="00462608" w:rsidP="00462608">
      <w:pPr>
        <w:pStyle w:val="Imprint"/>
        <w:spacing w:before="240"/>
        <w:ind w:right="567"/>
        <w:rPr>
          <w:rFonts w:cs="Segoe UI"/>
        </w:rPr>
      </w:pPr>
      <w:r w:rsidRPr="00DA30A0">
        <w:rPr>
          <w:rFonts w:cs="Segoe UI"/>
        </w:rPr>
        <w:t xml:space="preserve">Citation: Ministry of Health. 2025. </w:t>
      </w:r>
      <w:r w:rsidRPr="00DA30A0">
        <w:rPr>
          <w:rFonts w:cs="Segoe UI"/>
          <w:i/>
        </w:rPr>
        <w:t xml:space="preserve">Public </w:t>
      </w:r>
      <w:r w:rsidR="00FE4B14">
        <w:rPr>
          <w:rFonts w:cs="Segoe UI"/>
          <w:i/>
        </w:rPr>
        <w:t>H</w:t>
      </w:r>
      <w:r w:rsidRPr="00DA30A0">
        <w:rPr>
          <w:rFonts w:cs="Segoe UI"/>
          <w:i/>
        </w:rPr>
        <w:t xml:space="preserve">ealth </w:t>
      </w:r>
      <w:r w:rsidR="00FE4B14">
        <w:rPr>
          <w:rFonts w:cs="Segoe UI"/>
          <w:i/>
        </w:rPr>
        <w:t>G</w:t>
      </w:r>
      <w:r w:rsidRPr="00DA30A0">
        <w:rPr>
          <w:rFonts w:cs="Segoe UI"/>
          <w:i/>
        </w:rPr>
        <w:t xml:space="preserve">uidance for </w:t>
      </w:r>
      <w:r w:rsidR="00FE4B14">
        <w:rPr>
          <w:rFonts w:cs="Segoe UI"/>
          <w:i/>
        </w:rPr>
        <w:t>H</w:t>
      </w:r>
      <w:r w:rsidRPr="00DA30A0">
        <w:rPr>
          <w:rFonts w:cs="Segoe UI"/>
          <w:i/>
        </w:rPr>
        <w:t xml:space="preserve">airdressers and </w:t>
      </w:r>
      <w:r w:rsidR="00FE4B14">
        <w:rPr>
          <w:rFonts w:cs="Segoe UI"/>
          <w:i/>
        </w:rPr>
        <w:t>B</w:t>
      </w:r>
      <w:r w:rsidRPr="00DA30A0">
        <w:rPr>
          <w:rFonts w:cs="Segoe UI"/>
          <w:i/>
        </w:rPr>
        <w:t>arbers</w:t>
      </w:r>
      <w:r w:rsidRPr="00DA30A0">
        <w:rPr>
          <w:rFonts w:cs="Segoe UI"/>
        </w:rPr>
        <w:t>. Wellington: Ministry of Health.</w:t>
      </w:r>
    </w:p>
    <w:p w14:paraId="32A99283" w14:textId="77777777" w:rsidR="00462608" w:rsidRPr="00DA30A0" w:rsidRDefault="00462608" w:rsidP="00462608">
      <w:pPr>
        <w:pStyle w:val="Imprint"/>
        <w:ind w:right="567"/>
      </w:pPr>
      <w:r w:rsidRPr="00DA30A0">
        <w:t>Published in July 2025 by the Ministry of Health</w:t>
      </w:r>
      <w:r w:rsidRPr="00DA30A0">
        <w:br/>
        <w:t>PO Box 5013, Wellington 6140, New Zealand</w:t>
      </w:r>
    </w:p>
    <w:p w14:paraId="09DDDF30" w14:textId="6B612646" w:rsidR="00082CD6" w:rsidRPr="00DA30A0" w:rsidRDefault="00D863D0" w:rsidP="00082CD6">
      <w:pPr>
        <w:pStyle w:val="Imprint"/>
      </w:pPr>
      <w:r w:rsidRPr="00DA30A0">
        <w:t>ISBN</w:t>
      </w:r>
      <w:r w:rsidR="00442C1C" w:rsidRPr="00DA30A0">
        <w:t xml:space="preserve"> </w:t>
      </w:r>
      <w:r w:rsidR="00605F92" w:rsidRPr="00605F92">
        <w:t>978-1-991324-40-5</w:t>
      </w:r>
      <w:r w:rsidR="002B7BEC" w:rsidRPr="00DA30A0">
        <w:t xml:space="preserve"> </w:t>
      </w:r>
      <w:r w:rsidRPr="00DA30A0">
        <w:t>(</w:t>
      </w:r>
      <w:r w:rsidR="00442C1C" w:rsidRPr="00DA30A0">
        <w:t>online</w:t>
      </w:r>
      <w:r w:rsidRPr="00DA30A0">
        <w:t>)</w:t>
      </w:r>
      <w:r w:rsidR="00082CD6" w:rsidRPr="00DA30A0">
        <w:br/>
        <w:t xml:space="preserve">HP </w:t>
      </w:r>
      <w:r w:rsidR="0033452F">
        <w:t>9134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18"/>
        <w:gridCol w:w="3544"/>
      </w:tblGrid>
      <w:tr w:rsidR="00754A43" w:rsidRPr="00DA30A0" w14:paraId="74948245" w14:textId="77777777" w:rsidTr="00030609">
        <w:trPr>
          <w:trHeight w:val="20"/>
        </w:trPr>
        <w:tc>
          <w:tcPr>
            <w:tcW w:w="2518" w:type="dxa"/>
          </w:tcPr>
          <w:p w14:paraId="21B5C548" w14:textId="3CA54814" w:rsidR="00754A43" w:rsidRPr="00DA30A0" w:rsidRDefault="00754A43" w:rsidP="00EA75B3">
            <w:pPr>
              <w:spacing w:before="360"/>
            </w:pPr>
            <w:r w:rsidRPr="00DA30A0">
              <w:rPr>
                <w:noProof/>
                <w:lang w:eastAsia="en-NZ"/>
              </w:rPr>
              <w:drawing>
                <wp:inline distT="0" distB="0" distL="0" distR="0" wp14:anchorId="005698D7" wp14:editId="4EB21FC5">
                  <wp:extent cx="1431581" cy="623817"/>
                  <wp:effectExtent l="0" t="0" r="0" b="0"/>
                  <wp:docPr id="17" name="Picture 17"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inistry of Health logo"/>
                          <pic:cNvPicPr>
                            <a:picLocks noChangeAspect="1" noChangeArrowheads="1"/>
                          </pic:cNvPicPr>
                        </pic:nvPicPr>
                        <pic:blipFill>
                          <a:blip r:embed="rId17"/>
                          <a:srcRect t="4012" b="4012"/>
                          <a:stretch>
                            <a:fillRect/>
                          </a:stretch>
                        </pic:blipFill>
                        <pic:spPr bwMode="auto">
                          <a:xfrm>
                            <a:off x="0" y="0"/>
                            <a:ext cx="1431581" cy="623817"/>
                          </a:xfrm>
                          <a:prstGeom prst="rect">
                            <a:avLst/>
                          </a:prstGeom>
                          <a:noFill/>
                          <a:ln>
                            <a:noFill/>
                          </a:ln>
                          <a:extLst>
                            <a:ext uri="{53640926-AAD7-44D8-BBD7-CCE9431645EC}">
                              <a14:shadowObscured xmlns:a14="http://schemas.microsoft.com/office/drawing/2010/main"/>
                            </a:ext>
                          </a:extLst>
                        </pic:spPr>
                      </pic:pic>
                    </a:graphicData>
                  </a:graphic>
                </wp:inline>
              </w:drawing>
            </w:r>
            <w:r w:rsidRPr="00DA30A0">
              <w:t xml:space="preserve">  </w:t>
            </w:r>
          </w:p>
        </w:tc>
        <w:tc>
          <w:tcPr>
            <w:tcW w:w="3544" w:type="dxa"/>
          </w:tcPr>
          <w:p w14:paraId="2A32A945" w14:textId="555E2C9A" w:rsidR="00754A43" w:rsidRPr="00DA30A0" w:rsidRDefault="00754A43" w:rsidP="00EA75B3">
            <w:pPr>
              <w:spacing w:before="360"/>
            </w:pPr>
            <w:r w:rsidRPr="00DA30A0">
              <w:rPr>
                <w:noProof/>
              </w:rPr>
              <w:drawing>
                <wp:inline distT="0" distB="0" distL="0" distR="0" wp14:anchorId="18E1FACC" wp14:editId="703A84BB">
                  <wp:extent cx="1837442" cy="515624"/>
                  <wp:effectExtent l="0" t="0" r="4445" b="0"/>
                  <wp:docPr id="1554280853" name="Picture 2"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80853" name="Picture 2" descr="Public Health Agency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442" cy="515624"/>
                          </a:xfrm>
                          <a:prstGeom prst="rect">
                            <a:avLst/>
                          </a:prstGeom>
                        </pic:spPr>
                      </pic:pic>
                    </a:graphicData>
                  </a:graphic>
                </wp:inline>
              </w:drawing>
            </w:r>
          </w:p>
        </w:tc>
      </w:tr>
    </w:tbl>
    <w:p w14:paraId="09DDDF32" w14:textId="58E1DC7D" w:rsidR="00A63DFF" w:rsidRPr="00DA30A0" w:rsidRDefault="00A63DFF" w:rsidP="00A1473F">
      <w:pPr>
        <w:pStyle w:val="Imprint"/>
        <w:spacing w:before="240"/>
      </w:pPr>
      <w:r w:rsidRPr="00DA30A0">
        <w:t xml:space="preserve">This document is available at </w:t>
      </w:r>
      <w:hyperlink r:id="rId19" w:history="1">
        <w:r w:rsidR="00B155FD" w:rsidRPr="00DA30A0">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DA30A0" w14:paraId="09DDDF35" w14:textId="77777777" w:rsidTr="00A63DFF">
        <w:trPr>
          <w:cantSplit/>
        </w:trPr>
        <w:tc>
          <w:tcPr>
            <w:tcW w:w="1526" w:type="dxa"/>
          </w:tcPr>
          <w:p w14:paraId="09DDDF33" w14:textId="77777777" w:rsidR="00A63DFF" w:rsidRPr="00DA30A0" w:rsidRDefault="00A63DFF" w:rsidP="00F103BE">
            <w:pPr>
              <w:spacing w:before="240"/>
              <w:rPr>
                <w:rFonts w:cs="Segoe UI"/>
                <w:sz w:val="15"/>
                <w:szCs w:val="15"/>
              </w:rPr>
            </w:pPr>
            <w:r w:rsidRPr="00DA30A0">
              <w:rPr>
                <w:rFonts w:cs="Segoe UI"/>
                <w:b/>
                <w:noProof/>
                <w:sz w:val="15"/>
                <w:szCs w:val="15"/>
                <w:lang w:eastAsia="en-NZ"/>
              </w:rPr>
              <w:drawing>
                <wp:inline distT="0" distB="0" distL="0" distR="0" wp14:anchorId="09DDDF8E" wp14:editId="0EFE83E0">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09DDDF34" w14:textId="77777777" w:rsidR="00A63DFF" w:rsidRPr="00DA30A0" w:rsidRDefault="00A63DFF" w:rsidP="00A63DFF">
            <w:pPr>
              <w:rPr>
                <w:rFonts w:cs="Segoe UI"/>
                <w:sz w:val="15"/>
                <w:szCs w:val="15"/>
              </w:rPr>
            </w:pPr>
            <w:r w:rsidRPr="00DA30A0">
              <w:rPr>
                <w:rFonts w:cs="Segoe UI"/>
                <w:sz w:val="15"/>
                <w:szCs w:val="15"/>
              </w:rPr>
              <w:t xml:space="preserve">This work is licensed under the Creative Commons Attribution 4.0 International licence. In essence, </w:t>
            </w:r>
            <w:r w:rsidRPr="00DA30A0">
              <w:rPr>
                <w:rFonts w:cs="Segoe UI"/>
                <w:bCs/>
                <w:sz w:val="15"/>
                <w:szCs w:val="15"/>
              </w:rPr>
              <w:t xml:space="preserve">you are free to: </w:t>
            </w:r>
            <w:r w:rsidRPr="00DA30A0">
              <w:rPr>
                <w:rFonts w:cs="Segoe UI"/>
                <w:sz w:val="15"/>
                <w:szCs w:val="15"/>
              </w:rPr>
              <w:t xml:space="preserve">share </w:t>
            </w:r>
            <w:proofErr w:type="spellStart"/>
            <w:r w:rsidRPr="00DA30A0">
              <w:rPr>
                <w:rFonts w:cs="Segoe UI"/>
                <w:sz w:val="15"/>
                <w:szCs w:val="15"/>
              </w:rPr>
              <w:t>ie</w:t>
            </w:r>
            <w:proofErr w:type="spellEnd"/>
            <w:r w:rsidRPr="00DA30A0">
              <w:rPr>
                <w:rFonts w:cs="Segoe UI"/>
                <w:sz w:val="15"/>
                <w:szCs w:val="15"/>
              </w:rPr>
              <w:t xml:space="preserve">, copy and redistribute the material in any medium or format; adapt </w:t>
            </w:r>
            <w:proofErr w:type="spellStart"/>
            <w:r w:rsidRPr="00DA30A0">
              <w:rPr>
                <w:rFonts w:cs="Segoe UI"/>
                <w:sz w:val="15"/>
                <w:szCs w:val="15"/>
              </w:rPr>
              <w:t>ie</w:t>
            </w:r>
            <w:proofErr w:type="spellEnd"/>
            <w:r w:rsidRPr="00DA30A0">
              <w:rPr>
                <w:rFonts w:cs="Segoe UI"/>
                <w:sz w:val="15"/>
                <w:szCs w:val="15"/>
              </w:rPr>
              <w:t xml:space="preserve">, remix, transform and build upon the material. </w:t>
            </w:r>
            <w:r w:rsidRPr="00DA30A0">
              <w:rPr>
                <w:rFonts w:cs="Segoe UI"/>
                <w:bCs/>
                <w:sz w:val="15"/>
                <w:szCs w:val="15"/>
              </w:rPr>
              <w:t>You must give appropriate credit, provide a link to the licence and indicate if changes were made.</w:t>
            </w:r>
          </w:p>
        </w:tc>
      </w:tr>
    </w:tbl>
    <w:p w14:paraId="09DDDF36" w14:textId="77777777" w:rsidR="007E74F1" w:rsidRPr="00DA30A0" w:rsidRDefault="007E74F1" w:rsidP="006E2886">
      <w:pPr>
        <w:pStyle w:val="Imprint"/>
        <w:rPr>
          <w:sz w:val="13"/>
          <w:szCs w:val="12"/>
        </w:rPr>
      </w:pPr>
    </w:p>
    <w:p w14:paraId="09DDDF37" w14:textId="77777777" w:rsidR="00C86248" w:rsidRPr="00DA30A0" w:rsidRDefault="00C86248">
      <w:pPr>
        <w:jc w:val="center"/>
        <w:sectPr w:rsidR="00C86248" w:rsidRPr="00DA30A0" w:rsidSect="003D59BB">
          <w:headerReference w:type="even" r:id="rId21"/>
          <w:headerReference w:type="default" r:id="rId22"/>
          <w:footerReference w:type="even" r:id="rId23"/>
          <w:footerReference w:type="default" r:id="rId24"/>
          <w:pgSz w:w="11907" w:h="16834" w:code="9"/>
          <w:pgMar w:top="1701" w:right="2268" w:bottom="1134" w:left="2268" w:header="425" w:footer="284" w:gutter="0"/>
          <w:cols w:space="720"/>
          <w:vAlign w:val="bottom"/>
        </w:sectPr>
      </w:pPr>
    </w:p>
    <w:p w14:paraId="09DDDF3F" w14:textId="77777777" w:rsidR="00C86248" w:rsidRPr="00DA30A0" w:rsidRDefault="00C86248" w:rsidP="00025A6F">
      <w:pPr>
        <w:pStyle w:val="IntroHead"/>
      </w:pPr>
      <w:bookmarkStart w:id="0" w:name="_Toc405792991"/>
      <w:bookmarkStart w:id="1" w:name="_Toc405793224"/>
      <w:r w:rsidRPr="00DA30A0">
        <w:lastRenderedPageBreak/>
        <w:t>Contents</w:t>
      </w:r>
      <w:bookmarkEnd w:id="0"/>
      <w:bookmarkEnd w:id="1"/>
    </w:p>
    <w:p w14:paraId="6E07A34B" w14:textId="0E0D892A" w:rsidR="00446F05" w:rsidRDefault="00446F05">
      <w:pPr>
        <w:pStyle w:val="TOC1"/>
        <w:rPr>
          <w:rFonts w:asciiTheme="minorHAnsi" w:eastAsiaTheme="minorEastAsia" w:hAnsiTheme="minorHAnsi" w:cstheme="minorBidi"/>
          <w:noProof/>
          <w:kern w:val="2"/>
          <w:sz w:val="22"/>
          <w:szCs w:val="22"/>
          <w:lang w:eastAsia="en-NZ"/>
          <w14:ligatures w14:val="standardContextual"/>
        </w:rPr>
      </w:pPr>
      <w:r>
        <w:rPr>
          <w:rFonts w:ascii="Segoe UI Semibold" w:hAnsi="Segoe UI Semibold"/>
          <w:b/>
        </w:rPr>
        <w:fldChar w:fldCharType="begin"/>
      </w:r>
      <w:r>
        <w:rPr>
          <w:rFonts w:ascii="Segoe UI Semibold" w:hAnsi="Segoe UI Semibold"/>
          <w:b/>
        </w:rPr>
        <w:instrText xml:space="preserve"> TOC \o "1-2" \h \z \u </w:instrText>
      </w:r>
      <w:r>
        <w:rPr>
          <w:rFonts w:ascii="Segoe UI Semibold" w:hAnsi="Segoe UI Semibold"/>
          <w:b/>
        </w:rPr>
        <w:fldChar w:fldCharType="separate"/>
      </w:r>
      <w:hyperlink w:anchor="_Toc203485581" w:history="1">
        <w:r w:rsidRPr="006D5EF3">
          <w:rPr>
            <w:rStyle w:val="Hyperlink"/>
            <w:noProof/>
          </w:rPr>
          <w:t>How to use this guidance</w:t>
        </w:r>
        <w:r>
          <w:rPr>
            <w:noProof/>
            <w:webHidden/>
          </w:rPr>
          <w:tab/>
        </w:r>
        <w:r>
          <w:rPr>
            <w:noProof/>
            <w:webHidden/>
          </w:rPr>
          <w:fldChar w:fldCharType="begin"/>
        </w:r>
        <w:r>
          <w:rPr>
            <w:noProof/>
            <w:webHidden/>
          </w:rPr>
          <w:instrText xml:space="preserve"> PAGEREF _Toc203485581 \h </w:instrText>
        </w:r>
        <w:r>
          <w:rPr>
            <w:noProof/>
            <w:webHidden/>
          </w:rPr>
        </w:r>
        <w:r>
          <w:rPr>
            <w:noProof/>
            <w:webHidden/>
          </w:rPr>
          <w:fldChar w:fldCharType="separate"/>
        </w:r>
        <w:r w:rsidR="00A76531">
          <w:rPr>
            <w:noProof/>
            <w:webHidden/>
          </w:rPr>
          <w:t>1</w:t>
        </w:r>
        <w:r>
          <w:rPr>
            <w:noProof/>
            <w:webHidden/>
          </w:rPr>
          <w:fldChar w:fldCharType="end"/>
        </w:r>
      </w:hyperlink>
    </w:p>
    <w:p w14:paraId="361074E6" w14:textId="32392E3F"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2" w:history="1">
        <w:r w:rsidR="00446F05" w:rsidRPr="006D5EF3">
          <w:rPr>
            <w:rStyle w:val="Hyperlink"/>
            <w:noProof/>
          </w:rPr>
          <w:t>Who does this guidance apply to?</w:t>
        </w:r>
        <w:r w:rsidR="00446F05">
          <w:rPr>
            <w:noProof/>
            <w:webHidden/>
          </w:rPr>
          <w:tab/>
        </w:r>
        <w:r w:rsidR="00446F05">
          <w:rPr>
            <w:noProof/>
            <w:webHidden/>
          </w:rPr>
          <w:fldChar w:fldCharType="begin"/>
        </w:r>
        <w:r w:rsidR="00446F05">
          <w:rPr>
            <w:noProof/>
            <w:webHidden/>
          </w:rPr>
          <w:instrText xml:space="preserve"> PAGEREF _Toc203485582 \h </w:instrText>
        </w:r>
        <w:r w:rsidR="00446F05">
          <w:rPr>
            <w:noProof/>
            <w:webHidden/>
          </w:rPr>
        </w:r>
        <w:r w:rsidR="00446F05">
          <w:rPr>
            <w:noProof/>
            <w:webHidden/>
          </w:rPr>
          <w:fldChar w:fldCharType="separate"/>
        </w:r>
        <w:r>
          <w:rPr>
            <w:noProof/>
            <w:webHidden/>
          </w:rPr>
          <w:t>1</w:t>
        </w:r>
        <w:r w:rsidR="00446F05">
          <w:rPr>
            <w:noProof/>
            <w:webHidden/>
          </w:rPr>
          <w:fldChar w:fldCharType="end"/>
        </w:r>
      </w:hyperlink>
    </w:p>
    <w:p w14:paraId="306170C0" w14:textId="37134886"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3" w:history="1">
        <w:r w:rsidR="00446F05" w:rsidRPr="006D5EF3">
          <w:rPr>
            <w:rStyle w:val="Hyperlink"/>
            <w:noProof/>
          </w:rPr>
          <w:t>What does this guidance cover?</w:t>
        </w:r>
        <w:r w:rsidR="00446F05">
          <w:rPr>
            <w:noProof/>
            <w:webHidden/>
          </w:rPr>
          <w:tab/>
        </w:r>
        <w:r w:rsidR="00446F05">
          <w:rPr>
            <w:noProof/>
            <w:webHidden/>
          </w:rPr>
          <w:fldChar w:fldCharType="begin"/>
        </w:r>
        <w:r w:rsidR="00446F05">
          <w:rPr>
            <w:noProof/>
            <w:webHidden/>
          </w:rPr>
          <w:instrText xml:space="preserve"> PAGEREF _Toc203485583 \h </w:instrText>
        </w:r>
        <w:r w:rsidR="00446F05">
          <w:rPr>
            <w:noProof/>
            <w:webHidden/>
          </w:rPr>
        </w:r>
        <w:r w:rsidR="00446F05">
          <w:rPr>
            <w:noProof/>
            <w:webHidden/>
          </w:rPr>
          <w:fldChar w:fldCharType="separate"/>
        </w:r>
        <w:r>
          <w:rPr>
            <w:noProof/>
            <w:webHidden/>
          </w:rPr>
          <w:t>1</w:t>
        </w:r>
        <w:r w:rsidR="00446F05">
          <w:rPr>
            <w:noProof/>
            <w:webHidden/>
          </w:rPr>
          <w:fldChar w:fldCharType="end"/>
        </w:r>
      </w:hyperlink>
    </w:p>
    <w:p w14:paraId="252F3D62" w14:textId="07D42ABD" w:rsidR="00446F05" w:rsidRDefault="00A76531">
      <w:pPr>
        <w:pStyle w:val="TOC1"/>
        <w:rPr>
          <w:rFonts w:asciiTheme="minorHAnsi" w:eastAsiaTheme="minorEastAsia" w:hAnsiTheme="minorHAnsi" w:cstheme="minorBidi"/>
          <w:noProof/>
          <w:kern w:val="2"/>
          <w:sz w:val="22"/>
          <w:szCs w:val="22"/>
          <w:lang w:eastAsia="en-NZ"/>
          <w14:ligatures w14:val="standardContextual"/>
        </w:rPr>
      </w:pPr>
      <w:hyperlink w:anchor="_Toc203485584" w:history="1">
        <w:r w:rsidR="00446F05" w:rsidRPr="006D5EF3">
          <w:rPr>
            <w:rStyle w:val="Hyperlink"/>
            <w:noProof/>
          </w:rPr>
          <w:t>Part A: Premises and equipment</w:t>
        </w:r>
        <w:r w:rsidR="00446F05">
          <w:rPr>
            <w:noProof/>
            <w:webHidden/>
          </w:rPr>
          <w:tab/>
        </w:r>
        <w:r w:rsidR="00446F05">
          <w:rPr>
            <w:noProof/>
            <w:webHidden/>
          </w:rPr>
          <w:fldChar w:fldCharType="begin"/>
        </w:r>
        <w:r w:rsidR="00446F05">
          <w:rPr>
            <w:noProof/>
            <w:webHidden/>
          </w:rPr>
          <w:instrText xml:space="preserve"> PAGEREF _Toc203485584 \h </w:instrText>
        </w:r>
        <w:r w:rsidR="00446F05">
          <w:rPr>
            <w:noProof/>
            <w:webHidden/>
          </w:rPr>
        </w:r>
        <w:r w:rsidR="00446F05">
          <w:rPr>
            <w:noProof/>
            <w:webHidden/>
          </w:rPr>
          <w:fldChar w:fldCharType="separate"/>
        </w:r>
        <w:r>
          <w:rPr>
            <w:noProof/>
            <w:webHidden/>
          </w:rPr>
          <w:t>2</w:t>
        </w:r>
        <w:r w:rsidR="00446F05">
          <w:rPr>
            <w:noProof/>
            <w:webHidden/>
          </w:rPr>
          <w:fldChar w:fldCharType="end"/>
        </w:r>
      </w:hyperlink>
    </w:p>
    <w:p w14:paraId="2052A4F5" w14:textId="2F5A2E0B"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5" w:history="1">
        <w:r w:rsidR="00446F05" w:rsidRPr="006D5EF3">
          <w:rPr>
            <w:rStyle w:val="Hyperlink"/>
            <w:rFonts w:eastAsia="Calibri"/>
            <w:noProof/>
          </w:rPr>
          <w:t>Water and plumbing</w:t>
        </w:r>
        <w:r w:rsidR="00446F05">
          <w:rPr>
            <w:noProof/>
            <w:webHidden/>
          </w:rPr>
          <w:tab/>
        </w:r>
        <w:r w:rsidR="00446F05">
          <w:rPr>
            <w:noProof/>
            <w:webHidden/>
          </w:rPr>
          <w:fldChar w:fldCharType="begin"/>
        </w:r>
        <w:r w:rsidR="00446F05">
          <w:rPr>
            <w:noProof/>
            <w:webHidden/>
          </w:rPr>
          <w:instrText xml:space="preserve"> PAGEREF _Toc203485585 \h </w:instrText>
        </w:r>
        <w:r w:rsidR="00446F05">
          <w:rPr>
            <w:noProof/>
            <w:webHidden/>
          </w:rPr>
        </w:r>
        <w:r w:rsidR="00446F05">
          <w:rPr>
            <w:noProof/>
            <w:webHidden/>
          </w:rPr>
          <w:fldChar w:fldCharType="separate"/>
        </w:r>
        <w:r>
          <w:rPr>
            <w:noProof/>
            <w:webHidden/>
          </w:rPr>
          <w:t>2</w:t>
        </w:r>
        <w:r w:rsidR="00446F05">
          <w:rPr>
            <w:noProof/>
            <w:webHidden/>
          </w:rPr>
          <w:fldChar w:fldCharType="end"/>
        </w:r>
      </w:hyperlink>
    </w:p>
    <w:p w14:paraId="1D8F0201" w14:textId="2699CC40"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6" w:history="1">
        <w:r w:rsidR="00446F05" w:rsidRPr="006D5EF3">
          <w:rPr>
            <w:rStyle w:val="Hyperlink"/>
            <w:rFonts w:eastAsia="Calibri"/>
            <w:noProof/>
          </w:rPr>
          <w:t>Razors</w:t>
        </w:r>
        <w:r w:rsidR="00446F05">
          <w:rPr>
            <w:noProof/>
            <w:webHidden/>
          </w:rPr>
          <w:tab/>
        </w:r>
        <w:r w:rsidR="00446F05">
          <w:rPr>
            <w:noProof/>
            <w:webHidden/>
          </w:rPr>
          <w:fldChar w:fldCharType="begin"/>
        </w:r>
        <w:r w:rsidR="00446F05">
          <w:rPr>
            <w:noProof/>
            <w:webHidden/>
          </w:rPr>
          <w:instrText xml:space="preserve"> PAGEREF _Toc203485586 \h </w:instrText>
        </w:r>
        <w:r w:rsidR="00446F05">
          <w:rPr>
            <w:noProof/>
            <w:webHidden/>
          </w:rPr>
        </w:r>
        <w:r w:rsidR="00446F05">
          <w:rPr>
            <w:noProof/>
            <w:webHidden/>
          </w:rPr>
          <w:fldChar w:fldCharType="separate"/>
        </w:r>
        <w:r>
          <w:rPr>
            <w:noProof/>
            <w:webHidden/>
          </w:rPr>
          <w:t>2</w:t>
        </w:r>
        <w:r w:rsidR="00446F05">
          <w:rPr>
            <w:noProof/>
            <w:webHidden/>
          </w:rPr>
          <w:fldChar w:fldCharType="end"/>
        </w:r>
      </w:hyperlink>
    </w:p>
    <w:p w14:paraId="124CA048" w14:textId="5007FA54"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7" w:history="1">
        <w:r w:rsidR="00446F05" w:rsidRPr="006D5EF3">
          <w:rPr>
            <w:rStyle w:val="Hyperlink"/>
            <w:rFonts w:eastAsia="Calibri"/>
            <w:noProof/>
          </w:rPr>
          <w:t>Ventilation</w:t>
        </w:r>
        <w:r w:rsidR="00446F05">
          <w:rPr>
            <w:noProof/>
            <w:webHidden/>
          </w:rPr>
          <w:tab/>
        </w:r>
        <w:r w:rsidR="00446F05">
          <w:rPr>
            <w:noProof/>
            <w:webHidden/>
          </w:rPr>
          <w:fldChar w:fldCharType="begin"/>
        </w:r>
        <w:r w:rsidR="00446F05">
          <w:rPr>
            <w:noProof/>
            <w:webHidden/>
          </w:rPr>
          <w:instrText xml:space="preserve"> PAGEREF _Toc203485587 \h </w:instrText>
        </w:r>
        <w:r w:rsidR="00446F05">
          <w:rPr>
            <w:noProof/>
            <w:webHidden/>
          </w:rPr>
        </w:r>
        <w:r w:rsidR="00446F05">
          <w:rPr>
            <w:noProof/>
            <w:webHidden/>
          </w:rPr>
          <w:fldChar w:fldCharType="separate"/>
        </w:r>
        <w:r>
          <w:rPr>
            <w:noProof/>
            <w:webHidden/>
          </w:rPr>
          <w:t>3</w:t>
        </w:r>
        <w:r w:rsidR="00446F05">
          <w:rPr>
            <w:noProof/>
            <w:webHidden/>
          </w:rPr>
          <w:fldChar w:fldCharType="end"/>
        </w:r>
      </w:hyperlink>
    </w:p>
    <w:p w14:paraId="20AD9B50" w14:textId="794374EF"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88" w:history="1">
        <w:r w:rsidR="00446F05" w:rsidRPr="006D5EF3">
          <w:rPr>
            <w:rStyle w:val="Hyperlink"/>
            <w:rFonts w:eastAsia="Calibri"/>
            <w:noProof/>
          </w:rPr>
          <w:t>Dogs</w:t>
        </w:r>
        <w:r w:rsidR="00446F05">
          <w:rPr>
            <w:noProof/>
            <w:webHidden/>
          </w:rPr>
          <w:tab/>
        </w:r>
        <w:r w:rsidR="00446F05">
          <w:rPr>
            <w:noProof/>
            <w:webHidden/>
          </w:rPr>
          <w:fldChar w:fldCharType="begin"/>
        </w:r>
        <w:r w:rsidR="00446F05">
          <w:rPr>
            <w:noProof/>
            <w:webHidden/>
          </w:rPr>
          <w:instrText xml:space="preserve"> PAGEREF _Toc203485588 \h </w:instrText>
        </w:r>
        <w:r w:rsidR="00446F05">
          <w:rPr>
            <w:noProof/>
            <w:webHidden/>
          </w:rPr>
        </w:r>
        <w:r w:rsidR="00446F05">
          <w:rPr>
            <w:noProof/>
            <w:webHidden/>
          </w:rPr>
          <w:fldChar w:fldCharType="separate"/>
        </w:r>
        <w:r>
          <w:rPr>
            <w:noProof/>
            <w:webHidden/>
          </w:rPr>
          <w:t>3</w:t>
        </w:r>
        <w:r w:rsidR="00446F05">
          <w:rPr>
            <w:noProof/>
            <w:webHidden/>
          </w:rPr>
          <w:fldChar w:fldCharType="end"/>
        </w:r>
      </w:hyperlink>
    </w:p>
    <w:p w14:paraId="3F2C0588" w14:textId="4A3E95B8" w:rsidR="00446F05" w:rsidRDefault="00A76531">
      <w:pPr>
        <w:pStyle w:val="TOC1"/>
        <w:rPr>
          <w:rFonts w:asciiTheme="minorHAnsi" w:eastAsiaTheme="minorEastAsia" w:hAnsiTheme="minorHAnsi" w:cstheme="minorBidi"/>
          <w:noProof/>
          <w:kern w:val="2"/>
          <w:sz w:val="22"/>
          <w:szCs w:val="22"/>
          <w:lang w:eastAsia="en-NZ"/>
          <w14:ligatures w14:val="standardContextual"/>
        </w:rPr>
      </w:pPr>
      <w:hyperlink w:anchor="_Toc203485589" w:history="1">
        <w:r w:rsidR="00446F05" w:rsidRPr="006D5EF3">
          <w:rPr>
            <w:rStyle w:val="Hyperlink"/>
            <w:noProof/>
          </w:rPr>
          <w:t>Part B: People</w:t>
        </w:r>
        <w:r w:rsidR="00446F05">
          <w:rPr>
            <w:noProof/>
            <w:webHidden/>
          </w:rPr>
          <w:tab/>
        </w:r>
        <w:r w:rsidR="00446F05">
          <w:rPr>
            <w:noProof/>
            <w:webHidden/>
          </w:rPr>
          <w:fldChar w:fldCharType="begin"/>
        </w:r>
        <w:r w:rsidR="00446F05">
          <w:rPr>
            <w:noProof/>
            <w:webHidden/>
          </w:rPr>
          <w:instrText xml:space="preserve"> PAGEREF _Toc203485589 \h </w:instrText>
        </w:r>
        <w:r w:rsidR="00446F05">
          <w:rPr>
            <w:noProof/>
            <w:webHidden/>
          </w:rPr>
        </w:r>
        <w:r w:rsidR="00446F05">
          <w:rPr>
            <w:noProof/>
            <w:webHidden/>
          </w:rPr>
          <w:fldChar w:fldCharType="separate"/>
        </w:r>
        <w:r>
          <w:rPr>
            <w:noProof/>
            <w:webHidden/>
          </w:rPr>
          <w:t>4</w:t>
        </w:r>
        <w:r w:rsidR="00446F05">
          <w:rPr>
            <w:noProof/>
            <w:webHidden/>
          </w:rPr>
          <w:fldChar w:fldCharType="end"/>
        </w:r>
      </w:hyperlink>
    </w:p>
    <w:p w14:paraId="16DD1876" w14:textId="244715A2"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0" w:history="1">
        <w:r w:rsidR="00446F05" w:rsidRPr="006D5EF3">
          <w:rPr>
            <w:rStyle w:val="Hyperlink"/>
            <w:rFonts w:eastAsia="Calibri"/>
            <w:noProof/>
          </w:rPr>
          <w:t>Hand hygiene</w:t>
        </w:r>
        <w:r w:rsidR="00446F05">
          <w:rPr>
            <w:noProof/>
            <w:webHidden/>
          </w:rPr>
          <w:tab/>
        </w:r>
        <w:r w:rsidR="00446F05">
          <w:rPr>
            <w:noProof/>
            <w:webHidden/>
          </w:rPr>
          <w:fldChar w:fldCharType="begin"/>
        </w:r>
        <w:r w:rsidR="00446F05">
          <w:rPr>
            <w:noProof/>
            <w:webHidden/>
          </w:rPr>
          <w:instrText xml:space="preserve"> PAGEREF _Toc203485590 \h </w:instrText>
        </w:r>
        <w:r w:rsidR="00446F05">
          <w:rPr>
            <w:noProof/>
            <w:webHidden/>
          </w:rPr>
        </w:r>
        <w:r w:rsidR="00446F05">
          <w:rPr>
            <w:noProof/>
            <w:webHidden/>
          </w:rPr>
          <w:fldChar w:fldCharType="separate"/>
        </w:r>
        <w:r>
          <w:rPr>
            <w:noProof/>
            <w:webHidden/>
          </w:rPr>
          <w:t>4</w:t>
        </w:r>
        <w:r w:rsidR="00446F05">
          <w:rPr>
            <w:noProof/>
            <w:webHidden/>
          </w:rPr>
          <w:fldChar w:fldCharType="end"/>
        </w:r>
      </w:hyperlink>
    </w:p>
    <w:p w14:paraId="3B00297B" w14:textId="1AD71EEF"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1" w:history="1">
        <w:r w:rsidR="00446F05" w:rsidRPr="006D5EF3">
          <w:rPr>
            <w:rStyle w:val="Hyperlink"/>
            <w:rFonts w:eastAsia="Calibri"/>
            <w:noProof/>
          </w:rPr>
          <w:t>Handling sharp instruments</w:t>
        </w:r>
        <w:r w:rsidR="00446F05">
          <w:rPr>
            <w:noProof/>
            <w:webHidden/>
          </w:rPr>
          <w:tab/>
        </w:r>
        <w:r w:rsidR="00446F05">
          <w:rPr>
            <w:noProof/>
            <w:webHidden/>
          </w:rPr>
          <w:fldChar w:fldCharType="begin"/>
        </w:r>
        <w:r w:rsidR="00446F05">
          <w:rPr>
            <w:noProof/>
            <w:webHidden/>
          </w:rPr>
          <w:instrText xml:space="preserve"> PAGEREF _Toc203485591 \h </w:instrText>
        </w:r>
        <w:r w:rsidR="00446F05">
          <w:rPr>
            <w:noProof/>
            <w:webHidden/>
          </w:rPr>
        </w:r>
        <w:r w:rsidR="00446F05">
          <w:rPr>
            <w:noProof/>
            <w:webHidden/>
          </w:rPr>
          <w:fldChar w:fldCharType="separate"/>
        </w:r>
        <w:r>
          <w:rPr>
            <w:noProof/>
            <w:webHidden/>
          </w:rPr>
          <w:t>4</w:t>
        </w:r>
        <w:r w:rsidR="00446F05">
          <w:rPr>
            <w:noProof/>
            <w:webHidden/>
          </w:rPr>
          <w:fldChar w:fldCharType="end"/>
        </w:r>
      </w:hyperlink>
    </w:p>
    <w:p w14:paraId="10441985" w14:textId="76DB2C71"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2" w:history="1">
        <w:r w:rsidR="00446F05" w:rsidRPr="006D5EF3">
          <w:rPr>
            <w:rStyle w:val="Hyperlink"/>
            <w:rFonts w:eastAsia="Calibri"/>
            <w:noProof/>
          </w:rPr>
          <w:t>Handling cuts, abrasions and infections</w:t>
        </w:r>
        <w:r w:rsidR="00446F05">
          <w:rPr>
            <w:noProof/>
            <w:webHidden/>
          </w:rPr>
          <w:tab/>
        </w:r>
        <w:r w:rsidR="00446F05">
          <w:rPr>
            <w:noProof/>
            <w:webHidden/>
          </w:rPr>
          <w:fldChar w:fldCharType="begin"/>
        </w:r>
        <w:r w:rsidR="00446F05">
          <w:rPr>
            <w:noProof/>
            <w:webHidden/>
          </w:rPr>
          <w:instrText xml:space="preserve"> PAGEREF _Toc203485592 \h </w:instrText>
        </w:r>
        <w:r w:rsidR="00446F05">
          <w:rPr>
            <w:noProof/>
            <w:webHidden/>
          </w:rPr>
        </w:r>
        <w:r w:rsidR="00446F05">
          <w:rPr>
            <w:noProof/>
            <w:webHidden/>
          </w:rPr>
          <w:fldChar w:fldCharType="separate"/>
        </w:r>
        <w:r>
          <w:rPr>
            <w:noProof/>
            <w:webHidden/>
          </w:rPr>
          <w:t>5</w:t>
        </w:r>
        <w:r w:rsidR="00446F05">
          <w:rPr>
            <w:noProof/>
            <w:webHidden/>
          </w:rPr>
          <w:fldChar w:fldCharType="end"/>
        </w:r>
      </w:hyperlink>
    </w:p>
    <w:p w14:paraId="1F93C1E2" w14:textId="5A4A2238"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3" w:history="1">
        <w:r w:rsidR="00446F05" w:rsidRPr="006D5EF3">
          <w:rPr>
            <w:rStyle w:val="Hyperlink"/>
            <w:rFonts w:eastAsia="Calibri"/>
            <w:noProof/>
          </w:rPr>
          <w:t>Handling head lice</w:t>
        </w:r>
        <w:r w:rsidR="00446F05">
          <w:rPr>
            <w:noProof/>
            <w:webHidden/>
          </w:rPr>
          <w:tab/>
        </w:r>
        <w:r w:rsidR="00446F05">
          <w:rPr>
            <w:noProof/>
            <w:webHidden/>
          </w:rPr>
          <w:fldChar w:fldCharType="begin"/>
        </w:r>
        <w:r w:rsidR="00446F05">
          <w:rPr>
            <w:noProof/>
            <w:webHidden/>
          </w:rPr>
          <w:instrText xml:space="preserve"> PAGEREF _Toc203485593 \h </w:instrText>
        </w:r>
        <w:r w:rsidR="00446F05">
          <w:rPr>
            <w:noProof/>
            <w:webHidden/>
          </w:rPr>
        </w:r>
        <w:r w:rsidR="00446F05">
          <w:rPr>
            <w:noProof/>
            <w:webHidden/>
          </w:rPr>
          <w:fldChar w:fldCharType="separate"/>
        </w:r>
        <w:r>
          <w:rPr>
            <w:noProof/>
            <w:webHidden/>
          </w:rPr>
          <w:t>5</w:t>
        </w:r>
        <w:r w:rsidR="00446F05">
          <w:rPr>
            <w:noProof/>
            <w:webHidden/>
          </w:rPr>
          <w:fldChar w:fldCharType="end"/>
        </w:r>
      </w:hyperlink>
    </w:p>
    <w:p w14:paraId="0281C848" w14:textId="1AD480A1" w:rsidR="00446F05" w:rsidRDefault="00A76531">
      <w:pPr>
        <w:pStyle w:val="TOC1"/>
        <w:rPr>
          <w:rFonts w:asciiTheme="minorHAnsi" w:eastAsiaTheme="minorEastAsia" w:hAnsiTheme="minorHAnsi" w:cstheme="minorBidi"/>
          <w:noProof/>
          <w:kern w:val="2"/>
          <w:sz w:val="22"/>
          <w:szCs w:val="22"/>
          <w:lang w:eastAsia="en-NZ"/>
          <w14:ligatures w14:val="standardContextual"/>
        </w:rPr>
      </w:pPr>
      <w:hyperlink w:anchor="_Toc203485594" w:history="1">
        <w:r w:rsidR="00446F05" w:rsidRPr="006D5EF3">
          <w:rPr>
            <w:rStyle w:val="Hyperlink"/>
            <w:noProof/>
          </w:rPr>
          <w:t>Part C: Processes for cleaning and disinfecting</w:t>
        </w:r>
        <w:r w:rsidR="00446F05">
          <w:rPr>
            <w:noProof/>
            <w:webHidden/>
          </w:rPr>
          <w:tab/>
        </w:r>
        <w:r w:rsidR="00446F05">
          <w:rPr>
            <w:noProof/>
            <w:webHidden/>
          </w:rPr>
          <w:fldChar w:fldCharType="begin"/>
        </w:r>
        <w:r w:rsidR="00446F05">
          <w:rPr>
            <w:noProof/>
            <w:webHidden/>
          </w:rPr>
          <w:instrText xml:space="preserve"> PAGEREF _Toc203485594 \h </w:instrText>
        </w:r>
        <w:r w:rsidR="00446F05">
          <w:rPr>
            <w:noProof/>
            <w:webHidden/>
          </w:rPr>
        </w:r>
        <w:r w:rsidR="00446F05">
          <w:rPr>
            <w:noProof/>
            <w:webHidden/>
          </w:rPr>
          <w:fldChar w:fldCharType="separate"/>
        </w:r>
        <w:r>
          <w:rPr>
            <w:noProof/>
            <w:webHidden/>
          </w:rPr>
          <w:t>7</w:t>
        </w:r>
        <w:r w:rsidR="00446F05">
          <w:rPr>
            <w:noProof/>
            <w:webHidden/>
          </w:rPr>
          <w:fldChar w:fldCharType="end"/>
        </w:r>
      </w:hyperlink>
    </w:p>
    <w:p w14:paraId="47ED2914" w14:textId="663F2E3B"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5" w:history="1">
        <w:r w:rsidR="00446F05" w:rsidRPr="006D5EF3">
          <w:rPr>
            <w:rStyle w:val="Hyperlink"/>
            <w:rFonts w:eastAsia="Calibri"/>
            <w:noProof/>
          </w:rPr>
          <w:t>Recommended processes for cleaning tools between clients</w:t>
        </w:r>
        <w:r w:rsidR="00446F05">
          <w:rPr>
            <w:noProof/>
            <w:webHidden/>
          </w:rPr>
          <w:tab/>
        </w:r>
        <w:r w:rsidR="00446F05">
          <w:rPr>
            <w:noProof/>
            <w:webHidden/>
          </w:rPr>
          <w:fldChar w:fldCharType="begin"/>
        </w:r>
        <w:r w:rsidR="00446F05">
          <w:rPr>
            <w:noProof/>
            <w:webHidden/>
          </w:rPr>
          <w:instrText xml:space="preserve"> PAGEREF _Toc203485595 \h </w:instrText>
        </w:r>
        <w:r w:rsidR="00446F05">
          <w:rPr>
            <w:noProof/>
            <w:webHidden/>
          </w:rPr>
        </w:r>
        <w:r w:rsidR="00446F05">
          <w:rPr>
            <w:noProof/>
            <w:webHidden/>
          </w:rPr>
          <w:fldChar w:fldCharType="separate"/>
        </w:r>
        <w:r>
          <w:rPr>
            <w:noProof/>
            <w:webHidden/>
          </w:rPr>
          <w:t>8</w:t>
        </w:r>
        <w:r w:rsidR="00446F05">
          <w:rPr>
            <w:noProof/>
            <w:webHidden/>
          </w:rPr>
          <w:fldChar w:fldCharType="end"/>
        </w:r>
      </w:hyperlink>
    </w:p>
    <w:p w14:paraId="704DC393" w14:textId="6C7BAFCF" w:rsidR="00446F05" w:rsidRDefault="00A76531">
      <w:pPr>
        <w:pStyle w:val="TOC2"/>
        <w:rPr>
          <w:rFonts w:asciiTheme="minorHAnsi" w:eastAsiaTheme="minorEastAsia" w:hAnsiTheme="minorHAnsi" w:cstheme="minorBidi"/>
          <w:noProof/>
          <w:kern w:val="2"/>
          <w:sz w:val="22"/>
          <w:szCs w:val="22"/>
          <w:lang w:eastAsia="en-NZ"/>
          <w14:ligatures w14:val="standardContextual"/>
        </w:rPr>
      </w:pPr>
      <w:hyperlink w:anchor="_Toc203485596" w:history="1">
        <w:r w:rsidR="00446F05" w:rsidRPr="006D5EF3">
          <w:rPr>
            <w:rStyle w:val="Hyperlink"/>
            <w:rFonts w:eastAsia="Calibri"/>
            <w:noProof/>
          </w:rPr>
          <w:t>Recommended processes for cleaning after clients or staff have been cut, or exposed to blood or other bodily fluids</w:t>
        </w:r>
        <w:r w:rsidR="00446F05">
          <w:rPr>
            <w:noProof/>
            <w:webHidden/>
          </w:rPr>
          <w:tab/>
        </w:r>
        <w:r w:rsidR="00446F05">
          <w:rPr>
            <w:noProof/>
            <w:webHidden/>
          </w:rPr>
          <w:fldChar w:fldCharType="begin"/>
        </w:r>
        <w:r w:rsidR="00446F05">
          <w:rPr>
            <w:noProof/>
            <w:webHidden/>
          </w:rPr>
          <w:instrText xml:space="preserve"> PAGEREF _Toc203485596 \h </w:instrText>
        </w:r>
        <w:r w:rsidR="00446F05">
          <w:rPr>
            <w:noProof/>
            <w:webHidden/>
          </w:rPr>
        </w:r>
        <w:r w:rsidR="00446F05">
          <w:rPr>
            <w:noProof/>
            <w:webHidden/>
          </w:rPr>
          <w:fldChar w:fldCharType="separate"/>
        </w:r>
        <w:r>
          <w:rPr>
            <w:noProof/>
            <w:webHidden/>
          </w:rPr>
          <w:t>12</w:t>
        </w:r>
        <w:r w:rsidR="00446F05">
          <w:rPr>
            <w:noProof/>
            <w:webHidden/>
          </w:rPr>
          <w:fldChar w:fldCharType="end"/>
        </w:r>
      </w:hyperlink>
    </w:p>
    <w:p w14:paraId="7254D10A" w14:textId="105B6246" w:rsidR="00446F05" w:rsidRDefault="00A76531">
      <w:pPr>
        <w:pStyle w:val="TOC1"/>
        <w:rPr>
          <w:rFonts w:asciiTheme="minorHAnsi" w:eastAsiaTheme="minorEastAsia" w:hAnsiTheme="minorHAnsi" w:cstheme="minorBidi"/>
          <w:noProof/>
          <w:kern w:val="2"/>
          <w:sz w:val="22"/>
          <w:szCs w:val="22"/>
          <w:lang w:eastAsia="en-NZ"/>
          <w14:ligatures w14:val="standardContextual"/>
        </w:rPr>
      </w:pPr>
      <w:hyperlink w:anchor="_Toc203485597" w:history="1">
        <w:r w:rsidR="00446F05" w:rsidRPr="006D5EF3">
          <w:rPr>
            <w:rStyle w:val="Hyperlink"/>
            <w:noProof/>
          </w:rPr>
          <w:t>Useful links</w:t>
        </w:r>
        <w:r w:rsidR="00446F05">
          <w:rPr>
            <w:noProof/>
            <w:webHidden/>
          </w:rPr>
          <w:tab/>
        </w:r>
        <w:r w:rsidR="00446F05">
          <w:rPr>
            <w:noProof/>
            <w:webHidden/>
          </w:rPr>
          <w:fldChar w:fldCharType="begin"/>
        </w:r>
        <w:r w:rsidR="00446F05">
          <w:rPr>
            <w:noProof/>
            <w:webHidden/>
          </w:rPr>
          <w:instrText xml:space="preserve"> PAGEREF _Toc203485597 \h </w:instrText>
        </w:r>
        <w:r w:rsidR="00446F05">
          <w:rPr>
            <w:noProof/>
            <w:webHidden/>
          </w:rPr>
        </w:r>
        <w:r w:rsidR="00446F05">
          <w:rPr>
            <w:noProof/>
            <w:webHidden/>
          </w:rPr>
          <w:fldChar w:fldCharType="separate"/>
        </w:r>
        <w:r>
          <w:rPr>
            <w:noProof/>
            <w:webHidden/>
          </w:rPr>
          <w:t>16</w:t>
        </w:r>
        <w:r w:rsidR="00446F05">
          <w:rPr>
            <w:noProof/>
            <w:webHidden/>
          </w:rPr>
          <w:fldChar w:fldCharType="end"/>
        </w:r>
      </w:hyperlink>
    </w:p>
    <w:p w14:paraId="5B9BBE81" w14:textId="3AE4698A" w:rsidR="00A93170" w:rsidRDefault="00446F05" w:rsidP="00E54D4B">
      <w:pPr>
        <w:spacing w:before="300" w:after="120"/>
        <w:rPr>
          <w:sz w:val="24"/>
          <w:szCs w:val="24"/>
        </w:rPr>
      </w:pPr>
      <w:r>
        <w:rPr>
          <w:rFonts w:ascii="Segoe UI Semibold" w:hAnsi="Segoe UI Semibold"/>
          <w:b/>
          <w:sz w:val="24"/>
        </w:rPr>
        <w:fldChar w:fldCharType="end"/>
      </w:r>
      <w:r w:rsidR="006A48E1" w:rsidRPr="00A93170">
        <w:rPr>
          <w:sz w:val="24"/>
          <w:szCs w:val="24"/>
        </w:rPr>
        <w:t xml:space="preserve">List of </w:t>
      </w:r>
      <w:r w:rsidR="00E479B1" w:rsidRPr="00A93170">
        <w:rPr>
          <w:sz w:val="24"/>
          <w:szCs w:val="24"/>
        </w:rPr>
        <w:t>Tables</w:t>
      </w:r>
    </w:p>
    <w:p w14:paraId="6AB8266A" w14:textId="545F6F37" w:rsidR="00446F05" w:rsidRDefault="00815CA3">
      <w:pPr>
        <w:pStyle w:val="TableofFigures"/>
        <w:rPr>
          <w:rFonts w:asciiTheme="minorHAnsi" w:eastAsiaTheme="minorEastAsia" w:hAnsiTheme="minorHAnsi" w:cstheme="minorBidi"/>
          <w:noProof/>
          <w:kern w:val="2"/>
          <w:sz w:val="22"/>
          <w:szCs w:val="22"/>
          <w:lang w:eastAsia="en-NZ"/>
          <w14:ligatures w14:val="standardContextual"/>
        </w:rPr>
      </w:pPr>
      <w:r>
        <w:rPr>
          <w:sz w:val="24"/>
          <w:szCs w:val="24"/>
        </w:rPr>
        <w:fldChar w:fldCharType="begin"/>
      </w:r>
      <w:r>
        <w:rPr>
          <w:sz w:val="24"/>
          <w:szCs w:val="24"/>
        </w:rPr>
        <w:instrText xml:space="preserve"> TOC \h \z \c "Table" </w:instrText>
      </w:r>
      <w:r>
        <w:rPr>
          <w:sz w:val="24"/>
          <w:szCs w:val="24"/>
        </w:rPr>
        <w:fldChar w:fldCharType="separate"/>
      </w:r>
      <w:hyperlink w:anchor="_Toc203485598" w:history="1">
        <w:r w:rsidR="00446F05" w:rsidRPr="00400405">
          <w:rPr>
            <w:rStyle w:val="Hyperlink"/>
            <w:noProof/>
          </w:rPr>
          <w:t>Table 1</w:t>
        </w:r>
        <w:r w:rsidR="00446F05" w:rsidRPr="00400405">
          <w:rPr>
            <w:rStyle w:val="Hyperlink"/>
            <w:rFonts w:eastAsia="Calibri"/>
            <w:noProof/>
          </w:rPr>
          <w:t>: Recommended processes for cleaning tools between clients: Razors</w:t>
        </w:r>
        <w:r w:rsidR="00446F05">
          <w:rPr>
            <w:noProof/>
            <w:webHidden/>
          </w:rPr>
          <w:tab/>
        </w:r>
        <w:r w:rsidR="00446F05">
          <w:rPr>
            <w:noProof/>
            <w:webHidden/>
          </w:rPr>
          <w:fldChar w:fldCharType="begin"/>
        </w:r>
        <w:r w:rsidR="00446F05">
          <w:rPr>
            <w:noProof/>
            <w:webHidden/>
          </w:rPr>
          <w:instrText xml:space="preserve"> PAGEREF _Toc203485598 \h </w:instrText>
        </w:r>
        <w:r w:rsidR="00446F05">
          <w:rPr>
            <w:noProof/>
            <w:webHidden/>
          </w:rPr>
        </w:r>
        <w:r w:rsidR="00446F05">
          <w:rPr>
            <w:noProof/>
            <w:webHidden/>
          </w:rPr>
          <w:fldChar w:fldCharType="separate"/>
        </w:r>
        <w:r w:rsidR="00A76531">
          <w:rPr>
            <w:noProof/>
            <w:webHidden/>
          </w:rPr>
          <w:t>9</w:t>
        </w:r>
        <w:r w:rsidR="00446F05">
          <w:rPr>
            <w:noProof/>
            <w:webHidden/>
          </w:rPr>
          <w:fldChar w:fldCharType="end"/>
        </w:r>
      </w:hyperlink>
    </w:p>
    <w:p w14:paraId="35A690A4" w14:textId="18FE2201" w:rsidR="00446F05" w:rsidRDefault="00A76531">
      <w:pPr>
        <w:pStyle w:val="TableofFigures"/>
        <w:rPr>
          <w:rFonts w:asciiTheme="minorHAnsi" w:eastAsiaTheme="minorEastAsia" w:hAnsiTheme="minorHAnsi" w:cstheme="minorBidi"/>
          <w:noProof/>
          <w:kern w:val="2"/>
          <w:sz w:val="22"/>
          <w:szCs w:val="22"/>
          <w:lang w:eastAsia="en-NZ"/>
          <w14:ligatures w14:val="standardContextual"/>
        </w:rPr>
      </w:pPr>
      <w:hyperlink w:anchor="_Toc203485599" w:history="1">
        <w:r w:rsidR="00446F05" w:rsidRPr="00400405">
          <w:rPr>
            <w:rStyle w:val="Hyperlink"/>
            <w:noProof/>
          </w:rPr>
          <w:t>Table 2</w:t>
        </w:r>
        <w:r w:rsidR="00446F05" w:rsidRPr="00400405">
          <w:rPr>
            <w:rStyle w:val="Hyperlink"/>
            <w:rFonts w:eastAsia="Calibri"/>
            <w:noProof/>
          </w:rPr>
          <w:t>: Recommended processes for cleaning tools between clients: Hair-cutting related equipment</w:t>
        </w:r>
        <w:r w:rsidR="00446F05">
          <w:rPr>
            <w:noProof/>
            <w:webHidden/>
          </w:rPr>
          <w:tab/>
        </w:r>
        <w:r w:rsidR="00446F05">
          <w:rPr>
            <w:noProof/>
            <w:webHidden/>
          </w:rPr>
          <w:fldChar w:fldCharType="begin"/>
        </w:r>
        <w:r w:rsidR="00446F05">
          <w:rPr>
            <w:noProof/>
            <w:webHidden/>
          </w:rPr>
          <w:instrText xml:space="preserve"> PAGEREF _Toc203485599 \h </w:instrText>
        </w:r>
        <w:r w:rsidR="00446F05">
          <w:rPr>
            <w:noProof/>
            <w:webHidden/>
          </w:rPr>
        </w:r>
        <w:r w:rsidR="00446F05">
          <w:rPr>
            <w:noProof/>
            <w:webHidden/>
          </w:rPr>
          <w:fldChar w:fldCharType="separate"/>
        </w:r>
        <w:r>
          <w:rPr>
            <w:noProof/>
            <w:webHidden/>
          </w:rPr>
          <w:t>10</w:t>
        </w:r>
        <w:r w:rsidR="00446F05">
          <w:rPr>
            <w:noProof/>
            <w:webHidden/>
          </w:rPr>
          <w:fldChar w:fldCharType="end"/>
        </w:r>
      </w:hyperlink>
    </w:p>
    <w:p w14:paraId="5207BF24" w14:textId="77D2612F" w:rsidR="00446F05" w:rsidRDefault="00A76531">
      <w:pPr>
        <w:pStyle w:val="TableofFigures"/>
        <w:rPr>
          <w:rFonts w:asciiTheme="minorHAnsi" w:eastAsiaTheme="minorEastAsia" w:hAnsiTheme="minorHAnsi" w:cstheme="minorBidi"/>
          <w:noProof/>
          <w:kern w:val="2"/>
          <w:sz w:val="22"/>
          <w:szCs w:val="22"/>
          <w:lang w:eastAsia="en-NZ"/>
          <w14:ligatures w14:val="standardContextual"/>
        </w:rPr>
      </w:pPr>
      <w:hyperlink w:anchor="_Toc203485600" w:history="1">
        <w:r w:rsidR="00446F05" w:rsidRPr="00400405">
          <w:rPr>
            <w:rStyle w:val="Hyperlink"/>
            <w:noProof/>
          </w:rPr>
          <w:t>Table 3</w:t>
        </w:r>
        <w:r w:rsidR="00446F05" w:rsidRPr="00400405">
          <w:rPr>
            <w:rStyle w:val="Hyperlink"/>
            <w:rFonts w:eastAsia="Calibri"/>
            <w:noProof/>
          </w:rPr>
          <w:t>: Recommended processes for cleaning tools between clients: Hair-colouring equipment</w:t>
        </w:r>
        <w:r w:rsidR="00446F05">
          <w:rPr>
            <w:noProof/>
            <w:webHidden/>
          </w:rPr>
          <w:tab/>
        </w:r>
        <w:r w:rsidR="00446F05">
          <w:rPr>
            <w:noProof/>
            <w:webHidden/>
          </w:rPr>
          <w:fldChar w:fldCharType="begin"/>
        </w:r>
        <w:r w:rsidR="00446F05">
          <w:rPr>
            <w:noProof/>
            <w:webHidden/>
          </w:rPr>
          <w:instrText xml:space="preserve"> PAGEREF _Toc203485600 \h </w:instrText>
        </w:r>
        <w:r w:rsidR="00446F05">
          <w:rPr>
            <w:noProof/>
            <w:webHidden/>
          </w:rPr>
        </w:r>
        <w:r w:rsidR="00446F05">
          <w:rPr>
            <w:noProof/>
            <w:webHidden/>
          </w:rPr>
          <w:fldChar w:fldCharType="separate"/>
        </w:r>
        <w:r>
          <w:rPr>
            <w:noProof/>
            <w:webHidden/>
          </w:rPr>
          <w:t>11</w:t>
        </w:r>
        <w:r w:rsidR="00446F05">
          <w:rPr>
            <w:noProof/>
            <w:webHidden/>
          </w:rPr>
          <w:fldChar w:fldCharType="end"/>
        </w:r>
      </w:hyperlink>
    </w:p>
    <w:p w14:paraId="0E3CA092" w14:textId="2CAD817E" w:rsidR="00446F05" w:rsidRDefault="00A76531">
      <w:pPr>
        <w:pStyle w:val="TableofFigures"/>
        <w:rPr>
          <w:rFonts w:asciiTheme="minorHAnsi" w:eastAsiaTheme="minorEastAsia" w:hAnsiTheme="minorHAnsi" w:cstheme="minorBidi"/>
          <w:noProof/>
          <w:kern w:val="2"/>
          <w:sz w:val="22"/>
          <w:szCs w:val="22"/>
          <w:lang w:eastAsia="en-NZ"/>
          <w14:ligatures w14:val="standardContextual"/>
        </w:rPr>
      </w:pPr>
      <w:hyperlink w:anchor="_Toc203485601" w:history="1">
        <w:r w:rsidR="00446F05" w:rsidRPr="00400405">
          <w:rPr>
            <w:rStyle w:val="Hyperlink"/>
            <w:noProof/>
          </w:rPr>
          <w:t>Table 4</w:t>
        </w:r>
        <w:r w:rsidR="00446F05" w:rsidRPr="00400405">
          <w:rPr>
            <w:rStyle w:val="Hyperlink"/>
            <w:rFonts w:eastAsia="Calibri"/>
            <w:noProof/>
          </w:rPr>
          <w:t>: Recommended processes for cleaning tools between clients: Linen</w:t>
        </w:r>
        <w:r w:rsidR="00446F05">
          <w:rPr>
            <w:noProof/>
            <w:webHidden/>
          </w:rPr>
          <w:tab/>
        </w:r>
        <w:r w:rsidR="00446F05">
          <w:rPr>
            <w:noProof/>
            <w:webHidden/>
          </w:rPr>
          <w:fldChar w:fldCharType="begin"/>
        </w:r>
        <w:r w:rsidR="00446F05">
          <w:rPr>
            <w:noProof/>
            <w:webHidden/>
          </w:rPr>
          <w:instrText xml:space="preserve"> PAGEREF _Toc203485601 \h </w:instrText>
        </w:r>
        <w:r w:rsidR="00446F05">
          <w:rPr>
            <w:noProof/>
            <w:webHidden/>
          </w:rPr>
        </w:r>
        <w:r w:rsidR="00446F05">
          <w:rPr>
            <w:noProof/>
            <w:webHidden/>
          </w:rPr>
          <w:fldChar w:fldCharType="separate"/>
        </w:r>
        <w:r>
          <w:rPr>
            <w:noProof/>
            <w:webHidden/>
          </w:rPr>
          <w:t>11</w:t>
        </w:r>
        <w:r w:rsidR="00446F05">
          <w:rPr>
            <w:noProof/>
            <w:webHidden/>
          </w:rPr>
          <w:fldChar w:fldCharType="end"/>
        </w:r>
      </w:hyperlink>
    </w:p>
    <w:p w14:paraId="46E8C85F" w14:textId="17156E83" w:rsidR="00446F05" w:rsidRDefault="00A76531">
      <w:pPr>
        <w:pStyle w:val="TableofFigures"/>
        <w:rPr>
          <w:rFonts w:asciiTheme="minorHAnsi" w:eastAsiaTheme="minorEastAsia" w:hAnsiTheme="minorHAnsi" w:cstheme="minorBidi"/>
          <w:noProof/>
          <w:kern w:val="2"/>
          <w:sz w:val="22"/>
          <w:szCs w:val="22"/>
          <w:lang w:eastAsia="en-NZ"/>
          <w14:ligatures w14:val="standardContextual"/>
        </w:rPr>
      </w:pPr>
      <w:hyperlink w:anchor="_Toc203485602" w:history="1">
        <w:r w:rsidR="00446F05" w:rsidRPr="00400405">
          <w:rPr>
            <w:rStyle w:val="Hyperlink"/>
            <w:noProof/>
          </w:rPr>
          <w:t>Table 5</w:t>
        </w:r>
        <w:r w:rsidR="00446F05" w:rsidRPr="00400405">
          <w:rPr>
            <w:rStyle w:val="Hyperlink"/>
            <w:rFonts w:eastAsia="Calibri"/>
            <w:noProof/>
          </w:rPr>
          <w:t>: Recommended processes for cleaning tools between clients: Other equipment</w:t>
        </w:r>
        <w:r w:rsidR="00446F05">
          <w:rPr>
            <w:noProof/>
            <w:webHidden/>
          </w:rPr>
          <w:tab/>
        </w:r>
        <w:r w:rsidR="00446F05">
          <w:rPr>
            <w:noProof/>
            <w:webHidden/>
          </w:rPr>
          <w:fldChar w:fldCharType="begin"/>
        </w:r>
        <w:r w:rsidR="00446F05">
          <w:rPr>
            <w:noProof/>
            <w:webHidden/>
          </w:rPr>
          <w:instrText xml:space="preserve"> PAGEREF _Toc203485602 \h </w:instrText>
        </w:r>
        <w:r w:rsidR="00446F05">
          <w:rPr>
            <w:noProof/>
            <w:webHidden/>
          </w:rPr>
        </w:r>
        <w:r w:rsidR="00446F05">
          <w:rPr>
            <w:noProof/>
            <w:webHidden/>
          </w:rPr>
          <w:fldChar w:fldCharType="separate"/>
        </w:r>
        <w:r>
          <w:rPr>
            <w:noProof/>
            <w:webHidden/>
          </w:rPr>
          <w:t>11</w:t>
        </w:r>
        <w:r w:rsidR="00446F05">
          <w:rPr>
            <w:noProof/>
            <w:webHidden/>
          </w:rPr>
          <w:fldChar w:fldCharType="end"/>
        </w:r>
      </w:hyperlink>
    </w:p>
    <w:p w14:paraId="68826051" w14:textId="6B5BBB5A" w:rsidR="00A93170" w:rsidRDefault="00815CA3" w:rsidP="003A5FEA">
      <w:pPr>
        <w:rPr>
          <w:sz w:val="24"/>
          <w:szCs w:val="24"/>
        </w:rPr>
      </w:pPr>
      <w:r>
        <w:rPr>
          <w:sz w:val="24"/>
          <w:szCs w:val="24"/>
        </w:rPr>
        <w:fldChar w:fldCharType="end"/>
      </w:r>
    </w:p>
    <w:p w14:paraId="09DDDF53" w14:textId="2EDC8657" w:rsidR="00A93170" w:rsidRPr="00A93170" w:rsidRDefault="00A93170" w:rsidP="003A5FEA">
      <w:pPr>
        <w:rPr>
          <w:sz w:val="24"/>
          <w:szCs w:val="24"/>
        </w:rPr>
        <w:sectPr w:rsidR="00A93170" w:rsidRPr="00A93170" w:rsidSect="00925892">
          <w:footerReference w:type="even" r:id="rId25"/>
          <w:footerReference w:type="default" r:id="rId26"/>
          <w:pgSz w:w="11907" w:h="16840" w:code="9"/>
          <w:pgMar w:top="1418" w:right="1701" w:bottom="1134" w:left="1843" w:header="284" w:footer="425" w:gutter="284"/>
          <w:pgNumType w:fmt="lowerRoman"/>
          <w:cols w:space="720"/>
        </w:sectPr>
      </w:pPr>
    </w:p>
    <w:p w14:paraId="6A58A64B" w14:textId="77777777" w:rsidR="00E719D4" w:rsidRPr="00DA30A0" w:rsidRDefault="00E719D4" w:rsidP="00E719D4">
      <w:pPr>
        <w:pStyle w:val="Heading1"/>
      </w:pPr>
      <w:bookmarkStart w:id="2" w:name="_Toc202429307"/>
      <w:bookmarkStart w:id="3" w:name="_Toc203485581"/>
      <w:r w:rsidRPr="00DA30A0">
        <w:t>How to use this guidance</w:t>
      </w:r>
      <w:bookmarkEnd w:id="2"/>
      <w:bookmarkEnd w:id="3"/>
    </w:p>
    <w:p w14:paraId="65F06D1A" w14:textId="77777777" w:rsidR="00E719D4" w:rsidRPr="00DA30A0" w:rsidRDefault="00E719D4" w:rsidP="00E719D4">
      <w:pPr>
        <w:pStyle w:val="Heading2"/>
      </w:pPr>
      <w:bookmarkStart w:id="4" w:name="_Toc203485582"/>
      <w:r w:rsidRPr="00DA30A0">
        <w:t>Who does this guidance apply to?</w:t>
      </w:r>
      <w:bookmarkEnd w:id="4"/>
    </w:p>
    <w:p w14:paraId="539660D3" w14:textId="01AF0824" w:rsidR="00E719D4" w:rsidRPr="00DA30A0" w:rsidRDefault="00E719D4" w:rsidP="00BA5627">
      <w:r w:rsidRPr="00DA30A0">
        <w:t>This guidance can be used by all hairdressing and barbering services provided in New Zealand – including but not limited to ‘brick and mortar’ hair salons and barbershops, mobile services, home-based services, and itinerant services (</w:t>
      </w:r>
      <w:proofErr w:type="spellStart"/>
      <w:r w:rsidR="00C64295">
        <w:t>eg</w:t>
      </w:r>
      <w:proofErr w:type="spellEnd"/>
      <w:r w:rsidR="00DC4BAC">
        <w:t>,</w:t>
      </w:r>
      <w:r w:rsidRPr="00DA30A0">
        <w:t xml:space="preserve"> fairs, rest homes, in-home services). </w:t>
      </w:r>
    </w:p>
    <w:p w14:paraId="7790C6EA" w14:textId="77777777" w:rsidR="00E719D4" w:rsidRPr="00DA30A0" w:rsidRDefault="00E719D4" w:rsidP="00BA5627"/>
    <w:p w14:paraId="4B0D6B73" w14:textId="0A16FDDC" w:rsidR="00E719D4" w:rsidRPr="00DA30A0" w:rsidRDefault="00E719D4" w:rsidP="00BA5627">
      <w:r w:rsidRPr="00DA30A0">
        <w:t>While the guidance refers to ‘business owners’</w:t>
      </w:r>
      <w:r w:rsidR="00DC4BAC">
        <w:t>,</w:t>
      </w:r>
      <w:r w:rsidRPr="00DA30A0">
        <w:t xml:space="preserve"> this term applies both to owners and operators of hair salons and barbershops, and to training providers. </w:t>
      </w:r>
    </w:p>
    <w:p w14:paraId="5CDFEAB9" w14:textId="77777777" w:rsidR="00E719D4" w:rsidRPr="00DA30A0" w:rsidRDefault="00E719D4" w:rsidP="00E719D4">
      <w:pPr>
        <w:pStyle w:val="Heading2"/>
      </w:pPr>
      <w:bookmarkStart w:id="5" w:name="_Toc203485583"/>
      <w:r w:rsidRPr="00DA30A0">
        <w:t>What does this guidance cover?</w:t>
      </w:r>
      <w:bookmarkEnd w:id="5"/>
    </w:p>
    <w:p w14:paraId="153CB425" w14:textId="77777777" w:rsidR="00E719D4" w:rsidRPr="00DA30A0" w:rsidRDefault="00E719D4" w:rsidP="00BA5627">
      <w:r w:rsidRPr="00DA30A0">
        <w:t xml:space="preserve">This guidance covers public health risks only. </w:t>
      </w:r>
    </w:p>
    <w:p w14:paraId="1BD361D1" w14:textId="77777777" w:rsidR="00E719D4" w:rsidRPr="00DA30A0" w:rsidRDefault="00E719D4" w:rsidP="00BA5627"/>
    <w:p w14:paraId="54D7A95C" w14:textId="057FC970" w:rsidR="00E719D4" w:rsidRPr="00DA30A0" w:rsidRDefault="009D5A81" w:rsidP="00BA5627">
      <w:pPr>
        <w:rPr>
          <w:szCs w:val="21"/>
        </w:rPr>
      </w:pPr>
      <w:r>
        <w:rPr>
          <w:szCs w:val="21"/>
        </w:rPr>
        <w:t>H</w:t>
      </w:r>
      <w:r w:rsidRPr="00DA30A0">
        <w:rPr>
          <w:szCs w:val="21"/>
        </w:rPr>
        <w:t>airdressers and barbers need to meet</w:t>
      </w:r>
      <w:r>
        <w:rPr>
          <w:szCs w:val="21"/>
        </w:rPr>
        <w:t xml:space="preserve"> the following </w:t>
      </w:r>
      <w:r w:rsidRPr="00DA30A0">
        <w:rPr>
          <w:szCs w:val="21"/>
        </w:rPr>
        <w:t>regulatory requirements</w:t>
      </w:r>
      <w:r>
        <w:rPr>
          <w:szCs w:val="21"/>
        </w:rPr>
        <w:t>.</w:t>
      </w:r>
    </w:p>
    <w:p w14:paraId="3F536208" w14:textId="40B0FC62" w:rsidR="00A8607C" w:rsidRPr="009E5110" w:rsidRDefault="009D5A81" w:rsidP="008A0E49">
      <w:pPr>
        <w:pStyle w:val="Bullet"/>
        <w:rPr>
          <w:szCs w:val="21"/>
        </w:rPr>
      </w:pPr>
      <w:r>
        <w:rPr>
          <w:b/>
          <w:bCs/>
          <w:szCs w:val="21"/>
        </w:rPr>
        <w:t>W</w:t>
      </w:r>
      <w:r w:rsidR="00E719D4" w:rsidRPr="00DA30A0">
        <w:rPr>
          <w:b/>
          <w:bCs/>
          <w:szCs w:val="21"/>
        </w:rPr>
        <w:t xml:space="preserve">ork health and safety as determined by the Health and Safety at Work Act 2015 and its </w:t>
      </w:r>
      <w:proofErr w:type="gramStart"/>
      <w:r w:rsidR="00E719D4" w:rsidRPr="00DA30A0">
        <w:rPr>
          <w:b/>
          <w:bCs/>
          <w:szCs w:val="21"/>
        </w:rPr>
        <w:t>regulations</w:t>
      </w:r>
      <w:proofErr w:type="gramEnd"/>
    </w:p>
    <w:p w14:paraId="708917EB" w14:textId="60CF17C3" w:rsidR="00E719D4" w:rsidRPr="00DA30A0" w:rsidRDefault="00E719D4" w:rsidP="009E5110">
      <w:pPr>
        <w:pStyle w:val="Dash"/>
      </w:pPr>
      <w:r w:rsidRPr="00DA30A0">
        <w:t>WorkSafe New Zealand (WorkSafe) is the regulator and has guidance for hairdressers and stylists on its website.</w:t>
      </w:r>
      <w:r w:rsidRPr="00DA30A0">
        <w:rPr>
          <w:rStyle w:val="FootnoteReference"/>
          <w:rFonts w:cs="Segoe UI"/>
          <w:szCs w:val="21"/>
        </w:rPr>
        <w:footnoteReference w:id="1"/>
      </w:r>
    </w:p>
    <w:p w14:paraId="566788FB" w14:textId="62D4F142" w:rsidR="00E719D4" w:rsidRPr="00DA30A0" w:rsidRDefault="009D5A81" w:rsidP="008A0E49">
      <w:pPr>
        <w:pStyle w:val="Bullet"/>
        <w:rPr>
          <w:szCs w:val="21"/>
        </w:rPr>
      </w:pPr>
      <w:r>
        <w:rPr>
          <w:b/>
          <w:bCs/>
          <w:szCs w:val="21"/>
        </w:rPr>
        <w:t>H</w:t>
      </w:r>
      <w:r w:rsidR="00E719D4" w:rsidRPr="00DA30A0">
        <w:rPr>
          <w:b/>
          <w:bCs/>
          <w:szCs w:val="21"/>
        </w:rPr>
        <w:t>azardous substances requirements</w:t>
      </w:r>
      <w:r w:rsidR="00E719D4" w:rsidRPr="00DA30A0">
        <w:rPr>
          <w:szCs w:val="21"/>
        </w:rPr>
        <w:t xml:space="preserve"> </w:t>
      </w:r>
    </w:p>
    <w:p w14:paraId="5CFEF3B4" w14:textId="2D163500" w:rsidR="00E719D4" w:rsidRPr="00DA30A0" w:rsidRDefault="00A8607C" w:rsidP="008A0E49">
      <w:pPr>
        <w:pStyle w:val="Dash"/>
        <w:rPr>
          <w:szCs w:val="21"/>
        </w:rPr>
      </w:pPr>
      <w:r>
        <w:rPr>
          <w:szCs w:val="21"/>
        </w:rPr>
        <w:t>T</w:t>
      </w:r>
      <w:r w:rsidR="00E719D4" w:rsidRPr="00DA30A0">
        <w:rPr>
          <w:szCs w:val="21"/>
        </w:rPr>
        <w:t>he Environmental Protection Authority regulates hazardous substances under the Hazardous Substances and New Organisms Act 1996 and is responsible for approving and classifying hazardous substances</w:t>
      </w:r>
      <w:r w:rsidR="00224247">
        <w:rPr>
          <w:szCs w:val="21"/>
        </w:rPr>
        <w:t>,</w:t>
      </w:r>
      <w:r w:rsidR="00E719D4" w:rsidRPr="00DA30A0">
        <w:rPr>
          <w:szCs w:val="21"/>
        </w:rPr>
        <w:t xml:space="preserve"> </w:t>
      </w:r>
      <w:r w:rsidR="00C00BB5">
        <w:rPr>
          <w:szCs w:val="21"/>
        </w:rPr>
        <w:t>and setting requirements for labels and packa</w:t>
      </w:r>
      <w:r w:rsidR="00995909">
        <w:rPr>
          <w:szCs w:val="21"/>
        </w:rPr>
        <w:t xml:space="preserve">ging, </w:t>
      </w:r>
      <w:r w:rsidR="00E719D4" w:rsidRPr="00DA30A0">
        <w:rPr>
          <w:szCs w:val="21"/>
        </w:rPr>
        <w:t xml:space="preserve">including </w:t>
      </w:r>
      <w:r w:rsidR="00995909">
        <w:rPr>
          <w:szCs w:val="21"/>
        </w:rPr>
        <w:t>under</w:t>
      </w:r>
      <w:r w:rsidR="00B152FC">
        <w:rPr>
          <w:szCs w:val="21"/>
        </w:rPr>
        <w:t xml:space="preserve"> </w:t>
      </w:r>
      <w:r w:rsidR="00E719D4" w:rsidRPr="00DA30A0">
        <w:rPr>
          <w:szCs w:val="21"/>
        </w:rPr>
        <w:t>the Cosmetic Products Group Standard</w:t>
      </w:r>
      <w:r w:rsidR="00224247">
        <w:rPr>
          <w:szCs w:val="21"/>
        </w:rPr>
        <w:t>.</w:t>
      </w:r>
    </w:p>
    <w:p w14:paraId="3BD81728" w14:textId="77777777" w:rsidR="00E719D4" w:rsidRPr="00DA30A0" w:rsidRDefault="00E719D4" w:rsidP="008A0E49">
      <w:pPr>
        <w:pStyle w:val="Dash"/>
        <w:rPr>
          <w:szCs w:val="21"/>
        </w:rPr>
      </w:pPr>
      <w:r w:rsidRPr="00DA30A0">
        <w:rPr>
          <w:szCs w:val="21"/>
        </w:rPr>
        <w:t>WorkSafe is the regulator for the work-related use, handling, manufacture and storage of hazardous substances under the Health and Safety at Work (Hazardous Substances) Regulations 2017.</w:t>
      </w:r>
    </w:p>
    <w:p w14:paraId="1E79938D" w14:textId="47FBFF91" w:rsidR="00826C98" w:rsidRPr="009E5110" w:rsidRDefault="009D5A81" w:rsidP="008A0E49">
      <w:pPr>
        <w:pStyle w:val="Bullet"/>
        <w:rPr>
          <w:szCs w:val="21"/>
        </w:rPr>
      </w:pPr>
      <w:r>
        <w:rPr>
          <w:b/>
          <w:bCs/>
          <w:szCs w:val="21"/>
        </w:rPr>
        <w:t>B</w:t>
      </w:r>
      <w:r w:rsidR="00E719D4" w:rsidRPr="00DA30A0">
        <w:rPr>
          <w:b/>
          <w:bCs/>
          <w:szCs w:val="21"/>
        </w:rPr>
        <w:t>ackflow prevention valves</w:t>
      </w:r>
    </w:p>
    <w:p w14:paraId="6BFD4068" w14:textId="35C4AFFE" w:rsidR="00E719D4" w:rsidRPr="00DA30A0" w:rsidRDefault="00826C98" w:rsidP="009E5110">
      <w:pPr>
        <w:pStyle w:val="Dash"/>
      </w:pPr>
      <w:r>
        <w:t>C</w:t>
      </w:r>
      <w:r w:rsidR="00E719D4" w:rsidRPr="00DA30A0">
        <w:t xml:space="preserve">heck requirements with your </w:t>
      </w:r>
      <w:r w:rsidR="003579FD">
        <w:t>l</w:t>
      </w:r>
      <w:r w:rsidR="00E719D4" w:rsidRPr="00DA30A0">
        <w:t xml:space="preserve">ocal </w:t>
      </w:r>
      <w:r w:rsidR="003579FD">
        <w:t>a</w:t>
      </w:r>
      <w:r w:rsidR="00E719D4" w:rsidRPr="00DA30A0">
        <w:t>uthority.</w:t>
      </w:r>
    </w:p>
    <w:p w14:paraId="79687317" w14:textId="39D316AB" w:rsidR="00E40730" w:rsidRPr="00DA30A0" w:rsidRDefault="00E40730" w:rsidP="00E40730">
      <w:pPr>
        <w:pStyle w:val="Heading1"/>
      </w:pPr>
      <w:bookmarkStart w:id="6" w:name="_Toc203485584"/>
      <w:r w:rsidRPr="00DA30A0">
        <w:t>Part A:</w:t>
      </w:r>
      <w:r w:rsidR="008F7674" w:rsidRPr="00DA30A0">
        <w:t xml:space="preserve"> </w:t>
      </w:r>
      <w:r w:rsidRPr="00DA30A0">
        <w:t>Premises and equipment</w:t>
      </w:r>
      <w:bookmarkEnd w:id="6"/>
    </w:p>
    <w:p w14:paraId="0A0C1066" w14:textId="77777777" w:rsidR="008F7674" w:rsidRPr="00DA30A0" w:rsidRDefault="008F7674" w:rsidP="00385E6D">
      <w:pPr>
        <w:pStyle w:val="Heading2"/>
        <w:rPr>
          <w:rFonts w:eastAsia="Calibri"/>
        </w:rPr>
      </w:pPr>
      <w:bookmarkStart w:id="7" w:name="_Toc197601890"/>
      <w:bookmarkStart w:id="8" w:name="_Toc202429309"/>
      <w:bookmarkStart w:id="9" w:name="_Ref202866839"/>
      <w:bookmarkStart w:id="10" w:name="_Ref202867062"/>
      <w:bookmarkStart w:id="11" w:name="_Toc203485585"/>
      <w:r w:rsidRPr="00DA30A0">
        <w:rPr>
          <w:rFonts w:eastAsia="Calibri"/>
        </w:rPr>
        <w:t>Water and plumbing</w:t>
      </w:r>
      <w:bookmarkEnd w:id="7"/>
      <w:bookmarkEnd w:id="8"/>
      <w:bookmarkEnd w:id="9"/>
      <w:bookmarkEnd w:id="10"/>
      <w:bookmarkEnd w:id="11"/>
    </w:p>
    <w:p w14:paraId="0BDDD407" w14:textId="77777777" w:rsidR="008F7674" w:rsidRPr="00DA30A0" w:rsidRDefault="008F7674" w:rsidP="00385E6D">
      <w:pPr>
        <w:pStyle w:val="Bullet"/>
      </w:pPr>
      <w:r w:rsidRPr="00DA30A0">
        <w:t xml:space="preserve">Have separate sinks with hot and cold running water for: </w:t>
      </w:r>
    </w:p>
    <w:p w14:paraId="581BC225" w14:textId="77777777" w:rsidR="008F7674" w:rsidRPr="00DA30A0" w:rsidRDefault="008F7674" w:rsidP="00627AE3">
      <w:pPr>
        <w:pStyle w:val="Dash"/>
      </w:pPr>
      <w:r w:rsidRPr="00DA30A0">
        <w:t>hair washing</w:t>
      </w:r>
    </w:p>
    <w:p w14:paraId="3BF3E8B9" w14:textId="77777777" w:rsidR="008F7674" w:rsidRPr="00DA30A0" w:rsidRDefault="008F7674" w:rsidP="00627AE3">
      <w:pPr>
        <w:pStyle w:val="Dash"/>
      </w:pPr>
      <w:r w:rsidRPr="00DA30A0">
        <w:t>equipment cleaning</w:t>
      </w:r>
    </w:p>
    <w:p w14:paraId="1733CE89" w14:textId="77777777" w:rsidR="008F7674" w:rsidRPr="00DA30A0" w:rsidRDefault="008F7674" w:rsidP="00627AE3">
      <w:pPr>
        <w:pStyle w:val="Dash"/>
      </w:pPr>
      <w:r w:rsidRPr="00DA30A0">
        <w:t>handwashing with soap and single-use towels (paper or single-use cloth) or hand dryer.</w:t>
      </w:r>
    </w:p>
    <w:p w14:paraId="398722A1" w14:textId="6934F9B4" w:rsidR="008F7674" w:rsidRPr="00DA30A0" w:rsidRDefault="008F7674" w:rsidP="00627AE3">
      <w:pPr>
        <w:pStyle w:val="Bullet"/>
      </w:pPr>
      <w:r w:rsidRPr="00DA30A0">
        <w:t xml:space="preserve">Check with your </w:t>
      </w:r>
      <w:r w:rsidR="00EA0D7A">
        <w:t>l</w:t>
      </w:r>
      <w:r w:rsidRPr="00DA30A0">
        <w:t xml:space="preserve">ocal </w:t>
      </w:r>
      <w:r w:rsidR="00EA0D7A">
        <w:t>a</w:t>
      </w:r>
      <w:r w:rsidRPr="00DA30A0">
        <w:t>uthority’s building department regarding backflow devices or any other building requirements needed.</w:t>
      </w:r>
    </w:p>
    <w:p w14:paraId="1048518F" w14:textId="77777777" w:rsidR="008F7674" w:rsidRDefault="008F7674" w:rsidP="00765BEC">
      <w:pPr>
        <w:pStyle w:val="Heading2"/>
        <w:rPr>
          <w:rFonts w:eastAsia="Calibri"/>
        </w:rPr>
      </w:pPr>
      <w:bookmarkStart w:id="12" w:name="_Toc202429310"/>
      <w:bookmarkStart w:id="13" w:name="_Ref202866850"/>
      <w:bookmarkStart w:id="14" w:name="_Ref202867068"/>
      <w:bookmarkStart w:id="15" w:name="_Toc203485586"/>
      <w:r w:rsidRPr="00DA30A0">
        <w:rPr>
          <w:rFonts w:eastAsia="Calibri"/>
        </w:rPr>
        <w:t>Razors</w:t>
      </w:r>
      <w:bookmarkEnd w:id="12"/>
      <w:bookmarkEnd w:id="13"/>
      <w:bookmarkEnd w:id="14"/>
      <w:bookmarkEnd w:id="15"/>
    </w:p>
    <w:p w14:paraId="3A5CF9D0" w14:textId="33B8AD9F" w:rsidR="00966005" w:rsidRPr="008A49BA" w:rsidRDefault="00966005" w:rsidP="00966005">
      <w:pPr>
        <w:spacing w:before="120" w:after="120"/>
        <w:rPr>
          <w:rFonts w:cs="Segoe UI"/>
          <w:b/>
          <w:bCs/>
          <w:szCs w:val="21"/>
        </w:rPr>
      </w:pPr>
      <w:r w:rsidRPr="008A49BA">
        <w:rPr>
          <w:rFonts w:cs="Segoe UI"/>
          <w:b/>
          <w:bCs/>
          <w:szCs w:val="21"/>
        </w:rPr>
        <w:t>Razors can come into contact with small cuts or broken skin during services.</w:t>
      </w:r>
    </w:p>
    <w:p w14:paraId="34C9BCCE" w14:textId="1BE86546" w:rsidR="00966005" w:rsidRPr="008A49BA" w:rsidRDefault="00966005" w:rsidP="00966005">
      <w:pPr>
        <w:rPr>
          <w:rFonts w:eastAsia="Calibri"/>
          <w:b/>
          <w:bCs/>
        </w:rPr>
      </w:pPr>
      <w:r w:rsidRPr="008A49BA">
        <w:rPr>
          <w:rFonts w:cs="Segoe UI"/>
          <w:b/>
          <w:bCs/>
          <w:szCs w:val="21"/>
        </w:rPr>
        <w:t>Appropriate razor selection and handling are important to prevent the spread of blood-borne viruses and infections between clients.</w:t>
      </w:r>
    </w:p>
    <w:p w14:paraId="7D0BBEBB" w14:textId="42C438BB" w:rsidR="008F7674" w:rsidRPr="00DA30A0" w:rsidRDefault="008F7674" w:rsidP="00765BEC">
      <w:pPr>
        <w:pStyle w:val="Heading3"/>
        <w:rPr>
          <w:rFonts w:eastAsia="Calibri"/>
        </w:rPr>
      </w:pPr>
      <w:r w:rsidRPr="00DA30A0">
        <w:rPr>
          <w:rFonts w:eastAsia="Calibri"/>
        </w:rPr>
        <w:t>Cut</w:t>
      </w:r>
      <w:r w:rsidR="00C71442">
        <w:rPr>
          <w:rFonts w:eastAsia="Calibri"/>
        </w:rPr>
        <w:t>-</w:t>
      </w:r>
      <w:r w:rsidRPr="00DA30A0">
        <w:rPr>
          <w:rFonts w:eastAsia="Calibri"/>
        </w:rPr>
        <w:t>throat razors</w:t>
      </w:r>
    </w:p>
    <w:p w14:paraId="46A10624" w14:textId="748D6F07" w:rsidR="008F7674" w:rsidRPr="00DA30A0" w:rsidRDefault="008F7674" w:rsidP="00765BEC">
      <w:pPr>
        <w:pStyle w:val="Bullet"/>
      </w:pPr>
      <w:r w:rsidRPr="00DA30A0">
        <w:t>Traditional cut</w:t>
      </w:r>
      <w:r w:rsidR="00C71442">
        <w:t>-</w:t>
      </w:r>
      <w:r w:rsidRPr="00DA30A0">
        <w:t xml:space="preserve">throat razors with permanent blades </w:t>
      </w:r>
      <w:r w:rsidR="00C71442">
        <w:t>should not be used</w:t>
      </w:r>
      <w:r w:rsidRPr="00DA30A0">
        <w:t xml:space="preserve"> in hairdressing and barbering. This is because they cannot be properly cleaned between clients, which risks the spread of infectious diseases</w:t>
      </w:r>
      <w:r w:rsidR="0043361D">
        <w:t>,</w:t>
      </w:r>
      <w:r w:rsidRPr="00DA30A0">
        <w:t xml:space="preserve"> including blood</w:t>
      </w:r>
      <w:r w:rsidR="007F3338">
        <w:t>-</w:t>
      </w:r>
      <w:r w:rsidRPr="00DA30A0">
        <w:t>borne viruses.</w:t>
      </w:r>
    </w:p>
    <w:p w14:paraId="2A7576CF" w14:textId="0CDE1A9D" w:rsidR="008F7674" w:rsidRPr="00DA30A0" w:rsidRDefault="008F7674" w:rsidP="00765BEC">
      <w:pPr>
        <w:pStyle w:val="Bullet"/>
      </w:pPr>
      <w:r w:rsidRPr="00DA30A0">
        <w:t>Cut</w:t>
      </w:r>
      <w:r w:rsidR="00C71442">
        <w:t>-</w:t>
      </w:r>
      <w:r w:rsidRPr="00DA30A0">
        <w:t>throat razors with disposable blades can be used safely provided:</w:t>
      </w:r>
    </w:p>
    <w:p w14:paraId="775BB3F8" w14:textId="70E94585" w:rsidR="008F7674" w:rsidRPr="00DA30A0" w:rsidRDefault="008F7674" w:rsidP="00765BEC">
      <w:pPr>
        <w:pStyle w:val="Dash"/>
      </w:pPr>
      <w:r w:rsidRPr="00DA30A0">
        <w:t xml:space="preserve">a new blade </w:t>
      </w:r>
      <w:r w:rsidR="0043361D">
        <w:t xml:space="preserve">is </w:t>
      </w:r>
      <w:r w:rsidRPr="00DA30A0">
        <w:t xml:space="preserve">used for each </w:t>
      </w:r>
      <w:proofErr w:type="gramStart"/>
      <w:r w:rsidRPr="00DA30A0">
        <w:t>client</w:t>
      </w:r>
      <w:proofErr w:type="gramEnd"/>
    </w:p>
    <w:p w14:paraId="141429F5" w14:textId="401CE166" w:rsidR="008F7674" w:rsidRPr="00DA30A0" w:rsidRDefault="008F7674" w:rsidP="00765BEC">
      <w:pPr>
        <w:pStyle w:val="Dash"/>
      </w:pPr>
      <w:r w:rsidRPr="00DA30A0">
        <w:t>used blades are disposed of appropriately in a secure tamper</w:t>
      </w:r>
      <w:r w:rsidR="0043361D">
        <w:t>-</w:t>
      </w:r>
      <w:r w:rsidRPr="00DA30A0">
        <w:t xml:space="preserve">proof sharps </w:t>
      </w:r>
      <w:proofErr w:type="gramStart"/>
      <w:r w:rsidRPr="00DA30A0">
        <w:t>container</w:t>
      </w:r>
      <w:proofErr w:type="gramEnd"/>
      <w:r w:rsidRPr="00DA30A0">
        <w:t xml:space="preserve"> </w:t>
      </w:r>
    </w:p>
    <w:p w14:paraId="649A4F07" w14:textId="77777777" w:rsidR="008F7674" w:rsidRPr="00DA30A0" w:rsidRDefault="008F7674" w:rsidP="00765BEC">
      <w:pPr>
        <w:pStyle w:val="Dash"/>
      </w:pPr>
      <w:r w:rsidRPr="00DA30A0">
        <w:t xml:space="preserve">the handle is thoroughly cleaned and dried between each </w:t>
      </w:r>
      <w:proofErr w:type="gramStart"/>
      <w:r w:rsidRPr="00DA30A0">
        <w:t>use</w:t>
      </w:r>
      <w:proofErr w:type="gramEnd"/>
    </w:p>
    <w:p w14:paraId="0ED6B422" w14:textId="2EFFD70E" w:rsidR="008F7674" w:rsidRPr="00DA30A0" w:rsidRDefault="008F7674" w:rsidP="00765BEC">
      <w:pPr>
        <w:pStyle w:val="Dash"/>
      </w:pPr>
      <w:r w:rsidRPr="00DA30A0">
        <w:t>if the handle is contaminated with blood</w:t>
      </w:r>
      <w:r w:rsidR="00597EBA">
        <w:t>,</w:t>
      </w:r>
      <w:r w:rsidRPr="00DA30A0">
        <w:t xml:space="preserve"> </w:t>
      </w:r>
      <w:r w:rsidR="00597EBA">
        <w:t xml:space="preserve">it is </w:t>
      </w:r>
      <w:r w:rsidRPr="00DA30A0">
        <w:t>rinsed well with water and soaked in a disinfectant solution.</w:t>
      </w:r>
    </w:p>
    <w:p w14:paraId="0DDFFFCA" w14:textId="77777777" w:rsidR="008F7674" w:rsidRPr="00DA30A0" w:rsidRDefault="008F7674" w:rsidP="00C317A8">
      <w:pPr>
        <w:pStyle w:val="Heading3"/>
        <w:rPr>
          <w:rFonts w:eastAsia="Calibri"/>
        </w:rPr>
      </w:pPr>
      <w:r w:rsidRPr="00DA30A0">
        <w:rPr>
          <w:rFonts w:eastAsia="Calibri"/>
        </w:rPr>
        <w:t>Disposable razors</w:t>
      </w:r>
    </w:p>
    <w:p w14:paraId="6564A2E6" w14:textId="678BA3DC" w:rsidR="008F7674" w:rsidRPr="00DA30A0" w:rsidRDefault="008F7674" w:rsidP="00C317A8">
      <w:pPr>
        <w:pStyle w:val="Bullet"/>
      </w:pPr>
      <w:r w:rsidRPr="00DA30A0">
        <w:t>After using a disposable razor, place it in a secure, tamper</w:t>
      </w:r>
      <w:r w:rsidR="00C67C16">
        <w:t>-</w:t>
      </w:r>
      <w:r w:rsidRPr="00DA30A0">
        <w:t xml:space="preserve">proof sharps container. </w:t>
      </w:r>
    </w:p>
    <w:p w14:paraId="60CA4C6F" w14:textId="77777777" w:rsidR="008F7674" w:rsidRPr="00DA30A0" w:rsidRDefault="008F7674" w:rsidP="00C317A8">
      <w:pPr>
        <w:pStyle w:val="Bullet"/>
      </w:pPr>
      <w:r w:rsidRPr="00DA30A0">
        <w:t>Never reuse disposable razors.</w:t>
      </w:r>
    </w:p>
    <w:p w14:paraId="5ABC25FE" w14:textId="591F36CF" w:rsidR="008F7674" w:rsidRDefault="008F7674" w:rsidP="00C317A8">
      <w:pPr>
        <w:pStyle w:val="Heading3"/>
      </w:pPr>
      <w:r w:rsidRPr="00DA30A0">
        <w:t>Disposal of sharps</w:t>
      </w:r>
    </w:p>
    <w:p w14:paraId="7623E64F" w14:textId="5A4757CA" w:rsidR="000252FF" w:rsidRPr="008A49BA" w:rsidRDefault="000252FF" w:rsidP="000252FF">
      <w:pPr>
        <w:rPr>
          <w:b/>
          <w:bCs/>
        </w:rPr>
      </w:pPr>
      <w:r w:rsidRPr="008A49BA">
        <w:rPr>
          <w:rFonts w:cs="Segoe UI"/>
          <w:b/>
          <w:bCs/>
          <w:szCs w:val="21"/>
        </w:rPr>
        <w:t>Sharps such as razors and blades must never be placed in general waste receptacles.</w:t>
      </w:r>
    </w:p>
    <w:p w14:paraId="5B6DAAA6" w14:textId="78DA320E" w:rsidR="008F7674" w:rsidRPr="00DA30A0" w:rsidRDefault="008F7674" w:rsidP="007578CC">
      <w:pPr>
        <w:pStyle w:val="Bullet"/>
        <w:spacing w:before="240"/>
      </w:pPr>
      <w:r w:rsidRPr="00DA30A0">
        <w:t>Sharp tools can cause injuries that might expose workers to blood</w:t>
      </w:r>
      <w:r w:rsidR="007F3338">
        <w:t>-</w:t>
      </w:r>
      <w:r w:rsidRPr="00DA30A0">
        <w:t>borne diseases such as hepatitis B, hepatitis C and HIV.</w:t>
      </w:r>
    </w:p>
    <w:p w14:paraId="19388DD4" w14:textId="77777777" w:rsidR="008F7674" w:rsidRPr="00DA30A0" w:rsidRDefault="008F7674" w:rsidP="00C317A8">
      <w:pPr>
        <w:pStyle w:val="Bullet"/>
      </w:pPr>
      <w:r w:rsidRPr="00DA30A0">
        <w:t>Sharp tools used by hairdressers and barbers include (but are not limited to):</w:t>
      </w:r>
    </w:p>
    <w:p w14:paraId="29A5CA98" w14:textId="77777777" w:rsidR="008F7674" w:rsidRPr="00DA30A0" w:rsidRDefault="008F7674" w:rsidP="00C317A8">
      <w:pPr>
        <w:pStyle w:val="Dash"/>
      </w:pPr>
      <w:r w:rsidRPr="00DA30A0">
        <w:t>razors</w:t>
      </w:r>
    </w:p>
    <w:p w14:paraId="5859F51F" w14:textId="77777777" w:rsidR="008F7674" w:rsidRPr="00DA30A0" w:rsidRDefault="008F7674" w:rsidP="00C317A8">
      <w:pPr>
        <w:pStyle w:val="Dash"/>
      </w:pPr>
      <w:r w:rsidRPr="00DA30A0">
        <w:t>blades.</w:t>
      </w:r>
    </w:p>
    <w:p w14:paraId="0E1D802E" w14:textId="65BF295C" w:rsidR="008F7674" w:rsidRPr="00DA30A0" w:rsidRDefault="008F7674" w:rsidP="00C317A8">
      <w:pPr>
        <w:pStyle w:val="Bullet"/>
      </w:pPr>
      <w:r w:rsidRPr="00DA30A0">
        <w:t>Staff should ensure that disposable sharp tools are safely managed and immediately disposed of after use in a secure tamper</w:t>
      </w:r>
      <w:r w:rsidR="00627603">
        <w:t>-</w:t>
      </w:r>
      <w:r w:rsidRPr="00DA30A0">
        <w:t xml:space="preserve">proof </w:t>
      </w:r>
      <w:proofErr w:type="gramStart"/>
      <w:r w:rsidRPr="00DA30A0">
        <w:t>sharps</w:t>
      </w:r>
      <w:proofErr w:type="gramEnd"/>
      <w:r w:rsidRPr="00DA30A0">
        <w:t xml:space="preserve"> container.</w:t>
      </w:r>
    </w:p>
    <w:p w14:paraId="1CCB16FE" w14:textId="71A2AC60" w:rsidR="008F7674" w:rsidRPr="00DA30A0" w:rsidRDefault="008F7674" w:rsidP="00C317A8">
      <w:pPr>
        <w:pStyle w:val="Bullet"/>
      </w:pPr>
      <w:r w:rsidRPr="00DA30A0">
        <w:t xml:space="preserve">Replace sharps containers when three-quarters full </w:t>
      </w:r>
      <w:r w:rsidR="00627603">
        <w:t>–</w:t>
      </w:r>
      <w:r w:rsidRPr="00DA30A0">
        <w:t xml:space="preserve"> check with your local authority as some will have a list of licensed collectors.</w:t>
      </w:r>
    </w:p>
    <w:p w14:paraId="363DBD2E" w14:textId="77777777" w:rsidR="008F7674" w:rsidRDefault="008F7674" w:rsidP="00903016">
      <w:pPr>
        <w:pStyle w:val="Heading2"/>
        <w:rPr>
          <w:rFonts w:eastAsia="Calibri"/>
        </w:rPr>
      </w:pPr>
      <w:bookmarkStart w:id="16" w:name="_Toc202429311"/>
      <w:bookmarkStart w:id="17" w:name="_Ref202866895"/>
      <w:bookmarkStart w:id="18" w:name="_Ref202867073"/>
      <w:bookmarkStart w:id="19" w:name="_Ref202867080"/>
      <w:bookmarkStart w:id="20" w:name="_Toc203485587"/>
      <w:r w:rsidRPr="00DA30A0">
        <w:rPr>
          <w:rFonts w:eastAsia="Calibri"/>
        </w:rPr>
        <w:t>Ventilation</w:t>
      </w:r>
      <w:bookmarkEnd w:id="16"/>
      <w:bookmarkEnd w:id="17"/>
      <w:bookmarkEnd w:id="18"/>
      <w:bookmarkEnd w:id="19"/>
      <w:bookmarkEnd w:id="20"/>
    </w:p>
    <w:p w14:paraId="3132DF05" w14:textId="77777777" w:rsidR="000252FF" w:rsidRPr="003929D8" w:rsidRDefault="000252FF" w:rsidP="000252FF">
      <w:pPr>
        <w:spacing w:before="60" w:after="60"/>
        <w:rPr>
          <w:rFonts w:cs="Segoe UI"/>
          <w:b/>
          <w:bCs/>
          <w:szCs w:val="21"/>
        </w:rPr>
      </w:pPr>
      <w:r w:rsidRPr="003929D8">
        <w:rPr>
          <w:rFonts w:cs="Segoe UI"/>
          <w:b/>
          <w:bCs/>
          <w:szCs w:val="21"/>
        </w:rPr>
        <w:t>Why is this important?</w:t>
      </w:r>
    </w:p>
    <w:p w14:paraId="6B4AD74F" w14:textId="07A29D42" w:rsidR="000252FF" w:rsidRPr="000252FF" w:rsidRDefault="000252FF" w:rsidP="000252FF">
      <w:pPr>
        <w:rPr>
          <w:rFonts w:eastAsia="Calibri"/>
        </w:rPr>
      </w:pPr>
      <w:r w:rsidRPr="00DA30A0">
        <w:rPr>
          <w:rFonts w:cs="Segoe UI"/>
          <w:szCs w:val="21"/>
        </w:rPr>
        <w:t>When ventilation is insufficient, airborne chemicals, dust, and infectious respiratory particles can accumulate in the air and be inhaled causing illness or respiratory issues. Products that release formaldehyde should be used with caution.</w:t>
      </w:r>
      <w:r w:rsidRPr="00DA30A0">
        <w:rPr>
          <w:rStyle w:val="FootnoteReference"/>
          <w:rFonts w:cs="Segoe UI"/>
          <w:szCs w:val="21"/>
        </w:rPr>
        <w:footnoteReference w:id="2"/>
      </w:r>
      <w:r w:rsidRPr="00712E11">
        <w:rPr>
          <w:rFonts w:cs="Segoe UI"/>
          <w:szCs w:val="21"/>
          <w:vertAlign w:val="superscript"/>
        </w:rPr>
        <w:t>,</w:t>
      </w:r>
      <w:r w:rsidRPr="00DA30A0">
        <w:rPr>
          <w:rStyle w:val="FootnoteReference"/>
          <w:rFonts w:cs="Segoe UI"/>
          <w:szCs w:val="21"/>
        </w:rPr>
        <w:footnoteReference w:id="3"/>
      </w:r>
    </w:p>
    <w:p w14:paraId="1EF36277" w14:textId="77777777" w:rsidR="008F7674" w:rsidRPr="00DA30A0" w:rsidRDefault="008F7674" w:rsidP="007578CC">
      <w:pPr>
        <w:pStyle w:val="Bullet"/>
        <w:spacing w:before="240"/>
      </w:pPr>
      <w:r w:rsidRPr="00DA30A0">
        <w:t xml:space="preserve">Ensure that there is sufficient ventilation, particularly in areas where chemicals are mixed and applied. </w:t>
      </w:r>
    </w:p>
    <w:p w14:paraId="7A152A92" w14:textId="1F8C34C9" w:rsidR="008F7674" w:rsidRPr="00DA30A0" w:rsidRDefault="008F7674" w:rsidP="00C317A8">
      <w:pPr>
        <w:pStyle w:val="Bullet"/>
      </w:pPr>
      <w:r w:rsidRPr="00DA30A0">
        <w:t>If natural ventilation is insufficient (</w:t>
      </w:r>
      <w:proofErr w:type="spellStart"/>
      <w:r w:rsidRPr="00DA30A0">
        <w:t>eg</w:t>
      </w:r>
      <w:proofErr w:type="spellEnd"/>
      <w:r w:rsidRPr="00DA30A0">
        <w:t>, opening doors and windows) or impractical, consider using mechanical ventilation (</w:t>
      </w:r>
      <w:proofErr w:type="spellStart"/>
      <w:r w:rsidRPr="00DA30A0">
        <w:t>eg</w:t>
      </w:r>
      <w:proofErr w:type="spellEnd"/>
      <w:r w:rsidRPr="00DA30A0">
        <w:t>, air purifier or ducted mechanical ventilation system [HVAC]).</w:t>
      </w:r>
      <w:r w:rsidRPr="00D75603">
        <w:rPr>
          <w:rStyle w:val="FootnoteReference"/>
          <w:rFonts w:cs="Segoe UI"/>
          <w:szCs w:val="21"/>
        </w:rPr>
        <w:footnoteReference w:id="4"/>
      </w:r>
      <w:r w:rsidRPr="00DA30A0">
        <w:t xml:space="preserve"> </w:t>
      </w:r>
    </w:p>
    <w:p w14:paraId="2D33164C" w14:textId="2CBAE42F" w:rsidR="008F7674" w:rsidRPr="00DA30A0" w:rsidRDefault="008F7674" w:rsidP="00903016">
      <w:pPr>
        <w:pStyle w:val="Heading2"/>
        <w:rPr>
          <w:rFonts w:eastAsia="Calibri"/>
        </w:rPr>
      </w:pPr>
      <w:bookmarkStart w:id="21" w:name="_Toc202429312"/>
      <w:bookmarkStart w:id="22" w:name="_Ref202866900"/>
      <w:bookmarkStart w:id="23" w:name="_Ref202867085"/>
      <w:bookmarkStart w:id="24" w:name="_Toc203485588"/>
      <w:r w:rsidRPr="00DA30A0">
        <w:rPr>
          <w:rFonts w:eastAsia="Calibri"/>
        </w:rPr>
        <w:t>Dogs</w:t>
      </w:r>
      <w:bookmarkEnd w:id="21"/>
      <w:bookmarkEnd w:id="22"/>
      <w:bookmarkEnd w:id="23"/>
      <w:bookmarkEnd w:id="24"/>
    </w:p>
    <w:p w14:paraId="1BEB3741" w14:textId="77777777" w:rsidR="008F7674" w:rsidRPr="00DA30A0" w:rsidRDefault="008F7674" w:rsidP="007F22AB">
      <w:pPr>
        <w:pStyle w:val="Bullet"/>
      </w:pPr>
      <w:r w:rsidRPr="00DA30A0">
        <w:t xml:space="preserve">Disability </w:t>
      </w:r>
      <w:proofErr w:type="gramStart"/>
      <w:r w:rsidRPr="00DA30A0">
        <w:t>assist</w:t>
      </w:r>
      <w:proofErr w:type="gramEnd"/>
      <w:r w:rsidRPr="00DA30A0">
        <w:t xml:space="preserve"> dogs have a right to access public places and private businesses in New Zealand.</w:t>
      </w:r>
      <w:r w:rsidRPr="00C75FE3">
        <w:rPr>
          <w:rStyle w:val="FootnoteReference"/>
          <w:rFonts w:cs="Segoe UI"/>
          <w:szCs w:val="21"/>
        </w:rPr>
        <w:footnoteReference w:id="5"/>
      </w:r>
    </w:p>
    <w:p w14:paraId="3C84FD18" w14:textId="29B383B1" w:rsidR="008F7674" w:rsidRPr="00DA30A0" w:rsidRDefault="008F7674" w:rsidP="007F22AB">
      <w:pPr>
        <w:pStyle w:val="Bullet"/>
      </w:pPr>
      <w:r w:rsidRPr="00DA30A0">
        <w:t>For all other dogs, business owners can make their own decisions about whether to allow them on the premises subject to any requirements in contracts (such as lease and/or franchise agreements).</w:t>
      </w:r>
    </w:p>
    <w:p w14:paraId="000704A4" w14:textId="4632CBA9" w:rsidR="007F22AB" w:rsidRPr="00DA30A0" w:rsidRDefault="007F22AB" w:rsidP="007F22AB">
      <w:pPr>
        <w:pStyle w:val="Heading1"/>
      </w:pPr>
      <w:bookmarkStart w:id="25" w:name="_Toc203485589"/>
      <w:r w:rsidRPr="00DA30A0">
        <w:t>Part B:</w:t>
      </w:r>
      <w:r w:rsidRPr="00DA30A0">
        <w:br/>
        <w:t>People</w:t>
      </w:r>
      <w:bookmarkEnd w:id="25"/>
    </w:p>
    <w:p w14:paraId="7E3163AA" w14:textId="77777777" w:rsidR="00172EDE" w:rsidRDefault="00172EDE" w:rsidP="0004399F">
      <w:pPr>
        <w:pStyle w:val="Heading2"/>
        <w:rPr>
          <w:rFonts w:eastAsia="Calibri"/>
        </w:rPr>
      </w:pPr>
      <w:bookmarkStart w:id="26" w:name="_Toc202429314"/>
      <w:bookmarkStart w:id="27" w:name="_Ref202866913"/>
      <w:bookmarkStart w:id="28" w:name="_Ref202867052"/>
      <w:bookmarkStart w:id="29" w:name="_Toc203485590"/>
      <w:r w:rsidRPr="00DA30A0">
        <w:rPr>
          <w:rFonts w:eastAsia="Calibri"/>
        </w:rPr>
        <w:t>Hand hygiene</w:t>
      </w:r>
      <w:bookmarkEnd w:id="26"/>
      <w:bookmarkEnd w:id="27"/>
      <w:bookmarkEnd w:id="28"/>
      <w:bookmarkEnd w:id="29"/>
    </w:p>
    <w:p w14:paraId="547D2401" w14:textId="77777777" w:rsidR="000252FF" w:rsidRPr="003929D8" w:rsidRDefault="000252FF" w:rsidP="000252FF">
      <w:pPr>
        <w:spacing w:before="60" w:after="60"/>
        <w:rPr>
          <w:rFonts w:cs="Segoe UI"/>
          <w:b/>
          <w:bCs/>
          <w:szCs w:val="21"/>
        </w:rPr>
      </w:pPr>
      <w:r w:rsidRPr="003929D8">
        <w:rPr>
          <w:rFonts w:cs="Segoe UI"/>
          <w:b/>
          <w:bCs/>
          <w:szCs w:val="21"/>
        </w:rPr>
        <w:t>Why is this important?</w:t>
      </w:r>
    </w:p>
    <w:p w14:paraId="02C82D43" w14:textId="5FDB0AD6" w:rsidR="000252FF" w:rsidRPr="000252FF" w:rsidRDefault="000252FF" w:rsidP="000252FF">
      <w:pPr>
        <w:rPr>
          <w:rFonts w:eastAsia="Calibri"/>
        </w:rPr>
      </w:pPr>
      <w:r w:rsidRPr="00DA30A0">
        <w:rPr>
          <w:rFonts w:cs="Segoe UI"/>
          <w:szCs w:val="21"/>
        </w:rPr>
        <w:t>Hand hygiene is considered one of the most important and effective ways to reduce the spread of infection. Proper hand hygiene reduces microorganisms on hands, particularly transient flora (bacteria and viruses acquired during contact with clients, contaminated equipment, or contaminated surfaces in the work environment).</w:t>
      </w:r>
    </w:p>
    <w:p w14:paraId="5F3D856D" w14:textId="77777777" w:rsidR="00172EDE" w:rsidRPr="00DA30A0" w:rsidRDefault="00172EDE" w:rsidP="0004399F">
      <w:pPr>
        <w:pStyle w:val="Heading3"/>
      </w:pPr>
      <w:r w:rsidRPr="00DA30A0">
        <w:t>When should hand hygiene be performed?</w:t>
      </w:r>
    </w:p>
    <w:p w14:paraId="5634A0E1" w14:textId="77777777" w:rsidR="00172EDE" w:rsidRPr="00DA30A0" w:rsidRDefault="00172EDE" w:rsidP="0004399F">
      <w:pPr>
        <w:pStyle w:val="Bullet"/>
      </w:pPr>
      <w:r w:rsidRPr="00DA30A0">
        <w:t>before and after contact with each client</w:t>
      </w:r>
    </w:p>
    <w:p w14:paraId="3C0CC25D" w14:textId="681016B8" w:rsidR="00172EDE" w:rsidRPr="00DA30A0" w:rsidRDefault="00172EDE" w:rsidP="0004399F">
      <w:pPr>
        <w:pStyle w:val="Bullet"/>
      </w:pPr>
      <w:r w:rsidRPr="00DA30A0">
        <w:t xml:space="preserve">after exposure to blood or </w:t>
      </w:r>
      <w:r w:rsidR="00AD13D5">
        <w:t>bodily</w:t>
      </w:r>
      <w:r w:rsidR="00AD13D5" w:rsidRPr="00DA30A0">
        <w:t xml:space="preserve"> </w:t>
      </w:r>
      <w:r w:rsidRPr="00DA30A0">
        <w:t>fluids/substances</w:t>
      </w:r>
    </w:p>
    <w:p w14:paraId="50892F78" w14:textId="4C44709A" w:rsidR="00172EDE" w:rsidRPr="00DA30A0" w:rsidRDefault="00172EDE" w:rsidP="0004399F">
      <w:pPr>
        <w:pStyle w:val="Bullet"/>
      </w:pPr>
      <w:r w:rsidRPr="00DA30A0">
        <w:t>after handling used instruments, laundry or waste</w:t>
      </w:r>
    </w:p>
    <w:p w14:paraId="39EEE596" w14:textId="77777777" w:rsidR="00172EDE" w:rsidRPr="00DA30A0" w:rsidRDefault="00172EDE" w:rsidP="0004399F">
      <w:pPr>
        <w:pStyle w:val="Bullet"/>
      </w:pPr>
      <w:r w:rsidRPr="00DA30A0">
        <w:t>before and after eating</w:t>
      </w:r>
    </w:p>
    <w:p w14:paraId="1CEA80EA" w14:textId="77777777" w:rsidR="00172EDE" w:rsidRPr="00DA30A0" w:rsidRDefault="00172EDE" w:rsidP="0004399F">
      <w:pPr>
        <w:pStyle w:val="Bullet"/>
      </w:pPr>
      <w:r w:rsidRPr="00DA30A0">
        <w:t>after using the toilet</w:t>
      </w:r>
    </w:p>
    <w:p w14:paraId="6B60472E" w14:textId="77777777" w:rsidR="00172EDE" w:rsidRPr="00DA30A0" w:rsidRDefault="00172EDE" w:rsidP="0004399F">
      <w:pPr>
        <w:pStyle w:val="Bullet"/>
      </w:pPr>
      <w:r w:rsidRPr="00DA30A0">
        <w:t>after smoking or vaping</w:t>
      </w:r>
    </w:p>
    <w:p w14:paraId="67979610" w14:textId="77777777" w:rsidR="00172EDE" w:rsidRPr="00DA30A0" w:rsidRDefault="00172EDE" w:rsidP="0004399F">
      <w:pPr>
        <w:pStyle w:val="Bullet"/>
      </w:pPr>
      <w:r w:rsidRPr="00DA30A0">
        <w:t xml:space="preserve">before putting on and after removing gloves </w:t>
      </w:r>
    </w:p>
    <w:p w14:paraId="3D64C273" w14:textId="77777777" w:rsidR="00172EDE" w:rsidRDefault="00172EDE" w:rsidP="0004399F">
      <w:pPr>
        <w:pStyle w:val="Bullet"/>
      </w:pPr>
      <w:r w:rsidRPr="00DA30A0">
        <w:t>when hands become visibly contaminated</w:t>
      </w:r>
    </w:p>
    <w:p w14:paraId="724A08E3" w14:textId="77777777" w:rsidR="000252FF" w:rsidRDefault="000252FF" w:rsidP="000252FF">
      <w:pPr>
        <w:pStyle w:val="Bullet"/>
        <w:numPr>
          <w:ilvl w:val="0"/>
          <w:numId w:val="0"/>
        </w:numPr>
      </w:pPr>
    </w:p>
    <w:p w14:paraId="38FC4F72" w14:textId="77777777" w:rsidR="000252FF" w:rsidRPr="008A49BA" w:rsidRDefault="000252FF" w:rsidP="000252FF">
      <w:pPr>
        <w:spacing w:before="60" w:after="60"/>
        <w:rPr>
          <w:b/>
          <w:bCs/>
        </w:rPr>
      </w:pPr>
      <w:r w:rsidRPr="008A49BA">
        <w:rPr>
          <w:b/>
          <w:bCs/>
        </w:rPr>
        <w:t>Use soap and water or alcohol-based hand rubs if your hands are not visibly soiled. For more information see:</w:t>
      </w:r>
    </w:p>
    <w:p w14:paraId="54E6BD1C" w14:textId="6DF26694" w:rsidR="0004399F" w:rsidRPr="00DA30A0" w:rsidRDefault="00A76531" w:rsidP="000252FF">
      <w:pPr>
        <w:pStyle w:val="Bullet"/>
        <w:numPr>
          <w:ilvl w:val="0"/>
          <w:numId w:val="0"/>
        </w:numPr>
      </w:pPr>
      <w:hyperlink r:id="rId27" w:history="1">
        <w:r w:rsidR="000252FF" w:rsidRPr="00DA30A0">
          <w:rPr>
            <w:rStyle w:val="Hyperlink"/>
          </w:rPr>
          <w:t>healthify.nz/</w:t>
        </w:r>
        <w:proofErr w:type="spellStart"/>
        <w:r w:rsidR="000252FF" w:rsidRPr="00DA30A0">
          <w:rPr>
            <w:rStyle w:val="Hyperlink"/>
          </w:rPr>
          <w:t>hauora</w:t>
        </w:r>
        <w:proofErr w:type="spellEnd"/>
        <w:r w:rsidR="000252FF" w:rsidRPr="00DA30A0">
          <w:rPr>
            <w:rStyle w:val="Hyperlink"/>
          </w:rPr>
          <w:t>-wellbeing/h/</w:t>
        </w:r>
        <w:proofErr w:type="gramStart"/>
        <w:r w:rsidR="000252FF" w:rsidRPr="00DA30A0">
          <w:rPr>
            <w:rStyle w:val="Hyperlink"/>
          </w:rPr>
          <w:t>hand-washing</w:t>
        </w:r>
        <w:proofErr w:type="gramEnd"/>
      </w:hyperlink>
    </w:p>
    <w:p w14:paraId="16F8E6A0" w14:textId="77777777" w:rsidR="00172EDE" w:rsidRDefault="00172EDE" w:rsidP="002366B0">
      <w:pPr>
        <w:pStyle w:val="Heading2"/>
        <w:rPr>
          <w:rFonts w:eastAsia="Calibri"/>
        </w:rPr>
      </w:pPr>
      <w:bookmarkStart w:id="30" w:name="_Toc202429315"/>
      <w:bookmarkStart w:id="31" w:name="_Ref202866920"/>
      <w:bookmarkStart w:id="32" w:name="_Ref202867046"/>
      <w:bookmarkStart w:id="33" w:name="_Toc203485591"/>
      <w:r w:rsidRPr="00DA30A0">
        <w:rPr>
          <w:rFonts w:eastAsia="Calibri"/>
        </w:rPr>
        <w:t>Handling sharp instruments</w:t>
      </w:r>
      <w:bookmarkEnd w:id="30"/>
      <w:bookmarkEnd w:id="31"/>
      <w:bookmarkEnd w:id="32"/>
      <w:bookmarkEnd w:id="33"/>
    </w:p>
    <w:p w14:paraId="2A7A3CBA" w14:textId="77777777" w:rsidR="000252FF" w:rsidRPr="003929D8" w:rsidRDefault="000252FF" w:rsidP="000252FF">
      <w:pPr>
        <w:spacing w:before="60" w:after="60"/>
        <w:rPr>
          <w:rFonts w:cs="Segoe UI"/>
          <w:b/>
          <w:bCs/>
          <w:szCs w:val="21"/>
        </w:rPr>
      </w:pPr>
      <w:r w:rsidRPr="003929D8">
        <w:rPr>
          <w:rFonts w:cs="Segoe UI"/>
          <w:b/>
          <w:bCs/>
          <w:szCs w:val="21"/>
        </w:rPr>
        <w:t>Why is this important?</w:t>
      </w:r>
    </w:p>
    <w:p w14:paraId="268DD6E8" w14:textId="2E78791F" w:rsidR="000252FF" w:rsidRPr="000252FF" w:rsidRDefault="000252FF" w:rsidP="000252FF">
      <w:pPr>
        <w:rPr>
          <w:rFonts w:eastAsia="Calibri"/>
        </w:rPr>
      </w:pPr>
      <w:r w:rsidRPr="00DA30A0">
        <w:rPr>
          <w:rFonts w:cs="Segoe UI"/>
          <w:szCs w:val="21"/>
        </w:rPr>
        <w:t>Sharp tools, including razor blades and scissors, require careful handling to prevent injuries and potential infections.</w:t>
      </w:r>
    </w:p>
    <w:p w14:paraId="73F8D9B9" w14:textId="77777777" w:rsidR="00172EDE" w:rsidRPr="00DA30A0" w:rsidRDefault="00172EDE" w:rsidP="0004399F">
      <w:pPr>
        <w:pStyle w:val="Heading3"/>
      </w:pPr>
      <w:r w:rsidRPr="00DA30A0">
        <w:t>Safe handling practices</w:t>
      </w:r>
    </w:p>
    <w:p w14:paraId="2CC585CC" w14:textId="09B95C88" w:rsidR="00172EDE" w:rsidRPr="00DA30A0" w:rsidRDefault="00172EDE" w:rsidP="0004399F">
      <w:pPr>
        <w:pStyle w:val="Bullet"/>
      </w:pPr>
      <w:r w:rsidRPr="00DA30A0">
        <w:t xml:space="preserve">Treat all sharps as contaminated unless </w:t>
      </w:r>
      <w:r w:rsidR="00C75FE3">
        <w:t xml:space="preserve">they are </w:t>
      </w:r>
      <w:r w:rsidRPr="00DA30A0">
        <w:t>known to be sterile</w:t>
      </w:r>
      <w:r w:rsidR="00866A87">
        <w:t>.</w:t>
      </w:r>
    </w:p>
    <w:p w14:paraId="30AAA9C5" w14:textId="2381433B" w:rsidR="00172EDE" w:rsidRPr="00DA30A0" w:rsidRDefault="00172EDE" w:rsidP="0004399F">
      <w:pPr>
        <w:pStyle w:val="Bullet"/>
      </w:pPr>
      <w:r w:rsidRPr="00DA30A0">
        <w:t>Always handle sharp instruments carefully to avoid injuries</w:t>
      </w:r>
      <w:r w:rsidR="00866A87">
        <w:t>.</w:t>
      </w:r>
    </w:p>
    <w:p w14:paraId="1E3FA90F" w14:textId="19B8CE16" w:rsidR="00172EDE" w:rsidRPr="00DA30A0" w:rsidRDefault="00172EDE" w:rsidP="0004399F">
      <w:pPr>
        <w:pStyle w:val="Bullet"/>
      </w:pPr>
      <w:r w:rsidRPr="00DA30A0">
        <w:t xml:space="preserve">Dispose of sharps, including razor blades, immediately after use into </w:t>
      </w:r>
      <w:r w:rsidR="00866A87">
        <w:t xml:space="preserve">a </w:t>
      </w:r>
      <w:r w:rsidRPr="00DA30A0">
        <w:t>designated secure tamper</w:t>
      </w:r>
      <w:r w:rsidR="00866A87">
        <w:t>-</w:t>
      </w:r>
      <w:r w:rsidRPr="00DA30A0">
        <w:t>proof sharps container</w:t>
      </w:r>
      <w:r w:rsidR="00866A87">
        <w:t>.</w:t>
      </w:r>
      <w:r w:rsidRPr="00DA30A0">
        <w:t xml:space="preserve"> </w:t>
      </w:r>
    </w:p>
    <w:p w14:paraId="0B456AA9" w14:textId="22583256" w:rsidR="00172EDE" w:rsidRPr="00DA30A0" w:rsidRDefault="00172EDE" w:rsidP="0004399F">
      <w:pPr>
        <w:pStyle w:val="Bullet"/>
      </w:pPr>
      <w:r w:rsidRPr="00DA30A0">
        <w:t>Keep sharps containers close to work areas</w:t>
      </w:r>
      <w:r w:rsidR="00866A87">
        <w:t>.</w:t>
      </w:r>
    </w:p>
    <w:p w14:paraId="01199071" w14:textId="159126C2" w:rsidR="00172EDE" w:rsidRPr="00DA30A0" w:rsidRDefault="00172EDE" w:rsidP="0004399F">
      <w:pPr>
        <w:pStyle w:val="Bullet"/>
      </w:pPr>
      <w:r w:rsidRPr="00DA30A0">
        <w:t>Replace sharps containers when three-quarters full</w:t>
      </w:r>
      <w:r w:rsidR="00E65232">
        <w:t>.</w:t>
      </w:r>
    </w:p>
    <w:p w14:paraId="4CC6F79F" w14:textId="4951F3BF" w:rsidR="00172EDE" w:rsidRPr="00DA30A0" w:rsidRDefault="00172EDE" w:rsidP="0004399F">
      <w:pPr>
        <w:pStyle w:val="Bullet"/>
      </w:pPr>
      <w:r w:rsidRPr="00DA30A0">
        <w:t>Never reach into sharps containers</w:t>
      </w:r>
      <w:r w:rsidR="00E65232">
        <w:t>.</w:t>
      </w:r>
    </w:p>
    <w:p w14:paraId="08166DED" w14:textId="61C6DB16" w:rsidR="00172EDE" w:rsidRDefault="00172EDE" w:rsidP="002366B0">
      <w:pPr>
        <w:pStyle w:val="Heading2"/>
        <w:rPr>
          <w:rFonts w:eastAsia="Calibri"/>
        </w:rPr>
      </w:pPr>
      <w:bookmarkStart w:id="34" w:name="_Toc202429316"/>
      <w:bookmarkStart w:id="35" w:name="_Ref202866927"/>
      <w:bookmarkStart w:id="36" w:name="_Ref202867036"/>
      <w:bookmarkStart w:id="37" w:name="_Ref202874579"/>
      <w:bookmarkStart w:id="38" w:name="_Toc203485592"/>
      <w:r w:rsidRPr="00DA30A0">
        <w:rPr>
          <w:rFonts w:eastAsia="Calibri"/>
        </w:rPr>
        <w:t>Handling cuts, abrasions and infections</w:t>
      </w:r>
      <w:bookmarkEnd w:id="34"/>
      <w:bookmarkEnd w:id="35"/>
      <w:bookmarkEnd w:id="36"/>
      <w:bookmarkEnd w:id="37"/>
      <w:bookmarkEnd w:id="38"/>
    </w:p>
    <w:p w14:paraId="4E7557CA" w14:textId="77777777" w:rsidR="000252FF" w:rsidRPr="003929D8" w:rsidRDefault="000252FF" w:rsidP="000252FF">
      <w:pPr>
        <w:spacing w:before="60" w:after="60"/>
        <w:rPr>
          <w:rFonts w:cs="Segoe UI"/>
          <w:b/>
          <w:bCs/>
          <w:szCs w:val="21"/>
        </w:rPr>
      </w:pPr>
      <w:r w:rsidRPr="003929D8">
        <w:rPr>
          <w:rFonts w:cs="Segoe UI"/>
          <w:b/>
          <w:bCs/>
          <w:szCs w:val="21"/>
        </w:rPr>
        <w:t>Why is this important?</w:t>
      </w:r>
    </w:p>
    <w:p w14:paraId="3B873E7F" w14:textId="06B5CF6E" w:rsidR="000252FF" w:rsidRPr="000252FF" w:rsidRDefault="000252FF" w:rsidP="000252FF">
      <w:pPr>
        <w:rPr>
          <w:rFonts w:eastAsia="Calibri"/>
        </w:rPr>
      </w:pPr>
      <w:r w:rsidRPr="00DA30A0">
        <w:rPr>
          <w:rFonts w:cs="Segoe UI"/>
          <w:szCs w:val="21"/>
        </w:rPr>
        <w:t>Intact skin forms a natural defence against infection. Cuts and breaks in the skin, or skin lesions</w:t>
      </w:r>
      <w:r>
        <w:rPr>
          <w:rFonts w:cs="Segoe UI"/>
          <w:szCs w:val="21"/>
        </w:rPr>
        <w:t>,</w:t>
      </w:r>
      <w:r w:rsidRPr="00DA30A0">
        <w:rPr>
          <w:rFonts w:cs="Segoe UI"/>
          <w:szCs w:val="21"/>
        </w:rPr>
        <w:t xml:space="preserve"> are potential entry points for infection.</w:t>
      </w:r>
    </w:p>
    <w:p w14:paraId="0C152964" w14:textId="0FAAF658" w:rsidR="00172EDE" w:rsidRPr="00DA30A0" w:rsidRDefault="00172EDE" w:rsidP="002366B0">
      <w:pPr>
        <w:pStyle w:val="Heading3"/>
      </w:pPr>
      <w:r w:rsidRPr="00DA30A0">
        <w:t>For workers in hairdressing salons or barbershops</w:t>
      </w:r>
    </w:p>
    <w:p w14:paraId="22E1A6F0" w14:textId="2CB94F15" w:rsidR="00172EDE" w:rsidRPr="00DA30A0" w:rsidRDefault="00172EDE" w:rsidP="002366B0">
      <w:pPr>
        <w:pStyle w:val="Bullet"/>
      </w:pPr>
      <w:r w:rsidRPr="00DA30A0">
        <w:t>Cover cuts, abrasions or wounds with waterproof dressings</w:t>
      </w:r>
      <w:r w:rsidR="00E65232">
        <w:t>.</w:t>
      </w:r>
      <w:r w:rsidRPr="00DA30A0">
        <w:t xml:space="preserve"> </w:t>
      </w:r>
    </w:p>
    <w:p w14:paraId="45CE1536" w14:textId="40D7EDEF" w:rsidR="00172EDE" w:rsidRPr="00DA30A0" w:rsidRDefault="00172EDE" w:rsidP="002366B0">
      <w:pPr>
        <w:pStyle w:val="Bullet"/>
      </w:pPr>
      <w:r w:rsidRPr="00DA30A0">
        <w:t>Change dressings if they become soiled or wet</w:t>
      </w:r>
      <w:r w:rsidR="00E65232">
        <w:t>.</w:t>
      </w:r>
    </w:p>
    <w:p w14:paraId="0E109229" w14:textId="5C1BAC8C" w:rsidR="00172EDE" w:rsidRPr="00DA30A0" w:rsidRDefault="00172EDE" w:rsidP="002366B0">
      <w:pPr>
        <w:pStyle w:val="Bullet"/>
      </w:pPr>
      <w:r w:rsidRPr="00DA30A0">
        <w:t>If cuts, abrasions or wounds are on hands, wear single-use gloves during all procedures</w:t>
      </w:r>
      <w:r w:rsidR="00E65232">
        <w:t>.</w:t>
      </w:r>
    </w:p>
    <w:p w14:paraId="2CC3E4B2" w14:textId="77777777" w:rsidR="00172EDE" w:rsidRPr="00DA30A0" w:rsidRDefault="00172EDE" w:rsidP="002366B0">
      <w:pPr>
        <w:pStyle w:val="Bullet"/>
      </w:pPr>
      <w:r w:rsidRPr="00DA30A0">
        <w:t xml:space="preserve">You should not provide services to clients if you have: </w:t>
      </w:r>
    </w:p>
    <w:p w14:paraId="7229442C" w14:textId="77777777" w:rsidR="00172EDE" w:rsidRPr="00DA30A0" w:rsidRDefault="00172EDE" w:rsidP="002366B0">
      <w:pPr>
        <w:pStyle w:val="Dash"/>
      </w:pPr>
      <w:r w:rsidRPr="00DA30A0">
        <w:t>extensive broken skin that cannot be effectively covered</w:t>
      </w:r>
    </w:p>
    <w:p w14:paraId="34293F13" w14:textId="77777777" w:rsidR="00172EDE" w:rsidRPr="00DA30A0" w:rsidRDefault="00172EDE" w:rsidP="002366B0">
      <w:pPr>
        <w:pStyle w:val="Dash"/>
      </w:pPr>
      <w:r w:rsidRPr="00DA30A0">
        <w:t>nail infections or fungal diseases.</w:t>
      </w:r>
    </w:p>
    <w:p w14:paraId="2D6595BE" w14:textId="77777777" w:rsidR="00172EDE" w:rsidRPr="00DA30A0" w:rsidRDefault="00172EDE" w:rsidP="002366B0">
      <w:pPr>
        <w:pStyle w:val="Heading3"/>
      </w:pPr>
      <w:r w:rsidRPr="00DA30A0">
        <w:t>For clients</w:t>
      </w:r>
    </w:p>
    <w:p w14:paraId="2D2E6BB2" w14:textId="77777777" w:rsidR="00172EDE" w:rsidRPr="00DA30A0" w:rsidRDefault="00172EDE" w:rsidP="00395003">
      <w:r w:rsidRPr="00DA30A0">
        <w:t xml:space="preserve">If a client has an open cut, abrasion or wound on their head, neck or face: </w:t>
      </w:r>
    </w:p>
    <w:p w14:paraId="68E6650D" w14:textId="77777777" w:rsidR="00172EDE" w:rsidRPr="00DA30A0" w:rsidRDefault="00172EDE" w:rsidP="00395003">
      <w:pPr>
        <w:pStyle w:val="Bullet"/>
      </w:pPr>
      <w:r w:rsidRPr="00DA30A0">
        <w:t xml:space="preserve">only provide services if: </w:t>
      </w:r>
    </w:p>
    <w:p w14:paraId="69BF984F" w14:textId="77777777" w:rsidR="00172EDE" w:rsidRPr="00DA30A0" w:rsidRDefault="00172EDE" w:rsidP="00395003">
      <w:pPr>
        <w:pStyle w:val="Dash"/>
      </w:pPr>
      <w:r w:rsidRPr="00DA30A0">
        <w:t xml:space="preserve">you believe you can appropriately work around the </w:t>
      </w:r>
      <w:proofErr w:type="gramStart"/>
      <w:r w:rsidRPr="00DA30A0">
        <w:t>condition</w:t>
      </w:r>
      <w:proofErr w:type="gramEnd"/>
    </w:p>
    <w:p w14:paraId="764300D0" w14:textId="77777777" w:rsidR="00172EDE" w:rsidRPr="00DA30A0" w:rsidRDefault="00172EDE" w:rsidP="00395003">
      <w:pPr>
        <w:pStyle w:val="Dash"/>
      </w:pPr>
      <w:r w:rsidRPr="00DA30A0">
        <w:t xml:space="preserve">you have processes in place to prevent transmission to other </w:t>
      </w:r>
      <w:proofErr w:type="gramStart"/>
      <w:r w:rsidRPr="00DA30A0">
        <w:t>clients</w:t>
      </w:r>
      <w:proofErr w:type="gramEnd"/>
    </w:p>
    <w:p w14:paraId="03831DE8" w14:textId="77777777" w:rsidR="00172EDE" w:rsidRPr="00DA30A0" w:rsidRDefault="00172EDE" w:rsidP="00395003">
      <w:pPr>
        <w:pStyle w:val="Bullet"/>
      </w:pPr>
      <w:r w:rsidRPr="00DA30A0">
        <w:t xml:space="preserve">take extra precautions with the use of personal protective equipment (PPE) and infection control </w:t>
      </w:r>
      <w:proofErr w:type="gramStart"/>
      <w:r w:rsidRPr="00DA30A0">
        <w:t>measures</w:t>
      </w:r>
      <w:proofErr w:type="gramEnd"/>
    </w:p>
    <w:p w14:paraId="581F07F3" w14:textId="77777777" w:rsidR="00172EDE" w:rsidRPr="00DA30A0" w:rsidRDefault="00172EDE" w:rsidP="00395003">
      <w:pPr>
        <w:pStyle w:val="Bullet"/>
      </w:pPr>
      <w:r w:rsidRPr="00DA30A0">
        <w:t>clean, disinfect and dry all equipment thoroughly after use.</w:t>
      </w:r>
    </w:p>
    <w:p w14:paraId="3980D7BC" w14:textId="77777777" w:rsidR="00172EDE" w:rsidRPr="00DA30A0" w:rsidRDefault="00172EDE" w:rsidP="009075AB">
      <w:pPr>
        <w:pStyle w:val="Heading2"/>
        <w:rPr>
          <w:rFonts w:eastAsia="Calibri"/>
        </w:rPr>
      </w:pPr>
      <w:bookmarkStart w:id="39" w:name="_Toc202429317"/>
      <w:bookmarkStart w:id="40" w:name="_Ref202866936"/>
      <w:bookmarkStart w:id="41" w:name="_Ref202867031"/>
      <w:bookmarkStart w:id="42" w:name="_Toc203485593"/>
      <w:r w:rsidRPr="00DA30A0">
        <w:rPr>
          <w:rFonts w:eastAsia="Calibri"/>
        </w:rPr>
        <w:t>Handling head lice</w:t>
      </w:r>
      <w:bookmarkEnd w:id="39"/>
      <w:bookmarkEnd w:id="40"/>
      <w:bookmarkEnd w:id="41"/>
      <w:bookmarkEnd w:id="42"/>
    </w:p>
    <w:p w14:paraId="1EE114B3" w14:textId="77777777" w:rsidR="00172EDE" w:rsidRPr="00DA30A0" w:rsidRDefault="00172EDE" w:rsidP="00275A19">
      <w:pPr>
        <w:pStyle w:val="Bullet"/>
      </w:pPr>
      <w:r w:rsidRPr="00DA30A0">
        <w:t xml:space="preserve">Business owners should develop their own policies and procedures for managing a client who has head lice. </w:t>
      </w:r>
    </w:p>
    <w:p w14:paraId="3BE3E2DB" w14:textId="77777777" w:rsidR="00172EDE" w:rsidRPr="00DA30A0" w:rsidRDefault="00172EDE" w:rsidP="00275A19">
      <w:pPr>
        <w:pStyle w:val="Bullet"/>
      </w:pPr>
      <w:r w:rsidRPr="00DA30A0">
        <w:t xml:space="preserve">Staff should be aware of head lice and know how to manage them based on the policies and procedures. </w:t>
      </w:r>
    </w:p>
    <w:p w14:paraId="7CFA5D87" w14:textId="77777777" w:rsidR="000252FF" w:rsidRPr="00DA30A0" w:rsidRDefault="000252FF" w:rsidP="000252FF">
      <w:pPr>
        <w:pStyle w:val="Heading3"/>
        <w:spacing w:before="120"/>
      </w:pPr>
      <w:r w:rsidRPr="00DA30A0">
        <w:t>Managing head lice</w:t>
      </w:r>
      <w:r w:rsidRPr="00E65232">
        <w:rPr>
          <w:rStyle w:val="FootnoteReference"/>
          <w:rFonts w:cs="Segoe UI"/>
          <w:szCs w:val="36"/>
        </w:rPr>
        <w:footnoteReference w:id="6"/>
      </w:r>
    </w:p>
    <w:p w14:paraId="2BE2FF74" w14:textId="77777777" w:rsidR="000252FF" w:rsidRPr="00DA30A0" w:rsidRDefault="000252FF" w:rsidP="000252FF">
      <w:r>
        <w:t xml:space="preserve">Here are some </w:t>
      </w:r>
      <w:r w:rsidRPr="00DA30A0">
        <w:t>steps you can take to prevent spreading lice</w:t>
      </w:r>
      <w:r>
        <w:t>.</w:t>
      </w:r>
    </w:p>
    <w:p w14:paraId="3E6EBEE9" w14:textId="77777777" w:rsidR="000252FF" w:rsidRPr="00DA30A0" w:rsidRDefault="000252FF" w:rsidP="000252FF">
      <w:pPr>
        <w:pStyle w:val="Bullet"/>
      </w:pPr>
      <w:r w:rsidRPr="00DA30A0">
        <w:t>Keep all cut hair inside the cape. When finished, fold the cape inward, roll it up to trap any lice, and carry it to the cleaning area. Throw the hair away in a plastic-lined rubbish bin.</w:t>
      </w:r>
    </w:p>
    <w:p w14:paraId="399ECC35" w14:textId="77777777" w:rsidR="000252FF" w:rsidRPr="00DA30A0" w:rsidRDefault="000252FF" w:rsidP="000252FF">
      <w:pPr>
        <w:pStyle w:val="Bullet"/>
      </w:pPr>
      <w:r w:rsidRPr="00DA30A0">
        <w:t xml:space="preserve">Promptly sweep up all loose hair, put it in a rubbish bag, secure the opening to the rubbish bag and then place that bag into a plastic-lined rubbish bin. </w:t>
      </w:r>
    </w:p>
    <w:p w14:paraId="1C0CE5BF" w14:textId="77777777" w:rsidR="000252FF" w:rsidRPr="00DA30A0" w:rsidRDefault="000252FF" w:rsidP="000252FF">
      <w:pPr>
        <w:pStyle w:val="Bullet"/>
      </w:pPr>
      <w:r w:rsidRPr="00DA30A0">
        <w:t>Wash capes normally in your washing machine.</w:t>
      </w:r>
    </w:p>
    <w:p w14:paraId="35D697B8" w14:textId="77777777" w:rsidR="000252FF" w:rsidRPr="00DA30A0" w:rsidRDefault="000252FF" w:rsidP="000252FF">
      <w:pPr>
        <w:pStyle w:val="Bullet"/>
      </w:pPr>
      <w:r w:rsidRPr="00DA30A0">
        <w:t>Clean all tools used on the client</w:t>
      </w:r>
      <w:r>
        <w:t>.</w:t>
      </w:r>
      <w:r w:rsidRPr="00DA30A0">
        <w:t xml:space="preserve"> </w:t>
      </w:r>
    </w:p>
    <w:p w14:paraId="048744B1" w14:textId="77777777" w:rsidR="000252FF" w:rsidRPr="00DA30A0" w:rsidRDefault="000252FF" w:rsidP="000252FF">
      <w:pPr>
        <w:pStyle w:val="Dash"/>
      </w:pPr>
      <w:r w:rsidRPr="00DA30A0">
        <w:t>Soak brushes, scissors and combs in hot water to disinfect them</w:t>
      </w:r>
      <w:r>
        <w:t>.</w:t>
      </w:r>
    </w:p>
    <w:p w14:paraId="5462DB6B" w14:textId="77777777" w:rsidR="000252FF" w:rsidRPr="00DA30A0" w:rsidRDefault="000252FF" w:rsidP="000252FF">
      <w:pPr>
        <w:pStyle w:val="Dash"/>
      </w:pPr>
      <w:r w:rsidRPr="00DA30A0">
        <w:t>Kill lice on combs and tools by placing items in a suitable container and pouring hot (recently boiled) water on them</w:t>
      </w:r>
      <w:r>
        <w:t>.</w:t>
      </w:r>
    </w:p>
    <w:p w14:paraId="6F887CA6" w14:textId="77777777" w:rsidR="000252FF" w:rsidRPr="00DA30A0" w:rsidRDefault="000252FF" w:rsidP="000252FF">
      <w:pPr>
        <w:pStyle w:val="Dash"/>
      </w:pPr>
      <w:r w:rsidRPr="00DA30A0">
        <w:t>Leave to soak for 5</w:t>
      </w:r>
      <w:r>
        <w:t>–</w:t>
      </w:r>
      <w:r w:rsidRPr="00DA30A0">
        <w:t>10 minutes</w:t>
      </w:r>
      <w:r>
        <w:t>.</w:t>
      </w:r>
      <w:r w:rsidRPr="00DA30A0">
        <w:t xml:space="preserve"> </w:t>
      </w:r>
    </w:p>
    <w:p w14:paraId="6222D1E8" w14:textId="77777777" w:rsidR="000252FF" w:rsidRPr="00DA30A0" w:rsidRDefault="000252FF" w:rsidP="000252FF">
      <w:pPr>
        <w:pStyle w:val="Dash"/>
      </w:pPr>
      <w:r w:rsidRPr="00DA30A0">
        <w:t>Wash towels and fabric items on a hot wash cycle with detergent.</w:t>
      </w:r>
    </w:p>
    <w:p w14:paraId="6CDB96CF" w14:textId="77777777" w:rsidR="000252FF" w:rsidRPr="00C75FE3" w:rsidRDefault="000252FF" w:rsidP="000252FF">
      <w:pPr>
        <w:pStyle w:val="Bullet"/>
        <w:rPr>
          <w:rFonts w:cs="Segoe UI"/>
          <w:szCs w:val="21"/>
        </w:rPr>
      </w:pPr>
      <w:r w:rsidRPr="00DA30A0">
        <w:t>Wash your hands after touching the client and again after cleaning the equipment.</w:t>
      </w:r>
    </w:p>
    <w:p w14:paraId="49B63C45" w14:textId="77777777" w:rsidR="00172EDE" w:rsidRPr="00DA30A0" w:rsidRDefault="00172EDE" w:rsidP="009075AB"/>
    <w:p w14:paraId="7934EB3C" w14:textId="01B2B5FB" w:rsidR="00172EDE" w:rsidRPr="00DA30A0" w:rsidRDefault="0039173E" w:rsidP="0039173E">
      <w:pPr>
        <w:pStyle w:val="Heading1"/>
      </w:pPr>
      <w:bookmarkStart w:id="43" w:name="_Toc203485594"/>
      <w:r w:rsidRPr="00DA30A0">
        <w:t>Part C:</w:t>
      </w:r>
      <w:r w:rsidRPr="00DA30A0">
        <w:br/>
        <w:t>Processes for cleaning and disinfecting</w:t>
      </w:r>
      <w:bookmarkEnd w:id="43"/>
    </w:p>
    <w:p w14:paraId="756718A5" w14:textId="77777777" w:rsidR="000252FF" w:rsidRPr="003929D8" w:rsidRDefault="000252FF" w:rsidP="000252FF">
      <w:pPr>
        <w:spacing w:before="120" w:after="60"/>
        <w:rPr>
          <w:rFonts w:cs="Segoe UI"/>
          <w:b/>
          <w:bCs/>
          <w:szCs w:val="21"/>
        </w:rPr>
      </w:pPr>
      <w:r w:rsidRPr="003929D8">
        <w:rPr>
          <w:rFonts w:cs="Segoe UI"/>
          <w:b/>
          <w:bCs/>
          <w:szCs w:val="21"/>
        </w:rPr>
        <w:t>Why is this important?</w:t>
      </w:r>
    </w:p>
    <w:p w14:paraId="0F295FCB" w14:textId="77777777" w:rsidR="000252FF" w:rsidRPr="00DA30A0" w:rsidRDefault="000252FF" w:rsidP="000252FF">
      <w:pPr>
        <w:pStyle w:val="Bullet"/>
      </w:pPr>
      <w:r w:rsidRPr="00DA30A0">
        <w:t>The processes of cleaning and disinfecting re</w:t>
      </w:r>
      <w:r>
        <w:t>-</w:t>
      </w:r>
      <w:r w:rsidRPr="00DA30A0">
        <w:t>useable equipment appropriately, so that it is safe for the next client, is important to reduce the risk of transmitting pathogens – either to yourself, to your client or to other staff members. Appropriate reprocessing for some items may simply require cleaning</w:t>
      </w:r>
      <w:r>
        <w:t>;</w:t>
      </w:r>
      <w:r w:rsidRPr="00DA30A0">
        <w:t xml:space="preserve"> others may additionally require disinfecting. </w:t>
      </w:r>
    </w:p>
    <w:p w14:paraId="414C9DE0" w14:textId="77777777" w:rsidR="000252FF" w:rsidRPr="00DA30A0" w:rsidRDefault="000252FF" w:rsidP="000252FF">
      <w:pPr>
        <w:pStyle w:val="Bullet"/>
      </w:pPr>
      <w:r w:rsidRPr="00DA30A0">
        <w:t>If appropriate reprocessing procedures are not followed, hairdressers and barbers risk infecting their clients with one or more of the following:</w:t>
      </w:r>
    </w:p>
    <w:p w14:paraId="33517DE2" w14:textId="77777777" w:rsidR="000252FF" w:rsidRPr="00DA30A0" w:rsidRDefault="000252FF" w:rsidP="000252FF">
      <w:pPr>
        <w:pStyle w:val="Dash"/>
      </w:pPr>
      <w:r w:rsidRPr="00DA30A0">
        <w:t>blood</w:t>
      </w:r>
      <w:r>
        <w:t>-</w:t>
      </w:r>
      <w:r w:rsidRPr="00DA30A0">
        <w:t>borne viruses (hepatitis B, hepatitis C, HIV)</w:t>
      </w:r>
    </w:p>
    <w:p w14:paraId="585702F8" w14:textId="77777777" w:rsidR="000252FF" w:rsidRPr="00DA30A0" w:rsidRDefault="000252FF" w:rsidP="000252FF">
      <w:pPr>
        <w:pStyle w:val="Dash"/>
      </w:pPr>
      <w:r w:rsidRPr="00DA30A0">
        <w:t>bacterial infections</w:t>
      </w:r>
    </w:p>
    <w:p w14:paraId="1D19C2F5" w14:textId="77777777" w:rsidR="000252FF" w:rsidRPr="00DA30A0" w:rsidRDefault="000252FF" w:rsidP="000252FF">
      <w:pPr>
        <w:pStyle w:val="Dash"/>
      </w:pPr>
      <w:r w:rsidRPr="00DA30A0">
        <w:t xml:space="preserve">other viral infections such as herpes simplex </w:t>
      </w:r>
    </w:p>
    <w:p w14:paraId="21EC4F1D" w14:textId="77777777" w:rsidR="000252FF" w:rsidRPr="000252FF" w:rsidRDefault="000252FF" w:rsidP="000252FF">
      <w:pPr>
        <w:pStyle w:val="Dash"/>
        <w:rPr>
          <w:rFonts w:cs="Segoe UI"/>
        </w:rPr>
      </w:pPr>
      <w:r w:rsidRPr="00DA30A0">
        <w:t>fungal infections</w:t>
      </w:r>
    </w:p>
    <w:p w14:paraId="5986C1D0" w14:textId="370A51AE" w:rsidR="0097019F" w:rsidRPr="000252FF" w:rsidRDefault="000252FF" w:rsidP="000252FF">
      <w:pPr>
        <w:pStyle w:val="Dash"/>
        <w:rPr>
          <w:rFonts w:cs="Segoe UI"/>
        </w:rPr>
      </w:pPr>
      <w:r w:rsidRPr="00DA30A0">
        <w:t>head lice.</w:t>
      </w:r>
    </w:p>
    <w:p w14:paraId="022CC762" w14:textId="6CEDD795" w:rsidR="000252FF" w:rsidRDefault="000252FF">
      <w:r>
        <w:br w:type="page"/>
      </w:r>
    </w:p>
    <w:p w14:paraId="7B745627" w14:textId="77777777" w:rsidR="000252FF" w:rsidRDefault="000252FF" w:rsidP="000252FF">
      <w:pPr>
        <w:pStyle w:val="Dash"/>
        <w:numPr>
          <w:ilvl w:val="0"/>
          <w:numId w:val="0"/>
        </w:numPr>
        <w:ind w:left="567" w:hanging="283"/>
      </w:pPr>
    </w:p>
    <w:p w14:paraId="7E5A1A32" w14:textId="77777777" w:rsidR="000252FF" w:rsidRPr="008A49BA" w:rsidRDefault="000252FF" w:rsidP="000252FF">
      <w:pPr>
        <w:spacing w:before="120"/>
        <w:rPr>
          <w:rFonts w:cs="Segoe UI"/>
          <w:b/>
          <w:bCs/>
          <w:szCs w:val="21"/>
        </w:rPr>
      </w:pPr>
      <w:r w:rsidRPr="008A49BA">
        <w:rPr>
          <w:b/>
          <w:bCs/>
        </w:rPr>
        <w:t>To</w:t>
      </w:r>
      <w:r w:rsidRPr="008A49BA">
        <w:rPr>
          <w:rFonts w:cs="Segoe UI"/>
          <w:b/>
          <w:bCs/>
          <w:szCs w:val="21"/>
        </w:rPr>
        <w:t xml:space="preserve"> keep your clients and colleagues safe, always:</w:t>
      </w:r>
    </w:p>
    <w:p w14:paraId="61ABF35D" w14:textId="77777777" w:rsidR="000252FF" w:rsidRPr="00DA30A0" w:rsidRDefault="000252FF" w:rsidP="000252FF">
      <w:pPr>
        <w:pStyle w:val="Bullet"/>
        <w:rPr>
          <w:rFonts w:eastAsia="Calibri"/>
        </w:rPr>
      </w:pPr>
      <w:r>
        <w:rPr>
          <w:rFonts w:eastAsia="Calibri"/>
        </w:rPr>
        <w:t>t</w:t>
      </w:r>
      <w:r w:rsidRPr="00DA30A0">
        <w:rPr>
          <w:rFonts w:eastAsia="Calibri"/>
        </w:rPr>
        <w:t xml:space="preserve">reat all blood and </w:t>
      </w:r>
      <w:r>
        <w:rPr>
          <w:rFonts w:eastAsia="Calibri"/>
        </w:rPr>
        <w:t xml:space="preserve">bodily </w:t>
      </w:r>
      <w:r w:rsidRPr="00DA30A0">
        <w:rPr>
          <w:rFonts w:eastAsia="Calibri"/>
        </w:rPr>
        <w:t xml:space="preserve">fluids as if </w:t>
      </w:r>
      <w:r>
        <w:rPr>
          <w:rFonts w:eastAsia="Calibri"/>
        </w:rPr>
        <w:t>they contain</w:t>
      </w:r>
      <w:r w:rsidRPr="00DA30A0">
        <w:rPr>
          <w:rFonts w:eastAsia="Calibri"/>
        </w:rPr>
        <w:t xml:space="preserve"> pathogens (</w:t>
      </w:r>
      <w:proofErr w:type="spellStart"/>
      <w:r w:rsidRPr="00DA30A0">
        <w:rPr>
          <w:rFonts w:eastAsia="Calibri"/>
        </w:rPr>
        <w:t>ie</w:t>
      </w:r>
      <w:proofErr w:type="spellEnd"/>
      <w:r>
        <w:rPr>
          <w:rFonts w:eastAsia="Calibri"/>
        </w:rPr>
        <w:t>,</w:t>
      </w:r>
      <w:r w:rsidRPr="00DA30A0">
        <w:rPr>
          <w:rFonts w:eastAsia="Calibri"/>
        </w:rPr>
        <w:t xml:space="preserve"> disease-causing microorganisms)</w:t>
      </w:r>
    </w:p>
    <w:p w14:paraId="1CA412BA" w14:textId="77777777" w:rsidR="000252FF" w:rsidRPr="00DA30A0" w:rsidRDefault="000252FF" w:rsidP="000252FF">
      <w:pPr>
        <w:pStyle w:val="Bullet"/>
        <w:rPr>
          <w:rFonts w:eastAsia="Calibri"/>
        </w:rPr>
      </w:pPr>
      <w:r>
        <w:rPr>
          <w:rFonts w:eastAsia="Calibri"/>
        </w:rPr>
        <w:t>f</w:t>
      </w:r>
      <w:r w:rsidRPr="00DA30A0">
        <w:rPr>
          <w:rFonts w:eastAsia="Calibri"/>
        </w:rPr>
        <w:t>ollow safety steps to prevent spreading disease.</w:t>
      </w:r>
    </w:p>
    <w:p w14:paraId="5D6F182D" w14:textId="77777777" w:rsidR="000252FF" w:rsidRPr="0013562F" w:rsidRDefault="000252FF" w:rsidP="000252FF">
      <w:pPr>
        <w:spacing w:before="120" w:after="60"/>
        <w:rPr>
          <w:rFonts w:cs="Segoe UI"/>
          <w:b/>
          <w:bCs/>
          <w:szCs w:val="21"/>
        </w:rPr>
      </w:pPr>
      <w:r w:rsidRPr="0013562F">
        <w:rPr>
          <w:rFonts w:cs="Segoe UI"/>
          <w:b/>
          <w:bCs/>
          <w:szCs w:val="21"/>
        </w:rPr>
        <w:t>What is the difference between cleaning and disinfecting?</w:t>
      </w:r>
    </w:p>
    <w:p w14:paraId="09FF4F71" w14:textId="77777777" w:rsidR="000252FF" w:rsidRPr="00DA30A0" w:rsidRDefault="000252FF" w:rsidP="000252FF">
      <w:pPr>
        <w:pStyle w:val="Bullet"/>
        <w:rPr>
          <w:rFonts w:eastAsia="Calibri"/>
        </w:rPr>
      </w:pPr>
      <w:r w:rsidRPr="00DF0A7B">
        <w:rPr>
          <w:rFonts w:eastAsia="Calibri"/>
          <w:b/>
          <w:bCs/>
        </w:rPr>
        <w:t>Cleaning</w:t>
      </w:r>
      <w:r>
        <w:rPr>
          <w:rFonts w:eastAsia="Calibri"/>
        </w:rPr>
        <w:t xml:space="preserve"> is</w:t>
      </w:r>
      <w:r w:rsidRPr="00DA30A0">
        <w:rPr>
          <w:rFonts w:eastAsia="Calibri"/>
        </w:rPr>
        <w:t xml:space="preserve"> taking off materials (like dirt, debris, excess hair products</w:t>
      </w:r>
      <w:r>
        <w:rPr>
          <w:rFonts w:eastAsia="Calibri"/>
        </w:rPr>
        <w:t xml:space="preserve"> and bodily</w:t>
      </w:r>
      <w:r w:rsidRPr="00DA30A0">
        <w:rPr>
          <w:rFonts w:eastAsia="Calibri"/>
        </w:rPr>
        <w:t xml:space="preserve"> fluids) to the level needed for further processing or reuse</w:t>
      </w:r>
      <w:r>
        <w:rPr>
          <w:rFonts w:eastAsia="Calibri"/>
        </w:rPr>
        <w:t>.</w:t>
      </w:r>
    </w:p>
    <w:p w14:paraId="22975468" w14:textId="77777777" w:rsidR="000252FF" w:rsidRPr="00DA30A0" w:rsidRDefault="000252FF" w:rsidP="000252FF">
      <w:pPr>
        <w:pStyle w:val="Bullet"/>
        <w:rPr>
          <w:rFonts w:eastAsia="Calibri"/>
        </w:rPr>
      </w:pPr>
      <w:r w:rsidRPr="00DF0A7B">
        <w:rPr>
          <w:rFonts w:eastAsia="Calibri"/>
          <w:b/>
          <w:bCs/>
        </w:rPr>
        <w:t>Disinfection</w:t>
      </w:r>
      <w:r>
        <w:rPr>
          <w:rFonts w:eastAsia="Calibri"/>
        </w:rPr>
        <w:t xml:space="preserve"> is</w:t>
      </w:r>
      <w:r w:rsidRPr="00DA30A0">
        <w:rPr>
          <w:rFonts w:eastAsia="Calibri"/>
        </w:rPr>
        <w:t xml:space="preserve"> a process that kills most microorganisms (but not bacterial spores</w:t>
      </w:r>
      <w:proofErr w:type="gramStart"/>
      <w:r w:rsidRPr="00DA30A0">
        <w:rPr>
          <w:rFonts w:eastAsia="Calibri"/>
        </w:rPr>
        <w:t>)</w:t>
      </w:r>
      <w:proofErr w:type="gramEnd"/>
      <w:r w:rsidRPr="00DA30A0">
        <w:rPr>
          <w:rFonts w:eastAsia="Calibri"/>
        </w:rPr>
        <w:t xml:space="preserve"> so an item is safe to reuse.</w:t>
      </w:r>
    </w:p>
    <w:p w14:paraId="228DCFA8" w14:textId="77777777" w:rsidR="000252FF" w:rsidRPr="0013562F" w:rsidRDefault="000252FF" w:rsidP="000252FF">
      <w:pPr>
        <w:pStyle w:val="Bullet"/>
        <w:numPr>
          <w:ilvl w:val="0"/>
          <w:numId w:val="0"/>
        </w:numPr>
        <w:spacing w:before="120"/>
        <w:rPr>
          <w:rFonts w:cs="Segoe UI"/>
          <w:b/>
          <w:bCs/>
          <w:szCs w:val="21"/>
        </w:rPr>
      </w:pPr>
      <w:r w:rsidRPr="0013562F">
        <w:rPr>
          <w:rFonts w:cs="Segoe UI"/>
          <w:b/>
          <w:bCs/>
          <w:szCs w:val="21"/>
        </w:rPr>
        <w:t>What is the recommended process for cleaning and decontamination?</w:t>
      </w:r>
    </w:p>
    <w:p w14:paraId="35642A83" w14:textId="77777777" w:rsidR="000252FF" w:rsidRPr="00DA30A0" w:rsidRDefault="000252FF" w:rsidP="000252FF">
      <w:pPr>
        <w:pStyle w:val="Bullet"/>
        <w:rPr>
          <w:rFonts w:eastAsia="Calibri"/>
        </w:rPr>
      </w:pPr>
      <w:r w:rsidRPr="00DA30A0">
        <w:rPr>
          <w:rFonts w:eastAsia="Calibri"/>
        </w:rPr>
        <w:t xml:space="preserve">The level of cleaning and decontamination depends on the use of the item. In general, the tools used by hairdressers and barbers are considered to be </w:t>
      </w:r>
      <w:r>
        <w:rPr>
          <w:rFonts w:eastAsia="Calibri"/>
        </w:rPr>
        <w:t>‘</w:t>
      </w:r>
      <w:r w:rsidRPr="00DA30A0">
        <w:rPr>
          <w:rFonts w:eastAsia="Calibri"/>
        </w:rPr>
        <w:t>non-critical items</w:t>
      </w:r>
      <w:r>
        <w:rPr>
          <w:rFonts w:eastAsia="Calibri"/>
        </w:rPr>
        <w:t>’</w:t>
      </w:r>
      <w:r w:rsidRPr="00DA30A0">
        <w:rPr>
          <w:rStyle w:val="FootnoteReference"/>
          <w:rFonts w:eastAsia="Calibri" w:cs="Segoe UI"/>
          <w:szCs w:val="21"/>
        </w:rPr>
        <w:footnoteReference w:id="7"/>
      </w:r>
      <w:r w:rsidRPr="00DA30A0">
        <w:rPr>
          <w:rFonts w:eastAsia="Calibri"/>
        </w:rPr>
        <w:t xml:space="preserve"> as they come in contact with intact skin.</w:t>
      </w:r>
    </w:p>
    <w:p w14:paraId="5EBFAC32" w14:textId="77777777" w:rsidR="000252FF" w:rsidRPr="00DA30A0" w:rsidRDefault="000252FF" w:rsidP="000252FF">
      <w:pPr>
        <w:pStyle w:val="Bullet"/>
        <w:rPr>
          <w:rFonts w:eastAsia="Calibri"/>
        </w:rPr>
      </w:pPr>
      <w:r w:rsidRPr="00DA30A0">
        <w:rPr>
          <w:rFonts w:eastAsia="Calibri"/>
        </w:rPr>
        <w:t>Whether and how a tool needs to be cleaned, or cleaned and disinfected</w:t>
      </w:r>
      <w:r>
        <w:rPr>
          <w:rFonts w:eastAsia="Calibri"/>
        </w:rPr>
        <w:t>,</w:t>
      </w:r>
      <w:r w:rsidRPr="00DA30A0">
        <w:rPr>
          <w:rFonts w:eastAsia="Calibri"/>
        </w:rPr>
        <w:t xml:space="preserve"> will depend on what the tool is and what it has been exposed to. </w:t>
      </w:r>
    </w:p>
    <w:p w14:paraId="5658DC4C" w14:textId="5B0F16E3" w:rsidR="00AF686D" w:rsidRPr="000252FF" w:rsidRDefault="000252FF" w:rsidP="00947C1F">
      <w:pPr>
        <w:pStyle w:val="Bullet"/>
        <w:tabs>
          <w:tab w:val="clear" w:pos="284"/>
        </w:tabs>
        <w:rPr>
          <w:rFonts w:cs="Segoe UI"/>
        </w:rPr>
      </w:pPr>
      <w:r w:rsidRPr="00DA30A0">
        <w:rPr>
          <w:rFonts w:eastAsia="Calibri"/>
        </w:rPr>
        <w:t xml:space="preserve">If a tool </w:t>
      </w:r>
      <w:r>
        <w:rPr>
          <w:rFonts w:eastAsia="Calibri"/>
        </w:rPr>
        <w:t xml:space="preserve">you are using </w:t>
      </w:r>
      <w:r w:rsidRPr="00DA30A0">
        <w:rPr>
          <w:rFonts w:eastAsia="Calibri"/>
        </w:rPr>
        <w:t>comes in</w:t>
      </w:r>
      <w:r>
        <w:rPr>
          <w:rFonts w:eastAsia="Calibri"/>
        </w:rPr>
        <w:t>to</w:t>
      </w:r>
      <w:r w:rsidRPr="00DA30A0">
        <w:rPr>
          <w:rFonts w:eastAsia="Calibri"/>
        </w:rPr>
        <w:t xml:space="preserve"> contact with mucous membranes (</w:t>
      </w:r>
      <w:proofErr w:type="spellStart"/>
      <w:r>
        <w:rPr>
          <w:rFonts w:eastAsia="Calibri"/>
        </w:rPr>
        <w:t>eg</w:t>
      </w:r>
      <w:proofErr w:type="spellEnd"/>
      <w:r w:rsidRPr="00DA30A0">
        <w:rPr>
          <w:rFonts w:eastAsia="Calibri"/>
        </w:rPr>
        <w:t>, inside of nose) or non</w:t>
      </w:r>
      <w:r>
        <w:rPr>
          <w:rFonts w:eastAsia="Calibri"/>
        </w:rPr>
        <w:t>-</w:t>
      </w:r>
      <w:r w:rsidRPr="00DA30A0">
        <w:rPr>
          <w:rFonts w:eastAsia="Calibri"/>
        </w:rPr>
        <w:t>intact skin (</w:t>
      </w:r>
      <w:proofErr w:type="spellStart"/>
      <w:r w:rsidRPr="00DA30A0">
        <w:rPr>
          <w:rFonts w:eastAsia="Calibri"/>
        </w:rPr>
        <w:t>ie</w:t>
      </w:r>
      <w:proofErr w:type="spellEnd"/>
      <w:r>
        <w:rPr>
          <w:rFonts w:eastAsia="Calibri"/>
        </w:rPr>
        <w:t>,</w:t>
      </w:r>
      <w:r w:rsidRPr="00DA30A0">
        <w:rPr>
          <w:rFonts w:eastAsia="Calibri"/>
        </w:rPr>
        <w:t xml:space="preserve"> skin that is cut or damaged in some way, and/or blood)</w:t>
      </w:r>
      <w:r>
        <w:rPr>
          <w:rFonts w:eastAsia="Calibri"/>
        </w:rPr>
        <w:t>,</w:t>
      </w:r>
      <w:r w:rsidRPr="00DA30A0">
        <w:rPr>
          <w:rFonts w:eastAsia="Calibri"/>
        </w:rPr>
        <w:t xml:space="preserve"> then it needs to be either a single</w:t>
      </w:r>
      <w:r>
        <w:rPr>
          <w:rFonts w:eastAsia="Calibri"/>
        </w:rPr>
        <w:t>-</w:t>
      </w:r>
      <w:r w:rsidRPr="00DA30A0">
        <w:rPr>
          <w:rFonts w:eastAsia="Calibri"/>
        </w:rPr>
        <w:t>use item or be cleaned and disinfected between use.</w:t>
      </w:r>
    </w:p>
    <w:p w14:paraId="40C305E9" w14:textId="77777777" w:rsidR="0097019F" w:rsidRPr="00DA30A0" w:rsidRDefault="0097019F" w:rsidP="00961312">
      <w:pPr>
        <w:pStyle w:val="Heading2"/>
        <w:rPr>
          <w:rFonts w:eastAsia="Calibri"/>
        </w:rPr>
      </w:pPr>
      <w:bookmarkStart w:id="44" w:name="_Toc202429319"/>
      <w:bookmarkStart w:id="45" w:name="_Ref202866975"/>
      <w:bookmarkStart w:id="46" w:name="_Ref202867014"/>
      <w:bookmarkStart w:id="47" w:name="_Toc203485595"/>
      <w:r w:rsidRPr="00DA30A0">
        <w:rPr>
          <w:rFonts w:eastAsia="Calibri"/>
        </w:rPr>
        <w:t>Recommended processes for cleaning tools between clients</w:t>
      </w:r>
      <w:bookmarkEnd w:id="44"/>
      <w:bookmarkEnd w:id="45"/>
      <w:bookmarkEnd w:id="46"/>
      <w:bookmarkEnd w:id="47"/>
      <w:r w:rsidRPr="00DA30A0">
        <w:rPr>
          <w:rFonts w:eastAsia="Calibri"/>
        </w:rPr>
        <w:t xml:space="preserve"> </w:t>
      </w:r>
    </w:p>
    <w:p w14:paraId="14C6915E" w14:textId="1F505286" w:rsidR="0097019F" w:rsidRPr="00DA30A0" w:rsidRDefault="0097019F" w:rsidP="00944D5A">
      <w:pPr>
        <w:pStyle w:val="Bullet"/>
      </w:pPr>
      <w:r w:rsidRPr="00DA30A0">
        <w:t xml:space="preserve">This section outlines the processes or actions that are recommended to clean and disinfect tools and equipment </w:t>
      </w:r>
      <w:r w:rsidR="00B86F2D">
        <w:t xml:space="preserve">before </w:t>
      </w:r>
      <w:r w:rsidRPr="00DA30A0">
        <w:t xml:space="preserve">being used on a new client. </w:t>
      </w:r>
    </w:p>
    <w:p w14:paraId="20C36ED5" w14:textId="77777777" w:rsidR="0097019F" w:rsidRPr="00DA30A0" w:rsidRDefault="0097019F" w:rsidP="00944D5A">
      <w:pPr>
        <w:pStyle w:val="Bullet"/>
      </w:pPr>
      <w:r w:rsidRPr="00DA30A0">
        <w:t>Always buy instruments and equipment that can be properly cleaned and disinfected. Make sure you are provided with the cleaning instructions where appropriate.</w:t>
      </w:r>
    </w:p>
    <w:p w14:paraId="047FB740" w14:textId="64E11338" w:rsidR="0097019F" w:rsidRPr="00DA30A0" w:rsidRDefault="0097019F" w:rsidP="00944D5A">
      <w:pPr>
        <w:pStyle w:val="Bullet"/>
      </w:pPr>
      <w:r w:rsidRPr="00DA30A0">
        <w:t xml:space="preserve">Check </w:t>
      </w:r>
      <w:r w:rsidR="00B86F2D">
        <w:t xml:space="preserve">the </w:t>
      </w:r>
      <w:r w:rsidRPr="00DA30A0">
        <w:t>manufacturer’s instructions for methods of maintenance and cleaning.</w:t>
      </w:r>
      <w:r w:rsidR="00810A2B">
        <w:t xml:space="preserve"> </w:t>
      </w:r>
    </w:p>
    <w:p w14:paraId="32A5CBDF" w14:textId="1458E8D9" w:rsidR="0097019F" w:rsidRPr="00DA30A0" w:rsidRDefault="0097019F" w:rsidP="00944D5A">
      <w:pPr>
        <w:pStyle w:val="Bullet"/>
      </w:pPr>
      <w:r w:rsidRPr="00DA30A0">
        <w:t>At the end of each day</w:t>
      </w:r>
      <w:r w:rsidR="002101E1">
        <w:t>,</w:t>
      </w:r>
      <w:r w:rsidRPr="00DA30A0">
        <w:t xml:space="preserve"> tools should be cleaned as described in </w:t>
      </w:r>
      <w:r w:rsidR="008B66E8">
        <w:t xml:space="preserve">Tables 1–5 </w:t>
      </w:r>
      <w:r w:rsidRPr="00DA30A0">
        <w:t>below, dried, then placed in a closed container.</w:t>
      </w:r>
    </w:p>
    <w:p w14:paraId="774B08F2" w14:textId="1A06DCFF" w:rsidR="0097019F" w:rsidRPr="0013562F" w:rsidRDefault="0097019F" w:rsidP="00944D5A">
      <w:pPr>
        <w:keepNext/>
        <w:spacing w:after="120"/>
        <w:rPr>
          <w:rFonts w:eastAsia="Calibri"/>
        </w:rPr>
      </w:pPr>
      <w:r w:rsidRPr="0013562F">
        <w:rPr>
          <w:rFonts w:eastAsia="Calibri"/>
        </w:rPr>
        <w:t xml:space="preserve">The material in </w:t>
      </w:r>
      <w:r w:rsidR="008B66E8" w:rsidRPr="008B66E8">
        <w:rPr>
          <w:rFonts w:eastAsia="Calibri"/>
        </w:rPr>
        <w:t>Table</w:t>
      </w:r>
      <w:r w:rsidR="008B66E8">
        <w:rPr>
          <w:rFonts w:eastAsia="Calibri"/>
        </w:rPr>
        <w:t>s</w:t>
      </w:r>
      <w:r w:rsidR="008B66E8" w:rsidRPr="008B66E8">
        <w:rPr>
          <w:rFonts w:eastAsia="Calibri"/>
        </w:rPr>
        <w:t xml:space="preserve"> 1–5</w:t>
      </w:r>
      <w:r w:rsidR="008B66E8">
        <w:rPr>
          <w:rFonts w:eastAsia="Calibri"/>
        </w:rPr>
        <w:t xml:space="preserve"> </w:t>
      </w:r>
      <w:r w:rsidRPr="0013562F">
        <w:rPr>
          <w:rFonts w:eastAsia="Calibri"/>
        </w:rPr>
        <w:t xml:space="preserve">is based on similar guidance produced in </w:t>
      </w:r>
      <w:r w:rsidRPr="0013562F">
        <w:t>Australian</w:t>
      </w:r>
      <w:r w:rsidRPr="0013562F">
        <w:rPr>
          <w:rFonts w:eastAsia="Calibri"/>
        </w:rPr>
        <w:t xml:space="preserve"> states (Victoria</w:t>
      </w:r>
      <w:r w:rsidRPr="0013562F">
        <w:rPr>
          <w:rStyle w:val="FootnoteReference"/>
          <w:rFonts w:eastAsia="Calibri"/>
        </w:rPr>
        <w:footnoteReference w:id="8"/>
      </w:r>
      <w:r w:rsidRPr="0013562F">
        <w:rPr>
          <w:rFonts w:eastAsia="Calibri"/>
        </w:rPr>
        <w:t>, Western Australia</w:t>
      </w:r>
      <w:r w:rsidRPr="0013562F">
        <w:rPr>
          <w:rStyle w:val="FootnoteReference"/>
          <w:rFonts w:eastAsia="Calibri"/>
        </w:rPr>
        <w:footnoteReference w:id="9"/>
      </w:r>
      <w:r w:rsidRPr="0013562F">
        <w:rPr>
          <w:rFonts w:eastAsia="Calibri"/>
        </w:rPr>
        <w:t xml:space="preserve">). </w:t>
      </w:r>
    </w:p>
    <w:p w14:paraId="680D7B48" w14:textId="52C5FBC3" w:rsidR="005801DC" w:rsidRPr="00907C1F" w:rsidRDefault="00681739" w:rsidP="00681739">
      <w:pPr>
        <w:pStyle w:val="Table"/>
        <w:rPr>
          <w:rFonts w:eastAsia="Calibri"/>
        </w:rPr>
      </w:pPr>
      <w:bookmarkStart w:id="48" w:name="_Toc203463789"/>
      <w:bookmarkStart w:id="49" w:name="_Toc203485598"/>
      <w:r>
        <w:t xml:space="preserve">Table </w:t>
      </w:r>
      <w:r w:rsidR="00F2606D">
        <w:fldChar w:fldCharType="begin"/>
      </w:r>
      <w:r w:rsidR="00F2606D">
        <w:instrText xml:space="preserve"> SEQ Table \* ARABIC </w:instrText>
      </w:r>
      <w:r w:rsidR="00F2606D">
        <w:fldChar w:fldCharType="separate"/>
      </w:r>
      <w:r w:rsidR="00A76531">
        <w:rPr>
          <w:noProof/>
        </w:rPr>
        <w:t>1</w:t>
      </w:r>
      <w:r w:rsidR="00F2606D">
        <w:rPr>
          <w:noProof/>
        </w:rPr>
        <w:fldChar w:fldCharType="end"/>
      </w:r>
      <w:r w:rsidR="0013562F">
        <w:rPr>
          <w:rFonts w:eastAsia="Calibri"/>
        </w:rPr>
        <w:t xml:space="preserve">: </w:t>
      </w:r>
      <w:r w:rsidR="00716875" w:rsidRPr="00716875">
        <w:rPr>
          <w:rFonts w:eastAsia="Calibri"/>
        </w:rPr>
        <w:t>Recommended processes for cleaning tools between clients</w:t>
      </w:r>
      <w:r w:rsidR="00731157">
        <w:rPr>
          <w:rFonts w:eastAsia="Calibri"/>
        </w:rPr>
        <w:t xml:space="preserve">: </w:t>
      </w:r>
      <w:r w:rsidR="005801DC" w:rsidRPr="00DA30A0">
        <w:rPr>
          <w:rFonts w:eastAsia="Calibri"/>
        </w:rPr>
        <w:t>Razors</w:t>
      </w:r>
      <w:bookmarkEnd w:id="48"/>
      <w:bookmarkEnd w:id="49"/>
    </w:p>
    <w:tbl>
      <w:tblPr>
        <w:tblStyle w:val="TableGridLight"/>
        <w:tblW w:w="0" w:type="auto"/>
        <w:tblBorders>
          <w:top w:val="single" w:sz="4" w:space="0" w:color="B6DFE0"/>
          <w:left w:val="none" w:sz="0" w:space="0" w:color="auto"/>
          <w:bottom w:val="single" w:sz="4" w:space="0" w:color="B6DFE0"/>
          <w:right w:val="none" w:sz="0" w:space="0" w:color="auto"/>
          <w:insideH w:val="single" w:sz="4" w:space="0" w:color="B6DFE0"/>
          <w:insideV w:val="none" w:sz="0" w:space="0" w:color="auto"/>
        </w:tblBorders>
        <w:tblLook w:val="04A0" w:firstRow="1" w:lastRow="0" w:firstColumn="1" w:lastColumn="0" w:noHBand="0" w:noVBand="1"/>
      </w:tblPr>
      <w:tblGrid>
        <w:gridCol w:w="2274"/>
        <w:gridCol w:w="1789"/>
        <w:gridCol w:w="895"/>
        <w:gridCol w:w="3121"/>
      </w:tblGrid>
      <w:tr w:rsidR="00FF157E" w:rsidRPr="00DA30A0" w14:paraId="1828554C" w14:textId="77777777" w:rsidTr="00207F34">
        <w:trPr>
          <w:tblHeader/>
        </w:trPr>
        <w:tc>
          <w:tcPr>
            <w:tcW w:w="0" w:type="auto"/>
            <w:shd w:val="clear" w:color="auto" w:fill="B6DFE0"/>
          </w:tcPr>
          <w:p w14:paraId="4D3BC845" w14:textId="77777777" w:rsidR="0097019F" w:rsidRPr="00DA30A0" w:rsidRDefault="0097019F" w:rsidP="00FF157E">
            <w:pPr>
              <w:pStyle w:val="TableText"/>
              <w:rPr>
                <w:rFonts w:eastAsia="Calibri"/>
                <w:b/>
                <w:bCs/>
              </w:rPr>
            </w:pPr>
            <w:r w:rsidRPr="00DA30A0">
              <w:rPr>
                <w:rFonts w:eastAsia="Calibri"/>
                <w:b/>
                <w:bCs/>
              </w:rPr>
              <w:t>Equipment</w:t>
            </w:r>
          </w:p>
        </w:tc>
        <w:tc>
          <w:tcPr>
            <w:tcW w:w="0" w:type="auto"/>
            <w:shd w:val="clear" w:color="auto" w:fill="B6DFE0"/>
          </w:tcPr>
          <w:p w14:paraId="097ED7DC" w14:textId="77777777" w:rsidR="0097019F" w:rsidRPr="00DA30A0" w:rsidRDefault="0097019F" w:rsidP="00FF157E">
            <w:pPr>
              <w:pStyle w:val="TableText"/>
              <w:rPr>
                <w:rFonts w:eastAsia="Calibri"/>
                <w:b/>
                <w:bCs/>
              </w:rPr>
            </w:pPr>
            <w:r w:rsidRPr="00DA30A0">
              <w:rPr>
                <w:rFonts w:eastAsia="Calibri"/>
                <w:b/>
                <w:bCs/>
              </w:rPr>
              <w:t>Potential risk</w:t>
            </w:r>
          </w:p>
        </w:tc>
        <w:tc>
          <w:tcPr>
            <w:tcW w:w="0" w:type="auto"/>
            <w:shd w:val="clear" w:color="auto" w:fill="B6DFE0"/>
          </w:tcPr>
          <w:p w14:paraId="622BCFC3" w14:textId="77777777" w:rsidR="0097019F" w:rsidRPr="00DA30A0" w:rsidRDefault="0097019F" w:rsidP="00FF157E">
            <w:pPr>
              <w:pStyle w:val="TableText"/>
              <w:rPr>
                <w:rFonts w:eastAsia="Calibri"/>
                <w:b/>
                <w:bCs/>
              </w:rPr>
            </w:pPr>
            <w:r w:rsidRPr="00DA30A0">
              <w:rPr>
                <w:rFonts w:eastAsia="Calibri"/>
                <w:b/>
                <w:bCs/>
              </w:rPr>
              <w:t>When</w:t>
            </w:r>
          </w:p>
        </w:tc>
        <w:tc>
          <w:tcPr>
            <w:tcW w:w="0" w:type="auto"/>
            <w:shd w:val="clear" w:color="auto" w:fill="B6DFE0"/>
          </w:tcPr>
          <w:p w14:paraId="45CE5890" w14:textId="77777777" w:rsidR="0097019F" w:rsidRPr="00DA30A0" w:rsidRDefault="0097019F" w:rsidP="00FF157E">
            <w:pPr>
              <w:pStyle w:val="TableText"/>
              <w:rPr>
                <w:rFonts w:eastAsia="Calibri"/>
                <w:b/>
                <w:bCs/>
              </w:rPr>
            </w:pPr>
            <w:r w:rsidRPr="00DA30A0">
              <w:rPr>
                <w:rFonts w:eastAsia="Calibri"/>
                <w:b/>
                <w:bCs/>
              </w:rPr>
              <w:t>Recommended process</w:t>
            </w:r>
          </w:p>
        </w:tc>
      </w:tr>
      <w:tr w:rsidR="00FF157E" w:rsidRPr="00DA30A0" w14:paraId="2F7F557E" w14:textId="77777777" w:rsidTr="00207F34">
        <w:tc>
          <w:tcPr>
            <w:tcW w:w="0" w:type="auto"/>
          </w:tcPr>
          <w:p w14:paraId="2F2D7B19" w14:textId="541420B0" w:rsidR="0097019F" w:rsidRPr="00DA30A0" w:rsidRDefault="0097019F" w:rsidP="00DA3F68">
            <w:pPr>
              <w:pStyle w:val="TableText"/>
            </w:pPr>
            <w:r w:rsidRPr="00DA30A0">
              <w:t>Disposable single-use razors (for shaving or cutting/razoring hair)</w:t>
            </w:r>
          </w:p>
        </w:tc>
        <w:tc>
          <w:tcPr>
            <w:tcW w:w="0" w:type="auto"/>
          </w:tcPr>
          <w:p w14:paraId="476C1B83" w14:textId="7E0C07B2" w:rsidR="0097019F" w:rsidRPr="00DA30A0" w:rsidRDefault="0097019F" w:rsidP="00FF157E">
            <w:pPr>
              <w:pStyle w:val="TableText"/>
            </w:pPr>
            <w:r w:rsidRPr="00DA30A0">
              <w:t>Skin infections or blood</w:t>
            </w:r>
            <w:r w:rsidR="007F3338">
              <w:t>-</w:t>
            </w:r>
            <w:r w:rsidRPr="00DA30A0">
              <w:t>borne virus transmission</w:t>
            </w:r>
          </w:p>
        </w:tc>
        <w:tc>
          <w:tcPr>
            <w:tcW w:w="0" w:type="auto"/>
          </w:tcPr>
          <w:p w14:paraId="19685D50" w14:textId="77777777" w:rsidR="0097019F" w:rsidRPr="00DA30A0" w:rsidRDefault="0097019F" w:rsidP="00FF157E">
            <w:pPr>
              <w:pStyle w:val="TableText"/>
            </w:pPr>
            <w:r w:rsidRPr="00DA30A0">
              <w:t>After each client</w:t>
            </w:r>
          </w:p>
        </w:tc>
        <w:tc>
          <w:tcPr>
            <w:tcW w:w="0" w:type="auto"/>
          </w:tcPr>
          <w:p w14:paraId="53D08F0B" w14:textId="77777777" w:rsidR="0097019F" w:rsidRPr="00DA30A0" w:rsidRDefault="0097019F" w:rsidP="00FF157E">
            <w:pPr>
              <w:pStyle w:val="TableBullet"/>
            </w:pPr>
            <w:r w:rsidRPr="00DA30A0">
              <w:t xml:space="preserve">Sterile, single-use razors are recommended for shaving. </w:t>
            </w:r>
          </w:p>
          <w:p w14:paraId="030C6FB1" w14:textId="77777777" w:rsidR="0097019F" w:rsidRPr="00DA30A0" w:rsidRDefault="0097019F" w:rsidP="00FF157E">
            <w:pPr>
              <w:pStyle w:val="TableBullet"/>
              <w:rPr>
                <w:rFonts w:eastAsia="Calibri"/>
              </w:rPr>
            </w:pPr>
            <w:r w:rsidRPr="00DA30A0">
              <w:t xml:space="preserve">Dispose into a </w:t>
            </w:r>
            <w:proofErr w:type="gramStart"/>
            <w:r w:rsidRPr="00DA30A0">
              <w:t>sharps</w:t>
            </w:r>
            <w:proofErr w:type="gramEnd"/>
            <w:r w:rsidRPr="00DA30A0">
              <w:t xml:space="preserve"> container after use.</w:t>
            </w:r>
          </w:p>
          <w:p w14:paraId="0F2592D9" w14:textId="77777777" w:rsidR="0097019F" w:rsidRPr="00DA30A0" w:rsidRDefault="0097019F" w:rsidP="00FF157E">
            <w:pPr>
              <w:pStyle w:val="TableBullet"/>
              <w:rPr>
                <w:rFonts w:eastAsia="Calibri"/>
              </w:rPr>
            </w:pPr>
            <w:r w:rsidRPr="00DA30A0">
              <w:t>Not for reuse.</w:t>
            </w:r>
          </w:p>
        </w:tc>
      </w:tr>
      <w:tr w:rsidR="00FF157E" w:rsidRPr="00DA30A0" w14:paraId="70FF4DB2" w14:textId="77777777" w:rsidTr="00207F34">
        <w:tc>
          <w:tcPr>
            <w:tcW w:w="0" w:type="auto"/>
          </w:tcPr>
          <w:p w14:paraId="42FF9844" w14:textId="77777777" w:rsidR="0097019F" w:rsidRPr="00DA30A0" w:rsidRDefault="0097019F" w:rsidP="00FF157E">
            <w:pPr>
              <w:pStyle w:val="TableText"/>
              <w:rPr>
                <w:rFonts w:eastAsia="Calibri"/>
              </w:rPr>
            </w:pPr>
            <w:r w:rsidRPr="00DA30A0">
              <w:t>Disposable razor blades (safety-type razor with reusable handle)</w:t>
            </w:r>
          </w:p>
        </w:tc>
        <w:tc>
          <w:tcPr>
            <w:tcW w:w="0" w:type="auto"/>
          </w:tcPr>
          <w:p w14:paraId="62814C35" w14:textId="77777777" w:rsidR="0097019F" w:rsidRPr="00DA30A0" w:rsidRDefault="0097019F" w:rsidP="00FF157E">
            <w:pPr>
              <w:pStyle w:val="TableText"/>
            </w:pPr>
            <w:r w:rsidRPr="00DA30A0">
              <w:t>Skin infections or blood-borne virus transmission</w:t>
            </w:r>
          </w:p>
        </w:tc>
        <w:tc>
          <w:tcPr>
            <w:tcW w:w="0" w:type="auto"/>
          </w:tcPr>
          <w:p w14:paraId="15556F7D" w14:textId="77777777" w:rsidR="0097019F" w:rsidRPr="00DA30A0" w:rsidRDefault="0097019F" w:rsidP="00FF157E">
            <w:pPr>
              <w:pStyle w:val="TableText"/>
            </w:pPr>
            <w:r w:rsidRPr="00DA30A0">
              <w:t>After each client</w:t>
            </w:r>
          </w:p>
        </w:tc>
        <w:tc>
          <w:tcPr>
            <w:tcW w:w="0" w:type="auto"/>
          </w:tcPr>
          <w:p w14:paraId="09A2C6E9" w14:textId="77777777" w:rsidR="0097019F" w:rsidRPr="00DA30A0" w:rsidRDefault="0097019F" w:rsidP="00FF157E">
            <w:pPr>
              <w:pStyle w:val="TableText"/>
              <w:rPr>
                <w:b/>
                <w:bCs/>
              </w:rPr>
            </w:pPr>
            <w:r w:rsidRPr="00DA30A0">
              <w:rPr>
                <w:b/>
                <w:bCs/>
              </w:rPr>
              <w:t>Blade:</w:t>
            </w:r>
          </w:p>
          <w:p w14:paraId="44B58A79" w14:textId="77777777" w:rsidR="0097019F" w:rsidRPr="00DA30A0" w:rsidRDefault="0097019F" w:rsidP="00FF157E">
            <w:pPr>
              <w:pStyle w:val="TableBullet"/>
            </w:pPr>
            <w:r w:rsidRPr="00DA30A0">
              <w:t>Dispose of blade into sharps container after use.</w:t>
            </w:r>
          </w:p>
          <w:p w14:paraId="038E15C8" w14:textId="77777777" w:rsidR="0097019F" w:rsidRPr="00DA30A0" w:rsidRDefault="0097019F" w:rsidP="00FF157E">
            <w:pPr>
              <w:pStyle w:val="TableText"/>
              <w:rPr>
                <w:b/>
                <w:bCs/>
              </w:rPr>
            </w:pPr>
            <w:r w:rsidRPr="00DA30A0">
              <w:rPr>
                <w:b/>
                <w:bCs/>
              </w:rPr>
              <w:t>Handle:</w:t>
            </w:r>
          </w:p>
          <w:p w14:paraId="7CE65A9E" w14:textId="77777777" w:rsidR="0097019F" w:rsidRPr="00DA30A0" w:rsidRDefault="0097019F" w:rsidP="00FF157E">
            <w:pPr>
              <w:pStyle w:val="TableText"/>
            </w:pPr>
            <w:r w:rsidRPr="00DA30A0">
              <w:t>EITHER:</w:t>
            </w:r>
          </w:p>
          <w:p w14:paraId="2C2F4BBF" w14:textId="77777777" w:rsidR="0097019F" w:rsidRPr="00DA30A0" w:rsidRDefault="0097019F" w:rsidP="00FF157E">
            <w:pPr>
              <w:pStyle w:val="TableBullet"/>
            </w:pPr>
            <w:r w:rsidRPr="00DA30A0">
              <w:t>Wash in warm water and detergent.</w:t>
            </w:r>
          </w:p>
          <w:p w14:paraId="2D79AB0A" w14:textId="77777777" w:rsidR="0097019F" w:rsidRPr="00DA30A0" w:rsidRDefault="0097019F" w:rsidP="00FF157E">
            <w:pPr>
              <w:pStyle w:val="TableBullet"/>
            </w:pPr>
            <w:r w:rsidRPr="00DA30A0">
              <w:t>Rinse in hot running water.</w:t>
            </w:r>
          </w:p>
          <w:p w14:paraId="2FA37181" w14:textId="77777777" w:rsidR="0097019F" w:rsidRPr="00DA30A0" w:rsidRDefault="0097019F" w:rsidP="00FF157E">
            <w:pPr>
              <w:pStyle w:val="TableBullet"/>
            </w:pPr>
            <w:r w:rsidRPr="00DA30A0">
              <w:t>Dry with a lint-free cloth.</w:t>
            </w:r>
          </w:p>
          <w:p w14:paraId="2C4637A8" w14:textId="77777777" w:rsidR="0097019F" w:rsidRPr="00DA30A0" w:rsidRDefault="0097019F" w:rsidP="00FF157E">
            <w:pPr>
              <w:pStyle w:val="TableText"/>
            </w:pPr>
            <w:r w:rsidRPr="00DA30A0">
              <w:t>OR:</w:t>
            </w:r>
          </w:p>
          <w:p w14:paraId="1CD2010C" w14:textId="77777777" w:rsidR="0097019F" w:rsidRPr="00DA30A0" w:rsidRDefault="0097019F" w:rsidP="00FF157E">
            <w:pPr>
              <w:pStyle w:val="TableBullet"/>
            </w:pPr>
            <w:r w:rsidRPr="00DA30A0">
              <w:t xml:space="preserve">Remove hair and debris. </w:t>
            </w:r>
          </w:p>
          <w:p w14:paraId="3F7EFB1B" w14:textId="77777777" w:rsidR="0097019F" w:rsidRPr="00DA30A0" w:rsidRDefault="0097019F" w:rsidP="00FF157E">
            <w:pPr>
              <w:pStyle w:val="TableBullet"/>
            </w:pPr>
            <w:r w:rsidRPr="00DA30A0">
              <w:t xml:space="preserve">Wipe down with damp cloth. </w:t>
            </w:r>
          </w:p>
          <w:p w14:paraId="52430AB9" w14:textId="47E529DA" w:rsidR="0097019F" w:rsidRPr="00DA30A0" w:rsidRDefault="0097019F" w:rsidP="00FF157E">
            <w:pPr>
              <w:pStyle w:val="TableBullet"/>
            </w:pPr>
            <w:r w:rsidRPr="00DA30A0">
              <w:t>Wipe down with 70% alcohol wipes.</w:t>
            </w:r>
          </w:p>
        </w:tc>
      </w:tr>
      <w:tr w:rsidR="00FF157E" w:rsidRPr="00DA30A0" w14:paraId="0C7D6114" w14:textId="77777777" w:rsidTr="00207F34">
        <w:tc>
          <w:tcPr>
            <w:tcW w:w="0" w:type="auto"/>
          </w:tcPr>
          <w:p w14:paraId="00D12567" w14:textId="3CA3C83E" w:rsidR="0097019F" w:rsidRPr="00DA30A0" w:rsidRDefault="0097019F" w:rsidP="0087220D">
            <w:pPr>
              <w:pStyle w:val="TableText"/>
            </w:pPr>
            <w:r w:rsidRPr="00DA30A0">
              <w:t>Straight blade (cut-throat) razor</w:t>
            </w:r>
          </w:p>
        </w:tc>
        <w:tc>
          <w:tcPr>
            <w:tcW w:w="0" w:type="auto"/>
          </w:tcPr>
          <w:p w14:paraId="7294976A" w14:textId="44BCFE93" w:rsidR="0097019F" w:rsidRPr="00DA30A0" w:rsidRDefault="0097019F" w:rsidP="0087220D">
            <w:pPr>
              <w:pStyle w:val="TableText"/>
            </w:pPr>
            <w:r w:rsidRPr="00DA30A0">
              <w:t>Skin infections or blood</w:t>
            </w:r>
            <w:r w:rsidR="007F3338">
              <w:t>-</w:t>
            </w:r>
            <w:r w:rsidRPr="00DA30A0">
              <w:t>borne virus transmission</w:t>
            </w:r>
          </w:p>
        </w:tc>
        <w:tc>
          <w:tcPr>
            <w:tcW w:w="0" w:type="auto"/>
          </w:tcPr>
          <w:p w14:paraId="4981A3C9" w14:textId="77777777" w:rsidR="0097019F" w:rsidRPr="00DA30A0" w:rsidRDefault="0097019F" w:rsidP="0087220D">
            <w:pPr>
              <w:pStyle w:val="TableText"/>
            </w:pPr>
            <w:r w:rsidRPr="00DA30A0">
              <w:t>After each client</w:t>
            </w:r>
          </w:p>
        </w:tc>
        <w:tc>
          <w:tcPr>
            <w:tcW w:w="0" w:type="auto"/>
          </w:tcPr>
          <w:p w14:paraId="0D753927" w14:textId="77777777" w:rsidR="0097019F" w:rsidRPr="00DA30A0" w:rsidRDefault="0097019F" w:rsidP="0087220D">
            <w:pPr>
              <w:pStyle w:val="TableText"/>
              <w:rPr>
                <w:b/>
                <w:bCs/>
              </w:rPr>
            </w:pPr>
            <w:r w:rsidRPr="00DA30A0">
              <w:rPr>
                <w:b/>
                <w:bCs/>
              </w:rPr>
              <w:t>Disposable blade:</w:t>
            </w:r>
          </w:p>
          <w:p w14:paraId="651E4C8E" w14:textId="2336D0D3" w:rsidR="0097019F" w:rsidRPr="00DA30A0" w:rsidRDefault="0097019F" w:rsidP="0087220D">
            <w:pPr>
              <w:pStyle w:val="TableBullet"/>
            </w:pPr>
            <w:r w:rsidRPr="00DA30A0">
              <w:t>Dispose of blade into a secure tamper</w:t>
            </w:r>
            <w:r w:rsidR="006B23D4">
              <w:t>-</w:t>
            </w:r>
            <w:r w:rsidRPr="00DA30A0">
              <w:t xml:space="preserve">proof </w:t>
            </w:r>
            <w:proofErr w:type="gramStart"/>
            <w:r w:rsidRPr="00DA30A0">
              <w:t>sharps</w:t>
            </w:r>
            <w:proofErr w:type="gramEnd"/>
            <w:r w:rsidRPr="00DA30A0">
              <w:t xml:space="preserve"> container.</w:t>
            </w:r>
          </w:p>
          <w:p w14:paraId="566BD70D" w14:textId="77777777" w:rsidR="0097019F" w:rsidRPr="00DA30A0" w:rsidRDefault="0097019F" w:rsidP="0087220D">
            <w:pPr>
              <w:pStyle w:val="TableText"/>
              <w:rPr>
                <w:b/>
                <w:bCs/>
              </w:rPr>
            </w:pPr>
            <w:r w:rsidRPr="00DA30A0">
              <w:rPr>
                <w:b/>
                <w:bCs/>
              </w:rPr>
              <w:t>Handle:</w:t>
            </w:r>
          </w:p>
          <w:p w14:paraId="0225E40B" w14:textId="77777777" w:rsidR="0097019F" w:rsidRPr="00DA30A0" w:rsidRDefault="0097019F" w:rsidP="0087220D">
            <w:pPr>
              <w:pStyle w:val="TableBullet"/>
            </w:pPr>
            <w:r w:rsidRPr="00DA30A0">
              <w:t>Wash in warm water and detergent.</w:t>
            </w:r>
          </w:p>
          <w:p w14:paraId="02AA3711" w14:textId="77777777" w:rsidR="0097019F" w:rsidRPr="00DA30A0" w:rsidRDefault="0097019F" w:rsidP="0087220D">
            <w:pPr>
              <w:pStyle w:val="TableBullet"/>
            </w:pPr>
            <w:r w:rsidRPr="00DA30A0">
              <w:t>Rinse in hot running water.</w:t>
            </w:r>
          </w:p>
          <w:p w14:paraId="570F3C14" w14:textId="77777777" w:rsidR="0097019F" w:rsidRPr="00DA30A0" w:rsidRDefault="0097019F" w:rsidP="0087220D">
            <w:pPr>
              <w:pStyle w:val="TableBullet"/>
            </w:pPr>
            <w:r w:rsidRPr="00DA30A0">
              <w:t>Dry with a lint-free cloth.</w:t>
            </w:r>
          </w:p>
          <w:p w14:paraId="275C0B36" w14:textId="5F469740" w:rsidR="0097019F" w:rsidRPr="00C818F8" w:rsidRDefault="0097019F" w:rsidP="00C818F8">
            <w:pPr>
              <w:pStyle w:val="TableText"/>
              <w:rPr>
                <w:b/>
                <w:bCs/>
              </w:rPr>
            </w:pPr>
            <w:r w:rsidRPr="00C818F8">
              <w:rPr>
                <w:b/>
                <w:bCs/>
              </w:rPr>
              <w:t>All</w:t>
            </w:r>
            <w:r w:rsidR="00F82CBF">
              <w:rPr>
                <w:b/>
                <w:bCs/>
              </w:rPr>
              <w:t>-</w:t>
            </w:r>
            <w:r w:rsidRPr="00C818F8">
              <w:rPr>
                <w:b/>
                <w:bCs/>
              </w:rPr>
              <w:t>in</w:t>
            </w:r>
            <w:r w:rsidR="00F82CBF">
              <w:rPr>
                <w:b/>
                <w:bCs/>
              </w:rPr>
              <w:t>-</w:t>
            </w:r>
            <w:r w:rsidRPr="00C818F8">
              <w:rPr>
                <w:b/>
                <w:bCs/>
              </w:rPr>
              <w:t>one blade and handle:</w:t>
            </w:r>
          </w:p>
          <w:p w14:paraId="1126D8A2" w14:textId="77777777" w:rsidR="0097019F" w:rsidRPr="00DA30A0" w:rsidRDefault="0097019F" w:rsidP="0087220D">
            <w:pPr>
              <w:pStyle w:val="TableBullet"/>
            </w:pPr>
            <w:r w:rsidRPr="00DA30A0">
              <w:t>Wash in warm water and detergent.</w:t>
            </w:r>
          </w:p>
          <w:p w14:paraId="1A51734E" w14:textId="77777777" w:rsidR="0097019F" w:rsidRPr="00DA30A0" w:rsidRDefault="0097019F" w:rsidP="0087220D">
            <w:pPr>
              <w:pStyle w:val="TableBullet"/>
            </w:pPr>
            <w:r w:rsidRPr="00DA30A0">
              <w:t>Rinse in hot running water.</w:t>
            </w:r>
          </w:p>
          <w:p w14:paraId="41C13082" w14:textId="77777777" w:rsidR="0097019F" w:rsidRPr="00DA30A0" w:rsidRDefault="0097019F" w:rsidP="0087220D">
            <w:pPr>
              <w:pStyle w:val="TableBullet"/>
            </w:pPr>
            <w:r w:rsidRPr="00DA30A0">
              <w:t>Dry with a lint-free cloth.</w:t>
            </w:r>
          </w:p>
          <w:p w14:paraId="513229E0" w14:textId="250261AD" w:rsidR="0097019F" w:rsidRPr="00DA30A0" w:rsidRDefault="0097019F" w:rsidP="0087220D">
            <w:pPr>
              <w:pStyle w:val="TableBullet"/>
              <w:rPr>
                <w:rFonts w:eastAsia="Calibri"/>
              </w:rPr>
            </w:pPr>
            <w:r w:rsidRPr="00DA30A0">
              <w:t xml:space="preserve">Clean and disinfect. </w:t>
            </w:r>
          </w:p>
        </w:tc>
      </w:tr>
      <w:tr w:rsidR="00FF157E" w:rsidRPr="00DA30A0" w14:paraId="6587438D" w14:textId="77777777" w:rsidTr="00207F34">
        <w:tc>
          <w:tcPr>
            <w:tcW w:w="0" w:type="auto"/>
          </w:tcPr>
          <w:p w14:paraId="4101E28E" w14:textId="77777777" w:rsidR="0097019F" w:rsidRPr="00DA30A0" w:rsidRDefault="0097019F" w:rsidP="0087220D">
            <w:pPr>
              <w:pStyle w:val="TableText"/>
            </w:pPr>
            <w:r w:rsidRPr="00DA30A0">
              <w:t>Electric razors</w:t>
            </w:r>
          </w:p>
        </w:tc>
        <w:tc>
          <w:tcPr>
            <w:tcW w:w="0" w:type="auto"/>
          </w:tcPr>
          <w:p w14:paraId="005D3476" w14:textId="77777777" w:rsidR="0097019F" w:rsidRPr="00DA30A0" w:rsidRDefault="0097019F" w:rsidP="0087220D">
            <w:pPr>
              <w:pStyle w:val="TableText"/>
            </w:pPr>
            <w:r w:rsidRPr="00DA30A0">
              <w:t>Skin infections or blood-borne virus transmission</w:t>
            </w:r>
          </w:p>
        </w:tc>
        <w:tc>
          <w:tcPr>
            <w:tcW w:w="0" w:type="auto"/>
          </w:tcPr>
          <w:p w14:paraId="12B2424D" w14:textId="77777777" w:rsidR="0097019F" w:rsidRPr="00DA30A0" w:rsidRDefault="0097019F" w:rsidP="0087220D">
            <w:pPr>
              <w:pStyle w:val="TableText"/>
              <w:rPr>
                <w:rFonts w:eastAsia="Calibri"/>
              </w:rPr>
            </w:pPr>
            <w:r w:rsidRPr="00DA30A0">
              <w:t>After each client</w:t>
            </w:r>
          </w:p>
        </w:tc>
        <w:tc>
          <w:tcPr>
            <w:tcW w:w="0" w:type="auto"/>
          </w:tcPr>
          <w:p w14:paraId="5BA636A0" w14:textId="5FB9D06C" w:rsidR="0097019F" w:rsidRPr="00DA30A0" w:rsidRDefault="00345D85" w:rsidP="0087220D">
            <w:pPr>
              <w:pStyle w:val="TableText"/>
              <w:rPr>
                <w:rFonts w:eastAsia="Calibri"/>
              </w:rPr>
            </w:pPr>
            <w:r>
              <w:rPr>
                <w:rFonts w:eastAsia="Calibri"/>
              </w:rPr>
              <w:t>E</w:t>
            </w:r>
            <w:r w:rsidRPr="00DA30A0">
              <w:rPr>
                <w:rFonts w:eastAsia="Calibri"/>
              </w:rPr>
              <w:t xml:space="preserve">lectric razors </w:t>
            </w:r>
            <w:r>
              <w:rPr>
                <w:rFonts w:eastAsia="Calibri"/>
              </w:rPr>
              <w:t>should not be used because they</w:t>
            </w:r>
            <w:r w:rsidR="0097019F" w:rsidRPr="00DA30A0">
              <w:rPr>
                <w:rFonts w:eastAsia="Calibri"/>
              </w:rPr>
              <w:t>:</w:t>
            </w:r>
          </w:p>
          <w:p w14:paraId="128A783E" w14:textId="767DA1FD" w:rsidR="0097019F" w:rsidRPr="00DA30A0" w:rsidRDefault="0097019F" w:rsidP="0087220D">
            <w:pPr>
              <w:pStyle w:val="TableBullet"/>
            </w:pPr>
            <w:r w:rsidRPr="00DA30A0">
              <w:t xml:space="preserve">can cause micro-abrasions </w:t>
            </w:r>
            <w:r w:rsidR="00345D85">
              <w:t xml:space="preserve">that </w:t>
            </w:r>
            <w:r w:rsidRPr="00DA30A0">
              <w:t xml:space="preserve">can allow viruses and bacteria to cause </w:t>
            </w:r>
            <w:proofErr w:type="gramStart"/>
            <w:r w:rsidRPr="00DA30A0">
              <w:t>infection</w:t>
            </w:r>
            <w:proofErr w:type="gramEnd"/>
          </w:p>
          <w:p w14:paraId="65339F97" w14:textId="77777777" w:rsidR="0097019F" w:rsidRPr="00DA30A0" w:rsidRDefault="0097019F" w:rsidP="0087220D">
            <w:pPr>
              <w:pStyle w:val="TableBullet"/>
            </w:pPr>
            <w:r w:rsidRPr="00DA30A0">
              <w:t>are not able to be effectively cleaned and disinfected between clients if blades are unable to be removed from the unit.</w:t>
            </w:r>
          </w:p>
          <w:p w14:paraId="6E4844E0" w14:textId="6F5CFCDA" w:rsidR="0097019F" w:rsidRPr="00DA30A0" w:rsidRDefault="0097019F" w:rsidP="0087220D">
            <w:pPr>
              <w:pStyle w:val="TableText"/>
              <w:rPr>
                <w:rFonts w:eastAsia="Calibri"/>
              </w:rPr>
            </w:pPr>
            <w:r w:rsidRPr="00907C1F">
              <w:rPr>
                <w:b/>
                <w:bCs/>
              </w:rPr>
              <w:t>Note:</w:t>
            </w:r>
            <w:r w:rsidRPr="00DA30A0">
              <w:t xml:space="preserve"> </w:t>
            </w:r>
            <w:r w:rsidR="00345D85">
              <w:t>T</w:t>
            </w:r>
            <w:r w:rsidRPr="00DA30A0">
              <w:t xml:space="preserve">rimmers </w:t>
            </w:r>
            <w:r w:rsidR="00345D85">
              <w:t xml:space="preserve">may be used </w:t>
            </w:r>
            <w:r w:rsidRPr="00DA30A0">
              <w:t>(see next section)</w:t>
            </w:r>
            <w:r w:rsidR="00345D85">
              <w:t>.</w:t>
            </w:r>
          </w:p>
        </w:tc>
      </w:tr>
    </w:tbl>
    <w:p w14:paraId="113773EF" w14:textId="77777777" w:rsidR="0097019F" w:rsidRDefault="0097019F" w:rsidP="000461CF">
      <w:pPr>
        <w:rPr>
          <w:rFonts w:eastAsia="Calibri"/>
        </w:rPr>
      </w:pPr>
    </w:p>
    <w:p w14:paraId="336B8335" w14:textId="335FED9E" w:rsidR="00966005" w:rsidRPr="00DA30A0" w:rsidRDefault="00681739" w:rsidP="0013562F">
      <w:pPr>
        <w:pStyle w:val="Table"/>
        <w:rPr>
          <w:rFonts w:eastAsia="Calibri"/>
        </w:rPr>
      </w:pPr>
      <w:bookmarkStart w:id="50" w:name="_Toc203463790"/>
      <w:bookmarkStart w:id="51" w:name="_Toc203485599"/>
      <w:r>
        <w:t xml:space="preserve">Table </w:t>
      </w:r>
      <w:r w:rsidR="00F2606D">
        <w:fldChar w:fldCharType="begin"/>
      </w:r>
      <w:r w:rsidR="00F2606D">
        <w:instrText xml:space="preserve"> SEQ Table \* ARABIC </w:instrText>
      </w:r>
      <w:r w:rsidR="00F2606D">
        <w:fldChar w:fldCharType="separate"/>
      </w:r>
      <w:r w:rsidR="00A76531">
        <w:rPr>
          <w:noProof/>
        </w:rPr>
        <w:t>2</w:t>
      </w:r>
      <w:r w:rsidR="00F2606D">
        <w:rPr>
          <w:noProof/>
        </w:rPr>
        <w:fldChar w:fldCharType="end"/>
      </w:r>
      <w:r>
        <w:rPr>
          <w:rFonts w:eastAsia="Calibri"/>
        </w:rPr>
        <w:t>:</w:t>
      </w:r>
      <w:r w:rsidR="0013562F">
        <w:rPr>
          <w:rFonts w:eastAsia="Calibri"/>
        </w:rPr>
        <w:t xml:space="preserve"> </w:t>
      </w:r>
      <w:r w:rsidR="00731157" w:rsidRPr="00716875">
        <w:rPr>
          <w:rFonts w:eastAsia="Calibri"/>
        </w:rPr>
        <w:t>Recommended processes for cleaning tools between clients</w:t>
      </w:r>
      <w:r w:rsidR="00731157">
        <w:rPr>
          <w:rFonts w:eastAsia="Calibri"/>
        </w:rPr>
        <w:t xml:space="preserve">: </w:t>
      </w:r>
      <w:r w:rsidR="00966005" w:rsidRPr="00DA30A0">
        <w:rPr>
          <w:rFonts w:eastAsia="Calibri"/>
        </w:rPr>
        <w:t>Hair-cutting related equipment</w:t>
      </w:r>
      <w:bookmarkEnd w:id="50"/>
      <w:bookmarkEnd w:id="51"/>
    </w:p>
    <w:tbl>
      <w:tblPr>
        <w:tblStyle w:val="TableGridLight"/>
        <w:tblW w:w="0" w:type="auto"/>
        <w:tblBorders>
          <w:top w:val="single" w:sz="4" w:space="0" w:color="B6DFE0"/>
          <w:left w:val="none" w:sz="0" w:space="0" w:color="auto"/>
          <w:bottom w:val="single" w:sz="4" w:space="0" w:color="B6DFE0"/>
          <w:right w:val="none" w:sz="0" w:space="0" w:color="auto"/>
          <w:insideH w:val="single" w:sz="4" w:space="0" w:color="B6DFE0"/>
          <w:insideV w:val="none" w:sz="0" w:space="0" w:color="auto"/>
        </w:tblBorders>
        <w:tblLook w:val="04A0" w:firstRow="1" w:lastRow="0" w:firstColumn="1" w:lastColumn="0" w:noHBand="0" w:noVBand="1"/>
      </w:tblPr>
      <w:tblGrid>
        <w:gridCol w:w="1471"/>
        <w:gridCol w:w="1797"/>
        <w:gridCol w:w="897"/>
        <w:gridCol w:w="3914"/>
      </w:tblGrid>
      <w:tr w:rsidR="00FE3B69" w:rsidRPr="00DA30A0" w14:paraId="47357109" w14:textId="77777777" w:rsidTr="00207F34">
        <w:trPr>
          <w:tblHeader/>
        </w:trPr>
        <w:tc>
          <w:tcPr>
            <w:tcW w:w="0" w:type="auto"/>
            <w:shd w:val="clear" w:color="auto" w:fill="B6DFE0"/>
          </w:tcPr>
          <w:p w14:paraId="6E7F008B" w14:textId="77777777" w:rsidR="0097019F" w:rsidRPr="00DA30A0" w:rsidRDefault="0097019F" w:rsidP="0087220D">
            <w:pPr>
              <w:pStyle w:val="TableText"/>
              <w:rPr>
                <w:b/>
                <w:bCs/>
              </w:rPr>
            </w:pPr>
            <w:r w:rsidRPr="00DA30A0">
              <w:rPr>
                <w:rFonts w:eastAsia="Calibri"/>
                <w:b/>
                <w:bCs/>
              </w:rPr>
              <w:t>Equipment</w:t>
            </w:r>
          </w:p>
        </w:tc>
        <w:tc>
          <w:tcPr>
            <w:tcW w:w="0" w:type="auto"/>
            <w:shd w:val="clear" w:color="auto" w:fill="B6DFE0"/>
          </w:tcPr>
          <w:p w14:paraId="1944CF88" w14:textId="77777777" w:rsidR="0097019F" w:rsidRPr="00DA30A0" w:rsidRDefault="0097019F" w:rsidP="0087220D">
            <w:pPr>
              <w:pStyle w:val="TableText"/>
              <w:rPr>
                <w:b/>
                <w:bCs/>
              </w:rPr>
            </w:pPr>
            <w:r w:rsidRPr="00DA30A0">
              <w:rPr>
                <w:rFonts w:eastAsia="Calibri"/>
                <w:b/>
                <w:bCs/>
              </w:rPr>
              <w:t>Potential risk</w:t>
            </w:r>
          </w:p>
        </w:tc>
        <w:tc>
          <w:tcPr>
            <w:tcW w:w="0" w:type="auto"/>
            <w:shd w:val="clear" w:color="auto" w:fill="B6DFE0"/>
          </w:tcPr>
          <w:p w14:paraId="7FDA51C5" w14:textId="77777777" w:rsidR="0097019F" w:rsidRPr="00DA30A0" w:rsidRDefault="0097019F" w:rsidP="0087220D">
            <w:pPr>
              <w:pStyle w:val="TableText"/>
              <w:rPr>
                <w:b/>
                <w:bCs/>
              </w:rPr>
            </w:pPr>
            <w:r w:rsidRPr="00DA30A0">
              <w:rPr>
                <w:rFonts w:eastAsia="Calibri"/>
                <w:b/>
                <w:bCs/>
              </w:rPr>
              <w:t>When</w:t>
            </w:r>
          </w:p>
        </w:tc>
        <w:tc>
          <w:tcPr>
            <w:tcW w:w="0" w:type="auto"/>
            <w:shd w:val="clear" w:color="auto" w:fill="B6DFE0"/>
          </w:tcPr>
          <w:p w14:paraId="757FE9B3" w14:textId="77777777" w:rsidR="0097019F" w:rsidRPr="00DA30A0" w:rsidRDefault="0097019F" w:rsidP="0087220D">
            <w:pPr>
              <w:pStyle w:val="TableText"/>
              <w:rPr>
                <w:b/>
                <w:bCs/>
              </w:rPr>
            </w:pPr>
            <w:r w:rsidRPr="00DA30A0">
              <w:rPr>
                <w:rFonts w:eastAsia="Calibri"/>
                <w:b/>
                <w:bCs/>
              </w:rPr>
              <w:t>Recommended process</w:t>
            </w:r>
          </w:p>
        </w:tc>
      </w:tr>
      <w:tr w:rsidR="00FE3B69" w:rsidRPr="00DA30A0" w14:paraId="5D0A6A2E" w14:textId="77777777" w:rsidTr="00207F34">
        <w:tc>
          <w:tcPr>
            <w:tcW w:w="0" w:type="auto"/>
          </w:tcPr>
          <w:p w14:paraId="3933AC91" w14:textId="08E52218" w:rsidR="0097019F" w:rsidRPr="00DA30A0" w:rsidRDefault="0097019F" w:rsidP="00560BDD">
            <w:pPr>
              <w:pStyle w:val="TableText"/>
            </w:pPr>
            <w:r w:rsidRPr="00DA30A0">
              <w:t>Scissors</w:t>
            </w:r>
          </w:p>
        </w:tc>
        <w:tc>
          <w:tcPr>
            <w:tcW w:w="0" w:type="auto"/>
          </w:tcPr>
          <w:p w14:paraId="0E70032E" w14:textId="77777777" w:rsidR="0097019F" w:rsidRPr="00DA30A0" w:rsidRDefault="0097019F" w:rsidP="00560BDD">
            <w:pPr>
              <w:pStyle w:val="TableText"/>
            </w:pPr>
            <w:r w:rsidRPr="00DA30A0">
              <w:t>Skin infections or blood-borne virus transmission</w:t>
            </w:r>
          </w:p>
        </w:tc>
        <w:tc>
          <w:tcPr>
            <w:tcW w:w="0" w:type="auto"/>
          </w:tcPr>
          <w:p w14:paraId="7A36C0A4" w14:textId="77777777" w:rsidR="0097019F" w:rsidRPr="00DA30A0" w:rsidRDefault="0097019F" w:rsidP="00560BDD">
            <w:pPr>
              <w:pStyle w:val="TableText"/>
            </w:pPr>
            <w:r w:rsidRPr="00DA30A0">
              <w:t>After each client</w:t>
            </w:r>
          </w:p>
        </w:tc>
        <w:tc>
          <w:tcPr>
            <w:tcW w:w="0" w:type="auto"/>
          </w:tcPr>
          <w:p w14:paraId="218957FB" w14:textId="77777777" w:rsidR="0097019F" w:rsidRPr="00DA30A0" w:rsidRDefault="0097019F" w:rsidP="00100259">
            <w:pPr>
              <w:pStyle w:val="TableText"/>
            </w:pPr>
            <w:r w:rsidRPr="00DA30A0">
              <w:t>EITHER:</w:t>
            </w:r>
          </w:p>
          <w:p w14:paraId="2D00EA2A" w14:textId="77777777" w:rsidR="0097019F" w:rsidRPr="00DA30A0" w:rsidRDefault="0097019F" w:rsidP="00100259">
            <w:pPr>
              <w:pStyle w:val="TableBullet"/>
            </w:pPr>
            <w:r w:rsidRPr="00DA30A0">
              <w:t>Use a lint-free cloth to remove hair.</w:t>
            </w:r>
          </w:p>
          <w:p w14:paraId="172406A8" w14:textId="77777777" w:rsidR="0097019F" w:rsidRPr="00DA30A0" w:rsidRDefault="0097019F" w:rsidP="00100259">
            <w:pPr>
              <w:pStyle w:val="TableBullet"/>
            </w:pPr>
            <w:r w:rsidRPr="00DA30A0">
              <w:t>Wash in warm water and detergent.</w:t>
            </w:r>
          </w:p>
          <w:p w14:paraId="5C2013C0" w14:textId="77777777" w:rsidR="0097019F" w:rsidRPr="00DA30A0" w:rsidRDefault="0097019F" w:rsidP="00100259">
            <w:pPr>
              <w:pStyle w:val="TableBullet"/>
            </w:pPr>
            <w:r w:rsidRPr="00DA30A0">
              <w:t>Rinse in hot running water.</w:t>
            </w:r>
          </w:p>
          <w:p w14:paraId="55A299D8" w14:textId="77777777" w:rsidR="0097019F" w:rsidRPr="00DA30A0" w:rsidRDefault="0097019F" w:rsidP="00100259">
            <w:pPr>
              <w:pStyle w:val="TableBullet"/>
            </w:pPr>
            <w:r w:rsidRPr="00DA30A0">
              <w:t>Dry with a lint-free cloth.</w:t>
            </w:r>
          </w:p>
          <w:p w14:paraId="22270256" w14:textId="77777777" w:rsidR="0097019F" w:rsidRPr="00DA30A0" w:rsidRDefault="0097019F" w:rsidP="00100259">
            <w:pPr>
              <w:pStyle w:val="TableText"/>
            </w:pPr>
            <w:r w:rsidRPr="00DA30A0">
              <w:t>OR:</w:t>
            </w:r>
          </w:p>
          <w:p w14:paraId="4D9158A9" w14:textId="77777777" w:rsidR="0097019F" w:rsidRPr="00DA30A0" w:rsidRDefault="0097019F" w:rsidP="00100259">
            <w:pPr>
              <w:pStyle w:val="TableBullet"/>
            </w:pPr>
            <w:r w:rsidRPr="00DA30A0">
              <w:t xml:space="preserve">Remove hair and debris. </w:t>
            </w:r>
          </w:p>
          <w:p w14:paraId="5C0326CE" w14:textId="77777777" w:rsidR="0097019F" w:rsidRPr="00DA30A0" w:rsidRDefault="0097019F" w:rsidP="00100259">
            <w:pPr>
              <w:pStyle w:val="TableBullet"/>
            </w:pPr>
            <w:r w:rsidRPr="00DA30A0">
              <w:t>Wipe down with damp cloth.</w:t>
            </w:r>
          </w:p>
          <w:p w14:paraId="6654C4AF" w14:textId="1F20B9AF" w:rsidR="0097019F" w:rsidRPr="00DA30A0" w:rsidRDefault="0097019F" w:rsidP="00100259">
            <w:pPr>
              <w:pStyle w:val="TableBullet"/>
            </w:pPr>
            <w:r w:rsidRPr="00DA30A0">
              <w:t>Wipe down with 70% alcohol wipes.</w:t>
            </w:r>
          </w:p>
        </w:tc>
      </w:tr>
      <w:tr w:rsidR="00FE3B69" w:rsidRPr="00DA30A0" w14:paraId="2F703D13" w14:textId="77777777" w:rsidTr="00207F34">
        <w:tc>
          <w:tcPr>
            <w:tcW w:w="0" w:type="auto"/>
          </w:tcPr>
          <w:p w14:paraId="7398432B" w14:textId="76C0CF90" w:rsidR="0097019F" w:rsidRPr="00DA30A0" w:rsidRDefault="0097019F" w:rsidP="00560BDD">
            <w:pPr>
              <w:pStyle w:val="TableText"/>
              <w:rPr>
                <w:rFonts w:eastAsia="Calibri"/>
              </w:rPr>
            </w:pPr>
            <w:r w:rsidRPr="00DA30A0">
              <w:rPr>
                <w:rFonts w:eastAsia="Calibri"/>
              </w:rPr>
              <w:t>Electric clippers and trimmers</w:t>
            </w:r>
          </w:p>
        </w:tc>
        <w:tc>
          <w:tcPr>
            <w:tcW w:w="0" w:type="auto"/>
          </w:tcPr>
          <w:p w14:paraId="3355CE5F" w14:textId="77777777" w:rsidR="0097019F" w:rsidRPr="00DA30A0" w:rsidRDefault="0097019F" w:rsidP="00560BDD">
            <w:pPr>
              <w:pStyle w:val="TableText"/>
              <w:rPr>
                <w:rFonts w:eastAsia="Calibri"/>
              </w:rPr>
            </w:pPr>
            <w:r w:rsidRPr="00DA30A0">
              <w:t>Skin infections or blood-borne virus transmission</w:t>
            </w:r>
          </w:p>
        </w:tc>
        <w:tc>
          <w:tcPr>
            <w:tcW w:w="0" w:type="auto"/>
          </w:tcPr>
          <w:p w14:paraId="7DDACED3" w14:textId="77777777" w:rsidR="0097019F" w:rsidRPr="00DA30A0" w:rsidRDefault="0097019F" w:rsidP="00560BDD">
            <w:pPr>
              <w:pStyle w:val="TableText"/>
            </w:pPr>
            <w:r w:rsidRPr="00DA30A0">
              <w:t>After each client</w:t>
            </w:r>
          </w:p>
        </w:tc>
        <w:tc>
          <w:tcPr>
            <w:tcW w:w="0" w:type="auto"/>
          </w:tcPr>
          <w:p w14:paraId="4E3D7D52" w14:textId="074C6232" w:rsidR="0097019F" w:rsidRPr="00DA30A0" w:rsidRDefault="0097019F" w:rsidP="00E61DEF">
            <w:pPr>
              <w:pStyle w:val="TableText"/>
              <w:keepNext/>
              <w:rPr>
                <w:b/>
                <w:bCs/>
              </w:rPr>
            </w:pPr>
            <w:r w:rsidRPr="00DA30A0">
              <w:rPr>
                <w:b/>
                <w:bCs/>
              </w:rPr>
              <w:t>Detachable blades on clippers must be cleaned before being reused</w:t>
            </w:r>
            <w:r w:rsidR="00E6764F">
              <w:rPr>
                <w:b/>
                <w:bCs/>
              </w:rPr>
              <w:t>.</w:t>
            </w:r>
          </w:p>
          <w:p w14:paraId="27FD989E" w14:textId="77777777" w:rsidR="0097019F" w:rsidRPr="00DA30A0" w:rsidRDefault="0097019F" w:rsidP="00100259">
            <w:pPr>
              <w:pStyle w:val="TableText"/>
            </w:pPr>
            <w:r w:rsidRPr="00DA30A0">
              <w:t>EITHER:</w:t>
            </w:r>
          </w:p>
          <w:p w14:paraId="46D4B978" w14:textId="77777777" w:rsidR="0097019F" w:rsidRPr="00DA30A0" w:rsidRDefault="0097019F" w:rsidP="00100259">
            <w:pPr>
              <w:pStyle w:val="TableBullet"/>
            </w:pPr>
            <w:r w:rsidRPr="00DA30A0">
              <w:t>Use a lint-free cloth to remove hair.</w:t>
            </w:r>
          </w:p>
          <w:p w14:paraId="69DC02CA" w14:textId="77777777" w:rsidR="0097019F" w:rsidRPr="00DA30A0" w:rsidRDefault="0097019F" w:rsidP="00100259">
            <w:pPr>
              <w:pStyle w:val="TableBullet"/>
            </w:pPr>
            <w:r w:rsidRPr="00DA30A0">
              <w:t>Wash in warm water and detergent.</w:t>
            </w:r>
          </w:p>
          <w:p w14:paraId="3863E330" w14:textId="77777777" w:rsidR="0097019F" w:rsidRPr="00DA30A0" w:rsidRDefault="0097019F" w:rsidP="00100259">
            <w:pPr>
              <w:pStyle w:val="TableBullet"/>
            </w:pPr>
            <w:r w:rsidRPr="00DA30A0">
              <w:t>Rinse in hot running water.</w:t>
            </w:r>
          </w:p>
          <w:p w14:paraId="6B0F802D" w14:textId="77777777" w:rsidR="0097019F" w:rsidRPr="00DA30A0" w:rsidRDefault="0097019F" w:rsidP="00100259">
            <w:pPr>
              <w:pStyle w:val="TableBullet"/>
            </w:pPr>
            <w:r w:rsidRPr="00DA30A0">
              <w:t>Dry with a lint-free cloth.</w:t>
            </w:r>
          </w:p>
          <w:p w14:paraId="5E75ACD4" w14:textId="77777777" w:rsidR="0097019F" w:rsidRPr="00DA30A0" w:rsidRDefault="0097019F" w:rsidP="00100259">
            <w:pPr>
              <w:pStyle w:val="TableText"/>
            </w:pPr>
            <w:r w:rsidRPr="00DA30A0">
              <w:t>OR:</w:t>
            </w:r>
          </w:p>
          <w:p w14:paraId="6374390D" w14:textId="77777777" w:rsidR="0097019F" w:rsidRPr="00DA30A0" w:rsidRDefault="0097019F" w:rsidP="00100259">
            <w:pPr>
              <w:pStyle w:val="TableBullet"/>
            </w:pPr>
            <w:r w:rsidRPr="00DA30A0">
              <w:t xml:space="preserve">Remove hair and debris. </w:t>
            </w:r>
          </w:p>
          <w:p w14:paraId="7CBD811C" w14:textId="77777777" w:rsidR="0097019F" w:rsidRPr="00DA30A0" w:rsidRDefault="0097019F" w:rsidP="00100259">
            <w:pPr>
              <w:pStyle w:val="TableBullet"/>
            </w:pPr>
            <w:r w:rsidRPr="00DA30A0">
              <w:t xml:space="preserve">Wipe down with damp cloth. </w:t>
            </w:r>
          </w:p>
          <w:p w14:paraId="0D0F03C4" w14:textId="77777777" w:rsidR="0097019F" w:rsidRPr="00DA30A0" w:rsidRDefault="0097019F" w:rsidP="00100259">
            <w:pPr>
              <w:pStyle w:val="TableBullet"/>
            </w:pPr>
            <w:r w:rsidRPr="00DA30A0">
              <w:t>Wipe down with 70% alcohol wipes.</w:t>
            </w:r>
          </w:p>
          <w:p w14:paraId="48FF6232" w14:textId="77777777" w:rsidR="0097019F" w:rsidRPr="00DA30A0" w:rsidRDefault="0097019F" w:rsidP="00100259">
            <w:pPr>
              <w:pStyle w:val="TableText"/>
              <w:rPr>
                <w:b/>
                <w:bCs/>
              </w:rPr>
            </w:pPr>
            <w:r w:rsidRPr="00DA30A0">
              <w:rPr>
                <w:b/>
                <w:bCs/>
              </w:rPr>
              <w:t>Electric clippers handpiece:</w:t>
            </w:r>
          </w:p>
          <w:p w14:paraId="0866F90D" w14:textId="77777777" w:rsidR="0097019F" w:rsidRPr="00DA30A0" w:rsidRDefault="0097019F" w:rsidP="00100259">
            <w:pPr>
              <w:pStyle w:val="TableBullet"/>
            </w:pPr>
            <w:r w:rsidRPr="00DA30A0">
              <w:t>Wipe over with cloth dampened with warm water and detergent.</w:t>
            </w:r>
          </w:p>
          <w:p w14:paraId="716D15E0" w14:textId="77777777" w:rsidR="0097019F" w:rsidRPr="00DA30A0" w:rsidRDefault="0097019F" w:rsidP="00100259">
            <w:pPr>
              <w:pStyle w:val="TableBullet"/>
            </w:pPr>
            <w:r w:rsidRPr="00DA30A0">
              <w:t>Rinse by wiping with cloth dampened in hot water.</w:t>
            </w:r>
          </w:p>
          <w:p w14:paraId="00ED2E63" w14:textId="77777777" w:rsidR="0097019F" w:rsidRPr="00DA30A0" w:rsidRDefault="0097019F" w:rsidP="00100259">
            <w:pPr>
              <w:pStyle w:val="TableBullet"/>
            </w:pPr>
            <w:r w:rsidRPr="00DA30A0">
              <w:t>Dry thoroughly.</w:t>
            </w:r>
          </w:p>
          <w:p w14:paraId="261930C2" w14:textId="185FC832" w:rsidR="0097019F" w:rsidRPr="00DA30A0" w:rsidRDefault="0097019F" w:rsidP="00100259">
            <w:pPr>
              <w:pStyle w:val="TableText"/>
            </w:pPr>
            <w:r w:rsidRPr="00E61DEF">
              <w:rPr>
                <w:b/>
                <w:bCs/>
              </w:rPr>
              <w:t>Note</w:t>
            </w:r>
            <w:r w:rsidR="00632A3F" w:rsidRPr="00E61DEF">
              <w:rPr>
                <w:b/>
                <w:bCs/>
              </w:rPr>
              <w:t>:</w:t>
            </w:r>
            <w:r w:rsidRPr="00DA30A0">
              <w:t xml:space="preserve"> </w:t>
            </w:r>
            <w:r w:rsidR="00632A3F">
              <w:t>T</w:t>
            </w:r>
            <w:r w:rsidRPr="00DA30A0">
              <w:t xml:space="preserve">his is different to the recommended approach for handles of cut-throat blades, as clipper handpieces are unlikely to be able to be immersed under water (due to electrical components). </w:t>
            </w:r>
          </w:p>
        </w:tc>
      </w:tr>
    </w:tbl>
    <w:p w14:paraId="5FAA9536" w14:textId="77777777" w:rsidR="0097019F" w:rsidRDefault="0097019F" w:rsidP="0097019F">
      <w:pPr>
        <w:rPr>
          <w:rFonts w:eastAsia="Calibri"/>
        </w:rPr>
      </w:pPr>
    </w:p>
    <w:p w14:paraId="71918532" w14:textId="4575693C" w:rsidR="00966005" w:rsidRPr="00DA30A0" w:rsidRDefault="00681739" w:rsidP="0013562F">
      <w:pPr>
        <w:pStyle w:val="Table"/>
        <w:rPr>
          <w:rFonts w:eastAsia="Calibri"/>
        </w:rPr>
      </w:pPr>
      <w:bookmarkStart w:id="52" w:name="_Toc203463791"/>
      <w:bookmarkStart w:id="53" w:name="_Toc203485600"/>
      <w:r>
        <w:t xml:space="preserve">Table </w:t>
      </w:r>
      <w:r w:rsidR="00F2606D">
        <w:fldChar w:fldCharType="begin"/>
      </w:r>
      <w:r w:rsidR="00F2606D">
        <w:instrText xml:space="preserve"> SEQ Table \* ARABIC </w:instrText>
      </w:r>
      <w:r w:rsidR="00F2606D">
        <w:fldChar w:fldCharType="separate"/>
      </w:r>
      <w:r w:rsidR="00A76531">
        <w:rPr>
          <w:noProof/>
        </w:rPr>
        <w:t>3</w:t>
      </w:r>
      <w:r w:rsidR="00F2606D">
        <w:rPr>
          <w:noProof/>
        </w:rPr>
        <w:fldChar w:fldCharType="end"/>
      </w:r>
      <w:r>
        <w:rPr>
          <w:rFonts w:eastAsia="Calibri"/>
        </w:rPr>
        <w:t>:</w:t>
      </w:r>
      <w:r w:rsidR="0013562F">
        <w:rPr>
          <w:rFonts w:eastAsia="Calibri"/>
        </w:rPr>
        <w:t xml:space="preserve"> </w:t>
      </w:r>
      <w:r w:rsidR="00731157" w:rsidRPr="00716875">
        <w:rPr>
          <w:rFonts w:eastAsia="Calibri"/>
        </w:rPr>
        <w:t>Recommended processes for cleaning tools between clients</w:t>
      </w:r>
      <w:r w:rsidR="00731157">
        <w:rPr>
          <w:rFonts w:eastAsia="Calibri"/>
        </w:rPr>
        <w:t xml:space="preserve">: </w:t>
      </w:r>
      <w:r w:rsidR="00966005" w:rsidRPr="00DA30A0">
        <w:rPr>
          <w:rFonts w:eastAsia="Calibri"/>
        </w:rPr>
        <w:t>Hair-colouring equipment</w:t>
      </w:r>
      <w:bookmarkEnd w:id="52"/>
      <w:bookmarkEnd w:id="53"/>
    </w:p>
    <w:tbl>
      <w:tblPr>
        <w:tblStyle w:val="TableGridLight"/>
        <w:tblW w:w="0" w:type="auto"/>
        <w:tblBorders>
          <w:top w:val="single" w:sz="4" w:space="0" w:color="B6DFE0"/>
          <w:left w:val="none" w:sz="0" w:space="0" w:color="auto"/>
          <w:bottom w:val="single" w:sz="4" w:space="0" w:color="B6DFE0"/>
          <w:right w:val="none" w:sz="0" w:space="0" w:color="auto"/>
          <w:insideH w:val="single" w:sz="4" w:space="0" w:color="B6DFE0"/>
          <w:insideV w:val="none" w:sz="0" w:space="0" w:color="auto"/>
        </w:tblBorders>
        <w:tblLook w:val="04A0" w:firstRow="1" w:lastRow="0" w:firstColumn="1" w:lastColumn="0" w:noHBand="0" w:noVBand="1"/>
      </w:tblPr>
      <w:tblGrid>
        <w:gridCol w:w="2405"/>
        <w:gridCol w:w="1604"/>
        <w:gridCol w:w="1276"/>
        <w:gridCol w:w="2794"/>
      </w:tblGrid>
      <w:tr w:rsidR="00175D9B" w:rsidRPr="00DA30A0" w14:paraId="3C3C9806" w14:textId="77777777" w:rsidTr="00207F34">
        <w:trPr>
          <w:tblHeader/>
        </w:trPr>
        <w:tc>
          <w:tcPr>
            <w:tcW w:w="2405" w:type="dxa"/>
            <w:shd w:val="clear" w:color="auto" w:fill="B6DFE0"/>
          </w:tcPr>
          <w:p w14:paraId="5E3C4417" w14:textId="77777777" w:rsidR="0097019F" w:rsidRPr="00DA30A0" w:rsidRDefault="0097019F" w:rsidP="00175D9B">
            <w:pPr>
              <w:pStyle w:val="TableText"/>
              <w:rPr>
                <w:b/>
                <w:bCs/>
              </w:rPr>
            </w:pPr>
            <w:r w:rsidRPr="00DA30A0">
              <w:rPr>
                <w:rFonts w:eastAsia="Calibri"/>
                <w:b/>
                <w:bCs/>
              </w:rPr>
              <w:t>Equipment</w:t>
            </w:r>
          </w:p>
        </w:tc>
        <w:tc>
          <w:tcPr>
            <w:tcW w:w="1604" w:type="dxa"/>
            <w:shd w:val="clear" w:color="auto" w:fill="B6DFE0"/>
          </w:tcPr>
          <w:p w14:paraId="490D21FD" w14:textId="77777777" w:rsidR="0097019F" w:rsidRPr="00DA30A0" w:rsidRDefault="0097019F" w:rsidP="00175D9B">
            <w:pPr>
              <w:pStyle w:val="TableText"/>
              <w:rPr>
                <w:b/>
                <w:bCs/>
              </w:rPr>
            </w:pPr>
            <w:r w:rsidRPr="00DA30A0">
              <w:rPr>
                <w:rFonts w:eastAsia="Calibri"/>
                <w:b/>
                <w:bCs/>
              </w:rPr>
              <w:t>Potential risk</w:t>
            </w:r>
          </w:p>
        </w:tc>
        <w:tc>
          <w:tcPr>
            <w:tcW w:w="0" w:type="auto"/>
            <w:shd w:val="clear" w:color="auto" w:fill="B6DFE0"/>
          </w:tcPr>
          <w:p w14:paraId="17DDB583" w14:textId="77777777" w:rsidR="0097019F" w:rsidRPr="00DA30A0" w:rsidRDefault="0097019F" w:rsidP="00175D9B">
            <w:pPr>
              <w:pStyle w:val="TableText"/>
              <w:rPr>
                <w:b/>
                <w:bCs/>
              </w:rPr>
            </w:pPr>
            <w:r w:rsidRPr="00DA30A0">
              <w:rPr>
                <w:rFonts w:eastAsia="Calibri"/>
                <w:b/>
                <w:bCs/>
              </w:rPr>
              <w:t>When</w:t>
            </w:r>
          </w:p>
        </w:tc>
        <w:tc>
          <w:tcPr>
            <w:tcW w:w="0" w:type="auto"/>
            <w:shd w:val="clear" w:color="auto" w:fill="B6DFE0"/>
          </w:tcPr>
          <w:p w14:paraId="2F892AD2" w14:textId="77777777" w:rsidR="0097019F" w:rsidRPr="00DA30A0" w:rsidRDefault="0097019F" w:rsidP="00175D9B">
            <w:pPr>
              <w:pStyle w:val="TableText"/>
              <w:rPr>
                <w:b/>
                <w:bCs/>
              </w:rPr>
            </w:pPr>
            <w:r w:rsidRPr="00DA30A0">
              <w:rPr>
                <w:rFonts w:eastAsia="Calibri"/>
                <w:b/>
                <w:bCs/>
              </w:rPr>
              <w:t>Recommended process</w:t>
            </w:r>
          </w:p>
        </w:tc>
      </w:tr>
      <w:tr w:rsidR="00425F8C" w:rsidRPr="00DA30A0" w14:paraId="3B46C449" w14:textId="77777777" w:rsidTr="00207F34">
        <w:tc>
          <w:tcPr>
            <w:tcW w:w="2405" w:type="dxa"/>
          </w:tcPr>
          <w:p w14:paraId="7BA100EF" w14:textId="77777777" w:rsidR="0097019F" w:rsidRPr="00DA30A0" w:rsidRDefault="0097019F" w:rsidP="00E61DEF">
            <w:pPr>
              <w:pStyle w:val="TableBullet"/>
            </w:pPr>
            <w:r w:rsidRPr="00DA30A0">
              <w:t xml:space="preserve">Colour mixing </w:t>
            </w:r>
            <w:proofErr w:type="gramStart"/>
            <w:r w:rsidRPr="00DA30A0">
              <w:t>bowls</w:t>
            </w:r>
            <w:proofErr w:type="gramEnd"/>
          </w:p>
          <w:p w14:paraId="25C932DE" w14:textId="77777777" w:rsidR="0097019F" w:rsidRPr="00DA30A0" w:rsidRDefault="0097019F" w:rsidP="00E61DEF">
            <w:pPr>
              <w:pStyle w:val="TableBullet"/>
            </w:pPr>
            <w:r w:rsidRPr="00DA30A0">
              <w:t xml:space="preserve">Colour </w:t>
            </w:r>
            <w:proofErr w:type="gramStart"/>
            <w:r w:rsidRPr="00DA30A0">
              <w:t>brushes</w:t>
            </w:r>
            <w:proofErr w:type="gramEnd"/>
          </w:p>
          <w:p w14:paraId="50B35495" w14:textId="77777777" w:rsidR="0097019F" w:rsidRPr="00DA30A0" w:rsidRDefault="0097019F" w:rsidP="00E61DEF">
            <w:pPr>
              <w:pStyle w:val="TableBullet"/>
            </w:pPr>
            <w:r w:rsidRPr="00DA30A0">
              <w:t>Colour applicators</w:t>
            </w:r>
          </w:p>
        </w:tc>
        <w:tc>
          <w:tcPr>
            <w:tcW w:w="1604" w:type="dxa"/>
          </w:tcPr>
          <w:p w14:paraId="1BEE7A7C" w14:textId="70BE11B1" w:rsidR="0097019F" w:rsidRPr="00DA30A0" w:rsidRDefault="0097019F" w:rsidP="00175D9B">
            <w:pPr>
              <w:pStyle w:val="TableText"/>
            </w:pPr>
            <w:r w:rsidRPr="00DA30A0">
              <w:t>Chemical contamination</w:t>
            </w:r>
          </w:p>
        </w:tc>
        <w:tc>
          <w:tcPr>
            <w:tcW w:w="0" w:type="auto"/>
          </w:tcPr>
          <w:p w14:paraId="26DDB593" w14:textId="77777777" w:rsidR="0097019F" w:rsidRPr="00DA30A0" w:rsidRDefault="0097019F" w:rsidP="00175D9B">
            <w:pPr>
              <w:pStyle w:val="TableText"/>
            </w:pPr>
            <w:r w:rsidRPr="00DA30A0">
              <w:t>After each client</w:t>
            </w:r>
          </w:p>
        </w:tc>
        <w:tc>
          <w:tcPr>
            <w:tcW w:w="0" w:type="auto"/>
          </w:tcPr>
          <w:p w14:paraId="228B89AB" w14:textId="77777777" w:rsidR="0097019F" w:rsidRPr="00DA30A0" w:rsidRDefault="0097019F" w:rsidP="00175D9B">
            <w:pPr>
              <w:pStyle w:val="TableBullet"/>
            </w:pPr>
            <w:r w:rsidRPr="00DA30A0">
              <w:t>Rinse free of colour.</w:t>
            </w:r>
          </w:p>
          <w:p w14:paraId="5E2D209D" w14:textId="77777777" w:rsidR="0097019F" w:rsidRPr="00DA30A0" w:rsidRDefault="0097019F" w:rsidP="00175D9B">
            <w:pPr>
              <w:pStyle w:val="TableBullet"/>
            </w:pPr>
            <w:r w:rsidRPr="00DA30A0">
              <w:t>Wash in warm water and detergent.</w:t>
            </w:r>
          </w:p>
          <w:p w14:paraId="0449096C" w14:textId="77777777" w:rsidR="0097019F" w:rsidRPr="00DA30A0" w:rsidRDefault="0097019F" w:rsidP="00175D9B">
            <w:pPr>
              <w:pStyle w:val="TableBullet"/>
            </w:pPr>
            <w:r w:rsidRPr="00DA30A0">
              <w:t>Rinse in hot running water.</w:t>
            </w:r>
          </w:p>
          <w:p w14:paraId="00FB144F" w14:textId="77777777" w:rsidR="0097019F" w:rsidRPr="00DA30A0" w:rsidRDefault="0097019F" w:rsidP="00175D9B">
            <w:pPr>
              <w:pStyle w:val="TableBullet"/>
              <w:rPr>
                <w:rFonts w:eastAsia="Calibri"/>
              </w:rPr>
            </w:pPr>
            <w:r w:rsidRPr="00DA30A0">
              <w:t>Dry with a lint-free cloth.</w:t>
            </w:r>
          </w:p>
        </w:tc>
      </w:tr>
    </w:tbl>
    <w:p w14:paraId="7EE81919" w14:textId="77777777" w:rsidR="0097019F" w:rsidRDefault="0097019F" w:rsidP="0038357E">
      <w:pPr>
        <w:rPr>
          <w:rFonts w:eastAsia="Calibri"/>
        </w:rPr>
      </w:pPr>
    </w:p>
    <w:p w14:paraId="5EF36D53" w14:textId="7466CDA9" w:rsidR="00966005" w:rsidRPr="00DA30A0" w:rsidRDefault="00681739" w:rsidP="0013562F">
      <w:pPr>
        <w:pStyle w:val="Table"/>
        <w:rPr>
          <w:rFonts w:eastAsia="Calibri"/>
        </w:rPr>
      </w:pPr>
      <w:bookmarkStart w:id="54" w:name="_Toc203463792"/>
      <w:bookmarkStart w:id="55" w:name="_Toc203485601"/>
      <w:r>
        <w:t xml:space="preserve">Table </w:t>
      </w:r>
      <w:r w:rsidR="00F2606D">
        <w:fldChar w:fldCharType="begin"/>
      </w:r>
      <w:r w:rsidR="00F2606D">
        <w:instrText xml:space="preserve"> SEQ Table \* ARABIC </w:instrText>
      </w:r>
      <w:r w:rsidR="00F2606D">
        <w:fldChar w:fldCharType="separate"/>
      </w:r>
      <w:r w:rsidR="00A76531">
        <w:rPr>
          <w:noProof/>
        </w:rPr>
        <w:t>4</w:t>
      </w:r>
      <w:r w:rsidR="00F2606D">
        <w:rPr>
          <w:noProof/>
        </w:rPr>
        <w:fldChar w:fldCharType="end"/>
      </w:r>
      <w:r>
        <w:rPr>
          <w:rFonts w:eastAsia="Calibri"/>
        </w:rPr>
        <w:t>:</w:t>
      </w:r>
      <w:r w:rsidR="0013562F">
        <w:rPr>
          <w:rFonts w:eastAsia="Calibri"/>
        </w:rPr>
        <w:t xml:space="preserve"> </w:t>
      </w:r>
      <w:r w:rsidR="00731157" w:rsidRPr="00716875">
        <w:rPr>
          <w:rFonts w:eastAsia="Calibri"/>
        </w:rPr>
        <w:t>Recommended processes for cleaning tools between clients</w:t>
      </w:r>
      <w:r w:rsidR="00731157">
        <w:rPr>
          <w:rFonts w:eastAsia="Calibri"/>
        </w:rPr>
        <w:t xml:space="preserve">: </w:t>
      </w:r>
      <w:r w:rsidR="00966005" w:rsidRPr="00DA30A0">
        <w:rPr>
          <w:rFonts w:eastAsia="Calibri"/>
        </w:rPr>
        <w:t>Linen</w:t>
      </w:r>
      <w:bookmarkEnd w:id="54"/>
      <w:bookmarkEnd w:id="55"/>
    </w:p>
    <w:tbl>
      <w:tblPr>
        <w:tblStyle w:val="TableGridLight"/>
        <w:tblW w:w="0" w:type="auto"/>
        <w:tblBorders>
          <w:top w:val="single" w:sz="4" w:space="0" w:color="B6DFE0"/>
          <w:left w:val="none" w:sz="0" w:space="0" w:color="auto"/>
          <w:bottom w:val="single" w:sz="4" w:space="0" w:color="B6DFE0"/>
          <w:right w:val="none" w:sz="0" w:space="0" w:color="auto"/>
          <w:insideH w:val="single" w:sz="4" w:space="0" w:color="B6DFE0"/>
          <w:insideV w:val="none" w:sz="0" w:space="0" w:color="auto"/>
        </w:tblBorders>
        <w:tblLook w:val="04A0" w:firstRow="1" w:lastRow="0" w:firstColumn="1" w:lastColumn="0" w:noHBand="0" w:noVBand="1"/>
      </w:tblPr>
      <w:tblGrid>
        <w:gridCol w:w="1555"/>
        <w:gridCol w:w="1558"/>
        <w:gridCol w:w="2098"/>
        <w:gridCol w:w="2868"/>
      </w:tblGrid>
      <w:tr w:rsidR="0038357E" w:rsidRPr="00DA30A0" w14:paraId="42805014" w14:textId="77777777" w:rsidTr="00207F34">
        <w:trPr>
          <w:tblHeader/>
        </w:trPr>
        <w:tc>
          <w:tcPr>
            <w:tcW w:w="1555" w:type="dxa"/>
            <w:shd w:val="clear" w:color="auto" w:fill="B6DFE0"/>
          </w:tcPr>
          <w:p w14:paraId="70CC2FE8" w14:textId="77777777" w:rsidR="0097019F" w:rsidRPr="00DA30A0" w:rsidRDefault="0097019F" w:rsidP="00CF7AE5">
            <w:pPr>
              <w:pStyle w:val="TableText"/>
              <w:rPr>
                <w:b/>
                <w:bCs/>
              </w:rPr>
            </w:pPr>
            <w:r w:rsidRPr="00DA30A0">
              <w:rPr>
                <w:rFonts w:eastAsia="Calibri"/>
                <w:b/>
                <w:bCs/>
              </w:rPr>
              <w:t>Equipment</w:t>
            </w:r>
          </w:p>
        </w:tc>
        <w:tc>
          <w:tcPr>
            <w:tcW w:w="1558" w:type="dxa"/>
            <w:shd w:val="clear" w:color="auto" w:fill="B6DFE0"/>
          </w:tcPr>
          <w:p w14:paraId="6456C799" w14:textId="77777777" w:rsidR="0097019F" w:rsidRPr="00DA30A0" w:rsidRDefault="0097019F" w:rsidP="00CF7AE5">
            <w:pPr>
              <w:pStyle w:val="TableText"/>
              <w:rPr>
                <w:b/>
                <w:bCs/>
              </w:rPr>
            </w:pPr>
            <w:r w:rsidRPr="00DA30A0">
              <w:rPr>
                <w:rFonts w:eastAsia="Calibri"/>
                <w:b/>
                <w:bCs/>
              </w:rPr>
              <w:t>Potential risk</w:t>
            </w:r>
          </w:p>
        </w:tc>
        <w:tc>
          <w:tcPr>
            <w:tcW w:w="0" w:type="auto"/>
            <w:shd w:val="clear" w:color="auto" w:fill="B6DFE0"/>
          </w:tcPr>
          <w:p w14:paraId="70341D35" w14:textId="77777777" w:rsidR="0097019F" w:rsidRPr="00DA30A0" w:rsidRDefault="0097019F" w:rsidP="00CF7AE5">
            <w:pPr>
              <w:pStyle w:val="TableText"/>
              <w:rPr>
                <w:b/>
                <w:bCs/>
              </w:rPr>
            </w:pPr>
            <w:r w:rsidRPr="00DA30A0">
              <w:rPr>
                <w:rFonts w:eastAsia="Calibri"/>
                <w:b/>
                <w:bCs/>
              </w:rPr>
              <w:t>When</w:t>
            </w:r>
          </w:p>
        </w:tc>
        <w:tc>
          <w:tcPr>
            <w:tcW w:w="0" w:type="auto"/>
            <w:shd w:val="clear" w:color="auto" w:fill="B6DFE0"/>
          </w:tcPr>
          <w:p w14:paraId="1A517849" w14:textId="77777777" w:rsidR="0097019F" w:rsidRPr="00DA30A0" w:rsidRDefault="0097019F" w:rsidP="00CF7AE5">
            <w:pPr>
              <w:pStyle w:val="TableText"/>
              <w:rPr>
                <w:b/>
                <w:bCs/>
              </w:rPr>
            </w:pPr>
            <w:r w:rsidRPr="00DA30A0">
              <w:rPr>
                <w:rFonts w:eastAsia="Calibri"/>
                <w:b/>
                <w:bCs/>
              </w:rPr>
              <w:t>Recommended process</w:t>
            </w:r>
          </w:p>
        </w:tc>
      </w:tr>
      <w:tr w:rsidR="0038357E" w:rsidRPr="00DA30A0" w14:paraId="51A47146" w14:textId="77777777" w:rsidTr="00207F34">
        <w:tc>
          <w:tcPr>
            <w:tcW w:w="1555" w:type="dxa"/>
          </w:tcPr>
          <w:p w14:paraId="4F8CD4A6" w14:textId="77777777" w:rsidR="0097019F" w:rsidRPr="00DA30A0" w:rsidRDefault="0097019F" w:rsidP="00E61DEF">
            <w:pPr>
              <w:pStyle w:val="TableBullet"/>
            </w:pPr>
            <w:r w:rsidRPr="00DA30A0">
              <w:t>Capes or gowns</w:t>
            </w:r>
          </w:p>
          <w:p w14:paraId="2C9E95EC" w14:textId="77777777" w:rsidR="0097019F" w:rsidRPr="00DA30A0" w:rsidRDefault="0097019F" w:rsidP="00E61DEF">
            <w:pPr>
              <w:pStyle w:val="TableBullet"/>
            </w:pPr>
            <w:r w:rsidRPr="00DA30A0">
              <w:t>Towels</w:t>
            </w:r>
          </w:p>
          <w:p w14:paraId="6B82CF01" w14:textId="77777777" w:rsidR="0097019F" w:rsidRPr="00DA30A0" w:rsidRDefault="0097019F" w:rsidP="00E61DEF">
            <w:pPr>
              <w:pStyle w:val="TableBullet"/>
            </w:pPr>
            <w:r w:rsidRPr="00DA30A0">
              <w:t>Hair covers or wraps</w:t>
            </w:r>
          </w:p>
        </w:tc>
        <w:tc>
          <w:tcPr>
            <w:tcW w:w="1558" w:type="dxa"/>
          </w:tcPr>
          <w:p w14:paraId="144C3D8C" w14:textId="77777777" w:rsidR="0097019F" w:rsidRPr="00DA30A0" w:rsidRDefault="0097019F" w:rsidP="00CF7AE5">
            <w:pPr>
              <w:pStyle w:val="TableText"/>
            </w:pPr>
            <w:r w:rsidRPr="00DA30A0">
              <w:t>Infection or infestation (</w:t>
            </w:r>
            <w:proofErr w:type="spellStart"/>
            <w:r w:rsidRPr="00DA30A0">
              <w:t>eg</w:t>
            </w:r>
            <w:proofErr w:type="spellEnd"/>
            <w:r w:rsidRPr="00DA30A0">
              <w:t>, head lice)</w:t>
            </w:r>
          </w:p>
        </w:tc>
        <w:tc>
          <w:tcPr>
            <w:tcW w:w="0" w:type="auto"/>
          </w:tcPr>
          <w:p w14:paraId="4BE1D1CA" w14:textId="77777777" w:rsidR="0097019F" w:rsidRPr="00DA30A0" w:rsidRDefault="0097019F" w:rsidP="00CF7AE5">
            <w:pPr>
              <w:pStyle w:val="TableText"/>
            </w:pPr>
            <w:r w:rsidRPr="00DA30A0">
              <w:t>After each client (unless a clean towel or paper tape is used around the neck)</w:t>
            </w:r>
          </w:p>
        </w:tc>
        <w:tc>
          <w:tcPr>
            <w:tcW w:w="0" w:type="auto"/>
          </w:tcPr>
          <w:p w14:paraId="313A197C" w14:textId="77777777" w:rsidR="0097019F" w:rsidRPr="00DA30A0" w:rsidRDefault="0097019F" w:rsidP="00CF7AE5">
            <w:pPr>
              <w:pStyle w:val="TableBullet"/>
            </w:pPr>
            <w:r w:rsidRPr="00DA30A0">
              <w:t>Wash in hot water cycle with detergent.</w:t>
            </w:r>
          </w:p>
          <w:p w14:paraId="1CF0817E" w14:textId="77777777" w:rsidR="0097019F" w:rsidRPr="00DA30A0" w:rsidRDefault="0097019F" w:rsidP="00CF7AE5">
            <w:pPr>
              <w:pStyle w:val="TableBullet"/>
              <w:rPr>
                <w:rFonts w:eastAsia="Calibri"/>
              </w:rPr>
            </w:pPr>
            <w:r w:rsidRPr="00DA30A0">
              <w:t>Dry as required according to material type (clothes dryer on hot setting or air dry).</w:t>
            </w:r>
          </w:p>
        </w:tc>
      </w:tr>
    </w:tbl>
    <w:p w14:paraId="3C78208C" w14:textId="77777777" w:rsidR="0097019F" w:rsidRDefault="0097019F" w:rsidP="0097019F">
      <w:pPr>
        <w:rPr>
          <w:rFonts w:eastAsia="Calibri"/>
        </w:rPr>
      </w:pPr>
    </w:p>
    <w:p w14:paraId="73B01E0E" w14:textId="25178E7A" w:rsidR="00966005" w:rsidRPr="00DA30A0" w:rsidRDefault="00681739" w:rsidP="0013562F">
      <w:pPr>
        <w:pStyle w:val="Table"/>
        <w:rPr>
          <w:rFonts w:eastAsia="Calibri"/>
        </w:rPr>
      </w:pPr>
      <w:bookmarkStart w:id="56" w:name="_Toc203463793"/>
      <w:bookmarkStart w:id="57" w:name="_Toc203485602"/>
      <w:r>
        <w:t xml:space="preserve">Table </w:t>
      </w:r>
      <w:r w:rsidR="00F2606D">
        <w:fldChar w:fldCharType="begin"/>
      </w:r>
      <w:r w:rsidR="00F2606D">
        <w:instrText xml:space="preserve"> SEQ Table \* ARABIC </w:instrText>
      </w:r>
      <w:r w:rsidR="00F2606D">
        <w:fldChar w:fldCharType="separate"/>
      </w:r>
      <w:r w:rsidR="00A76531">
        <w:rPr>
          <w:noProof/>
        </w:rPr>
        <w:t>5</w:t>
      </w:r>
      <w:r w:rsidR="00F2606D">
        <w:rPr>
          <w:noProof/>
        </w:rPr>
        <w:fldChar w:fldCharType="end"/>
      </w:r>
      <w:r>
        <w:rPr>
          <w:rFonts w:eastAsia="Calibri"/>
        </w:rPr>
        <w:t>:</w:t>
      </w:r>
      <w:r w:rsidR="0013562F">
        <w:rPr>
          <w:rFonts w:eastAsia="Calibri"/>
        </w:rPr>
        <w:t xml:space="preserve"> </w:t>
      </w:r>
      <w:r w:rsidR="00731157" w:rsidRPr="00716875">
        <w:rPr>
          <w:rFonts w:eastAsia="Calibri"/>
        </w:rPr>
        <w:t>Recommended processes for cleaning tools between clients</w:t>
      </w:r>
      <w:r w:rsidR="00731157">
        <w:rPr>
          <w:rFonts w:eastAsia="Calibri"/>
        </w:rPr>
        <w:t xml:space="preserve">: </w:t>
      </w:r>
      <w:r w:rsidR="00966005" w:rsidRPr="00DA30A0">
        <w:rPr>
          <w:rFonts w:eastAsia="Calibri"/>
        </w:rPr>
        <w:t>Other equipment</w:t>
      </w:r>
      <w:bookmarkEnd w:id="56"/>
      <w:bookmarkEnd w:id="57"/>
    </w:p>
    <w:tbl>
      <w:tblPr>
        <w:tblStyle w:val="TableGridLight"/>
        <w:tblW w:w="0" w:type="auto"/>
        <w:tblBorders>
          <w:top w:val="single" w:sz="4" w:space="0" w:color="B6DFE0"/>
          <w:left w:val="none" w:sz="0" w:space="0" w:color="auto"/>
          <w:bottom w:val="single" w:sz="4" w:space="0" w:color="B6DFE0"/>
          <w:right w:val="none" w:sz="0" w:space="0" w:color="auto"/>
          <w:insideH w:val="single" w:sz="4" w:space="0" w:color="B6DFE0"/>
          <w:insideV w:val="none" w:sz="0" w:space="0" w:color="auto"/>
        </w:tblBorders>
        <w:tblLook w:val="04A0" w:firstRow="1" w:lastRow="0" w:firstColumn="1" w:lastColumn="0" w:noHBand="0" w:noVBand="1"/>
      </w:tblPr>
      <w:tblGrid>
        <w:gridCol w:w="1914"/>
        <w:gridCol w:w="2270"/>
        <w:gridCol w:w="1187"/>
        <w:gridCol w:w="2708"/>
      </w:tblGrid>
      <w:tr w:rsidR="00425F8C" w:rsidRPr="00DA30A0" w14:paraId="35D6BBBF" w14:textId="77777777" w:rsidTr="00207F34">
        <w:trPr>
          <w:trHeight w:val="20"/>
          <w:tblHeader/>
        </w:trPr>
        <w:tc>
          <w:tcPr>
            <w:tcW w:w="0" w:type="auto"/>
            <w:shd w:val="clear" w:color="auto" w:fill="B6DFE0"/>
          </w:tcPr>
          <w:p w14:paraId="70CF5478" w14:textId="77777777" w:rsidR="0097019F" w:rsidRPr="00DA30A0" w:rsidRDefault="0097019F" w:rsidP="004B2F8B">
            <w:pPr>
              <w:pStyle w:val="TableText"/>
              <w:keepNext/>
              <w:rPr>
                <w:b/>
                <w:bCs/>
              </w:rPr>
            </w:pPr>
            <w:r w:rsidRPr="00DA30A0">
              <w:rPr>
                <w:rFonts w:eastAsia="Calibri"/>
                <w:b/>
                <w:bCs/>
              </w:rPr>
              <w:t>Equipment</w:t>
            </w:r>
          </w:p>
        </w:tc>
        <w:tc>
          <w:tcPr>
            <w:tcW w:w="0" w:type="auto"/>
            <w:shd w:val="clear" w:color="auto" w:fill="B6DFE0"/>
          </w:tcPr>
          <w:p w14:paraId="5CE86E7C" w14:textId="77777777" w:rsidR="0097019F" w:rsidRPr="00DA30A0" w:rsidRDefault="0097019F" w:rsidP="004B2F8B">
            <w:pPr>
              <w:pStyle w:val="TableText"/>
              <w:keepNext/>
              <w:rPr>
                <w:b/>
                <w:bCs/>
              </w:rPr>
            </w:pPr>
            <w:r w:rsidRPr="00DA30A0">
              <w:rPr>
                <w:rFonts w:eastAsia="Calibri"/>
                <w:b/>
                <w:bCs/>
              </w:rPr>
              <w:t>Potential risk</w:t>
            </w:r>
          </w:p>
        </w:tc>
        <w:tc>
          <w:tcPr>
            <w:tcW w:w="0" w:type="auto"/>
            <w:shd w:val="clear" w:color="auto" w:fill="B6DFE0"/>
          </w:tcPr>
          <w:p w14:paraId="5BE384A7" w14:textId="77777777" w:rsidR="0097019F" w:rsidRPr="00DA30A0" w:rsidRDefault="0097019F" w:rsidP="004B2F8B">
            <w:pPr>
              <w:pStyle w:val="TableText"/>
              <w:keepNext/>
              <w:rPr>
                <w:b/>
                <w:bCs/>
              </w:rPr>
            </w:pPr>
            <w:r w:rsidRPr="00DA30A0">
              <w:rPr>
                <w:rFonts w:eastAsia="Calibri"/>
                <w:b/>
                <w:bCs/>
              </w:rPr>
              <w:t>When</w:t>
            </w:r>
          </w:p>
        </w:tc>
        <w:tc>
          <w:tcPr>
            <w:tcW w:w="0" w:type="auto"/>
            <w:shd w:val="clear" w:color="auto" w:fill="B6DFE0"/>
          </w:tcPr>
          <w:p w14:paraId="4264F34D" w14:textId="77777777" w:rsidR="0097019F" w:rsidRPr="00DA30A0" w:rsidRDefault="0097019F" w:rsidP="004B2F8B">
            <w:pPr>
              <w:pStyle w:val="TableText"/>
              <w:keepNext/>
              <w:rPr>
                <w:b/>
                <w:bCs/>
              </w:rPr>
            </w:pPr>
            <w:r w:rsidRPr="00DA30A0">
              <w:rPr>
                <w:rFonts w:eastAsia="Calibri"/>
                <w:b/>
                <w:bCs/>
              </w:rPr>
              <w:t>Recommended process</w:t>
            </w:r>
          </w:p>
        </w:tc>
      </w:tr>
      <w:tr w:rsidR="00425F8C" w:rsidRPr="00DA30A0" w14:paraId="6922457E" w14:textId="77777777" w:rsidTr="00207F34">
        <w:trPr>
          <w:trHeight w:val="20"/>
        </w:trPr>
        <w:tc>
          <w:tcPr>
            <w:tcW w:w="0" w:type="auto"/>
          </w:tcPr>
          <w:p w14:paraId="09ED6203" w14:textId="77777777" w:rsidR="0097019F" w:rsidRPr="00DA30A0" w:rsidRDefault="0097019F" w:rsidP="004B2F8B">
            <w:pPr>
              <w:pStyle w:val="TableText"/>
              <w:keepNext/>
            </w:pPr>
            <w:r w:rsidRPr="00DA30A0">
              <w:t>Shaving brushes</w:t>
            </w:r>
          </w:p>
        </w:tc>
        <w:tc>
          <w:tcPr>
            <w:tcW w:w="0" w:type="auto"/>
          </w:tcPr>
          <w:p w14:paraId="0B9FDF7E" w14:textId="73603839" w:rsidR="0097019F" w:rsidRPr="00DA30A0" w:rsidRDefault="0097019F" w:rsidP="004B2F8B">
            <w:pPr>
              <w:pStyle w:val="TableText"/>
              <w:keepNext/>
            </w:pPr>
            <w:r w:rsidRPr="00DA30A0">
              <w:t>Skin infections</w:t>
            </w:r>
          </w:p>
        </w:tc>
        <w:tc>
          <w:tcPr>
            <w:tcW w:w="0" w:type="auto"/>
          </w:tcPr>
          <w:p w14:paraId="0F4D940E" w14:textId="77777777" w:rsidR="0097019F" w:rsidRPr="00DA30A0" w:rsidRDefault="0097019F" w:rsidP="004B2F8B">
            <w:pPr>
              <w:pStyle w:val="TableText"/>
              <w:keepNext/>
            </w:pPr>
            <w:r w:rsidRPr="00DA30A0">
              <w:t>After each client</w:t>
            </w:r>
          </w:p>
        </w:tc>
        <w:tc>
          <w:tcPr>
            <w:tcW w:w="0" w:type="auto"/>
          </w:tcPr>
          <w:p w14:paraId="2E35A82A" w14:textId="77777777" w:rsidR="0097019F" w:rsidRPr="00DA30A0" w:rsidRDefault="0097019F" w:rsidP="004B2F8B">
            <w:pPr>
              <w:pStyle w:val="TableBullet"/>
              <w:keepNext/>
            </w:pPr>
            <w:r w:rsidRPr="00DA30A0">
              <w:t>Rinse free of hair and shaving cream.</w:t>
            </w:r>
          </w:p>
          <w:p w14:paraId="5B812D3F" w14:textId="77777777" w:rsidR="0097019F" w:rsidRPr="00DA30A0" w:rsidRDefault="0097019F" w:rsidP="004B2F8B">
            <w:pPr>
              <w:pStyle w:val="TableBullet"/>
              <w:keepNext/>
            </w:pPr>
            <w:r w:rsidRPr="00DA30A0">
              <w:t>Wash in warm water and detergent.</w:t>
            </w:r>
          </w:p>
          <w:p w14:paraId="05B1A980" w14:textId="77777777" w:rsidR="0097019F" w:rsidRPr="00DA30A0" w:rsidRDefault="0097019F" w:rsidP="004B2F8B">
            <w:pPr>
              <w:pStyle w:val="TableBullet"/>
              <w:keepNext/>
            </w:pPr>
            <w:r w:rsidRPr="00DA30A0">
              <w:t>Rinse in hot running water.</w:t>
            </w:r>
          </w:p>
          <w:p w14:paraId="0BC03E4A" w14:textId="77777777" w:rsidR="0097019F" w:rsidRPr="00DA30A0" w:rsidRDefault="0097019F" w:rsidP="004B2F8B">
            <w:pPr>
              <w:pStyle w:val="TableBullet"/>
              <w:keepNext/>
              <w:rPr>
                <w:rFonts w:eastAsia="Calibri"/>
              </w:rPr>
            </w:pPr>
            <w:r w:rsidRPr="00DA30A0">
              <w:t>Dry thoroughly.</w:t>
            </w:r>
          </w:p>
        </w:tc>
      </w:tr>
      <w:tr w:rsidR="00425F8C" w:rsidRPr="00DA30A0" w14:paraId="7AA47CAB" w14:textId="77777777" w:rsidTr="00207F34">
        <w:trPr>
          <w:trHeight w:val="20"/>
        </w:trPr>
        <w:tc>
          <w:tcPr>
            <w:tcW w:w="0" w:type="auto"/>
          </w:tcPr>
          <w:p w14:paraId="62D0DDD8" w14:textId="77777777" w:rsidR="0097019F" w:rsidRPr="00DA30A0" w:rsidRDefault="0097019F" w:rsidP="00E61DEF">
            <w:pPr>
              <w:pStyle w:val="TableBullet"/>
            </w:pPr>
            <w:r w:rsidRPr="00DA30A0">
              <w:t>Combs</w:t>
            </w:r>
          </w:p>
          <w:p w14:paraId="603B3FFF" w14:textId="77777777" w:rsidR="0097019F" w:rsidRPr="00DA30A0" w:rsidRDefault="0097019F" w:rsidP="00E61DEF">
            <w:pPr>
              <w:pStyle w:val="TableBullet"/>
            </w:pPr>
            <w:r w:rsidRPr="00DA30A0">
              <w:t>Neck brushes</w:t>
            </w:r>
          </w:p>
          <w:p w14:paraId="5DC01BBE" w14:textId="77777777" w:rsidR="0097019F" w:rsidRPr="00DA30A0" w:rsidRDefault="0097019F" w:rsidP="00E61DEF">
            <w:pPr>
              <w:pStyle w:val="TableBullet"/>
            </w:pPr>
            <w:r w:rsidRPr="00DA30A0">
              <w:t>Rollers and rods</w:t>
            </w:r>
          </w:p>
          <w:p w14:paraId="351D338A" w14:textId="77777777" w:rsidR="0097019F" w:rsidRPr="00DA30A0" w:rsidRDefault="0097019F" w:rsidP="00E61DEF">
            <w:pPr>
              <w:pStyle w:val="TableBullet"/>
            </w:pPr>
            <w:r w:rsidRPr="00DA30A0">
              <w:t>Hair pins or section clips</w:t>
            </w:r>
          </w:p>
        </w:tc>
        <w:tc>
          <w:tcPr>
            <w:tcW w:w="0" w:type="auto"/>
          </w:tcPr>
          <w:p w14:paraId="3BEDA6F2" w14:textId="2A1F0E4B" w:rsidR="0097019F" w:rsidRPr="00DA30A0" w:rsidRDefault="0097019F" w:rsidP="00425F8C">
            <w:pPr>
              <w:pStyle w:val="TableText"/>
            </w:pPr>
            <w:r w:rsidRPr="00DA30A0">
              <w:t>Infection or infestation (</w:t>
            </w:r>
            <w:proofErr w:type="spellStart"/>
            <w:r w:rsidRPr="00DA30A0">
              <w:t>eg</w:t>
            </w:r>
            <w:proofErr w:type="spellEnd"/>
            <w:r w:rsidRPr="00DA30A0">
              <w:t>, head lice)</w:t>
            </w:r>
          </w:p>
        </w:tc>
        <w:tc>
          <w:tcPr>
            <w:tcW w:w="0" w:type="auto"/>
          </w:tcPr>
          <w:p w14:paraId="272A66F6" w14:textId="77777777" w:rsidR="0097019F" w:rsidRPr="00DA30A0" w:rsidRDefault="0097019F" w:rsidP="00425F8C">
            <w:pPr>
              <w:pStyle w:val="TableText"/>
            </w:pPr>
            <w:r w:rsidRPr="00DA30A0">
              <w:t>After each client</w:t>
            </w:r>
          </w:p>
        </w:tc>
        <w:tc>
          <w:tcPr>
            <w:tcW w:w="0" w:type="auto"/>
          </w:tcPr>
          <w:p w14:paraId="20BCA510" w14:textId="77777777" w:rsidR="0097019F" w:rsidRPr="00DA30A0" w:rsidRDefault="0097019F" w:rsidP="00425F8C">
            <w:pPr>
              <w:pStyle w:val="TableBullet"/>
            </w:pPr>
            <w:r w:rsidRPr="00DA30A0">
              <w:t>Use a lint-free cloth to remove hair.</w:t>
            </w:r>
          </w:p>
          <w:p w14:paraId="00152B69" w14:textId="77777777" w:rsidR="0097019F" w:rsidRPr="00DA30A0" w:rsidRDefault="0097019F" w:rsidP="00425F8C">
            <w:pPr>
              <w:pStyle w:val="TableBullet"/>
            </w:pPr>
            <w:r w:rsidRPr="00DA30A0">
              <w:t>Remove hair from brushes and combs.</w:t>
            </w:r>
          </w:p>
          <w:p w14:paraId="472F1164" w14:textId="77777777" w:rsidR="0097019F" w:rsidRPr="00DA30A0" w:rsidRDefault="0097019F" w:rsidP="00425F8C">
            <w:pPr>
              <w:pStyle w:val="TableBullet"/>
            </w:pPr>
            <w:r w:rsidRPr="00DA30A0">
              <w:t>Wash in warm water and detergent.</w:t>
            </w:r>
          </w:p>
          <w:p w14:paraId="73BB16A6" w14:textId="77777777" w:rsidR="0097019F" w:rsidRPr="00DA30A0" w:rsidRDefault="0097019F" w:rsidP="00425F8C">
            <w:pPr>
              <w:pStyle w:val="TableBullet"/>
            </w:pPr>
            <w:r w:rsidRPr="00DA30A0">
              <w:t>Rinse in hot running water.</w:t>
            </w:r>
          </w:p>
          <w:p w14:paraId="6B60C64E" w14:textId="77777777" w:rsidR="0097019F" w:rsidRPr="00DA30A0" w:rsidRDefault="0097019F" w:rsidP="00425F8C">
            <w:pPr>
              <w:pStyle w:val="TableBullet"/>
              <w:rPr>
                <w:rFonts w:eastAsia="Calibri"/>
              </w:rPr>
            </w:pPr>
            <w:r w:rsidRPr="00DA30A0">
              <w:t>Dry with a lint-free cloth.</w:t>
            </w:r>
          </w:p>
        </w:tc>
      </w:tr>
    </w:tbl>
    <w:p w14:paraId="134FA057" w14:textId="353E99B4" w:rsidR="0097019F" w:rsidRDefault="0097019F" w:rsidP="00425F8C">
      <w:pPr>
        <w:pStyle w:val="Heading2"/>
        <w:rPr>
          <w:rFonts w:eastAsia="Calibri"/>
        </w:rPr>
      </w:pPr>
      <w:bookmarkStart w:id="58" w:name="_Toc202429320"/>
      <w:bookmarkStart w:id="59" w:name="_Ref202866981"/>
      <w:bookmarkStart w:id="60" w:name="_Ref202867008"/>
      <w:bookmarkStart w:id="61" w:name="_Toc203485596"/>
      <w:r w:rsidRPr="00DA30A0">
        <w:rPr>
          <w:rFonts w:eastAsia="Calibri"/>
        </w:rPr>
        <w:t xml:space="preserve">Recommended processes for cleaning after clients or staff have been cut, or exposed to blood or other bodily </w:t>
      </w:r>
      <w:proofErr w:type="gramStart"/>
      <w:r w:rsidRPr="00DA30A0">
        <w:rPr>
          <w:rFonts w:eastAsia="Calibri"/>
        </w:rPr>
        <w:t>fluids</w:t>
      </w:r>
      <w:bookmarkEnd w:id="58"/>
      <w:bookmarkEnd w:id="59"/>
      <w:bookmarkEnd w:id="60"/>
      <w:bookmarkEnd w:id="61"/>
      <w:proofErr w:type="gramEnd"/>
    </w:p>
    <w:p w14:paraId="1BFB31C3" w14:textId="77777777" w:rsidR="000252FF" w:rsidRPr="003929D8" w:rsidRDefault="000252FF" w:rsidP="000252FF">
      <w:pPr>
        <w:spacing w:before="60" w:after="60"/>
        <w:rPr>
          <w:rFonts w:cs="Segoe UI"/>
          <w:b/>
          <w:bCs/>
          <w:szCs w:val="21"/>
        </w:rPr>
      </w:pPr>
      <w:r w:rsidRPr="003929D8">
        <w:rPr>
          <w:rFonts w:cs="Segoe UI"/>
          <w:b/>
          <w:bCs/>
          <w:szCs w:val="21"/>
        </w:rPr>
        <w:t>Why is this important?</w:t>
      </w:r>
    </w:p>
    <w:p w14:paraId="6E70CE7F" w14:textId="5F9A19FC" w:rsidR="004B2F8B" w:rsidRDefault="000252FF" w:rsidP="008B66E8">
      <w:pPr>
        <w:rPr>
          <w:rFonts w:eastAsia="Calibri"/>
        </w:rPr>
      </w:pPr>
      <w:r w:rsidRPr="00DA30A0">
        <w:rPr>
          <w:rFonts w:cs="Segoe UI"/>
          <w:szCs w:val="21"/>
        </w:rPr>
        <w:t xml:space="preserve">Blood and </w:t>
      </w:r>
      <w:r>
        <w:rPr>
          <w:rFonts w:cs="Segoe UI"/>
          <w:szCs w:val="21"/>
        </w:rPr>
        <w:t xml:space="preserve">bodily </w:t>
      </w:r>
      <w:r w:rsidRPr="00DA30A0">
        <w:rPr>
          <w:rFonts w:cs="Segoe UI"/>
          <w:szCs w:val="21"/>
        </w:rPr>
        <w:t>fluid spills need to be cleaned promptly to reduce the potential for contact with other clients, staff or others present</w:t>
      </w:r>
      <w:r w:rsidR="008B66E8">
        <w:rPr>
          <w:rFonts w:cs="Segoe UI"/>
          <w:szCs w:val="21"/>
        </w:rPr>
        <w:t>.</w:t>
      </w:r>
    </w:p>
    <w:p w14:paraId="59D04AFA" w14:textId="12BA7F37" w:rsidR="00B85325" w:rsidRPr="008B66E8" w:rsidRDefault="00B85325" w:rsidP="008A025F">
      <w:pPr>
        <w:rPr>
          <w:rFonts w:eastAsia="Calibri"/>
        </w:rPr>
      </w:pPr>
    </w:p>
    <w:p w14:paraId="4AFA9D2C" w14:textId="77777777" w:rsidR="000252FF" w:rsidRPr="008A49BA" w:rsidRDefault="000252FF" w:rsidP="000252FF">
      <w:pPr>
        <w:spacing w:before="120" w:after="120"/>
        <w:rPr>
          <w:rFonts w:cs="Segoe UI"/>
          <w:b/>
          <w:bCs/>
          <w:szCs w:val="21"/>
        </w:rPr>
      </w:pPr>
      <w:r w:rsidRPr="008A49BA">
        <w:rPr>
          <w:rFonts w:cs="Segoe UI"/>
          <w:b/>
          <w:bCs/>
          <w:szCs w:val="21"/>
        </w:rPr>
        <w:t xml:space="preserve">Hairdressing and barbering businesses should: </w:t>
      </w:r>
    </w:p>
    <w:p w14:paraId="0B6C7DAD" w14:textId="77777777" w:rsidR="000252FF" w:rsidRPr="000252FF" w:rsidRDefault="000252FF" w:rsidP="000252FF">
      <w:pPr>
        <w:pStyle w:val="Bullet"/>
      </w:pPr>
      <w:r w:rsidRPr="000252FF">
        <w:t>have procedures in place for managing situations where a client’s skin is accidentally cut and bleeding occurs (</w:t>
      </w:r>
      <w:proofErr w:type="spellStart"/>
      <w:r w:rsidRPr="000252FF">
        <w:t>eg</w:t>
      </w:r>
      <w:proofErr w:type="spellEnd"/>
      <w:r w:rsidRPr="000252FF">
        <w:t>, from scissors or a razor)</w:t>
      </w:r>
    </w:p>
    <w:p w14:paraId="5C1DFD69" w14:textId="77777777" w:rsidR="000252FF" w:rsidRPr="000252FF" w:rsidRDefault="000252FF" w:rsidP="000252FF">
      <w:pPr>
        <w:pStyle w:val="Bullet"/>
      </w:pPr>
      <w:r w:rsidRPr="000252FF">
        <w:t xml:space="preserve">ensure this includes appropriate processes to clean equipment, tools and surfaces that have been exposed to blood or bodily </w:t>
      </w:r>
      <w:proofErr w:type="gramStart"/>
      <w:r w:rsidRPr="000252FF">
        <w:t>fluids</w:t>
      </w:r>
      <w:proofErr w:type="gramEnd"/>
    </w:p>
    <w:p w14:paraId="0DF6AA94" w14:textId="058F7B64" w:rsidR="000252FF" w:rsidRPr="000252FF" w:rsidRDefault="000252FF" w:rsidP="00822938">
      <w:pPr>
        <w:pStyle w:val="Bullet"/>
        <w:rPr>
          <w:rFonts w:eastAsia="Calibri"/>
        </w:rPr>
      </w:pPr>
      <w:r w:rsidRPr="000252FF">
        <w:t>ensure all staff are trained and prepared to respond appropriately.</w:t>
      </w:r>
    </w:p>
    <w:p w14:paraId="737B2605" w14:textId="19DDDB39" w:rsidR="000779B4" w:rsidRDefault="000779B4" w:rsidP="004B2F8B">
      <w:pPr>
        <w:rPr>
          <w:rFonts w:eastAsia="Calibri"/>
        </w:rPr>
      </w:pPr>
      <w:r>
        <w:rPr>
          <w:rFonts w:eastAsia="Calibri"/>
        </w:rPr>
        <w:br w:type="page"/>
      </w:r>
    </w:p>
    <w:p w14:paraId="013A12F6" w14:textId="42313C68" w:rsidR="000252FF" w:rsidRDefault="0097019F" w:rsidP="0013562F">
      <w:pPr>
        <w:pStyle w:val="Heading3"/>
        <w:rPr>
          <w:rFonts w:eastAsia="Calibri"/>
        </w:rPr>
      </w:pPr>
      <w:r w:rsidRPr="00DA30A0">
        <w:rPr>
          <w:rFonts w:eastAsia="Calibri"/>
        </w:rPr>
        <w:t>Step 1: Assisting a client who has been cut, and cleaning the immediate area</w:t>
      </w:r>
      <w:r w:rsidRPr="00DA30A0">
        <w:rPr>
          <w:rStyle w:val="FootnoteReference"/>
        </w:rPr>
        <w:footnoteReference w:id="10"/>
      </w:r>
    </w:p>
    <w:p w14:paraId="02B06CE1" w14:textId="77777777" w:rsidR="00456BFE" w:rsidRDefault="00456BFE" w:rsidP="00456BFE">
      <w:pPr>
        <w:pStyle w:val="Number"/>
      </w:pPr>
      <w:r>
        <w:t>Wash your hands as described in the hand hygiene section. Dry hands.</w:t>
      </w:r>
    </w:p>
    <w:p w14:paraId="454DA63D" w14:textId="77777777" w:rsidR="00456BFE" w:rsidRDefault="00456BFE" w:rsidP="00456BFE">
      <w:pPr>
        <w:pStyle w:val="Number"/>
      </w:pPr>
      <w:r>
        <w:t>Put on gloves.</w:t>
      </w:r>
    </w:p>
    <w:p w14:paraId="4EEF5C56" w14:textId="77777777" w:rsidR="00456BFE" w:rsidRDefault="00456BFE" w:rsidP="00456BFE">
      <w:pPr>
        <w:pStyle w:val="Number"/>
      </w:pPr>
      <w:r>
        <w:t>Gather the following materials:</w:t>
      </w:r>
    </w:p>
    <w:p w14:paraId="4FB6287B" w14:textId="77777777" w:rsidR="00456BFE" w:rsidRDefault="00456BFE" w:rsidP="00456BFE">
      <w:pPr>
        <w:pStyle w:val="Letter"/>
      </w:pPr>
      <w:r>
        <w:tab/>
        <w:t xml:space="preserve">a clean tissue for applying </w:t>
      </w:r>
      <w:proofErr w:type="gramStart"/>
      <w:r>
        <w:t>pressure</w:t>
      </w:r>
      <w:proofErr w:type="gramEnd"/>
    </w:p>
    <w:p w14:paraId="1A3BDD57" w14:textId="77777777" w:rsidR="00456BFE" w:rsidRDefault="00456BFE" w:rsidP="00456BFE">
      <w:pPr>
        <w:pStyle w:val="Letter"/>
      </w:pPr>
      <w:r>
        <w:t>dressing for the client</w:t>
      </w:r>
    </w:p>
    <w:p w14:paraId="05A7003E" w14:textId="77777777" w:rsidR="00456BFE" w:rsidRDefault="00456BFE" w:rsidP="00456BFE">
      <w:pPr>
        <w:pStyle w:val="Letter"/>
      </w:pPr>
      <w:r>
        <w:t>two plastic bags (place one inside the other).</w:t>
      </w:r>
    </w:p>
    <w:p w14:paraId="72C0EF63" w14:textId="77777777" w:rsidR="00456BFE" w:rsidRDefault="00456BFE" w:rsidP="00456BFE">
      <w:pPr>
        <w:pStyle w:val="Number"/>
      </w:pPr>
      <w:r>
        <w:t xml:space="preserve">Attend to the client by applying pressure to the cut with a clean tissue. Once the bleeding is contained, apply a clean dressing to cover it. </w:t>
      </w:r>
    </w:p>
    <w:p w14:paraId="6EAC90E3" w14:textId="77777777" w:rsidR="00456BFE" w:rsidRDefault="00456BFE" w:rsidP="00456BFE">
      <w:pPr>
        <w:pStyle w:val="Number"/>
      </w:pPr>
      <w:r>
        <w:t>Dispose of contaminated equipment appropriately.</w:t>
      </w:r>
    </w:p>
    <w:p w14:paraId="6D3F5244" w14:textId="77777777" w:rsidR="00456BFE" w:rsidRDefault="00456BFE" w:rsidP="00456BFE">
      <w:pPr>
        <w:pStyle w:val="Letter"/>
      </w:pPr>
      <w:r>
        <w:t>Single-use equipment: Dispose of contaminated single-use equipment into a tamper-free sharps container.</w:t>
      </w:r>
    </w:p>
    <w:p w14:paraId="3143FA02" w14:textId="77777777" w:rsidR="00456BFE" w:rsidRDefault="00456BFE" w:rsidP="00456BFE">
      <w:pPr>
        <w:pStyle w:val="Letter"/>
      </w:pPr>
      <w:r>
        <w:t>Re-useable equipment: Store contaminated re-useable equipment in a smooth-surfaced, impervious container until it can be cleaned and disinfected as described in Step 2 below. Avoid letting the blood dry on the equipment.</w:t>
      </w:r>
    </w:p>
    <w:p w14:paraId="17DAE995" w14:textId="77777777" w:rsidR="00456BFE" w:rsidRDefault="00456BFE" w:rsidP="00456BFE">
      <w:pPr>
        <w:pStyle w:val="Number"/>
      </w:pPr>
      <w:r>
        <w:t xml:space="preserve">Clean blood spills or spots or drops of blood from surfaces, equipment or the floor following the steps below: </w:t>
      </w:r>
    </w:p>
    <w:p w14:paraId="443FBE36" w14:textId="77777777" w:rsidR="00456BFE" w:rsidRDefault="00456BFE" w:rsidP="00456BFE">
      <w:pPr>
        <w:pStyle w:val="Letter"/>
      </w:pPr>
      <w:r>
        <w:t>Wipe the area with a paper towel to remove blood. Avoid smearing over surfaces.</w:t>
      </w:r>
    </w:p>
    <w:p w14:paraId="5C710996" w14:textId="77777777" w:rsidR="00456BFE" w:rsidRDefault="00456BFE" w:rsidP="00456BFE">
      <w:pPr>
        <w:pStyle w:val="Letter"/>
      </w:pPr>
      <w:r>
        <w:t>Clean the area as soon as possible using detergent and lukewarm water.</w:t>
      </w:r>
    </w:p>
    <w:p w14:paraId="7789B5E0" w14:textId="77777777" w:rsidR="00456BFE" w:rsidRDefault="00456BFE" w:rsidP="00456BFE">
      <w:pPr>
        <w:pStyle w:val="Letter"/>
      </w:pPr>
      <w:r>
        <w:t>In situations where cleaning is difficult (such as between tiles) and there is a possibility of bare skin contact with that surface, disinfect (</w:t>
      </w:r>
      <w:proofErr w:type="spellStart"/>
      <w:r>
        <w:t>eg</w:t>
      </w:r>
      <w:proofErr w:type="spellEnd"/>
      <w:r>
        <w:t xml:space="preserve">, using bleach) after the initial clean-up with detergent and water. </w:t>
      </w:r>
    </w:p>
    <w:p w14:paraId="79135246" w14:textId="77777777" w:rsidR="00456BFE" w:rsidRDefault="00456BFE" w:rsidP="00456BFE">
      <w:pPr>
        <w:pStyle w:val="Number"/>
      </w:pPr>
      <w:r>
        <w:t>Place any bloodied materials in the plastic bags.</w:t>
      </w:r>
    </w:p>
    <w:p w14:paraId="75484A07" w14:textId="77777777" w:rsidR="00456BFE" w:rsidRDefault="00456BFE" w:rsidP="00456BFE">
      <w:pPr>
        <w:pStyle w:val="Number"/>
      </w:pPr>
      <w:r>
        <w:t>Remove gloves.</w:t>
      </w:r>
    </w:p>
    <w:p w14:paraId="714CDF75" w14:textId="77777777" w:rsidR="00456BFE" w:rsidRDefault="00456BFE" w:rsidP="00456BFE">
      <w:pPr>
        <w:pStyle w:val="Number"/>
      </w:pPr>
      <w:r>
        <w:t>Put the gloves into the plastic bags, tie/close bags and discard into domestic waste.</w:t>
      </w:r>
    </w:p>
    <w:p w14:paraId="2D258184" w14:textId="77777777" w:rsidR="00456BFE" w:rsidRDefault="00456BFE" w:rsidP="00456BFE">
      <w:pPr>
        <w:pStyle w:val="Number"/>
      </w:pPr>
      <w:r>
        <w:t>Wash hands using soap and running water.</w:t>
      </w:r>
    </w:p>
    <w:p w14:paraId="69BD7FB9" w14:textId="3B1DD63B" w:rsidR="000779B4" w:rsidRDefault="000779B4" w:rsidP="00425F8C"/>
    <w:p w14:paraId="25D9D298" w14:textId="77777777" w:rsidR="0097019F" w:rsidRDefault="0097019F" w:rsidP="00A00D4E">
      <w:pPr>
        <w:pStyle w:val="Heading3"/>
        <w:rPr>
          <w:rFonts w:eastAsia="Calibri"/>
        </w:rPr>
      </w:pPr>
      <w:r w:rsidRPr="00DA30A0">
        <w:rPr>
          <w:rFonts w:eastAsia="Calibri"/>
        </w:rPr>
        <w:t>Step 2: Cleaning and disinfecting tools and equipment that have been exposed to blood or bodily fluids</w:t>
      </w:r>
      <w:r w:rsidRPr="00DA30A0">
        <w:rPr>
          <w:rStyle w:val="FootnoteReference"/>
        </w:rPr>
        <w:footnoteReference w:id="11"/>
      </w:r>
    </w:p>
    <w:p w14:paraId="5E102901" w14:textId="78CE9FB7" w:rsidR="0013562F" w:rsidRDefault="0013562F" w:rsidP="00D676BA">
      <w:r>
        <w:t>I</w:t>
      </w:r>
      <w:r w:rsidRPr="00A00D4E">
        <w:t>nstruments that do not come into contact with blood or bodily fluids do not need to be disinfected. However, if such instruments (</w:t>
      </w:r>
      <w:proofErr w:type="spellStart"/>
      <w:r w:rsidRPr="00A00D4E">
        <w:t>eg</w:t>
      </w:r>
      <w:proofErr w:type="spellEnd"/>
      <w:r w:rsidRPr="00A00D4E">
        <w:t xml:space="preserve">, scissors) accidentally pierce, nick or cut the skin, they must be disinfected before being used on another client. </w:t>
      </w:r>
    </w:p>
    <w:p w14:paraId="3C3177CB" w14:textId="77777777" w:rsidR="00D676BA" w:rsidRPr="00A00D4E" w:rsidRDefault="00D676BA" w:rsidP="00D676BA"/>
    <w:p w14:paraId="2D01E5E1" w14:textId="77777777" w:rsidR="0013562F" w:rsidRDefault="0013562F" w:rsidP="00D676BA">
      <w:r w:rsidRPr="00A00D4E">
        <w:t>Plastic items that have been exposed to significant amounts of blood or bodily fluids should be discarded. If plastic items are exposed to small amounts of blood, they can be disinfected using the method described below.</w:t>
      </w:r>
    </w:p>
    <w:p w14:paraId="78269C83" w14:textId="77777777" w:rsidR="00D676BA" w:rsidRPr="00A00D4E" w:rsidRDefault="00D676BA" w:rsidP="00D676BA"/>
    <w:p w14:paraId="532C1AE2" w14:textId="52DF154D" w:rsidR="0013562F" w:rsidRDefault="0013562F" w:rsidP="00D676BA">
      <w:r w:rsidRPr="00A00D4E">
        <w:t>The suggested process to disinfect tools and equipment that have been exposed to blood or other bodily fluids is</w:t>
      </w:r>
      <w:r w:rsidR="00456BFE">
        <w:t xml:space="preserve"> as follows.</w:t>
      </w:r>
    </w:p>
    <w:p w14:paraId="6D39D3E1" w14:textId="77777777" w:rsidR="00456BFE" w:rsidRDefault="00456BFE" w:rsidP="00456BFE">
      <w:pPr>
        <w:rPr>
          <w:b/>
          <w:bCs/>
          <w:sz w:val="24"/>
          <w:szCs w:val="24"/>
        </w:rPr>
      </w:pPr>
    </w:p>
    <w:p w14:paraId="534107F5" w14:textId="115E6448" w:rsidR="00456BFE" w:rsidRPr="009D36AF" w:rsidRDefault="00456BFE" w:rsidP="00456BFE">
      <w:pPr>
        <w:rPr>
          <w:b/>
          <w:bCs/>
          <w:sz w:val="24"/>
          <w:szCs w:val="24"/>
        </w:rPr>
      </w:pPr>
      <w:r w:rsidRPr="009D36AF">
        <w:rPr>
          <w:b/>
          <w:bCs/>
          <w:sz w:val="24"/>
          <w:szCs w:val="24"/>
        </w:rPr>
        <w:t>Step 1: Clean</w:t>
      </w:r>
    </w:p>
    <w:p w14:paraId="00DB2BCF" w14:textId="77777777" w:rsidR="00456BFE" w:rsidRDefault="00456BFE" w:rsidP="00456BFE">
      <w:pPr>
        <w:pStyle w:val="Number"/>
      </w:pPr>
      <w:r>
        <w:t>Remove hair and debris.</w:t>
      </w:r>
    </w:p>
    <w:p w14:paraId="732C4397" w14:textId="77777777" w:rsidR="00456BFE" w:rsidRDefault="00456BFE" w:rsidP="00456BFE">
      <w:pPr>
        <w:pStyle w:val="Number"/>
      </w:pPr>
      <w:r>
        <w:t xml:space="preserve">Thoroughly clean equipment using detergent and warm water. </w:t>
      </w:r>
    </w:p>
    <w:p w14:paraId="0429FC2F" w14:textId="77777777" w:rsidR="00456BFE" w:rsidRDefault="00456BFE" w:rsidP="00456BFE">
      <w:pPr>
        <w:pStyle w:val="Number"/>
      </w:pPr>
      <w:r>
        <w:t>Dry the equipment.</w:t>
      </w:r>
    </w:p>
    <w:p w14:paraId="59BC4D8C" w14:textId="77777777" w:rsidR="00456BFE" w:rsidRDefault="00456BFE" w:rsidP="00456BFE">
      <w:pPr>
        <w:rPr>
          <w:rFonts w:eastAsia="Calibri"/>
          <w:b/>
          <w:bCs/>
          <w:sz w:val="19"/>
          <w:szCs w:val="19"/>
        </w:rPr>
      </w:pPr>
    </w:p>
    <w:p w14:paraId="27F7CFB9" w14:textId="77777777" w:rsidR="00456BFE" w:rsidRPr="009D36AF" w:rsidRDefault="00456BFE" w:rsidP="00456BFE">
      <w:pPr>
        <w:keepNext/>
        <w:rPr>
          <w:rFonts w:eastAsia="Calibri"/>
          <w:b/>
          <w:bCs/>
          <w:sz w:val="24"/>
          <w:szCs w:val="24"/>
        </w:rPr>
      </w:pPr>
      <w:r w:rsidRPr="009D36AF">
        <w:rPr>
          <w:rFonts w:eastAsia="Calibri"/>
          <w:b/>
          <w:bCs/>
          <w:sz w:val="24"/>
          <w:szCs w:val="24"/>
        </w:rPr>
        <w:t>Step 2: Disinfect</w:t>
      </w:r>
    </w:p>
    <w:p w14:paraId="68E8BA35" w14:textId="77777777" w:rsidR="00456BFE" w:rsidRDefault="00456BFE" w:rsidP="00456BFE">
      <w:pPr>
        <w:keepNext/>
        <w:rPr>
          <w:b/>
          <w:bCs/>
        </w:rPr>
      </w:pPr>
    </w:p>
    <w:p w14:paraId="433C6077" w14:textId="77777777" w:rsidR="00456BFE" w:rsidRDefault="00456BFE" w:rsidP="00456BFE">
      <w:pPr>
        <w:rPr>
          <w:b/>
          <w:bCs/>
        </w:rPr>
      </w:pPr>
      <w:r w:rsidRPr="00155902">
        <w:rPr>
          <w:b/>
          <w:bCs/>
        </w:rPr>
        <w:t>EITHER option A: Immersion in chemicals</w:t>
      </w:r>
    </w:p>
    <w:p w14:paraId="7E4D8D91" w14:textId="77777777" w:rsidR="00456BFE" w:rsidRPr="00571BAF" w:rsidRDefault="00456BFE" w:rsidP="00456BFE">
      <w:pPr>
        <w:pStyle w:val="Number"/>
      </w:pPr>
      <w:r w:rsidRPr="00571BAF">
        <w:t>Check the use-by date on the label before using disinfectants and discard any products that are out of date.</w:t>
      </w:r>
    </w:p>
    <w:p w14:paraId="003CF9CD" w14:textId="77777777" w:rsidR="00456BFE" w:rsidRPr="00571BAF" w:rsidRDefault="00456BFE" w:rsidP="00456BFE">
      <w:pPr>
        <w:pStyle w:val="Number"/>
      </w:pPr>
      <w:r w:rsidRPr="00571BAF">
        <w:t xml:space="preserve">If the disinfectant needs to be diluted, then follow the manufacturer’s instructions. </w:t>
      </w:r>
    </w:p>
    <w:p w14:paraId="3E47E658" w14:textId="77777777" w:rsidR="00456BFE" w:rsidRPr="00571BAF" w:rsidRDefault="00456BFE" w:rsidP="00456BFE">
      <w:pPr>
        <w:pStyle w:val="Number"/>
      </w:pPr>
      <w:r w:rsidRPr="00571BAF">
        <w:t xml:space="preserve">Disinfect the equipment by immersing the item in either: </w:t>
      </w:r>
    </w:p>
    <w:p w14:paraId="675C92A3" w14:textId="77777777" w:rsidR="00456BFE" w:rsidRPr="00571BAF" w:rsidRDefault="00456BFE" w:rsidP="00456BFE">
      <w:pPr>
        <w:pStyle w:val="Letter"/>
      </w:pPr>
      <w:r w:rsidRPr="00571BAF">
        <w:t xml:space="preserve">70% alcohol solution </w:t>
      </w:r>
    </w:p>
    <w:p w14:paraId="6572692E" w14:textId="77777777" w:rsidR="00456BFE" w:rsidRPr="00571BAF" w:rsidRDefault="00456BFE" w:rsidP="00456BFE">
      <w:pPr>
        <w:pStyle w:val="Letter"/>
      </w:pPr>
      <w:r w:rsidRPr="00571BAF">
        <w:t>disinfectant (</w:t>
      </w:r>
      <w:proofErr w:type="spellStart"/>
      <w:r w:rsidRPr="00571BAF">
        <w:t>eg</w:t>
      </w:r>
      <w:proofErr w:type="spellEnd"/>
      <w:r w:rsidRPr="00571BAF">
        <w:t>, as commonly used in ‘sterilising jars’), or</w:t>
      </w:r>
    </w:p>
    <w:p w14:paraId="7139EE1D" w14:textId="77777777" w:rsidR="00456BFE" w:rsidRPr="00571BAF" w:rsidRDefault="00456BFE" w:rsidP="00456BFE">
      <w:pPr>
        <w:pStyle w:val="Letter"/>
      </w:pPr>
      <w:r w:rsidRPr="00571BAF">
        <w:t xml:space="preserve">0.5% bleach (5 ml of household bleach added to 1 litre (4 cups) of water). </w:t>
      </w:r>
    </w:p>
    <w:p w14:paraId="5670B7A9" w14:textId="77777777" w:rsidR="00456BFE" w:rsidRPr="00571BAF" w:rsidRDefault="00456BFE" w:rsidP="00456BFE">
      <w:pPr>
        <w:pStyle w:val="Number"/>
      </w:pPr>
      <w:r w:rsidRPr="00571BAF">
        <w:t>Follow the manufacturer’s instructions for:</w:t>
      </w:r>
    </w:p>
    <w:p w14:paraId="3D42A23D" w14:textId="77777777" w:rsidR="00456BFE" w:rsidRPr="00571BAF" w:rsidRDefault="00456BFE" w:rsidP="00456BFE">
      <w:pPr>
        <w:pStyle w:val="Letter"/>
      </w:pPr>
      <w:r w:rsidRPr="00571BAF">
        <w:t xml:space="preserve">the soak or contact times the equipment must be in the </w:t>
      </w:r>
      <w:proofErr w:type="gramStart"/>
      <w:r w:rsidRPr="00571BAF">
        <w:t>solution</w:t>
      </w:r>
      <w:proofErr w:type="gramEnd"/>
    </w:p>
    <w:p w14:paraId="4056E1D1" w14:textId="77777777" w:rsidR="00456BFE" w:rsidRPr="00571BAF" w:rsidRDefault="00456BFE" w:rsidP="00456BFE">
      <w:pPr>
        <w:pStyle w:val="Letter"/>
      </w:pPr>
      <w:r w:rsidRPr="00571BAF">
        <w:t>any requirement to rinse the product after disinfecting.</w:t>
      </w:r>
    </w:p>
    <w:p w14:paraId="6021D8BA" w14:textId="34C1FEF2" w:rsidR="00456BFE" w:rsidRPr="00571BAF" w:rsidRDefault="00456BFE" w:rsidP="00456BFE">
      <w:pPr>
        <w:pStyle w:val="Number"/>
      </w:pPr>
      <w:r w:rsidRPr="00571BAF">
        <w:t xml:space="preserve">Disinfectants must be: </w:t>
      </w:r>
    </w:p>
    <w:p w14:paraId="0D84548E" w14:textId="77777777" w:rsidR="00456BFE" w:rsidRPr="00571BAF" w:rsidRDefault="00456BFE" w:rsidP="00456BFE">
      <w:pPr>
        <w:pStyle w:val="Letter"/>
      </w:pPr>
      <w:r w:rsidRPr="00571BAF">
        <w:t xml:space="preserve">labelled appropriately with the name, date and dilution </w:t>
      </w:r>
      <w:proofErr w:type="gramStart"/>
      <w:r w:rsidRPr="00571BAF">
        <w:t>strength</w:t>
      </w:r>
      <w:proofErr w:type="gramEnd"/>
      <w:r w:rsidRPr="00571BAF">
        <w:t xml:space="preserve"> </w:t>
      </w:r>
    </w:p>
    <w:p w14:paraId="28AC7E2A" w14:textId="77777777" w:rsidR="00456BFE" w:rsidRDefault="00456BFE" w:rsidP="00456BFE">
      <w:pPr>
        <w:pStyle w:val="Letter"/>
      </w:pPr>
      <w:r w:rsidRPr="00571BAF">
        <w:t>used and stored according to the manufacturer’s instructions.</w:t>
      </w:r>
    </w:p>
    <w:p w14:paraId="7C70DC08" w14:textId="77777777" w:rsidR="00456BFE" w:rsidRDefault="00456BFE" w:rsidP="00456BFE"/>
    <w:p w14:paraId="10B629C0" w14:textId="77777777" w:rsidR="00456BFE" w:rsidRDefault="00456BFE" w:rsidP="00456BFE">
      <w:pPr>
        <w:keepNext/>
        <w:rPr>
          <w:b/>
          <w:bCs/>
        </w:rPr>
      </w:pPr>
      <w:r w:rsidRPr="00571BAF">
        <w:rPr>
          <w:b/>
          <w:bCs/>
        </w:rPr>
        <w:t>OR option B: Radiation (ultraviolet light-C or UVC)</w:t>
      </w:r>
    </w:p>
    <w:p w14:paraId="376C748E" w14:textId="77777777" w:rsidR="00456BFE" w:rsidRDefault="00456BFE" w:rsidP="00456BFE"/>
    <w:p w14:paraId="56C04234" w14:textId="77777777" w:rsidR="00456BFE" w:rsidRPr="00571BAF" w:rsidRDefault="00456BFE" w:rsidP="00456BFE">
      <w:r w:rsidRPr="00571BAF">
        <w:t>UVC provides high-level disinfection to surfaces it comes in contact with. It has low penetration and is absorbed by glass, plastics and metals. It cannot ‘go around corners’ or disinfect areas not directly exposed to UVC.</w:t>
      </w:r>
    </w:p>
    <w:p w14:paraId="28B89DD5" w14:textId="77777777" w:rsidR="00456BFE" w:rsidRPr="00571BAF" w:rsidRDefault="00456BFE" w:rsidP="00456BFE">
      <w:pPr>
        <w:pStyle w:val="Number"/>
      </w:pPr>
      <w:r w:rsidRPr="00571BAF">
        <w:t xml:space="preserve">Follow the manufacturer’s instructions regarding: </w:t>
      </w:r>
    </w:p>
    <w:p w14:paraId="4D8BBF28" w14:textId="77777777" w:rsidR="00456BFE" w:rsidRPr="00571BAF" w:rsidRDefault="00456BFE" w:rsidP="00456BFE">
      <w:pPr>
        <w:pStyle w:val="Letter"/>
      </w:pPr>
      <w:r w:rsidRPr="00571BAF">
        <w:t>operating, including exposure time to UVC</w:t>
      </w:r>
    </w:p>
    <w:p w14:paraId="05314604" w14:textId="77777777" w:rsidR="00456BFE" w:rsidRPr="00571BAF" w:rsidRDefault="00456BFE" w:rsidP="00456BFE">
      <w:pPr>
        <w:pStyle w:val="Letter"/>
      </w:pPr>
      <w:r w:rsidRPr="00571BAF">
        <w:t>servicing.</w:t>
      </w:r>
    </w:p>
    <w:p w14:paraId="015A5AE5" w14:textId="18EA0BFA" w:rsidR="007D5717" w:rsidRPr="00DA30A0" w:rsidRDefault="007D5717" w:rsidP="007D5717">
      <w:pPr>
        <w:pStyle w:val="Heading1"/>
      </w:pPr>
      <w:bookmarkStart w:id="62" w:name="_Toc203485597"/>
      <w:r w:rsidRPr="00DA30A0">
        <w:t>Useful links</w:t>
      </w:r>
      <w:bookmarkEnd w:id="62"/>
    </w:p>
    <w:p w14:paraId="3269C418" w14:textId="77777777" w:rsidR="007D5717" w:rsidRDefault="007D5717" w:rsidP="00D676BA">
      <w:pPr>
        <w:pStyle w:val="Heading3"/>
        <w:rPr>
          <w:rFonts w:eastAsia="Calibri"/>
        </w:rPr>
      </w:pPr>
      <w:r w:rsidRPr="00DA30A0">
        <w:rPr>
          <w:rFonts w:eastAsia="Calibri"/>
        </w:rPr>
        <w:t>Health New Zealand</w:t>
      </w:r>
    </w:p>
    <w:p w14:paraId="7D8415D6" w14:textId="2068A989" w:rsidR="00D676BA" w:rsidRPr="00BE049E" w:rsidRDefault="00D676BA" w:rsidP="00D676BA">
      <w:r w:rsidRPr="00BE049E">
        <w:t xml:space="preserve">Contact public health </w:t>
      </w:r>
      <w:proofErr w:type="gramStart"/>
      <w:r w:rsidRPr="00BE049E">
        <w:t>services</w:t>
      </w:r>
      <w:proofErr w:type="gramEnd"/>
    </w:p>
    <w:p w14:paraId="2CB4FA66" w14:textId="0F93FD29" w:rsidR="00D676BA" w:rsidRPr="00D676BA" w:rsidRDefault="00A76531" w:rsidP="00D676BA">
      <w:pPr>
        <w:rPr>
          <w:rFonts w:eastAsia="Calibri"/>
        </w:rPr>
      </w:pPr>
      <w:hyperlink r:id="rId28" w:history="1">
        <w:r w:rsidR="0009698A" w:rsidRPr="00DA30A0">
          <w:rPr>
            <w:rStyle w:val="Hyperlink"/>
            <w:szCs w:val="18"/>
          </w:rPr>
          <w:t>tewhatuora.govt.nz/health-services-and-programmes/national-public-health-service/contact-public-health-services</w:t>
        </w:r>
      </w:hyperlink>
    </w:p>
    <w:p w14:paraId="741A5B3F" w14:textId="77777777" w:rsidR="007D5717" w:rsidRDefault="007D5717" w:rsidP="003212F4">
      <w:pPr>
        <w:pStyle w:val="Heading3"/>
        <w:rPr>
          <w:rFonts w:eastAsia="Calibri"/>
        </w:rPr>
      </w:pPr>
      <w:r w:rsidRPr="00DA30A0">
        <w:rPr>
          <w:rFonts w:eastAsia="Calibri"/>
        </w:rPr>
        <w:t>Ministry of Health</w:t>
      </w:r>
    </w:p>
    <w:p w14:paraId="7FAB047A" w14:textId="6B1F0751" w:rsidR="0063737D" w:rsidRPr="00BE049E" w:rsidRDefault="0063737D" w:rsidP="0063737D">
      <w:r w:rsidRPr="00BE049E">
        <w:t>Guidelines for the safe piercing of skin</w:t>
      </w:r>
    </w:p>
    <w:p w14:paraId="54EDE378" w14:textId="5A7FB50B" w:rsidR="0036085B" w:rsidRPr="0063737D" w:rsidRDefault="00A76531" w:rsidP="0063737D">
      <w:pPr>
        <w:rPr>
          <w:rFonts w:eastAsia="Calibri"/>
        </w:rPr>
      </w:pPr>
      <w:hyperlink r:id="rId29" w:history="1">
        <w:r w:rsidR="0036085B" w:rsidRPr="00DA30A0">
          <w:rPr>
            <w:rStyle w:val="Hyperlink"/>
          </w:rPr>
          <w:t>health.govt.nz/publications/guidelines-for-the-safe-piercing-of-skin</w:t>
        </w:r>
      </w:hyperlink>
    </w:p>
    <w:p w14:paraId="7CB69F8F" w14:textId="77777777" w:rsidR="007D5717" w:rsidRDefault="007D5717" w:rsidP="0036085B">
      <w:pPr>
        <w:pStyle w:val="Heading3"/>
        <w:rPr>
          <w:rFonts w:eastAsia="Calibri"/>
        </w:rPr>
      </w:pPr>
      <w:r w:rsidRPr="00DA30A0">
        <w:rPr>
          <w:rFonts w:eastAsia="Calibri"/>
        </w:rPr>
        <w:t>WorkSafe New Zealand</w:t>
      </w:r>
    </w:p>
    <w:p w14:paraId="2AE237FF" w14:textId="3CAC794C" w:rsidR="0036085B" w:rsidRPr="00BE049E" w:rsidRDefault="0036085B" w:rsidP="0036085B">
      <w:r w:rsidRPr="00BE049E">
        <w:t>General requirements for workplaces</w:t>
      </w:r>
    </w:p>
    <w:p w14:paraId="6B76F32B" w14:textId="3C4EA8D0" w:rsidR="0036085B" w:rsidRDefault="00A76531" w:rsidP="0036085B">
      <w:pPr>
        <w:rPr>
          <w:b/>
          <w:bCs/>
        </w:rPr>
      </w:pPr>
      <w:hyperlink r:id="rId30" w:history="1">
        <w:r w:rsidR="00E677EF" w:rsidRPr="00DA30A0">
          <w:rPr>
            <w:rStyle w:val="Hyperlink"/>
          </w:rPr>
          <w:t>worksafe.govt.nz/managing-health-and-safety/businesses/general-requirements-for-workplaces</w:t>
        </w:r>
      </w:hyperlink>
    </w:p>
    <w:p w14:paraId="4DA12418" w14:textId="77777777" w:rsidR="0036085B" w:rsidRDefault="0036085B" w:rsidP="0036085B">
      <w:pPr>
        <w:rPr>
          <w:b/>
          <w:bCs/>
        </w:rPr>
      </w:pPr>
    </w:p>
    <w:p w14:paraId="27661607" w14:textId="3FB625A3" w:rsidR="0036085B" w:rsidRPr="00BE049E" w:rsidRDefault="0036085B" w:rsidP="0036085B">
      <w:r w:rsidRPr="00BE049E">
        <w:t>How to manage work risks</w:t>
      </w:r>
    </w:p>
    <w:p w14:paraId="45154BF0" w14:textId="5D0F08D5" w:rsidR="00E677EF" w:rsidRDefault="00A76531" w:rsidP="0036085B">
      <w:pPr>
        <w:rPr>
          <w:b/>
          <w:bCs/>
        </w:rPr>
      </w:pPr>
      <w:hyperlink r:id="rId31" w:history="1">
        <w:r w:rsidR="00E677EF" w:rsidRPr="00DA30A0">
          <w:rPr>
            <w:rStyle w:val="Hyperlink"/>
          </w:rPr>
          <w:t>worksafe.govt.nz/managing-health-and-safety/businesses/general-requirements-for-workplaces</w:t>
        </w:r>
      </w:hyperlink>
    </w:p>
    <w:p w14:paraId="6EFB08FA" w14:textId="77777777" w:rsidR="0036085B" w:rsidRDefault="0036085B" w:rsidP="0036085B">
      <w:pPr>
        <w:rPr>
          <w:b/>
          <w:bCs/>
        </w:rPr>
      </w:pPr>
    </w:p>
    <w:p w14:paraId="69D79D4E" w14:textId="0FBABAAA" w:rsidR="0036085B" w:rsidRPr="00BE049E" w:rsidRDefault="0036085B" w:rsidP="0036085B">
      <w:r w:rsidRPr="00BE049E">
        <w:t>Understanding the law: Primary duty of care</w:t>
      </w:r>
    </w:p>
    <w:p w14:paraId="592271FD" w14:textId="197BD878" w:rsidR="00E677EF" w:rsidRDefault="00A76531" w:rsidP="0036085B">
      <w:pPr>
        <w:rPr>
          <w:b/>
          <w:bCs/>
        </w:rPr>
      </w:pPr>
      <w:hyperlink r:id="rId32" w:history="1">
        <w:r w:rsidR="00E677EF" w:rsidRPr="002B4EBD">
          <w:rPr>
            <w:rStyle w:val="Hyperlink"/>
          </w:rPr>
          <w:t>worksafe.govt.nz/managing-health-and-safety/getting-started/understanding-the-law/primary-duty-of-care</w:t>
        </w:r>
      </w:hyperlink>
    </w:p>
    <w:p w14:paraId="6218ECE5" w14:textId="77777777" w:rsidR="0036085B" w:rsidRDefault="0036085B" w:rsidP="0036085B">
      <w:pPr>
        <w:rPr>
          <w:b/>
          <w:bCs/>
        </w:rPr>
      </w:pPr>
    </w:p>
    <w:p w14:paraId="7EB88909" w14:textId="086E1D94" w:rsidR="0036085B" w:rsidRPr="00BE049E" w:rsidRDefault="0036085B" w:rsidP="0036085B">
      <w:r w:rsidRPr="00BE049E">
        <w:t>Personal protective equipment (PPE) – a guide for businesses</w:t>
      </w:r>
    </w:p>
    <w:p w14:paraId="67E01641" w14:textId="39A6AF17" w:rsidR="0036085B" w:rsidRDefault="00A76531" w:rsidP="0036085B">
      <w:pPr>
        <w:rPr>
          <w:b/>
          <w:bCs/>
        </w:rPr>
      </w:pPr>
      <w:hyperlink r:id="rId33" w:tooltip="Original URL: https://www.worksafe.govt.nz/topic-and-industry/personal-protective-equipment-ppe/personal-protective-equipment-a-guide-for-businesses/. Click or tap if you trust this link." w:history="1">
        <w:r w:rsidR="00E677EF" w:rsidRPr="00DA30A0">
          <w:rPr>
            <w:rStyle w:val="Hyperlink"/>
          </w:rPr>
          <w:t>worksafe.govt.nz/topic-and-industry/personal-protective-equipment-ppe/personal-protective-equipment-a-guide-for-businesses</w:t>
        </w:r>
      </w:hyperlink>
    </w:p>
    <w:p w14:paraId="4DC09316" w14:textId="3E2557D0" w:rsidR="00E677EF" w:rsidRDefault="00E677EF" w:rsidP="0036085B">
      <w:pPr>
        <w:rPr>
          <w:b/>
          <w:bCs/>
        </w:rPr>
      </w:pPr>
    </w:p>
    <w:p w14:paraId="3BA0931E" w14:textId="1A38A969" w:rsidR="0036085B" w:rsidRPr="00BE049E" w:rsidRDefault="0036085B" w:rsidP="0036085B">
      <w:r w:rsidRPr="00BE049E">
        <w:t xml:space="preserve">What risk looks like in your industry: </w:t>
      </w:r>
      <w:proofErr w:type="gramStart"/>
      <w:r w:rsidRPr="00BE049E">
        <w:t>Hairdressing</w:t>
      </w:r>
      <w:proofErr w:type="gramEnd"/>
    </w:p>
    <w:p w14:paraId="385A4BB5" w14:textId="4A97C7BE" w:rsidR="00E677EF" w:rsidRDefault="00A76531" w:rsidP="0036085B">
      <w:pPr>
        <w:rPr>
          <w:rStyle w:val="Hyperlink"/>
        </w:rPr>
      </w:pPr>
      <w:hyperlink r:id="rId34" w:tooltip="Original URL: https://www.worksafe.govt.nz/topic-and-industry/personal-protective-equipment-ppe/personal-protective-equipment-a-guide-for-businesses/. Click or tap if you trust this link." w:history="1">
        <w:r w:rsidR="00E677EF" w:rsidRPr="00DA30A0">
          <w:rPr>
            <w:rStyle w:val="Hyperlink"/>
          </w:rPr>
          <w:t>worksafe.govt.nz/topic-and-industry/personal-protective-equipment-ppe/personal-protective-equipment-a-guide-for-businesses</w:t>
        </w:r>
      </w:hyperlink>
    </w:p>
    <w:p w14:paraId="33113D5B" w14:textId="77777777" w:rsidR="00E677EF" w:rsidRDefault="00E677EF" w:rsidP="0036085B">
      <w:pPr>
        <w:rPr>
          <w:b/>
          <w:bCs/>
        </w:rPr>
      </w:pPr>
    </w:p>
    <w:p w14:paraId="436D41B4" w14:textId="517E6E6E" w:rsidR="00E677EF" w:rsidRPr="00293EE7" w:rsidRDefault="00E677EF" w:rsidP="0036085B">
      <w:r w:rsidRPr="00293EE7">
        <w:t xml:space="preserve">Contact </w:t>
      </w:r>
      <w:proofErr w:type="gramStart"/>
      <w:r w:rsidRPr="00293EE7">
        <w:t>dermatitis</w:t>
      </w:r>
      <w:proofErr w:type="gramEnd"/>
    </w:p>
    <w:p w14:paraId="15845AE2" w14:textId="764498C2" w:rsidR="00E677EF" w:rsidRDefault="00A76531" w:rsidP="0036085B">
      <w:pPr>
        <w:rPr>
          <w:rStyle w:val="Hyperlink"/>
        </w:rPr>
      </w:pPr>
      <w:hyperlink r:id="rId35" w:history="1">
        <w:r w:rsidR="00314DBF" w:rsidRPr="00DA30A0">
          <w:rPr>
            <w:rStyle w:val="Hyperlink"/>
          </w:rPr>
          <w:t>worksafe.govt.nz/topic-and-industry/contact-dermatitis</w:t>
        </w:r>
      </w:hyperlink>
    </w:p>
    <w:p w14:paraId="0C3BE32E" w14:textId="77777777" w:rsidR="00314DBF" w:rsidRDefault="00314DBF" w:rsidP="0036085B">
      <w:pPr>
        <w:rPr>
          <w:b/>
          <w:bCs/>
        </w:rPr>
      </w:pPr>
    </w:p>
    <w:p w14:paraId="285D3A81" w14:textId="1B9A3876" w:rsidR="00E677EF" w:rsidRPr="00293EE7" w:rsidRDefault="00E677EF" w:rsidP="0036085B">
      <w:r w:rsidRPr="00293EE7">
        <w:t>How and when to notify WorkSafe New Zealand: Notifications</w:t>
      </w:r>
    </w:p>
    <w:p w14:paraId="2B453CCF" w14:textId="2AC7E79A" w:rsidR="00314DBF" w:rsidRPr="00960B18" w:rsidRDefault="00A76531" w:rsidP="0036085B">
      <w:pPr>
        <w:rPr>
          <w:b/>
          <w:bCs/>
        </w:rPr>
      </w:pPr>
      <w:hyperlink r:id="rId36" w:history="1">
        <w:r w:rsidR="00BA6527" w:rsidRPr="00DA30A0">
          <w:rPr>
            <w:rStyle w:val="Hyperlink"/>
          </w:rPr>
          <w:t>worksafe.govt.nz/notifications</w:t>
        </w:r>
      </w:hyperlink>
    </w:p>
    <w:p w14:paraId="36863737" w14:textId="27F15235" w:rsidR="00960B18" w:rsidRDefault="00960B18">
      <w:pPr>
        <w:rPr>
          <w:rFonts w:eastAsia="Calibri"/>
        </w:rPr>
      </w:pPr>
      <w:r>
        <w:rPr>
          <w:rFonts w:eastAsia="Calibri"/>
        </w:rPr>
        <w:br w:type="page"/>
      </w:r>
    </w:p>
    <w:p w14:paraId="6FEB8F3F" w14:textId="77777777" w:rsidR="0036085B" w:rsidRPr="0036085B" w:rsidRDefault="0036085B" w:rsidP="0036085B">
      <w:pPr>
        <w:rPr>
          <w:rFonts w:eastAsia="Calibri"/>
        </w:rPr>
      </w:pPr>
    </w:p>
    <w:p w14:paraId="7DF5D1E9" w14:textId="3DBB10C0" w:rsidR="007D5717" w:rsidRDefault="007D5717" w:rsidP="00960B18">
      <w:pPr>
        <w:pStyle w:val="Heading3"/>
        <w:rPr>
          <w:rFonts w:eastAsia="Calibri"/>
        </w:rPr>
      </w:pPr>
      <w:r w:rsidRPr="00DA30A0">
        <w:rPr>
          <w:rFonts w:eastAsia="Calibri"/>
        </w:rPr>
        <w:t xml:space="preserve">Environmental Protection </w:t>
      </w:r>
      <w:r w:rsidR="004E126C" w:rsidRPr="004E126C">
        <w:rPr>
          <w:rFonts w:eastAsia="Calibri"/>
        </w:rPr>
        <w:t>Authority</w:t>
      </w:r>
      <w:r w:rsidRPr="00DA30A0">
        <w:rPr>
          <w:rFonts w:eastAsia="Calibri"/>
        </w:rPr>
        <w:t xml:space="preserve"> </w:t>
      </w:r>
    </w:p>
    <w:p w14:paraId="3C58D87D" w14:textId="2C4B6E57" w:rsidR="00960B18" w:rsidRPr="00293EE7" w:rsidRDefault="00960B18" w:rsidP="00960B18">
      <w:r w:rsidRPr="00293EE7">
        <w:t>Cosmetics Products Group Standard (includes hair dye)</w:t>
      </w:r>
    </w:p>
    <w:p w14:paraId="62D4BF6A" w14:textId="16C033A8" w:rsidR="00960B18" w:rsidRPr="00960B18" w:rsidRDefault="00A76531" w:rsidP="00960B18">
      <w:pPr>
        <w:rPr>
          <w:rFonts w:eastAsia="Calibri"/>
        </w:rPr>
      </w:pPr>
      <w:hyperlink r:id="rId37" w:history="1">
        <w:r w:rsidR="00960B18" w:rsidRPr="00DA30A0">
          <w:rPr>
            <w:rStyle w:val="Hyperlink"/>
            <w:szCs w:val="18"/>
          </w:rPr>
          <w:t>epa.govt.nz/hazardous-substances/rules-notices-and-how-to-comply/specific-substance-guidance/cosmetics</w:t>
        </w:r>
      </w:hyperlink>
    </w:p>
    <w:p w14:paraId="33473D9B" w14:textId="77777777" w:rsidR="007D5717" w:rsidRDefault="007D5717" w:rsidP="00960B18">
      <w:pPr>
        <w:pStyle w:val="Heading3"/>
        <w:rPr>
          <w:rFonts w:eastAsia="Calibri"/>
        </w:rPr>
      </w:pPr>
      <w:r w:rsidRPr="00DA30A0">
        <w:rPr>
          <w:rFonts w:eastAsia="Calibri"/>
        </w:rPr>
        <w:t>Healthline</w:t>
      </w:r>
    </w:p>
    <w:p w14:paraId="0582DDD7" w14:textId="1E01389D" w:rsidR="00960B18" w:rsidRPr="00960B18" w:rsidRDefault="00960B18" w:rsidP="00960B18">
      <w:pPr>
        <w:rPr>
          <w:b/>
          <w:bCs/>
        </w:rPr>
      </w:pPr>
      <w:r w:rsidRPr="00960B18">
        <w:rPr>
          <w:b/>
          <w:bCs/>
        </w:rPr>
        <w:t>Emergency Services</w:t>
      </w:r>
    </w:p>
    <w:p w14:paraId="18519950" w14:textId="253D813B" w:rsidR="00960B18" w:rsidRPr="00960B18" w:rsidRDefault="00960B18" w:rsidP="00960B18">
      <w:r w:rsidRPr="00960B18">
        <w:t>111</w:t>
      </w:r>
    </w:p>
    <w:p w14:paraId="0AE071FB" w14:textId="77777777" w:rsidR="00960B18" w:rsidRDefault="00960B18" w:rsidP="00960B18">
      <w:pPr>
        <w:rPr>
          <w:b/>
          <w:bCs/>
        </w:rPr>
      </w:pPr>
    </w:p>
    <w:p w14:paraId="5EA864C7" w14:textId="7D2F08BF" w:rsidR="00960B18" w:rsidRDefault="00960B18" w:rsidP="00960B18">
      <w:pPr>
        <w:rPr>
          <w:b/>
          <w:bCs/>
        </w:rPr>
      </w:pPr>
      <w:r w:rsidRPr="00DA30A0">
        <w:rPr>
          <w:b/>
          <w:bCs/>
        </w:rPr>
        <w:t>National Poisons Centre</w:t>
      </w:r>
    </w:p>
    <w:p w14:paraId="08506AEE" w14:textId="77777777" w:rsidR="00960B18" w:rsidRPr="00DA30A0" w:rsidRDefault="00960B18" w:rsidP="00960B18">
      <w:pPr>
        <w:pStyle w:val="TableText"/>
        <w:keepNext/>
      </w:pPr>
      <w:r w:rsidRPr="00DA30A0">
        <w:t>0800 POISON</w:t>
      </w:r>
    </w:p>
    <w:p w14:paraId="6A8841C7" w14:textId="675884B6" w:rsidR="00960B18" w:rsidRDefault="00960B18" w:rsidP="00960B18">
      <w:r w:rsidRPr="00DA30A0">
        <w:t>0800 764 766</w:t>
      </w:r>
    </w:p>
    <w:p w14:paraId="68A88049" w14:textId="77777777" w:rsidR="00960B18" w:rsidRDefault="00960B18" w:rsidP="00960B18"/>
    <w:p w14:paraId="0EB54F85" w14:textId="44A25D8D" w:rsidR="00960B18" w:rsidRDefault="00960B18" w:rsidP="00960B18">
      <w:pPr>
        <w:rPr>
          <w:b/>
          <w:bCs/>
        </w:rPr>
      </w:pPr>
      <w:r w:rsidRPr="00DA30A0">
        <w:rPr>
          <w:b/>
          <w:bCs/>
        </w:rPr>
        <w:t>Healthline</w:t>
      </w:r>
    </w:p>
    <w:p w14:paraId="2D1B690F" w14:textId="0F9A2185" w:rsidR="00960B18" w:rsidRDefault="00960B18" w:rsidP="00960B18">
      <w:pPr>
        <w:rPr>
          <w:b/>
          <w:bCs/>
        </w:rPr>
      </w:pPr>
      <w:r w:rsidRPr="00DA30A0">
        <w:t>0800 611 116</w:t>
      </w:r>
    </w:p>
    <w:p w14:paraId="0276FC9D" w14:textId="77777777" w:rsidR="00960B18" w:rsidRPr="00960B18" w:rsidRDefault="00960B18" w:rsidP="00960B18">
      <w:pPr>
        <w:rPr>
          <w:rFonts w:eastAsia="Calibri"/>
        </w:rPr>
      </w:pPr>
    </w:p>
    <w:p w14:paraId="001B3B82" w14:textId="734EA3B4" w:rsidR="007D5717" w:rsidRPr="00DA30A0" w:rsidRDefault="007D5717" w:rsidP="00FC5887">
      <w:pPr>
        <w:pStyle w:val="TableText"/>
      </w:pPr>
    </w:p>
    <w:sectPr w:rsidR="007D5717" w:rsidRPr="00DA30A0" w:rsidSect="002B7BEC">
      <w:footerReference w:type="even" r:id="rId38"/>
      <w:pgSz w:w="11907" w:h="16834" w:code="9"/>
      <w:pgMar w:top="1418" w:right="1701" w:bottom="1134" w:left="1843" w:header="284" w:footer="425" w:gutter="284"/>
      <w:pgNumType w:start="1"/>
      <w:cols w:space="720"/>
      <w:docGrid w:linePitch="286"/>
    </w:sectPr>
  </w:body>
</w:document>
</file>

<file path=word/customizations.xml><?xml version="1.0" encoding="utf-8"?>
<wne:tcg xmlns:r="http://schemas.openxmlformats.org/officeDocument/2006/relationships" xmlns:wne="http://schemas.microsoft.com/office/word/2006/wordml">
  <wne:keymaps>
    <wne:keymap wne:kcmPrimary="0454">
      <wne:acd wne:acdName="acd2"/>
    </wne:keymap>
    <wne:keymap wne:kcmPrimary="04BC">
      <wne:acd wne:acdName="acd3"/>
    </wne:keymap>
    <wne:keymap wne:kcmPrimary="04BE">
      <wne:acd wne:acdName="acd0"/>
    </wne:keymap>
    <wne:keymap wne:kcmPrimary="04BF">
      <wne:acd wne:acdName="acd1"/>
    </wne:keymap>
  </wne:keymaps>
  <wne:toolbars>
    <wne:acdManifest>
      <wne:acdEntry wne:acdName="acd0"/>
      <wne:acdEntry wne:acdName="acd1"/>
      <wne:acdEntry wne:acdName="acd2"/>
      <wne:acdEntry wne:acdName="acd3"/>
    </wne:acdManifest>
  </wne:toolbars>
  <wne:acds>
    <wne:acd wne:argValue="AgBCAHUAbABsAGUAdAA=" wne:acdName="acd0" wne:fciIndexBasedOn="0065"/>
    <wne:acd wne:argValue="AgBEAGEAcwBoAA==" wne:acdName="acd1" wne:fciIndexBasedOn="0065"/>
    <wne:acd wne:argValue="AgBUAGEAYgBsAGUAVABlAHgAdAA=" wne:acdName="acd2" wne:fciIndexBasedOn="0065"/>
    <wne:acd wne:argValue="AgBUAGEAYgBsAGUAQgB1AGwAbABlAH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E203" w14:textId="77777777" w:rsidR="00A04CDA" w:rsidRDefault="00A04CDA">
      <w:r>
        <w:separator/>
      </w:r>
    </w:p>
    <w:p w14:paraId="508E34E0" w14:textId="77777777" w:rsidR="00A04CDA" w:rsidRDefault="00A04CDA"/>
  </w:endnote>
  <w:endnote w:type="continuationSeparator" w:id="0">
    <w:p w14:paraId="6976DBC7" w14:textId="77777777" w:rsidR="00A04CDA" w:rsidRDefault="00A04CDA">
      <w:r>
        <w:continuationSeparator/>
      </w:r>
    </w:p>
    <w:p w14:paraId="0FDA5F1A" w14:textId="77777777" w:rsidR="00A04CDA" w:rsidRDefault="00A0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B" w14:textId="27DE154C" w:rsidR="00105770" w:rsidRPr="005A79E5" w:rsidRDefault="00105770" w:rsidP="00CC6EA4">
    <w:pPr>
      <w:pStyle w:val="Footer"/>
      <w:pBdr>
        <w:bottom w:val="single" w:sz="4" w:space="1" w:color="auto"/>
      </w:pBdr>
      <w:tabs>
        <w:tab w:val="right" w:pos="9639"/>
      </w:tabs>
      <w:rPr>
        <w:sz w:val="2"/>
        <w:szCs w:val="2"/>
      </w:rPr>
    </w:pPr>
    <w:r w:rsidRPr="005718A6">
      <w:t>Released 20</w:t>
    </w:r>
    <w:r w:rsidR="00CC6EA4">
      <w:t>2</w:t>
    </w:r>
    <w:r w:rsidR="004C6811">
      <w:t>5</w:t>
    </w:r>
    <w:r w:rsidRPr="005718A6">
      <w:tab/>
    </w:r>
    <w:hyperlink r:id="rId1" w:history="1">
      <w:r w:rsidR="00E064D9" w:rsidRPr="00F76CB4">
        <w:rPr>
          <w:rStyle w:val="Hyperlink"/>
        </w:rPr>
        <w:t>health.govt.nz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C" w14:textId="77777777" w:rsidR="00105770" w:rsidRDefault="0010577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D"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852C5D" w14:paraId="09DDDFC0" w14:textId="77777777" w:rsidTr="00454B75">
      <w:trPr>
        <w:cantSplit/>
      </w:trPr>
      <w:tc>
        <w:tcPr>
          <w:tcW w:w="675" w:type="dxa"/>
          <w:vAlign w:val="center"/>
        </w:tcPr>
        <w:p w14:paraId="09DDDFBD"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E064D9">
            <w:rPr>
              <w:rStyle w:val="PageNumber"/>
              <w:noProof/>
            </w:rPr>
            <w:t>viii</w:t>
          </w:r>
          <w:r w:rsidRPr="00931466">
            <w:rPr>
              <w:rStyle w:val="PageNumber"/>
            </w:rPr>
            <w:fldChar w:fldCharType="end"/>
          </w:r>
        </w:p>
      </w:tc>
      <w:tc>
        <w:tcPr>
          <w:tcW w:w="8080" w:type="dxa"/>
          <w:vAlign w:val="center"/>
        </w:tcPr>
        <w:p w14:paraId="09DDDFBE" w14:textId="7398AFF0" w:rsidR="00852C5D" w:rsidRDefault="00E719D4" w:rsidP="00454B75">
          <w:pPr>
            <w:pStyle w:val="RectoFooter"/>
            <w:ind w:left="-108"/>
          </w:pPr>
          <w:r w:rsidRPr="00E719D4">
            <w:t>Public health guidance for hairdressers and barbers</w:t>
          </w:r>
        </w:p>
      </w:tc>
      <w:tc>
        <w:tcPr>
          <w:tcW w:w="992" w:type="dxa"/>
          <w:vAlign w:val="center"/>
        </w:tcPr>
        <w:p w14:paraId="09DDDFBF" w14:textId="77777777" w:rsidR="00852C5D" w:rsidRDefault="00852C5D" w:rsidP="00454B75">
          <w:pPr>
            <w:pStyle w:val="RectoFooter"/>
            <w:ind w:left="-108"/>
          </w:pPr>
          <w:r>
            <w:rPr>
              <w:noProof/>
              <w:lang w:eastAsia="en-NZ"/>
            </w:rPr>
            <w:drawing>
              <wp:inline distT="0" distB="0" distL="0" distR="0" wp14:anchorId="09DDDFDD" wp14:editId="1002E2FC">
                <wp:extent cx="373711" cy="414082"/>
                <wp:effectExtent l="0" t="0" r="7620" b="508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C1"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9732B2" w14:paraId="09DDDFC5" w14:textId="77777777" w:rsidTr="009732B2">
      <w:trPr>
        <w:cantSplit/>
      </w:trPr>
      <w:tc>
        <w:tcPr>
          <w:tcW w:w="1134" w:type="dxa"/>
          <w:vAlign w:val="center"/>
        </w:tcPr>
        <w:p w14:paraId="09DDDFC2" w14:textId="77777777" w:rsidR="009732B2" w:rsidRDefault="009732B2" w:rsidP="00120C4C">
          <w:pPr>
            <w:pStyle w:val="RectoFooter"/>
            <w:spacing w:before="120"/>
            <w:jc w:val="left"/>
          </w:pPr>
          <w:r>
            <w:rPr>
              <w:noProof/>
              <w:lang w:eastAsia="en-NZ"/>
            </w:rPr>
            <w:drawing>
              <wp:inline distT="0" distB="0" distL="0" distR="0" wp14:anchorId="09DDDFDF" wp14:editId="59CAAA7F">
                <wp:extent cx="548640" cy="353145"/>
                <wp:effectExtent l="0" t="0" r="3810" b="889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DDFC3" w14:textId="40FE41B6" w:rsidR="009732B2" w:rsidRDefault="0042612E" w:rsidP="00120C4C">
          <w:pPr>
            <w:pStyle w:val="RectoFooter"/>
            <w:spacing w:before="120"/>
            <w:jc w:val="left"/>
          </w:pPr>
          <w:r w:rsidRPr="0042612E">
            <w:t>Public health guidance for hairdressers and barbers</w:t>
          </w:r>
        </w:p>
      </w:tc>
      <w:tc>
        <w:tcPr>
          <w:tcW w:w="709" w:type="dxa"/>
          <w:vAlign w:val="center"/>
        </w:tcPr>
        <w:p w14:paraId="09DDDFC4" w14:textId="77777777" w:rsidR="009732B2" w:rsidRPr="00931466" w:rsidRDefault="009732B2"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vii</w:t>
          </w:r>
          <w:r w:rsidRPr="00931466">
            <w:rPr>
              <w:rStyle w:val="PageNumber"/>
            </w:rPr>
            <w:fldChar w:fldCharType="end"/>
          </w:r>
        </w:p>
      </w:tc>
    </w:tr>
  </w:tbl>
  <w:p w14:paraId="09DDDFC6" w14:textId="77777777" w:rsidR="009732B2" w:rsidRPr="00581EB8" w:rsidRDefault="009732B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552B1F" w14:paraId="09DDDFCA" w14:textId="77777777" w:rsidTr="009732B2">
      <w:trPr>
        <w:cantSplit/>
      </w:trPr>
      <w:tc>
        <w:tcPr>
          <w:tcW w:w="675" w:type="dxa"/>
          <w:vAlign w:val="center"/>
        </w:tcPr>
        <w:p w14:paraId="09DDDFC7" w14:textId="77777777" w:rsidR="00552B1F" w:rsidRPr="00931466" w:rsidRDefault="00552B1F"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2</w:t>
          </w:r>
          <w:r w:rsidRPr="00931466">
            <w:rPr>
              <w:rStyle w:val="PageNumber"/>
            </w:rPr>
            <w:fldChar w:fldCharType="end"/>
          </w:r>
        </w:p>
      </w:tc>
      <w:tc>
        <w:tcPr>
          <w:tcW w:w="7938" w:type="dxa"/>
          <w:vAlign w:val="center"/>
        </w:tcPr>
        <w:p w14:paraId="09DDDFC8" w14:textId="270E6F88" w:rsidR="00552B1F" w:rsidRDefault="00E40730" w:rsidP="00120C4C">
          <w:pPr>
            <w:pStyle w:val="RectoFooter"/>
            <w:spacing w:before="120"/>
            <w:ind w:left="-108"/>
          </w:pPr>
          <w:r w:rsidRPr="00E40730">
            <w:t>Public health guidance for hairdressers and barbers</w:t>
          </w:r>
        </w:p>
      </w:tc>
      <w:tc>
        <w:tcPr>
          <w:tcW w:w="1134" w:type="dxa"/>
          <w:vAlign w:val="center"/>
        </w:tcPr>
        <w:p w14:paraId="09DDDFC9" w14:textId="77777777" w:rsidR="00552B1F" w:rsidRDefault="009732B2" w:rsidP="00120C4C">
          <w:pPr>
            <w:pStyle w:val="RectoFooter"/>
            <w:spacing w:before="120"/>
            <w:ind w:left="-108"/>
          </w:pPr>
          <w:r>
            <w:rPr>
              <w:noProof/>
              <w:lang w:eastAsia="en-NZ"/>
            </w:rPr>
            <w:drawing>
              <wp:inline distT="0" distB="0" distL="0" distR="0" wp14:anchorId="09DDDFE1" wp14:editId="4EFBB8E1">
                <wp:extent cx="548640" cy="353145"/>
                <wp:effectExtent l="0" t="0" r="3810" b="889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CB" w14:textId="77777777" w:rsidR="00105770" w:rsidRPr="00571223" w:rsidRDefault="00105770"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8076" w14:textId="77777777" w:rsidR="00A04CDA" w:rsidRPr="00961312" w:rsidRDefault="00A04CDA" w:rsidP="00961312">
      <w:pPr>
        <w:pStyle w:val="Footer"/>
      </w:pPr>
      <w:r>
        <w:separator/>
      </w:r>
    </w:p>
  </w:footnote>
  <w:footnote w:type="continuationSeparator" w:id="0">
    <w:p w14:paraId="3D42FD95" w14:textId="77777777" w:rsidR="00A04CDA" w:rsidRDefault="00A04CDA">
      <w:r>
        <w:continuationSeparator/>
      </w:r>
    </w:p>
    <w:p w14:paraId="4E07079B" w14:textId="77777777" w:rsidR="00A04CDA" w:rsidRDefault="00A04CDA"/>
  </w:footnote>
  <w:footnote w:id="1">
    <w:p w14:paraId="29CA6304" w14:textId="409923B0" w:rsidR="00E719D4" w:rsidRPr="003651F7" w:rsidRDefault="00E719D4" w:rsidP="00990E1E">
      <w:pPr>
        <w:pStyle w:val="FootnoteText"/>
        <w:rPr>
          <w:szCs w:val="17"/>
        </w:rPr>
      </w:pPr>
      <w:r w:rsidRPr="003651F7">
        <w:rPr>
          <w:rStyle w:val="FootnoteReference"/>
          <w:szCs w:val="17"/>
        </w:rPr>
        <w:footnoteRef/>
      </w:r>
      <w:r w:rsidRPr="003651F7">
        <w:rPr>
          <w:szCs w:val="17"/>
        </w:rPr>
        <w:t xml:space="preserve"> </w:t>
      </w:r>
      <w:r w:rsidR="001F1BD6" w:rsidRPr="003651F7">
        <w:rPr>
          <w:szCs w:val="17"/>
        </w:rPr>
        <w:tab/>
      </w:r>
      <w:r w:rsidR="00990E1E" w:rsidRPr="003651F7">
        <w:rPr>
          <w:szCs w:val="17"/>
        </w:rPr>
        <w:t>WorkSafe New Zealand. (</w:t>
      </w:r>
      <w:proofErr w:type="spellStart"/>
      <w:r w:rsidR="00990E1E" w:rsidRPr="003651F7">
        <w:rPr>
          <w:szCs w:val="17"/>
        </w:rPr>
        <w:t>nd</w:t>
      </w:r>
      <w:proofErr w:type="spellEnd"/>
      <w:r w:rsidR="00990E1E" w:rsidRPr="003651F7">
        <w:rPr>
          <w:szCs w:val="17"/>
        </w:rPr>
        <w:t xml:space="preserve">). </w:t>
      </w:r>
      <w:r w:rsidR="00990E1E" w:rsidRPr="009E5110">
        <w:rPr>
          <w:i/>
          <w:iCs/>
          <w:szCs w:val="17"/>
        </w:rPr>
        <w:t xml:space="preserve">What </w:t>
      </w:r>
      <w:r w:rsidR="00981DFA" w:rsidRPr="00981DFA">
        <w:rPr>
          <w:i/>
          <w:iCs/>
          <w:szCs w:val="17"/>
        </w:rPr>
        <w:t xml:space="preserve">Risk Looks Like </w:t>
      </w:r>
      <w:r w:rsidR="00990E1E" w:rsidRPr="009E5110">
        <w:rPr>
          <w:i/>
          <w:iCs/>
          <w:szCs w:val="17"/>
        </w:rPr>
        <w:t xml:space="preserve">in </w:t>
      </w:r>
      <w:r w:rsidR="00981DFA" w:rsidRPr="00981DFA">
        <w:rPr>
          <w:i/>
          <w:iCs/>
          <w:szCs w:val="17"/>
        </w:rPr>
        <w:t xml:space="preserve">Your Industry </w:t>
      </w:r>
      <w:r w:rsidR="00990E1E" w:rsidRPr="009E5110">
        <w:rPr>
          <w:i/>
          <w:iCs/>
          <w:szCs w:val="17"/>
        </w:rPr>
        <w:t>– Hairdressing</w:t>
      </w:r>
      <w:r w:rsidR="00990E1E" w:rsidRPr="003651F7">
        <w:rPr>
          <w:szCs w:val="17"/>
        </w:rPr>
        <w:t xml:space="preserve">. URL: </w:t>
      </w:r>
      <w:hyperlink r:id="rId1" w:history="1">
        <w:r w:rsidR="00990E1E" w:rsidRPr="003651F7">
          <w:rPr>
            <w:rStyle w:val="Hyperlink"/>
            <w:szCs w:val="17"/>
          </w:rPr>
          <w:t>worksafe.govt.nz/managing-health-and-safety/managing-risks/what-risk-looks-like-in-your-industry/hairdressing</w:t>
        </w:r>
      </w:hyperlink>
      <w:r w:rsidR="00990E1E" w:rsidRPr="009E5110">
        <w:rPr>
          <w:szCs w:val="17"/>
        </w:rPr>
        <w:t xml:space="preserve"> (accessed 9 July 2025)</w:t>
      </w:r>
      <w:r w:rsidR="00E8764C">
        <w:rPr>
          <w:szCs w:val="17"/>
        </w:rPr>
        <w:t>.</w:t>
      </w:r>
    </w:p>
  </w:footnote>
  <w:footnote w:id="2">
    <w:p w14:paraId="0477A9AC" w14:textId="77777777" w:rsidR="000252FF" w:rsidRPr="003651F7" w:rsidRDefault="000252FF" w:rsidP="000252FF">
      <w:pPr>
        <w:pStyle w:val="FootnoteText"/>
        <w:rPr>
          <w:rFonts w:cs="Segoe UI"/>
          <w:szCs w:val="17"/>
        </w:rPr>
      </w:pPr>
      <w:r w:rsidRPr="003651F7">
        <w:rPr>
          <w:rStyle w:val="FootnoteReference"/>
          <w:rFonts w:cs="Segoe UI"/>
          <w:szCs w:val="17"/>
        </w:rPr>
        <w:footnoteRef/>
      </w:r>
      <w:r w:rsidRPr="003651F7">
        <w:rPr>
          <w:rFonts w:cs="Segoe UI"/>
          <w:szCs w:val="17"/>
        </w:rPr>
        <w:t xml:space="preserve"> </w:t>
      </w:r>
      <w:r w:rsidRPr="003651F7">
        <w:rPr>
          <w:rFonts w:cs="Segoe UI"/>
          <w:szCs w:val="17"/>
        </w:rPr>
        <w:tab/>
        <w:t>U</w:t>
      </w:r>
      <w:r>
        <w:rPr>
          <w:rFonts w:cs="Segoe UI"/>
          <w:szCs w:val="17"/>
        </w:rPr>
        <w:t>S</w:t>
      </w:r>
      <w:r w:rsidRPr="003651F7">
        <w:rPr>
          <w:rFonts w:cs="Segoe UI"/>
          <w:szCs w:val="17"/>
        </w:rPr>
        <w:t xml:space="preserve"> Department of Labor, Occupational Safety and Health Administration. (</w:t>
      </w:r>
      <w:proofErr w:type="spellStart"/>
      <w:r w:rsidRPr="003651F7">
        <w:rPr>
          <w:rFonts w:cs="Segoe UI"/>
          <w:szCs w:val="17"/>
        </w:rPr>
        <w:t>nd</w:t>
      </w:r>
      <w:proofErr w:type="spellEnd"/>
      <w:r w:rsidRPr="003651F7">
        <w:rPr>
          <w:rFonts w:cs="Segoe UI"/>
          <w:szCs w:val="17"/>
        </w:rPr>
        <w:t xml:space="preserve">). </w:t>
      </w:r>
      <w:r w:rsidRPr="003651F7">
        <w:rPr>
          <w:rFonts w:cs="Segoe UI"/>
          <w:i/>
          <w:iCs/>
          <w:szCs w:val="17"/>
        </w:rPr>
        <w:t>Hair Salons: Facts about formaldehyde in hair products</w:t>
      </w:r>
      <w:r w:rsidRPr="003651F7">
        <w:rPr>
          <w:rFonts w:cs="Segoe UI"/>
          <w:szCs w:val="17"/>
        </w:rPr>
        <w:t xml:space="preserve">. URL: </w:t>
      </w:r>
      <w:hyperlink r:id="rId2" w:history="1">
        <w:r w:rsidRPr="003651F7">
          <w:rPr>
            <w:rStyle w:val="Hyperlink"/>
            <w:rFonts w:cs="Segoe UI"/>
            <w:szCs w:val="17"/>
          </w:rPr>
          <w:t>osha.gov/hair-salons</w:t>
        </w:r>
      </w:hyperlink>
      <w:r w:rsidRPr="003651F7">
        <w:rPr>
          <w:rFonts w:cs="Segoe UI"/>
          <w:szCs w:val="17"/>
        </w:rPr>
        <w:t xml:space="preserve"> (accessed 9 July 2025).</w:t>
      </w:r>
    </w:p>
  </w:footnote>
  <w:footnote w:id="3">
    <w:p w14:paraId="7DB4E3E7" w14:textId="77777777" w:rsidR="000252FF" w:rsidRPr="003651F7" w:rsidRDefault="000252FF" w:rsidP="000252FF">
      <w:pPr>
        <w:pStyle w:val="FootnoteText"/>
        <w:rPr>
          <w:rFonts w:cs="Segoe UI"/>
          <w:szCs w:val="17"/>
        </w:rPr>
      </w:pPr>
      <w:r w:rsidRPr="003651F7">
        <w:rPr>
          <w:rStyle w:val="FootnoteReference"/>
          <w:rFonts w:cs="Segoe UI"/>
          <w:szCs w:val="17"/>
        </w:rPr>
        <w:footnoteRef/>
      </w:r>
      <w:r w:rsidRPr="003651F7">
        <w:rPr>
          <w:rFonts w:cs="Segoe UI"/>
          <w:szCs w:val="17"/>
        </w:rPr>
        <w:t xml:space="preserve"> </w:t>
      </w:r>
      <w:r w:rsidRPr="003651F7">
        <w:rPr>
          <w:rFonts w:cs="Segoe UI"/>
          <w:szCs w:val="17"/>
        </w:rPr>
        <w:tab/>
        <w:t>NSW Government</w:t>
      </w:r>
      <w:r>
        <w:rPr>
          <w:rFonts w:cs="Segoe UI"/>
          <w:szCs w:val="17"/>
        </w:rPr>
        <w:t xml:space="preserve">. 2014. </w:t>
      </w:r>
      <w:r w:rsidRPr="00712E11">
        <w:rPr>
          <w:rFonts w:cs="Segoe UI"/>
          <w:i/>
          <w:iCs/>
          <w:szCs w:val="17"/>
        </w:rPr>
        <w:t xml:space="preserve">Potential </w:t>
      </w:r>
      <w:r w:rsidRPr="003651F7">
        <w:rPr>
          <w:rFonts w:cs="Segoe UI"/>
          <w:i/>
          <w:iCs/>
          <w:szCs w:val="17"/>
        </w:rPr>
        <w:t xml:space="preserve">Exposure </w:t>
      </w:r>
      <w:r w:rsidRPr="00712E11">
        <w:rPr>
          <w:rFonts w:cs="Segoe UI"/>
          <w:i/>
          <w:iCs/>
          <w:szCs w:val="17"/>
        </w:rPr>
        <w:t xml:space="preserve">to </w:t>
      </w:r>
      <w:r w:rsidRPr="003651F7">
        <w:rPr>
          <w:rFonts w:cs="Segoe UI"/>
          <w:i/>
          <w:iCs/>
          <w:szCs w:val="17"/>
        </w:rPr>
        <w:t xml:space="preserve">Formaldehyde </w:t>
      </w:r>
      <w:r w:rsidRPr="00712E11">
        <w:rPr>
          <w:rFonts w:cs="Segoe UI"/>
          <w:i/>
          <w:iCs/>
          <w:szCs w:val="17"/>
        </w:rPr>
        <w:t xml:space="preserve">whilst </w:t>
      </w:r>
      <w:r w:rsidRPr="003651F7">
        <w:rPr>
          <w:rFonts w:cs="Segoe UI"/>
          <w:i/>
          <w:iCs/>
          <w:szCs w:val="17"/>
        </w:rPr>
        <w:t xml:space="preserve">Using </w:t>
      </w:r>
      <w:r w:rsidRPr="00712E11">
        <w:rPr>
          <w:rFonts w:cs="Segoe UI"/>
          <w:i/>
          <w:iCs/>
          <w:szCs w:val="17"/>
        </w:rPr>
        <w:t xml:space="preserve">Keratin </w:t>
      </w:r>
      <w:r w:rsidRPr="003651F7">
        <w:rPr>
          <w:rFonts w:cs="Segoe UI"/>
          <w:i/>
          <w:iCs/>
          <w:szCs w:val="17"/>
        </w:rPr>
        <w:t>Treatments Safety Alert</w:t>
      </w:r>
      <w:r>
        <w:rPr>
          <w:rFonts w:cs="Segoe UI"/>
          <w:szCs w:val="17"/>
        </w:rPr>
        <w:t xml:space="preserve">. </w:t>
      </w:r>
      <w:r w:rsidRPr="003651F7">
        <w:rPr>
          <w:rFonts w:cs="Segoe UI"/>
          <w:szCs w:val="17"/>
        </w:rPr>
        <w:t xml:space="preserve">URL: </w:t>
      </w:r>
      <w:hyperlink r:id="rId3" w:history="1">
        <w:r w:rsidRPr="003651F7">
          <w:rPr>
            <w:rStyle w:val="Hyperlink"/>
            <w:szCs w:val="17"/>
          </w:rPr>
          <w:t>safework.nsw.gov.au/safety-alerts/safety-alerts/potential-exposure-to-formaldehyde-whilst-using-keratin-treatments</w:t>
        </w:r>
      </w:hyperlink>
      <w:r w:rsidRPr="003651F7">
        <w:rPr>
          <w:szCs w:val="17"/>
        </w:rPr>
        <w:t xml:space="preserve"> (accessed 9 July 2025).</w:t>
      </w:r>
    </w:p>
  </w:footnote>
  <w:footnote w:id="4">
    <w:p w14:paraId="76798183" w14:textId="30271F8A" w:rsidR="008F7674" w:rsidRPr="003651F7" w:rsidRDefault="008F7674" w:rsidP="008F7674">
      <w:pPr>
        <w:pStyle w:val="FootnoteText"/>
        <w:rPr>
          <w:rFonts w:cs="Segoe UI"/>
          <w:szCs w:val="17"/>
        </w:rPr>
      </w:pPr>
      <w:r w:rsidRPr="003651F7">
        <w:rPr>
          <w:rStyle w:val="FootnoteReference"/>
          <w:rFonts w:cs="Segoe UI"/>
          <w:szCs w:val="17"/>
        </w:rPr>
        <w:footnoteRef/>
      </w:r>
      <w:r w:rsidRPr="003651F7">
        <w:rPr>
          <w:rFonts w:cs="Segoe UI"/>
          <w:szCs w:val="17"/>
        </w:rPr>
        <w:t xml:space="preserve"> </w:t>
      </w:r>
      <w:r w:rsidR="007F22AB" w:rsidRPr="003651F7">
        <w:rPr>
          <w:rFonts w:cs="Segoe UI"/>
          <w:szCs w:val="17"/>
        </w:rPr>
        <w:tab/>
      </w:r>
      <w:r w:rsidR="003651F7">
        <w:rPr>
          <w:rFonts w:cs="Segoe UI"/>
          <w:szCs w:val="17"/>
        </w:rPr>
        <w:t>Health New Zealand</w:t>
      </w:r>
      <w:r w:rsidR="00B57547">
        <w:rPr>
          <w:rFonts w:cs="Segoe UI"/>
          <w:szCs w:val="17"/>
        </w:rPr>
        <w:t xml:space="preserve"> - </w:t>
      </w:r>
      <w:proofErr w:type="spellStart"/>
      <w:r w:rsidR="003651F7" w:rsidRPr="003651F7">
        <w:rPr>
          <w:rFonts w:cs="Segoe UI"/>
          <w:szCs w:val="17"/>
        </w:rPr>
        <w:t>Te</w:t>
      </w:r>
      <w:proofErr w:type="spellEnd"/>
      <w:r w:rsidR="003651F7" w:rsidRPr="003651F7">
        <w:rPr>
          <w:rFonts w:cs="Segoe UI"/>
          <w:szCs w:val="17"/>
        </w:rPr>
        <w:t xml:space="preserve"> </w:t>
      </w:r>
      <w:proofErr w:type="spellStart"/>
      <w:r w:rsidR="003651F7" w:rsidRPr="003651F7">
        <w:rPr>
          <w:rFonts w:cs="Segoe UI"/>
          <w:szCs w:val="17"/>
        </w:rPr>
        <w:t>Whatu</w:t>
      </w:r>
      <w:proofErr w:type="spellEnd"/>
      <w:r w:rsidR="003651F7" w:rsidRPr="003651F7">
        <w:rPr>
          <w:rFonts w:cs="Segoe UI"/>
          <w:szCs w:val="17"/>
        </w:rPr>
        <w:t xml:space="preserve"> Ora</w:t>
      </w:r>
      <w:r w:rsidR="003651F7">
        <w:rPr>
          <w:rFonts w:cs="Segoe UI"/>
          <w:szCs w:val="17"/>
        </w:rPr>
        <w:t>. (</w:t>
      </w:r>
      <w:proofErr w:type="spellStart"/>
      <w:r w:rsidR="003651F7">
        <w:rPr>
          <w:rFonts w:cs="Segoe UI"/>
          <w:szCs w:val="17"/>
        </w:rPr>
        <w:t>nd</w:t>
      </w:r>
      <w:proofErr w:type="spellEnd"/>
      <w:r w:rsidR="003651F7">
        <w:rPr>
          <w:rFonts w:cs="Segoe UI"/>
          <w:szCs w:val="17"/>
        </w:rPr>
        <w:t xml:space="preserve">). </w:t>
      </w:r>
      <w:r w:rsidR="003651F7" w:rsidRPr="00712E11">
        <w:rPr>
          <w:rFonts w:cs="Segoe UI"/>
          <w:i/>
          <w:iCs/>
          <w:szCs w:val="17"/>
        </w:rPr>
        <w:t>Ventilation</w:t>
      </w:r>
      <w:r w:rsidR="003651F7">
        <w:rPr>
          <w:rFonts w:cs="Segoe UI"/>
          <w:szCs w:val="17"/>
        </w:rPr>
        <w:t xml:space="preserve">. </w:t>
      </w:r>
      <w:r w:rsidR="00990E1E" w:rsidRPr="003651F7">
        <w:rPr>
          <w:rFonts w:cs="Segoe UI"/>
          <w:szCs w:val="17"/>
        </w:rPr>
        <w:t xml:space="preserve">URL: </w:t>
      </w:r>
      <w:hyperlink r:id="rId4" w:history="1">
        <w:r w:rsidR="007F22AB" w:rsidRPr="003651F7">
          <w:rPr>
            <w:rStyle w:val="Hyperlink"/>
            <w:bCs/>
            <w:szCs w:val="17"/>
          </w:rPr>
          <w:t>info.health.nz/keeping-healthy/healthy-homes-</w:t>
        </w:r>
        <w:r w:rsidR="007F22AB" w:rsidRPr="003651F7">
          <w:rPr>
            <w:rStyle w:val="Hyperlink"/>
            <w:szCs w:val="17"/>
          </w:rPr>
          <w:t>environments/ventilation</w:t>
        </w:r>
      </w:hyperlink>
      <w:r w:rsidRPr="003651F7">
        <w:rPr>
          <w:rFonts w:cs="Segoe UI"/>
          <w:szCs w:val="17"/>
        </w:rPr>
        <w:t xml:space="preserve"> </w:t>
      </w:r>
      <w:r w:rsidR="003651F7" w:rsidRPr="003651F7">
        <w:rPr>
          <w:rFonts w:cs="Segoe UI"/>
          <w:szCs w:val="17"/>
        </w:rPr>
        <w:t>(accessed 9 July 2025)</w:t>
      </w:r>
      <w:r w:rsidR="003651F7">
        <w:rPr>
          <w:rFonts w:cs="Segoe UI"/>
          <w:szCs w:val="17"/>
        </w:rPr>
        <w:t>.</w:t>
      </w:r>
    </w:p>
  </w:footnote>
  <w:footnote w:id="5">
    <w:p w14:paraId="2E6A8217" w14:textId="525D9D61" w:rsidR="008F7674" w:rsidRPr="003651F7" w:rsidRDefault="008F7674" w:rsidP="008F7674">
      <w:pPr>
        <w:pStyle w:val="FootnoteText"/>
        <w:rPr>
          <w:szCs w:val="17"/>
        </w:rPr>
      </w:pPr>
      <w:r w:rsidRPr="003651F7">
        <w:rPr>
          <w:rStyle w:val="FootnoteReference"/>
          <w:szCs w:val="17"/>
        </w:rPr>
        <w:footnoteRef/>
      </w:r>
      <w:r w:rsidRPr="003651F7">
        <w:rPr>
          <w:szCs w:val="17"/>
        </w:rPr>
        <w:t xml:space="preserve"> </w:t>
      </w:r>
      <w:r w:rsidR="007F22AB" w:rsidRPr="003651F7">
        <w:rPr>
          <w:szCs w:val="17"/>
        </w:rPr>
        <w:tab/>
      </w:r>
      <w:proofErr w:type="spellStart"/>
      <w:r w:rsidR="003651F7" w:rsidRPr="003651F7">
        <w:rPr>
          <w:szCs w:val="17"/>
        </w:rPr>
        <w:t>Te</w:t>
      </w:r>
      <w:proofErr w:type="spellEnd"/>
      <w:r w:rsidR="003651F7" w:rsidRPr="003651F7">
        <w:rPr>
          <w:szCs w:val="17"/>
        </w:rPr>
        <w:t xml:space="preserve"> </w:t>
      </w:r>
      <w:proofErr w:type="spellStart"/>
      <w:r w:rsidR="003651F7" w:rsidRPr="003651F7">
        <w:rPr>
          <w:szCs w:val="17"/>
        </w:rPr>
        <w:t>Kāhui</w:t>
      </w:r>
      <w:proofErr w:type="spellEnd"/>
      <w:r w:rsidR="003651F7" w:rsidRPr="003651F7">
        <w:rPr>
          <w:szCs w:val="17"/>
        </w:rPr>
        <w:t xml:space="preserve"> Tika </w:t>
      </w:r>
      <w:proofErr w:type="spellStart"/>
      <w:r w:rsidR="003651F7" w:rsidRPr="003651F7">
        <w:rPr>
          <w:szCs w:val="17"/>
        </w:rPr>
        <w:t>Tangata</w:t>
      </w:r>
      <w:proofErr w:type="spellEnd"/>
      <w:r w:rsidR="003651F7" w:rsidRPr="003651F7">
        <w:rPr>
          <w:szCs w:val="17"/>
        </w:rPr>
        <w:t xml:space="preserve"> </w:t>
      </w:r>
      <w:r w:rsidR="003651F7">
        <w:rPr>
          <w:szCs w:val="17"/>
        </w:rPr>
        <w:t xml:space="preserve">| </w:t>
      </w:r>
      <w:r w:rsidR="003651F7" w:rsidRPr="003651F7">
        <w:rPr>
          <w:szCs w:val="17"/>
        </w:rPr>
        <w:t>Human Rights Commission</w:t>
      </w:r>
      <w:r w:rsidR="003651F7">
        <w:rPr>
          <w:szCs w:val="17"/>
        </w:rPr>
        <w:t xml:space="preserve">. 2023. </w:t>
      </w:r>
      <w:r w:rsidR="003651F7" w:rsidRPr="003651F7">
        <w:rPr>
          <w:i/>
          <w:iCs/>
          <w:szCs w:val="17"/>
        </w:rPr>
        <w:t>Disability Assist Dogs and Rights of Access.</w:t>
      </w:r>
      <w:r w:rsidR="003651F7">
        <w:rPr>
          <w:szCs w:val="17"/>
        </w:rPr>
        <w:t xml:space="preserve"> </w:t>
      </w:r>
      <w:r w:rsidR="00990E1E" w:rsidRPr="003651F7">
        <w:rPr>
          <w:rFonts w:cs="Segoe UI"/>
          <w:szCs w:val="17"/>
        </w:rPr>
        <w:t xml:space="preserve">URL: </w:t>
      </w:r>
      <w:hyperlink r:id="rId5" w:history="1">
        <w:r w:rsidR="007F22AB" w:rsidRPr="003651F7">
          <w:rPr>
            <w:rStyle w:val="Hyperlink"/>
            <w:szCs w:val="17"/>
          </w:rPr>
          <w:t>tikatangata.org.nz/resources-and-support/guidelines/disability-assist-dogs-and-rights-of-access</w:t>
        </w:r>
      </w:hyperlink>
      <w:r w:rsidR="003651F7">
        <w:rPr>
          <w:szCs w:val="17"/>
        </w:rPr>
        <w:t xml:space="preserve"> </w:t>
      </w:r>
      <w:r w:rsidR="003651F7" w:rsidRPr="003651F7">
        <w:rPr>
          <w:szCs w:val="17"/>
        </w:rPr>
        <w:t>(accessed 9 July 2025)</w:t>
      </w:r>
      <w:r w:rsidR="003651F7">
        <w:rPr>
          <w:szCs w:val="17"/>
        </w:rPr>
        <w:t>.</w:t>
      </w:r>
    </w:p>
  </w:footnote>
  <w:footnote w:id="6">
    <w:p w14:paraId="3F3561C2" w14:textId="77777777" w:rsidR="000252FF" w:rsidRPr="003651F7" w:rsidRDefault="000252FF" w:rsidP="000252FF">
      <w:pPr>
        <w:pStyle w:val="FootnoteText"/>
        <w:rPr>
          <w:b/>
          <w:bCs/>
          <w:i/>
          <w:iCs/>
          <w:szCs w:val="17"/>
        </w:rPr>
      </w:pPr>
      <w:r w:rsidRPr="003651F7">
        <w:rPr>
          <w:rStyle w:val="FootnoteReference"/>
          <w:rFonts w:cs="Segoe UI"/>
          <w:szCs w:val="17"/>
        </w:rPr>
        <w:footnoteRef/>
      </w:r>
      <w:r w:rsidRPr="003651F7">
        <w:rPr>
          <w:szCs w:val="17"/>
        </w:rPr>
        <w:t xml:space="preserve"> </w:t>
      </w:r>
      <w:r w:rsidRPr="003651F7">
        <w:rPr>
          <w:szCs w:val="17"/>
        </w:rPr>
        <w:tab/>
        <w:t>This section is based on guidance provided by the Department of Health in Western Australia:</w:t>
      </w:r>
      <w:r w:rsidRPr="003651F7">
        <w:rPr>
          <w:szCs w:val="17"/>
        </w:rPr>
        <w:br/>
        <w:t xml:space="preserve">Government of Western Australia, Department of Health. 2024. </w:t>
      </w:r>
      <w:r w:rsidRPr="003651F7">
        <w:rPr>
          <w:i/>
          <w:iCs/>
          <w:szCs w:val="17"/>
        </w:rPr>
        <w:t>Guideline for the Management of Public Health Risks Associated with the Hairdressing and Barber Industry</w:t>
      </w:r>
      <w:r w:rsidRPr="003651F7">
        <w:rPr>
          <w:szCs w:val="17"/>
        </w:rPr>
        <w:t xml:space="preserve">. </w:t>
      </w:r>
      <w:r w:rsidRPr="003651F7">
        <w:rPr>
          <w:rFonts w:cs="Segoe UI"/>
          <w:szCs w:val="17"/>
        </w:rPr>
        <w:t xml:space="preserve">URL: </w:t>
      </w:r>
      <w:hyperlink r:id="rId6" w:history="1">
        <w:r w:rsidRPr="00C8215C">
          <w:rPr>
            <w:rStyle w:val="Hyperlink"/>
            <w:rFonts w:cs="Segoe UI"/>
            <w:szCs w:val="17"/>
          </w:rPr>
          <w:t>health.wa.gov.au/Articles/F_I/Hairdressers-and-barbers</w:t>
        </w:r>
      </w:hyperlink>
      <w:r>
        <w:rPr>
          <w:rFonts w:cs="Segoe UI"/>
          <w:szCs w:val="17"/>
        </w:rPr>
        <w:t xml:space="preserve"> </w:t>
      </w:r>
      <w:r w:rsidRPr="003651F7">
        <w:rPr>
          <w:rFonts w:cs="Segoe UI"/>
          <w:szCs w:val="17"/>
        </w:rPr>
        <w:t>(accessed 9 July 2025)</w:t>
      </w:r>
      <w:r>
        <w:rPr>
          <w:rFonts w:cs="Segoe UI"/>
          <w:szCs w:val="17"/>
        </w:rPr>
        <w:t>.</w:t>
      </w:r>
    </w:p>
  </w:footnote>
  <w:footnote w:id="7">
    <w:p w14:paraId="31095B64" w14:textId="77777777" w:rsidR="000252FF" w:rsidRPr="003651F7" w:rsidRDefault="000252FF" w:rsidP="000252FF">
      <w:pPr>
        <w:pStyle w:val="FootnoteText"/>
        <w:rPr>
          <w:szCs w:val="17"/>
        </w:rPr>
      </w:pPr>
      <w:r w:rsidRPr="003651F7">
        <w:rPr>
          <w:rStyle w:val="FootnoteReference"/>
          <w:szCs w:val="17"/>
        </w:rPr>
        <w:footnoteRef/>
      </w:r>
      <w:r w:rsidRPr="003651F7">
        <w:rPr>
          <w:szCs w:val="17"/>
        </w:rPr>
        <w:t xml:space="preserve"> </w:t>
      </w:r>
      <w:r w:rsidRPr="003651F7">
        <w:rPr>
          <w:szCs w:val="17"/>
        </w:rPr>
        <w:tab/>
        <w:t xml:space="preserve">Under the Spaulding classification scheme, ‘critical items’ are those that enter sterile tissue or vascular tissue and must be sterile as they have a high risk of infection if contaminated with a microorganism, ‘semi-critical items’ are those that contact mucous membranes or non-intact skin and require cleaning and high-level disinfection, and ‘non-critical items’ are those that come into contact with intact skin only. For further details see: </w:t>
      </w:r>
      <w:r w:rsidRPr="003651F7">
        <w:rPr>
          <w:szCs w:val="17"/>
        </w:rPr>
        <w:br/>
      </w:r>
      <w:proofErr w:type="spellStart"/>
      <w:r w:rsidRPr="003651F7">
        <w:rPr>
          <w:szCs w:val="17"/>
        </w:rPr>
        <w:t>Rutala</w:t>
      </w:r>
      <w:proofErr w:type="spellEnd"/>
      <w:r w:rsidRPr="003651F7">
        <w:rPr>
          <w:szCs w:val="17"/>
        </w:rPr>
        <w:t xml:space="preserve"> WA, Weber DJ. 2019. Guideline for disinfection and sterilization of prion-contaminated medical instruments.</w:t>
      </w:r>
      <w:r>
        <w:rPr>
          <w:szCs w:val="17"/>
        </w:rPr>
        <w:t xml:space="preserve"> </w:t>
      </w:r>
      <w:r w:rsidRPr="003651F7">
        <w:rPr>
          <w:i/>
          <w:iCs/>
          <w:szCs w:val="17"/>
        </w:rPr>
        <w:t>Infection Control &amp; Hospital Epidemiology</w:t>
      </w:r>
      <w:r w:rsidRPr="003651F7">
        <w:rPr>
          <w:szCs w:val="17"/>
        </w:rPr>
        <w:t>, </w:t>
      </w:r>
      <w:r w:rsidRPr="003651F7">
        <w:rPr>
          <w:i/>
          <w:iCs/>
          <w:szCs w:val="17"/>
        </w:rPr>
        <w:t>31</w:t>
      </w:r>
      <w:r w:rsidRPr="003651F7">
        <w:rPr>
          <w:szCs w:val="17"/>
        </w:rPr>
        <w:t>(2), 107–117.</w:t>
      </w:r>
      <w:r>
        <w:rPr>
          <w:szCs w:val="17"/>
        </w:rPr>
        <w:t xml:space="preserve"> </w:t>
      </w:r>
      <w:hyperlink r:id="rId7" w:history="1">
        <w:r w:rsidRPr="00C8215C">
          <w:rPr>
            <w:rStyle w:val="Hyperlink"/>
            <w:szCs w:val="17"/>
          </w:rPr>
          <w:t>doi.org/10.1086/650197</w:t>
        </w:r>
      </w:hyperlink>
    </w:p>
  </w:footnote>
  <w:footnote w:id="8">
    <w:p w14:paraId="6303A83B" w14:textId="6F7082E6" w:rsidR="0097019F" w:rsidRPr="003651F7" w:rsidRDefault="0097019F" w:rsidP="0097019F">
      <w:pPr>
        <w:pStyle w:val="FootnoteText"/>
        <w:rPr>
          <w:szCs w:val="17"/>
        </w:rPr>
      </w:pPr>
      <w:r w:rsidRPr="003651F7">
        <w:rPr>
          <w:rStyle w:val="FootnoteReference"/>
          <w:szCs w:val="17"/>
        </w:rPr>
        <w:footnoteRef/>
      </w:r>
      <w:r w:rsidRPr="003651F7">
        <w:rPr>
          <w:szCs w:val="17"/>
        </w:rPr>
        <w:t xml:space="preserve"> </w:t>
      </w:r>
      <w:r w:rsidR="007578CC" w:rsidRPr="003651F7">
        <w:rPr>
          <w:szCs w:val="17"/>
        </w:rPr>
        <w:tab/>
      </w:r>
      <w:r w:rsidRPr="003651F7">
        <w:rPr>
          <w:szCs w:val="17"/>
        </w:rPr>
        <w:t>Department of Health</w:t>
      </w:r>
      <w:r w:rsidR="00826CEF" w:rsidRPr="003651F7">
        <w:rPr>
          <w:szCs w:val="17"/>
        </w:rPr>
        <w:t xml:space="preserve"> and Human Services</w:t>
      </w:r>
      <w:r w:rsidRPr="003651F7">
        <w:rPr>
          <w:szCs w:val="17"/>
        </w:rPr>
        <w:t>. 2019. </w:t>
      </w:r>
      <w:r w:rsidRPr="003651F7">
        <w:rPr>
          <w:i/>
          <w:iCs/>
          <w:szCs w:val="17"/>
        </w:rPr>
        <w:t xml:space="preserve">Infection </w:t>
      </w:r>
      <w:r w:rsidR="00AB4070" w:rsidRPr="003651F7">
        <w:rPr>
          <w:i/>
          <w:iCs/>
          <w:szCs w:val="17"/>
        </w:rPr>
        <w:t>P</w:t>
      </w:r>
      <w:r w:rsidRPr="003651F7">
        <w:rPr>
          <w:i/>
          <w:iCs/>
          <w:szCs w:val="17"/>
        </w:rPr>
        <w:t xml:space="preserve">revention and </w:t>
      </w:r>
      <w:r w:rsidR="00AB4070" w:rsidRPr="003651F7">
        <w:rPr>
          <w:i/>
          <w:iCs/>
          <w:szCs w:val="17"/>
        </w:rPr>
        <w:t>C</w:t>
      </w:r>
      <w:r w:rsidRPr="003651F7">
        <w:rPr>
          <w:i/>
          <w:iCs/>
          <w:szCs w:val="17"/>
        </w:rPr>
        <w:t xml:space="preserve">ontrol </w:t>
      </w:r>
      <w:r w:rsidR="00AB4070" w:rsidRPr="003651F7">
        <w:rPr>
          <w:i/>
          <w:iCs/>
          <w:szCs w:val="17"/>
        </w:rPr>
        <w:t>G</w:t>
      </w:r>
      <w:r w:rsidRPr="003651F7">
        <w:rPr>
          <w:i/>
          <w:iCs/>
          <w:szCs w:val="17"/>
        </w:rPr>
        <w:t xml:space="preserve">uidelines for </w:t>
      </w:r>
      <w:r w:rsidR="00AB4070" w:rsidRPr="003651F7">
        <w:rPr>
          <w:i/>
          <w:iCs/>
          <w:szCs w:val="17"/>
        </w:rPr>
        <w:t>H</w:t>
      </w:r>
      <w:r w:rsidRPr="003651F7">
        <w:rPr>
          <w:i/>
          <w:iCs/>
          <w:szCs w:val="17"/>
        </w:rPr>
        <w:t xml:space="preserve">air, </w:t>
      </w:r>
      <w:r w:rsidR="00AB4070" w:rsidRPr="003651F7">
        <w:rPr>
          <w:i/>
          <w:iCs/>
          <w:szCs w:val="17"/>
        </w:rPr>
        <w:t>B</w:t>
      </w:r>
      <w:r w:rsidRPr="003651F7">
        <w:rPr>
          <w:i/>
          <w:iCs/>
          <w:szCs w:val="17"/>
        </w:rPr>
        <w:t xml:space="preserve">eauty, </w:t>
      </w:r>
      <w:r w:rsidR="00AB4070" w:rsidRPr="003651F7">
        <w:rPr>
          <w:i/>
          <w:iCs/>
          <w:szCs w:val="17"/>
        </w:rPr>
        <w:t>T</w:t>
      </w:r>
      <w:r w:rsidRPr="003651F7">
        <w:rPr>
          <w:i/>
          <w:iCs/>
          <w:szCs w:val="17"/>
        </w:rPr>
        <w:t xml:space="preserve">attooing and </w:t>
      </w:r>
      <w:r w:rsidR="00AB4070" w:rsidRPr="003651F7">
        <w:rPr>
          <w:i/>
          <w:iCs/>
          <w:szCs w:val="17"/>
        </w:rPr>
        <w:t>S</w:t>
      </w:r>
      <w:r w:rsidRPr="003651F7">
        <w:rPr>
          <w:i/>
          <w:iCs/>
          <w:szCs w:val="17"/>
        </w:rPr>
        <w:t xml:space="preserve">kin </w:t>
      </w:r>
      <w:r w:rsidR="00AB4070" w:rsidRPr="003651F7">
        <w:rPr>
          <w:i/>
          <w:iCs/>
          <w:szCs w:val="17"/>
        </w:rPr>
        <w:t>P</w:t>
      </w:r>
      <w:r w:rsidRPr="003651F7">
        <w:rPr>
          <w:i/>
          <w:iCs/>
          <w:szCs w:val="17"/>
        </w:rPr>
        <w:t xml:space="preserve">enetration </w:t>
      </w:r>
      <w:r w:rsidR="00AB4070" w:rsidRPr="003651F7">
        <w:rPr>
          <w:i/>
          <w:iCs/>
          <w:szCs w:val="17"/>
        </w:rPr>
        <w:t>I</w:t>
      </w:r>
      <w:r w:rsidRPr="003651F7">
        <w:rPr>
          <w:i/>
          <w:iCs/>
          <w:szCs w:val="17"/>
        </w:rPr>
        <w:t>ndustries</w:t>
      </w:r>
      <w:r w:rsidRPr="003651F7">
        <w:rPr>
          <w:szCs w:val="17"/>
        </w:rPr>
        <w:t>. </w:t>
      </w:r>
      <w:r w:rsidR="001E03A5" w:rsidRPr="003651F7">
        <w:rPr>
          <w:szCs w:val="17"/>
        </w:rPr>
        <w:t xml:space="preserve">URL: </w:t>
      </w:r>
      <w:hyperlink r:id="rId8" w:history="1">
        <w:r w:rsidR="00AF686D" w:rsidRPr="003651F7">
          <w:rPr>
            <w:rStyle w:val="Hyperlink"/>
            <w:szCs w:val="17"/>
          </w:rPr>
          <w:t>health.vic.gov.au/publications/infection-prevention-and-control-guidelines-for-hair-beauty-tattooing-and-skin</w:t>
        </w:r>
      </w:hyperlink>
      <w:r w:rsidR="00AF686D" w:rsidRPr="003651F7">
        <w:rPr>
          <w:szCs w:val="17"/>
        </w:rPr>
        <w:t xml:space="preserve"> </w:t>
      </w:r>
      <w:r w:rsidR="001E03A5" w:rsidRPr="003651F7">
        <w:rPr>
          <w:szCs w:val="17"/>
        </w:rPr>
        <w:t>(accessed 9 July 2025).</w:t>
      </w:r>
    </w:p>
  </w:footnote>
  <w:footnote w:id="9">
    <w:p w14:paraId="1E59C9E9" w14:textId="7F122063" w:rsidR="0097019F" w:rsidRPr="003651F7" w:rsidRDefault="0097019F" w:rsidP="0097019F">
      <w:pPr>
        <w:pStyle w:val="FootnoteText"/>
        <w:rPr>
          <w:szCs w:val="17"/>
        </w:rPr>
      </w:pPr>
      <w:r w:rsidRPr="003651F7">
        <w:rPr>
          <w:rStyle w:val="FootnoteReference"/>
          <w:szCs w:val="17"/>
        </w:rPr>
        <w:footnoteRef/>
      </w:r>
      <w:r w:rsidRPr="003651F7">
        <w:rPr>
          <w:szCs w:val="17"/>
        </w:rPr>
        <w:t xml:space="preserve"> </w:t>
      </w:r>
      <w:r w:rsidR="007578CC" w:rsidRPr="003651F7">
        <w:rPr>
          <w:szCs w:val="17"/>
        </w:rPr>
        <w:tab/>
      </w:r>
      <w:r w:rsidR="003651F7" w:rsidRPr="003651F7">
        <w:rPr>
          <w:szCs w:val="17"/>
        </w:rPr>
        <w:t xml:space="preserve">Government of Western Australia, Department of Health. 2024. </w:t>
      </w:r>
      <w:r w:rsidR="003651F7" w:rsidRPr="003651F7">
        <w:rPr>
          <w:i/>
          <w:iCs/>
          <w:szCs w:val="17"/>
        </w:rPr>
        <w:t>Guideline for the Management of Public Health Risks Associated with the Hairdressing and Barber Industry</w:t>
      </w:r>
      <w:r w:rsidR="003651F7" w:rsidRPr="003651F7">
        <w:rPr>
          <w:szCs w:val="17"/>
        </w:rPr>
        <w:t xml:space="preserve">. </w:t>
      </w:r>
      <w:r w:rsidR="003651F7" w:rsidRPr="003651F7">
        <w:rPr>
          <w:rFonts w:cs="Segoe UI"/>
          <w:szCs w:val="17"/>
        </w:rPr>
        <w:t xml:space="preserve">URL: </w:t>
      </w:r>
      <w:hyperlink r:id="rId9" w:history="1">
        <w:r w:rsidR="003651F7" w:rsidRPr="00C8215C">
          <w:rPr>
            <w:rStyle w:val="Hyperlink"/>
            <w:rFonts w:cs="Segoe UI"/>
            <w:szCs w:val="17"/>
          </w:rPr>
          <w:t>health.wa.gov.au/Articles/F_I/Hairdressers-and-barbers</w:t>
        </w:r>
      </w:hyperlink>
      <w:r w:rsidR="003651F7">
        <w:rPr>
          <w:rFonts w:cs="Segoe UI"/>
          <w:szCs w:val="17"/>
        </w:rPr>
        <w:t xml:space="preserve"> </w:t>
      </w:r>
      <w:r w:rsidR="003651F7" w:rsidRPr="003651F7">
        <w:rPr>
          <w:rFonts w:cs="Segoe UI"/>
          <w:szCs w:val="17"/>
        </w:rPr>
        <w:t>(accessed 9 July 2025)</w:t>
      </w:r>
      <w:r w:rsidR="003651F7">
        <w:rPr>
          <w:rFonts w:cs="Segoe UI"/>
          <w:szCs w:val="17"/>
        </w:rPr>
        <w:t>.</w:t>
      </w:r>
    </w:p>
  </w:footnote>
  <w:footnote w:id="10">
    <w:p w14:paraId="75A3A763" w14:textId="14CF1B45" w:rsidR="0097019F" w:rsidRPr="003651F7" w:rsidRDefault="0097019F" w:rsidP="0097019F">
      <w:pPr>
        <w:pStyle w:val="FootnoteText"/>
        <w:rPr>
          <w:rFonts w:cs="Segoe UI"/>
          <w:szCs w:val="17"/>
        </w:rPr>
      </w:pPr>
      <w:r w:rsidRPr="003651F7">
        <w:rPr>
          <w:rStyle w:val="FootnoteReference"/>
          <w:rFonts w:cs="Segoe UI"/>
          <w:szCs w:val="17"/>
        </w:rPr>
        <w:footnoteRef/>
      </w:r>
      <w:r w:rsidRPr="003651F7">
        <w:rPr>
          <w:rFonts w:cs="Segoe UI"/>
          <w:szCs w:val="17"/>
        </w:rPr>
        <w:t xml:space="preserve"> </w:t>
      </w:r>
      <w:r w:rsidR="00C5761F" w:rsidRPr="003651F7">
        <w:rPr>
          <w:rFonts w:cs="Segoe UI"/>
          <w:szCs w:val="17"/>
        </w:rPr>
        <w:tab/>
      </w:r>
      <w:r w:rsidRPr="003651F7">
        <w:rPr>
          <w:rFonts w:cs="Segoe UI"/>
          <w:szCs w:val="17"/>
        </w:rPr>
        <w:t xml:space="preserve">This section is based on guidance provided in Western Australia: </w:t>
      </w:r>
      <w:r w:rsidR="00DA4356" w:rsidRPr="003651F7">
        <w:rPr>
          <w:rFonts w:cs="Segoe UI"/>
          <w:szCs w:val="17"/>
        </w:rPr>
        <w:br/>
      </w:r>
      <w:r w:rsidR="003651F7" w:rsidRPr="003651F7">
        <w:rPr>
          <w:szCs w:val="17"/>
        </w:rPr>
        <w:t xml:space="preserve">Government of Western Australia, Department of Health. 2024. </w:t>
      </w:r>
      <w:r w:rsidR="003651F7" w:rsidRPr="003651F7">
        <w:rPr>
          <w:i/>
          <w:iCs/>
          <w:szCs w:val="17"/>
        </w:rPr>
        <w:t>Guideline for the Management of Public Health Risks Associated with the Hairdressing and Barber Industry</w:t>
      </w:r>
      <w:r w:rsidR="003651F7" w:rsidRPr="003651F7">
        <w:rPr>
          <w:szCs w:val="17"/>
        </w:rPr>
        <w:t xml:space="preserve">. </w:t>
      </w:r>
      <w:r w:rsidR="003651F7" w:rsidRPr="003651F7">
        <w:rPr>
          <w:rFonts w:cs="Segoe UI"/>
          <w:szCs w:val="17"/>
        </w:rPr>
        <w:t xml:space="preserve">URL: </w:t>
      </w:r>
      <w:hyperlink r:id="rId10" w:history="1">
        <w:r w:rsidR="003651F7" w:rsidRPr="00C8215C">
          <w:rPr>
            <w:rStyle w:val="Hyperlink"/>
            <w:rFonts w:cs="Segoe UI"/>
            <w:szCs w:val="17"/>
          </w:rPr>
          <w:t>health.wa.gov.au/Articles/F_I/Hairdressers-and-barbers</w:t>
        </w:r>
      </w:hyperlink>
      <w:r w:rsidR="003651F7">
        <w:rPr>
          <w:rFonts w:cs="Segoe UI"/>
          <w:szCs w:val="17"/>
        </w:rPr>
        <w:t xml:space="preserve"> </w:t>
      </w:r>
      <w:r w:rsidR="003651F7" w:rsidRPr="003651F7">
        <w:rPr>
          <w:rFonts w:cs="Segoe UI"/>
          <w:szCs w:val="17"/>
        </w:rPr>
        <w:t>(accessed 9 July 2025)</w:t>
      </w:r>
      <w:r w:rsidR="003651F7">
        <w:rPr>
          <w:rFonts w:cs="Segoe UI"/>
          <w:szCs w:val="17"/>
        </w:rPr>
        <w:t>.</w:t>
      </w:r>
    </w:p>
  </w:footnote>
  <w:footnote w:id="11">
    <w:p w14:paraId="22598690" w14:textId="13D706F7" w:rsidR="0097019F" w:rsidRPr="003651F7" w:rsidRDefault="0097019F" w:rsidP="0097019F">
      <w:pPr>
        <w:pStyle w:val="FootnoteText"/>
        <w:rPr>
          <w:rFonts w:cs="Segoe UI"/>
          <w:szCs w:val="17"/>
        </w:rPr>
      </w:pPr>
      <w:r w:rsidRPr="003651F7">
        <w:rPr>
          <w:rStyle w:val="FootnoteReference"/>
          <w:rFonts w:cs="Segoe UI"/>
          <w:szCs w:val="17"/>
        </w:rPr>
        <w:footnoteRef/>
      </w:r>
      <w:r w:rsidRPr="003651F7">
        <w:rPr>
          <w:rFonts w:cs="Segoe UI"/>
          <w:szCs w:val="17"/>
        </w:rPr>
        <w:t xml:space="preserve"> </w:t>
      </w:r>
      <w:r w:rsidR="007D5717" w:rsidRPr="003651F7">
        <w:rPr>
          <w:rFonts w:cs="Segoe UI"/>
          <w:szCs w:val="17"/>
        </w:rPr>
        <w:tab/>
      </w:r>
      <w:r w:rsidRPr="003651F7">
        <w:rPr>
          <w:rFonts w:cs="Segoe UI"/>
          <w:szCs w:val="17"/>
        </w:rPr>
        <w:t xml:space="preserve">This section is based on guidance provided in Western Australia: </w:t>
      </w:r>
      <w:r w:rsidR="00A57D31" w:rsidRPr="003651F7">
        <w:rPr>
          <w:rFonts w:cs="Segoe UI"/>
          <w:szCs w:val="17"/>
        </w:rPr>
        <w:br/>
      </w:r>
      <w:r w:rsidR="003651F7" w:rsidRPr="003651F7">
        <w:rPr>
          <w:szCs w:val="17"/>
        </w:rPr>
        <w:t xml:space="preserve">Government of Western Australia, Department of Health. 2024. </w:t>
      </w:r>
      <w:r w:rsidR="003651F7" w:rsidRPr="003651F7">
        <w:rPr>
          <w:i/>
          <w:iCs/>
          <w:szCs w:val="17"/>
        </w:rPr>
        <w:t>Guideline for the Management of Public Health Risks Associated with the Hairdressing and Barber Industry</w:t>
      </w:r>
      <w:r w:rsidR="003651F7" w:rsidRPr="003651F7">
        <w:rPr>
          <w:szCs w:val="17"/>
        </w:rPr>
        <w:t xml:space="preserve">. </w:t>
      </w:r>
      <w:r w:rsidR="003651F7" w:rsidRPr="003651F7">
        <w:rPr>
          <w:rFonts w:cs="Segoe UI"/>
          <w:szCs w:val="17"/>
        </w:rPr>
        <w:t xml:space="preserve">URL: </w:t>
      </w:r>
      <w:hyperlink r:id="rId11" w:history="1">
        <w:r w:rsidR="003651F7" w:rsidRPr="00C8215C">
          <w:rPr>
            <w:rStyle w:val="Hyperlink"/>
            <w:rFonts w:cs="Segoe UI"/>
            <w:szCs w:val="17"/>
          </w:rPr>
          <w:t>health.wa.gov.au/Articles/F_I/Hairdressers-and-barbers</w:t>
        </w:r>
      </w:hyperlink>
      <w:r w:rsidR="003651F7">
        <w:rPr>
          <w:rFonts w:cs="Segoe UI"/>
          <w:szCs w:val="17"/>
        </w:rPr>
        <w:t xml:space="preserve"> </w:t>
      </w:r>
      <w:r w:rsidR="003651F7" w:rsidRPr="003651F7">
        <w:rPr>
          <w:rFonts w:cs="Segoe UI"/>
          <w:szCs w:val="17"/>
        </w:rPr>
        <w:t>(accessed 9 July 2025)</w:t>
      </w:r>
      <w:r w:rsidR="003651F7">
        <w:rPr>
          <w:rFonts w:cs="Segoe UI"/>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A" w14:textId="1EA80326" w:rsidR="00105770" w:rsidRPr="00754A43" w:rsidRDefault="00514523" w:rsidP="00754A43">
    <w:pPr>
      <w:pStyle w:val="Header"/>
    </w:pPr>
    <w:r>
      <w:rPr>
        <w:noProof/>
      </w:rPr>
      <w:drawing>
        <wp:anchor distT="0" distB="0" distL="114300" distR="114300" simplePos="0" relativeHeight="251660288" behindDoc="1" locked="0" layoutInCell="1" allowOverlap="1" wp14:anchorId="466F9DB9" wp14:editId="26851108">
          <wp:simplePos x="0" y="0"/>
          <wp:positionH relativeFrom="column">
            <wp:posOffset>-412673</wp:posOffset>
          </wp:positionH>
          <wp:positionV relativeFrom="paragraph">
            <wp:posOffset>-75158</wp:posOffset>
          </wp:positionV>
          <wp:extent cx="2032283" cy="570586"/>
          <wp:effectExtent l="0" t="0" r="0" b="0"/>
          <wp:wrapNone/>
          <wp:docPr id="1033831922" name="Picture 1"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31922" name="Picture 1" descr="Public Health Agency logo"/>
                  <pic:cNvPicPr/>
                </pic:nvPicPr>
                <pic:blipFill>
                  <a:blip r:embed="rId1"/>
                  <a:stretch>
                    <a:fillRect/>
                  </a:stretch>
                </pic:blipFill>
                <pic:spPr>
                  <a:xfrm>
                    <a:off x="0" y="0"/>
                    <a:ext cx="2032283" cy="5705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261A3D0" wp14:editId="31FDD9E4">
          <wp:simplePos x="0" y="0"/>
          <wp:positionH relativeFrom="column">
            <wp:posOffset>5066474</wp:posOffset>
          </wp:positionH>
          <wp:positionV relativeFrom="paragraph">
            <wp:posOffset>-74905</wp:posOffset>
          </wp:positionV>
          <wp:extent cx="1488542" cy="705744"/>
          <wp:effectExtent l="0" t="0" r="0" b="0"/>
          <wp:wrapNone/>
          <wp:docPr id="143587614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76142" name="Picture 2" descr="Ministry of Health logo"/>
                  <pic:cNvPicPr/>
                </pic:nvPicPr>
                <pic:blipFill>
                  <a:blip r:embed="rId2"/>
                  <a:stretch>
                    <a:fillRect/>
                  </a:stretch>
                </pic:blipFill>
                <pic:spPr>
                  <a:xfrm>
                    <a:off x="0" y="0"/>
                    <a:ext cx="1488542" cy="70574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A342" w14:textId="77777777" w:rsidR="00212011" w:rsidRDefault="002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D849" w14:textId="22E87699" w:rsidR="00212011" w:rsidRPr="00212011" w:rsidRDefault="00212011" w:rsidP="002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C81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2E1B55"/>
    <w:multiLevelType w:val="singleLevel"/>
    <w:tmpl w:val="C75A831E"/>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3" w15:restartNumberingAfterBreak="0">
    <w:nsid w:val="23356EFD"/>
    <w:multiLevelType w:val="hybridMultilevel"/>
    <w:tmpl w:val="E640DDF0"/>
    <w:lvl w:ilvl="0" w:tplc="6164D698">
      <w:start w:val="1"/>
      <w:numFmt w:val="decimal"/>
      <w:pStyle w:val="Tablenumberedlist"/>
      <w:lvlText w:val="%1."/>
      <w:lvlJc w:val="left"/>
      <w:pPr>
        <w:ind w:left="284" w:hanging="284"/>
      </w:pPr>
      <w:rPr>
        <w:rFonts w:ascii="Segoe UI" w:hAnsi="Segoe UI" w:hint="default"/>
        <w:sz w:val="18"/>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401070"/>
    <w:multiLevelType w:val="hybridMultilevel"/>
    <w:tmpl w:val="77A2F2EE"/>
    <w:lvl w:ilvl="0" w:tplc="5CA480D0">
      <w:start w:val="1"/>
      <w:numFmt w:val="bullet"/>
      <w:pStyle w:val="Bulletsquare"/>
      <w:lvlText w:val=""/>
      <w:lvlJc w:val="left"/>
      <w:pPr>
        <w:ind w:left="851" w:hanging="284"/>
      </w:pPr>
      <w:rPr>
        <w:rFonts w:ascii="Wingdings" w:hAnsi="Wingdings" w:hint="default"/>
        <w:color w:val="auto"/>
        <w:sz w:val="21"/>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5" w15:restartNumberingAfterBreak="0">
    <w:nsid w:val="3CA71F78"/>
    <w:multiLevelType w:val="hybridMultilevel"/>
    <w:tmpl w:val="4D7E3E7A"/>
    <w:lvl w:ilvl="0" w:tplc="4F68D85A">
      <w:start w:val="1"/>
      <w:numFmt w:val="bullet"/>
      <w:pStyle w:val="Dash"/>
      <w:lvlText w:val="–"/>
      <w:lvlJc w:val="left"/>
      <w:pPr>
        <w:tabs>
          <w:tab w:val="num" w:pos="567"/>
        </w:tabs>
        <w:ind w:left="567" w:hanging="283"/>
      </w:pPr>
      <w:rPr>
        <w:rFonts w:ascii="Arial" w:hAnsi="Aria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B43A2"/>
    <w:multiLevelType w:val="hybridMultilevel"/>
    <w:tmpl w:val="B8A87C12"/>
    <w:lvl w:ilvl="0" w:tplc="14090001">
      <w:start w:val="1"/>
      <w:numFmt w:val="bullet"/>
      <w:lvlText w:val=""/>
      <w:lvlJc w:val="left"/>
      <w:pPr>
        <w:ind w:left="720" w:hanging="360"/>
      </w:pPr>
      <w:rPr>
        <w:rFonts w:ascii="Symbol" w:hAnsi="Symbol" w:hint="default"/>
      </w:rPr>
    </w:lvl>
    <w:lvl w:ilvl="1" w:tplc="E42E39F6">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876AF1"/>
    <w:multiLevelType w:val="multilevel"/>
    <w:tmpl w:val="C9101E8C"/>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8"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811C6"/>
    <w:multiLevelType w:val="multilevel"/>
    <w:tmpl w:val="C9101E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5EE52B6"/>
    <w:multiLevelType w:val="hybridMultilevel"/>
    <w:tmpl w:val="0F769DB6"/>
    <w:lvl w:ilvl="0" w:tplc="84EAA6EE">
      <w:start w:val="1"/>
      <w:numFmt w:val="decimal"/>
      <w:lvlText w:val="%1."/>
      <w:lvlJc w:val="left"/>
      <w:pPr>
        <w:ind w:left="360" w:hanging="360"/>
      </w:pPr>
      <w:rPr>
        <w:rFonts w:ascii="Segoe UI" w:hAnsi="Segoe UI" w:cs="Segoe UI"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363443"/>
    <w:multiLevelType w:val="hybridMultilevel"/>
    <w:tmpl w:val="80DE2D0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504856"/>
    <w:multiLevelType w:val="hybridMultilevel"/>
    <w:tmpl w:val="82FA0FE2"/>
    <w:lvl w:ilvl="0" w:tplc="E42E39F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C1218D3"/>
    <w:multiLevelType w:val="singleLevel"/>
    <w:tmpl w:val="990C0768"/>
    <w:lvl w:ilvl="0">
      <w:start w:val="1"/>
      <w:numFmt w:val="bullet"/>
      <w:pStyle w:val="Bullet"/>
      <w:lvlText w:val=""/>
      <w:lvlJc w:val="left"/>
      <w:pPr>
        <w:tabs>
          <w:tab w:val="num" w:pos="284"/>
        </w:tabs>
        <w:ind w:left="284" w:hanging="284"/>
      </w:pPr>
      <w:rPr>
        <w:rFonts w:ascii="Symbol" w:hAnsi="Symbol" w:hint="default"/>
        <w:sz w:val="18"/>
      </w:rPr>
    </w:lvl>
  </w:abstractNum>
  <w:num w:numId="1" w16cid:durableId="238827685">
    <w:abstractNumId w:val="13"/>
  </w:num>
  <w:num w:numId="2" w16cid:durableId="629670147">
    <w:abstractNumId w:val="5"/>
  </w:num>
  <w:num w:numId="3" w16cid:durableId="915865805">
    <w:abstractNumId w:val="8"/>
  </w:num>
  <w:num w:numId="4" w16cid:durableId="596644134">
    <w:abstractNumId w:val="2"/>
  </w:num>
  <w:num w:numId="5" w16cid:durableId="812793604">
    <w:abstractNumId w:val="1"/>
  </w:num>
  <w:num w:numId="6" w16cid:durableId="868034186">
    <w:abstractNumId w:val="6"/>
  </w:num>
  <w:num w:numId="7" w16cid:durableId="575750122">
    <w:abstractNumId w:val="4"/>
  </w:num>
  <w:num w:numId="8" w16cid:durableId="1414665678">
    <w:abstractNumId w:val="7"/>
  </w:num>
  <w:num w:numId="9" w16cid:durableId="78840655">
    <w:abstractNumId w:val="9"/>
  </w:num>
  <w:num w:numId="10" w16cid:durableId="1488210118">
    <w:abstractNumId w:val="11"/>
  </w:num>
  <w:num w:numId="11" w16cid:durableId="177549425">
    <w:abstractNumId w:val="12"/>
  </w:num>
  <w:num w:numId="12" w16cid:durableId="1832406725">
    <w:abstractNumId w:val="10"/>
  </w:num>
  <w:num w:numId="13" w16cid:durableId="3212292">
    <w:abstractNumId w:val="0"/>
  </w:num>
  <w:num w:numId="14" w16cid:durableId="1443110203">
    <w:abstractNumId w:val="3"/>
  </w:num>
  <w:num w:numId="15" w16cid:durableId="2039315439">
    <w:abstractNumId w:val="3"/>
  </w:num>
  <w:num w:numId="16" w16cid:durableId="1318919988">
    <w:abstractNumId w:val="3"/>
  </w:num>
  <w:num w:numId="17" w16cid:durableId="841043253">
    <w:abstractNumId w:val="3"/>
  </w:num>
  <w:num w:numId="18" w16cid:durableId="179781300">
    <w:abstractNumId w:val="3"/>
  </w:num>
  <w:num w:numId="19" w16cid:durableId="758791775">
    <w:abstractNumId w:val="3"/>
  </w:num>
  <w:num w:numId="20" w16cid:durableId="1875772622">
    <w:abstractNumId w:val="3"/>
  </w:num>
  <w:num w:numId="21" w16cid:durableId="2143182332">
    <w:abstractNumId w:val="13"/>
  </w:num>
  <w:num w:numId="22" w16cid:durableId="313291961">
    <w:abstractNumId w:val="13"/>
  </w:num>
  <w:num w:numId="23" w16cid:durableId="1365863987">
    <w:abstractNumId w:val="13"/>
  </w:num>
  <w:num w:numId="24" w16cid:durableId="1712999250">
    <w:abstractNumId w:val="13"/>
  </w:num>
  <w:num w:numId="25" w16cid:durableId="377316246">
    <w:abstractNumId w:val="13"/>
  </w:num>
  <w:num w:numId="26" w16cid:durableId="163982290">
    <w:abstractNumId w:val="5"/>
  </w:num>
  <w:num w:numId="27" w16cid:durableId="93856676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13F6"/>
    <w:rsid w:val="000025B8"/>
    <w:rsid w:val="00005BB5"/>
    <w:rsid w:val="000144DE"/>
    <w:rsid w:val="00022A51"/>
    <w:rsid w:val="000252FF"/>
    <w:rsid w:val="00025A6F"/>
    <w:rsid w:val="0002618D"/>
    <w:rsid w:val="00030609"/>
    <w:rsid w:val="00030B26"/>
    <w:rsid w:val="00030E84"/>
    <w:rsid w:val="00031979"/>
    <w:rsid w:val="000326A8"/>
    <w:rsid w:val="00032C0A"/>
    <w:rsid w:val="00035257"/>
    <w:rsid w:val="00035D68"/>
    <w:rsid w:val="00036027"/>
    <w:rsid w:val="00041338"/>
    <w:rsid w:val="000419A9"/>
    <w:rsid w:val="00042AD5"/>
    <w:rsid w:val="0004399F"/>
    <w:rsid w:val="00045613"/>
    <w:rsid w:val="000461CF"/>
    <w:rsid w:val="00047899"/>
    <w:rsid w:val="00053921"/>
    <w:rsid w:val="00054B44"/>
    <w:rsid w:val="0006006B"/>
    <w:rsid w:val="0006228D"/>
    <w:rsid w:val="00062B86"/>
    <w:rsid w:val="000700D0"/>
    <w:rsid w:val="00072BD6"/>
    <w:rsid w:val="00075B78"/>
    <w:rsid w:val="000763E9"/>
    <w:rsid w:val="000779B4"/>
    <w:rsid w:val="00082CD6"/>
    <w:rsid w:val="0008437D"/>
    <w:rsid w:val="00085AFE"/>
    <w:rsid w:val="000918C4"/>
    <w:rsid w:val="00094800"/>
    <w:rsid w:val="0009698A"/>
    <w:rsid w:val="000A0158"/>
    <w:rsid w:val="000A373D"/>
    <w:rsid w:val="000A41ED"/>
    <w:rsid w:val="000B0730"/>
    <w:rsid w:val="000D19F4"/>
    <w:rsid w:val="000D3C4C"/>
    <w:rsid w:val="000D58DD"/>
    <w:rsid w:val="000E0BD4"/>
    <w:rsid w:val="000E590D"/>
    <w:rsid w:val="000F1305"/>
    <w:rsid w:val="000F1F42"/>
    <w:rsid w:val="000F2AE2"/>
    <w:rsid w:val="000F2BFF"/>
    <w:rsid w:val="000F42FB"/>
    <w:rsid w:val="000F76E3"/>
    <w:rsid w:val="000F7B54"/>
    <w:rsid w:val="00100259"/>
    <w:rsid w:val="00102063"/>
    <w:rsid w:val="0010541C"/>
    <w:rsid w:val="00105770"/>
    <w:rsid w:val="00106F93"/>
    <w:rsid w:val="00111D50"/>
    <w:rsid w:val="00113B8E"/>
    <w:rsid w:val="00117F59"/>
    <w:rsid w:val="0012053C"/>
    <w:rsid w:val="00120C4C"/>
    <w:rsid w:val="00122363"/>
    <w:rsid w:val="00125D45"/>
    <w:rsid w:val="001269AC"/>
    <w:rsid w:val="001316D2"/>
    <w:rsid w:val="001342C7"/>
    <w:rsid w:val="0013562F"/>
    <w:rsid w:val="0013585C"/>
    <w:rsid w:val="00142261"/>
    <w:rsid w:val="00142954"/>
    <w:rsid w:val="001460E0"/>
    <w:rsid w:val="001472F0"/>
    <w:rsid w:val="00147F71"/>
    <w:rsid w:val="00150A6E"/>
    <w:rsid w:val="0015425B"/>
    <w:rsid w:val="001550C5"/>
    <w:rsid w:val="00160810"/>
    <w:rsid w:val="0016304B"/>
    <w:rsid w:val="0016318F"/>
    <w:rsid w:val="0016468A"/>
    <w:rsid w:val="0017070E"/>
    <w:rsid w:val="00172EDE"/>
    <w:rsid w:val="00174A79"/>
    <w:rsid w:val="00174F02"/>
    <w:rsid w:val="00175D9B"/>
    <w:rsid w:val="00182467"/>
    <w:rsid w:val="0018376C"/>
    <w:rsid w:val="0018662D"/>
    <w:rsid w:val="0018664D"/>
    <w:rsid w:val="00192376"/>
    <w:rsid w:val="00197427"/>
    <w:rsid w:val="001A2085"/>
    <w:rsid w:val="001A21B4"/>
    <w:rsid w:val="001A5CF5"/>
    <w:rsid w:val="001B39D2"/>
    <w:rsid w:val="001B4BF8"/>
    <w:rsid w:val="001B7B14"/>
    <w:rsid w:val="001C4326"/>
    <w:rsid w:val="001C665E"/>
    <w:rsid w:val="001D3541"/>
    <w:rsid w:val="001D3E4E"/>
    <w:rsid w:val="001E03A5"/>
    <w:rsid w:val="001E254A"/>
    <w:rsid w:val="001E7386"/>
    <w:rsid w:val="001E7B45"/>
    <w:rsid w:val="001F1BD6"/>
    <w:rsid w:val="001F3901"/>
    <w:rsid w:val="001F45A7"/>
    <w:rsid w:val="001F5E27"/>
    <w:rsid w:val="00200266"/>
    <w:rsid w:val="0020027C"/>
    <w:rsid w:val="00200906"/>
    <w:rsid w:val="00201A01"/>
    <w:rsid w:val="00204923"/>
    <w:rsid w:val="0020622A"/>
    <w:rsid w:val="0020754B"/>
    <w:rsid w:val="00207F34"/>
    <w:rsid w:val="002101E1"/>
    <w:rsid w:val="002104D3"/>
    <w:rsid w:val="00212011"/>
    <w:rsid w:val="00213A33"/>
    <w:rsid w:val="00217286"/>
    <w:rsid w:val="0021763B"/>
    <w:rsid w:val="00224247"/>
    <w:rsid w:val="00232788"/>
    <w:rsid w:val="00232E9F"/>
    <w:rsid w:val="0023436D"/>
    <w:rsid w:val="00236269"/>
    <w:rsid w:val="002366B0"/>
    <w:rsid w:val="0024198F"/>
    <w:rsid w:val="00245748"/>
    <w:rsid w:val="00246DB1"/>
    <w:rsid w:val="002476B5"/>
    <w:rsid w:val="002520CC"/>
    <w:rsid w:val="00253ECF"/>
    <w:rsid w:val="00254044"/>
    <w:rsid w:val="002546A1"/>
    <w:rsid w:val="002575E8"/>
    <w:rsid w:val="00257EF1"/>
    <w:rsid w:val="002605F8"/>
    <w:rsid w:val="002628F4"/>
    <w:rsid w:val="00275A19"/>
    <w:rsid w:val="00275D08"/>
    <w:rsid w:val="0028299F"/>
    <w:rsid w:val="002839AF"/>
    <w:rsid w:val="00285080"/>
    <w:rsid w:val="002858E3"/>
    <w:rsid w:val="002865D5"/>
    <w:rsid w:val="0029190A"/>
    <w:rsid w:val="00292C5A"/>
    <w:rsid w:val="00293EE7"/>
    <w:rsid w:val="00295241"/>
    <w:rsid w:val="002967E7"/>
    <w:rsid w:val="002976A3"/>
    <w:rsid w:val="002A4DFC"/>
    <w:rsid w:val="002A766F"/>
    <w:rsid w:val="002B047D"/>
    <w:rsid w:val="002B4EBD"/>
    <w:rsid w:val="002B732B"/>
    <w:rsid w:val="002B76A7"/>
    <w:rsid w:val="002B797A"/>
    <w:rsid w:val="002B7BEC"/>
    <w:rsid w:val="002C2219"/>
    <w:rsid w:val="002C2552"/>
    <w:rsid w:val="002C380A"/>
    <w:rsid w:val="002C4C63"/>
    <w:rsid w:val="002D0DF2"/>
    <w:rsid w:val="002D23BD"/>
    <w:rsid w:val="002D4762"/>
    <w:rsid w:val="002E0B47"/>
    <w:rsid w:val="002F3A0D"/>
    <w:rsid w:val="002F4685"/>
    <w:rsid w:val="002F7213"/>
    <w:rsid w:val="003027C0"/>
    <w:rsid w:val="0030382F"/>
    <w:rsid w:val="0030408D"/>
    <w:rsid w:val="003060E4"/>
    <w:rsid w:val="00314DBF"/>
    <w:rsid w:val="003160E7"/>
    <w:rsid w:val="0031739E"/>
    <w:rsid w:val="00317DA3"/>
    <w:rsid w:val="003212F4"/>
    <w:rsid w:val="00321381"/>
    <w:rsid w:val="003235C6"/>
    <w:rsid w:val="00325DAF"/>
    <w:rsid w:val="003309CA"/>
    <w:rsid w:val="003325AB"/>
    <w:rsid w:val="00332D04"/>
    <w:rsid w:val="003332D1"/>
    <w:rsid w:val="0033412B"/>
    <w:rsid w:val="0033448B"/>
    <w:rsid w:val="0033452F"/>
    <w:rsid w:val="00341161"/>
    <w:rsid w:val="00343365"/>
    <w:rsid w:val="00343C7C"/>
    <w:rsid w:val="003445F4"/>
    <w:rsid w:val="00345D85"/>
    <w:rsid w:val="00347962"/>
    <w:rsid w:val="00353501"/>
    <w:rsid w:val="00353734"/>
    <w:rsid w:val="003538D4"/>
    <w:rsid w:val="0035569C"/>
    <w:rsid w:val="003579FD"/>
    <w:rsid w:val="003606F8"/>
    <w:rsid w:val="0036085B"/>
    <w:rsid w:val="003648EF"/>
    <w:rsid w:val="003651F7"/>
    <w:rsid w:val="003673E6"/>
    <w:rsid w:val="0037603A"/>
    <w:rsid w:val="00377264"/>
    <w:rsid w:val="003779D2"/>
    <w:rsid w:val="0038357E"/>
    <w:rsid w:val="00385E38"/>
    <w:rsid w:val="00385E6D"/>
    <w:rsid w:val="00390A96"/>
    <w:rsid w:val="0039173E"/>
    <w:rsid w:val="003929D8"/>
    <w:rsid w:val="00393BE0"/>
    <w:rsid w:val="00395003"/>
    <w:rsid w:val="003952F9"/>
    <w:rsid w:val="003A26A5"/>
    <w:rsid w:val="003A3761"/>
    <w:rsid w:val="003A512D"/>
    <w:rsid w:val="003A5FEA"/>
    <w:rsid w:val="003A710B"/>
    <w:rsid w:val="003B1034"/>
    <w:rsid w:val="003B1D10"/>
    <w:rsid w:val="003B63EE"/>
    <w:rsid w:val="003C2FD5"/>
    <w:rsid w:val="003C310C"/>
    <w:rsid w:val="003C76D4"/>
    <w:rsid w:val="003D137D"/>
    <w:rsid w:val="003D22B3"/>
    <w:rsid w:val="003D2CC5"/>
    <w:rsid w:val="003D3E5C"/>
    <w:rsid w:val="003D59BB"/>
    <w:rsid w:val="003E04C1"/>
    <w:rsid w:val="003E0887"/>
    <w:rsid w:val="003E1098"/>
    <w:rsid w:val="003E1308"/>
    <w:rsid w:val="003E74C8"/>
    <w:rsid w:val="003E74E2"/>
    <w:rsid w:val="003E7C46"/>
    <w:rsid w:val="003F2106"/>
    <w:rsid w:val="003F52A7"/>
    <w:rsid w:val="003F559E"/>
    <w:rsid w:val="003F7013"/>
    <w:rsid w:val="003F7F6A"/>
    <w:rsid w:val="00401FCF"/>
    <w:rsid w:val="0040240C"/>
    <w:rsid w:val="00413021"/>
    <w:rsid w:val="00414544"/>
    <w:rsid w:val="00414C35"/>
    <w:rsid w:val="004171B7"/>
    <w:rsid w:val="00425F8C"/>
    <w:rsid w:val="0042612E"/>
    <w:rsid w:val="00426489"/>
    <w:rsid w:val="004301C6"/>
    <w:rsid w:val="0043361D"/>
    <w:rsid w:val="0043478F"/>
    <w:rsid w:val="00435A0B"/>
    <w:rsid w:val="0043602B"/>
    <w:rsid w:val="004367D2"/>
    <w:rsid w:val="004374D1"/>
    <w:rsid w:val="00437CF8"/>
    <w:rsid w:val="00440BE0"/>
    <w:rsid w:val="00442A06"/>
    <w:rsid w:val="00442C1C"/>
    <w:rsid w:val="00443871"/>
    <w:rsid w:val="0044584B"/>
    <w:rsid w:val="00446F05"/>
    <w:rsid w:val="00447CB7"/>
    <w:rsid w:val="00455CC9"/>
    <w:rsid w:val="00456BFE"/>
    <w:rsid w:val="00460826"/>
    <w:rsid w:val="00460B1E"/>
    <w:rsid w:val="00460EA7"/>
    <w:rsid w:val="0046195B"/>
    <w:rsid w:val="00462608"/>
    <w:rsid w:val="0046362D"/>
    <w:rsid w:val="0046596D"/>
    <w:rsid w:val="00483D02"/>
    <w:rsid w:val="004852AB"/>
    <w:rsid w:val="00487C04"/>
    <w:rsid w:val="004907E1"/>
    <w:rsid w:val="00491189"/>
    <w:rsid w:val="004924CC"/>
    <w:rsid w:val="00494C8E"/>
    <w:rsid w:val="004A030E"/>
    <w:rsid w:val="004A035B"/>
    <w:rsid w:val="004A2108"/>
    <w:rsid w:val="004A2B80"/>
    <w:rsid w:val="004A38D7"/>
    <w:rsid w:val="004A469A"/>
    <w:rsid w:val="004A778C"/>
    <w:rsid w:val="004B14DD"/>
    <w:rsid w:val="004B2F8B"/>
    <w:rsid w:val="004B47B2"/>
    <w:rsid w:val="004B48C7"/>
    <w:rsid w:val="004B7503"/>
    <w:rsid w:val="004C2E6A"/>
    <w:rsid w:val="004C64B8"/>
    <w:rsid w:val="004C6811"/>
    <w:rsid w:val="004D2A2D"/>
    <w:rsid w:val="004D479F"/>
    <w:rsid w:val="004D5643"/>
    <w:rsid w:val="004D6689"/>
    <w:rsid w:val="004E0939"/>
    <w:rsid w:val="004E126C"/>
    <w:rsid w:val="004E1D1D"/>
    <w:rsid w:val="004E7AC8"/>
    <w:rsid w:val="004F05F4"/>
    <w:rsid w:val="004F0C94"/>
    <w:rsid w:val="004F6661"/>
    <w:rsid w:val="005019AE"/>
    <w:rsid w:val="00503749"/>
    <w:rsid w:val="00503D59"/>
    <w:rsid w:val="00504C8E"/>
    <w:rsid w:val="00504CF4"/>
    <w:rsid w:val="0050635B"/>
    <w:rsid w:val="005075B3"/>
    <w:rsid w:val="00510444"/>
    <w:rsid w:val="00514523"/>
    <w:rsid w:val="005151C2"/>
    <w:rsid w:val="005205B8"/>
    <w:rsid w:val="0052100A"/>
    <w:rsid w:val="00524BB1"/>
    <w:rsid w:val="0052715F"/>
    <w:rsid w:val="005275E8"/>
    <w:rsid w:val="005309FE"/>
    <w:rsid w:val="0053199F"/>
    <w:rsid w:val="00531E12"/>
    <w:rsid w:val="00533B90"/>
    <w:rsid w:val="005410F8"/>
    <w:rsid w:val="005448EC"/>
    <w:rsid w:val="0054593B"/>
    <w:rsid w:val="00545963"/>
    <w:rsid w:val="00550256"/>
    <w:rsid w:val="00552B1F"/>
    <w:rsid w:val="00553165"/>
    <w:rsid w:val="00553958"/>
    <w:rsid w:val="00556BB7"/>
    <w:rsid w:val="0055763D"/>
    <w:rsid w:val="00560BDD"/>
    <w:rsid w:val="00561516"/>
    <w:rsid w:val="00562018"/>
    <w:rsid w:val="005621F2"/>
    <w:rsid w:val="0056606E"/>
    <w:rsid w:val="00567B58"/>
    <w:rsid w:val="00567E1E"/>
    <w:rsid w:val="00571223"/>
    <w:rsid w:val="005718A6"/>
    <w:rsid w:val="00573548"/>
    <w:rsid w:val="005763E0"/>
    <w:rsid w:val="005801DC"/>
    <w:rsid w:val="00581136"/>
    <w:rsid w:val="00581EB8"/>
    <w:rsid w:val="005839E7"/>
    <w:rsid w:val="0058437F"/>
    <w:rsid w:val="00586318"/>
    <w:rsid w:val="005868F5"/>
    <w:rsid w:val="00596F42"/>
    <w:rsid w:val="00597EBA"/>
    <w:rsid w:val="005A0D85"/>
    <w:rsid w:val="005A27CA"/>
    <w:rsid w:val="005A3E28"/>
    <w:rsid w:val="005A43BD"/>
    <w:rsid w:val="005A79E5"/>
    <w:rsid w:val="005C523C"/>
    <w:rsid w:val="005D034C"/>
    <w:rsid w:val="005D2AFD"/>
    <w:rsid w:val="005D41CC"/>
    <w:rsid w:val="005D50B6"/>
    <w:rsid w:val="005D525D"/>
    <w:rsid w:val="005E226E"/>
    <w:rsid w:val="005E2636"/>
    <w:rsid w:val="005E3E9C"/>
    <w:rsid w:val="005F0D7E"/>
    <w:rsid w:val="005F6DC3"/>
    <w:rsid w:val="00600DC6"/>
    <w:rsid w:val="006015D7"/>
    <w:rsid w:val="00601B21"/>
    <w:rsid w:val="00603D66"/>
    <w:rsid w:val="006041F0"/>
    <w:rsid w:val="00605C6D"/>
    <w:rsid w:val="00605F92"/>
    <w:rsid w:val="006120CA"/>
    <w:rsid w:val="0061443A"/>
    <w:rsid w:val="006200F0"/>
    <w:rsid w:val="00624174"/>
    <w:rsid w:val="00626CF8"/>
    <w:rsid w:val="00627603"/>
    <w:rsid w:val="00627AE3"/>
    <w:rsid w:val="00630E6F"/>
    <w:rsid w:val="006314AF"/>
    <w:rsid w:val="00632A3F"/>
    <w:rsid w:val="00634003"/>
    <w:rsid w:val="00634ED8"/>
    <w:rsid w:val="00636D7D"/>
    <w:rsid w:val="0063737D"/>
    <w:rsid w:val="00637408"/>
    <w:rsid w:val="00637A61"/>
    <w:rsid w:val="006427DD"/>
    <w:rsid w:val="00642868"/>
    <w:rsid w:val="006428E9"/>
    <w:rsid w:val="00647AFE"/>
    <w:rsid w:val="00650417"/>
    <w:rsid w:val="00650A8E"/>
    <w:rsid w:val="006512BC"/>
    <w:rsid w:val="006518B5"/>
    <w:rsid w:val="00653A5A"/>
    <w:rsid w:val="006554AC"/>
    <w:rsid w:val="0065562E"/>
    <w:rsid w:val="00656F28"/>
    <w:rsid w:val="006575F4"/>
    <w:rsid w:val="006579E6"/>
    <w:rsid w:val="00660682"/>
    <w:rsid w:val="00660F74"/>
    <w:rsid w:val="00663087"/>
    <w:rsid w:val="00663EDC"/>
    <w:rsid w:val="00664017"/>
    <w:rsid w:val="00671078"/>
    <w:rsid w:val="006758CA"/>
    <w:rsid w:val="00680A04"/>
    <w:rsid w:val="00681739"/>
    <w:rsid w:val="00686D80"/>
    <w:rsid w:val="006904D1"/>
    <w:rsid w:val="00694895"/>
    <w:rsid w:val="00697116"/>
    <w:rsid w:val="00697E2E"/>
    <w:rsid w:val="006A1B13"/>
    <w:rsid w:val="006A25A2"/>
    <w:rsid w:val="006A29C1"/>
    <w:rsid w:val="006A3B87"/>
    <w:rsid w:val="006A48E1"/>
    <w:rsid w:val="006B0A88"/>
    <w:rsid w:val="006B0E73"/>
    <w:rsid w:val="006B1E3D"/>
    <w:rsid w:val="006B23D4"/>
    <w:rsid w:val="006B2E2C"/>
    <w:rsid w:val="006B4A4D"/>
    <w:rsid w:val="006B5695"/>
    <w:rsid w:val="006B62E6"/>
    <w:rsid w:val="006B7B2E"/>
    <w:rsid w:val="006C78EB"/>
    <w:rsid w:val="006D1660"/>
    <w:rsid w:val="006D63E5"/>
    <w:rsid w:val="006D7E75"/>
    <w:rsid w:val="006E1753"/>
    <w:rsid w:val="006E2886"/>
    <w:rsid w:val="006E3911"/>
    <w:rsid w:val="006E69F4"/>
    <w:rsid w:val="006F1B67"/>
    <w:rsid w:val="006F4D9C"/>
    <w:rsid w:val="006F6410"/>
    <w:rsid w:val="0070091D"/>
    <w:rsid w:val="00702854"/>
    <w:rsid w:val="00711606"/>
    <w:rsid w:val="00712E11"/>
    <w:rsid w:val="00716875"/>
    <w:rsid w:val="0071741C"/>
    <w:rsid w:val="007207C3"/>
    <w:rsid w:val="007307A5"/>
    <w:rsid w:val="00731157"/>
    <w:rsid w:val="007327B0"/>
    <w:rsid w:val="007375EC"/>
    <w:rsid w:val="007409B9"/>
    <w:rsid w:val="00742B90"/>
    <w:rsid w:val="0074434D"/>
    <w:rsid w:val="0075275C"/>
    <w:rsid w:val="00752E53"/>
    <w:rsid w:val="00754A43"/>
    <w:rsid w:val="00755A1D"/>
    <w:rsid w:val="007570C4"/>
    <w:rsid w:val="007578CC"/>
    <w:rsid w:val="007605B8"/>
    <w:rsid w:val="00760D6B"/>
    <w:rsid w:val="00765BEC"/>
    <w:rsid w:val="00767C19"/>
    <w:rsid w:val="00771B1E"/>
    <w:rsid w:val="00773C95"/>
    <w:rsid w:val="0078171E"/>
    <w:rsid w:val="00783F16"/>
    <w:rsid w:val="0078658E"/>
    <w:rsid w:val="007920E2"/>
    <w:rsid w:val="0079566E"/>
    <w:rsid w:val="00795B34"/>
    <w:rsid w:val="007979D9"/>
    <w:rsid w:val="007A067F"/>
    <w:rsid w:val="007B1770"/>
    <w:rsid w:val="007B4D3E"/>
    <w:rsid w:val="007B6224"/>
    <w:rsid w:val="007B7C70"/>
    <w:rsid w:val="007B7DEB"/>
    <w:rsid w:val="007C0449"/>
    <w:rsid w:val="007C07B0"/>
    <w:rsid w:val="007C357E"/>
    <w:rsid w:val="007C43B6"/>
    <w:rsid w:val="007C5F01"/>
    <w:rsid w:val="007C7E1C"/>
    <w:rsid w:val="007D2151"/>
    <w:rsid w:val="007D3B90"/>
    <w:rsid w:val="007D42CC"/>
    <w:rsid w:val="007D5717"/>
    <w:rsid w:val="007D5DE4"/>
    <w:rsid w:val="007D62F4"/>
    <w:rsid w:val="007D7C3A"/>
    <w:rsid w:val="007E0777"/>
    <w:rsid w:val="007E1341"/>
    <w:rsid w:val="007E1B41"/>
    <w:rsid w:val="007E1EC4"/>
    <w:rsid w:val="007E30B9"/>
    <w:rsid w:val="007E54F1"/>
    <w:rsid w:val="007E6B5B"/>
    <w:rsid w:val="007E734E"/>
    <w:rsid w:val="007E74F1"/>
    <w:rsid w:val="007E767B"/>
    <w:rsid w:val="007F0F0C"/>
    <w:rsid w:val="007F1288"/>
    <w:rsid w:val="007F22AB"/>
    <w:rsid w:val="007F3338"/>
    <w:rsid w:val="007F3E11"/>
    <w:rsid w:val="007F72C2"/>
    <w:rsid w:val="00800A8A"/>
    <w:rsid w:val="0080155C"/>
    <w:rsid w:val="008052E1"/>
    <w:rsid w:val="00810A2B"/>
    <w:rsid w:val="00811EEB"/>
    <w:rsid w:val="00815CA3"/>
    <w:rsid w:val="0082081A"/>
    <w:rsid w:val="00822938"/>
    <w:rsid w:val="00822F2C"/>
    <w:rsid w:val="00823DEE"/>
    <w:rsid w:val="00826298"/>
    <w:rsid w:val="00826C98"/>
    <w:rsid w:val="00826CEF"/>
    <w:rsid w:val="008305E8"/>
    <w:rsid w:val="00832132"/>
    <w:rsid w:val="00836165"/>
    <w:rsid w:val="008365B2"/>
    <w:rsid w:val="0084640C"/>
    <w:rsid w:val="00852C5D"/>
    <w:rsid w:val="008545BE"/>
    <w:rsid w:val="00856088"/>
    <w:rsid w:val="00860826"/>
    <w:rsid w:val="00860E21"/>
    <w:rsid w:val="00863117"/>
    <w:rsid w:val="0086388B"/>
    <w:rsid w:val="008642E5"/>
    <w:rsid w:val="00864488"/>
    <w:rsid w:val="00865C38"/>
    <w:rsid w:val="00866A87"/>
    <w:rsid w:val="00870A36"/>
    <w:rsid w:val="0087220D"/>
    <w:rsid w:val="00872D93"/>
    <w:rsid w:val="00880470"/>
    <w:rsid w:val="00880D94"/>
    <w:rsid w:val="008814E8"/>
    <w:rsid w:val="00883BB0"/>
    <w:rsid w:val="00886F64"/>
    <w:rsid w:val="008924DE"/>
    <w:rsid w:val="008A025F"/>
    <w:rsid w:val="008A0E49"/>
    <w:rsid w:val="008A3755"/>
    <w:rsid w:val="008A49BA"/>
    <w:rsid w:val="008B19DC"/>
    <w:rsid w:val="008B264F"/>
    <w:rsid w:val="008B66E8"/>
    <w:rsid w:val="008B6F83"/>
    <w:rsid w:val="008B7FD8"/>
    <w:rsid w:val="008C11AC"/>
    <w:rsid w:val="008C2973"/>
    <w:rsid w:val="008C5A74"/>
    <w:rsid w:val="008C6324"/>
    <w:rsid w:val="008C64C4"/>
    <w:rsid w:val="008D10F0"/>
    <w:rsid w:val="008D1D30"/>
    <w:rsid w:val="008D2CDD"/>
    <w:rsid w:val="008D62BC"/>
    <w:rsid w:val="008D635A"/>
    <w:rsid w:val="008D74D5"/>
    <w:rsid w:val="008D7C9F"/>
    <w:rsid w:val="008E04BA"/>
    <w:rsid w:val="008E0ED1"/>
    <w:rsid w:val="008E2083"/>
    <w:rsid w:val="008E3A07"/>
    <w:rsid w:val="008E537B"/>
    <w:rsid w:val="008E661D"/>
    <w:rsid w:val="008E7EE8"/>
    <w:rsid w:val="008F29BE"/>
    <w:rsid w:val="008F4AE5"/>
    <w:rsid w:val="008F51EB"/>
    <w:rsid w:val="008F7674"/>
    <w:rsid w:val="00900197"/>
    <w:rsid w:val="00900D6B"/>
    <w:rsid w:val="00902F55"/>
    <w:rsid w:val="00903016"/>
    <w:rsid w:val="00905251"/>
    <w:rsid w:val="0090582B"/>
    <w:rsid w:val="009060C0"/>
    <w:rsid w:val="009075AB"/>
    <w:rsid w:val="00907C1F"/>
    <w:rsid w:val="009133F5"/>
    <w:rsid w:val="0091756F"/>
    <w:rsid w:val="00920A27"/>
    <w:rsid w:val="00921216"/>
    <w:rsid w:val="009216CC"/>
    <w:rsid w:val="009220F3"/>
    <w:rsid w:val="00922E41"/>
    <w:rsid w:val="00924F74"/>
    <w:rsid w:val="00925892"/>
    <w:rsid w:val="00926083"/>
    <w:rsid w:val="00926D08"/>
    <w:rsid w:val="00930D08"/>
    <w:rsid w:val="00931466"/>
    <w:rsid w:val="00932D69"/>
    <w:rsid w:val="00934B4A"/>
    <w:rsid w:val="009354FD"/>
    <w:rsid w:val="00935589"/>
    <w:rsid w:val="00937408"/>
    <w:rsid w:val="009427FA"/>
    <w:rsid w:val="00942B37"/>
    <w:rsid w:val="00944647"/>
    <w:rsid w:val="00944D5A"/>
    <w:rsid w:val="009469E2"/>
    <w:rsid w:val="00947C1F"/>
    <w:rsid w:val="0095237F"/>
    <w:rsid w:val="00952F4E"/>
    <w:rsid w:val="0095565C"/>
    <w:rsid w:val="00957ECD"/>
    <w:rsid w:val="00960B18"/>
    <w:rsid w:val="00961312"/>
    <w:rsid w:val="009638C4"/>
    <w:rsid w:val="00964012"/>
    <w:rsid w:val="00964AB6"/>
    <w:rsid w:val="00966005"/>
    <w:rsid w:val="00966EC8"/>
    <w:rsid w:val="00966F9A"/>
    <w:rsid w:val="0096700A"/>
    <w:rsid w:val="0097019F"/>
    <w:rsid w:val="00971BAA"/>
    <w:rsid w:val="00972C8F"/>
    <w:rsid w:val="009732B2"/>
    <w:rsid w:val="00977B8A"/>
    <w:rsid w:val="009813BA"/>
    <w:rsid w:val="00981DFA"/>
    <w:rsid w:val="00982971"/>
    <w:rsid w:val="009845AD"/>
    <w:rsid w:val="00984835"/>
    <w:rsid w:val="009905AD"/>
    <w:rsid w:val="00990E1E"/>
    <w:rsid w:val="009933EF"/>
    <w:rsid w:val="00995497"/>
    <w:rsid w:val="00995909"/>
    <w:rsid w:val="00995BA0"/>
    <w:rsid w:val="009A418B"/>
    <w:rsid w:val="009A426F"/>
    <w:rsid w:val="009A42D5"/>
    <w:rsid w:val="009A4473"/>
    <w:rsid w:val="009A5120"/>
    <w:rsid w:val="009A60C9"/>
    <w:rsid w:val="009A6111"/>
    <w:rsid w:val="009B05C9"/>
    <w:rsid w:val="009B17AF"/>
    <w:rsid w:val="009B286C"/>
    <w:rsid w:val="009B7F05"/>
    <w:rsid w:val="009C1071"/>
    <w:rsid w:val="009C151C"/>
    <w:rsid w:val="009C440A"/>
    <w:rsid w:val="009D5125"/>
    <w:rsid w:val="009D5A81"/>
    <w:rsid w:val="009D5E29"/>
    <w:rsid w:val="009D60B8"/>
    <w:rsid w:val="009D78E6"/>
    <w:rsid w:val="009D7D4B"/>
    <w:rsid w:val="009E36ED"/>
    <w:rsid w:val="009E3B47"/>
    <w:rsid w:val="009E3C8C"/>
    <w:rsid w:val="009E5110"/>
    <w:rsid w:val="009E6B77"/>
    <w:rsid w:val="009F288F"/>
    <w:rsid w:val="009F4372"/>
    <w:rsid w:val="009F460A"/>
    <w:rsid w:val="00A00D4E"/>
    <w:rsid w:val="00A043FB"/>
    <w:rsid w:val="00A04CDA"/>
    <w:rsid w:val="00A06BE4"/>
    <w:rsid w:val="00A0729C"/>
    <w:rsid w:val="00A073CF"/>
    <w:rsid w:val="00A07779"/>
    <w:rsid w:val="00A1166A"/>
    <w:rsid w:val="00A1473F"/>
    <w:rsid w:val="00A20B2E"/>
    <w:rsid w:val="00A24F33"/>
    <w:rsid w:val="00A25069"/>
    <w:rsid w:val="00A26E6B"/>
    <w:rsid w:val="00A3068F"/>
    <w:rsid w:val="00A3145B"/>
    <w:rsid w:val="00A339D0"/>
    <w:rsid w:val="00A3415C"/>
    <w:rsid w:val="00A359A2"/>
    <w:rsid w:val="00A41002"/>
    <w:rsid w:val="00A4201A"/>
    <w:rsid w:val="00A47627"/>
    <w:rsid w:val="00A5465D"/>
    <w:rsid w:val="00A553CE"/>
    <w:rsid w:val="00A560F9"/>
    <w:rsid w:val="00A5677A"/>
    <w:rsid w:val="00A56DCC"/>
    <w:rsid w:val="00A57D31"/>
    <w:rsid w:val="00A625E8"/>
    <w:rsid w:val="00A63DFF"/>
    <w:rsid w:val="00A64496"/>
    <w:rsid w:val="00A6490D"/>
    <w:rsid w:val="00A67033"/>
    <w:rsid w:val="00A7415D"/>
    <w:rsid w:val="00A76531"/>
    <w:rsid w:val="00A80363"/>
    <w:rsid w:val="00A80939"/>
    <w:rsid w:val="00A83E9D"/>
    <w:rsid w:val="00A8607C"/>
    <w:rsid w:val="00A87C05"/>
    <w:rsid w:val="00A9169D"/>
    <w:rsid w:val="00A92033"/>
    <w:rsid w:val="00A93170"/>
    <w:rsid w:val="00A93598"/>
    <w:rsid w:val="00A97A3A"/>
    <w:rsid w:val="00AA0668"/>
    <w:rsid w:val="00AA240C"/>
    <w:rsid w:val="00AB0332"/>
    <w:rsid w:val="00AB25A2"/>
    <w:rsid w:val="00AB4070"/>
    <w:rsid w:val="00AC101C"/>
    <w:rsid w:val="00AD13D5"/>
    <w:rsid w:val="00AD4CF1"/>
    <w:rsid w:val="00AD5988"/>
    <w:rsid w:val="00AD6293"/>
    <w:rsid w:val="00AE095F"/>
    <w:rsid w:val="00AE1643"/>
    <w:rsid w:val="00AE16AF"/>
    <w:rsid w:val="00AF335A"/>
    <w:rsid w:val="00AF372E"/>
    <w:rsid w:val="00AF686D"/>
    <w:rsid w:val="00AF68E1"/>
    <w:rsid w:val="00AF7800"/>
    <w:rsid w:val="00B00CF5"/>
    <w:rsid w:val="00B05DCB"/>
    <w:rsid w:val="00B072E0"/>
    <w:rsid w:val="00B1007E"/>
    <w:rsid w:val="00B13C0B"/>
    <w:rsid w:val="00B13D41"/>
    <w:rsid w:val="00B152FC"/>
    <w:rsid w:val="00B155FD"/>
    <w:rsid w:val="00B253F6"/>
    <w:rsid w:val="00B26675"/>
    <w:rsid w:val="00B305DB"/>
    <w:rsid w:val="00B332F8"/>
    <w:rsid w:val="00B34928"/>
    <w:rsid w:val="00B3492B"/>
    <w:rsid w:val="00B371D6"/>
    <w:rsid w:val="00B43478"/>
    <w:rsid w:val="00B44C72"/>
    <w:rsid w:val="00B4525A"/>
    <w:rsid w:val="00B4646F"/>
    <w:rsid w:val="00B47C82"/>
    <w:rsid w:val="00B55C7D"/>
    <w:rsid w:val="00B57547"/>
    <w:rsid w:val="00B63038"/>
    <w:rsid w:val="00B6335F"/>
    <w:rsid w:val="00B64773"/>
    <w:rsid w:val="00B64BD8"/>
    <w:rsid w:val="00B701D1"/>
    <w:rsid w:val="00B73AF2"/>
    <w:rsid w:val="00B73D79"/>
    <w:rsid w:val="00B7551A"/>
    <w:rsid w:val="00B76C2B"/>
    <w:rsid w:val="00B773F1"/>
    <w:rsid w:val="00B85325"/>
    <w:rsid w:val="00B86AB1"/>
    <w:rsid w:val="00B86F2D"/>
    <w:rsid w:val="00B87726"/>
    <w:rsid w:val="00B91B22"/>
    <w:rsid w:val="00B97BBC"/>
    <w:rsid w:val="00BA5627"/>
    <w:rsid w:val="00BA6527"/>
    <w:rsid w:val="00BA7EBA"/>
    <w:rsid w:val="00BB2A06"/>
    <w:rsid w:val="00BB2CBB"/>
    <w:rsid w:val="00BB4136"/>
    <w:rsid w:val="00BB4198"/>
    <w:rsid w:val="00BB47BF"/>
    <w:rsid w:val="00BC03EE"/>
    <w:rsid w:val="00BC4755"/>
    <w:rsid w:val="00BC59F1"/>
    <w:rsid w:val="00BC6B86"/>
    <w:rsid w:val="00BD488E"/>
    <w:rsid w:val="00BD4B7D"/>
    <w:rsid w:val="00BE049E"/>
    <w:rsid w:val="00BE1BE6"/>
    <w:rsid w:val="00BE675C"/>
    <w:rsid w:val="00BF02BE"/>
    <w:rsid w:val="00BF15A4"/>
    <w:rsid w:val="00BF3DE1"/>
    <w:rsid w:val="00BF4843"/>
    <w:rsid w:val="00BF5205"/>
    <w:rsid w:val="00C00BB5"/>
    <w:rsid w:val="00C03DE0"/>
    <w:rsid w:val="00C05132"/>
    <w:rsid w:val="00C12508"/>
    <w:rsid w:val="00C23728"/>
    <w:rsid w:val="00C258B7"/>
    <w:rsid w:val="00C3026C"/>
    <w:rsid w:val="00C313A9"/>
    <w:rsid w:val="00C317A8"/>
    <w:rsid w:val="00C347C8"/>
    <w:rsid w:val="00C358E4"/>
    <w:rsid w:val="00C418EE"/>
    <w:rsid w:val="00C441CF"/>
    <w:rsid w:val="00C45AA2"/>
    <w:rsid w:val="00C4792C"/>
    <w:rsid w:val="00C55BEF"/>
    <w:rsid w:val="00C5761F"/>
    <w:rsid w:val="00C57BF6"/>
    <w:rsid w:val="00C57C00"/>
    <w:rsid w:val="00C601AF"/>
    <w:rsid w:val="00C6165E"/>
    <w:rsid w:val="00C61A63"/>
    <w:rsid w:val="00C64295"/>
    <w:rsid w:val="00C66296"/>
    <w:rsid w:val="00C67C16"/>
    <w:rsid w:val="00C7093C"/>
    <w:rsid w:val="00C71442"/>
    <w:rsid w:val="00C7394D"/>
    <w:rsid w:val="00C7463D"/>
    <w:rsid w:val="00C756B7"/>
    <w:rsid w:val="00C7577A"/>
    <w:rsid w:val="00C75FE3"/>
    <w:rsid w:val="00C77282"/>
    <w:rsid w:val="00C818F8"/>
    <w:rsid w:val="00C84DE5"/>
    <w:rsid w:val="00C86248"/>
    <w:rsid w:val="00C90B31"/>
    <w:rsid w:val="00C96C33"/>
    <w:rsid w:val="00CA0D6F"/>
    <w:rsid w:val="00CA4C33"/>
    <w:rsid w:val="00CA6F4A"/>
    <w:rsid w:val="00CB3483"/>
    <w:rsid w:val="00CB3915"/>
    <w:rsid w:val="00CB6427"/>
    <w:rsid w:val="00CC0FBE"/>
    <w:rsid w:val="00CC6EA4"/>
    <w:rsid w:val="00CD077C"/>
    <w:rsid w:val="00CD2119"/>
    <w:rsid w:val="00CD237A"/>
    <w:rsid w:val="00CD36AC"/>
    <w:rsid w:val="00CD7344"/>
    <w:rsid w:val="00CE07BA"/>
    <w:rsid w:val="00CE13A3"/>
    <w:rsid w:val="00CE36BC"/>
    <w:rsid w:val="00CF1747"/>
    <w:rsid w:val="00CF2FCB"/>
    <w:rsid w:val="00CF60ED"/>
    <w:rsid w:val="00CF7AE5"/>
    <w:rsid w:val="00D05D74"/>
    <w:rsid w:val="00D06BE2"/>
    <w:rsid w:val="00D14734"/>
    <w:rsid w:val="00D20C59"/>
    <w:rsid w:val="00D23323"/>
    <w:rsid w:val="00D2392A"/>
    <w:rsid w:val="00D25FFE"/>
    <w:rsid w:val="00D27922"/>
    <w:rsid w:val="00D27A64"/>
    <w:rsid w:val="00D37D80"/>
    <w:rsid w:val="00D442F3"/>
    <w:rsid w:val="00D44483"/>
    <w:rsid w:val="00D4476F"/>
    <w:rsid w:val="00D470D0"/>
    <w:rsid w:val="00D50573"/>
    <w:rsid w:val="00D54D50"/>
    <w:rsid w:val="00D560B4"/>
    <w:rsid w:val="00D6563A"/>
    <w:rsid w:val="00D659BF"/>
    <w:rsid w:val="00D662F8"/>
    <w:rsid w:val="00D66797"/>
    <w:rsid w:val="00D676BA"/>
    <w:rsid w:val="00D67919"/>
    <w:rsid w:val="00D67B56"/>
    <w:rsid w:val="00D7087C"/>
    <w:rsid w:val="00D70C3C"/>
    <w:rsid w:val="00D71DF7"/>
    <w:rsid w:val="00D72BE5"/>
    <w:rsid w:val="00D73E34"/>
    <w:rsid w:val="00D75603"/>
    <w:rsid w:val="00D75BFE"/>
    <w:rsid w:val="00D77622"/>
    <w:rsid w:val="00D81462"/>
    <w:rsid w:val="00D82431"/>
    <w:rsid w:val="00D82F26"/>
    <w:rsid w:val="00D863D0"/>
    <w:rsid w:val="00D86B00"/>
    <w:rsid w:val="00D86FB9"/>
    <w:rsid w:val="00D87C87"/>
    <w:rsid w:val="00D90BB4"/>
    <w:rsid w:val="00D90E07"/>
    <w:rsid w:val="00D932C2"/>
    <w:rsid w:val="00D96CD6"/>
    <w:rsid w:val="00DA0232"/>
    <w:rsid w:val="00DA30A0"/>
    <w:rsid w:val="00DA3F68"/>
    <w:rsid w:val="00DA4356"/>
    <w:rsid w:val="00DA7F9E"/>
    <w:rsid w:val="00DB39CF"/>
    <w:rsid w:val="00DB7256"/>
    <w:rsid w:val="00DC0401"/>
    <w:rsid w:val="00DC0562"/>
    <w:rsid w:val="00DC20BD"/>
    <w:rsid w:val="00DC4BAC"/>
    <w:rsid w:val="00DC4D56"/>
    <w:rsid w:val="00DC7C56"/>
    <w:rsid w:val="00DD046F"/>
    <w:rsid w:val="00DD0BCD"/>
    <w:rsid w:val="00DD3DA0"/>
    <w:rsid w:val="00DD447A"/>
    <w:rsid w:val="00DE07F7"/>
    <w:rsid w:val="00DE2860"/>
    <w:rsid w:val="00DE3B20"/>
    <w:rsid w:val="00DE3BB6"/>
    <w:rsid w:val="00DE580C"/>
    <w:rsid w:val="00DE6C94"/>
    <w:rsid w:val="00DE6F1C"/>
    <w:rsid w:val="00DE6FD7"/>
    <w:rsid w:val="00DF0A7B"/>
    <w:rsid w:val="00DF0C7C"/>
    <w:rsid w:val="00E0301C"/>
    <w:rsid w:val="00E04E6D"/>
    <w:rsid w:val="00E064D9"/>
    <w:rsid w:val="00E10B18"/>
    <w:rsid w:val="00E1136B"/>
    <w:rsid w:val="00E23271"/>
    <w:rsid w:val="00E2379B"/>
    <w:rsid w:val="00E24F80"/>
    <w:rsid w:val="00E259F3"/>
    <w:rsid w:val="00E30985"/>
    <w:rsid w:val="00E31101"/>
    <w:rsid w:val="00E331A7"/>
    <w:rsid w:val="00E33238"/>
    <w:rsid w:val="00E33934"/>
    <w:rsid w:val="00E376B7"/>
    <w:rsid w:val="00E40730"/>
    <w:rsid w:val="00E429AC"/>
    <w:rsid w:val="00E42F5D"/>
    <w:rsid w:val="00E4486C"/>
    <w:rsid w:val="00E460B6"/>
    <w:rsid w:val="00E479B1"/>
    <w:rsid w:val="00E47CA3"/>
    <w:rsid w:val="00E511D5"/>
    <w:rsid w:val="00E51AB5"/>
    <w:rsid w:val="00E52321"/>
    <w:rsid w:val="00E53A9F"/>
    <w:rsid w:val="00E54D4B"/>
    <w:rsid w:val="00E56781"/>
    <w:rsid w:val="00E57349"/>
    <w:rsid w:val="00E60249"/>
    <w:rsid w:val="00E61DEF"/>
    <w:rsid w:val="00E620CE"/>
    <w:rsid w:val="00E62238"/>
    <w:rsid w:val="00E65232"/>
    <w:rsid w:val="00E65269"/>
    <w:rsid w:val="00E6764F"/>
    <w:rsid w:val="00E677EF"/>
    <w:rsid w:val="00E719D4"/>
    <w:rsid w:val="00E76D66"/>
    <w:rsid w:val="00E861E9"/>
    <w:rsid w:val="00E871A2"/>
    <w:rsid w:val="00E8764C"/>
    <w:rsid w:val="00E92D7F"/>
    <w:rsid w:val="00E95736"/>
    <w:rsid w:val="00EA09EF"/>
    <w:rsid w:val="00EA0D7A"/>
    <w:rsid w:val="00EA796A"/>
    <w:rsid w:val="00EB1856"/>
    <w:rsid w:val="00EC50CE"/>
    <w:rsid w:val="00EC5B34"/>
    <w:rsid w:val="00ED021E"/>
    <w:rsid w:val="00ED323C"/>
    <w:rsid w:val="00EE2D5C"/>
    <w:rsid w:val="00EE4ADE"/>
    <w:rsid w:val="00EE4DE8"/>
    <w:rsid w:val="00EE5CB7"/>
    <w:rsid w:val="00F000BF"/>
    <w:rsid w:val="00F022BD"/>
    <w:rsid w:val="00F024FE"/>
    <w:rsid w:val="00F04A3C"/>
    <w:rsid w:val="00F04CD4"/>
    <w:rsid w:val="00F05AD4"/>
    <w:rsid w:val="00F10301"/>
    <w:rsid w:val="00F103BE"/>
    <w:rsid w:val="00F10EB6"/>
    <w:rsid w:val="00F13F07"/>
    <w:rsid w:val="00F140B2"/>
    <w:rsid w:val="00F16595"/>
    <w:rsid w:val="00F25970"/>
    <w:rsid w:val="00F2606D"/>
    <w:rsid w:val="00F311A9"/>
    <w:rsid w:val="00F31343"/>
    <w:rsid w:val="00F37381"/>
    <w:rsid w:val="00F5180D"/>
    <w:rsid w:val="00F54E74"/>
    <w:rsid w:val="00F5778C"/>
    <w:rsid w:val="00F63781"/>
    <w:rsid w:val="00F67496"/>
    <w:rsid w:val="00F7421E"/>
    <w:rsid w:val="00F801BA"/>
    <w:rsid w:val="00F807AD"/>
    <w:rsid w:val="00F82CBF"/>
    <w:rsid w:val="00F831E7"/>
    <w:rsid w:val="00F84134"/>
    <w:rsid w:val="00F86028"/>
    <w:rsid w:val="00F9095E"/>
    <w:rsid w:val="00F9184D"/>
    <w:rsid w:val="00F9366A"/>
    <w:rsid w:val="00F946C9"/>
    <w:rsid w:val="00FA0EA5"/>
    <w:rsid w:val="00FA68C7"/>
    <w:rsid w:val="00FA74EE"/>
    <w:rsid w:val="00FB0A5B"/>
    <w:rsid w:val="00FB1B8E"/>
    <w:rsid w:val="00FC3711"/>
    <w:rsid w:val="00FC46E7"/>
    <w:rsid w:val="00FC5887"/>
    <w:rsid w:val="00FC5D25"/>
    <w:rsid w:val="00FC7A1B"/>
    <w:rsid w:val="00FD0D7E"/>
    <w:rsid w:val="00FD16B3"/>
    <w:rsid w:val="00FD16C4"/>
    <w:rsid w:val="00FD1BBA"/>
    <w:rsid w:val="00FD362F"/>
    <w:rsid w:val="00FD4789"/>
    <w:rsid w:val="00FD47FE"/>
    <w:rsid w:val="00FD4FFB"/>
    <w:rsid w:val="00FE022F"/>
    <w:rsid w:val="00FE3B69"/>
    <w:rsid w:val="00FE4B14"/>
    <w:rsid w:val="00FE6E13"/>
    <w:rsid w:val="00FE7D38"/>
    <w:rsid w:val="00FF157E"/>
    <w:rsid w:val="00FF15F6"/>
    <w:rsid w:val="00FF527C"/>
    <w:rsid w:val="00FF65CD"/>
    <w:rsid w:val="00FF70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DDF21"/>
  <w15:docId w15:val="{B3F8DCB8-B500-49EA-8BEE-A9BFED2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8"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8E1"/>
    <w:rPr>
      <w:rFonts w:ascii="Segoe UI" w:hAnsi="Segoe UI"/>
      <w:sz w:val="21"/>
      <w:lang w:eastAsia="en-GB"/>
    </w:rPr>
  </w:style>
  <w:style w:type="paragraph" w:styleId="Heading1">
    <w:name w:val="heading 1"/>
    <w:basedOn w:val="Normal"/>
    <w:next w:val="Normal"/>
    <w:link w:val="Heading1Char"/>
    <w:qFormat/>
    <w:rsid w:val="005D50B6"/>
    <w:pPr>
      <w:pageBreakBefore/>
      <w:spacing w:after="360"/>
      <w:outlineLvl w:val="0"/>
    </w:pPr>
    <w:rPr>
      <w:b/>
      <w:color w:val="1B83A0" w:themeColor="text1"/>
      <w:spacing w:val="-10"/>
      <w:sz w:val="72"/>
    </w:rPr>
  </w:style>
  <w:style w:type="paragraph" w:styleId="Heading2">
    <w:name w:val="heading 2"/>
    <w:basedOn w:val="Normal"/>
    <w:next w:val="Normal"/>
    <w:link w:val="Heading2Char"/>
    <w:qFormat/>
    <w:rsid w:val="00BB4136"/>
    <w:pPr>
      <w:keepNext/>
      <w:spacing w:before="480" w:after="180"/>
      <w:outlineLvl w:val="1"/>
    </w:pPr>
    <w:rPr>
      <w:b/>
      <w:color w:val="1B83A0" w:themeColor="text1"/>
      <w:spacing w:val="-5"/>
      <w:sz w:val="48"/>
    </w:rPr>
  </w:style>
  <w:style w:type="paragraph" w:styleId="Heading3">
    <w:name w:val="heading 3"/>
    <w:basedOn w:val="Normal"/>
    <w:next w:val="Normal"/>
    <w:link w:val="Heading3Char"/>
    <w:qFormat/>
    <w:rsid w:val="00BB4136"/>
    <w:pPr>
      <w:keepNext/>
      <w:numPr>
        <w:ilvl w:val="2"/>
        <w:numId w:val="5"/>
      </w:numPr>
      <w:spacing w:before="360" w:after="180"/>
      <w:outlineLvl w:val="2"/>
    </w:pPr>
    <w:rPr>
      <w:color w:val="1B83A0" w:themeColor="text1"/>
      <w:spacing w:val="-5"/>
      <w:sz w:val="36"/>
    </w:rPr>
  </w:style>
  <w:style w:type="paragraph" w:styleId="Heading4">
    <w:name w:val="heading 4"/>
    <w:basedOn w:val="Normal"/>
    <w:next w:val="Normal"/>
    <w:link w:val="Heading4Char"/>
    <w:qFormat/>
    <w:rsid w:val="00BB4136"/>
    <w:pPr>
      <w:keepNext/>
      <w:spacing w:before="240" w:after="120"/>
      <w:outlineLvl w:val="3"/>
    </w:pPr>
    <w:rPr>
      <w:color w:val="1B83A0" w:themeColor="text1"/>
      <w:spacing w:val="-5"/>
      <w:sz w:val="28"/>
    </w:rPr>
  </w:style>
  <w:style w:type="paragraph" w:styleId="Heading5">
    <w:name w:val="heading 5"/>
    <w:basedOn w:val="Normal"/>
    <w:next w:val="Normal"/>
    <w:link w:val="Heading5Char"/>
    <w:qFormat/>
    <w:rsid w:val="00BB4136"/>
    <w:pPr>
      <w:keepNext/>
      <w:spacing w:before="120" w:after="120"/>
      <w:outlineLvl w:val="4"/>
    </w:pPr>
    <w:rPr>
      <w:color w:val="1B83A0" w:themeColor="text1"/>
      <w:spacing w:val="-5"/>
      <w:sz w:val="22"/>
    </w:rPr>
  </w:style>
  <w:style w:type="paragraph" w:styleId="Heading6">
    <w:name w:val="heading 6"/>
    <w:basedOn w:val="Normal"/>
    <w:next w:val="Normal"/>
    <w:link w:val="Heading6Char"/>
    <w:unhideWhenUsed/>
    <w:qFormat/>
    <w:rsid w:val="00BB4136"/>
    <w:pPr>
      <w:keepNext/>
      <w:spacing w:before="120" w:after="120"/>
      <w:outlineLvl w:val="5"/>
    </w:pPr>
    <w:rPr>
      <w:rFonts w:eastAsia="MS Gothic"/>
      <w:iCs/>
      <w:color w:val="1B83A0" w:themeColor="text1"/>
      <w:spacing w:val="-5"/>
      <w:szCs w:val="24"/>
      <w:lang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50B6"/>
    <w:rPr>
      <w:rFonts w:ascii="Segoe UI" w:hAnsi="Segoe UI"/>
      <w:b/>
      <w:color w:val="1B83A0" w:themeColor="text1"/>
      <w:spacing w:val="-10"/>
      <w:sz w:val="72"/>
      <w:lang w:eastAsia="en-GB"/>
    </w:rPr>
  </w:style>
  <w:style w:type="character" w:customStyle="1" w:styleId="Heading2Char">
    <w:name w:val="Heading 2 Char"/>
    <w:link w:val="Heading2"/>
    <w:rsid w:val="00BB4136"/>
    <w:rPr>
      <w:rFonts w:ascii="Segoe UI" w:hAnsi="Segoe UI"/>
      <w:b/>
      <w:color w:val="1B83A0" w:themeColor="text1"/>
      <w:spacing w:val="-5"/>
      <w:sz w:val="48"/>
      <w:lang w:eastAsia="en-GB"/>
    </w:rPr>
  </w:style>
  <w:style w:type="character" w:customStyle="1" w:styleId="Heading3Char">
    <w:name w:val="Heading 3 Char"/>
    <w:link w:val="Heading3"/>
    <w:rsid w:val="00BB4136"/>
    <w:rPr>
      <w:rFonts w:ascii="Segoe UI" w:hAnsi="Segoe UI"/>
      <w:color w:val="1B83A0" w:themeColor="text1"/>
      <w:spacing w:val="-5"/>
      <w:sz w:val="36"/>
      <w:lang w:eastAsia="en-GB"/>
    </w:rPr>
  </w:style>
  <w:style w:type="character" w:customStyle="1" w:styleId="Heading4Char">
    <w:name w:val="Heading 4 Char"/>
    <w:link w:val="Heading4"/>
    <w:rsid w:val="00BB4136"/>
    <w:rPr>
      <w:rFonts w:ascii="Segoe UI" w:hAnsi="Segoe UI"/>
      <w:color w:val="1B83A0" w:themeColor="text1"/>
      <w:spacing w:val="-5"/>
      <w:sz w:val="28"/>
      <w:lang w:eastAsia="en-GB"/>
    </w:rPr>
  </w:style>
  <w:style w:type="character" w:customStyle="1" w:styleId="Heading5Char">
    <w:name w:val="Heading 5 Char"/>
    <w:link w:val="Heading5"/>
    <w:rsid w:val="00BB4136"/>
    <w:rPr>
      <w:rFonts w:ascii="Segoe UI" w:hAnsi="Segoe UI"/>
      <w:color w:val="1B83A0" w:themeColor="text1"/>
      <w:spacing w:val="-5"/>
      <w:sz w:val="22"/>
      <w:lang w:eastAsia="en-GB"/>
    </w:rPr>
  </w:style>
  <w:style w:type="character" w:customStyle="1" w:styleId="Heading6Char">
    <w:name w:val="Heading 6 Char"/>
    <w:basedOn w:val="DefaultParagraphFont"/>
    <w:link w:val="Heading6"/>
    <w:rsid w:val="00BB4136"/>
    <w:rPr>
      <w:rFonts w:ascii="Segoe UI" w:eastAsia="MS Gothic" w:hAnsi="Segoe UI"/>
      <w:iCs/>
      <w:color w:val="1B83A0" w:themeColor="text1"/>
      <w:spacing w:val="-5"/>
      <w:sz w:val="21"/>
      <w:szCs w:val="24"/>
      <w:lang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spacing w:before="90"/>
    </w:pPr>
  </w:style>
  <w:style w:type="character" w:customStyle="1" w:styleId="BulletChar">
    <w:name w:val="Bullet Char"/>
    <w:link w:val="Bullet"/>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8"/>
    <w:rsid w:val="00285080"/>
    <w:pPr>
      <w:spacing w:after="60"/>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D50B6"/>
    <w:pPr>
      <w:spacing w:line="216" w:lineRule="auto"/>
      <w:ind w:left="709" w:right="567"/>
    </w:pPr>
    <w:rPr>
      <w:rFonts w:cs="Lucida Sans Unicode"/>
      <w:b/>
      <w:caps/>
      <w:color w:val="1B83A0" w:themeColor="text1"/>
      <w:sz w:val="72"/>
      <w:szCs w:val="72"/>
    </w:rPr>
  </w:style>
  <w:style w:type="character" w:customStyle="1" w:styleId="TitleChar">
    <w:name w:val="Title Char"/>
    <w:link w:val="Title"/>
    <w:rsid w:val="005D50B6"/>
    <w:rPr>
      <w:rFonts w:ascii="Segoe UI" w:hAnsi="Segoe UI" w:cs="Lucida Sans Unicode"/>
      <w:b/>
      <w:caps/>
      <w:color w:val="1B83A0" w:themeColor="text1"/>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8"/>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FF157E"/>
    <w:pPr>
      <w:spacing w:before="60" w:after="60"/>
    </w:pPr>
    <w:rPr>
      <w:sz w:val="20"/>
    </w:rPr>
  </w:style>
  <w:style w:type="paragraph" w:customStyle="1" w:styleId="TableBullet">
    <w:name w:val="TableBullet"/>
    <w:basedOn w:val="TableText"/>
    <w:qFormat/>
    <w:rsid w:val="00FF157E"/>
    <w:pPr>
      <w:numPr>
        <w:numId w:val="4"/>
      </w:numPr>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4A469A"/>
    <w:pPr>
      <w:spacing w:before="360"/>
      <w:ind w:left="709"/>
    </w:pPr>
    <w:rPr>
      <w:rFonts w:cs="Segoe UI Semibold"/>
      <w:b/>
      <w:color w:val="1B83A0" w:themeColor="text1"/>
      <w:sz w:val="48"/>
      <w:szCs w:val="26"/>
    </w:rPr>
  </w:style>
  <w:style w:type="paragraph" w:customStyle="1" w:styleId="Year">
    <w:name w:val="Year"/>
    <w:basedOn w:val="Subhead"/>
    <w:next w:val="Subhead"/>
    <w:qFormat/>
    <w:rsid w:val="00D659BF"/>
    <w:pPr>
      <w:spacing w:before="720"/>
    </w:pPr>
    <w:rPr>
      <w:sz w:val="36"/>
    </w:rPr>
  </w:style>
  <w:style w:type="character" w:styleId="Hyperlink">
    <w:name w:val="Hyperlink"/>
    <w:uiPriority w:val="99"/>
    <w:rsid w:val="007327B0"/>
    <w:rPr>
      <w:b/>
      <w:color w:val="595959"/>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BB4136"/>
    <w:pPr>
      <w:numPr>
        <w:numId w:val="3"/>
      </w:numPr>
      <w:spacing w:before="0"/>
      <w:ind w:left="568" w:hanging="284"/>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numPr>
        <w:ilvl w:val="5"/>
        <w:numId w:val="5"/>
      </w:num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unhideWhenUsed/>
    <w:rsid w:val="0082081A"/>
    <w:rPr>
      <w:sz w:val="48"/>
    </w:rPr>
  </w:style>
  <w:style w:type="character" w:customStyle="1" w:styleId="CommentTextChar">
    <w:name w:val="Comment Text Char"/>
    <w:basedOn w:val="DefaultParagraphFont"/>
    <w:link w:val="CommentText"/>
    <w:uiPriority w:val="99"/>
    <w:rsid w:val="0082081A"/>
    <w:rPr>
      <w:rFonts w:ascii="Segoe UI" w:hAnsi="Segoe UI"/>
      <w:sz w:val="48"/>
      <w:lang w:eastAsia="en-GB"/>
    </w:rPr>
  </w:style>
  <w:style w:type="paragraph" w:styleId="CommentSubject">
    <w:name w:val="annotation subject"/>
    <w:basedOn w:val="CommentText"/>
    <w:next w:val="CommentText"/>
    <w:link w:val="CommentSubjectChar"/>
    <w:semiHidden/>
    <w:unhideWhenUsed/>
    <w:rsid w:val="0082081A"/>
    <w:rPr>
      <w:b/>
      <w:bCs/>
    </w:rPr>
  </w:style>
  <w:style w:type="character" w:customStyle="1" w:styleId="CommentSubjectChar">
    <w:name w:val="Comment Subject Char"/>
    <w:basedOn w:val="CommentTextChar"/>
    <w:link w:val="CommentSubject"/>
    <w:semiHidden/>
    <w:rsid w:val="0082081A"/>
    <w:rPr>
      <w:rFonts w:ascii="Segoe UI" w:hAnsi="Segoe UI"/>
      <w:b/>
      <w:bCs/>
      <w:sz w:val="48"/>
      <w:lang w:eastAsia="en-GB"/>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1">
    <w:name w:val="Appendix Heading 1"/>
    <w:basedOn w:val="Heading1"/>
    <w:next w:val="Normal"/>
    <w:qFormat/>
    <w:rsid w:val="009220F3"/>
    <w:rPr>
      <w:lang w:eastAsia="en-US"/>
    </w:rPr>
  </w:style>
  <w:style w:type="paragraph" w:styleId="ListParagraph">
    <w:name w:val="List Paragraph"/>
    <w:aliases w:val="Rec para,List Paragraph1,List Paragraph11,Bullet Normal,Paragraph Lvl1,Level 3,List Paragraph numbered,List Bullet indent,Normal text,numbered,FooterText,Paragraphe de liste1,Bulletr List Paragraph,列出段落,列出段落1,Bullet List,#List Paragraph,L"/>
    <w:basedOn w:val="Normal"/>
    <w:link w:val="ListParagraphChar"/>
    <w:uiPriority w:val="34"/>
    <w:qFormat/>
    <w:rsid w:val="00E719D4"/>
    <w:pPr>
      <w:spacing w:line="264" w:lineRule="auto"/>
      <w:ind w:left="720"/>
      <w:contextualSpacing/>
    </w:pPr>
    <w:rPr>
      <w:rFonts w:ascii="Georgia" w:hAnsi="Georgia"/>
      <w:sz w:val="22"/>
    </w:rPr>
  </w:style>
  <w:style w:type="character" w:customStyle="1" w:styleId="ListParagraphChar">
    <w:name w:val="List Paragraph Char"/>
    <w:aliases w:val="Rec para Char,List Paragraph1 Char,List Paragraph11 Char,Bullet Normal Char,Paragraph Lvl1 Char,Level 3 Char,List Paragraph numbered Char,List Bullet indent Char,Normal text Char,numbered Char,FooterText Char,列出段落 Char,列出段落1 Char"/>
    <w:basedOn w:val="DefaultParagraphFont"/>
    <w:link w:val="ListParagraph"/>
    <w:uiPriority w:val="34"/>
    <w:qFormat/>
    <w:rsid w:val="00E719D4"/>
    <w:rPr>
      <w:rFonts w:ascii="Georgia" w:hAnsi="Georgia"/>
      <w:sz w:val="22"/>
      <w:lang w:eastAsia="en-GB"/>
    </w:rPr>
  </w:style>
  <w:style w:type="character" w:styleId="UnresolvedMention">
    <w:name w:val="Unresolved Mention"/>
    <w:basedOn w:val="DefaultParagraphFont"/>
    <w:uiPriority w:val="99"/>
    <w:semiHidden/>
    <w:unhideWhenUsed/>
    <w:rsid w:val="001F1BD6"/>
    <w:rPr>
      <w:color w:val="605E5C"/>
      <w:shd w:val="clear" w:color="auto" w:fill="E1DFDD"/>
    </w:rPr>
  </w:style>
  <w:style w:type="paragraph" w:customStyle="1" w:styleId="Bulletsquare">
    <w:name w:val="Bullet square"/>
    <w:qFormat/>
    <w:rsid w:val="00217286"/>
    <w:pPr>
      <w:numPr>
        <w:numId w:val="7"/>
      </w:numPr>
      <w:spacing w:before="60"/>
    </w:pPr>
    <w:rPr>
      <w:rFonts w:ascii="Segoe UI" w:hAnsi="Segoe UI"/>
      <w:sz w:val="21"/>
      <w:lang w:eastAsia="en-GB"/>
    </w:rPr>
  </w:style>
  <w:style w:type="paragraph" w:customStyle="1" w:styleId="DHHStabletext">
    <w:name w:val="DHHS table text"/>
    <w:uiPriority w:val="3"/>
    <w:qFormat/>
    <w:rsid w:val="0097019F"/>
    <w:pPr>
      <w:spacing w:before="80" w:after="60"/>
    </w:pPr>
    <w:rPr>
      <w:rFonts w:ascii="Arial" w:hAnsi="Arial"/>
      <w:lang w:val="en-AU" w:eastAsia="en-US"/>
    </w:rPr>
  </w:style>
  <w:style w:type="paragraph" w:styleId="ListBullet">
    <w:name w:val="List Bullet"/>
    <w:basedOn w:val="Normal"/>
    <w:unhideWhenUsed/>
    <w:rsid w:val="0038357E"/>
    <w:pPr>
      <w:numPr>
        <w:numId w:val="13"/>
      </w:numPr>
      <w:contextualSpacing/>
    </w:pPr>
  </w:style>
  <w:style w:type="paragraph" w:customStyle="1" w:styleId="Tablenumberedlist">
    <w:name w:val="Table numbered list"/>
    <w:basedOn w:val="TableBullet"/>
    <w:qFormat/>
    <w:rsid w:val="00425F8C"/>
    <w:pPr>
      <w:numPr>
        <w:numId w:val="14"/>
      </w:numPr>
    </w:pPr>
  </w:style>
  <w:style w:type="character" w:styleId="FollowedHyperlink">
    <w:name w:val="FollowedHyperlink"/>
    <w:basedOn w:val="DefaultParagraphFont"/>
    <w:semiHidden/>
    <w:unhideWhenUsed/>
    <w:rsid w:val="00E0301C"/>
    <w:rPr>
      <w:color w:val="595959" w:themeColor="followedHyperlink"/>
      <w:u w:val="single"/>
    </w:rPr>
  </w:style>
  <w:style w:type="table" w:styleId="TableGridLight">
    <w:name w:val="Grid Table Light"/>
    <w:basedOn w:val="TableNormal"/>
    <w:uiPriority w:val="40"/>
    <w:rsid w:val="003B1034"/>
    <w:tblPr>
      <w:tblBorders>
        <w:top w:val="single" w:sz="4" w:space="0" w:color="388283" w:themeColor="background1" w:themeShade="BF"/>
        <w:left w:val="single" w:sz="4" w:space="0" w:color="388283" w:themeColor="background1" w:themeShade="BF"/>
        <w:bottom w:val="single" w:sz="4" w:space="0" w:color="388283" w:themeColor="background1" w:themeShade="BF"/>
        <w:right w:val="single" w:sz="4" w:space="0" w:color="388283" w:themeColor="background1" w:themeShade="BF"/>
        <w:insideH w:val="single" w:sz="4" w:space="0" w:color="388283" w:themeColor="background1" w:themeShade="BF"/>
        <w:insideV w:val="single" w:sz="4" w:space="0" w:color="388283" w:themeColor="background1" w:themeShade="BF"/>
      </w:tblBorders>
    </w:tblPr>
  </w:style>
  <w:style w:type="paragraph" w:styleId="Caption">
    <w:name w:val="caption"/>
    <w:basedOn w:val="Normal"/>
    <w:next w:val="Normal"/>
    <w:unhideWhenUsed/>
    <w:qFormat/>
    <w:rsid w:val="00681739"/>
    <w:pPr>
      <w:spacing w:after="200"/>
    </w:pPr>
    <w:rPr>
      <w:i/>
      <w:iCs/>
      <w:color w:val="23305D" w:themeColor="text2"/>
      <w:sz w:val="18"/>
      <w:szCs w:val="18"/>
    </w:rPr>
  </w:style>
  <w:style w:type="paragraph" w:styleId="TableofFigures">
    <w:name w:val="table of figures"/>
    <w:basedOn w:val="Normal"/>
    <w:next w:val="Normal"/>
    <w:uiPriority w:val="99"/>
    <w:unhideWhenUsed/>
    <w:qFormat/>
    <w:rsid w:val="00E54D4B"/>
    <w:pPr>
      <w:tabs>
        <w:tab w:val="right" w:pos="7512"/>
      </w:tabs>
      <w:spacing w:before="60"/>
      <w:ind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hyperlink" Target="https://aus01.safelinks.protection.outlook.com/?url=https%3A%2F%2Fwww.worksafe.govt.nz%2Ftopic-and-industry%2Fpersonal-protective-equipment-ppe%2Fpersonal-protective-equipment-a-guide-for-businesses%2F&amp;data=05%7C02%7CClaire.Whelen%40regulation.govt.nz%7Cd000cf5154e64ca861c508ddb3737ac0%7C92656f235f8549c9a87ca51c1e03ca1b%7C0%7C0%7C638864030804677675%7CUnknown%7CTWFpbGZsb3d8eyJFbXB0eU1hcGkiOnRydWUsIlYiOiIwLjAuMDAwMCIsIlAiOiJXaW4zMiIsIkFOIjoiTWFpbCIsIldUIjoyfQ%3D%3D%7C0%7C%7C%7C&amp;sdata=v4%2BDsgj31U96fsKPlEKASeoHflW6QyvrusoBFxxYKOs%3D&amp;reserved=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4.xml"/><Relationship Id="rId33" Type="http://schemas.openxmlformats.org/officeDocument/2006/relationships/hyperlink" Target="https://aus01.safelinks.protection.outlook.com/?url=https%3A%2F%2Fwww.worksafe.govt.nz%2Ftopic-and-industry%2Fpersonal-protective-equipment-ppe%2Fpersonal-protective-equipment-a-guide-for-businesses%2F&amp;data=05%7C02%7CClaire.Whelen%40regulation.govt.nz%7Cd000cf5154e64ca861c508ddb3737ac0%7C92656f235f8549c9a87ca51c1e03ca1b%7C0%7C0%7C638864030804677675%7CUnknown%7CTWFpbGZsb3d8eyJFbXB0eU1hcGkiOnRydWUsIlYiOiIwLjAuMDAwMCIsIlAiOiJXaW4zMiIsIkFOIjoiTWFpbCIsIldUIjoyfQ%3D%3D%7C0%7C%7C%7C&amp;sdata=v4%2BDsgj31U96fsKPlEKASeoHflW6QyvrusoBFxxYKOs%3D&amp;reserved=0" TargetMode="External"/><Relationship Id="rId38"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hyperlink" Target="mailto:info@health.govt.nz" TargetMode="External"/><Relationship Id="rId20" Type="http://schemas.openxmlformats.org/officeDocument/2006/relationships/image" Target="media/image6.png"/><Relationship Id="rId29" Type="http://schemas.openxmlformats.org/officeDocument/2006/relationships/hyperlink" Target="https://www.health.govt.nz/publications/guidelines-for-the-safe-piercing-of-skin"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mohgovtnz-my.sharepoint.com/personal/julianne_ryan_health_govt_nz/Documents/Desktop/worksafe.govt.nz/managing-health-and-safety/getting-started/understanding-the-law/primary-duty-of-care" TargetMode="External"/><Relationship Id="rId37" Type="http://schemas.openxmlformats.org/officeDocument/2006/relationships/hyperlink" Target="https://www.epa.govt.nz/hazardous-substances/rules-notices-and-how-to-comply/specific-substance-guidance/cosmetics/" TargetMode="Externa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https://www.tewhatuora.govt.nz/health-services-and-programmes/national-public-health-service/contact-public-health-services" TargetMode="External"/><Relationship Id="rId36" Type="http://schemas.openxmlformats.org/officeDocument/2006/relationships/hyperlink" Target="https://www.worksafe.govt.nz/notifications/" TargetMode="External"/><Relationship Id="rId10" Type="http://schemas.openxmlformats.org/officeDocument/2006/relationships/webSettings" Target="webSettings.xml"/><Relationship Id="rId19" Type="http://schemas.openxmlformats.org/officeDocument/2006/relationships/hyperlink" Target="http://www.health.govt.nz" TargetMode="External"/><Relationship Id="rId31" Type="http://schemas.openxmlformats.org/officeDocument/2006/relationships/hyperlink" Target="https://www.worksafe.govt.nz/managing-health-and-safety/businesses/general-requirements-for-workplaces/"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healthify.nz/hauora-wellbeing/h/hand-washing" TargetMode="External"/><Relationship Id="rId30" Type="http://schemas.openxmlformats.org/officeDocument/2006/relationships/hyperlink" Target="https://www.worksafe.govt.nz/managing-health-and-safety/businesses/general-requirements-for-workplaces/" TargetMode="External"/><Relationship Id="rId35" Type="http://schemas.openxmlformats.org/officeDocument/2006/relationships/hyperlink" Target="https://www.worksafe.govt.nz/topic-and-industry/contact-dermatiti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www.health.vic.gov.au/publications/infection-prevention-and-control-guidelines-for-hair-beauty-tattooing-and-skin" TargetMode="External"/><Relationship Id="rId3" Type="http://schemas.openxmlformats.org/officeDocument/2006/relationships/hyperlink" Target="https://www.safework.nsw.gov.au/safety-alerts/safety-alerts/potential-exposure-to-formaldehyde-whilst-using-keratin-treatments" TargetMode="External"/><Relationship Id="rId7" Type="http://schemas.openxmlformats.org/officeDocument/2006/relationships/hyperlink" Target="https://doi.org/10.1086/650197" TargetMode="External"/><Relationship Id="rId2" Type="http://schemas.openxmlformats.org/officeDocument/2006/relationships/hyperlink" Target="http://osha.gov/hair-salons" TargetMode="External"/><Relationship Id="rId1" Type="http://schemas.openxmlformats.org/officeDocument/2006/relationships/hyperlink" Target="http://worksafe.govt.nz/managing-health-and-safety/managing-risks/what-risk-looks-like-in-your-industry/hairdressing" TargetMode="External"/><Relationship Id="rId6" Type="http://schemas.openxmlformats.org/officeDocument/2006/relationships/hyperlink" Target="https://www.health.wa.gov.au/Articles/F_I/Hairdressers-and-barbers" TargetMode="External"/><Relationship Id="rId11" Type="http://schemas.openxmlformats.org/officeDocument/2006/relationships/hyperlink" Target="https://www.health.wa.gov.au/Articles/F_I/Hairdressers-and-barbers" TargetMode="External"/><Relationship Id="rId5" Type="http://schemas.openxmlformats.org/officeDocument/2006/relationships/hyperlink" Target="https://tikatangata.org.nz/resources-and-support/guidelines/disability-assist-dogs-and-rights-of-access" TargetMode="External"/><Relationship Id="rId10" Type="http://schemas.openxmlformats.org/officeDocument/2006/relationships/hyperlink" Target="https://www.health.wa.gov.au/Articles/F_I/Hairdressers-and-barbers" TargetMode="External"/><Relationship Id="rId4" Type="http://schemas.openxmlformats.org/officeDocument/2006/relationships/hyperlink" Target="http://www.info.health.nz/keeping-healthy/healthy-homes-environments/ventilation" TargetMode="External"/><Relationship Id="rId9" Type="http://schemas.openxmlformats.org/officeDocument/2006/relationships/hyperlink" Target="https://www.health.wa.gov.au/Articles/F_I/Hairdressers-and-barb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PHA">
      <a:dk1>
        <a:srgbClr val="1B83A0"/>
      </a:dk1>
      <a:lt1>
        <a:srgbClr val="4BAFB0"/>
      </a:lt1>
      <a:dk2>
        <a:srgbClr val="23305D"/>
      </a:dk2>
      <a:lt2>
        <a:srgbClr val="1F806A"/>
      </a:lt2>
      <a:accent1>
        <a:srgbClr val="ED6C77"/>
      </a:accent1>
      <a:accent2>
        <a:srgbClr val="181F1B"/>
      </a:accent2>
      <a:accent3>
        <a:srgbClr val="00A870"/>
      </a:accent3>
      <a:accent4>
        <a:srgbClr val="F7D345"/>
      </a:accent4>
      <a:accent5>
        <a:srgbClr val="E9D1C0"/>
      </a:accent5>
      <a:accent6>
        <a:srgbClr val="1B83A0"/>
      </a:accent6>
      <a:hlink>
        <a:srgbClr val="595959"/>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E94C3B72383DE4DAA17349E0BBF25260069126225D93D7541A2EFB409E3B58C8E" ma:contentTypeVersion="103" ma:contentTypeDescription="Create a new document." ma:contentTypeScope="" ma:versionID="799fa5275d53ee0752c04e02c046eb12">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184c05c4-c568-455d-94a4-7e009b164348" xmlns:ns7="4bc94a7c-7569-4fbb-8659-844ab51341fc" xmlns:ns8="ae6286d3-d275-4646-bfa4-fea4f0262c14" targetNamespace="http://schemas.microsoft.com/office/2006/metadata/properties" ma:root="true" ma:fieldsID="3000dd77e6e41afedd7bae92f6a28ca0" ns2:_="" ns3:_="" ns4:_="" ns5:_="" ns6:_="" ns7:_="" ns8:_="">
    <xsd:import namespace="4f9c820c-e7e2-444d-97ee-45f2b3485c1d"/>
    <xsd:import namespace="15ffb055-6eb4-45a1-bc20-bf2ac0d420da"/>
    <xsd:import namespace="725c79e5-42ce-4aa0-ac78-b6418001f0d2"/>
    <xsd:import namespace="c91a514c-9034-4fa3-897a-8352025b26ed"/>
    <xsd:import namespace="184c05c4-c568-455d-94a4-7e009b164348"/>
    <xsd:import namespace="4bc94a7c-7569-4fbb-8659-844ab51341fc"/>
    <xsd:import namespace="ae6286d3-d275-4646-bfa4-fea4f0262c14"/>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5:OverrideLabel" minOccurs="0"/>
                <xsd:element ref="ns5:SetLabel" minOccurs="0"/>
                <xsd:element ref="ns6:HasNHI" minOccurs="0"/>
                <xsd:element ref="ns6:zLegacy" minOccurs="0"/>
                <xsd:element ref="ns6:zLegacyID" minOccurs="0"/>
                <xsd:element ref="ns6:zLegacyJSON" minOccurs="0"/>
                <xsd:element ref="ns6:CopiedFrom" minOccurs="0"/>
                <xsd:element ref="ns6:Endorsements" minOccurs="0"/>
                <xsd:element ref="ns7:Grouping1" minOccurs="0"/>
                <xsd:element ref="ns7:Grouping2" minOccurs="0"/>
                <xsd:element ref="ns7:Grouping3" minOccurs="0"/>
                <xsd:element ref="ns7:MediaServiceMetadata" minOccurs="0"/>
                <xsd:element ref="ns7:MediaServiceFastMetadata" minOccurs="0"/>
                <xsd:element ref="ns7:MediaServiceAutoKeyPoints" minOccurs="0"/>
                <xsd:element ref="ns7:MediaServiceKeyPoints" minOccurs="0"/>
                <xsd:element ref="ns7:jf3577cde54c4b7a82c1417aad6abab0" minOccurs="0"/>
                <xsd:element ref="ns8:TaxCatchAll" minOccurs="0"/>
                <xsd:element ref="ns7:ReviewDate" minOccurs="0"/>
                <xsd:element ref="ns7:TeWhare"/>
                <xsd:element ref="ns8:SharedWithUsers" minOccurs="0"/>
                <xsd:element ref="ns8:SharedWithDetails" minOccurs="0"/>
                <xsd:element ref="ns7:MediaServiceObjectDetectorVersions" minOccurs="0"/>
                <xsd:element ref="ns7:MediaServiceSearchProperties" minOccurs="0"/>
                <xsd:element ref="ns7:lcf76f155ced4ddcb4097134ff3c332f" minOccurs="0"/>
                <xsd:element ref="ns7:MediaServiceDateTaken" minOccurs="0"/>
                <xsd:element ref="ns7:MediaServiceGenerationTime" minOccurs="0"/>
                <xsd:element ref="ns7:MediaServiceEventHashCode"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NA" ma:hidden="true" ma:internalName="FunctionGroup" ma:readOnly="false">
      <xsd:simpleType>
        <xsd:restriction base="dms:Text">
          <xsd:maxLength value="255"/>
        </xsd:restriction>
      </xsd:simpleType>
    </xsd:element>
    <xsd:element name="Function" ma:index="19" nillable="true" ma:displayName="Function" ma:default="NA"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NA"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NA"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element name="OverrideLabel" ma:index="40" nillable="true" ma:displayName="Override Label" ma:hidden="true" ma:indexed="true" ma:internalName="OverrideLabel" ma:readOnly="false">
      <xsd:simpleType>
        <xsd:restriction base="dms:Text">
          <xsd:maxLength value="255"/>
        </xsd:restriction>
      </xsd:simpleType>
    </xsd:element>
    <xsd:element name="SetLabel" ma:index="41" nillable="true" ma:displayName="Set Label" ma:default="Retain" ma:hidden="true" ma:indexed="true" ma:internalName="Set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4bc94a7c-7569-4fbb-8659-844ab51341fc" elementFormDefault="qualified">
    <xsd:import namespace="http://schemas.microsoft.com/office/2006/documentManagement/types"/>
    <xsd:import namespace="http://schemas.microsoft.com/office/infopath/2007/PartnerControls"/>
    <xsd:element name="Grouping1" ma:index="48" nillable="true" ma:displayName="Grouping 1" ma:hidden="true" ma:internalName="Grouping1" ma:readOnly="false">
      <xsd:simpleType>
        <xsd:restriction base="dms:Text">
          <xsd:maxLength value="255"/>
        </xsd:restriction>
      </xsd:simpleType>
    </xsd:element>
    <xsd:element name="Grouping2" ma:index="49" nillable="true" ma:displayName="Grouping 2" ma:hidden="true" ma:internalName="Grouping2" ma:readOnly="false">
      <xsd:simpleType>
        <xsd:restriction base="dms:Text">
          <xsd:maxLength value="255"/>
        </xsd:restriction>
      </xsd:simpleType>
    </xsd:element>
    <xsd:element name="Grouping3" ma:index="50" nillable="true" ma:displayName="Grouping 3" ma:hidden="true" ma:internalName="Grouping3" ma:readOnly="false">
      <xsd:simpleType>
        <xsd:restriction base="dms:Text">
          <xsd:maxLength value="255"/>
        </xsd:restriction>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jf3577cde54c4b7a82c1417aad6abab0" ma:index="56" nillable="true" ma:taxonomy="true" ma:internalName="jf3577cde54c4b7a82c1417aad6abab0" ma:taxonomyFieldName="Template_x0020_Owner" ma:displayName="Template Owner" ma:default="" ma:fieldId="{3f3577cd-e54c-4b7a-82c1-417aad6abab0}" ma:sspId="0413e039-5297-4392-bfce-c6182202c714" ma:termSetId="8ed8c9ea-7052-4c1d-a4d7-b9c10bffea6f" ma:anchorId="00000000-0000-0000-0000-000000000000" ma:open="true" ma:isKeyword="false">
      <xsd:complexType>
        <xsd:sequence>
          <xsd:element ref="pc:Terms" minOccurs="0" maxOccurs="1"/>
        </xsd:sequence>
      </xsd:complexType>
    </xsd:element>
    <xsd:element name="ReviewDate" ma:index="58" nillable="true" ma:displayName="Review Date" ma:format="DateOnly" ma:internalName="ReviewDate">
      <xsd:simpleType>
        <xsd:restriction base="dms:DateTime"/>
      </xsd:simpleType>
    </xsd:element>
    <xsd:element name="TeWhare" ma:index="59" ma:displayName="Te Whare" ma:default="1" ma:description="Is the template required to be published on Te Whare" ma:format="Dropdown" ma:internalName="TeWhare">
      <xsd:simpleType>
        <xsd:restriction base="dms:Boolean"/>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6" nillable="true" ma:displayName="MediaServiceDateTaken" ma:hidden="true" ma:indexed="true" ma:internalName="MediaServiceDateTaken"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EventHashCode" ma:index="68" nillable="true" ma:displayName="MediaServiceEventHashCode" ma:hidden="true" ma:internalName="MediaServiceEventHashCode" ma:readOnly="true">
      <xsd:simpleType>
        <xsd:restriction base="dms:Text"/>
      </xsd:simpleType>
    </xsd:element>
    <xsd:element name="MediaServiceOCR" ma:index="6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86d3-d275-4646-bfa4-fea4f0262c14" elementFormDefault="qualified">
    <xsd:import namespace="http://schemas.microsoft.com/office/2006/documentManagement/types"/>
    <xsd:import namespace="http://schemas.microsoft.com/office/infopath/2007/PartnerControls"/>
    <xsd:element name="TaxCatchAll" ma:index="57" nillable="true" ma:displayName="Taxonomy Catch All Column" ma:hidden="true" ma:list="{4117140f-ac7f-4cc6-a192-63a9af5fde82}" ma:internalName="TaxCatchAll" ma:showField="CatchAllData" ma:web="ae6286d3-d275-4646-bfa4-fea4f0262c14">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NA</Activity>
    <AggregationStatus xmlns="4f9c820c-e7e2-444d-97ee-45f2b3485c1d">Normal</AggregationStatus>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NA</Team>
    <Project xmlns="4f9c820c-e7e2-444d-97ee-45f2b3485c1d">NA</Project>
    <HasNHI xmlns="184c05c4-c568-455d-94a4-7e009b164348">false</HasNHI>
    <FunctionGroup xmlns="4f9c820c-e7e2-444d-97ee-45f2b3485c1d">NA</FunctionGroup>
    <Function xmlns="4f9c820c-e7e2-444d-97ee-45f2b3485c1d">NA</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OverrideLabel xmlns="c91a514c-9034-4fa3-897a-8352025b26ed" xsi:nil="true"/>
    <TaxCatchAll xmlns="ae6286d3-d275-4646-bfa4-fea4f0262c14" xsi:nil="true"/>
    <SetLabel xmlns="c91a514c-9034-4fa3-897a-8352025b26ed">Retain</SetLabel>
    <Grouping1 xmlns="4bc94a7c-7569-4fbb-8659-844ab51341fc">Public Health Agency</Grouping1>
    <Grouping2 xmlns="4bc94a7c-7569-4fbb-8659-844ab51341fc" xsi:nil="true"/>
    <ReviewDate xmlns="4bc94a7c-7569-4fbb-8659-844ab51341fc">2024-11-12T11:00:00+00:00</ReviewDate>
    <jf3577cde54c4b7a82c1417aad6abab0 xmlns="4bc94a7c-7569-4fbb-8659-844ab51341fc">
      <Terms xmlns="http://schemas.microsoft.com/office/infopath/2007/PartnerControls"/>
    </jf3577cde54c4b7a82c1417aad6abab0>
    <Grouping3 xmlns="4bc94a7c-7569-4fbb-8659-844ab51341fc" xsi:nil="true"/>
    <TeWhare xmlns="4bc94a7c-7569-4fbb-8659-844ab51341fc">true</TeWhare>
    <lcf76f155ced4ddcb4097134ff3c332f xmlns="4bc94a7c-7569-4fbb-8659-844ab51341f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D84F-1838-49A4-8FD7-3467D4C5D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184c05c4-c568-455d-94a4-7e009b164348"/>
    <ds:schemaRef ds:uri="4bc94a7c-7569-4fbb-8659-844ab51341fc"/>
    <ds:schemaRef ds:uri="ae6286d3-d275-4646-bfa4-fea4f0262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739B-EA35-43A5-B87B-3DA48A61D57D}">
  <ds:schemaRefs>
    <ds:schemaRef ds:uri="http://schemas.microsoft.com/sharepoint/events"/>
  </ds:schemaRefs>
</ds:datastoreItem>
</file>

<file path=customXml/itemProps3.xml><?xml version="1.0" encoding="utf-8"?>
<ds:datastoreItem xmlns:ds="http://schemas.openxmlformats.org/officeDocument/2006/customXml" ds:itemID="{F6B3ED4C-218B-4DB2-89C5-E6EF926198C8}">
  <ds:schemaRefs>
    <ds:schemaRef ds:uri="http://schemas.microsoft.com/sharepoint/v3/contenttype/forms"/>
  </ds:schemaRefs>
</ds:datastoreItem>
</file>

<file path=customXml/itemProps4.xml><?xml version="1.0" encoding="utf-8"?>
<ds:datastoreItem xmlns:ds="http://schemas.openxmlformats.org/officeDocument/2006/customXml" ds:itemID="{BE620834-8276-447B-B203-7A086CE69B0C}">
  <ds:schemaRefs>
    <ds:schemaRef ds:uri="4bc94a7c-7569-4fbb-8659-844ab51341fc"/>
    <ds:schemaRef ds:uri="http://purl.org/dc/elements/1.1/"/>
    <ds:schemaRef ds:uri="http://schemas.microsoft.com/office/2006/metadata/properties"/>
    <ds:schemaRef ds:uri="http://schemas.microsoft.com/office/infopath/2007/PartnerControls"/>
    <ds:schemaRef ds:uri="15ffb055-6eb4-45a1-bc20-bf2ac0d420da"/>
    <ds:schemaRef ds:uri="4f9c820c-e7e2-444d-97ee-45f2b3485c1d"/>
    <ds:schemaRef ds:uri="http://schemas.openxmlformats.org/package/2006/metadata/core-properties"/>
    <ds:schemaRef ds:uri="http://purl.org/dc/terms/"/>
    <ds:schemaRef ds:uri="ae6286d3-d275-4646-bfa4-fea4f0262c14"/>
    <ds:schemaRef ds:uri="184c05c4-c568-455d-94a4-7e009b164348"/>
    <ds:schemaRef ds:uri="http://schemas.microsoft.com/office/2006/documentManagement/types"/>
    <ds:schemaRef ds:uri="c91a514c-9034-4fa3-897a-8352025b26ed"/>
    <ds:schemaRef ds:uri="725c79e5-42ce-4aa0-ac78-b6418001f0d2"/>
    <ds:schemaRef ds:uri="http://www.w3.org/XML/1998/namespace"/>
    <ds:schemaRef ds:uri="http://purl.org/dc/dcmitype/"/>
  </ds:schemaRefs>
</ds:datastoreItem>
</file>

<file path=customXml/itemProps5.xml><?xml version="1.0" encoding="utf-8"?>
<ds:datastoreItem xmlns:ds="http://schemas.openxmlformats.org/officeDocument/2006/customXml" ds:itemID="{1609F726-5FE5-445D-9EFF-165F64AD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53</TotalTime>
  <Pages>21</Pages>
  <Words>3341</Words>
  <Characters>23236</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Public health guidance for hairdressers and barbers</vt:lpstr>
    </vt:vector>
  </TitlesOfParts>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Guidance for Hairdressers and Barbers</dc:title>
  <dc:creator>Ministry of Health</dc:creator>
  <cp:lastModifiedBy>Ministry of Health</cp:lastModifiedBy>
  <cp:revision>35</cp:revision>
  <cp:lastPrinted>2025-07-16T01:48:00Z</cp:lastPrinted>
  <dcterms:created xsi:type="dcterms:W3CDTF">2025-07-14T03:48:00Z</dcterms:created>
  <dcterms:modified xsi:type="dcterms:W3CDTF">2025-07-16T01:48:00Z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0x0101001E94C3B72383DE4DAA17349E0BBF25260069126225D93D7541A2EFB409E3B58C8E</vt:lpwstr>
  </property>
  <property fmtid="{D5CDD505-2E9C-101B-9397-08002B2CF9AE}" pid="3" name="_dlc_DocIdItemGuid">
    <vt:lpwstr>ad35b2d6-b3ea-43d2-aef6-fd1044f21fb3</vt:lpwstr>
  </property>
  <property fmtid="{D5CDD505-2E9C-101B-9397-08002B2CF9AE}" pid="4" name="MediaServiceImageTags">
    <vt:lpwstr/>
  </property>
  <property fmtid="{D5CDD505-2E9C-101B-9397-08002B2CF9AE}" pid="5" name="_dlc_DocId">
    <vt:lpwstr>U5RCTUST6MMN-1850277579-668</vt:lpwstr>
  </property>
  <property fmtid="{D5CDD505-2E9C-101B-9397-08002B2CF9AE}" pid="6" name="_dlc_DocIdUrl">
    <vt:lpwstr>https://mohgovtnz.sharepoint.com/sites/moh-ecm-TemplateCentral/_layouts/15/DocIdRedir.aspx?ID=U5RCTUST6MMN-1850277579-668, U5RCTUST6MMN-1850277579-668</vt:lpwstr>
  </property>
  <property fmtid="{D5CDD505-2E9C-101B-9397-08002B2CF9AE}" pid="7" name="ReviewPeriod">
    <vt:lpwstr>12</vt:lpwstr>
  </property>
  <property fmtid="{D5CDD505-2E9C-101B-9397-08002B2CF9AE}" pid="8" name="TemplatePublishDate">
    <vt:filetime>2023-11-12T11:00:00Z</vt:filetime>
  </property>
  <property fmtid="{D5CDD505-2E9C-101B-9397-08002B2CF9AE}" pid="9" name="TeWharePage">
    <vt:lpwstr>, </vt:lpwstr>
  </property>
  <property fmtid="{D5CDD505-2E9C-101B-9397-08002B2CF9AE}" pid="10" name="TemplateOwner(Person)">
    <vt:lpwstr/>
  </property>
  <property fmtid="{D5CDD505-2E9C-101B-9397-08002B2CF9AE}" pid="11" name="TemplateApprover">
    <vt:lpwstr/>
  </property>
  <property fmtid="{D5CDD505-2E9C-101B-9397-08002B2CF9AE}" pid="12" name="Status">
    <vt:lpwstr>Published</vt:lpwstr>
  </property>
  <property fmtid="{D5CDD505-2E9C-101B-9397-08002B2CF9AE}" pid="13" name="Chnage">
    <vt:bool>false</vt:bool>
  </property>
  <property fmtid="{D5CDD505-2E9C-101B-9397-08002B2CF9AE}" pid="14" name="Template Owner">
    <vt:lpwstr/>
  </property>
  <property fmtid="{D5CDD505-2E9C-101B-9397-08002B2CF9AE}" pid="15" name="Template_x0020_Owner">
    <vt:lpwstr/>
  </property>
</Properties>
</file>