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Borders>
          <w:bottom w:val="single" w:sz="12" w:space="0" w:color="auto"/>
        </w:tblBorders>
        <w:tblLayout w:type="fixed"/>
        <w:tblCellMar>
          <w:left w:w="0" w:type="dxa"/>
          <w:right w:w="0" w:type="dxa"/>
        </w:tblCellMar>
        <w:tblLook w:val="01E0" w:firstRow="1" w:lastRow="1" w:firstColumn="1" w:lastColumn="1" w:noHBand="0" w:noVBand="0"/>
      </w:tblPr>
      <w:tblGrid>
        <w:gridCol w:w="6521"/>
        <w:gridCol w:w="2977"/>
      </w:tblGrid>
      <w:tr w:rsidR="00D56D8D" w:rsidRPr="00DD748F" w14:paraId="0D335D4D" w14:textId="77777777" w:rsidTr="00960C98">
        <w:trPr>
          <w:cantSplit/>
        </w:trPr>
        <w:tc>
          <w:tcPr>
            <w:tcW w:w="6521" w:type="dxa"/>
            <w:shd w:val="clear" w:color="auto" w:fill="auto"/>
            <w:vAlign w:val="bottom"/>
          </w:tcPr>
          <w:p w14:paraId="6E098CD1" w14:textId="16B4311C" w:rsidR="008348B7" w:rsidRPr="00DD748F" w:rsidRDefault="00C2079D" w:rsidP="00BD54E0">
            <w:pPr>
              <w:pStyle w:val="Title"/>
              <w:spacing w:before="240"/>
            </w:pPr>
            <w:r w:rsidRPr="00C2079D">
              <w:t>Funding to Māori Health Providers</w:t>
            </w:r>
            <w:r w:rsidR="001A7B4D">
              <w:t>,</w:t>
            </w:r>
            <w:r w:rsidRPr="00C2079D">
              <w:t xml:space="preserve"> </w:t>
            </w:r>
            <w:r w:rsidRPr="00C2079D">
              <w:rPr>
                <w:b w:val="0"/>
              </w:rPr>
              <w:t>2019/20 to 2023/24</w:t>
            </w:r>
          </w:p>
        </w:tc>
        <w:tc>
          <w:tcPr>
            <w:tcW w:w="2977" w:type="dxa"/>
            <w:shd w:val="clear" w:color="auto" w:fill="auto"/>
            <w:vAlign w:val="bottom"/>
          </w:tcPr>
          <w:p w14:paraId="7F6C11BA" w14:textId="77777777" w:rsidR="00CD373C" w:rsidRPr="00DD748F" w:rsidRDefault="00CD373C" w:rsidP="0092659B">
            <w:pPr>
              <w:spacing w:after="120"/>
              <w:jc w:val="right"/>
            </w:pPr>
          </w:p>
          <w:p w14:paraId="175F2ED7" w14:textId="77777777" w:rsidR="00C2079D" w:rsidRPr="00C2079D" w:rsidRDefault="00C2079D" w:rsidP="00C2079D">
            <w:pPr>
              <w:spacing w:after="120"/>
              <w:jc w:val="right"/>
              <w:rPr>
                <w:rFonts w:cs="Segoe UI"/>
                <w:sz w:val="28"/>
                <w:szCs w:val="28"/>
              </w:rPr>
            </w:pPr>
          </w:p>
          <w:p w14:paraId="6FF10AAC" w14:textId="46A09B97" w:rsidR="00423830" w:rsidRPr="00242284" w:rsidRDefault="00D710D5" w:rsidP="00C2079D">
            <w:pPr>
              <w:spacing w:after="120"/>
              <w:jc w:val="right"/>
              <w:rPr>
                <w:rFonts w:cs="Segoe UI"/>
                <w:color w:val="002B7F"/>
                <w:sz w:val="28"/>
                <w:szCs w:val="28"/>
              </w:rPr>
            </w:pPr>
            <w:r>
              <w:rPr>
                <w:rFonts w:cs="Segoe UI"/>
                <w:sz w:val="28"/>
                <w:szCs w:val="28"/>
              </w:rPr>
              <w:t>June</w:t>
            </w:r>
            <w:r w:rsidR="00C2079D" w:rsidRPr="00C2079D">
              <w:rPr>
                <w:rFonts w:cs="Segoe UI"/>
                <w:sz w:val="28"/>
                <w:szCs w:val="28"/>
              </w:rPr>
              <w:t xml:space="preserve"> 2025</w:t>
            </w:r>
          </w:p>
        </w:tc>
      </w:tr>
    </w:tbl>
    <w:p w14:paraId="3BF18B56" w14:textId="5B8DC737" w:rsidR="00960C98" w:rsidRDefault="00960C98" w:rsidP="00960C98">
      <w:r>
        <w:t xml:space="preserve">This is a report produced by the Ministry of Health </w:t>
      </w:r>
      <w:r w:rsidR="00F72E6E">
        <w:t xml:space="preserve">– </w:t>
      </w:r>
      <w:r>
        <w:t>Manat</w:t>
      </w:r>
      <w:r>
        <w:rPr>
          <w:lang w:val="mi-NZ"/>
        </w:rPr>
        <w:t>ū Hauora</w:t>
      </w:r>
      <w:r>
        <w:t xml:space="preserve"> (the Ministry) on funding to Māori health providers.</w:t>
      </w:r>
      <w:r>
        <w:rPr>
          <w:rStyle w:val="FootnoteReference"/>
        </w:rPr>
        <w:footnoteReference w:id="1"/>
      </w:r>
      <w:r>
        <w:t xml:space="preserve"> It covers payments made by the Ministry, Health New Zealand </w:t>
      </w:r>
      <w:r w:rsidR="00FB6749">
        <w:t xml:space="preserve">– </w:t>
      </w:r>
      <w:r>
        <w:t xml:space="preserve">Te Whatu Ora, the former Māori Health Authority </w:t>
      </w:r>
      <w:r w:rsidR="00FB6749">
        <w:t>–</w:t>
      </w:r>
      <w:r w:rsidR="004615CD">
        <w:t xml:space="preserve"> </w:t>
      </w:r>
      <w:r>
        <w:t xml:space="preserve">Te Aka Whai Ora, and the former </w:t>
      </w:r>
      <w:r w:rsidR="004615CD">
        <w:t>d</w:t>
      </w:r>
      <w:r>
        <w:t xml:space="preserve">istrict </w:t>
      </w:r>
      <w:r w:rsidR="004615CD">
        <w:t>h</w:t>
      </w:r>
      <w:r>
        <w:t xml:space="preserve">ealth </w:t>
      </w:r>
      <w:r w:rsidR="004615CD">
        <w:t>b</w:t>
      </w:r>
      <w:r>
        <w:t>oards, together referred to as ‘health entities’. It covers the period 2019/20 to 2023/24 and follows on from our previous reports</w:t>
      </w:r>
      <w:r>
        <w:rPr>
          <w:rStyle w:val="FootnoteReference"/>
        </w:rPr>
        <w:footnoteReference w:id="2"/>
      </w:r>
      <w:r>
        <w:t xml:space="preserve"> on the same topic.</w:t>
      </w:r>
    </w:p>
    <w:p w14:paraId="5CABDB18" w14:textId="1002DF6A" w:rsidR="00960C98" w:rsidRDefault="00960C98" w:rsidP="00960C98">
      <w:r>
        <w:t>The types of services delivered by Māori providers include a range of health services, such as child health, oral health, maternity, community health, mental health, health of older people and public health. These services can be categorised generally as health services. Contracts delivered by Māori health providers are services targeted towards Māori, Pacific peoples and high-needs communities. The data presented in this report does not attempt to measure the total spend on health services for Māori. Instead, it focuses on funding allocated to Māori health providers. This report does not focus on or explain how well health needs are catered for, the quality of health services provided, or other services used to help these communities.</w:t>
      </w:r>
    </w:p>
    <w:p w14:paraId="6DFB2AB3" w14:textId="77777777" w:rsidR="00960C98" w:rsidRDefault="00960C98" w:rsidP="00960C98">
      <w:pPr>
        <w:ind w:right="-170"/>
      </w:pPr>
      <w:r>
        <w:t>The number of Māori health providers is difficult to determine because of acquisitions, mergers, closures, the use of subsidiaries and trading names, and providers not receiving funding every financial year. In the 2023/24 year there were around 320 (285 excluding subsidiaries) Māori health providers, which is 10 more than reported in the 2022/23 year. The increase in providers is made up of:</w:t>
      </w:r>
    </w:p>
    <w:p w14:paraId="57A202F2" w14:textId="77777777" w:rsidR="00960C98" w:rsidRDefault="00960C98" w:rsidP="00960C98">
      <w:pPr>
        <w:pStyle w:val="Bullet"/>
      </w:pPr>
      <w:r>
        <w:t>10 new providers identified through new Māori Health Authority contracts</w:t>
      </w:r>
    </w:p>
    <w:p w14:paraId="7D57E9BC" w14:textId="77777777" w:rsidR="00960C98" w:rsidRDefault="00960C98" w:rsidP="00960C98">
      <w:pPr>
        <w:pStyle w:val="Bullet"/>
      </w:pPr>
      <w:r>
        <w:t>10 other new providers identified in contract data</w:t>
      </w:r>
    </w:p>
    <w:p w14:paraId="30AEB9C0" w14:textId="77777777" w:rsidR="00960C98" w:rsidRPr="004E014A" w:rsidRDefault="00960C98" w:rsidP="00960C98">
      <w:pPr>
        <w:pStyle w:val="Bullet"/>
      </w:pPr>
      <w:r>
        <w:t>10 providers who were removed for the reasons noted above.</w:t>
      </w:r>
    </w:p>
    <w:p w14:paraId="3A18B652" w14:textId="1F61A67D" w:rsidR="00960C98" w:rsidRDefault="00960C98" w:rsidP="00EA595C">
      <w:pPr>
        <w:pStyle w:val="Heading2"/>
      </w:pPr>
      <w:r w:rsidRPr="00960C98">
        <w:t>Changes</w:t>
      </w:r>
      <w:r>
        <w:t xml:space="preserve"> to the methodology used in this report</w:t>
      </w:r>
    </w:p>
    <w:p w14:paraId="61172AC6" w14:textId="77777777" w:rsidR="00960C98" w:rsidRPr="00E94D37" w:rsidRDefault="00960C98" w:rsidP="00960C98">
      <w:r w:rsidRPr="00E94D37">
        <w:t>There have been many recent structural changes to the New Zealand heath system resulting in different coding methods and funding streams being used. These changes include:</w:t>
      </w:r>
    </w:p>
    <w:p w14:paraId="50D0D69B" w14:textId="77777777" w:rsidR="00960C98" w:rsidRPr="00E94D37" w:rsidRDefault="00960C98" w:rsidP="00960C98">
      <w:pPr>
        <w:pStyle w:val="Bullet"/>
      </w:pPr>
      <w:r w:rsidRPr="00E94D37">
        <w:t>the introduction of the Pae Ora (Healthy Futures) Act 2022</w:t>
      </w:r>
    </w:p>
    <w:p w14:paraId="76C5C8A1" w14:textId="1143D035" w:rsidR="00960C98" w:rsidRPr="00E94D37" w:rsidRDefault="00960C98" w:rsidP="00960C98">
      <w:pPr>
        <w:pStyle w:val="Bullet"/>
      </w:pPr>
      <w:r w:rsidRPr="00E94D37">
        <w:t>the establishment of Health New Zealand and the Māori Health Authority</w:t>
      </w:r>
    </w:p>
    <w:p w14:paraId="1CAEBDE7" w14:textId="2C1E985C" w:rsidR="00960C98" w:rsidRPr="00E94D37" w:rsidRDefault="00960C98" w:rsidP="00960C98">
      <w:pPr>
        <w:pStyle w:val="Bullet"/>
      </w:pPr>
      <w:r w:rsidRPr="00E94D37">
        <w:t xml:space="preserve">the transfer of provider funding responsibilities from the Ministry and the </w:t>
      </w:r>
      <w:r w:rsidR="0060132F">
        <w:t>d</w:t>
      </w:r>
      <w:r w:rsidRPr="00E94D37">
        <w:t xml:space="preserve">istrict </w:t>
      </w:r>
      <w:r w:rsidR="0060132F">
        <w:t>h</w:t>
      </w:r>
      <w:r w:rsidRPr="00E94D37">
        <w:t xml:space="preserve">ealth </w:t>
      </w:r>
      <w:r w:rsidR="0060132F">
        <w:t>b</w:t>
      </w:r>
      <w:r w:rsidRPr="00E94D37">
        <w:t>oards to Health New Zealand and the Māori Health Authority</w:t>
      </w:r>
    </w:p>
    <w:p w14:paraId="76B812AB" w14:textId="34996C69" w:rsidR="00960C98" w:rsidRPr="00E94D37" w:rsidRDefault="00960C98" w:rsidP="00960C98">
      <w:pPr>
        <w:pStyle w:val="Bullet"/>
      </w:pPr>
      <w:r w:rsidRPr="00E94D37">
        <w:lastRenderedPageBreak/>
        <w:t xml:space="preserve">the disestablishment of </w:t>
      </w:r>
      <w:r w:rsidR="006F074C">
        <w:t>d</w:t>
      </w:r>
      <w:r w:rsidRPr="00E94D37">
        <w:t xml:space="preserve">istrict </w:t>
      </w:r>
      <w:r w:rsidR="006F074C">
        <w:t>h</w:t>
      </w:r>
      <w:r w:rsidRPr="00E94D37">
        <w:t xml:space="preserve">ealth </w:t>
      </w:r>
      <w:r w:rsidR="006F074C">
        <w:t>b</w:t>
      </w:r>
      <w:r w:rsidRPr="00E94D37">
        <w:t>oards</w:t>
      </w:r>
    </w:p>
    <w:p w14:paraId="0EB11C77" w14:textId="31F24111" w:rsidR="00960C98" w:rsidRPr="00E94D37" w:rsidRDefault="00960C98" w:rsidP="00960C98">
      <w:pPr>
        <w:pStyle w:val="Bullet"/>
      </w:pPr>
      <w:r w:rsidRPr="00E94D37">
        <w:t>the disestablishment of the Māori Health Authority in 2024.</w:t>
      </w:r>
    </w:p>
    <w:p w14:paraId="2D3E4903" w14:textId="77777777" w:rsidR="00960C98" w:rsidRDefault="00960C98" w:rsidP="00960C98">
      <w:r w:rsidRPr="00E94D37">
        <w:t>This means categories shown in this report are not comparable to previous reports.</w:t>
      </w:r>
      <w:r>
        <w:t xml:space="preserve"> An example of different coding methods can be seen in the table below.</w:t>
      </w:r>
    </w:p>
    <w:p w14:paraId="1D380CC1" w14:textId="675F8750" w:rsidR="003A32ED" w:rsidRPr="00D43132" w:rsidRDefault="00960C98" w:rsidP="00960C98">
      <w:pPr>
        <w:pStyle w:val="Table"/>
      </w:pPr>
      <w:r>
        <w:t xml:space="preserve">Table </w:t>
      </w:r>
      <w:r w:rsidRPr="0BDCDF57">
        <w:fldChar w:fldCharType="begin"/>
      </w:r>
      <w:r>
        <w:instrText xml:space="preserve"> SEQ Table \* ARABIC </w:instrText>
      </w:r>
      <w:r w:rsidRPr="0BDCDF57">
        <w:fldChar w:fldCharType="separate"/>
      </w:r>
      <w:r w:rsidR="0086235A">
        <w:rPr>
          <w:noProof/>
        </w:rPr>
        <w:t>1</w:t>
      </w:r>
      <w:r w:rsidRPr="0BDCDF57">
        <w:rPr>
          <w:noProof/>
        </w:rPr>
        <w:fldChar w:fldCharType="end"/>
      </w:r>
      <w:r>
        <w:t>: The Ministry, Health New Zealand and the Māori Health Authority COVID-19 funding to Māori health providers, by coding type, 2019/20 to 2023/24</w:t>
      </w:r>
    </w:p>
    <w:tbl>
      <w:tblPr>
        <w:tblStyle w:val="TableGridLight"/>
        <w:tblW w:w="9157" w:type="dxa"/>
        <w:tblLayout w:type="fixed"/>
        <w:tblLook w:val="04A0" w:firstRow="1" w:lastRow="0" w:firstColumn="1" w:lastColumn="0" w:noHBand="0" w:noVBand="1"/>
      </w:tblPr>
      <w:tblGrid>
        <w:gridCol w:w="3204"/>
        <w:gridCol w:w="1190"/>
        <w:gridCol w:w="1191"/>
        <w:gridCol w:w="1190"/>
        <w:gridCol w:w="1191"/>
        <w:gridCol w:w="1191"/>
      </w:tblGrid>
      <w:tr w:rsidR="00960C98" w:rsidRPr="007A1295" w14:paraId="4D704397" w14:textId="77777777" w:rsidTr="00044384">
        <w:tc>
          <w:tcPr>
            <w:tcW w:w="3204" w:type="dxa"/>
            <w:vMerge w:val="restart"/>
            <w:tcBorders>
              <w:left w:val="nil"/>
            </w:tcBorders>
            <w:shd w:val="clear" w:color="auto" w:fill="D9D9D9" w:themeFill="background1" w:themeFillShade="D9"/>
          </w:tcPr>
          <w:p w14:paraId="5F3C3E99" w14:textId="77777777" w:rsidR="00960C98" w:rsidRPr="007A1295" w:rsidRDefault="00960C98" w:rsidP="003A32ED">
            <w:pPr>
              <w:pStyle w:val="TableText"/>
              <w:rPr>
                <w:szCs w:val="18"/>
              </w:rPr>
            </w:pPr>
            <w:r w:rsidRPr="007A1295">
              <w:rPr>
                <w:b/>
                <w:bCs/>
                <w:szCs w:val="18"/>
              </w:rPr>
              <w:t>COVID-19 Funding</w:t>
            </w:r>
          </w:p>
        </w:tc>
        <w:tc>
          <w:tcPr>
            <w:tcW w:w="5953" w:type="dxa"/>
            <w:gridSpan w:val="5"/>
            <w:tcBorders>
              <w:bottom w:val="nil"/>
            </w:tcBorders>
            <w:shd w:val="clear" w:color="auto" w:fill="D9D9D9" w:themeFill="background1" w:themeFillShade="D9"/>
          </w:tcPr>
          <w:p w14:paraId="253A6CE5" w14:textId="77777777" w:rsidR="00960C98" w:rsidRPr="007A1295" w:rsidRDefault="00960C98" w:rsidP="0084307D">
            <w:pPr>
              <w:pStyle w:val="TableText"/>
              <w:spacing w:after="0"/>
              <w:jc w:val="center"/>
              <w:rPr>
                <w:rFonts w:ascii="Segoe UI Semibold" w:hAnsi="Segoe UI Semibold" w:cs="Segoe UI Semibold"/>
                <w:bCs/>
                <w:szCs w:val="18"/>
              </w:rPr>
            </w:pPr>
            <w:r w:rsidRPr="007A1295">
              <w:rPr>
                <w:rFonts w:ascii="Segoe UI Semibold" w:hAnsi="Segoe UI Semibold" w:cs="Segoe UI Semibold"/>
                <w:bCs/>
                <w:szCs w:val="18"/>
              </w:rPr>
              <w:t>Year</w:t>
            </w:r>
          </w:p>
        </w:tc>
      </w:tr>
      <w:tr w:rsidR="003A32ED" w:rsidRPr="007A1295" w14:paraId="7D577D0B" w14:textId="77777777" w:rsidTr="00044384">
        <w:tc>
          <w:tcPr>
            <w:tcW w:w="3204" w:type="dxa"/>
            <w:vMerge/>
            <w:tcBorders>
              <w:left w:val="nil"/>
            </w:tcBorders>
            <w:shd w:val="clear" w:color="auto" w:fill="D9D9D9" w:themeFill="background1" w:themeFillShade="D9"/>
          </w:tcPr>
          <w:p w14:paraId="66DDCCBF" w14:textId="77777777" w:rsidR="00960C98" w:rsidRPr="007A1295" w:rsidRDefault="00960C98" w:rsidP="0084307D">
            <w:pPr>
              <w:pStyle w:val="TableText"/>
              <w:rPr>
                <w:szCs w:val="18"/>
              </w:rPr>
            </w:pPr>
          </w:p>
        </w:tc>
        <w:tc>
          <w:tcPr>
            <w:tcW w:w="1190" w:type="dxa"/>
            <w:tcBorders>
              <w:top w:val="nil"/>
              <w:right w:val="nil"/>
            </w:tcBorders>
            <w:shd w:val="clear" w:color="auto" w:fill="D9D9D9" w:themeFill="background1" w:themeFillShade="D9"/>
          </w:tcPr>
          <w:p w14:paraId="7C645412" w14:textId="77777777" w:rsidR="00E82A97" w:rsidRDefault="00960C98" w:rsidP="003A32ED">
            <w:pPr>
              <w:pStyle w:val="TableText"/>
              <w:jc w:val="center"/>
              <w:rPr>
                <w:rFonts w:ascii="Segoe UI Semibold" w:hAnsi="Segoe UI Semibold" w:cs="Segoe UI Semibold"/>
                <w:szCs w:val="18"/>
              </w:rPr>
            </w:pPr>
            <w:r w:rsidRPr="007A1295">
              <w:rPr>
                <w:rFonts w:ascii="Segoe UI Semibold" w:hAnsi="Segoe UI Semibold" w:cs="Segoe UI Semibold"/>
                <w:szCs w:val="18"/>
              </w:rPr>
              <w:t>19/20</w:t>
            </w:r>
          </w:p>
          <w:p w14:paraId="5D754ED9" w14:textId="1E13E5D1" w:rsidR="00960C98" w:rsidRPr="007A1295" w:rsidRDefault="00960C98" w:rsidP="003A32ED">
            <w:pPr>
              <w:pStyle w:val="TableText"/>
              <w:jc w:val="center"/>
              <w:rPr>
                <w:rFonts w:ascii="Segoe UI Semibold" w:hAnsi="Segoe UI Semibold" w:cs="Segoe UI Semibold"/>
                <w:szCs w:val="18"/>
              </w:rPr>
            </w:pPr>
            <w:r w:rsidRPr="007A1295">
              <w:rPr>
                <w:rFonts w:ascii="Segoe UI Semibold" w:hAnsi="Segoe UI Semibold" w:cs="Segoe UI Semibold"/>
                <w:w w:val="115"/>
                <w:szCs w:val="18"/>
              </w:rPr>
              <w:t>$m</w:t>
            </w:r>
          </w:p>
        </w:tc>
        <w:tc>
          <w:tcPr>
            <w:tcW w:w="1191" w:type="dxa"/>
            <w:tcBorders>
              <w:top w:val="nil"/>
              <w:left w:val="nil"/>
              <w:right w:val="nil"/>
            </w:tcBorders>
            <w:shd w:val="clear" w:color="auto" w:fill="D9D9D9" w:themeFill="background1" w:themeFillShade="D9"/>
          </w:tcPr>
          <w:p w14:paraId="539993A6" w14:textId="77777777" w:rsidR="00E82A97" w:rsidRDefault="00960C98" w:rsidP="003A32ED">
            <w:pPr>
              <w:pStyle w:val="TableText"/>
              <w:jc w:val="center"/>
              <w:rPr>
                <w:rFonts w:ascii="Segoe UI Semibold" w:hAnsi="Segoe UI Semibold" w:cs="Segoe UI Semibold"/>
                <w:szCs w:val="18"/>
              </w:rPr>
            </w:pPr>
            <w:r w:rsidRPr="007A1295">
              <w:rPr>
                <w:rFonts w:ascii="Segoe UI Semibold" w:hAnsi="Segoe UI Semibold" w:cs="Segoe UI Semibold"/>
                <w:szCs w:val="18"/>
              </w:rPr>
              <w:t>20/21</w:t>
            </w:r>
          </w:p>
          <w:p w14:paraId="649398AA" w14:textId="2B721B99" w:rsidR="00960C98" w:rsidRPr="007A1295" w:rsidRDefault="00960C98" w:rsidP="003A32ED">
            <w:pPr>
              <w:pStyle w:val="TableText"/>
              <w:jc w:val="center"/>
              <w:rPr>
                <w:rFonts w:ascii="Segoe UI Semibold" w:hAnsi="Segoe UI Semibold" w:cs="Segoe UI Semibold"/>
                <w:szCs w:val="18"/>
              </w:rPr>
            </w:pPr>
            <w:r w:rsidRPr="007A1295">
              <w:rPr>
                <w:rFonts w:ascii="Segoe UI Semibold" w:hAnsi="Segoe UI Semibold" w:cs="Segoe UI Semibold"/>
                <w:w w:val="115"/>
                <w:szCs w:val="18"/>
              </w:rPr>
              <w:t>$m</w:t>
            </w:r>
          </w:p>
        </w:tc>
        <w:tc>
          <w:tcPr>
            <w:tcW w:w="1190" w:type="dxa"/>
            <w:tcBorders>
              <w:top w:val="nil"/>
              <w:left w:val="nil"/>
              <w:right w:val="nil"/>
            </w:tcBorders>
            <w:shd w:val="clear" w:color="auto" w:fill="D9D9D9" w:themeFill="background1" w:themeFillShade="D9"/>
          </w:tcPr>
          <w:p w14:paraId="06ADF436" w14:textId="77777777" w:rsidR="00E82A97" w:rsidRDefault="00960C98" w:rsidP="003A32ED">
            <w:pPr>
              <w:pStyle w:val="TableText"/>
              <w:jc w:val="center"/>
              <w:rPr>
                <w:rFonts w:ascii="Segoe UI Semibold" w:hAnsi="Segoe UI Semibold" w:cs="Segoe UI Semibold"/>
                <w:szCs w:val="18"/>
              </w:rPr>
            </w:pPr>
            <w:r w:rsidRPr="007A1295">
              <w:rPr>
                <w:rFonts w:ascii="Segoe UI Semibold" w:hAnsi="Segoe UI Semibold" w:cs="Segoe UI Semibold"/>
                <w:szCs w:val="18"/>
              </w:rPr>
              <w:t>21/22</w:t>
            </w:r>
          </w:p>
          <w:p w14:paraId="0000784F" w14:textId="43E015B7" w:rsidR="00960C98" w:rsidRPr="007A1295" w:rsidRDefault="00960C98" w:rsidP="003A32ED">
            <w:pPr>
              <w:pStyle w:val="TableText"/>
              <w:jc w:val="center"/>
              <w:rPr>
                <w:rFonts w:ascii="Segoe UI Semibold" w:hAnsi="Segoe UI Semibold" w:cs="Segoe UI Semibold"/>
                <w:szCs w:val="18"/>
              </w:rPr>
            </w:pPr>
            <w:r w:rsidRPr="007A1295">
              <w:rPr>
                <w:rFonts w:ascii="Segoe UI Semibold" w:hAnsi="Segoe UI Semibold" w:cs="Segoe UI Semibold"/>
                <w:w w:val="115"/>
                <w:szCs w:val="18"/>
              </w:rPr>
              <w:t>$m</w:t>
            </w:r>
          </w:p>
        </w:tc>
        <w:tc>
          <w:tcPr>
            <w:tcW w:w="1191" w:type="dxa"/>
            <w:tcBorders>
              <w:top w:val="nil"/>
              <w:left w:val="nil"/>
              <w:right w:val="nil"/>
            </w:tcBorders>
            <w:shd w:val="clear" w:color="auto" w:fill="D9D9D9" w:themeFill="background1" w:themeFillShade="D9"/>
          </w:tcPr>
          <w:p w14:paraId="0C26B315" w14:textId="77777777" w:rsidR="00E82A97" w:rsidRDefault="00960C98" w:rsidP="003A32ED">
            <w:pPr>
              <w:pStyle w:val="TableText"/>
              <w:jc w:val="center"/>
              <w:rPr>
                <w:rFonts w:ascii="Segoe UI Semibold" w:hAnsi="Segoe UI Semibold" w:cs="Segoe UI Semibold"/>
                <w:szCs w:val="18"/>
              </w:rPr>
            </w:pPr>
            <w:r w:rsidRPr="007A1295">
              <w:rPr>
                <w:rFonts w:ascii="Segoe UI Semibold" w:hAnsi="Segoe UI Semibold" w:cs="Segoe UI Semibold"/>
                <w:szCs w:val="18"/>
              </w:rPr>
              <w:t>22/23</w:t>
            </w:r>
          </w:p>
          <w:p w14:paraId="78B4E6EA" w14:textId="3FA3DB73" w:rsidR="00960C98" w:rsidRPr="007A1295" w:rsidRDefault="00960C98" w:rsidP="003A32ED">
            <w:pPr>
              <w:pStyle w:val="TableText"/>
              <w:jc w:val="center"/>
              <w:rPr>
                <w:rFonts w:ascii="Segoe UI Semibold" w:hAnsi="Segoe UI Semibold" w:cs="Segoe UI Semibold"/>
                <w:szCs w:val="18"/>
              </w:rPr>
            </w:pPr>
            <w:r w:rsidRPr="007A1295">
              <w:rPr>
                <w:rFonts w:ascii="Segoe UI Semibold" w:hAnsi="Segoe UI Semibold" w:cs="Segoe UI Semibold"/>
                <w:w w:val="115"/>
                <w:szCs w:val="18"/>
              </w:rPr>
              <w:t>$m</w:t>
            </w:r>
          </w:p>
        </w:tc>
        <w:tc>
          <w:tcPr>
            <w:tcW w:w="1191" w:type="dxa"/>
            <w:tcBorders>
              <w:top w:val="nil"/>
              <w:left w:val="nil"/>
              <w:right w:val="nil"/>
            </w:tcBorders>
            <w:shd w:val="clear" w:color="auto" w:fill="D9D9D9" w:themeFill="background1" w:themeFillShade="D9"/>
          </w:tcPr>
          <w:p w14:paraId="25B0DCE6" w14:textId="77777777" w:rsidR="004E3982" w:rsidRDefault="00960C98" w:rsidP="003A32ED">
            <w:pPr>
              <w:pStyle w:val="TableText"/>
              <w:jc w:val="center"/>
              <w:rPr>
                <w:rFonts w:ascii="Segoe UI Semibold" w:hAnsi="Segoe UI Semibold" w:cs="Segoe UI Semibold"/>
                <w:szCs w:val="18"/>
              </w:rPr>
            </w:pPr>
            <w:r w:rsidRPr="007A1295">
              <w:rPr>
                <w:rFonts w:ascii="Segoe UI Semibold" w:hAnsi="Segoe UI Semibold" w:cs="Segoe UI Semibold"/>
                <w:szCs w:val="18"/>
              </w:rPr>
              <w:t>23/24</w:t>
            </w:r>
          </w:p>
          <w:p w14:paraId="0A947BA1" w14:textId="68371F18" w:rsidR="00960C98" w:rsidRPr="007A1295" w:rsidRDefault="00960C98" w:rsidP="003A32ED">
            <w:pPr>
              <w:pStyle w:val="TableText"/>
              <w:jc w:val="center"/>
              <w:rPr>
                <w:rFonts w:ascii="Segoe UI Semibold" w:hAnsi="Segoe UI Semibold" w:cs="Segoe UI Semibold"/>
                <w:szCs w:val="18"/>
              </w:rPr>
            </w:pPr>
            <w:r w:rsidRPr="007A1295">
              <w:rPr>
                <w:rFonts w:ascii="Segoe UI Semibold" w:hAnsi="Segoe UI Semibold" w:cs="Segoe UI Semibold"/>
                <w:w w:val="115"/>
                <w:szCs w:val="18"/>
              </w:rPr>
              <w:t>$m</w:t>
            </w:r>
          </w:p>
        </w:tc>
      </w:tr>
      <w:tr w:rsidR="003A32ED" w:rsidRPr="007A1295" w14:paraId="7FDD6009" w14:textId="77777777" w:rsidTr="00044384">
        <w:tc>
          <w:tcPr>
            <w:tcW w:w="3204" w:type="dxa"/>
            <w:tcBorders>
              <w:left w:val="nil"/>
            </w:tcBorders>
          </w:tcPr>
          <w:p w14:paraId="2064F99F" w14:textId="77777777" w:rsidR="00960C98" w:rsidRPr="007A1295" w:rsidRDefault="00960C98" w:rsidP="003A32ED">
            <w:pPr>
              <w:pStyle w:val="TableText"/>
              <w:rPr>
                <w:szCs w:val="18"/>
              </w:rPr>
            </w:pPr>
            <w:r w:rsidRPr="007A1295">
              <w:rPr>
                <w:szCs w:val="18"/>
              </w:rPr>
              <w:t>By contract description</w:t>
            </w:r>
          </w:p>
        </w:tc>
        <w:tc>
          <w:tcPr>
            <w:tcW w:w="1190" w:type="dxa"/>
            <w:tcBorders>
              <w:right w:val="nil"/>
            </w:tcBorders>
          </w:tcPr>
          <w:p w14:paraId="5CC90E85" w14:textId="77777777" w:rsidR="00960C98" w:rsidRPr="007A1295" w:rsidRDefault="00960C98" w:rsidP="003A32ED">
            <w:pPr>
              <w:pStyle w:val="TableText"/>
              <w:jc w:val="center"/>
              <w:rPr>
                <w:szCs w:val="18"/>
              </w:rPr>
            </w:pPr>
            <w:r w:rsidRPr="007A1295">
              <w:rPr>
                <w:szCs w:val="18"/>
              </w:rPr>
              <w:t>14.0</w:t>
            </w:r>
          </w:p>
        </w:tc>
        <w:tc>
          <w:tcPr>
            <w:tcW w:w="1191" w:type="dxa"/>
            <w:tcBorders>
              <w:left w:val="nil"/>
              <w:right w:val="nil"/>
            </w:tcBorders>
          </w:tcPr>
          <w:p w14:paraId="283EE247" w14:textId="77777777" w:rsidR="00960C98" w:rsidRPr="007A1295" w:rsidRDefault="00960C98" w:rsidP="003A32ED">
            <w:pPr>
              <w:pStyle w:val="TableText"/>
              <w:jc w:val="center"/>
              <w:rPr>
                <w:szCs w:val="18"/>
              </w:rPr>
            </w:pPr>
            <w:r w:rsidRPr="007A1295">
              <w:rPr>
                <w:szCs w:val="18"/>
              </w:rPr>
              <w:t>27.5</w:t>
            </w:r>
          </w:p>
        </w:tc>
        <w:tc>
          <w:tcPr>
            <w:tcW w:w="1190" w:type="dxa"/>
            <w:tcBorders>
              <w:left w:val="nil"/>
              <w:right w:val="nil"/>
            </w:tcBorders>
          </w:tcPr>
          <w:p w14:paraId="0F7B8F18" w14:textId="77777777" w:rsidR="00960C98" w:rsidRPr="007A1295" w:rsidRDefault="00960C98" w:rsidP="003A32ED">
            <w:pPr>
              <w:pStyle w:val="TableText"/>
              <w:jc w:val="center"/>
              <w:rPr>
                <w:szCs w:val="18"/>
              </w:rPr>
            </w:pPr>
            <w:r w:rsidRPr="007A1295">
              <w:rPr>
                <w:szCs w:val="18"/>
              </w:rPr>
              <w:t>138.0</w:t>
            </w:r>
          </w:p>
        </w:tc>
        <w:tc>
          <w:tcPr>
            <w:tcW w:w="1191" w:type="dxa"/>
            <w:tcBorders>
              <w:left w:val="nil"/>
              <w:right w:val="nil"/>
            </w:tcBorders>
          </w:tcPr>
          <w:p w14:paraId="122D4245" w14:textId="77777777" w:rsidR="00960C98" w:rsidRPr="007A1295" w:rsidRDefault="00960C98" w:rsidP="003A32ED">
            <w:pPr>
              <w:pStyle w:val="TableText"/>
              <w:jc w:val="center"/>
              <w:rPr>
                <w:szCs w:val="18"/>
              </w:rPr>
            </w:pPr>
            <w:r w:rsidRPr="007A1295">
              <w:rPr>
                <w:szCs w:val="18"/>
              </w:rPr>
              <w:t>108.9</w:t>
            </w:r>
          </w:p>
        </w:tc>
        <w:tc>
          <w:tcPr>
            <w:tcW w:w="1191" w:type="dxa"/>
            <w:tcBorders>
              <w:left w:val="nil"/>
              <w:right w:val="nil"/>
            </w:tcBorders>
          </w:tcPr>
          <w:p w14:paraId="4C980AA6" w14:textId="324B863B" w:rsidR="00960C98" w:rsidRPr="007A1295" w:rsidRDefault="00960C98" w:rsidP="003A32ED">
            <w:pPr>
              <w:pStyle w:val="TableText"/>
              <w:jc w:val="center"/>
              <w:rPr>
                <w:szCs w:val="18"/>
              </w:rPr>
            </w:pPr>
            <w:r w:rsidRPr="007A1295">
              <w:rPr>
                <w:szCs w:val="18"/>
              </w:rPr>
              <w:t>26.1</w:t>
            </w:r>
          </w:p>
        </w:tc>
      </w:tr>
      <w:tr w:rsidR="003A32ED" w:rsidRPr="007A1295" w14:paraId="0AE61DA5" w14:textId="77777777" w:rsidTr="00044384">
        <w:tc>
          <w:tcPr>
            <w:tcW w:w="3204" w:type="dxa"/>
            <w:tcBorders>
              <w:left w:val="nil"/>
            </w:tcBorders>
          </w:tcPr>
          <w:p w14:paraId="6ABA4263" w14:textId="77777777" w:rsidR="00960C98" w:rsidRPr="007A1295" w:rsidRDefault="00960C98" w:rsidP="003A32ED">
            <w:pPr>
              <w:pStyle w:val="TableText"/>
              <w:rPr>
                <w:szCs w:val="18"/>
              </w:rPr>
            </w:pPr>
            <w:r w:rsidRPr="007A1295">
              <w:rPr>
                <w:szCs w:val="18"/>
              </w:rPr>
              <w:t>By COVID-19 coding</w:t>
            </w:r>
          </w:p>
        </w:tc>
        <w:tc>
          <w:tcPr>
            <w:tcW w:w="1190" w:type="dxa"/>
            <w:tcBorders>
              <w:right w:val="nil"/>
            </w:tcBorders>
          </w:tcPr>
          <w:p w14:paraId="1F81FA9C" w14:textId="436F3525" w:rsidR="00960C98" w:rsidRPr="007A1295" w:rsidRDefault="00960C98" w:rsidP="003A32ED">
            <w:pPr>
              <w:pStyle w:val="TableText"/>
              <w:jc w:val="center"/>
              <w:rPr>
                <w:szCs w:val="18"/>
              </w:rPr>
            </w:pPr>
            <w:r w:rsidRPr="007A1295">
              <w:rPr>
                <w:szCs w:val="18"/>
              </w:rPr>
              <w:t>4.6</w:t>
            </w:r>
          </w:p>
        </w:tc>
        <w:tc>
          <w:tcPr>
            <w:tcW w:w="1191" w:type="dxa"/>
            <w:tcBorders>
              <w:left w:val="nil"/>
              <w:right w:val="nil"/>
            </w:tcBorders>
          </w:tcPr>
          <w:p w14:paraId="5877FEDF" w14:textId="77777777" w:rsidR="00960C98" w:rsidRPr="007A1295" w:rsidRDefault="00960C98" w:rsidP="003A32ED">
            <w:pPr>
              <w:pStyle w:val="TableText"/>
              <w:jc w:val="center"/>
              <w:rPr>
                <w:szCs w:val="18"/>
              </w:rPr>
            </w:pPr>
            <w:r w:rsidRPr="007A1295">
              <w:rPr>
                <w:szCs w:val="18"/>
              </w:rPr>
              <w:t>5.7</w:t>
            </w:r>
          </w:p>
        </w:tc>
        <w:tc>
          <w:tcPr>
            <w:tcW w:w="1190" w:type="dxa"/>
            <w:tcBorders>
              <w:left w:val="nil"/>
              <w:right w:val="nil"/>
            </w:tcBorders>
          </w:tcPr>
          <w:p w14:paraId="0E79A6CD" w14:textId="77777777" w:rsidR="00960C98" w:rsidRPr="007A1295" w:rsidRDefault="00960C98" w:rsidP="003A32ED">
            <w:pPr>
              <w:pStyle w:val="TableText"/>
              <w:jc w:val="center"/>
              <w:rPr>
                <w:szCs w:val="18"/>
              </w:rPr>
            </w:pPr>
            <w:r w:rsidRPr="007A1295">
              <w:rPr>
                <w:szCs w:val="18"/>
              </w:rPr>
              <w:t>56.8</w:t>
            </w:r>
          </w:p>
        </w:tc>
        <w:tc>
          <w:tcPr>
            <w:tcW w:w="1191" w:type="dxa"/>
            <w:tcBorders>
              <w:left w:val="nil"/>
              <w:right w:val="nil"/>
            </w:tcBorders>
          </w:tcPr>
          <w:p w14:paraId="6C00CEA0" w14:textId="77777777" w:rsidR="00960C98" w:rsidRPr="007A1295" w:rsidRDefault="00960C98" w:rsidP="003A32ED">
            <w:pPr>
              <w:pStyle w:val="TableText"/>
              <w:jc w:val="center"/>
              <w:rPr>
                <w:szCs w:val="18"/>
              </w:rPr>
            </w:pPr>
            <w:r w:rsidRPr="007A1295">
              <w:rPr>
                <w:szCs w:val="18"/>
              </w:rPr>
              <w:t>53.5</w:t>
            </w:r>
          </w:p>
        </w:tc>
        <w:tc>
          <w:tcPr>
            <w:tcW w:w="1191" w:type="dxa"/>
            <w:tcBorders>
              <w:left w:val="nil"/>
              <w:right w:val="nil"/>
            </w:tcBorders>
          </w:tcPr>
          <w:p w14:paraId="7603CD41" w14:textId="77777777" w:rsidR="00960C98" w:rsidRPr="007A1295" w:rsidRDefault="00960C98" w:rsidP="003A32ED">
            <w:pPr>
              <w:pStyle w:val="TableText"/>
              <w:jc w:val="center"/>
              <w:rPr>
                <w:szCs w:val="18"/>
              </w:rPr>
            </w:pPr>
            <w:r w:rsidRPr="007A1295">
              <w:rPr>
                <w:szCs w:val="18"/>
              </w:rPr>
              <w:t>9.1</w:t>
            </w:r>
          </w:p>
        </w:tc>
      </w:tr>
      <w:tr w:rsidR="003A32ED" w:rsidRPr="007A1295" w14:paraId="35DEA6B8" w14:textId="77777777" w:rsidTr="00044384">
        <w:tc>
          <w:tcPr>
            <w:tcW w:w="3204" w:type="dxa"/>
            <w:tcBorders>
              <w:left w:val="nil"/>
            </w:tcBorders>
          </w:tcPr>
          <w:p w14:paraId="390BED20" w14:textId="77777777" w:rsidR="00960C98" w:rsidRPr="007A1295" w:rsidRDefault="00960C98" w:rsidP="003A32ED">
            <w:pPr>
              <w:pStyle w:val="TableText"/>
              <w:rPr>
                <w:szCs w:val="18"/>
              </w:rPr>
            </w:pPr>
            <w:r w:rsidRPr="007A1295">
              <w:rPr>
                <w:szCs w:val="18"/>
              </w:rPr>
              <w:t>By MAOR1901 coding</w:t>
            </w:r>
          </w:p>
        </w:tc>
        <w:tc>
          <w:tcPr>
            <w:tcW w:w="1190" w:type="dxa"/>
            <w:tcBorders>
              <w:right w:val="nil"/>
            </w:tcBorders>
          </w:tcPr>
          <w:p w14:paraId="1994C895" w14:textId="77777777" w:rsidR="00960C98" w:rsidRPr="007A1295" w:rsidRDefault="00960C98" w:rsidP="003A32ED">
            <w:pPr>
              <w:pStyle w:val="TableText"/>
              <w:jc w:val="center"/>
              <w:rPr>
                <w:szCs w:val="18"/>
              </w:rPr>
            </w:pPr>
            <w:r w:rsidRPr="007A1295">
              <w:rPr>
                <w:szCs w:val="18"/>
              </w:rPr>
              <w:t>1.4</w:t>
            </w:r>
          </w:p>
        </w:tc>
        <w:tc>
          <w:tcPr>
            <w:tcW w:w="1191" w:type="dxa"/>
            <w:tcBorders>
              <w:left w:val="nil"/>
              <w:right w:val="nil"/>
            </w:tcBorders>
          </w:tcPr>
          <w:p w14:paraId="5126CA8C" w14:textId="1E083B57" w:rsidR="00960C98" w:rsidRPr="007A1295" w:rsidRDefault="00960C98" w:rsidP="003A32ED">
            <w:pPr>
              <w:pStyle w:val="TableText"/>
              <w:jc w:val="center"/>
              <w:rPr>
                <w:szCs w:val="18"/>
              </w:rPr>
            </w:pPr>
            <w:r w:rsidRPr="007A1295">
              <w:rPr>
                <w:szCs w:val="18"/>
              </w:rPr>
              <w:t>17.1</w:t>
            </w:r>
          </w:p>
        </w:tc>
        <w:tc>
          <w:tcPr>
            <w:tcW w:w="1190" w:type="dxa"/>
            <w:tcBorders>
              <w:left w:val="nil"/>
              <w:right w:val="nil"/>
            </w:tcBorders>
          </w:tcPr>
          <w:p w14:paraId="5835374C" w14:textId="77777777" w:rsidR="00960C98" w:rsidRPr="007A1295" w:rsidRDefault="00960C98" w:rsidP="003A32ED">
            <w:pPr>
              <w:pStyle w:val="TableText"/>
              <w:jc w:val="center"/>
              <w:rPr>
                <w:szCs w:val="18"/>
              </w:rPr>
            </w:pPr>
            <w:r w:rsidRPr="007A1295">
              <w:rPr>
                <w:szCs w:val="18"/>
              </w:rPr>
              <w:t>66.4</w:t>
            </w:r>
          </w:p>
        </w:tc>
        <w:tc>
          <w:tcPr>
            <w:tcW w:w="1191" w:type="dxa"/>
            <w:tcBorders>
              <w:left w:val="nil"/>
              <w:right w:val="nil"/>
            </w:tcBorders>
          </w:tcPr>
          <w:p w14:paraId="0C9741AB" w14:textId="77777777" w:rsidR="00960C98" w:rsidRPr="007A1295" w:rsidRDefault="00960C98" w:rsidP="003A32ED">
            <w:pPr>
              <w:pStyle w:val="TableText"/>
              <w:jc w:val="center"/>
              <w:rPr>
                <w:szCs w:val="18"/>
              </w:rPr>
            </w:pPr>
            <w:r w:rsidRPr="007A1295">
              <w:rPr>
                <w:szCs w:val="18"/>
              </w:rPr>
              <w:t>54.3</w:t>
            </w:r>
          </w:p>
        </w:tc>
        <w:tc>
          <w:tcPr>
            <w:tcW w:w="1191" w:type="dxa"/>
            <w:tcBorders>
              <w:left w:val="nil"/>
              <w:right w:val="nil"/>
            </w:tcBorders>
          </w:tcPr>
          <w:p w14:paraId="21BEF58B" w14:textId="77777777" w:rsidR="00960C98" w:rsidRPr="007A1295" w:rsidRDefault="00960C98" w:rsidP="003A32ED">
            <w:pPr>
              <w:pStyle w:val="TableText"/>
              <w:jc w:val="center"/>
              <w:rPr>
                <w:szCs w:val="18"/>
              </w:rPr>
            </w:pPr>
            <w:r w:rsidRPr="007A1295">
              <w:rPr>
                <w:szCs w:val="18"/>
              </w:rPr>
              <w:t>16.5</w:t>
            </w:r>
          </w:p>
        </w:tc>
      </w:tr>
    </w:tbl>
    <w:p w14:paraId="39AEB6CA" w14:textId="67996206" w:rsidR="00960C98" w:rsidRDefault="00960C98" w:rsidP="001A0EBD">
      <w:pPr>
        <w:pStyle w:val="Source"/>
        <w:spacing w:before="0" w:after="0"/>
      </w:pPr>
      <w:r w:rsidRPr="003F007A">
        <w:t xml:space="preserve">Source: </w:t>
      </w:r>
      <w:r w:rsidRPr="007A0641">
        <w:t>Ministry of Health, Wellington</w:t>
      </w:r>
      <w:r>
        <w:t>.</w:t>
      </w:r>
    </w:p>
    <w:p w14:paraId="66EAD565" w14:textId="77777777" w:rsidR="00B24A7F" w:rsidRDefault="00B24A7F" w:rsidP="00AA1306">
      <w:pPr>
        <w:spacing w:before="0"/>
      </w:pPr>
    </w:p>
    <w:p w14:paraId="6D1BD0F6" w14:textId="25486F84" w:rsidR="00960C98" w:rsidRDefault="00960C98" w:rsidP="001A0EBD">
      <w:pPr>
        <w:spacing w:before="0"/>
      </w:pPr>
      <w:r>
        <w:t>Showing funding relating to the COVID-19 response can be done in different ways. Identifying COVID-19 funding by contract description means including any contract which has the word ‘COVID’ in its title. This method has been used in all previous reports.</w:t>
      </w:r>
    </w:p>
    <w:p w14:paraId="41CE4154" w14:textId="13A1B7C2" w:rsidR="00960C98" w:rsidRDefault="00960C98" w:rsidP="00960C98">
      <w:r>
        <w:t>Identifying COVID-19 funding by COVID-19 coding includes all funding coded to COVID-19 specific purchase unit codes,</w:t>
      </w:r>
      <w:r>
        <w:rPr>
          <w:rStyle w:val="FootnoteReference"/>
        </w:rPr>
        <w:footnoteReference w:id="3"/>
      </w:r>
      <w:r>
        <w:t xml:space="preserve"> such as: COV1901, COV1902, COV1903, COV1910, COV1912, and COV1914. Māori responses to COVID-19 can also have a different purchase unit code, MAOR1901, which can also be classified as COVID-19 funding. Contract managers decide which purchase unit codes are used. This report uses purchase unit codes to identify funding for different health service types.</w:t>
      </w:r>
    </w:p>
    <w:p w14:paraId="27D82566" w14:textId="2D039B1A" w:rsidR="00960C98" w:rsidRPr="005C4918" w:rsidRDefault="00960C98" w:rsidP="00960C98">
      <w:r>
        <w:t xml:space="preserve">Like previous reports, this report shows actual funding paid to providers during a financial year. </w:t>
      </w:r>
      <w:r w:rsidR="00753388">
        <w:br/>
      </w:r>
      <w:r>
        <w:t>The figures from Table 1 are included in the tables below.</w:t>
      </w:r>
    </w:p>
    <w:p w14:paraId="2A1F8655" w14:textId="3207F3AD" w:rsidR="00960C98" w:rsidRPr="003F007A" w:rsidRDefault="00960C98" w:rsidP="00A23EC5">
      <w:pPr>
        <w:pStyle w:val="Heading2"/>
      </w:pPr>
      <w:r>
        <w:t>F</w:t>
      </w:r>
      <w:r w:rsidRPr="003F007A">
        <w:t>unding to Māori health providers and Vote Health,</w:t>
      </w:r>
      <w:r w:rsidR="006471C6">
        <w:t xml:space="preserve"> </w:t>
      </w:r>
      <w:r>
        <w:t>2019/20 to 2023/24</w:t>
      </w:r>
    </w:p>
    <w:p w14:paraId="16714146" w14:textId="2A21AD6C" w:rsidR="00960C98" w:rsidRDefault="00960C98" w:rsidP="00960C98">
      <w:pPr>
        <w:pStyle w:val="Table"/>
      </w:pPr>
      <w:bookmarkStart w:id="0" w:name="_Ref161740038"/>
      <w:r w:rsidRPr="00D43132">
        <w:t>Table</w:t>
      </w:r>
      <w:r>
        <w:t xml:space="preserve"> </w:t>
      </w:r>
      <w:bookmarkEnd w:id="0"/>
      <w:r>
        <w:t>2</w:t>
      </w:r>
      <w:r w:rsidRPr="00D43132">
        <w:t xml:space="preserve">: </w:t>
      </w:r>
      <w:r>
        <w:t>F</w:t>
      </w:r>
      <w:r w:rsidRPr="00A87170">
        <w:t>unding to Māori health providers</w:t>
      </w:r>
      <w:r>
        <w:t xml:space="preserve"> as</w:t>
      </w:r>
      <w:r w:rsidRPr="00A87170">
        <w:t xml:space="preserve"> a percentage of Vote Health,</w:t>
      </w:r>
      <w:r w:rsidR="009F27AC">
        <w:t xml:space="preserve"> </w:t>
      </w:r>
      <w:r>
        <w:t>2019/20 to 2023/24</w:t>
      </w:r>
    </w:p>
    <w:tbl>
      <w:tblPr>
        <w:tblStyle w:val="TableGridLight"/>
        <w:tblW w:w="9356" w:type="dxa"/>
        <w:tblLayout w:type="fixed"/>
        <w:tblLook w:val="04A0" w:firstRow="1" w:lastRow="0" w:firstColumn="1" w:lastColumn="0" w:noHBand="0" w:noVBand="1"/>
      </w:tblPr>
      <w:tblGrid>
        <w:gridCol w:w="2637"/>
        <w:gridCol w:w="935"/>
        <w:gridCol w:w="935"/>
        <w:gridCol w:w="936"/>
        <w:gridCol w:w="935"/>
        <w:gridCol w:w="936"/>
        <w:gridCol w:w="1029"/>
        <w:gridCol w:w="1013"/>
      </w:tblGrid>
      <w:tr w:rsidR="007A1295" w:rsidRPr="007A1295" w14:paraId="078CBDF2" w14:textId="77777777" w:rsidTr="00044384">
        <w:trPr>
          <w:trHeight w:val="300"/>
        </w:trPr>
        <w:tc>
          <w:tcPr>
            <w:tcW w:w="2637" w:type="dxa"/>
            <w:vMerge w:val="restart"/>
            <w:tcBorders>
              <w:left w:val="nil"/>
            </w:tcBorders>
            <w:shd w:val="clear" w:color="auto" w:fill="D9D9D9" w:themeFill="background1" w:themeFillShade="D9"/>
          </w:tcPr>
          <w:p w14:paraId="11E1DE78" w14:textId="77777777" w:rsidR="00960C98" w:rsidRPr="007A1295" w:rsidRDefault="00960C98" w:rsidP="007A1295">
            <w:pPr>
              <w:pStyle w:val="TableText"/>
              <w:rPr>
                <w:rFonts w:cs="Segoe UI"/>
                <w:b/>
                <w:bCs/>
                <w:szCs w:val="18"/>
              </w:rPr>
            </w:pPr>
            <w:r w:rsidRPr="007A1295">
              <w:rPr>
                <w:rFonts w:cs="Segoe UI"/>
                <w:b/>
                <w:bCs/>
                <w:szCs w:val="18"/>
              </w:rPr>
              <w:t>Funding</w:t>
            </w:r>
          </w:p>
        </w:tc>
        <w:tc>
          <w:tcPr>
            <w:tcW w:w="4677" w:type="dxa"/>
            <w:gridSpan w:val="5"/>
            <w:tcBorders>
              <w:bottom w:val="nil"/>
            </w:tcBorders>
            <w:shd w:val="clear" w:color="auto" w:fill="D9D9D9" w:themeFill="background1" w:themeFillShade="D9"/>
          </w:tcPr>
          <w:p w14:paraId="21205260" w14:textId="77777777" w:rsidR="00960C98" w:rsidRPr="007A1295" w:rsidRDefault="00960C98" w:rsidP="007A1295">
            <w:pPr>
              <w:pStyle w:val="TableText"/>
              <w:jc w:val="center"/>
              <w:rPr>
                <w:rFonts w:ascii="Segoe UI Semibold" w:hAnsi="Segoe UI Semibold" w:cs="Segoe UI Semibold"/>
                <w:szCs w:val="18"/>
              </w:rPr>
            </w:pPr>
            <w:r w:rsidRPr="007A1295">
              <w:rPr>
                <w:rFonts w:ascii="Segoe UI Semibold" w:hAnsi="Segoe UI Semibold" w:cs="Segoe UI Semibold"/>
                <w:szCs w:val="18"/>
              </w:rPr>
              <w:t>Year</w:t>
            </w:r>
          </w:p>
        </w:tc>
        <w:tc>
          <w:tcPr>
            <w:tcW w:w="2042" w:type="dxa"/>
            <w:gridSpan w:val="2"/>
            <w:tcBorders>
              <w:bottom w:val="nil"/>
              <w:right w:val="nil"/>
            </w:tcBorders>
            <w:shd w:val="clear" w:color="auto" w:fill="D9D9D9" w:themeFill="background1" w:themeFillShade="D9"/>
          </w:tcPr>
          <w:p w14:paraId="7004E9DD" w14:textId="77777777" w:rsidR="00960C98" w:rsidRPr="007A1295" w:rsidRDefault="00960C98" w:rsidP="007A1295">
            <w:pPr>
              <w:pStyle w:val="TableText"/>
              <w:jc w:val="center"/>
              <w:rPr>
                <w:rFonts w:ascii="Segoe UI Semibold" w:hAnsi="Segoe UI Semibold" w:cs="Segoe UI Semibold"/>
                <w:szCs w:val="18"/>
              </w:rPr>
            </w:pPr>
            <w:r w:rsidRPr="007A1295">
              <w:rPr>
                <w:rFonts w:ascii="Segoe UI Semibold" w:hAnsi="Segoe UI Semibold" w:cs="Segoe UI Semibold"/>
                <w:szCs w:val="18"/>
              </w:rPr>
              <w:t>Increase</w:t>
            </w:r>
          </w:p>
        </w:tc>
      </w:tr>
      <w:tr w:rsidR="007A1295" w:rsidRPr="007A1295" w14:paraId="63E6E150" w14:textId="77777777" w:rsidTr="00044384">
        <w:trPr>
          <w:trHeight w:val="300"/>
        </w:trPr>
        <w:tc>
          <w:tcPr>
            <w:tcW w:w="2637" w:type="dxa"/>
            <w:vMerge/>
            <w:tcBorders>
              <w:left w:val="nil"/>
            </w:tcBorders>
            <w:shd w:val="clear" w:color="auto" w:fill="D9D9D9" w:themeFill="background1" w:themeFillShade="D9"/>
          </w:tcPr>
          <w:p w14:paraId="3D5FADBA" w14:textId="77777777" w:rsidR="00960C98" w:rsidRPr="007A1295" w:rsidRDefault="00960C98" w:rsidP="007A1295">
            <w:pPr>
              <w:pStyle w:val="TableText"/>
              <w:jc w:val="center"/>
              <w:rPr>
                <w:rFonts w:ascii="Segoe UI Semibold" w:hAnsi="Segoe UI Semibold" w:cs="Segoe UI Semibold"/>
                <w:szCs w:val="18"/>
              </w:rPr>
            </w:pPr>
          </w:p>
        </w:tc>
        <w:tc>
          <w:tcPr>
            <w:tcW w:w="935" w:type="dxa"/>
            <w:tcBorders>
              <w:top w:val="nil"/>
              <w:right w:val="nil"/>
            </w:tcBorders>
            <w:shd w:val="clear" w:color="auto" w:fill="D9D9D9" w:themeFill="background1" w:themeFillShade="D9"/>
          </w:tcPr>
          <w:p w14:paraId="62F1C4A8" w14:textId="77777777" w:rsidR="00E82A97" w:rsidRDefault="00960C98" w:rsidP="00753388">
            <w:pPr>
              <w:pStyle w:val="TableText"/>
              <w:jc w:val="center"/>
              <w:rPr>
                <w:rFonts w:ascii="Segoe UI Semibold" w:hAnsi="Segoe UI Semibold" w:cs="Segoe UI Semibold"/>
                <w:color w:val="231F20"/>
                <w:szCs w:val="18"/>
              </w:rPr>
            </w:pPr>
            <w:r w:rsidRPr="007A1295">
              <w:rPr>
                <w:rFonts w:ascii="Segoe UI Semibold" w:hAnsi="Segoe UI Semibold" w:cs="Segoe UI Semibold"/>
                <w:color w:val="231F20"/>
                <w:szCs w:val="18"/>
              </w:rPr>
              <w:t>19/20</w:t>
            </w:r>
          </w:p>
          <w:p w14:paraId="6AE4EFED" w14:textId="482C34C8" w:rsidR="00960C98" w:rsidRPr="007A1295" w:rsidRDefault="00960C98"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35" w:type="dxa"/>
            <w:tcBorders>
              <w:top w:val="nil"/>
              <w:left w:val="nil"/>
              <w:right w:val="nil"/>
            </w:tcBorders>
            <w:shd w:val="clear" w:color="auto" w:fill="D9D9D9" w:themeFill="background1" w:themeFillShade="D9"/>
          </w:tcPr>
          <w:p w14:paraId="697D3A8D" w14:textId="77777777" w:rsidR="00E82A97" w:rsidRDefault="00960C98" w:rsidP="00753388">
            <w:pPr>
              <w:pStyle w:val="TableText"/>
              <w:jc w:val="center"/>
              <w:rPr>
                <w:rFonts w:ascii="Segoe UI Semibold" w:hAnsi="Segoe UI Semibold" w:cs="Segoe UI Semibold"/>
                <w:color w:val="231F20"/>
                <w:szCs w:val="18"/>
              </w:rPr>
            </w:pPr>
            <w:r w:rsidRPr="007A1295">
              <w:rPr>
                <w:rFonts w:ascii="Segoe UI Semibold" w:hAnsi="Segoe UI Semibold" w:cs="Segoe UI Semibold"/>
                <w:color w:val="231F20"/>
                <w:szCs w:val="18"/>
              </w:rPr>
              <w:t>20/21</w:t>
            </w:r>
          </w:p>
          <w:p w14:paraId="6F443C2B" w14:textId="0715C6EE" w:rsidR="00960C98" w:rsidRPr="007A1295" w:rsidRDefault="00960C98"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36" w:type="dxa"/>
            <w:tcBorders>
              <w:top w:val="nil"/>
              <w:left w:val="nil"/>
              <w:right w:val="nil"/>
            </w:tcBorders>
            <w:shd w:val="clear" w:color="auto" w:fill="D9D9D9" w:themeFill="background1" w:themeFillShade="D9"/>
          </w:tcPr>
          <w:p w14:paraId="229A883F" w14:textId="77777777" w:rsidR="00E82A97" w:rsidRDefault="00960C98" w:rsidP="00753388">
            <w:pPr>
              <w:pStyle w:val="TableText"/>
              <w:jc w:val="center"/>
              <w:rPr>
                <w:rFonts w:ascii="Segoe UI Semibold" w:hAnsi="Segoe UI Semibold" w:cs="Segoe UI Semibold"/>
                <w:color w:val="231F20"/>
                <w:szCs w:val="18"/>
              </w:rPr>
            </w:pPr>
            <w:r w:rsidRPr="007A1295">
              <w:rPr>
                <w:rFonts w:ascii="Segoe UI Semibold" w:hAnsi="Segoe UI Semibold" w:cs="Segoe UI Semibold"/>
                <w:color w:val="231F20"/>
                <w:szCs w:val="18"/>
              </w:rPr>
              <w:t>21/22</w:t>
            </w:r>
          </w:p>
          <w:p w14:paraId="516C413B" w14:textId="128565AE" w:rsidR="00960C98" w:rsidRPr="007A1295" w:rsidRDefault="00960C98"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35" w:type="dxa"/>
            <w:tcBorders>
              <w:top w:val="nil"/>
              <w:left w:val="nil"/>
              <w:right w:val="nil"/>
            </w:tcBorders>
            <w:shd w:val="clear" w:color="auto" w:fill="D9D9D9" w:themeFill="background1" w:themeFillShade="D9"/>
          </w:tcPr>
          <w:p w14:paraId="6FA44ED9" w14:textId="77777777" w:rsidR="00E82A97" w:rsidRDefault="00960C98" w:rsidP="00753388">
            <w:pPr>
              <w:pStyle w:val="TableText"/>
              <w:jc w:val="center"/>
              <w:rPr>
                <w:rFonts w:ascii="Segoe UI Semibold" w:hAnsi="Segoe UI Semibold" w:cs="Segoe UI Semibold"/>
                <w:color w:val="231F20"/>
                <w:szCs w:val="18"/>
              </w:rPr>
            </w:pPr>
            <w:r w:rsidRPr="007A1295">
              <w:rPr>
                <w:rFonts w:ascii="Segoe UI Semibold" w:hAnsi="Segoe UI Semibold" w:cs="Segoe UI Semibold"/>
                <w:color w:val="231F20"/>
                <w:szCs w:val="18"/>
              </w:rPr>
              <w:t>22/23</w:t>
            </w:r>
          </w:p>
          <w:p w14:paraId="04B3342A" w14:textId="7A92DFE5" w:rsidR="00960C98" w:rsidRPr="007A1295" w:rsidRDefault="00960C98"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36" w:type="dxa"/>
            <w:tcBorders>
              <w:top w:val="nil"/>
              <w:left w:val="nil"/>
            </w:tcBorders>
            <w:shd w:val="clear" w:color="auto" w:fill="D9D9D9" w:themeFill="background1" w:themeFillShade="D9"/>
          </w:tcPr>
          <w:p w14:paraId="2BCAE455" w14:textId="77777777" w:rsidR="00E82A97" w:rsidRDefault="00960C98" w:rsidP="00753388">
            <w:pPr>
              <w:pStyle w:val="TableText"/>
              <w:jc w:val="center"/>
              <w:rPr>
                <w:rFonts w:ascii="Segoe UI Semibold" w:hAnsi="Segoe UI Semibold" w:cs="Segoe UI Semibold"/>
                <w:color w:val="231F20"/>
                <w:szCs w:val="18"/>
              </w:rPr>
            </w:pPr>
            <w:r w:rsidRPr="007A1295">
              <w:rPr>
                <w:rFonts w:ascii="Segoe UI Semibold" w:hAnsi="Segoe UI Semibold" w:cs="Segoe UI Semibold"/>
                <w:color w:val="231F20"/>
                <w:szCs w:val="18"/>
              </w:rPr>
              <w:t>23/24</w:t>
            </w:r>
          </w:p>
          <w:p w14:paraId="0C5F7D89" w14:textId="602CA536" w:rsidR="00960C98" w:rsidRPr="007A1295" w:rsidRDefault="00960C98"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1029" w:type="dxa"/>
            <w:tcBorders>
              <w:top w:val="nil"/>
              <w:right w:val="nil"/>
            </w:tcBorders>
            <w:shd w:val="clear" w:color="auto" w:fill="D9D9D9" w:themeFill="background1" w:themeFillShade="D9"/>
          </w:tcPr>
          <w:p w14:paraId="26E257B1" w14:textId="77777777" w:rsidR="00E82A97" w:rsidRDefault="00960C98" w:rsidP="00E82A97">
            <w:pPr>
              <w:pStyle w:val="TableText"/>
              <w:jc w:val="center"/>
              <w:rPr>
                <w:rFonts w:ascii="Segoe UI Semibold" w:hAnsi="Segoe UI Semibold" w:cs="Segoe UI Semibold"/>
                <w:szCs w:val="18"/>
              </w:rPr>
            </w:pPr>
            <w:r w:rsidRPr="007A1295">
              <w:rPr>
                <w:rFonts w:ascii="Segoe UI Semibold" w:hAnsi="Segoe UI Semibold" w:cs="Segoe UI Semibold"/>
                <w:szCs w:val="18"/>
              </w:rPr>
              <w:t>19/20 to 23/24</w:t>
            </w:r>
          </w:p>
          <w:p w14:paraId="465F952F" w14:textId="6E7558F3" w:rsidR="00960C98" w:rsidRPr="007A1295" w:rsidRDefault="00960C98" w:rsidP="00E82A97">
            <w:pPr>
              <w:pStyle w:val="TableText"/>
              <w:jc w:val="center"/>
              <w:rPr>
                <w:rFonts w:ascii="Segoe UI Semibold" w:hAnsi="Segoe UI Semibold" w:cs="Segoe UI Semibold"/>
                <w:szCs w:val="18"/>
              </w:rPr>
            </w:pPr>
            <w:r w:rsidRPr="007A1295">
              <w:rPr>
                <w:rFonts w:ascii="Segoe UI Semibold" w:hAnsi="Segoe UI Semibold" w:cs="Segoe UI Semibold"/>
                <w:szCs w:val="18"/>
              </w:rPr>
              <w:t>$m</w:t>
            </w:r>
          </w:p>
        </w:tc>
        <w:tc>
          <w:tcPr>
            <w:tcW w:w="1013" w:type="dxa"/>
            <w:tcBorders>
              <w:top w:val="nil"/>
              <w:left w:val="nil"/>
              <w:right w:val="nil"/>
            </w:tcBorders>
            <w:shd w:val="clear" w:color="auto" w:fill="D9D9D9" w:themeFill="background1" w:themeFillShade="D9"/>
          </w:tcPr>
          <w:p w14:paraId="78438CB1" w14:textId="77777777" w:rsidR="00E82A97" w:rsidRDefault="00960C98" w:rsidP="007A1295">
            <w:pPr>
              <w:pStyle w:val="TableText"/>
              <w:jc w:val="center"/>
              <w:rPr>
                <w:rFonts w:ascii="Segoe UI Semibold" w:hAnsi="Segoe UI Semibold" w:cs="Segoe UI Semibold"/>
                <w:szCs w:val="18"/>
              </w:rPr>
            </w:pPr>
            <w:r w:rsidRPr="007A1295">
              <w:rPr>
                <w:rFonts w:ascii="Segoe UI Semibold" w:hAnsi="Segoe UI Semibold" w:cs="Segoe UI Semibold"/>
                <w:szCs w:val="18"/>
              </w:rPr>
              <w:t>19/20</w:t>
            </w:r>
          </w:p>
          <w:p w14:paraId="2293C2ED" w14:textId="77777777" w:rsidR="00E82A97" w:rsidRDefault="00960C98" w:rsidP="007A1295">
            <w:pPr>
              <w:pStyle w:val="TableText"/>
              <w:jc w:val="center"/>
              <w:rPr>
                <w:rFonts w:ascii="Segoe UI Semibold" w:hAnsi="Segoe UI Semibold" w:cs="Segoe UI Semibold"/>
                <w:szCs w:val="18"/>
              </w:rPr>
            </w:pPr>
            <w:r w:rsidRPr="007A1295">
              <w:rPr>
                <w:rFonts w:ascii="Segoe UI Semibold" w:hAnsi="Segoe UI Semibold" w:cs="Segoe UI Semibold"/>
                <w:szCs w:val="18"/>
              </w:rPr>
              <w:t>to 23/24</w:t>
            </w:r>
          </w:p>
          <w:p w14:paraId="5BEB108D" w14:textId="14F8A9B8" w:rsidR="00960C98" w:rsidRPr="007A1295" w:rsidRDefault="00960C98" w:rsidP="007A1295">
            <w:pPr>
              <w:pStyle w:val="TableText"/>
              <w:jc w:val="center"/>
              <w:rPr>
                <w:rFonts w:ascii="Segoe UI Semibold" w:hAnsi="Segoe UI Semibold" w:cs="Segoe UI Semibold"/>
                <w:szCs w:val="18"/>
              </w:rPr>
            </w:pPr>
            <w:r w:rsidRPr="007A1295">
              <w:rPr>
                <w:rFonts w:ascii="Segoe UI Semibold" w:hAnsi="Segoe UI Semibold" w:cs="Segoe UI Semibold"/>
                <w:szCs w:val="18"/>
              </w:rPr>
              <w:t>%</w:t>
            </w:r>
          </w:p>
        </w:tc>
      </w:tr>
      <w:tr w:rsidR="00960C98" w:rsidRPr="007A1295" w14:paraId="2E1414A2" w14:textId="77777777" w:rsidTr="00044384">
        <w:trPr>
          <w:trHeight w:val="300"/>
        </w:trPr>
        <w:tc>
          <w:tcPr>
            <w:tcW w:w="2637" w:type="dxa"/>
            <w:tcBorders>
              <w:left w:val="nil"/>
            </w:tcBorders>
          </w:tcPr>
          <w:p w14:paraId="2B5EB013" w14:textId="77777777" w:rsidR="00960C98" w:rsidRPr="007A1295" w:rsidRDefault="00960C98" w:rsidP="007A1295">
            <w:pPr>
              <w:pStyle w:val="TableText"/>
              <w:rPr>
                <w:szCs w:val="18"/>
              </w:rPr>
            </w:pPr>
            <w:r w:rsidRPr="007A1295">
              <w:rPr>
                <w:szCs w:val="18"/>
              </w:rPr>
              <w:t>Total health entities funding to Māori health providers</w:t>
            </w:r>
          </w:p>
        </w:tc>
        <w:tc>
          <w:tcPr>
            <w:tcW w:w="935" w:type="dxa"/>
            <w:tcBorders>
              <w:right w:val="nil"/>
            </w:tcBorders>
          </w:tcPr>
          <w:p w14:paraId="6A95A5F6" w14:textId="77777777" w:rsidR="00960C98" w:rsidRPr="007A1295" w:rsidRDefault="00960C98" w:rsidP="007A1295">
            <w:pPr>
              <w:pStyle w:val="TableText"/>
              <w:jc w:val="center"/>
              <w:rPr>
                <w:szCs w:val="18"/>
              </w:rPr>
            </w:pPr>
            <w:r w:rsidRPr="003E0003">
              <w:rPr>
                <w:szCs w:val="18"/>
              </w:rPr>
              <w:t>529.8</w:t>
            </w:r>
          </w:p>
        </w:tc>
        <w:tc>
          <w:tcPr>
            <w:tcW w:w="935" w:type="dxa"/>
            <w:tcBorders>
              <w:left w:val="nil"/>
              <w:right w:val="nil"/>
            </w:tcBorders>
          </w:tcPr>
          <w:p w14:paraId="0A0CBF23" w14:textId="77777777" w:rsidR="00960C98" w:rsidRPr="007A1295" w:rsidRDefault="00960C98" w:rsidP="007A1295">
            <w:pPr>
              <w:pStyle w:val="TableText"/>
              <w:jc w:val="center"/>
              <w:rPr>
                <w:szCs w:val="18"/>
              </w:rPr>
            </w:pPr>
            <w:r w:rsidRPr="003E0003">
              <w:rPr>
                <w:szCs w:val="18"/>
              </w:rPr>
              <w:t>588.0</w:t>
            </w:r>
          </w:p>
        </w:tc>
        <w:tc>
          <w:tcPr>
            <w:tcW w:w="936" w:type="dxa"/>
            <w:tcBorders>
              <w:left w:val="nil"/>
              <w:right w:val="nil"/>
            </w:tcBorders>
          </w:tcPr>
          <w:p w14:paraId="260D635B" w14:textId="77777777" w:rsidR="00960C98" w:rsidRPr="007A1295" w:rsidRDefault="00960C98" w:rsidP="007A1295">
            <w:pPr>
              <w:pStyle w:val="TableText"/>
              <w:jc w:val="center"/>
              <w:rPr>
                <w:szCs w:val="18"/>
              </w:rPr>
            </w:pPr>
            <w:r w:rsidRPr="003E0003">
              <w:rPr>
                <w:szCs w:val="18"/>
              </w:rPr>
              <w:t>780.0</w:t>
            </w:r>
          </w:p>
        </w:tc>
        <w:tc>
          <w:tcPr>
            <w:tcW w:w="935" w:type="dxa"/>
            <w:tcBorders>
              <w:left w:val="nil"/>
              <w:right w:val="nil"/>
            </w:tcBorders>
          </w:tcPr>
          <w:p w14:paraId="6AA95207" w14:textId="77777777" w:rsidR="00960C98" w:rsidRPr="007A1295" w:rsidRDefault="00960C98" w:rsidP="007A1295">
            <w:pPr>
              <w:pStyle w:val="TableText"/>
              <w:jc w:val="center"/>
              <w:rPr>
                <w:szCs w:val="18"/>
              </w:rPr>
            </w:pPr>
            <w:r w:rsidRPr="003E0003">
              <w:rPr>
                <w:szCs w:val="18"/>
              </w:rPr>
              <w:t>818.6</w:t>
            </w:r>
          </w:p>
        </w:tc>
        <w:tc>
          <w:tcPr>
            <w:tcW w:w="936" w:type="dxa"/>
            <w:tcBorders>
              <w:left w:val="nil"/>
            </w:tcBorders>
          </w:tcPr>
          <w:p w14:paraId="7CBCCAAE" w14:textId="77777777" w:rsidR="00960C98" w:rsidRPr="007A1295" w:rsidRDefault="00960C98" w:rsidP="007A1295">
            <w:pPr>
              <w:pStyle w:val="TableText"/>
              <w:jc w:val="center"/>
              <w:rPr>
                <w:szCs w:val="18"/>
              </w:rPr>
            </w:pPr>
            <w:r w:rsidRPr="007A1295">
              <w:rPr>
                <w:szCs w:val="18"/>
              </w:rPr>
              <w:t>999.8</w:t>
            </w:r>
          </w:p>
        </w:tc>
        <w:tc>
          <w:tcPr>
            <w:tcW w:w="1029" w:type="dxa"/>
            <w:tcBorders>
              <w:right w:val="nil"/>
            </w:tcBorders>
          </w:tcPr>
          <w:p w14:paraId="71B863E1" w14:textId="77777777" w:rsidR="00960C98" w:rsidRPr="007A1295" w:rsidRDefault="00960C98" w:rsidP="007A1295">
            <w:pPr>
              <w:pStyle w:val="TableText"/>
              <w:jc w:val="center"/>
              <w:rPr>
                <w:szCs w:val="18"/>
              </w:rPr>
            </w:pPr>
            <w:r w:rsidRPr="007A1295">
              <w:rPr>
                <w:szCs w:val="18"/>
              </w:rPr>
              <w:t>469.9</w:t>
            </w:r>
          </w:p>
        </w:tc>
        <w:tc>
          <w:tcPr>
            <w:tcW w:w="1013" w:type="dxa"/>
            <w:tcBorders>
              <w:left w:val="nil"/>
              <w:right w:val="nil"/>
            </w:tcBorders>
          </w:tcPr>
          <w:p w14:paraId="49DC9384" w14:textId="77777777" w:rsidR="00960C98" w:rsidRPr="007A1295" w:rsidRDefault="00960C98" w:rsidP="007A1295">
            <w:pPr>
              <w:pStyle w:val="TableText"/>
              <w:jc w:val="center"/>
              <w:rPr>
                <w:szCs w:val="18"/>
              </w:rPr>
            </w:pPr>
            <w:r w:rsidRPr="007A1295">
              <w:rPr>
                <w:szCs w:val="18"/>
              </w:rPr>
              <w:t>88.7</w:t>
            </w:r>
          </w:p>
        </w:tc>
      </w:tr>
      <w:tr w:rsidR="00960C98" w:rsidRPr="007A1295" w14:paraId="4F06C4CD" w14:textId="77777777" w:rsidTr="00044384">
        <w:trPr>
          <w:trHeight w:val="300"/>
        </w:trPr>
        <w:tc>
          <w:tcPr>
            <w:tcW w:w="2637" w:type="dxa"/>
            <w:tcBorders>
              <w:left w:val="nil"/>
            </w:tcBorders>
          </w:tcPr>
          <w:p w14:paraId="536850FC" w14:textId="77777777" w:rsidR="00960C98" w:rsidRPr="007A1295" w:rsidRDefault="00960C98" w:rsidP="007A1295">
            <w:pPr>
              <w:pStyle w:val="TableText"/>
              <w:rPr>
                <w:szCs w:val="18"/>
              </w:rPr>
            </w:pPr>
            <w:r w:rsidRPr="007A1295">
              <w:rPr>
                <w:szCs w:val="18"/>
              </w:rPr>
              <w:lastRenderedPageBreak/>
              <w:t>Vote Health</w:t>
            </w:r>
          </w:p>
        </w:tc>
        <w:tc>
          <w:tcPr>
            <w:tcW w:w="935" w:type="dxa"/>
            <w:tcBorders>
              <w:right w:val="nil"/>
            </w:tcBorders>
          </w:tcPr>
          <w:p w14:paraId="63F7ADFC" w14:textId="77777777" w:rsidR="00960C98" w:rsidRPr="007A1295" w:rsidRDefault="00960C98" w:rsidP="007A1295">
            <w:pPr>
              <w:pStyle w:val="TableText"/>
              <w:jc w:val="center"/>
              <w:rPr>
                <w:szCs w:val="18"/>
              </w:rPr>
            </w:pPr>
            <w:r w:rsidRPr="007A1295">
              <w:rPr>
                <w:szCs w:val="18"/>
              </w:rPr>
              <w:t>17,890</w:t>
            </w:r>
          </w:p>
        </w:tc>
        <w:tc>
          <w:tcPr>
            <w:tcW w:w="935" w:type="dxa"/>
            <w:tcBorders>
              <w:left w:val="nil"/>
              <w:right w:val="nil"/>
            </w:tcBorders>
          </w:tcPr>
          <w:p w14:paraId="2FDA7F9A" w14:textId="77777777" w:rsidR="00960C98" w:rsidRPr="007A1295" w:rsidRDefault="00960C98" w:rsidP="007A1295">
            <w:pPr>
              <w:pStyle w:val="TableText"/>
              <w:jc w:val="center"/>
              <w:rPr>
                <w:szCs w:val="18"/>
              </w:rPr>
            </w:pPr>
            <w:r w:rsidRPr="007A1295">
              <w:rPr>
                <w:szCs w:val="18"/>
              </w:rPr>
              <w:t>19,313</w:t>
            </w:r>
          </w:p>
        </w:tc>
        <w:tc>
          <w:tcPr>
            <w:tcW w:w="936" w:type="dxa"/>
            <w:tcBorders>
              <w:left w:val="nil"/>
              <w:right w:val="nil"/>
            </w:tcBorders>
          </w:tcPr>
          <w:p w14:paraId="6C5E15BA" w14:textId="77777777" w:rsidR="00960C98" w:rsidRPr="007A1295" w:rsidRDefault="00960C98" w:rsidP="007A1295">
            <w:pPr>
              <w:pStyle w:val="TableText"/>
              <w:jc w:val="center"/>
              <w:rPr>
                <w:szCs w:val="18"/>
              </w:rPr>
            </w:pPr>
            <w:r w:rsidRPr="007A1295">
              <w:rPr>
                <w:szCs w:val="18"/>
              </w:rPr>
              <w:t>20,704</w:t>
            </w:r>
          </w:p>
        </w:tc>
        <w:tc>
          <w:tcPr>
            <w:tcW w:w="935" w:type="dxa"/>
            <w:tcBorders>
              <w:left w:val="nil"/>
              <w:right w:val="nil"/>
            </w:tcBorders>
          </w:tcPr>
          <w:p w14:paraId="70747827" w14:textId="77777777" w:rsidR="00960C98" w:rsidRPr="007A1295" w:rsidRDefault="00960C98" w:rsidP="007A1295">
            <w:pPr>
              <w:pStyle w:val="TableText"/>
              <w:jc w:val="center"/>
              <w:rPr>
                <w:szCs w:val="18"/>
              </w:rPr>
            </w:pPr>
            <w:r w:rsidRPr="007A1295">
              <w:rPr>
                <w:szCs w:val="18"/>
              </w:rPr>
              <w:t>21,111</w:t>
            </w:r>
          </w:p>
        </w:tc>
        <w:tc>
          <w:tcPr>
            <w:tcW w:w="936" w:type="dxa"/>
            <w:tcBorders>
              <w:left w:val="nil"/>
            </w:tcBorders>
          </w:tcPr>
          <w:p w14:paraId="3F326C79" w14:textId="77777777" w:rsidR="00960C98" w:rsidRPr="007A1295" w:rsidRDefault="00960C98" w:rsidP="007A1295">
            <w:pPr>
              <w:pStyle w:val="TableText"/>
              <w:jc w:val="center"/>
              <w:rPr>
                <w:szCs w:val="18"/>
              </w:rPr>
            </w:pPr>
            <w:r w:rsidRPr="007A1295">
              <w:rPr>
                <w:szCs w:val="18"/>
              </w:rPr>
              <w:t>22,901</w:t>
            </w:r>
          </w:p>
        </w:tc>
        <w:tc>
          <w:tcPr>
            <w:tcW w:w="1029" w:type="dxa"/>
            <w:tcBorders>
              <w:right w:val="nil"/>
            </w:tcBorders>
          </w:tcPr>
          <w:p w14:paraId="0C7844FD" w14:textId="77777777" w:rsidR="00960C98" w:rsidRPr="007A1295" w:rsidRDefault="00960C98" w:rsidP="007A1295">
            <w:pPr>
              <w:pStyle w:val="TableText"/>
              <w:jc w:val="center"/>
              <w:rPr>
                <w:szCs w:val="18"/>
              </w:rPr>
            </w:pPr>
            <w:r w:rsidRPr="007A1295">
              <w:rPr>
                <w:szCs w:val="18"/>
              </w:rPr>
              <w:t>5,011.5</w:t>
            </w:r>
          </w:p>
        </w:tc>
        <w:tc>
          <w:tcPr>
            <w:tcW w:w="1013" w:type="dxa"/>
            <w:tcBorders>
              <w:left w:val="nil"/>
              <w:right w:val="nil"/>
            </w:tcBorders>
          </w:tcPr>
          <w:p w14:paraId="7CFB4804" w14:textId="77777777" w:rsidR="00960C98" w:rsidRPr="007A1295" w:rsidRDefault="00960C98" w:rsidP="007A1295">
            <w:pPr>
              <w:pStyle w:val="TableText"/>
              <w:jc w:val="center"/>
              <w:rPr>
                <w:szCs w:val="18"/>
              </w:rPr>
            </w:pPr>
            <w:r w:rsidRPr="007A1295">
              <w:rPr>
                <w:szCs w:val="18"/>
              </w:rPr>
              <w:t>28.0</w:t>
            </w:r>
          </w:p>
        </w:tc>
      </w:tr>
      <w:tr w:rsidR="00960C98" w:rsidRPr="007A1295" w14:paraId="3A0B159F" w14:textId="77777777" w:rsidTr="00044384">
        <w:trPr>
          <w:trHeight w:val="300"/>
        </w:trPr>
        <w:tc>
          <w:tcPr>
            <w:tcW w:w="2637" w:type="dxa"/>
            <w:tcBorders>
              <w:left w:val="nil"/>
            </w:tcBorders>
          </w:tcPr>
          <w:p w14:paraId="51B8D658" w14:textId="77777777" w:rsidR="00960C98" w:rsidRPr="007A1295" w:rsidRDefault="00960C98" w:rsidP="007A1295">
            <w:pPr>
              <w:pStyle w:val="TableText"/>
              <w:rPr>
                <w:szCs w:val="18"/>
              </w:rPr>
            </w:pPr>
            <w:r w:rsidRPr="007A1295">
              <w:rPr>
                <w:szCs w:val="18"/>
              </w:rPr>
              <w:t>Total funding as a percentage of Vote Health</w:t>
            </w:r>
          </w:p>
        </w:tc>
        <w:tc>
          <w:tcPr>
            <w:tcW w:w="935" w:type="dxa"/>
            <w:tcBorders>
              <w:right w:val="nil"/>
            </w:tcBorders>
          </w:tcPr>
          <w:p w14:paraId="3B03E10F" w14:textId="77777777" w:rsidR="00960C98" w:rsidRPr="007A1295" w:rsidRDefault="00960C98" w:rsidP="007A1295">
            <w:pPr>
              <w:pStyle w:val="TableText"/>
              <w:jc w:val="center"/>
              <w:rPr>
                <w:szCs w:val="18"/>
              </w:rPr>
            </w:pPr>
            <w:r w:rsidRPr="007A1295">
              <w:rPr>
                <w:szCs w:val="18"/>
              </w:rPr>
              <w:t>3.0%</w:t>
            </w:r>
          </w:p>
        </w:tc>
        <w:tc>
          <w:tcPr>
            <w:tcW w:w="935" w:type="dxa"/>
            <w:tcBorders>
              <w:left w:val="nil"/>
              <w:right w:val="nil"/>
            </w:tcBorders>
          </w:tcPr>
          <w:p w14:paraId="1EDDD64A" w14:textId="77777777" w:rsidR="00960C98" w:rsidRPr="007A1295" w:rsidRDefault="00960C98" w:rsidP="007A1295">
            <w:pPr>
              <w:pStyle w:val="TableText"/>
              <w:jc w:val="center"/>
              <w:rPr>
                <w:szCs w:val="18"/>
              </w:rPr>
            </w:pPr>
            <w:r w:rsidRPr="007A1295">
              <w:rPr>
                <w:szCs w:val="18"/>
              </w:rPr>
              <w:t>3.0%</w:t>
            </w:r>
          </w:p>
        </w:tc>
        <w:tc>
          <w:tcPr>
            <w:tcW w:w="936" w:type="dxa"/>
            <w:tcBorders>
              <w:left w:val="nil"/>
              <w:right w:val="nil"/>
            </w:tcBorders>
          </w:tcPr>
          <w:p w14:paraId="3F72A68E" w14:textId="77777777" w:rsidR="00960C98" w:rsidRPr="007A1295" w:rsidRDefault="00960C98" w:rsidP="007A1295">
            <w:pPr>
              <w:pStyle w:val="TableText"/>
              <w:jc w:val="center"/>
              <w:rPr>
                <w:szCs w:val="18"/>
              </w:rPr>
            </w:pPr>
            <w:r w:rsidRPr="007A1295">
              <w:rPr>
                <w:szCs w:val="18"/>
              </w:rPr>
              <w:t>3.8%</w:t>
            </w:r>
          </w:p>
        </w:tc>
        <w:tc>
          <w:tcPr>
            <w:tcW w:w="935" w:type="dxa"/>
            <w:tcBorders>
              <w:left w:val="nil"/>
              <w:right w:val="nil"/>
            </w:tcBorders>
          </w:tcPr>
          <w:p w14:paraId="2C6C6EFA" w14:textId="77777777" w:rsidR="00960C98" w:rsidRPr="007A1295" w:rsidRDefault="00960C98" w:rsidP="007A1295">
            <w:pPr>
              <w:pStyle w:val="TableText"/>
              <w:jc w:val="center"/>
              <w:rPr>
                <w:szCs w:val="18"/>
              </w:rPr>
            </w:pPr>
            <w:r w:rsidRPr="007A1295">
              <w:rPr>
                <w:szCs w:val="18"/>
              </w:rPr>
              <w:t>3.9%</w:t>
            </w:r>
          </w:p>
        </w:tc>
        <w:tc>
          <w:tcPr>
            <w:tcW w:w="936" w:type="dxa"/>
            <w:tcBorders>
              <w:left w:val="nil"/>
            </w:tcBorders>
          </w:tcPr>
          <w:p w14:paraId="56EA3B0B" w14:textId="77777777" w:rsidR="00960C98" w:rsidRPr="007A1295" w:rsidRDefault="00960C98" w:rsidP="007A1295">
            <w:pPr>
              <w:pStyle w:val="TableText"/>
              <w:jc w:val="center"/>
              <w:rPr>
                <w:szCs w:val="18"/>
              </w:rPr>
            </w:pPr>
            <w:r w:rsidRPr="007A1295">
              <w:rPr>
                <w:szCs w:val="18"/>
              </w:rPr>
              <w:t>4.4%</w:t>
            </w:r>
          </w:p>
        </w:tc>
        <w:tc>
          <w:tcPr>
            <w:tcW w:w="1029" w:type="dxa"/>
            <w:tcBorders>
              <w:right w:val="nil"/>
            </w:tcBorders>
          </w:tcPr>
          <w:p w14:paraId="72E8071C" w14:textId="77777777" w:rsidR="00960C98" w:rsidRPr="007A1295" w:rsidRDefault="00960C98" w:rsidP="007A1295">
            <w:pPr>
              <w:pStyle w:val="TableText"/>
              <w:jc w:val="center"/>
              <w:rPr>
                <w:szCs w:val="18"/>
              </w:rPr>
            </w:pPr>
            <w:r w:rsidRPr="007A1295">
              <w:rPr>
                <w:szCs w:val="18"/>
              </w:rPr>
              <w:t>–</w:t>
            </w:r>
          </w:p>
        </w:tc>
        <w:tc>
          <w:tcPr>
            <w:tcW w:w="1013" w:type="dxa"/>
            <w:tcBorders>
              <w:left w:val="nil"/>
              <w:right w:val="nil"/>
            </w:tcBorders>
          </w:tcPr>
          <w:p w14:paraId="4A65AF83" w14:textId="77777777" w:rsidR="00960C98" w:rsidRPr="007A1295" w:rsidRDefault="00960C98" w:rsidP="007A1295">
            <w:pPr>
              <w:pStyle w:val="TableText"/>
              <w:jc w:val="center"/>
              <w:rPr>
                <w:szCs w:val="18"/>
              </w:rPr>
            </w:pPr>
            <w:r w:rsidRPr="007A1295">
              <w:rPr>
                <w:szCs w:val="18"/>
              </w:rPr>
              <w:t>–</w:t>
            </w:r>
          </w:p>
        </w:tc>
      </w:tr>
    </w:tbl>
    <w:p w14:paraId="56495737" w14:textId="77777777" w:rsidR="00960C98" w:rsidRPr="007A1295" w:rsidRDefault="00960C98" w:rsidP="00AA1306">
      <w:pPr>
        <w:pStyle w:val="Source"/>
        <w:spacing w:before="0" w:after="0"/>
      </w:pPr>
      <w:r w:rsidRPr="007A1295">
        <w:t>Source: Ministry of Health, Wellington; Health Sector – Estimates of Appropriations, The Treasury, Wellington.</w:t>
      </w:r>
    </w:p>
    <w:p w14:paraId="56A3CCBE" w14:textId="7D3EE2B9" w:rsidR="00960C98" w:rsidRDefault="00960C98" w:rsidP="00AA1306">
      <w:pPr>
        <w:pStyle w:val="Source"/>
        <w:spacing w:before="0" w:after="0"/>
      </w:pPr>
      <w:r w:rsidRPr="007A1295">
        <w:t>Notes: Due to rounding, individual figures in this table may not add to the stated totals and percentages may appear to differ from those stated.</w:t>
      </w:r>
    </w:p>
    <w:p w14:paraId="1FF4E960" w14:textId="77777777" w:rsidR="009D1E3C" w:rsidRDefault="009D1E3C" w:rsidP="00AA1306">
      <w:pPr>
        <w:spacing w:before="0"/>
      </w:pPr>
    </w:p>
    <w:p w14:paraId="473A1BED" w14:textId="18A57E8F" w:rsidR="00960C98" w:rsidRPr="00472FBC" w:rsidRDefault="00960C98" w:rsidP="00AA1306">
      <w:pPr>
        <w:spacing w:before="0"/>
      </w:pPr>
      <w:r w:rsidRPr="00A87170">
        <w:t>Total funding to Māori health providers increas</w:t>
      </w:r>
      <w:r>
        <w:t xml:space="preserve">ed </w:t>
      </w:r>
      <w:r w:rsidRPr="00A87170">
        <w:t>from $</w:t>
      </w:r>
      <w:r>
        <w:t>529.8</w:t>
      </w:r>
      <w:r w:rsidRPr="00A87170">
        <w:t xml:space="preserve"> million in 201</w:t>
      </w:r>
      <w:r>
        <w:t>9</w:t>
      </w:r>
      <w:r w:rsidRPr="00A87170">
        <w:t>/</w:t>
      </w:r>
      <w:r>
        <w:t>20</w:t>
      </w:r>
      <w:r w:rsidRPr="00A87170">
        <w:t xml:space="preserve"> to $</w:t>
      </w:r>
      <w:r>
        <w:t>999.8</w:t>
      </w:r>
      <w:r w:rsidRPr="00A87170">
        <w:t xml:space="preserve"> million in 202</w:t>
      </w:r>
      <w:r>
        <w:t>3</w:t>
      </w:r>
      <w:r w:rsidRPr="00A87170">
        <w:t>/2</w:t>
      </w:r>
      <w:r>
        <w:t>4, an increase of</w:t>
      </w:r>
      <w:r w:rsidRPr="00A87170">
        <w:t xml:space="preserve"> $</w:t>
      </w:r>
      <w:r>
        <w:t>469.9</w:t>
      </w:r>
      <w:r w:rsidRPr="00A87170">
        <w:t xml:space="preserve"> million </w:t>
      </w:r>
      <w:r>
        <w:t>or 88.7%.</w:t>
      </w:r>
    </w:p>
    <w:p w14:paraId="218EDFD1" w14:textId="77777777" w:rsidR="00960C98" w:rsidRPr="005C4918" w:rsidRDefault="00960C98" w:rsidP="00960C98">
      <w:r>
        <w:t>As in previous reports, although total funding to Māori health providers is increasing, it remains a small but increasing part of Vote Health. It has increased from 3.0% in 2019/20 to 4.4% in 2023/24.</w:t>
      </w:r>
    </w:p>
    <w:p w14:paraId="012D270D" w14:textId="511F7DE2" w:rsidR="00960C98" w:rsidRPr="003F007A" w:rsidRDefault="00960C98" w:rsidP="00BA4BCE">
      <w:pPr>
        <w:pStyle w:val="Heading2"/>
      </w:pPr>
      <w:r>
        <w:t>F</w:t>
      </w:r>
      <w:r w:rsidRPr="003F007A">
        <w:t xml:space="preserve">unding to Māori health providers </w:t>
      </w:r>
      <w:r>
        <w:t xml:space="preserve">by the five largest </w:t>
      </w:r>
      <w:r w:rsidR="002F5588">
        <w:t>m</w:t>
      </w:r>
      <w:r>
        <w:t xml:space="preserve">ajor </w:t>
      </w:r>
      <w:r w:rsidR="002F5588">
        <w:t>s</w:t>
      </w:r>
      <w:r>
        <w:t xml:space="preserve">ervice </w:t>
      </w:r>
      <w:r w:rsidR="002F5588">
        <w:t>g</w:t>
      </w:r>
      <w:r>
        <w:t>roups, 2019/20 to 2023/24</w:t>
      </w:r>
    </w:p>
    <w:p w14:paraId="3C3FD432" w14:textId="4760ECFB" w:rsidR="00960C98" w:rsidRDefault="00960C98" w:rsidP="00960C98">
      <w:pPr>
        <w:pStyle w:val="Table"/>
      </w:pPr>
      <w:r w:rsidRPr="00D43132">
        <w:t>Table</w:t>
      </w:r>
      <w:r>
        <w:t xml:space="preserve"> 3</w:t>
      </w:r>
      <w:r w:rsidRPr="00D43132">
        <w:t xml:space="preserve">: </w:t>
      </w:r>
      <w:r>
        <w:t>F</w:t>
      </w:r>
      <w:r w:rsidRPr="00A87170">
        <w:t xml:space="preserve">unding to Māori health providers </w:t>
      </w:r>
      <w:r>
        <w:t xml:space="preserve">by the five largest </w:t>
      </w:r>
      <w:r w:rsidR="00D905D2">
        <w:t>m</w:t>
      </w:r>
      <w:r>
        <w:t xml:space="preserve">ajor </w:t>
      </w:r>
      <w:r w:rsidR="00D905D2">
        <w:t>s</w:t>
      </w:r>
      <w:r>
        <w:t xml:space="preserve">ervice </w:t>
      </w:r>
      <w:r w:rsidR="00D905D2">
        <w:t>g</w:t>
      </w:r>
      <w:r>
        <w:t>roups, 2019/20 to 2023/24</w:t>
      </w:r>
    </w:p>
    <w:tbl>
      <w:tblPr>
        <w:tblStyle w:val="TableGridLight"/>
        <w:tblW w:w="9356" w:type="dxa"/>
        <w:tblBorders>
          <w:left w:val="none" w:sz="0" w:space="0" w:color="auto"/>
          <w:right w:val="none" w:sz="0" w:space="0" w:color="auto"/>
        </w:tblBorders>
        <w:tblLayout w:type="fixed"/>
        <w:tblLook w:val="04A0" w:firstRow="1" w:lastRow="0" w:firstColumn="1" w:lastColumn="0" w:noHBand="0" w:noVBand="1"/>
      </w:tblPr>
      <w:tblGrid>
        <w:gridCol w:w="2318"/>
        <w:gridCol w:w="982"/>
        <w:gridCol w:w="982"/>
        <w:gridCol w:w="983"/>
        <w:gridCol w:w="982"/>
        <w:gridCol w:w="983"/>
        <w:gridCol w:w="1063"/>
        <w:gridCol w:w="1063"/>
      </w:tblGrid>
      <w:tr w:rsidR="007A1295" w:rsidRPr="007A1295" w14:paraId="76B64E1B" w14:textId="77777777" w:rsidTr="001A5ADF">
        <w:trPr>
          <w:trHeight w:val="300"/>
        </w:trPr>
        <w:tc>
          <w:tcPr>
            <w:tcW w:w="2318" w:type="dxa"/>
            <w:vMerge w:val="restart"/>
            <w:shd w:val="clear" w:color="auto" w:fill="D9D9D9" w:themeFill="background1" w:themeFillShade="D9"/>
          </w:tcPr>
          <w:p w14:paraId="77BC5E06" w14:textId="3B174921" w:rsidR="007A1295" w:rsidRPr="007A1295" w:rsidRDefault="007A1295" w:rsidP="007A1295">
            <w:pPr>
              <w:pStyle w:val="TableText"/>
              <w:rPr>
                <w:b/>
                <w:bCs/>
                <w:szCs w:val="18"/>
              </w:rPr>
            </w:pPr>
            <w:r w:rsidRPr="007A1295">
              <w:rPr>
                <w:b/>
                <w:bCs/>
                <w:szCs w:val="18"/>
              </w:rPr>
              <w:t xml:space="preserve">Funding by </w:t>
            </w:r>
            <w:r w:rsidR="002F5588">
              <w:rPr>
                <w:b/>
                <w:bCs/>
                <w:szCs w:val="18"/>
              </w:rPr>
              <w:t>t</w:t>
            </w:r>
            <w:r w:rsidRPr="007A1295">
              <w:rPr>
                <w:b/>
                <w:bCs/>
                <w:szCs w:val="18"/>
              </w:rPr>
              <w:t xml:space="preserve">op </w:t>
            </w:r>
            <w:r w:rsidR="002F5588">
              <w:rPr>
                <w:b/>
                <w:bCs/>
                <w:szCs w:val="18"/>
              </w:rPr>
              <w:t>f</w:t>
            </w:r>
            <w:r w:rsidR="002F5588" w:rsidRPr="007A1295">
              <w:rPr>
                <w:b/>
                <w:bCs/>
                <w:szCs w:val="18"/>
              </w:rPr>
              <w:t xml:space="preserve">ive </w:t>
            </w:r>
            <w:r w:rsidR="002F5588">
              <w:rPr>
                <w:b/>
                <w:bCs/>
                <w:szCs w:val="18"/>
              </w:rPr>
              <w:t>m</w:t>
            </w:r>
            <w:r w:rsidRPr="007A1295">
              <w:rPr>
                <w:b/>
                <w:bCs/>
                <w:szCs w:val="18"/>
              </w:rPr>
              <w:t xml:space="preserve">ajor </w:t>
            </w:r>
            <w:r w:rsidR="002F5588">
              <w:rPr>
                <w:b/>
                <w:bCs/>
                <w:szCs w:val="18"/>
              </w:rPr>
              <w:t>s</w:t>
            </w:r>
            <w:r w:rsidRPr="007A1295">
              <w:rPr>
                <w:b/>
                <w:bCs/>
                <w:szCs w:val="18"/>
              </w:rPr>
              <w:t xml:space="preserve">ervice </w:t>
            </w:r>
            <w:r w:rsidR="002F5588">
              <w:rPr>
                <w:b/>
                <w:bCs/>
                <w:szCs w:val="18"/>
              </w:rPr>
              <w:t>g</w:t>
            </w:r>
            <w:r w:rsidRPr="007A1295">
              <w:rPr>
                <w:b/>
                <w:bCs/>
                <w:szCs w:val="18"/>
              </w:rPr>
              <w:t>roups</w:t>
            </w:r>
          </w:p>
        </w:tc>
        <w:tc>
          <w:tcPr>
            <w:tcW w:w="4912" w:type="dxa"/>
            <w:gridSpan w:val="5"/>
            <w:tcBorders>
              <w:bottom w:val="nil"/>
            </w:tcBorders>
            <w:shd w:val="clear" w:color="auto" w:fill="D9D9D9" w:themeFill="background1" w:themeFillShade="D9"/>
          </w:tcPr>
          <w:p w14:paraId="10700C03" w14:textId="77777777" w:rsidR="007A1295" w:rsidRPr="007A1295" w:rsidRDefault="007A1295" w:rsidP="007A1295">
            <w:pPr>
              <w:pStyle w:val="TableText"/>
              <w:jc w:val="center"/>
              <w:rPr>
                <w:rFonts w:ascii="Segoe UI Semibold" w:hAnsi="Segoe UI Semibold" w:cs="Segoe UI Semibold"/>
                <w:szCs w:val="18"/>
              </w:rPr>
            </w:pPr>
            <w:r w:rsidRPr="007A1295">
              <w:rPr>
                <w:rFonts w:ascii="Segoe UI Semibold" w:hAnsi="Segoe UI Semibold" w:cs="Segoe UI Semibold"/>
                <w:szCs w:val="18"/>
              </w:rPr>
              <w:t>Year</w:t>
            </w:r>
          </w:p>
        </w:tc>
        <w:tc>
          <w:tcPr>
            <w:tcW w:w="2126" w:type="dxa"/>
            <w:gridSpan w:val="2"/>
            <w:tcBorders>
              <w:bottom w:val="nil"/>
            </w:tcBorders>
            <w:shd w:val="clear" w:color="auto" w:fill="D9D9D9" w:themeFill="background1" w:themeFillShade="D9"/>
          </w:tcPr>
          <w:p w14:paraId="35897E12" w14:textId="77777777" w:rsidR="007A1295" w:rsidRPr="007A1295" w:rsidRDefault="007A1295" w:rsidP="007A1295">
            <w:pPr>
              <w:pStyle w:val="TableText"/>
              <w:jc w:val="center"/>
              <w:rPr>
                <w:rFonts w:ascii="Segoe UI Semibold" w:hAnsi="Segoe UI Semibold" w:cs="Segoe UI Semibold"/>
                <w:szCs w:val="18"/>
              </w:rPr>
            </w:pPr>
            <w:r w:rsidRPr="007A1295">
              <w:rPr>
                <w:rFonts w:ascii="Segoe UI Semibold" w:hAnsi="Segoe UI Semibold" w:cs="Segoe UI Semibold"/>
                <w:szCs w:val="18"/>
              </w:rPr>
              <w:t>Increase</w:t>
            </w:r>
          </w:p>
        </w:tc>
      </w:tr>
      <w:tr w:rsidR="007A1295" w:rsidRPr="007A1295" w14:paraId="3E7381C6" w14:textId="77777777" w:rsidTr="001A5ADF">
        <w:trPr>
          <w:trHeight w:val="300"/>
        </w:trPr>
        <w:tc>
          <w:tcPr>
            <w:tcW w:w="2318" w:type="dxa"/>
            <w:vMerge/>
            <w:shd w:val="clear" w:color="auto" w:fill="D9D9D9" w:themeFill="background1" w:themeFillShade="D9"/>
          </w:tcPr>
          <w:p w14:paraId="4ADF4C48" w14:textId="77777777" w:rsidR="007A1295" w:rsidRPr="007A1295" w:rsidRDefault="007A1295" w:rsidP="007A1295">
            <w:pPr>
              <w:pStyle w:val="TableText"/>
              <w:rPr>
                <w:szCs w:val="18"/>
              </w:rPr>
            </w:pPr>
          </w:p>
        </w:tc>
        <w:tc>
          <w:tcPr>
            <w:tcW w:w="982" w:type="dxa"/>
            <w:tcBorders>
              <w:top w:val="nil"/>
              <w:right w:val="nil"/>
            </w:tcBorders>
            <w:shd w:val="clear" w:color="auto" w:fill="D9D9D9" w:themeFill="background1" w:themeFillShade="D9"/>
          </w:tcPr>
          <w:p w14:paraId="737E4457" w14:textId="77777777" w:rsidR="007A1295" w:rsidRPr="007A1295" w:rsidRDefault="007A1295"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szCs w:val="18"/>
              </w:rPr>
              <w:t>19/20</w:t>
            </w:r>
          </w:p>
          <w:p w14:paraId="4E10A3CF" w14:textId="77777777" w:rsidR="007A1295" w:rsidRPr="007A1295" w:rsidRDefault="007A1295"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82" w:type="dxa"/>
            <w:tcBorders>
              <w:top w:val="nil"/>
              <w:left w:val="nil"/>
              <w:right w:val="nil"/>
            </w:tcBorders>
            <w:shd w:val="clear" w:color="auto" w:fill="D9D9D9" w:themeFill="background1" w:themeFillShade="D9"/>
          </w:tcPr>
          <w:p w14:paraId="6F690CBF" w14:textId="77777777" w:rsidR="007A1295" w:rsidRPr="007A1295" w:rsidRDefault="007A1295"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szCs w:val="18"/>
              </w:rPr>
              <w:t>20/21</w:t>
            </w:r>
          </w:p>
          <w:p w14:paraId="2C1ADF58" w14:textId="77777777" w:rsidR="007A1295" w:rsidRPr="007A1295" w:rsidRDefault="007A1295"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83" w:type="dxa"/>
            <w:tcBorders>
              <w:top w:val="nil"/>
              <w:left w:val="nil"/>
              <w:right w:val="nil"/>
            </w:tcBorders>
            <w:shd w:val="clear" w:color="auto" w:fill="D9D9D9" w:themeFill="background1" w:themeFillShade="D9"/>
          </w:tcPr>
          <w:p w14:paraId="1DF6F26F" w14:textId="77777777" w:rsidR="007A1295" w:rsidRPr="007A1295" w:rsidRDefault="007A1295"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szCs w:val="18"/>
              </w:rPr>
              <w:t>21/22</w:t>
            </w:r>
          </w:p>
          <w:p w14:paraId="25BF6065" w14:textId="77777777" w:rsidR="007A1295" w:rsidRPr="007A1295" w:rsidRDefault="007A1295"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82" w:type="dxa"/>
            <w:tcBorders>
              <w:top w:val="nil"/>
              <w:left w:val="nil"/>
              <w:right w:val="nil"/>
            </w:tcBorders>
            <w:shd w:val="clear" w:color="auto" w:fill="D9D9D9" w:themeFill="background1" w:themeFillShade="D9"/>
          </w:tcPr>
          <w:p w14:paraId="39E1D4E3" w14:textId="77777777" w:rsidR="007A1295" w:rsidRPr="007A1295" w:rsidRDefault="007A1295"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szCs w:val="18"/>
              </w:rPr>
              <w:t>22/23</w:t>
            </w:r>
          </w:p>
          <w:p w14:paraId="27B0EC45" w14:textId="77777777" w:rsidR="007A1295" w:rsidRPr="007A1295" w:rsidRDefault="007A1295"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983" w:type="dxa"/>
            <w:tcBorders>
              <w:top w:val="nil"/>
              <w:left w:val="nil"/>
            </w:tcBorders>
            <w:shd w:val="clear" w:color="auto" w:fill="D9D9D9" w:themeFill="background1" w:themeFillShade="D9"/>
          </w:tcPr>
          <w:p w14:paraId="4964EACF" w14:textId="77777777" w:rsidR="007A1295" w:rsidRPr="007A1295" w:rsidRDefault="007A1295"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szCs w:val="18"/>
              </w:rPr>
              <w:t>23/24</w:t>
            </w:r>
          </w:p>
          <w:p w14:paraId="3F90D593" w14:textId="77777777" w:rsidR="007A1295" w:rsidRPr="007A1295" w:rsidRDefault="007A1295" w:rsidP="00753388">
            <w:pPr>
              <w:pStyle w:val="TableText"/>
              <w:jc w:val="center"/>
              <w:rPr>
                <w:rFonts w:ascii="Segoe UI Semibold" w:hAnsi="Segoe UI Semibold" w:cs="Segoe UI Semibold"/>
                <w:szCs w:val="18"/>
              </w:rPr>
            </w:pPr>
            <w:r w:rsidRPr="007A1295">
              <w:rPr>
                <w:rFonts w:ascii="Segoe UI Semibold" w:hAnsi="Segoe UI Semibold" w:cs="Segoe UI Semibold"/>
                <w:color w:val="231F20"/>
                <w:w w:val="115"/>
                <w:szCs w:val="18"/>
              </w:rPr>
              <w:t>$m</w:t>
            </w:r>
          </w:p>
        </w:tc>
        <w:tc>
          <w:tcPr>
            <w:tcW w:w="1063" w:type="dxa"/>
            <w:tcBorders>
              <w:top w:val="nil"/>
              <w:right w:val="nil"/>
            </w:tcBorders>
            <w:shd w:val="clear" w:color="auto" w:fill="D9D9D9" w:themeFill="background1" w:themeFillShade="D9"/>
          </w:tcPr>
          <w:p w14:paraId="77DEBE2A" w14:textId="77777777" w:rsidR="004E3982" w:rsidRDefault="007A1295" w:rsidP="007A1295">
            <w:pPr>
              <w:pStyle w:val="TableText"/>
              <w:jc w:val="center"/>
              <w:rPr>
                <w:rFonts w:ascii="Segoe UI Semibold" w:hAnsi="Segoe UI Semibold" w:cs="Segoe UI Semibold"/>
                <w:szCs w:val="18"/>
              </w:rPr>
            </w:pPr>
            <w:r w:rsidRPr="007A1295">
              <w:rPr>
                <w:rFonts w:ascii="Segoe UI Semibold" w:hAnsi="Segoe UI Semibold" w:cs="Segoe UI Semibold"/>
                <w:szCs w:val="18"/>
              </w:rPr>
              <w:t>19/20 to 23/24</w:t>
            </w:r>
          </w:p>
          <w:p w14:paraId="325E4218" w14:textId="3CD5F9D9" w:rsidR="007A1295" w:rsidRPr="007A1295" w:rsidRDefault="007A1295" w:rsidP="007A1295">
            <w:pPr>
              <w:pStyle w:val="TableText"/>
              <w:jc w:val="center"/>
              <w:rPr>
                <w:rFonts w:ascii="Segoe UI Semibold" w:hAnsi="Segoe UI Semibold" w:cs="Segoe UI Semibold"/>
                <w:szCs w:val="18"/>
              </w:rPr>
            </w:pPr>
            <w:r w:rsidRPr="007A1295">
              <w:rPr>
                <w:rFonts w:ascii="Segoe UI Semibold" w:hAnsi="Segoe UI Semibold" w:cs="Segoe UI Semibold"/>
                <w:szCs w:val="18"/>
              </w:rPr>
              <w:t>$m</w:t>
            </w:r>
          </w:p>
        </w:tc>
        <w:tc>
          <w:tcPr>
            <w:tcW w:w="1063" w:type="dxa"/>
            <w:tcBorders>
              <w:top w:val="nil"/>
              <w:left w:val="nil"/>
            </w:tcBorders>
            <w:shd w:val="clear" w:color="auto" w:fill="D9D9D9" w:themeFill="background1" w:themeFillShade="D9"/>
          </w:tcPr>
          <w:p w14:paraId="47DF6751" w14:textId="77777777" w:rsidR="004E3982" w:rsidRDefault="007A1295" w:rsidP="007A1295">
            <w:pPr>
              <w:pStyle w:val="TableText"/>
              <w:jc w:val="center"/>
              <w:rPr>
                <w:rFonts w:ascii="Segoe UI Semibold" w:hAnsi="Segoe UI Semibold" w:cs="Segoe UI Semibold"/>
                <w:szCs w:val="18"/>
              </w:rPr>
            </w:pPr>
            <w:r w:rsidRPr="007A1295">
              <w:rPr>
                <w:rFonts w:ascii="Segoe UI Semibold" w:hAnsi="Segoe UI Semibold" w:cs="Segoe UI Semibold"/>
                <w:szCs w:val="18"/>
              </w:rPr>
              <w:t>19/20</w:t>
            </w:r>
            <w:r w:rsidR="004E3982">
              <w:rPr>
                <w:rFonts w:ascii="Segoe UI Semibold" w:hAnsi="Segoe UI Semibold" w:cs="Segoe UI Semibold"/>
                <w:szCs w:val="18"/>
              </w:rPr>
              <w:t xml:space="preserve"> </w:t>
            </w:r>
            <w:r w:rsidRPr="007A1295">
              <w:rPr>
                <w:rFonts w:ascii="Segoe UI Semibold" w:hAnsi="Segoe UI Semibold" w:cs="Segoe UI Semibold"/>
                <w:szCs w:val="18"/>
              </w:rPr>
              <w:t>to 23/24</w:t>
            </w:r>
          </w:p>
          <w:p w14:paraId="651A5674" w14:textId="182E6B84" w:rsidR="007A1295" w:rsidRPr="007A1295" w:rsidRDefault="007A1295" w:rsidP="007A1295">
            <w:pPr>
              <w:pStyle w:val="TableText"/>
              <w:jc w:val="center"/>
              <w:rPr>
                <w:rFonts w:ascii="Segoe UI Semibold" w:hAnsi="Segoe UI Semibold" w:cs="Segoe UI Semibold"/>
                <w:szCs w:val="18"/>
              </w:rPr>
            </w:pPr>
            <w:r w:rsidRPr="007A1295">
              <w:rPr>
                <w:rFonts w:ascii="Segoe UI Semibold" w:hAnsi="Segoe UI Semibold" w:cs="Segoe UI Semibold"/>
                <w:szCs w:val="18"/>
              </w:rPr>
              <w:t>%</w:t>
            </w:r>
          </w:p>
        </w:tc>
      </w:tr>
      <w:tr w:rsidR="00960C98" w:rsidRPr="007A1295" w14:paraId="42E6717C" w14:textId="77777777" w:rsidTr="001A5ADF">
        <w:trPr>
          <w:trHeight w:val="300"/>
        </w:trPr>
        <w:tc>
          <w:tcPr>
            <w:tcW w:w="2318" w:type="dxa"/>
          </w:tcPr>
          <w:p w14:paraId="70465667" w14:textId="77777777" w:rsidR="00960C98" w:rsidRPr="007A1295" w:rsidRDefault="00960C98" w:rsidP="007A1295">
            <w:pPr>
              <w:pStyle w:val="TableText"/>
              <w:rPr>
                <w:szCs w:val="18"/>
              </w:rPr>
            </w:pPr>
            <w:r w:rsidRPr="007A1295">
              <w:rPr>
                <w:szCs w:val="18"/>
              </w:rPr>
              <w:t>Mental health services</w:t>
            </w:r>
          </w:p>
        </w:tc>
        <w:tc>
          <w:tcPr>
            <w:tcW w:w="982" w:type="dxa"/>
            <w:tcBorders>
              <w:right w:val="nil"/>
            </w:tcBorders>
          </w:tcPr>
          <w:p w14:paraId="556DA693" w14:textId="77777777" w:rsidR="00960C98" w:rsidRPr="007A1295" w:rsidRDefault="00960C98" w:rsidP="00C1042F">
            <w:pPr>
              <w:pStyle w:val="TableText"/>
              <w:jc w:val="center"/>
              <w:rPr>
                <w:szCs w:val="18"/>
              </w:rPr>
            </w:pPr>
            <w:r w:rsidRPr="007A1295">
              <w:rPr>
                <w:szCs w:val="18"/>
              </w:rPr>
              <w:t>117.4</w:t>
            </w:r>
          </w:p>
        </w:tc>
        <w:tc>
          <w:tcPr>
            <w:tcW w:w="982" w:type="dxa"/>
            <w:tcBorders>
              <w:left w:val="nil"/>
              <w:right w:val="nil"/>
            </w:tcBorders>
          </w:tcPr>
          <w:p w14:paraId="6A9C4AAA" w14:textId="77777777" w:rsidR="00960C98" w:rsidRPr="007A1295" w:rsidRDefault="00960C98" w:rsidP="00C1042F">
            <w:pPr>
              <w:pStyle w:val="TableText"/>
              <w:jc w:val="center"/>
              <w:rPr>
                <w:szCs w:val="18"/>
              </w:rPr>
            </w:pPr>
            <w:r w:rsidRPr="007A1295">
              <w:rPr>
                <w:szCs w:val="18"/>
              </w:rPr>
              <w:t>134.5</w:t>
            </w:r>
          </w:p>
        </w:tc>
        <w:tc>
          <w:tcPr>
            <w:tcW w:w="983" w:type="dxa"/>
            <w:tcBorders>
              <w:left w:val="nil"/>
              <w:right w:val="nil"/>
            </w:tcBorders>
          </w:tcPr>
          <w:p w14:paraId="08E93FDE" w14:textId="77777777" w:rsidR="00960C98" w:rsidRPr="007A1295" w:rsidRDefault="00960C98" w:rsidP="00C1042F">
            <w:pPr>
              <w:pStyle w:val="TableText"/>
              <w:jc w:val="center"/>
              <w:rPr>
                <w:szCs w:val="18"/>
              </w:rPr>
            </w:pPr>
            <w:r w:rsidRPr="007A1295">
              <w:rPr>
                <w:szCs w:val="18"/>
              </w:rPr>
              <w:t>166.8</w:t>
            </w:r>
          </w:p>
        </w:tc>
        <w:tc>
          <w:tcPr>
            <w:tcW w:w="982" w:type="dxa"/>
            <w:tcBorders>
              <w:left w:val="nil"/>
              <w:right w:val="nil"/>
            </w:tcBorders>
          </w:tcPr>
          <w:p w14:paraId="7743CE88" w14:textId="77777777" w:rsidR="00960C98" w:rsidRPr="007A1295" w:rsidRDefault="00960C98" w:rsidP="00C1042F">
            <w:pPr>
              <w:pStyle w:val="TableText"/>
              <w:jc w:val="center"/>
              <w:rPr>
                <w:szCs w:val="18"/>
              </w:rPr>
            </w:pPr>
            <w:r w:rsidRPr="007A1295">
              <w:rPr>
                <w:szCs w:val="18"/>
              </w:rPr>
              <w:t>200.5</w:t>
            </w:r>
          </w:p>
        </w:tc>
        <w:tc>
          <w:tcPr>
            <w:tcW w:w="983" w:type="dxa"/>
            <w:tcBorders>
              <w:left w:val="nil"/>
            </w:tcBorders>
          </w:tcPr>
          <w:p w14:paraId="7F574205" w14:textId="77777777" w:rsidR="00960C98" w:rsidRPr="007A1295" w:rsidRDefault="00960C98" w:rsidP="00C1042F">
            <w:pPr>
              <w:pStyle w:val="TableText"/>
              <w:jc w:val="center"/>
              <w:rPr>
                <w:szCs w:val="18"/>
              </w:rPr>
            </w:pPr>
            <w:r w:rsidRPr="007A1295">
              <w:rPr>
                <w:szCs w:val="18"/>
              </w:rPr>
              <w:t>245.7</w:t>
            </w:r>
          </w:p>
        </w:tc>
        <w:tc>
          <w:tcPr>
            <w:tcW w:w="1063" w:type="dxa"/>
            <w:tcBorders>
              <w:right w:val="nil"/>
            </w:tcBorders>
          </w:tcPr>
          <w:p w14:paraId="518CBB84" w14:textId="77777777" w:rsidR="00960C98" w:rsidRPr="007A1295" w:rsidRDefault="00960C98" w:rsidP="00C1042F">
            <w:pPr>
              <w:pStyle w:val="TableText"/>
              <w:jc w:val="center"/>
              <w:rPr>
                <w:szCs w:val="18"/>
              </w:rPr>
            </w:pPr>
            <w:r w:rsidRPr="007A1295">
              <w:rPr>
                <w:szCs w:val="18"/>
              </w:rPr>
              <w:t>128.4</w:t>
            </w:r>
          </w:p>
        </w:tc>
        <w:tc>
          <w:tcPr>
            <w:tcW w:w="1063" w:type="dxa"/>
            <w:tcBorders>
              <w:left w:val="nil"/>
            </w:tcBorders>
          </w:tcPr>
          <w:p w14:paraId="1F02A0FB" w14:textId="77777777" w:rsidR="00960C98" w:rsidRPr="007A1295" w:rsidRDefault="00960C98" w:rsidP="00C1042F">
            <w:pPr>
              <w:pStyle w:val="TableText"/>
              <w:jc w:val="center"/>
              <w:rPr>
                <w:szCs w:val="18"/>
              </w:rPr>
            </w:pPr>
            <w:r w:rsidRPr="007A1295">
              <w:rPr>
                <w:szCs w:val="18"/>
              </w:rPr>
              <w:t>109.4</w:t>
            </w:r>
          </w:p>
        </w:tc>
      </w:tr>
      <w:tr w:rsidR="00960C98" w:rsidRPr="007A1295" w14:paraId="61CEC34D" w14:textId="77777777" w:rsidTr="001A5ADF">
        <w:trPr>
          <w:trHeight w:val="300"/>
        </w:trPr>
        <w:tc>
          <w:tcPr>
            <w:tcW w:w="2318" w:type="dxa"/>
          </w:tcPr>
          <w:p w14:paraId="1D9C73A5" w14:textId="77777777" w:rsidR="00960C98" w:rsidRPr="007A1295" w:rsidRDefault="00960C98" w:rsidP="007A1295">
            <w:pPr>
              <w:pStyle w:val="TableText"/>
              <w:rPr>
                <w:szCs w:val="18"/>
              </w:rPr>
            </w:pPr>
            <w:r w:rsidRPr="007A1295">
              <w:rPr>
                <w:szCs w:val="18"/>
              </w:rPr>
              <w:t>Hauora Māori services</w:t>
            </w:r>
          </w:p>
        </w:tc>
        <w:tc>
          <w:tcPr>
            <w:tcW w:w="982" w:type="dxa"/>
            <w:tcBorders>
              <w:right w:val="nil"/>
            </w:tcBorders>
          </w:tcPr>
          <w:p w14:paraId="160D535E" w14:textId="77777777" w:rsidR="00960C98" w:rsidRPr="007A1295" w:rsidRDefault="00960C98" w:rsidP="00C1042F">
            <w:pPr>
              <w:pStyle w:val="TableText"/>
              <w:jc w:val="center"/>
              <w:rPr>
                <w:szCs w:val="18"/>
              </w:rPr>
            </w:pPr>
            <w:r w:rsidRPr="007A1295">
              <w:rPr>
                <w:szCs w:val="18"/>
              </w:rPr>
              <w:t>66.2</w:t>
            </w:r>
          </w:p>
        </w:tc>
        <w:tc>
          <w:tcPr>
            <w:tcW w:w="982" w:type="dxa"/>
            <w:tcBorders>
              <w:left w:val="nil"/>
              <w:right w:val="nil"/>
            </w:tcBorders>
          </w:tcPr>
          <w:p w14:paraId="1843E922" w14:textId="77777777" w:rsidR="00960C98" w:rsidRPr="007A1295" w:rsidRDefault="00960C98" w:rsidP="00C1042F">
            <w:pPr>
              <w:pStyle w:val="TableText"/>
              <w:jc w:val="center"/>
              <w:rPr>
                <w:szCs w:val="18"/>
              </w:rPr>
            </w:pPr>
            <w:r w:rsidRPr="007A1295">
              <w:rPr>
                <w:szCs w:val="18"/>
              </w:rPr>
              <w:t>64.8</w:t>
            </w:r>
          </w:p>
        </w:tc>
        <w:tc>
          <w:tcPr>
            <w:tcW w:w="983" w:type="dxa"/>
            <w:tcBorders>
              <w:left w:val="nil"/>
              <w:right w:val="nil"/>
            </w:tcBorders>
          </w:tcPr>
          <w:p w14:paraId="005388BC" w14:textId="77777777" w:rsidR="00960C98" w:rsidRPr="007A1295" w:rsidRDefault="00960C98" w:rsidP="00C1042F">
            <w:pPr>
              <w:pStyle w:val="TableText"/>
              <w:jc w:val="center"/>
              <w:rPr>
                <w:szCs w:val="18"/>
              </w:rPr>
            </w:pPr>
            <w:r w:rsidRPr="007A1295">
              <w:rPr>
                <w:szCs w:val="18"/>
              </w:rPr>
              <w:t>85.4</w:t>
            </w:r>
          </w:p>
        </w:tc>
        <w:tc>
          <w:tcPr>
            <w:tcW w:w="982" w:type="dxa"/>
            <w:tcBorders>
              <w:left w:val="nil"/>
              <w:right w:val="nil"/>
            </w:tcBorders>
          </w:tcPr>
          <w:p w14:paraId="1FB13D6F" w14:textId="77777777" w:rsidR="00960C98" w:rsidRPr="007A1295" w:rsidRDefault="00960C98" w:rsidP="00C1042F">
            <w:pPr>
              <w:pStyle w:val="TableText"/>
              <w:jc w:val="center"/>
              <w:rPr>
                <w:szCs w:val="18"/>
              </w:rPr>
            </w:pPr>
            <w:r w:rsidRPr="007A1295">
              <w:rPr>
                <w:szCs w:val="18"/>
              </w:rPr>
              <w:t>93.3</w:t>
            </w:r>
          </w:p>
        </w:tc>
        <w:tc>
          <w:tcPr>
            <w:tcW w:w="983" w:type="dxa"/>
            <w:tcBorders>
              <w:left w:val="nil"/>
            </w:tcBorders>
          </w:tcPr>
          <w:p w14:paraId="6D8E9A73" w14:textId="77777777" w:rsidR="00960C98" w:rsidRPr="007A1295" w:rsidRDefault="00960C98" w:rsidP="00C1042F">
            <w:pPr>
              <w:pStyle w:val="TableText"/>
              <w:jc w:val="center"/>
              <w:rPr>
                <w:szCs w:val="18"/>
              </w:rPr>
            </w:pPr>
            <w:r w:rsidRPr="007A1295">
              <w:rPr>
                <w:szCs w:val="18"/>
              </w:rPr>
              <w:t>227.8</w:t>
            </w:r>
          </w:p>
        </w:tc>
        <w:tc>
          <w:tcPr>
            <w:tcW w:w="1063" w:type="dxa"/>
            <w:tcBorders>
              <w:right w:val="nil"/>
            </w:tcBorders>
          </w:tcPr>
          <w:p w14:paraId="12C80ED0" w14:textId="77777777" w:rsidR="00960C98" w:rsidRPr="007A1295" w:rsidRDefault="00960C98" w:rsidP="00C1042F">
            <w:pPr>
              <w:pStyle w:val="TableText"/>
              <w:jc w:val="center"/>
              <w:rPr>
                <w:szCs w:val="18"/>
              </w:rPr>
            </w:pPr>
            <w:r w:rsidRPr="007A1295">
              <w:rPr>
                <w:szCs w:val="18"/>
              </w:rPr>
              <w:t>161.6</w:t>
            </w:r>
          </w:p>
        </w:tc>
        <w:tc>
          <w:tcPr>
            <w:tcW w:w="1063" w:type="dxa"/>
            <w:tcBorders>
              <w:left w:val="nil"/>
            </w:tcBorders>
          </w:tcPr>
          <w:p w14:paraId="1FECFDBB" w14:textId="77777777" w:rsidR="00960C98" w:rsidRPr="007A1295" w:rsidRDefault="00960C98" w:rsidP="00C1042F">
            <w:pPr>
              <w:pStyle w:val="TableText"/>
              <w:jc w:val="center"/>
              <w:rPr>
                <w:szCs w:val="18"/>
              </w:rPr>
            </w:pPr>
            <w:r w:rsidRPr="007A1295">
              <w:rPr>
                <w:szCs w:val="18"/>
              </w:rPr>
              <w:t>244.3</w:t>
            </w:r>
          </w:p>
        </w:tc>
      </w:tr>
      <w:tr w:rsidR="00960C98" w:rsidRPr="007A1295" w14:paraId="3B82E4EF" w14:textId="77777777" w:rsidTr="001A5ADF">
        <w:trPr>
          <w:trHeight w:val="300"/>
        </w:trPr>
        <w:tc>
          <w:tcPr>
            <w:tcW w:w="2318" w:type="dxa"/>
          </w:tcPr>
          <w:p w14:paraId="54274F0B" w14:textId="1210A1EE" w:rsidR="00960C98" w:rsidRPr="007A1295" w:rsidRDefault="00960C98" w:rsidP="007A1295">
            <w:pPr>
              <w:pStyle w:val="TableText"/>
              <w:rPr>
                <w:szCs w:val="18"/>
              </w:rPr>
            </w:pPr>
            <w:r w:rsidRPr="007A1295">
              <w:rPr>
                <w:szCs w:val="18"/>
              </w:rPr>
              <w:t xml:space="preserve">Primary </w:t>
            </w:r>
            <w:r w:rsidR="00F36D1B">
              <w:rPr>
                <w:szCs w:val="18"/>
              </w:rPr>
              <w:t>h</w:t>
            </w:r>
            <w:r w:rsidRPr="007A1295">
              <w:rPr>
                <w:szCs w:val="18"/>
              </w:rPr>
              <w:t xml:space="preserve">ealth </w:t>
            </w:r>
            <w:r w:rsidR="00F36D1B">
              <w:rPr>
                <w:szCs w:val="18"/>
              </w:rPr>
              <w:t>o</w:t>
            </w:r>
            <w:r w:rsidRPr="007A1295">
              <w:rPr>
                <w:szCs w:val="18"/>
              </w:rPr>
              <w:t>rganisation services</w:t>
            </w:r>
          </w:p>
        </w:tc>
        <w:tc>
          <w:tcPr>
            <w:tcW w:w="982" w:type="dxa"/>
            <w:tcBorders>
              <w:right w:val="nil"/>
            </w:tcBorders>
          </w:tcPr>
          <w:p w14:paraId="03102C52" w14:textId="77777777" w:rsidR="00960C98" w:rsidRPr="007A1295" w:rsidRDefault="00960C98" w:rsidP="00C1042F">
            <w:pPr>
              <w:pStyle w:val="TableText"/>
              <w:jc w:val="center"/>
              <w:rPr>
                <w:szCs w:val="18"/>
              </w:rPr>
            </w:pPr>
            <w:r w:rsidRPr="007A1295">
              <w:rPr>
                <w:szCs w:val="18"/>
              </w:rPr>
              <w:t>170.1</w:t>
            </w:r>
          </w:p>
        </w:tc>
        <w:tc>
          <w:tcPr>
            <w:tcW w:w="982" w:type="dxa"/>
            <w:tcBorders>
              <w:left w:val="nil"/>
              <w:right w:val="nil"/>
            </w:tcBorders>
          </w:tcPr>
          <w:p w14:paraId="1E80F8AB" w14:textId="77777777" w:rsidR="00960C98" w:rsidRPr="007A1295" w:rsidRDefault="00960C98" w:rsidP="00C1042F">
            <w:pPr>
              <w:pStyle w:val="TableText"/>
              <w:jc w:val="center"/>
              <w:rPr>
                <w:szCs w:val="18"/>
              </w:rPr>
            </w:pPr>
            <w:r w:rsidRPr="007A1295">
              <w:rPr>
                <w:szCs w:val="18"/>
              </w:rPr>
              <w:t>192.7</w:t>
            </w:r>
          </w:p>
        </w:tc>
        <w:tc>
          <w:tcPr>
            <w:tcW w:w="983" w:type="dxa"/>
            <w:tcBorders>
              <w:left w:val="nil"/>
              <w:right w:val="nil"/>
            </w:tcBorders>
          </w:tcPr>
          <w:p w14:paraId="54D07869" w14:textId="77777777" w:rsidR="00960C98" w:rsidRPr="007A1295" w:rsidRDefault="00960C98" w:rsidP="00C1042F">
            <w:pPr>
              <w:pStyle w:val="TableText"/>
              <w:jc w:val="center"/>
              <w:rPr>
                <w:szCs w:val="18"/>
              </w:rPr>
            </w:pPr>
            <w:r w:rsidRPr="007A1295">
              <w:rPr>
                <w:szCs w:val="18"/>
              </w:rPr>
              <w:t>204.9</w:t>
            </w:r>
          </w:p>
        </w:tc>
        <w:tc>
          <w:tcPr>
            <w:tcW w:w="982" w:type="dxa"/>
            <w:tcBorders>
              <w:left w:val="nil"/>
              <w:right w:val="nil"/>
            </w:tcBorders>
          </w:tcPr>
          <w:p w14:paraId="5CA83F24" w14:textId="77777777" w:rsidR="00960C98" w:rsidRPr="007A1295" w:rsidRDefault="00960C98" w:rsidP="00C1042F">
            <w:pPr>
              <w:pStyle w:val="TableText"/>
              <w:jc w:val="center"/>
              <w:rPr>
                <w:szCs w:val="18"/>
              </w:rPr>
            </w:pPr>
            <w:r w:rsidRPr="007A1295">
              <w:rPr>
                <w:szCs w:val="18"/>
              </w:rPr>
              <w:t>194.2</w:t>
            </w:r>
          </w:p>
        </w:tc>
        <w:tc>
          <w:tcPr>
            <w:tcW w:w="983" w:type="dxa"/>
            <w:tcBorders>
              <w:left w:val="nil"/>
            </w:tcBorders>
          </w:tcPr>
          <w:p w14:paraId="3D8B309B" w14:textId="77777777" w:rsidR="00960C98" w:rsidRPr="007A1295" w:rsidRDefault="00960C98" w:rsidP="00C1042F">
            <w:pPr>
              <w:pStyle w:val="TableText"/>
              <w:jc w:val="center"/>
              <w:rPr>
                <w:szCs w:val="18"/>
              </w:rPr>
            </w:pPr>
            <w:r w:rsidRPr="007A1295">
              <w:rPr>
                <w:szCs w:val="18"/>
              </w:rPr>
              <w:t>211.2</w:t>
            </w:r>
          </w:p>
        </w:tc>
        <w:tc>
          <w:tcPr>
            <w:tcW w:w="1063" w:type="dxa"/>
            <w:tcBorders>
              <w:right w:val="nil"/>
            </w:tcBorders>
          </w:tcPr>
          <w:p w14:paraId="1FD46CB3" w14:textId="77777777" w:rsidR="00960C98" w:rsidRPr="007A1295" w:rsidRDefault="00960C98" w:rsidP="00C1042F">
            <w:pPr>
              <w:pStyle w:val="TableText"/>
              <w:jc w:val="center"/>
              <w:rPr>
                <w:szCs w:val="18"/>
              </w:rPr>
            </w:pPr>
            <w:r w:rsidRPr="007A1295">
              <w:rPr>
                <w:szCs w:val="18"/>
              </w:rPr>
              <w:t>41.0</w:t>
            </w:r>
          </w:p>
        </w:tc>
        <w:tc>
          <w:tcPr>
            <w:tcW w:w="1063" w:type="dxa"/>
            <w:tcBorders>
              <w:left w:val="nil"/>
            </w:tcBorders>
          </w:tcPr>
          <w:p w14:paraId="335ABFF5" w14:textId="77777777" w:rsidR="00960C98" w:rsidRPr="007A1295" w:rsidRDefault="00960C98" w:rsidP="00C1042F">
            <w:pPr>
              <w:pStyle w:val="TableText"/>
              <w:jc w:val="center"/>
              <w:rPr>
                <w:szCs w:val="18"/>
              </w:rPr>
            </w:pPr>
            <w:r w:rsidRPr="007A1295">
              <w:rPr>
                <w:szCs w:val="18"/>
              </w:rPr>
              <w:t>24.1</w:t>
            </w:r>
          </w:p>
        </w:tc>
      </w:tr>
      <w:tr w:rsidR="00960C98" w:rsidRPr="007A1295" w14:paraId="6ED08651" w14:textId="77777777" w:rsidTr="001A5ADF">
        <w:trPr>
          <w:trHeight w:val="300"/>
        </w:trPr>
        <w:tc>
          <w:tcPr>
            <w:tcW w:w="2318" w:type="dxa"/>
          </w:tcPr>
          <w:p w14:paraId="279570E1" w14:textId="77777777" w:rsidR="00960C98" w:rsidRPr="007A1295" w:rsidRDefault="00960C98" w:rsidP="007A1295">
            <w:pPr>
              <w:pStyle w:val="TableText"/>
              <w:rPr>
                <w:szCs w:val="18"/>
              </w:rPr>
            </w:pPr>
            <w:r w:rsidRPr="007A1295">
              <w:rPr>
                <w:szCs w:val="18"/>
              </w:rPr>
              <w:t>Public health services</w:t>
            </w:r>
          </w:p>
        </w:tc>
        <w:tc>
          <w:tcPr>
            <w:tcW w:w="982" w:type="dxa"/>
            <w:tcBorders>
              <w:right w:val="nil"/>
            </w:tcBorders>
          </w:tcPr>
          <w:p w14:paraId="2B18293A" w14:textId="77777777" w:rsidR="00960C98" w:rsidRPr="007A1295" w:rsidRDefault="00960C98" w:rsidP="00C1042F">
            <w:pPr>
              <w:pStyle w:val="TableText"/>
              <w:jc w:val="center"/>
              <w:rPr>
                <w:szCs w:val="18"/>
              </w:rPr>
            </w:pPr>
            <w:r w:rsidRPr="007A1295">
              <w:rPr>
                <w:szCs w:val="18"/>
              </w:rPr>
              <w:t>25.9</w:t>
            </w:r>
          </w:p>
        </w:tc>
        <w:tc>
          <w:tcPr>
            <w:tcW w:w="982" w:type="dxa"/>
            <w:tcBorders>
              <w:left w:val="nil"/>
              <w:right w:val="nil"/>
            </w:tcBorders>
          </w:tcPr>
          <w:p w14:paraId="58F26678" w14:textId="77777777" w:rsidR="00960C98" w:rsidRPr="007A1295" w:rsidRDefault="00960C98" w:rsidP="00C1042F">
            <w:pPr>
              <w:pStyle w:val="TableText"/>
              <w:jc w:val="center"/>
              <w:rPr>
                <w:szCs w:val="18"/>
              </w:rPr>
            </w:pPr>
            <w:r w:rsidRPr="007A1295">
              <w:rPr>
                <w:szCs w:val="18"/>
              </w:rPr>
              <w:t>26.7</w:t>
            </w:r>
          </w:p>
        </w:tc>
        <w:tc>
          <w:tcPr>
            <w:tcW w:w="983" w:type="dxa"/>
            <w:tcBorders>
              <w:left w:val="nil"/>
              <w:right w:val="nil"/>
            </w:tcBorders>
          </w:tcPr>
          <w:p w14:paraId="6651DF9C" w14:textId="77777777" w:rsidR="00960C98" w:rsidRPr="007A1295" w:rsidRDefault="00960C98" w:rsidP="00C1042F">
            <w:pPr>
              <w:pStyle w:val="TableText"/>
              <w:jc w:val="center"/>
              <w:rPr>
                <w:szCs w:val="18"/>
              </w:rPr>
            </w:pPr>
            <w:r w:rsidRPr="007A1295">
              <w:rPr>
                <w:szCs w:val="18"/>
              </w:rPr>
              <w:t>28.1</w:t>
            </w:r>
          </w:p>
        </w:tc>
        <w:tc>
          <w:tcPr>
            <w:tcW w:w="982" w:type="dxa"/>
            <w:tcBorders>
              <w:left w:val="nil"/>
              <w:right w:val="nil"/>
            </w:tcBorders>
          </w:tcPr>
          <w:p w14:paraId="6DFC5197" w14:textId="77777777" w:rsidR="00960C98" w:rsidRPr="007A1295" w:rsidRDefault="00960C98" w:rsidP="00C1042F">
            <w:pPr>
              <w:pStyle w:val="TableText"/>
              <w:jc w:val="center"/>
              <w:rPr>
                <w:szCs w:val="18"/>
              </w:rPr>
            </w:pPr>
            <w:r w:rsidRPr="007A1295">
              <w:rPr>
                <w:szCs w:val="18"/>
              </w:rPr>
              <w:t>38.5</w:t>
            </w:r>
          </w:p>
        </w:tc>
        <w:tc>
          <w:tcPr>
            <w:tcW w:w="983" w:type="dxa"/>
            <w:tcBorders>
              <w:left w:val="nil"/>
            </w:tcBorders>
          </w:tcPr>
          <w:p w14:paraId="03D2F99B" w14:textId="77777777" w:rsidR="00960C98" w:rsidRPr="007A1295" w:rsidRDefault="00960C98" w:rsidP="00C1042F">
            <w:pPr>
              <w:pStyle w:val="TableText"/>
              <w:jc w:val="center"/>
              <w:rPr>
                <w:szCs w:val="18"/>
              </w:rPr>
            </w:pPr>
            <w:r w:rsidRPr="007A1295">
              <w:rPr>
                <w:szCs w:val="18"/>
              </w:rPr>
              <w:t>70.2</w:t>
            </w:r>
          </w:p>
        </w:tc>
        <w:tc>
          <w:tcPr>
            <w:tcW w:w="1063" w:type="dxa"/>
            <w:tcBorders>
              <w:right w:val="nil"/>
            </w:tcBorders>
          </w:tcPr>
          <w:p w14:paraId="4FBE6A94" w14:textId="77777777" w:rsidR="00960C98" w:rsidRPr="007A1295" w:rsidRDefault="00960C98" w:rsidP="00C1042F">
            <w:pPr>
              <w:pStyle w:val="TableText"/>
              <w:jc w:val="center"/>
              <w:rPr>
                <w:szCs w:val="18"/>
              </w:rPr>
            </w:pPr>
            <w:r w:rsidRPr="007A1295">
              <w:rPr>
                <w:szCs w:val="18"/>
              </w:rPr>
              <w:t>44.3</w:t>
            </w:r>
          </w:p>
        </w:tc>
        <w:tc>
          <w:tcPr>
            <w:tcW w:w="1063" w:type="dxa"/>
            <w:tcBorders>
              <w:left w:val="nil"/>
            </w:tcBorders>
          </w:tcPr>
          <w:p w14:paraId="570B7D3E" w14:textId="77777777" w:rsidR="00960C98" w:rsidRPr="007A1295" w:rsidRDefault="00960C98" w:rsidP="00C1042F">
            <w:pPr>
              <w:pStyle w:val="TableText"/>
              <w:jc w:val="center"/>
              <w:rPr>
                <w:szCs w:val="18"/>
              </w:rPr>
            </w:pPr>
            <w:r w:rsidRPr="007A1295">
              <w:rPr>
                <w:szCs w:val="18"/>
              </w:rPr>
              <w:t>170.8</w:t>
            </w:r>
          </w:p>
        </w:tc>
      </w:tr>
      <w:tr w:rsidR="00960C98" w:rsidRPr="007A1295" w14:paraId="40EC7E66" w14:textId="77777777" w:rsidTr="001A5ADF">
        <w:trPr>
          <w:trHeight w:val="300"/>
        </w:trPr>
        <w:tc>
          <w:tcPr>
            <w:tcW w:w="2318" w:type="dxa"/>
          </w:tcPr>
          <w:p w14:paraId="50BDC69D" w14:textId="77777777" w:rsidR="00960C98" w:rsidRPr="007A1295" w:rsidRDefault="00960C98" w:rsidP="007A1295">
            <w:pPr>
              <w:pStyle w:val="TableText"/>
              <w:rPr>
                <w:szCs w:val="18"/>
              </w:rPr>
            </w:pPr>
            <w:r w:rsidRPr="007A1295">
              <w:rPr>
                <w:szCs w:val="18"/>
              </w:rPr>
              <w:t>Other community services</w:t>
            </w:r>
          </w:p>
        </w:tc>
        <w:tc>
          <w:tcPr>
            <w:tcW w:w="982" w:type="dxa"/>
            <w:tcBorders>
              <w:right w:val="nil"/>
            </w:tcBorders>
          </w:tcPr>
          <w:p w14:paraId="1B79522C" w14:textId="77777777" w:rsidR="00960C98" w:rsidRPr="007A1295" w:rsidRDefault="00960C98" w:rsidP="00C1042F">
            <w:pPr>
              <w:pStyle w:val="TableText"/>
              <w:jc w:val="center"/>
              <w:rPr>
                <w:szCs w:val="18"/>
              </w:rPr>
            </w:pPr>
            <w:r w:rsidRPr="007A1295">
              <w:rPr>
                <w:szCs w:val="18"/>
              </w:rPr>
              <w:t>16.4</w:t>
            </w:r>
          </w:p>
        </w:tc>
        <w:tc>
          <w:tcPr>
            <w:tcW w:w="982" w:type="dxa"/>
            <w:tcBorders>
              <w:left w:val="nil"/>
              <w:right w:val="nil"/>
            </w:tcBorders>
          </w:tcPr>
          <w:p w14:paraId="1852335C" w14:textId="77777777" w:rsidR="00960C98" w:rsidRPr="007A1295" w:rsidRDefault="00960C98" w:rsidP="00C1042F">
            <w:pPr>
              <w:pStyle w:val="TableText"/>
              <w:jc w:val="center"/>
              <w:rPr>
                <w:szCs w:val="18"/>
              </w:rPr>
            </w:pPr>
            <w:r w:rsidRPr="007A1295">
              <w:rPr>
                <w:szCs w:val="18"/>
              </w:rPr>
              <w:t>40.7</w:t>
            </w:r>
          </w:p>
        </w:tc>
        <w:tc>
          <w:tcPr>
            <w:tcW w:w="983" w:type="dxa"/>
            <w:tcBorders>
              <w:left w:val="nil"/>
              <w:right w:val="nil"/>
            </w:tcBorders>
          </w:tcPr>
          <w:p w14:paraId="24890DF1" w14:textId="77777777" w:rsidR="00960C98" w:rsidRPr="007A1295" w:rsidRDefault="00960C98" w:rsidP="00C1042F">
            <w:pPr>
              <w:pStyle w:val="TableText"/>
              <w:jc w:val="center"/>
              <w:rPr>
                <w:szCs w:val="18"/>
              </w:rPr>
            </w:pPr>
            <w:r w:rsidRPr="007A1295">
              <w:rPr>
                <w:szCs w:val="18"/>
              </w:rPr>
              <w:t>155.5</w:t>
            </w:r>
          </w:p>
        </w:tc>
        <w:tc>
          <w:tcPr>
            <w:tcW w:w="982" w:type="dxa"/>
            <w:tcBorders>
              <w:left w:val="nil"/>
              <w:right w:val="nil"/>
            </w:tcBorders>
          </w:tcPr>
          <w:p w14:paraId="38E88EE6" w14:textId="77777777" w:rsidR="00960C98" w:rsidRPr="007A1295" w:rsidRDefault="00960C98" w:rsidP="00C1042F">
            <w:pPr>
              <w:pStyle w:val="TableText"/>
              <w:jc w:val="center"/>
              <w:rPr>
                <w:szCs w:val="18"/>
              </w:rPr>
            </w:pPr>
            <w:r w:rsidRPr="007A1295">
              <w:rPr>
                <w:szCs w:val="18"/>
              </w:rPr>
              <w:t>127.8</w:t>
            </w:r>
          </w:p>
        </w:tc>
        <w:tc>
          <w:tcPr>
            <w:tcW w:w="983" w:type="dxa"/>
            <w:tcBorders>
              <w:left w:val="nil"/>
            </w:tcBorders>
          </w:tcPr>
          <w:p w14:paraId="4CBED7CF" w14:textId="77777777" w:rsidR="00960C98" w:rsidRPr="007A1295" w:rsidRDefault="00960C98" w:rsidP="00C1042F">
            <w:pPr>
              <w:pStyle w:val="TableText"/>
              <w:jc w:val="center"/>
              <w:rPr>
                <w:szCs w:val="18"/>
              </w:rPr>
            </w:pPr>
            <w:r w:rsidRPr="007A1295">
              <w:rPr>
                <w:szCs w:val="18"/>
              </w:rPr>
              <w:t>59.0</w:t>
            </w:r>
          </w:p>
        </w:tc>
        <w:tc>
          <w:tcPr>
            <w:tcW w:w="1063" w:type="dxa"/>
            <w:tcBorders>
              <w:right w:val="nil"/>
            </w:tcBorders>
          </w:tcPr>
          <w:p w14:paraId="5069FA43" w14:textId="77777777" w:rsidR="00960C98" w:rsidRPr="007A1295" w:rsidRDefault="00960C98" w:rsidP="00C1042F">
            <w:pPr>
              <w:pStyle w:val="TableText"/>
              <w:jc w:val="center"/>
              <w:rPr>
                <w:szCs w:val="18"/>
              </w:rPr>
            </w:pPr>
            <w:r w:rsidRPr="007A1295">
              <w:rPr>
                <w:szCs w:val="18"/>
              </w:rPr>
              <w:t>42.6</w:t>
            </w:r>
          </w:p>
        </w:tc>
        <w:tc>
          <w:tcPr>
            <w:tcW w:w="1063" w:type="dxa"/>
            <w:tcBorders>
              <w:left w:val="nil"/>
            </w:tcBorders>
          </w:tcPr>
          <w:p w14:paraId="0CB2C2EC" w14:textId="77777777" w:rsidR="00960C98" w:rsidRPr="007A1295" w:rsidRDefault="00960C98" w:rsidP="00C1042F">
            <w:pPr>
              <w:pStyle w:val="TableText"/>
              <w:jc w:val="center"/>
              <w:rPr>
                <w:szCs w:val="18"/>
              </w:rPr>
            </w:pPr>
            <w:r w:rsidRPr="007A1295">
              <w:rPr>
                <w:szCs w:val="18"/>
              </w:rPr>
              <w:t>259.8</w:t>
            </w:r>
          </w:p>
        </w:tc>
      </w:tr>
      <w:tr w:rsidR="00960C98" w:rsidRPr="007A1295" w14:paraId="4D9318F3" w14:textId="77777777" w:rsidTr="001A5ADF">
        <w:trPr>
          <w:trHeight w:val="300"/>
        </w:trPr>
        <w:tc>
          <w:tcPr>
            <w:tcW w:w="2318" w:type="dxa"/>
          </w:tcPr>
          <w:p w14:paraId="4BB9DE67" w14:textId="288979C1" w:rsidR="00960C98" w:rsidRPr="00753388" w:rsidRDefault="00960C98" w:rsidP="007A1295">
            <w:pPr>
              <w:pStyle w:val="TableText"/>
              <w:rPr>
                <w:b/>
                <w:bCs/>
                <w:szCs w:val="18"/>
              </w:rPr>
            </w:pPr>
            <w:r w:rsidRPr="00753388">
              <w:rPr>
                <w:b/>
                <w:bCs/>
                <w:szCs w:val="18"/>
              </w:rPr>
              <w:t xml:space="preserve">Total - </w:t>
            </w:r>
            <w:r w:rsidR="002F5588">
              <w:rPr>
                <w:b/>
                <w:bCs/>
                <w:szCs w:val="18"/>
              </w:rPr>
              <w:t>f</w:t>
            </w:r>
            <w:r w:rsidRPr="00753388">
              <w:rPr>
                <w:b/>
                <w:bCs/>
                <w:szCs w:val="18"/>
              </w:rPr>
              <w:t xml:space="preserve">ive largest </w:t>
            </w:r>
            <w:r w:rsidR="002F5588">
              <w:rPr>
                <w:b/>
                <w:bCs/>
                <w:szCs w:val="18"/>
              </w:rPr>
              <w:t>m</w:t>
            </w:r>
            <w:r w:rsidRPr="00753388">
              <w:rPr>
                <w:b/>
                <w:bCs/>
                <w:szCs w:val="18"/>
              </w:rPr>
              <w:t xml:space="preserve">ajor </w:t>
            </w:r>
            <w:r w:rsidR="002F5588">
              <w:rPr>
                <w:b/>
                <w:bCs/>
                <w:szCs w:val="18"/>
              </w:rPr>
              <w:t>s</w:t>
            </w:r>
            <w:r w:rsidRPr="00753388">
              <w:rPr>
                <w:b/>
                <w:bCs/>
                <w:szCs w:val="18"/>
              </w:rPr>
              <w:t xml:space="preserve">ervice </w:t>
            </w:r>
            <w:r w:rsidR="002F5588">
              <w:rPr>
                <w:b/>
                <w:bCs/>
                <w:szCs w:val="18"/>
              </w:rPr>
              <w:t>g</w:t>
            </w:r>
            <w:r w:rsidRPr="00753388">
              <w:rPr>
                <w:b/>
                <w:bCs/>
                <w:szCs w:val="18"/>
              </w:rPr>
              <w:t>roups</w:t>
            </w:r>
          </w:p>
        </w:tc>
        <w:tc>
          <w:tcPr>
            <w:tcW w:w="982" w:type="dxa"/>
            <w:tcBorders>
              <w:right w:val="nil"/>
            </w:tcBorders>
          </w:tcPr>
          <w:p w14:paraId="3495FCF8" w14:textId="77777777" w:rsidR="00960C98" w:rsidRPr="00753388" w:rsidRDefault="00960C98" w:rsidP="00C1042F">
            <w:pPr>
              <w:pStyle w:val="TableText"/>
              <w:jc w:val="center"/>
              <w:rPr>
                <w:b/>
                <w:bCs/>
                <w:szCs w:val="18"/>
              </w:rPr>
            </w:pPr>
            <w:r w:rsidRPr="00753388">
              <w:rPr>
                <w:b/>
                <w:bCs/>
                <w:szCs w:val="18"/>
              </w:rPr>
              <w:t>396.0</w:t>
            </w:r>
          </w:p>
        </w:tc>
        <w:tc>
          <w:tcPr>
            <w:tcW w:w="982" w:type="dxa"/>
            <w:tcBorders>
              <w:left w:val="nil"/>
              <w:right w:val="nil"/>
            </w:tcBorders>
          </w:tcPr>
          <w:p w14:paraId="791690FB" w14:textId="77777777" w:rsidR="00960C98" w:rsidRPr="00753388" w:rsidRDefault="00960C98" w:rsidP="00C1042F">
            <w:pPr>
              <w:pStyle w:val="TableText"/>
              <w:jc w:val="center"/>
              <w:rPr>
                <w:b/>
                <w:bCs/>
                <w:szCs w:val="18"/>
              </w:rPr>
            </w:pPr>
            <w:r w:rsidRPr="00753388">
              <w:rPr>
                <w:b/>
                <w:bCs/>
                <w:szCs w:val="18"/>
              </w:rPr>
              <w:t>459.4</w:t>
            </w:r>
          </w:p>
        </w:tc>
        <w:tc>
          <w:tcPr>
            <w:tcW w:w="983" w:type="dxa"/>
            <w:tcBorders>
              <w:left w:val="nil"/>
              <w:right w:val="nil"/>
            </w:tcBorders>
          </w:tcPr>
          <w:p w14:paraId="71C4D3AF" w14:textId="77777777" w:rsidR="00960C98" w:rsidRPr="00753388" w:rsidRDefault="00960C98" w:rsidP="00C1042F">
            <w:pPr>
              <w:pStyle w:val="TableText"/>
              <w:jc w:val="center"/>
              <w:rPr>
                <w:b/>
                <w:bCs/>
                <w:szCs w:val="18"/>
              </w:rPr>
            </w:pPr>
            <w:r w:rsidRPr="00753388">
              <w:rPr>
                <w:b/>
                <w:bCs/>
                <w:szCs w:val="18"/>
              </w:rPr>
              <w:t>640.6</w:t>
            </w:r>
          </w:p>
        </w:tc>
        <w:tc>
          <w:tcPr>
            <w:tcW w:w="982" w:type="dxa"/>
            <w:tcBorders>
              <w:left w:val="nil"/>
              <w:right w:val="nil"/>
            </w:tcBorders>
          </w:tcPr>
          <w:p w14:paraId="26F9CCFF" w14:textId="77777777" w:rsidR="00960C98" w:rsidRPr="00753388" w:rsidRDefault="00960C98" w:rsidP="00C1042F">
            <w:pPr>
              <w:pStyle w:val="TableText"/>
              <w:jc w:val="center"/>
              <w:rPr>
                <w:b/>
                <w:bCs/>
                <w:szCs w:val="18"/>
              </w:rPr>
            </w:pPr>
            <w:r w:rsidRPr="00753388">
              <w:rPr>
                <w:b/>
                <w:bCs/>
                <w:szCs w:val="18"/>
              </w:rPr>
              <w:t>654.3</w:t>
            </w:r>
          </w:p>
        </w:tc>
        <w:tc>
          <w:tcPr>
            <w:tcW w:w="983" w:type="dxa"/>
            <w:tcBorders>
              <w:left w:val="nil"/>
            </w:tcBorders>
          </w:tcPr>
          <w:p w14:paraId="583A262E" w14:textId="77777777" w:rsidR="00960C98" w:rsidRPr="00753388" w:rsidRDefault="00960C98" w:rsidP="00C1042F">
            <w:pPr>
              <w:pStyle w:val="TableText"/>
              <w:jc w:val="center"/>
              <w:rPr>
                <w:b/>
                <w:bCs/>
                <w:szCs w:val="18"/>
              </w:rPr>
            </w:pPr>
            <w:r w:rsidRPr="00753388">
              <w:rPr>
                <w:b/>
                <w:bCs/>
                <w:szCs w:val="18"/>
              </w:rPr>
              <w:t>813.9</w:t>
            </w:r>
          </w:p>
        </w:tc>
        <w:tc>
          <w:tcPr>
            <w:tcW w:w="1063" w:type="dxa"/>
            <w:tcBorders>
              <w:right w:val="nil"/>
            </w:tcBorders>
          </w:tcPr>
          <w:p w14:paraId="49D7A0DB" w14:textId="77777777" w:rsidR="00960C98" w:rsidRPr="00753388" w:rsidRDefault="00960C98" w:rsidP="00C1042F">
            <w:pPr>
              <w:pStyle w:val="TableText"/>
              <w:jc w:val="center"/>
              <w:rPr>
                <w:b/>
                <w:bCs/>
                <w:szCs w:val="18"/>
              </w:rPr>
            </w:pPr>
            <w:r w:rsidRPr="00753388">
              <w:rPr>
                <w:b/>
                <w:bCs/>
                <w:szCs w:val="18"/>
              </w:rPr>
              <w:t>417.9</w:t>
            </w:r>
          </w:p>
        </w:tc>
        <w:tc>
          <w:tcPr>
            <w:tcW w:w="1063" w:type="dxa"/>
            <w:tcBorders>
              <w:left w:val="nil"/>
            </w:tcBorders>
          </w:tcPr>
          <w:p w14:paraId="7042CBD8" w14:textId="77777777" w:rsidR="00960C98" w:rsidRPr="00753388" w:rsidRDefault="00960C98" w:rsidP="00C1042F">
            <w:pPr>
              <w:pStyle w:val="TableText"/>
              <w:jc w:val="center"/>
              <w:rPr>
                <w:b/>
                <w:bCs/>
                <w:szCs w:val="18"/>
              </w:rPr>
            </w:pPr>
            <w:r w:rsidRPr="00753388">
              <w:rPr>
                <w:b/>
                <w:bCs/>
                <w:szCs w:val="18"/>
              </w:rPr>
              <w:t>105.5</w:t>
            </w:r>
          </w:p>
        </w:tc>
      </w:tr>
      <w:tr w:rsidR="00960C98" w:rsidRPr="007A1295" w14:paraId="68E17F94" w14:textId="77777777" w:rsidTr="001A5ADF">
        <w:trPr>
          <w:trHeight w:val="300"/>
        </w:trPr>
        <w:tc>
          <w:tcPr>
            <w:tcW w:w="2318" w:type="dxa"/>
          </w:tcPr>
          <w:p w14:paraId="1F31094E" w14:textId="3D08F761" w:rsidR="00960C98" w:rsidRPr="007A1295" w:rsidRDefault="00960C98" w:rsidP="007A1295">
            <w:pPr>
              <w:pStyle w:val="TableText"/>
              <w:rPr>
                <w:szCs w:val="18"/>
              </w:rPr>
            </w:pPr>
            <w:r w:rsidRPr="007A1295">
              <w:rPr>
                <w:szCs w:val="18"/>
              </w:rPr>
              <w:t xml:space="preserve">All other </w:t>
            </w:r>
            <w:r w:rsidR="002F5588">
              <w:rPr>
                <w:szCs w:val="18"/>
              </w:rPr>
              <w:t>m</w:t>
            </w:r>
            <w:r w:rsidRPr="007A1295">
              <w:rPr>
                <w:szCs w:val="18"/>
              </w:rPr>
              <w:t xml:space="preserve">ajor </w:t>
            </w:r>
            <w:r w:rsidR="002F5588">
              <w:rPr>
                <w:szCs w:val="18"/>
              </w:rPr>
              <w:t>s</w:t>
            </w:r>
            <w:r w:rsidRPr="007A1295">
              <w:rPr>
                <w:szCs w:val="18"/>
              </w:rPr>
              <w:t xml:space="preserve">ervice </w:t>
            </w:r>
            <w:r w:rsidR="002F5588">
              <w:rPr>
                <w:szCs w:val="18"/>
              </w:rPr>
              <w:t>g</w:t>
            </w:r>
            <w:r w:rsidRPr="007A1295">
              <w:rPr>
                <w:szCs w:val="18"/>
              </w:rPr>
              <w:t>roups</w:t>
            </w:r>
          </w:p>
        </w:tc>
        <w:tc>
          <w:tcPr>
            <w:tcW w:w="982" w:type="dxa"/>
            <w:tcBorders>
              <w:right w:val="nil"/>
            </w:tcBorders>
          </w:tcPr>
          <w:p w14:paraId="373EC5CF" w14:textId="77777777" w:rsidR="00960C98" w:rsidRPr="007A1295" w:rsidRDefault="00960C98" w:rsidP="00C1042F">
            <w:pPr>
              <w:pStyle w:val="TableText"/>
              <w:jc w:val="center"/>
              <w:rPr>
                <w:szCs w:val="18"/>
              </w:rPr>
            </w:pPr>
            <w:r w:rsidRPr="007A1295">
              <w:rPr>
                <w:szCs w:val="18"/>
              </w:rPr>
              <w:t>133.9</w:t>
            </w:r>
          </w:p>
        </w:tc>
        <w:tc>
          <w:tcPr>
            <w:tcW w:w="982" w:type="dxa"/>
            <w:tcBorders>
              <w:left w:val="nil"/>
              <w:right w:val="nil"/>
            </w:tcBorders>
          </w:tcPr>
          <w:p w14:paraId="7E37732F" w14:textId="77777777" w:rsidR="00960C98" w:rsidRPr="007A1295" w:rsidRDefault="00960C98" w:rsidP="00C1042F">
            <w:pPr>
              <w:pStyle w:val="TableText"/>
              <w:jc w:val="center"/>
              <w:rPr>
                <w:szCs w:val="18"/>
              </w:rPr>
            </w:pPr>
            <w:r w:rsidRPr="007A1295">
              <w:rPr>
                <w:szCs w:val="18"/>
              </w:rPr>
              <w:t>128.6</w:t>
            </w:r>
          </w:p>
        </w:tc>
        <w:tc>
          <w:tcPr>
            <w:tcW w:w="983" w:type="dxa"/>
            <w:tcBorders>
              <w:left w:val="nil"/>
              <w:right w:val="nil"/>
            </w:tcBorders>
          </w:tcPr>
          <w:p w14:paraId="304ABBE0" w14:textId="77777777" w:rsidR="00960C98" w:rsidRPr="007A1295" w:rsidRDefault="00960C98" w:rsidP="00C1042F">
            <w:pPr>
              <w:pStyle w:val="TableText"/>
              <w:jc w:val="center"/>
              <w:rPr>
                <w:szCs w:val="18"/>
              </w:rPr>
            </w:pPr>
            <w:r w:rsidRPr="007A1295">
              <w:rPr>
                <w:szCs w:val="18"/>
              </w:rPr>
              <w:t>139.4</w:t>
            </w:r>
          </w:p>
        </w:tc>
        <w:tc>
          <w:tcPr>
            <w:tcW w:w="982" w:type="dxa"/>
            <w:tcBorders>
              <w:left w:val="nil"/>
              <w:right w:val="nil"/>
            </w:tcBorders>
          </w:tcPr>
          <w:p w14:paraId="3E164622" w14:textId="77777777" w:rsidR="00960C98" w:rsidRPr="007A1295" w:rsidRDefault="00960C98" w:rsidP="00C1042F">
            <w:pPr>
              <w:pStyle w:val="TableText"/>
              <w:jc w:val="center"/>
              <w:rPr>
                <w:szCs w:val="18"/>
              </w:rPr>
            </w:pPr>
            <w:r w:rsidRPr="007A1295">
              <w:rPr>
                <w:szCs w:val="18"/>
              </w:rPr>
              <w:t>164.3</w:t>
            </w:r>
          </w:p>
        </w:tc>
        <w:tc>
          <w:tcPr>
            <w:tcW w:w="983" w:type="dxa"/>
            <w:tcBorders>
              <w:left w:val="nil"/>
            </w:tcBorders>
          </w:tcPr>
          <w:p w14:paraId="778D644F" w14:textId="77777777" w:rsidR="00960C98" w:rsidRPr="007A1295" w:rsidRDefault="00960C98" w:rsidP="00C1042F">
            <w:pPr>
              <w:pStyle w:val="TableText"/>
              <w:jc w:val="center"/>
              <w:rPr>
                <w:szCs w:val="18"/>
              </w:rPr>
            </w:pPr>
            <w:r w:rsidRPr="007A1295">
              <w:rPr>
                <w:szCs w:val="18"/>
              </w:rPr>
              <w:t>185.9</w:t>
            </w:r>
          </w:p>
        </w:tc>
        <w:tc>
          <w:tcPr>
            <w:tcW w:w="1063" w:type="dxa"/>
            <w:tcBorders>
              <w:right w:val="nil"/>
            </w:tcBorders>
          </w:tcPr>
          <w:p w14:paraId="064E225D" w14:textId="77777777" w:rsidR="00960C98" w:rsidRPr="007A1295" w:rsidRDefault="00960C98" w:rsidP="00C1042F">
            <w:pPr>
              <w:pStyle w:val="TableText"/>
              <w:jc w:val="center"/>
              <w:rPr>
                <w:szCs w:val="18"/>
              </w:rPr>
            </w:pPr>
            <w:r w:rsidRPr="007A1295">
              <w:rPr>
                <w:szCs w:val="18"/>
              </w:rPr>
              <w:t>52.0</w:t>
            </w:r>
          </w:p>
        </w:tc>
        <w:tc>
          <w:tcPr>
            <w:tcW w:w="1063" w:type="dxa"/>
            <w:tcBorders>
              <w:left w:val="nil"/>
            </w:tcBorders>
          </w:tcPr>
          <w:p w14:paraId="7E890068" w14:textId="77777777" w:rsidR="00960C98" w:rsidRPr="007A1295" w:rsidRDefault="00960C98" w:rsidP="00C1042F">
            <w:pPr>
              <w:pStyle w:val="TableText"/>
              <w:jc w:val="center"/>
              <w:rPr>
                <w:szCs w:val="18"/>
              </w:rPr>
            </w:pPr>
            <w:r w:rsidRPr="007A1295">
              <w:rPr>
                <w:szCs w:val="18"/>
              </w:rPr>
              <w:t>38.9</w:t>
            </w:r>
          </w:p>
        </w:tc>
      </w:tr>
      <w:tr w:rsidR="00960C98" w:rsidRPr="007A1295" w14:paraId="5AFB325B" w14:textId="77777777" w:rsidTr="001A5ADF">
        <w:trPr>
          <w:trHeight w:val="300"/>
        </w:trPr>
        <w:tc>
          <w:tcPr>
            <w:tcW w:w="2318" w:type="dxa"/>
          </w:tcPr>
          <w:p w14:paraId="2DE83CE3" w14:textId="77777777" w:rsidR="00960C98" w:rsidRPr="007A1295" w:rsidRDefault="00960C98" w:rsidP="007A1295">
            <w:pPr>
              <w:pStyle w:val="TableText"/>
              <w:rPr>
                <w:szCs w:val="18"/>
              </w:rPr>
            </w:pPr>
            <w:r w:rsidRPr="007A1295">
              <w:rPr>
                <w:szCs w:val="18"/>
              </w:rPr>
              <w:t>Total health entities funding to Māori health providers</w:t>
            </w:r>
          </w:p>
        </w:tc>
        <w:tc>
          <w:tcPr>
            <w:tcW w:w="982" w:type="dxa"/>
            <w:tcBorders>
              <w:right w:val="nil"/>
            </w:tcBorders>
          </w:tcPr>
          <w:p w14:paraId="4174AE6D" w14:textId="77777777" w:rsidR="00960C98" w:rsidRPr="007A1295" w:rsidRDefault="00960C98" w:rsidP="00C1042F">
            <w:pPr>
              <w:pStyle w:val="TableText"/>
              <w:jc w:val="center"/>
              <w:rPr>
                <w:szCs w:val="18"/>
              </w:rPr>
            </w:pPr>
            <w:r w:rsidRPr="007A1295">
              <w:rPr>
                <w:szCs w:val="18"/>
              </w:rPr>
              <w:t>529.8</w:t>
            </w:r>
          </w:p>
        </w:tc>
        <w:tc>
          <w:tcPr>
            <w:tcW w:w="982" w:type="dxa"/>
            <w:tcBorders>
              <w:left w:val="nil"/>
              <w:right w:val="nil"/>
            </w:tcBorders>
          </w:tcPr>
          <w:p w14:paraId="34545CE5" w14:textId="77777777" w:rsidR="00960C98" w:rsidRPr="007A1295" w:rsidRDefault="00960C98" w:rsidP="00C1042F">
            <w:pPr>
              <w:pStyle w:val="TableText"/>
              <w:jc w:val="center"/>
              <w:rPr>
                <w:szCs w:val="18"/>
              </w:rPr>
            </w:pPr>
            <w:r w:rsidRPr="007A1295">
              <w:rPr>
                <w:szCs w:val="18"/>
              </w:rPr>
              <w:t>588.0</w:t>
            </w:r>
          </w:p>
        </w:tc>
        <w:tc>
          <w:tcPr>
            <w:tcW w:w="983" w:type="dxa"/>
            <w:tcBorders>
              <w:left w:val="nil"/>
              <w:right w:val="nil"/>
            </w:tcBorders>
          </w:tcPr>
          <w:p w14:paraId="237C9A1B" w14:textId="77777777" w:rsidR="00960C98" w:rsidRPr="007A1295" w:rsidRDefault="00960C98" w:rsidP="00C1042F">
            <w:pPr>
              <w:pStyle w:val="TableText"/>
              <w:jc w:val="center"/>
              <w:rPr>
                <w:szCs w:val="18"/>
              </w:rPr>
            </w:pPr>
            <w:r w:rsidRPr="007A1295">
              <w:rPr>
                <w:szCs w:val="18"/>
              </w:rPr>
              <w:t>780.0</w:t>
            </w:r>
          </w:p>
        </w:tc>
        <w:tc>
          <w:tcPr>
            <w:tcW w:w="982" w:type="dxa"/>
            <w:tcBorders>
              <w:left w:val="nil"/>
              <w:right w:val="nil"/>
            </w:tcBorders>
          </w:tcPr>
          <w:p w14:paraId="7E30BA46" w14:textId="77777777" w:rsidR="00960C98" w:rsidRPr="007A1295" w:rsidRDefault="00960C98" w:rsidP="00C1042F">
            <w:pPr>
              <w:pStyle w:val="TableText"/>
              <w:jc w:val="center"/>
              <w:rPr>
                <w:szCs w:val="18"/>
              </w:rPr>
            </w:pPr>
            <w:r w:rsidRPr="007A1295">
              <w:rPr>
                <w:szCs w:val="18"/>
              </w:rPr>
              <w:t>818.6</w:t>
            </w:r>
          </w:p>
        </w:tc>
        <w:tc>
          <w:tcPr>
            <w:tcW w:w="983" w:type="dxa"/>
            <w:tcBorders>
              <w:left w:val="nil"/>
            </w:tcBorders>
          </w:tcPr>
          <w:p w14:paraId="2E66FFAC" w14:textId="77777777" w:rsidR="00960C98" w:rsidRPr="007A1295" w:rsidRDefault="00960C98" w:rsidP="00C1042F">
            <w:pPr>
              <w:pStyle w:val="TableText"/>
              <w:jc w:val="center"/>
              <w:rPr>
                <w:szCs w:val="18"/>
              </w:rPr>
            </w:pPr>
            <w:r w:rsidRPr="007A1295">
              <w:rPr>
                <w:szCs w:val="18"/>
              </w:rPr>
              <w:t>999.8</w:t>
            </w:r>
          </w:p>
        </w:tc>
        <w:tc>
          <w:tcPr>
            <w:tcW w:w="1063" w:type="dxa"/>
            <w:tcBorders>
              <w:right w:val="nil"/>
            </w:tcBorders>
          </w:tcPr>
          <w:p w14:paraId="406B4738" w14:textId="77777777" w:rsidR="00960C98" w:rsidRPr="007A1295" w:rsidRDefault="00960C98" w:rsidP="00C1042F">
            <w:pPr>
              <w:pStyle w:val="TableText"/>
              <w:jc w:val="center"/>
              <w:rPr>
                <w:szCs w:val="18"/>
              </w:rPr>
            </w:pPr>
            <w:r w:rsidRPr="007A1295">
              <w:rPr>
                <w:szCs w:val="18"/>
              </w:rPr>
              <w:t>469.9</w:t>
            </w:r>
          </w:p>
        </w:tc>
        <w:tc>
          <w:tcPr>
            <w:tcW w:w="1063" w:type="dxa"/>
            <w:tcBorders>
              <w:left w:val="nil"/>
            </w:tcBorders>
          </w:tcPr>
          <w:p w14:paraId="6E981219" w14:textId="77777777" w:rsidR="00960C98" w:rsidRPr="007A1295" w:rsidRDefault="00960C98" w:rsidP="00C1042F">
            <w:pPr>
              <w:pStyle w:val="TableText"/>
              <w:jc w:val="center"/>
              <w:rPr>
                <w:szCs w:val="18"/>
              </w:rPr>
            </w:pPr>
            <w:r w:rsidRPr="007A1295">
              <w:rPr>
                <w:szCs w:val="18"/>
              </w:rPr>
              <w:t>88.7</w:t>
            </w:r>
          </w:p>
        </w:tc>
      </w:tr>
    </w:tbl>
    <w:p w14:paraId="71C7AED6" w14:textId="77777777" w:rsidR="00960C98" w:rsidRPr="00D43132" w:rsidRDefault="00960C98" w:rsidP="00AA1306">
      <w:pPr>
        <w:pStyle w:val="Source"/>
        <w:spacing w:before="0" w:after="0"/>
      </w:pPr>
      <w:r w:rsidRPr="00D43132">
        <w:t>Source: Ministry of Health, Wellington.</w:t>
      </w:r>
    </w:p>
    <w:p w14:paraId="148B4985" w14:textId="68BF5941" w:rsidR="00960C98" w:rsidRDefault="00960C98" w:rsidP="00AA1306">
      <w:pPr>
        <w:pStyle w:val="Source"/>
        <w:spacing w:before="0" w:after="0"/>
      </w:pPr>
      <w:r w:rsidRPr="00D43132">
        <w:t>Notes: Due to rounding, individual figures in this table may not add to the stated totals and percentages may appear to differ from those stated.</w:t>
      </w:r>
    </w:p>
    <w:p w14:paraId="38191F85" w14:textId="77777777" w:rsidR="00AA1306" w:rsidRPr="00AA1306" w:rsidRDefault="00AA1306" w:rsidP="00AA1306">
      <w:pPr>
        <w:spacing w:before="0"/>
      </w:pPr>
    </w:p>
    <w:p w14:paraId="3EA26396" w14:textId="77777777" w:rsidR="00960C98" w:rsidRDefault="00960C98" w:rsidP="00135309">
      <w:pPr>
        <w:spacing w:before="0"/>
      </w:pPr>
      <w:r>
        <w:t>The</w:t>
      </w:r>
      <w:r w:rsidDel="0070329A">
        <w:t xml:space="preserve"> </w:t>
      </w:r>
      <w:r>
        <w:t xml:space="preserve">purchase unit coding system used by health entities allows for service lines to be grouped by just over 30 major service groups covering all services across the health system. As mentioned before, in some cases similar contracts could be coded under different codes. Despite this, reporting </w:t>
      </w:r>
      <w:r>
        <w:lastRenderedPageBreak/>
        <w:t>by major service group allows for comparisons and provides an indication of where the increases in funding to Māori health providers were distributed.</w:t>
      </w:r>
    </w:p>
    <w:p w14:paraId="226E1405" w14:textId="3FCE4373" w:rsidR="00960C98" w:rsidRDefault="00960C98" w:rsidP="00960C98">
      <w:r>
        <w:t xml:space="preserve">Information on major service groups can be found on Health New Zealand’s website, particularly within the </w:t>
      </w:r>
      <w:r w:rsidR="005E59AD">
        <w:t>p</w:t>
      </w:r>
      <w:r>
        <w:t xml:space="preserve">urchase </w:t>
      </w:r>
      <w:r w:rsidR="005E59AD">
        <w:t>u</w:t>
      </w:r>
      <w:r>
        <w:t xml:space="preserve">nit </w:t>
      </w:r>
      <w:r w:rsidR="005E59AD">
        <w:t>d</w:t>
      </w:r>
      <w:r>
        <w:t xml:space="preserve">ata </w:t>
      </w:r>
      <w:r w:rsidR="005E59AD">
        <w:t>d</w:t>
      </w:r>
      <w:r>
        <w:t>ictionary.</w:t>
      </w:r>
      <w:r>
        <w:rPr>
          <w:rStyle w:val="FootnoteReference"/>
        </w:rPr>
        <w:footnoteReference w:id="4"/>
      </w:r>
    </w:p>
    <w:p w14:paraId="67D9F1CA" w14:textId="5E7EC1F9" w:rsidR="00960C98" w:rsidRDefault="00960C98" w:rsidP="00960C98">
      <w:r>
        <w:t xml:space="preserve">Table 3 shows funding by the five largest major service groups by dollar value. These five groups accounted for 81.4% of total funding to Māori health providers in 2023/24. </w:t>
      </w:r>
    </w:p>
    <w:p w14:paraId="2F1DCD1E" w14:textId="77777777" w:rsidR="00960C98" w:rsidRDefault="00960C98" w:rsidP="00960C98">
      <w:pPr>
        <w:keepNext/>
      </w:pPr>
      <w:r>
        <w:t>Between 2019/20 and 2023/24:</w:t>
      </w:r>
    </w:p>
    <w:p w14:paraId="2552BF9B" w14:textId="64DDBBA7" w:rsidR="00960C98" w:rsidRDefault="00960C98" w:rsidP="00960C98">
      <w:pPr>
        <w:pStyle w:val="Bullet"/>
      </w:pPr>
      <w:r>
        <w:t>Mental health service funding increased by $128.4 million or 109.4%</w:t>
      </w:r>
      <w:r w:rsidR="004E6C97">
        <w:t>.</w:t>
      </w:r>
    </w:p>
    <w:p w14:paraId="728D70A0" w14:textId="66FE6CEA" w:rsidR="00960C98" w:rsidRDefault="00960C98" w:rsidP="00960C98">
      <w:pPr>
        <w:pStyle w:val="Bullet"/>
      </w:pPr>
      <w:r>
        <w:t>Hauora Māori service funding increased by $161.6 million or 244.3%. Most of this increase came from the areas of support services for mothers and their pēpi ($44.0</w:t>
      </w:r>
      <w:r w:rsidR="00AE0F53">
        <w:t xml:space="preserve"> </w:t>
      </w:r>
      <w:r>
        <w:t>m</w:t>
      </w:r>
      <w:r w:rsidR="00AE0F53">
        <w:t>illion</w:t>
      </w:r>
      <w:r>
        <w:t>), Māori health development ($36.6</w:t>
      </w:r>
      <w:r w:rsidR="00AE0F53">
        <w:t xml:space="preserve"> </w:t>
      </w:r>
      <w:r>
        <w:t>m</w:t>
      </w:r>
      <w:r w:rsidR="00AE0F53">
        <w:t>illion</w:t>
      </w:r>
      <w:r>
        <w:t>) and health promotion ($15.2</w:t>
      </w:r>
      <w:r w:rsidR="004E6C97">
        <w:t xml:space="preserve"> </w:t>
      </w:r>
      <w:r>
        <w:t>m</w:t>
      </w:r>
      <w:r w:rsidR="004E6C97">
        <w:t>illion</w:t>
      </w:r>
      <w:r>
        <w:t>)</w:t>
      </w:r>
      <w:r w:rsidR="004E6C97">
        <w:t>.</w:t>
      </w:r>
    </w:p>
    <w:p w14:paraId="3726A9BB" w14:textId="62C4227D" w:rsidR="00960C98" w:rsidRDefault="00960C98" w:rsidP="00960C98">
      <w:pPr>
        <w:pStyle w:val="Bullet"/>
      </w:pPr>
      <w:r>
        <w:t xml:space="preserve">Primary </w:t>
      </w:r>
      <w:r w:rsidR="00414F76">
        <w:t>h</w:t>
      </w:r>
      <w:r>
        <w:t xml:space="preserve">ealth </w:t>
      </w:r>
      <w:r w:rsidR="00414F76">
        <w:t>o</w:t>
      </w:r>
      <w:r>
        <w:t>rganisation service funding increased by $41.0 million or 24.1%</w:t>
      </w:r>
      <w:r w:rsidR="004E6C97">
        <w:t>.</w:t>
      </w:r>
    </w:p>
    <w:p w14:paraId="614A2B4C" w14:textId="19928C10" w:rsidR="00960C98" w:rsidRDefault="00960C98" w:rsidP="00960C98">
      <w:pPr>
        <w:pStyle w:val="Bullet"/>
      </w:pPr>
      <w:r>
        <w:t xml:space="preserve">Public health service funding increased by $44.3 million or 170.8%. The biggest increases were observed in the areas of preventative interventions </w:t>
      </w:r>
      <w:r w:rsidR="002F5588">
        <w:t xml:space="preserve">– </w:t>
      </w:r>
      <w:r>
        <w:t>immunisation services ($25.3</w:t>
      </w:r>
      <w:r w:rsidR="00AE0F53">
        <w:t xml:space="preserve"> </w:t>
      </w:r>
      <w:r>
        <w:t>m</w:t>
      </w:r>
      <w:r w:rsidR="00AE0F53">
        <w:t>illion</w:t>
      </w:r>
      <w:r>
        <w:t>) and health promotion ($10.1</w:t>
      </w:r>
      <w:r w:rsidR="00AE0F53">
        <w:t xml:space="preserve"> </w:t>
      </w:r>
      <w:r>
        <w:t>m</w:t>
      </w:r>
      <w:r w:rsidR="00AE0F53">
        <w:t>illion</w:t>
      </w:r>
      <w:r>
        <w:t>)</w:t>
      </w:r>
      <w:r w:rsidR="004E6C97">
        <w:t>.</w:t>
      </w:r>
    </w:p>
    <w:p w14:paraId="756BDD92" w14:textId="0CA08393" w:rsidR="00960C98" w:rsidRDefault="00960C98" w:rsidP="00960C98">
      <w:pPr>
        <w:pStyle w:val="Bullet"/>
      </w:pPr>
      <w:r>
        <w:t xml:space="preserve">Other community service funding increased by </w:t>
      </w:r>
      <w:r w:rsidR="00733BB3">
        <w:t>$</w:t>
      </w:r>
      <w:r>
        <w:t>42.6 million or 259.8%. These cover a wide range of contracts not included elsewhere. The biggest increase during this period came from COVID-19 contracts ($19.6</w:t>
      </w:r>
      <w:r w:rsidR="00AE0F53">
        <w:t xml:space="preserve"> </w:t>
      </w:r>
      <w:r>
        <w:t>m</w:t>
      </w:r>
      <w:r w:rsidR="00AE0F53">
        <w:t>illion</w:t>
      </w:r>
      <w:r>
        <w:t>). COVID-19 contracts increased substantially between 2019/20 and 2021/22 and then decreased between 2021/22 and 2023/24 (see Table 1).</w:t>
      </w:r>
    </w:p>
    <w:p w14:paraId="46201782" w14:textId="77777777" w:rsidR="00960C98" w:rsidRDefault="00960C98" w:rsidP="007B284E">
      <w:pPr>
        <w:spacing w:before="0"/>
      </w:pPr>
    </w:p>
    <w:p w14:paraId="53D0E226" w14:textId="77777777" w:rsidR="00783D9C" w:rsidRPr="00DD748F" w:rsidRDefault="00783D9C" w:rsidP="007B284E">
      <w:pPr>
        <w:spacing w:before="0"/>
      </w:pPr>
    </w:p>
    <w:p w14:paraId="0F80B528" w14:textId="213D2E97" w:rsidR="00EB461E" w:rsidRPr="00DD748F" w:rsidRDefault="00114008" w:rsidP="00C34608">
      <w:pPr>
        <w:spacing w:before="480"/>
        <w:jc w:val="center"/>
        <w:rPr>
          <w:rFonts w:ascii="Cambria" w:hAnsi="Cambria"/>
        </w:rPr>
      </w:pPr>
      <w:r w:rsidRPr="00960C98">
        <w:rPr>
          <w:noProof/>
          <w:lang w:eastAsia="en-GB"/>
        </w:rPr>
        <w:drawing>
          <wp:inline distT="0" distB="0" distL="0" distR="0" wp14:anchorId="4331236F" wp14:editId="4F29253A">
            <wp:extent cx="1216800" cy="494305"/>
            <wp:effectExtent l="0" t="0" r="2540" b="1270"/>
            <wp:docPr id="1472750415" name="Picture 1472750415"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A blue and white sign with white text&#10;&#10;Description automatically generated"/>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57B281D7" w14:textId="10CB1444" w:rsidR="00EB461E" w:rsidRDefault="00D710D5" w:rsidP="002233D8">
      <w:pPr>
        <w:spacing w:before="240"/>
        <w:jc w:val="center"/>
        <w:rPr>
          <w:lang w:eastAsia="en-NZ"/>
        </w:rPr>
      </w:pPr>
      <w:r>
        <w:t>June</w:t>
      </w:r>
      <w:r w:rsidR="00960C98">
        <w:t xml:space="preserve"> </w:t>
      </w:r>
      <w:r w:rsidR="00B341F9">
        <w:t>202</w:t>
      </w:r>
      <w:r w:rsidR="00960C98">
        <w:t>5</w:t>
      </w:r>
      <w:r w:rsidR="00C34608" w:rsidRPr="00DD748F">
        <w:br/>
      </w:r>
      <w:r w:rsidR="00EB461E" w:rsidRPr="00DD748F">
        <w:rPr>
          <w:lang w:eastAsia="en-NZ"/>
        </w:rPr>
        <w:t>HP</w:t>
      </w:r>
      <w:r w:rsidR="00A7460A">
        <w:rPr>
          <w:lang w:eastAsia="en-NZ"/>
        </w:rPr>
        <w:t xml:space="preserve"> 9124</w:t>
      </w:r>
    </w:p>
    <w:p w14:paraId="762C0BCA" w14:textId="77777777" w:rsidR="00660619" w:rsidRDefault="00660619" w:rsidP="00660619">
      <w:pPr>
        <w:rPr>
          <w:lang w:eastAsia="en-NZ"/>
        </w:rPr>
      </w:pPr>
    </w:p>
    <w:sectPr w:rsidR="00660619" w:rsidSect="000E4E05">
      <w:footerReference w:type="even" r:id="rId14"/>
      <w:footerReference w:type="default" r:id="rId15"/>
      <w:headerReference w:type="first" r:id="rId16"/>
      <w:footerReference w:type="first" r:id="rId17"/>
      <w:pgSz w:w="11906" w:h="16838" w:code="9"/>
      <w:pgMar w:top="1134" w:right="1134" w:bottom="1134" w:left="1418" w:header="284" w:footer="425"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5">
      <wne:acd wne:acdName="acd1"/>
    </wne:keymap>
  </wne:keymaps>
  <wne:toolbars>
    <wne:acdManifest>
      <wne:acdEntry wne:acdName="acd0"/>
      <wne:acdEntry wne:acdName="acd1"/>
    </wne:acdManifest>
  </wne:toolbars>
  <wne:acds>
    <wne:acd wne:argValue="AQAAAAEA" wne:acdName="acd0" wne:fciIndexBasedOn="0065"/>
    <wne:acd wne:argValue="AgBCAHUAbABsAGUAd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14754" w14:textId="77777777" w:rsidR="0060451F" w:rsidRDefault="0060451F">
      <w:r>
        <w:separator/>
      </w:r>
    </w:p>
  </w:endnote>
  <w:endnote w:type="continuationSeparator" w:id="0">
    <w:p w14:paraId="2723463F" w14:textId="77777777" w:rsidR="0060451F" w:rsidRDefault="0060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9356"/>
    </w:tblGrid>
    <w:tr w:rsidR="00525FFB" w14:paraId="3E8638C8" w14:textId="77777777" w:rsidTr="00525FFB">
      <w:trPr>
        <w:cantSplit/>
      </w:trPr>
      <w:tc>
        <w:tcPr>
          <w:tcW w:w="709" w:type="dxa"/>
          <w:vAlign w:val="center"/>
        </w:tcPr>
        <w:p w14:paraId="32A08582" w14:textId="77777777" w:rsidR="00525FFB" w:rsidRPr="00525FFB" w:rsidRDefault="00525FFB" w:rsidP="00F06D3B">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660619">
            <w:rPr>
              <w:rStyle w:val="PageNumber"/>
              <w:noProof/>
              <w:sz w:val="22"/>
              <w:szCs w:val="22"/>
            </w:rPr>
            <w:t>2</w:t>
          </w:r>
          <w:r w:rsidRPr="00525FFB">
            <w:rPr>
              <w:rStyle w:val="PageNumber"/>
              <w:sz w:val="22"/>
              <w:szCs w:val="22"/>
            </w:rPr>
            <w:fldChar w:fldCharType="end"/>
          </w:r>
        </w:p>
      </w:tc>
      <w:tc>
        <w:tcPr>
          <w:tcW w:w="9356" w:type="dxa"/>
          <w:vAlign w:val="center"/>
        </w:tcPr>
        <w:p w14:paraId="532E9E92" w14:textId="585941CC" w:rsidR="00525FFB" w:rsidRDefault="000117D4" w:rsidP="00525FFB">
          <w:pPr>
            <w:pStyle w:val="RectoFooter"/>
            <w:jc w:val="left"/>
          </w:pPr>
          <w:r>
            <w:t>Funding to Māori Health Providers 2019/20 to 2023/24</w:t>
          </w:r>
        </w:p>
      </w:tc>
    </w:tr>
  </w:tbl>
  <w:p w14:paraId="3E3D2028" w14:textId="77777777" w:rsidR="00EE6CE2" w:rsidRPr="00525FFB" w:rsidRDefault="00EE6CE2" w:rsidP="00525FF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525FFB" w14:paraId="71090075" w14:textId="77777777" w:rsidTr="00525FFB">
      <w:trPr>
        <w:cantSplit/>
      </w:trPr>
      <w:tc>
        <w:tcPr>
          <w:tcW w:w="8647" w:type="dxa"/>
          <w:vAlign w:val="center"/>
        </w:tcPr>
        <w:p w14:paraId="1A0698AE" w14:textId="2E0F8245" w:rsidR="00525FFB" w:rsidRDefault="000117D4" w:rsidP="00525FFB">
          <w:pPr>
            <w:pStyle w:val="RectoFooter"/>
          </w:pPr>
          <w:r>
            <w:t>Funding to Māori Health Providers 2019/20 to 2023/24</w:t>
          </w:r>
        </w:p>
      </w:tc>
      <w:tc>
        <w:tcPr>
          <w:tcW w:w="709" w:type="dxa"/>
          <w:vAlign w:val="center"/>
        </w:tcPr>
        <w:p w14:paraId="0A1C0C1A" w14:textId="77777777" w:rsidR="00525FFB" w:rsidRPr="00525FFB" w:rsidRDefault="00525FF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660619">
            <w:rPr>
              <w:rStyle w:val="PageNumber"/>
              <w:noProof/>
              <w:sz w:val="22"/>
              <w:szCs w:val="22"/>
            </w:rPr>
            <w:t>3</w:t>
          </w:r>
          <w:r w:rsidRPr="00525FFB">
            <w:rPr>
              <w:rStyle w:val="PageNumber"/>
              <w:sz w:val="22"/>
              <w:szCs w:val="22"/>
            </w:rPr>
            <w:fldChar w:fldCharType="end"/>
          </w:r>
        </w:p>
      </w:tc>
    </w:tr>
  </w:tbl>
  <w:p w14:paraId="01637F7F" w14:textId="77777777" w:rsidR="00525FFB" w:rsidRPr="00525FFB" w:rsidRDefault="00525FFB" w:rsidP="00525FF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113C1B" w14:paraId="21D7E1BB" w14:textId="77777777" w:rsidTr="00F06D3B">
      <w:trPr>
        <w:cantSplit/>
      </w:trPr>
      <w:tc>
        <w:tcPr>
          <w:tcW w:w="8647" w:type="dxa"/>
          <w:vAlign w:val="center"/>
        </w:tcPr>
        <w:p w14:paraId="0A280F73" w14:textId="278CB92F" w:rsidR="00113C1B" w:rsidRDefault="000117D4" w:rsidP="000117D4">
          <w:pPr>
            <w:pStyle w:val="RectoFooter"/>
          </w:pPr>
          <w:r>
            <w:t>Funding to Māori Health Providers 2019/20 to 2023/24</w:t>
          </w:r>
        </w:p>
      </w:tc>
      <w:tc>
        <w:tcPr>
          <w:tcW w:w="709" w:type="dxa"/>
          <w:vAlign w:val="center"/>
        </w:tcPr>
        <w:p w14:paraId="3DE55418" w14:textId="77777777" w:rsidR="00113C1B" w:rsidRPr="00525FFB" w:rsidRDefault="00113C1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660619">
            <w:rPr>
              <w:rStyle w:val="PageNumber"/>
              <w:noProof/>
              <w:sz w:val="22"/>
              <w:szCs w:val="22"/>
            </w:rPr>
            <w:t>1</w:t>
          </w:r>
          <w:r w:rsidRPr="00525FFB">
            <w:rPr>
              <w:rStyle w:val="PageNumber"/>
              <w:sz w:val="22"/>
              <w:szCs w:val="22"/>
            </w:rPr>
            <w:fldChar w:fldCharType="end"/>
          </w:r>
        </w:p>
      </w:tc>
    </w:tr>
  </w:tbl>
  <w:p w14:paraId="71FB8192" w14:textId="77777777" w:rsidR="00113C1B" w:rsidRPr="00113C1B" w:rsidRDefault="00113C1B" w:rsidP="00113C1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B17D" w14:textId="77777777" w:rsidR="0060451F" w:rsidRPr="00680D2D" w:rsidRDefault="0060451F" w:rsidP="00680D2D">
      <w:pPr>
        <w:pStyle w:val="Footer"/>
      </w:pPr>
    </w:p>
  </w:footnote>
  <w:footnote w:type="continuationSeparator" w:id="0">
    <w:p w14:paraId="1B2899CC" w14:textId="77777777" w:rsidR="0060451F" w:rsidRDefault="0060451F">
      <w:r>
        <w:continuationSeparator/>
      </w:r>
    </w:p>
  </w:footnote>
  <w:footnote w:id="1">
    <w:p w14:paraId="17A22498" w14:textId="1EF9B03C" w:rsidR="00960C98" w:rsidRPr="007A0641" w:rsidRDefault="00960C98" w:rsidP="00960C98">
      <w:pPr>
        <w:pStyle w:val="FootnoteText"/>
        <w:ind w:left="142" w:hanging="142"/>
        <w:rPr>
          <w:lang w:val="en-US"/>
        </w:rPr>
      </w:pPr>
      <w:r>
        <w:rPr>
          <w:rStyle w:val="FootnoteReference"/>
        </w:rPr>
        <w:footnoteRef/>
      </w:r>
      <w:r>
        <w:t xml:space="preserve"> </w:t>
      </w:r>
      <w:r>
        <w:tab/>
      </w:r>
      <w:r w:rsidRPr="007A0641">
        <w:t xml:space="preserve">Māori health providers have been identified as suppliers of health care services </w:t>
      </w:r>
      <w:r>
        <w:t xml:space="preserve">that are </w:t>
      </w:r>
      <w:r w:rsidRPr="007A0641">
        <w:t>owned and governed by</w:t>
      </w:r>
      <w:r w:rsidR="00F72E6E">
        <w:t xml:space="preserve"> </w:t>
      </w:r>
      <w:r w:rsidRPr="007A0641">
        <w:t>Māori</w:t>
      </w:r>
      <w:r>
        <w:t xml:space="preserve"> and</w:t>
      </w:r>
      <w:r w:rsidRPr="007A0641">
        <w:t xml:space="preserve"> </w:t>
      </w:r>
      <w:r>
        <w:t xml:space="preserve">are </w:t>
      </w:r>
      <w:r w:rsidRPr="007A0641">
        <w:t>providing health and disability services primarily but not exclusively for Māori.</w:t>
      </w:r>
      <w:r w:rsidRPr="007A0641">
        <w:rPr>
          <w:lang w:val="en-US"/>
        </w:rPr>
        <w:t xml:space="preserve"> </w:t>
      </w:r>
    </w:p>
  </w:footnote>
  <w:footnote w:id="2">
    <w:p w14:paraId="4262A7DF" w14:textId="6BEAA205" w:rsidR="00960C98" w:rsidRDefault="00960C98" w:rsidP="00960C98">
      <w:pPr>
        <w:pStyle w:val="FootnoteText"/>
        <w:ind w:left="142" w:hanging="142"/>
        <w:rPr>
          <w:rStyle w:val="Hyperlink"/>
        </w:rPr>
      </w:pPr>
      <w:r>
        <w:rPr>
          <w:rStyle w:val="FootnoteReference"/>
        </w:rPr>
        <w:footnoteRef/>
      </w:r>
      <w:r>
        <w:t xml:space="preserve"> </w:t>
      </w:r>
      <w:r>
        <w:tab/>
      </w:r>
      <w:r w:rsidRPr="007A0641">
        <w:t>Ministry of Health. 202</w:t>
      </w:r>
      <w:r>
        <w:t>4</w:t>
      </w:r>
      <w:r w:rsidRPr="007A0641">
        <w:t xml:space="preserve">. </w:t>
      </w:r>
      <w:r w:rsidRPr="007C7EF2">
        <w:rPr>
          <w:i/>
          <w:iCs/>
        </w:rPr>
        <w:t>Funding to Māori Health Providers 201</w:t>
      </w:r>
      <w:r>
        <w:rPr>
          <w:i/>
          <w:iCs/>
        </w:rPr>
        <w:t>8</w:t>
      </w:r>
      <w:r w:rsidRPr="007C7EF2">
        <w:rPr>
          <w:i/>
          <w:iCs/>
        </w:rPr>
        <w:t>/1</w:t>
      </w:r>
      <w:r>
        <w:rPr>
          <w:i/>
          <w:iCs/>
        </w:rPr>
        <w:t>9</w:t>
      </w:r>
      <w:r w:rsidRPr="007C7EF2">
        <w:rPr>
          <w:i/>
          <w:iCs/>
        </w:rPr>
        <w:t xml:space="preserve"> to 202</w:t>
      </w:r>
      <w:r>
        <w:rPr>
          <w:i/>
          <w:iCs/>
        </w:rPr>
        <w:t>2</w:t>
      </w:r>
      <w:r w:rsidRPr="007C7EF2">
        <w:rPr>
          <w:i/>
          <w:iCs/>
        </w:rPr>
        <w:t>/2</w:t>
      </w:r>
      <w:r>
        <w:rPr>
          <w:i/>
          <w:iCs/>
        </w:rPr>
        <w:t>3</w:t>
      </w:r>
      <w:r w:rsidRPr="007A0641">
        <w:t>. Wellington: Ministry of Health. URL:</w:t>
      </w:r>
      <w:r w:rsidRPr="001A64C4">
        <w:rPr>
          <w:b/>
          <w:bCs/>
          <w:color w:val="7F7F7F" w:themeColor="text1" w:themeTint="80"/>
        </w:rPr>
        <w:t xml:space="preserve"> </w:t>
      </w:r>
      <w:hyperlink r:id="rId1" w:history="1">
        <w:r w:rsidRPr="001A64C4">
          <w:rPr>
            <w:rStyle w:val="Hyperlink"/>
            <w:b/>
            <w:bCs/>
            <w:color w:val="7F7F7F" w:themeColor="text1" w:themeTint="80"/>
          </w:rPr>
          <w:t>health.govt.nz/publications/funding-to-maori-health-providers-201819-to-202223</w:t>
        </w:r>
      </w:hyperlink>
      <w:r w:rsidR="003C4DFB">
        <w:rPr>
          <w:rStyle w:val="Hyperlink"/>
        </w:rPr>
        <w:t xml:space="preserve"> (accessed 19 May 2025).</w:t>
      </w:r>
    </w:p>
    <w:p w14:paraId="09726386" w14:textId="77777777" w:rsidR="00960C98" w:rsidRPr="007A0641" w:rsidRDefault="00960C98" w:rsidP="00960C98">
      <w:pPr>
        <w:pStyle w:val="FootnoteText"/>
        <w:ind w:left="142" w:hanging="142"/>
        <w:rPr>
          <w:lang w:val="en-US"/>
        </w:rPr>
      </w:pPr>
    </w:p>
  </w:footnote>
  <w:footnote w:id="3">
    <w:p w14:paraId="5DCEE8E2" w14:textId="081FD0A9" w:rsidR="00960C98" w:rsidRDefault="00960C98" w:rsidP="00960C98">
      <w:pPr>
        <w:pStyle w:val="FootnoteText"/>
        <w:ind w:left="142" w:hanging="142"/>
      </w:pPr>
      <w:r>
        <w:rPr>
          <w:rStyle w:val="FootnoteReference"/>
        </w:rPr>
        <w:footnoteRef/>
      </w:r>
      <w:r>
        <w:t xml:space="preserve"> </w:t>
      </w:r>
      <w:r>
        <w:tab/>
      </w:r>
      <w:r w:rsidR="003159F9">
        <w:t>See ‘</w:t>
      </w:r>
      <w:r>
        <w:t xml:space="preserve">Purchase </w:t>
      </w:r>
      <w:r w:rsidR="003159F9">
        <w:t>u</w:t>
      </w:r>
      <w:r>
        <w:t xml:space="preserve">nit </w:t>
      </w:r>
      <w:r w:rsidR="003159F9">
        <w:t>c</w:t>
      </w:r>
      <w:r>
        <w:t>odes</w:t>
      </w:r>
      <w:r w:rsidR="003159F9">
        <w:t>’</w:t>
      </w:r>
      <w:r w:rsidR="00B81E88">
        <w:t xml:space="preserve"> on the Health New Zealand website: </w:t>
      </w:r>
      <w:hyperlink r:id="rId2" w:history="1">
        <w:r w:rsidR="00961839" w:rsidRPr="00394793">
          <w:rPr>
            <w:rStyle w:val="Hyperlink"/>
            <w:b/>
            <w:bCs/>
            <w:color w:val="7F7F7F" w:themeColor="text1" w:themeTint="80"/>
          </w:rPr>
          <w:t>tewhatuora.govt.nz/health-services-and-programmes/nationwide-service-framework-library/purchase-units</w:t>
        </w:r>
      </w:hyperlink>
      <w:r>
        <w:t xml:space="preserve"> </w:t>
      </w:r>
    </w:p>
  </w:footnote>
  <w:footnote w:id="4">
    <w:p w14:paraId="65C8FBE4" w14:textId="6CBC0CBB" w:rsidR="00960C98" w:rsidRDefault="00960C98" w:rsidP="00960C98">
      <w:pPr>
        <w:pStyle w:val="FootnoteText"/>
        <w:ind w:left="142" w:hanging="142"/>
      </w:pPr>
      <w:r>
        <w:rPr>
          <w:rStyle w:val="FootnoteReference"/>
        </w:rPr>
        <w:footnoteRef/>
      </w:r>
      <w:r>
        <w:t xml:space="preserve"> </w:t>
      </w:r>
      <w:r>
        <w:tab/>
      </w:r>
      <w:r w:rsidR="005E59AD">
        <w:t xml:space="preserve">See </w:t>
      </w:r>
      <w:r w:rsidR="00DF6719">
        <w:t>‘</w:t>
      </w:r>
      <w:r>
        <w:t xml:space="preserve">Purchase </w:t>
      </w:r>
      <w:r w:rsidR="00DF6719">
        <w:t>u</w:t>
      </w:r>
      <w:r>
        <w:t xml:space="preserve">nit </w:t>
      </w:r>
      <w:r w:rsidR="00DF6719">
        <w:t>c</w:t>
      </w:r>
      <w:r>
        <w:t>odes</w:t>
      </w:r>
      <w:r w:rsidR="007A29DA">
        <w:t>’</w:t>
      </w:r>
      <w:r w:rsidR="00DF6719">
        <w:t xml:space="preserve"> on the Health New Zealand website:</w:t>
      </w:r>
      <w:r>
        <w:t xml:space="preserve"> </w:t>
      </w:r>
      <w:hyperlink r:id="rId3" w:history="1">
        <w:r w:rsidR="00DF6719" w:rsidRPr="004D1F57">
          <w:rPr>
            <w:rStyle w:val="Hyperlink"/>
            <w:b/>
            <w:bCs/>
            <w:color w:val="7F7F7F" w:themeColor="text1" w:themeTint="80"/>
          </w:rPr>
          <w:t>tewhatuora.govt.nz/health-services-and-programmes/nationwide-service-framework-library/purchase-units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A36F" w14:textId="4E8A1878" w:rsidR="00EE6CE2" w:rsidRDefault="002065FF" w:rsidP="00BD22FC">
    <w:pPr>
      <w:pStyle w:val="Header"/>
      <w:spacing w:after="480"/>
    </w:pPr>
    <w:r>
      <w:rPr>
        <w:noProof/>
      </w:rPr>
      <w:drawing>
        <wp:anchor distT="0" distB="0" distL="114300" distR="114300" simplePos="0" relativeHeight="251659264" behindDoc="1" locked="0" layoutInCell="1" allowOverlap="1" wp14:anchorId="1A847BBA" wp14:editId="3C0565A3">
          <wp:simplePos x="0" y="0"/>
          <wp:positionH relativeFrom="column">
            <wp:posOffset>4766945</wp:posOffset>
          </wp:positionH>
          <wp:positionV relativeFrom="paragraph">
            <wp:posOffset>543560</wp:posOffset>
          </wp:positionV>
          <wp:extent cx="1210945" cy="572770"/>
          <wp:effectExtent l="0" t="0" r="0" b="0"/>
          <wp:wrapTight wrapText="bothSides">
            <wp:wrapPolygon edited="0">
              <wp:start x="340" y="0"/>
              <wp:lineTo x="340" y="15805"/>
              <wp:lineTo x="5437" y="19397"/>
              <wp:lineTo x="9175" y="20834"/>
              <wp:lineTo x="19369" y="20834"/>
              <wp:lineTo x="21068" y="13650"/>
              <wp:lineTo x="21068" y="0"/>
              <wp:lineTo x="340" y="0"/>
            </wp:wrapPolygon>
          </wp:wrapTight>
          <wp:docPr id="1277183745" name="Picture 127718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094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CBA7E37" wp14:editId="55075F52">
          <wp:simplePos x="0" y="0"/>
          <wp:positionH relativeFrom="page">
            <wp:posOffset>-30480</wp:posOffset>
          </wp:positionH>
          <wp:positionV relativeFrom="margin">
            <wp:posOffset>-142875</wp:posOffset>
          </wp:positionV>
          <wp:extent cx="5528310" cy="716280"/>
          <wp:effectExtent l="0" t="0" r="0" b="7620"/>
          <wp:wrapTight wrapText="bothSides">
            <wp:wrapPolygon edited="0">
              <wp:start x="0" y="0"/>
              <wp:lineTo x="0" y="21255"/>
              <wp:lineTo x="21511" y="21255"/>
              <wp:lineTo x="21511" y="0"/>
              <wp:lineTo x="0" y="0"/>
            </wp:wrapPolygon>
          </wp:wrapTight>
          <wp:docPr id="1438250162" name="Picture 1438250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r="26574"/>
                  <a:stretch/>
                </pic:blipFill>
                <pic:spPr bwMode="auto">
                  <a:xfrm>
                    <a:off x="0" y="0"/>
                    <a:ext cx="5528310"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893"/>
    <w:multiLevelType w:val="hybridMultilevel"/>
    <w:tmpl w:val="D18A4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39B6562"/>
    <w:multiLevelType w:val="hybridMultilevel"/>
    <w:tmpl w:val="3816223E"/>
    <w:lvl w:ilvl="0" w:tplc="72CEA2C0">
      <w:start w:val="1"/>
      <w:numFmt w:val="bullet"/>
      <w:pStyle w:val="TableBullet"/>
      <w:lvlText w:val=""/>
      <w:lvlJc w:val="left"/>
      <w:pPr>
        <w:ind w:left="360" w:hanging="360"/>
      </w:pPr>
      <w:rPr>
        <w:rFonts w:ascii="Symbol" w:hAnsi="Symbol" w:hint="default"/>
        <w:color w:val="auto"/>
        <w:sz w:val="16"/>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E1220AA"/>
    <w:multiLevelType w:val="multilevel"/>
    <w:tmpl w:val="D294F5A6"/>
    <w:lvl w:ilvl="0">
      <w:start w:val="1"/>
      <w:numFmt w:val="decimal"/>
      <w:lvlText w:val="%1"/>
      <w:lvlJc w:val="left"/>
      <w:pPr>
        <w:ind w:left="567" w:hanging="567"/>
      </w:pPr>
      <w:rPr>
        <w:rFonts w:hint="default"/>
      </w:rPr>
    </w:lvl>
    <w:lvl w:ilvl="1">
      <w:start w:val="1"/>
      <w:numFmt w:val="decimal"/>
      <w:pStyle w:val="Number"/>
      <w:lvlText w:val="%1.%2"/>
      <w:lvlJc w:val="left"/>
      <w:pPr>
        <w:ind w:left="567" w:hanging="567"/>
      </w:pPr>
      <w:rPr>
        <w:rFonts w:hint="default"/>
      </w:rPr>
    </w:lvl>
    <w:lvl w:ilvl="2">
      <w:start w:val="1"/>
      <w:numFmt w:val="lowerLetter"/>
      <w:pStyle w:val="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48A425F"/>
    <w:multiLevelType w:val="hybridMultilevel"/>
    <w:tmpl w:val="4D7ABEAE"/>
    <w:lvl w:ilvl="0" w:tplc="890AC848">
      <w:start w:val="1"/>
      <w:numFmt w:val="bullet"/>
      <w:pStyle w:val="Dash"/>
      <w:lvlText w:val="–"/>
      <w:lvlJc w:val="left"/>
      <w:pPr>
        <w:ind w:left="1080" w:hanging="360"/>
      </w:pPr>
      <w:rPr>
        <w:rFonts w:ascii="Courier New" w:hAnsi="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D2C9E"/>
    <w:multiLevelType w:val="singleLevel"/>
    <w:tmpl w:val="BCB8802A"/>
    <w:lvl w:ilvl="0">
      <w:start w:val="1"/>
      <w:numFmt w:val="bullet"/>
      <w:pStyle w:val="BoxBullet"/>
      <w:lvlText w:val=""/>
      <w:lvlJc w:val="left"/>
      <w:pPr>
        <w:tabs>
          <w:tab w:val="num" w:pos="360"/>
        </w:tabs>
        <w:ind w:left="284" w:hanging="284"/>
      </w:pPr>
      <w:rPr>
        <w:rFonts w:ascii="Symbol" w:hAnsi="Symbol" w:hint="default"/>
        <w:sz w:val="18"/>
      </w:rPr>
    </w:lvl>
  </w:abstractNum>
  <w:abstractNum w:abstractNumId="6" w15:restartNumberingAfterBreak="0">
    <w:nsid w:val="695E1A5D"/>
    <w:multiLevelType w:val="hybridMultilevel"/>
    <w:tmpl w:val="9410D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646304"/>
    <w:multiLevelType w:val="hybridMultilevel"/>
    <w:tmpl w:val="B5CAB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51617F6"/>
    <w:multiLevelType w:val="multilevel"/>
    <w:tmpl w:val="D294F5A6"/>
    <w:styleLink w:val="CurrentList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2451409">
    <w:abstractNumId w:val="4"/>
  </w:num>
  <w:num w:numId="2" w16cid:durableId="1092699474">
    <w:abstractNumId w:val="5"/>
  </w:num>
  <w:num w:numId="3" w16cid:durableId="869995658">
    <w:abstractNumId w:val="3"/>
  </w:num>
  <w:num w:numId="4" w16cid:durableId="1866095644">
    <w:abstractNumId w:val="1"/>
  </w:num>
  <w:num w:numId="5" w16cid:durableId="390881858">
    <w:abstractNumId w:val="2"/>
  </w:num>
  <w:num w:numId="6" w16cid:durableId="213391614">
    <w:abstractNumId w:val="7"/>
  </w:num>
  <w:num w:numId="7" w16cid:durableId="124080373">
    <w:abstractNumId w:val="0"/>
  </w:num>
  <w:num w:numId="8" w16cid:durableId="204409244">
    <w:abstractNumId w:val="6"/>
  </w:num>
  <w:num w:numId="9" w16cid:durableId="175794547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B7"/>
    <w:rsid w:val="000117D4"/>
    <w:rsid w:val="000123DF"/>
    <w:rsid w:val="00044384"/>
    <w:rsid w:val="00057483"/>
    <w:rsid w:val="00075ED0"/>
    <w:rsid w:val="00090184"/>
    <w:rsid w:val="00095852"/>
    <w:rsid w:val="000A6BCB"/>
    <w:rsid w:val="000B1E21"/>
    <w:rsid w:val="000B6957"/>
    <w:rsid w:val="000B6BD8"/>
    <w:rsid w:val="000C3F39"/>
    <w:rsid w:val="000C3FA7"/>
    <w:rsid w:val="000C68D3"/>
    <w:rsid w:val="000D0170"/>
    <w:rsid w:val="000E093C"/>
    <w:rsid w:val="000E4E05"/>
    <w:rsid w:val="000E5175"/>
    <w:rsid w:val="000F1B71"/>
    <w:rsid w:val="000F265B"/>
    <w:rsid w:val="000F7EA6"/>
    <w:rsid w:val="001009C3"/>
    <w:rsid w:val="00105DB9"/>
    <w:rsid w:val="00113C1B"/>
    <w:rsid w:val="00114008"/>
    <w:rsid w:val="001158C2"/>
    <w:rsid w:val="001175B4"/>
    <w:rsid w:val="0012142B"/>
    <w:rsid w:val="001227B0"/>
    <w:rsid w:val="00123376"/>
    <w:rsid w:val="00130CE3"/>
    <w:rsid w:val="001336C6"/>
    <w:rsid w:val="00135309"/>
    <w:rsid w:val="00137BE7"/>
    <w:rsid w:val="001424D0"/>
    <w:rsid w:val="00142C45"/>
    <w:rsid w:val="00145424"/>
    <w:rsid w:val="00145D5F"/>
    <w:rsid w:val="001705DC"/>
    <w:rsid w:val="0018777F"/>
    <w:rsid w:val="001925EF"/>
    <w:rsid w:val="001A0EBD"/>
    <w:rsid w:val="001A3A19"/>
    <w:rsid w:val="001A5ADF"/>
    <w:rsid w:val="001A64C4"/>
    <w:rsid w:val="001A67A6"/>
    <w:rsid w:val="001A7B4D"/>
    <w:rsid w:val="001A7FBC"/>
    <w:rsid w:val="001B546D"/>
    <w:rsid w:val="001D09D0"/>
    <w:rsid w:val="001D2D4F"/>
    <w:rsid w:val="001D74E6"/>
    <w:rsid w:val="001E1749"/>
    <w:rsid w:val="001F5811"/>
    <w:rsid w:val="002065FF"/>
    <w:rsid w:val="00206DC0"/>
    <w:rsid w:val="002222BC"/>
    <w:rsid w:val="002233D8"/>
    <w:rsid w:val="00240554"/>
    <w:rsid w:val="00242284"/>
    <w:rsid w:val="00246193"/>
    <w:rsid w:val="00251EEF"/>
    <w:rsid w:val="002542A3"/>
    <w:rsid w:val="00254ED0"/>
    <w:rsid w:val="00255D89"/>
    <w:rsid w:val="0026708A"/>
    <w:rsid w:val="00271166"/>
    <w:rsid w:val="00272F4E"/>
    <w:rsid w:val="00281EAA"/>
    <w:rsid w:val="00285375"/>
    <w:rsid w:val="0028738D"/>
    <w:rsid w:val="00296F98"/>
    <w:rsid w:val="002A1A6C"/>
    <w:rsid w:val="002A35E8"/>
    <w:rsid w:val="002A38BC"/>
    <w:rsid w:val="002B34DC"/>
    <w:rsid w:val="002C1F8F"/>
    <w:rsid w:val="002C3EA2"/>
    <w:rsid w:val="002D5CA6"/>
    <w:rsid w:val="002F5588"/>
    <w:rsid w:val="003005BD"/>
    <w:rsid w:val="003030F4"/>
    <w:rsid w:val="003046F0"/>
    <w:rsid w:val="00306307"/>
    <w:rsid w:val="00307CE5"/>
    <w:rsid w:val="0031520E"/>
    <w:rsid w:val="003156B0"/>
    <w:rsid w:val="003159F9"/>
    <w:rsid w:val="00324371"/>
    <w:rsid w:val="00334085"/>
    <w:rsid w:val="00343CC9"/>
    <w:rsid w:val="00351AC8"/>
    <w:rsid w:val="00356A45"/>
    <w:rsid w:val="003579BD"/>
    <w:rsid w:val="003632FB"/>
    <w:rsid w:val="00363CA9"/>
    <w:rsid w:val="00367836"/>
    <w:rsid w:val="00370161"/>
    <w:rsid w:val="0037123E"/>
    <w:rsid w:val="003717C9"/>
    <w:rsid w:val="003731B9"/>
    <w:rsid w:val="00373D8C"/>
    <w:rsid w:val="00373F1D"/>
    <w:rsid w:val="0037452C"/>
    <w:rsid w:val="00377C88"/>
    <w:rsid w:val="00377F02"/>
    <w:rsid w:val="0038143C"/>
    <w:rsid w:val="003828CA"/>
    <w:rsid w:val="00394793"/>
    <w:rsid w:val="003A0523"/>
    <w:rsid w:val="003A128B"/>
    <w:rsid w:val="003A21EA"/>
    <w:rsid w:val="003A32ED"/>
    <w:rsid w:val="003A779C"/>
    <w:rsid w:val="003A7904"/>
    <w:rsid w:val="003B145F"/>
    <w:rsid w:val="003B7FA2"/>
    <w:rsid w:val="003C4DFB"/>
    <w:rsid w:val="003D54ED"/>
    <w:rsid w:val="003E0003"/>
    <w:rsid w:val="003E6828"/>
    <w:rsid w:val="003F0969"/>
    <w:rsid w:val="003F33EE"/>
    <w:rsid w:val="003F471C"/>
    <w:rsid w:val="004014CB"/>
    <w:rsid w:val="0041467A"/>
    <w:rsid w:val="00414F76"/>
    <w:rsid w:val="004174CC"/>
    <w:rsid w:val="00423830"/>
    <w:rsid w:val="004378E8"/>
    <w:rsid w:val="00440BC8"/>
    <w:rsid w:val="00443649"/>
    <w:rsid w:val="0044399D"/>
    <w:rsid w:val="004440A2"/>
    <w:rsid w:val="00446F05"/>
    <w:rsid w:val="004518F6"/>
    <w:rsid w:val="004535A4"/>
    <w:rsid w:val="004615CD"/>
    <w:rsid w:val="00464F8E"/>
    <w:rsid w:val="00477783"/>
    <w:rsid w:val="004845E0"/>
    <w:rsid w:val="0048760A"/>
    <w:rsid w:val="00492913"/>
    <w:rsid w:val="00494E03"/>
    <w:rsid w:val="004A6CC1"/>
    <w:rsid w:val="004B28B7"/>
    <w:rsid w:val="004B368D"/>
    <w:rsid w:val="004B57F3"/>
    <w:rsid w:val="004D17ED"/>
    <w:rsid w:val="004D1F57"/>
    <w:rsid w:val="004E3982"/>
    <w:rsid w:val="004E420D"/>
    <w:rsid w:val="004E6C97"/>
    <w:rsid w:val="005132E5"/>
    <w:rsid w:val="005243E3"/>
    <w:rsid w:val="00525F48"/>
    <w:rsid w:val="00525FFB"/>
    <w:rsid w:val="005363DD"/>
    <w:rsid w:val="00545BA3"/>
    <w:rsid w:val="00546D2C"/>
    <w:rsid w:val="00554E9C"/>
    <w:rsid w:val="00555074"/>
    <w:rsid w:val="005559D9"/>
    <w:rsid w:val="00560222"/>
    <w:rsid w:val="00563001"/>
    <w:rsid w:val="00573472"/>
    <w:rsid w:val="00577711"/>
    <w:rsid w:val="00582EA7"/>
    <w:rsid w:val="0058606E"/>
    <w:rsid w:val="00587DF4"/>
    <w:rsid w:val="00590D07"/>
    <w:rsid w:val="005950A6"/>
    <w:rsid w:val="005958F2"/>
    <w:rsid w:val="00597F47"/>
    <w:rsid w:val="005B2223"/>
    <w:rsid w:val="005D3D35"/>
    <w:rsid w:val="005E2D49"/>
    <w:rsid w:val="005E44CE"/>
    <w:rsid w:val="005E59AD"/>
    <w:rsid w:val="005F139D"/>
    <w:rsid w:val="0060132F"/>
    <w:rsid w:val="0060451F"/>
    <w:rsid w:val="006140C0"/>
    <w:rsid w:val="00620375"/>
    <w:rsid w:val="00622810"/>
    <w:rsid w:val="0062291E"/>
    <w:rsid w:val="006306C9"/>
    <w:rsid w:val="0063296E"/>
    <w:rsid w:val="00633377"/>
    <w:rsid w:val="006339A0"/>
    <w:rsid w:val="00640014"/>
    <w:rsid w:val="00644953"/>
    <w:rsid w:val="006471C6"/>
    <w:rsid w:val="006544D3"/>
    <w:rsid w:val="00656C4B"/>
    <w:rsid w:val="00660619"/>
    <w:rsid w:val="00660E5F"/>
    <w:rsid w:val="00667857"/>
    <w:rsid w:val="00672B8B"/>
    <w:rsid w:val="00673303"/>
    <w:rsid w:val="00673BC3"/>
    <w:rsid w:val="006744E6"/>
    <w:rsid w:val="00676929"/>
    <w:rsid w:val="00680D2D"/>
    <w:rsid w:val="006819B0"/>
    <w:rsid w:val="00686753"/>
    <w:rsid w:val="0069614C"/>
    <w:rsid w:val="006A2250"/>
    <w:rsid w:val="006C1FB8"/>
    <w:rsid w:val="006C407C"/>
    <w:rsid w:val="006C583E"/>
    <w:rsid w:val="006D01FF"/>
    <w:rsid w:val="006D1FA2"/>
    <w:rsid w:val="006D2458"/>
    <w:rsid w:val="006E5A3D"/>
    <w:rsid w:val="006F074C"/>
    <w:rsid w:val="006F544C"/>
    <w:rsid w:val="00733BB3"/>
    <w:rsid w:val="00737F49"/>
    <w:rsid w:val="00740786"/>
    <w:rsid w:val="0074188F"/>
    <w:rsid w:val="00753388"/>
    <w:rsid w:val="00760E80"/>
    <w:rsid w:val="00761961"/>
    <w:rsid w:val="00766D1F"/>
    <w:rsid w:val="00771B0E"/>
    <w:rsid w:val="00781D30"/>
    <w:rsid w:val="00782BB8"/>
    <w:rsid w:val="00783974"/>
    <w:rsid w:val="00783D9C"/>
    <w:rsid w:val="00790152"/>
    <w:rsid w:val="00790BE7"/>
    <w:rsid w:val="007A1295"/>
    <w:rsid w:val="007A21D3"/>
    <w:rsid w:val="007A29DA"/>
    <w:rsid w:val="007B284E"/>
    <w:rsid w:val="007B45B9"/>
    <w:rsid w:val="007C3953"/>
    <w:rsid w:val="007D28E6"/>
    <w:rsid w:val="007D54FF"/>
    <w:rsid w:val="007E44CF"/>
    <w:rsid w:val="007E53A8"/>
    <w:rsid w:val="007E5F4D"/>
    <w:rsid w:val="007F366E"/>
    <w:rsid w:val="007F4CBC"/>
    <w:rsid w:val="00801FF3"/>
    <w:rsid w:val="0080616C"/>
    <w:rsid w:val="008067DF"/>
    <w:rsid w:val="00806993"/>
    <w:rsid w:val="0080749B"/>
    <w:rsid w:val="0081034D"/>
    <w:rsid w:val="008127C4"/>
    <w:rsid w:val="00813CF6"/>
    <w:rsid w:val="0081671E"/>
    <w:rsid w:val="00832071"/>
    <w:rsid w:val="008348B7"/>
    <w:rsid w:val="008357B6"/>
    <w:rsid w:val="00836F81"/>
    <w:rsid w:val="00842851"/>
    <w:rsid w:val="0084791E"/>
    <w:rsid w:val="0085124D"/>
    <w:rsid w:val="0086178A"/>
    <w:rsid w:val="008619D3"/>
    <w:rsid w:val="0086235A"/>
    <w:rsid w:val="00864FC7"/>
    <w:rsid w:val="00871DCD"/>
    <w:rsid w:val="00874284"/>
    <w:rsid w:val="00874CFF"/>
    <w:rsid w:val="00876FB8"/>
    <w:rsid w:val="008772CA"/>
    <w:rsid w:val="0087787E"/>
    <w:rsid w:val="00880183"/>
    <w:rsid w:val="00880305"/>
    <w:rsid w:val="008855A9"/>
    <w:rsid w:val="008911F1"/>
    <w:rsid w:val="008B5992"/>
    <w:rsid w:val="008B633D"/>
    <w:rsid w:val="008C6C9F"/>
    <w:rsid w:val="008D2C1F"/>
    <w:rsid w:val="008E18DB"/>
    <w:rsid w:val="008F2E4A"/>
    <w:rsid w:val="008F7A81"/>
    <w:rsid w:val="0090028B"/>
    <w:rsid w:val="00902F19"/>
    <w:rsid w:val="009126F6"/>
    <w:rsid w:val="00914BAC"/>
    <w:rsid w:val="00920A63"/>
    <w:rsid w:val="00923D37"/>
    <w:rsid w:val="00925481"/>
    <w:rsid w:val="0092659B"/>
    <w:rsid w:val="009401CC"/>
    <w:rsid w:val="0094065C"/>
    <w:rsid w:val="00942757"/>
    <w:rsid w:val="00946F08"/>
    <w:rsid w:val="00947E2E"/>
    <w:rsid w:val="0095076C"/>
    <w:rsid w:val="00952AF0"/>
    <w:rsid w:val="00953E5A"/>
    <w:rsid w:val="009602C6"/>
    <w:rsid w:val="00960C98"/>
    <w:rsid w:val="00961839"/>
    <w:rsid w:val="00973036"/>
    <w:rsid w:val="009842E4"/>
    <w:rsid w:val="009874FB"/>
    <w:rsid w:val="00993F56"/>
    <w:rsid w:val="009948F8"/>
    <w:rsid w:val="009A3D52"/>
    <w:rsid w:val="009B5859"/>
    <w:rsid w:val="009C39E2"/>
    <w:rsid w:val="009C5D77"/>
    <w:rsid w:val="009D1E3C"/>
    <w:rsid w:val="009E07A9"/>
    <w:rsid w:val="009F1222"/>
    <w:rsid w:val="009F1BFF"/>
    <w:rsid w:val="009F27AC"/>
    <w:rsid w:val="009F4949"/>
    <w:rsid w:val="009F4CBC"/>
    <w:rsid w:val="00A0032E"/>
    <w:rsid w:val="00A00DBD"/>
    <w:rsid w:val="00A05C6B"/>
    <w:rsid w:val="00A07CC4"/>
    <w:rsid w:val="00A14C1E"/>
    <w:rsid w:val="00A2337F"/>
    <w:rsid w:val="00A23EC5"/>
    <w:rsid w:val="00A27B28"/>
    <w:rsid w:val="00A31F67"/>
    <w:rsid w:val="00A35D73"/>
    <w:rsid w:val="00A3619A"/>
    <w:rsid w:val="00A401D7"/>
    <w:rsid w:val="00A41A77"/>
    <w:rsid w:val="00A655A6"/>
    <w:rsid w:val="00A7037D"/>
    <w:rsid w:val="00A71902"/>
    <w:rsid w:val="00A7460A"/>
    <w:rsid w:val="00A821D8"/>
    <w:rsid w:val="00A8585C"/>
    <w:rsid w:val="00A92321"/>
    <w:rsid w:val="00AA1306"/>
    <w:rsid w:val="00AA7466"/>
    <w:rsid w:val="00AB0789"/>
    <w:rsid w:val="00AB1FC9"/>
    <w:rsid w:val="00AD70F3"/>
    <w:rsid w:val="00AE0F53"/>
    <w:rsid w:val="00AE227E"/>
    <w:rsid w:val="00AE57D5"/>
    <w:rsid w:val="00AE710D"/>
    <w:rsid w:val="00AF78CC"/>
    <w:rsid w:val="00B102DF"/>
    <w:rsid w:val="00B21131"/>
    <w:rsid w:val="00B220C1"/>
    <w:rsid w:val="00B242C0"/>
    <w:rsid w:val="00B24A7F"/>
    <w:rsid w:val="00B30B70"/>
    <w:rsid w:val="00B341F9"/>
    <w:rsid w:val="00B37B98"/>
    <w:rsid w:val="00B52D24"/>
    <w:rsid w:val="00B530A4"/>
    <w:rsid w:val="00B57C49"/>
    <w:rsid w:val="00B61631"/>
    <w:rsid w:val="00B65B0A"/>
    <w:rsid w:val="00B7079A"/>
    <w:rsid w:val="00B70D1A"/>
    <w:rsid w:val="00B75827"/>
    <w:rsid w:val="00B75C16"/>
    <w:rsid w:val="00B81E88"/>
    <w:rsid w:val="00B86FF2"/>
    <w:rsid w:val="00B92AC6"/>
    <w:rsid w:val="00B94CCA"/>
    <w:rsid w:val="00B958CC"/>
    <w:rsid w:val="00B96CEA"/>
    <w:rsid w:val="00BA4BCE"/>
    <w:rsid w:val="00BB5639"/>
    <w:rsid w:val="00BC2FB8"/>
    <w:rsid w:val="00BC4B9D"/>
    <w:rsid w:val="00BC6094"/>
    <w:rsid w:val="00BC61BF"/>
    <w:rsid w:val="00BD22FC"/>
    <w:rsid w:val="00BD23EA"/>
    <w:rsid w:val="00BD54E0"/>
    <w:rsid w:val="00BD711E"/>
    <w:rsid w:val="00BE3BEA"/>
    <w:rsid w:val="00BE5D75"/>
    <w:rsid w:val="00BF23CB"/>
    <w:rsid w:val="00C05555"/>
    <w:rsid w:val="00C07E3F"/>
    <w:rsid w:val="00C1042F"/>
    <w:rsid w:val="00C169F3"/>
    <w:rsid w:val="00C2079D"/>
    <w:rsid w:val="00C25485"/>
    <w:rsid w:val="00C260A1"/>
    <w:rsid w:val="00C32E23"/>
    <w:rsid w:val="00C34608"/>
    <w:rsid w:val="00C37086"/>
    <w:rsid w:val="00C44CE3"/>
    <w:rsid w:val="00C5449C"/>
    <w:rsid w:val="00C60C5C"/>
    <w:rsid w:val="00C63124"/>
    <w:rsid w:val="00C67A06"/>
    <w:rsid w:val="00C8457A"/>
    <w:rsid w:val="00C903AA"/>
    <w:rsid w:val="00CA2A9E"/>
    <w:rsid w:val="00CA365E"/>
    <w:rsid w:val="00CB6E4F"/>
    <w:rsid w:val="00CC140B"/>
    <w:rsid w:val="00CC3C38"/>
    <w:rsid w:val="00CD373C"/>
    <w:rsid w:val="00CD6D75"/>
    <w:rsid w:val="00CE636E"/>
    <w:rsid w:val="00CE689C"/>
    <w:rsid w:val="00CE689F"/>
    <w:rsid w:val="00CF580E"/>
    <w:rsid w:val="00CF7EBD"/>
    <w:rsid w:val="00D0569E"/>
    <w:rsid w:val="00D1061D"/>
    <w:rsid w:val="00D20C0C"/>
    <w:rsid w:val="00D24A2A"/>
    <w:rsid w:val="00D3063B"/>
    <w:rsid w:val="00D307BA"/>
    <w:rsid w:val="00D30984"/>
    <w:rsid w:val="00D36191"/>
    <w:rsid w:val="00D40578"/>
    <w:rsid w:val="00D518A4"/>
    <w:rsid w:val="00D52304"/>
    <w:rsid w:val="00D532EE"/>
    <w:rsid w:val="00D56D8D"/>
    <w:rsid w:val="00D67409"/>
    <w:rsid w:val="00D67D08"/>
    <w:rsid w:val="00D710D5"/>
    <w:rsid w:val="00D723A2"/>
    <w:rsid w:val="00D738F0"/>
    <w:rsid w:val="00D76A3D"/>
    <w:rsid w:val="00D77A3F"/>
    <w:rsid w:val="00D81249"/>
    <w:rsid w:val="00D84835"/>
    <w:rsid w:val="00D905D2"/>
    <w:rsid w:val="00D96F46"/>
    <w:rsid w:val="00DA050F"/>
    <w:rsid w:val="00DA12D6"/>
    <w:rsid w:val="00DA1DDB"/>
    <w:rsid w:val="00DA1F61"/>
    <w:rsid w:val="00DA28EE"/>
    <w:rsid w:val="00DA30E7"/>
    <w:rsid w:val="00DA5318"/>
    <w:rsid w:val="00DA56D5"/>
    <w:rsid w:val="00DD2C28"/>
    <w:rsid w:val="00DD748F"/>
    <w:rsid w:val="00DE5ADA"/>
    <w:rsid w:val="00DF0496"/>
    <w:rsid w:val="00DF2727"/>
    <w:rsid w:val="00DF6719"/>
    <w:rsid w:val="00E062F3"/>
    <w:rsid w:val="00E158A8"/>
    <w:rsid w:val="00E2207D"/>
    <w:rsid w:val="00E2772A"/>
    <w:rsid w:val="00E27894"/>
    <w:rsid w:val="00E27F17"/>
    <w:rsid w:val="00E362D1"/>
    <w:rsid w:val="00E36C69"/>
    <w:rsid w:val="00E40493"/>
    <w:rsid w:val="00E43A89"/>
    <w:rsid w:val="00E44733"/>
    <w:rsid w:val="00E5476D"/>
    <w:rsid w:val="00E547BB"/>
    <w:rsid w:val="00E54AB1"/>
    <w:rsid w:val="00E6667B"/>
    <w:rsid w:val="00E81103"/>
    <w:rsid w:val="00E82A97"/>
    <w:rsid w:val="00E92CBA"/>
    <w:rsid w:val="00E93AE4"/>
    <w:rsid w:val="00E960C8"/>
    <w:rsid w:val="00EA5579"/>
    <w:rsid w:val="00EA595C"/>
    <w:rsid w:val="00EB1603"/>
    <w:rsid w:val="00EB1B10"/>
    <w:rsid w:val="00EB461E"/>
    <w:rsid w:val="00ED15B8"/>
    <w:rsid w:val="00ED414F"/>
    <w:rsid w:val="00EE1FAA"/>
    <w:rsid w:val="00EE6CE2"/>
    <w:rsid w:val="00EF1CA8"/>
    <w:rsid w:val="00EF20E5"/>
    <w:rsid w:val="00EF3820"/>
    <w:rsid w:val="00F014E3"/>
    <w:rsid w:val="00F06432"/>
    <w:rsid w:val="00F11884"/>
    <w:rsid w:val="00F27050"/>
    <w:rsid w:val="00F270ED"/>
    <w:rsid w:val="00F309AE"/>
    <w:rsid w:val="00F36D1B"/>
    <w:rsid w:val="00F41F04"/>
    <w:rsid w:val="00F44338"/>
    <w:rsid w:val="00F45052"/>
    <w:rsid w:val="00F57118"/>
    <w:rsid w:val="00F612A9"/>
    <w:rsid w:val="00F6682D"/>
    <w:rsid w:val="00F72E6E"/>
    <w:rsid w:val="00F74042"/>
    <w:rsid w:val="00F75AA1"/>
    <w:rsid w:val="00F824C7"/>
    <w:rsid w:val="00F9005E"/>
    <w:rsid w:val="00FA5B0D"/>
    <w:rsid w:val="00FA6AD2"/>
    <w:rsid w:val="00FB6749"/>
    <w:rsid w:val="00FC3B66"/>
    <w:rsid w:val="00FC4D37"/>
    <w:rsid w:val="00FE363D"/>
    <w:rsid w:val="00FE54F2"/>
    <w:rsid w:val="00FF2719"/>
    <w:rsid w:val="00FF379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77DB76D3"/>
  <w15:docId w15:val="{8A54EDF4-5209-4A08-8154-30964DE7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95"/>
    <w:pPr>
      <w:spacing w:before="160" w:line="264" w:lineRule="auto"/>
    </w:pPr>
    <w:rPr>
      <w:rFonts w:ascii="Segoe UI" w:hAnsi="Segoe UI"/>
      <w:color w:val="000000" w:themeColor="text1"/>
      <w:sz w:val="21"/>
      <w:szCs w:val="24"/>
      <w:lang w:eastAsia="en-US"/>
    </w:rPr>
  </w:style>
  <w:style w:type="paragraph" w:styleId="Heading1">
    <w:name w:val="heading 1"/>
    <w:basedOn w:val="Normal"/>
    <w:next w:val="Normal"/>
    <w:link w:val="Heading1Char"/>
    <w:uiPriority w:val="9"/>
    <w:qFormat/>
    <w:rsid w:val="003A32ED"/>
    <w:pPr>
      <w:keepNext/>
      <w:spacing w:before="480" w:after="80"/>
      <w:outlineLvl w:val="0"/>
    </w:pPr>
    <w:rPr>
      <w:rFonts w:cs="Arial"/>
      <w:b/>
      <w:bCs/>
      <w:sz w:val="28"/>
      <w:szCs w:val="48"/>
    </w:rPr>
  </w:style>
  <w:style w:type="paragraph" w:styleId="Heading2">
    <w:name w:val="heading 2"/>
    <w:basedOn w:val="Normal"/>
    <w:next w:val="Normal"/>
    <w:link w:val="Heading2Char"/>
    <w:uiPriority w:val="1"/>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nhideWhenUsed/>
    <w:qFormat/>
    <w:rsid w:val="00EE6CE2"/>
    <w:pPr>
      <w:keepNext/>
      <w:spacing w:before="120" w:after="12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6FB8"/>
    <w:rPr>
      <w:color w:val="auto"/>
      <w:u w:val="none"/>
    </w:rPr>
  </w:style>
  <w:style w:type="paragraph" w:styleId="FootnoteText">
    <w:name w:val="footnote text"/>
    <w:basedOn w:val="Normal"/>
    <w:link w:val="FootnoteTextChar"/>
    <w:uiPriority w:val="99"/>
    <w:semiHidden/>
    <w:rsid w:val="00660619"/>
    <w:pPr>
      <w:spacing w:before="60" w:line="228" w:lineRule="auto"/>
      <w:ind w:left="284" w:hanging="284"/>
    </w:pPr>
    <w:rPr>
      <w:sz w:val="17"/>
      <w:szCs w:val="20"/>
    </w:rPr>
  </w:style>
  <w:style w:type="character" w:styleId="FootnoteReference">
    <w:name w:val="footnote reference"/>
    <w:uiPriority w:val="99"/>
    <w:semiHidden/>
    <w:rsid w:val="00240554"/>
    <w:rPr>
      <w:vertAlign w:val="superscript"/>
    </w:rPr>
  </w:style>
  <w:style w:type="paragraph" w:styleId="Header">
    <w:name w:val="header"/>
    <w:basedOn w:val="Normal"/>
    <w:link w:val="HeaderChar"/>
    <w:uiPriority w:val="99"/>
    <w:rsid w:val="0074188F"/>
  </w:style>
  <w:style w:type="paragraph" w:styleId="Footer">
    <w:name w:val="footer"/>
    <w:basedOn w:val="Normal"/>
    <w:link w:val="FooterChar"/>
    <w:qFormat/>
    <w:rsid w:val="0092659B"/>
    <w:pPr>
      <w:tabs>
        <w:tab w:val="right" w:pos="8647"/>
        <w:tab w:val="right" w:pos="9356"/>
      </w:tabs>
    </w:pPr>
    <w:rPr>
      <w:sz w:val="20"/>
    </w:rPr>
  </w:style>
  <w:style w:type="table" w:styleId="TableGrid">
    <w:name w:val="Table Grid"/>
    <w:basedOn w:val="TableNormal"/>
    <w:uiPriority w:val="39"/>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hAnsi="Arial"/>
      <w:sz w:val="18"/>
      <w:szCs w:val="22"/>
      <w:lang w:eastAsia="en-GB"/>
    </w:rPr>
  </w:style>
  <w:style w:type="paragraph" w:customStyle="1" w:styleId="Bullet">
    <w:name w:val="Bullet"/>
    <w:basedOn w:val="Normal"/>
    <w:link w:val="BulletChar"/>
    <w:qFormat/>
    <w:rsid w:val="003A32ED"/>
    <w:pPr>
      <w:numPr>
        <w:numId w:val="1"/>
      </w:numPr>
      <w:tabs>
        <w:tab w:val="clear" w:pos="284"/>
        <w:tab w:val="left" w:pos="567"/>
      </w:tabs>
      <w:spacing w:before="90"/>
      <w:ind w:left="567" w:hanging="567"/>
    </w:pPr>
  </w:style>
  <w:style w:type="character" w:styleId="PageNumber">
    <w:name w:val="page number"/>
    <w:rsid w:val="00525FFB"/>
    <w:rPr>
      <w:rFonts w:ascii="Segoe UI" w:hAnsi="Segoe UI"/>
      <w:b/>
      <w:color w:val="auto"/>
      <w:sz w:val="20"/>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qFormat/>
    <w:rsid w:val="007A1295"/>
    <w:pPr>
      <w:spacing w:after="120"/>
    </w:pPr>
    <w:rPr>
      <w:sz w:val="18"/>
    </w:rPr>
  </w:style>
  <w:style w:type="paragraph" w:customStyle="1" w:styleId="References">
    <w:name w:val="References"/>
    <w:basedOn w:val="Normal"/>
    <w:rsid w:val="000D0170"/>
    <w:pPr>
      <w:spacing w:after="120"/>
    </w:pPr>
    <w:rPr>
      <w:sz w:val="18"/>
    </w:rPr>
  </w:style>
  <w:style w:type="paragraph" w:customStyle="1" w:styleId="Number">
    <w:name w:val="Number"/>
    <w:basedOn w:val="Normal"/>
    <w:qFormat/>
    <w:rsid w:val="00A401D7"/>
    <w:pPr>
      <w:numPr>
        <w:ilvl w:val="1"/>
        <w:numId w:val="5"/>
      </w:numPr>
      <w:spacing w:before="180"/>
    </w:pPr>
  </w:style>
  <w:style w:type="paragraph" w:customStyle="1" w:styleId="Letter">
    <w:name w:val="Letter"/>
    <w:basedOn w:val="Normal"/>
    <w:qFormat/>
    <w:rsid w:val="00A401D7"/>
    <w:pPr>
      <w:numPr>
        <w:ilvl w:val="2"/>
        <w:numId w:val="5"/>
      </w:numPr>
      <w:spacing w:before="90"/>
    </w:p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ind w:left="284" w:right="284"/>
    </w:pPr>
    <w:rPr>
      <w:b/>
      <w:sz w:val="28"/>
      <w:szCs w:val="20"/>
      <w:lang w:eastAsia="en-GB"/>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ind w:left="567" w:right="284" w:hanging="283"/>
    </w:pPr>
    <w:rPr>
      <w:sz w:val="22"/>
      <w:szCs w:val="20"/>
      <w:lang w:eastAsia="en-GB"/>
    </w:rPr>
  </w:style>
  <w:style w:type="character" w:customStyle="1" w:styleId="BulletChar">
    <w:name w:val="Bullet Char"/>
    <w:link w:val="Bullet"/>
    <w:locked/>
    <w:rsid w:val="003A32ED"/>
    <w:rPr>
      <w:rFonts w:ascii="Segoe UI" w:hAnsi="Segoe UI"/>
      <w:color w:val="000000" w:themeColor="text1"/>
      <w:sz w:val="21"/>
      <w:szCs w:val="24"/>
      <w:lang w:eastAsia="en-US"/>
    </w:rPr>
  </w:style>
  <w:style w:type="character" w:customStyle="1" w:styleId="Heading4Char">
    <w:name w:val="Heading 4 Char"/>
    <w:basedOn w:val="DefaultParagraphFont"/>
    <w:link w:val="Heading4"/>
    <w:rsid w:val="00EE6CE2"/>
    <w:rPr>
      <w:rFonts w:ascii="Georgia" w:eastAsiaTheme="majorEastAsia" w:hAnsi="Georgia" w:cstheme="majorBidi"/>
      <w:b/>
      <w:bCs/>
      <w:iCs/>
      <w:sz w:val="24"/>
      <w:szCs w:val="24"/>
      <w:lang w:eastAsia="en-US"/>
    </w:rPr>
  </w:style>
  <w:style w:type="character" w:customStyle="1" w:styleId="FootnoteTextChar">
    <w:name w:val="Footnote Text Char"/>
    <w:link w:val="FootnoteText"/>
    <w:uiPriority w:val="99"/>
    <w:semiHidden/>
    <w:rsid w:val="00660619"/>
    <w:rPr>
      <w:rFonts w:ascii="Segoe UI" w:hAnsi="Segoe UI"/>
      <w:sz w:val="17"/>
      <w:lang w:eastAsia="en-US"/>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lang w:eastAsia="en-AU"/>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lang w:eastAsia="en-AU"/>
    </w:rPr>
  </w:style>
  <w:style w:type="paragraph" w:customStyle="1" w:styleId="Dash">
    <w:name w:val="Dash"/>
    <w:basedOn w:val="Normal"/>
    <w:link w:val="DashChar"/>
    <w:qFormat/>
    <w:rsid w:val="00EE6CE2"/>
    <w:pPr>
      <w:numPr>
        <w:numId w:val="3"/>
      </w:numPr>
      <w:spacing w:before="60"/>
      <w:ind w:left="568" w:hanging="284"/>
    </w:pPr>
    <w:rPr>
      <w:rFonts w:eastAsia="Calibri" w:cs="Arial Mäori"/>
      <w:szCs w:val="22"/>
      <w:lang w:eastAsia="en-NZ"/>
    </w:rPr>
  </w:style>
  <w:style w:type="character" w:customStyle="1" w:styleId="DashChar">
    <w:name w:val="Dash Char"/>
    <w:link w:val="Dash"/>
    <w:rsid w:val="00EE6CE2"/>
    <w:rPr>
      <w:rFonts w:ascii="Segoe UI" w:eastAsia="Calibri" w:hAnsi="Segoe UI" w:cs="Arial Mäori"/>
      <w:sz w:val="21"/>
      <w:szCs w:val="22"/>
    </w:rPr>
  </w:style>
  <w:style w:type="paragraph" w:customStyle="1" w:styleId="Box">
    <w:name w:val="Box"/>
    <w:basedOn w:val="BoxHeading"/>
    <w:link w:val="BoxChar"/>
    <w:qFormat/>
    <w:rsid w:val="00EB461E"/>
    <w:pPr>
      <w:spacing w:line="276" w:lineRule="auto"/>
    </w:pPr>
    <w:rPr>
      <w:rFonts w:eastAsia="Calibri"/>
      <w:b w:val="0"/>
      <w:sz w:val="22"/>
      <w:szCs w:val="22"/>
      <w:lang w:eastAsia="en-NZ"/>
    </w:rPr>
  </w:style>
  <w:style w:type="character" w:customStyle="1" w:styleId="BoxChar">
    <w:name w:val="Box Char"/>
    <w:link w:val="Box"/>
    <w:rsid w:val="00EB461E"/>
    <w:rPr>
      <w:rFonts w:ascii="Georgia" w:eastAsia="Calibri" w:hAnsi="Georgia"/>
      <w:sz w:val="22"/>
      <w:szCs w:val="22"/>
    </w:rPr>
  </w:style>
  <w:style w:type="character" w:customStyle="1" w:styleId="NoteChar">
    <w:name w:val="Note Char"/>
    <w:link w:val="Note"/>
    <w:rsid w:val="00EB461E"/>
    <w:rPr>
      <w:rFonts w:ascii="Arial" w:hAnsi="Arial"/>
      <w:sz w:val="18"/>
      <w:szCs w:val="22"/>
      <w:lang w:eastAsia="en-GB"/>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242284"/>
    <w:pPr>
      <w:spacing w:after="80" w:line="240" w:lineRule="auto"/>
    </w:pPr>
    <w:rPr>
      <w:rFonts w:eastAsiaTheme="majorEastAsia" w:cstheme="majorBidi"/>
      <w:b/>
      <w:sz w:val="44"/>
      <w:szCs w:val="52"/>
    </w:rPr>
  </w:style>
  <w:style w:type="character" w:customStyle="1" w:styleId="TitleChar">
    <w:name w:val="Title Char"/>
    <w:basedOn w:val="DefaultParagraphFont"/>
    <w:link w:val="Title"/>
    <w:uiPriority w:val="10"/>
    <w:rsid w:val="00242284"/>
    <w:rPr>
      <w:rFonts w:ascii="Segoe UI" w:eastAsiaTheme="majorEastAsia" w:hAnsi="Segoe UI" w:cstheme="majorBidi"/>
      <w:b/>
      <w:sz w:val="44"/>
      <w:szCs w:val="52"/>
      <w:lang w:eastAsia="en-US"/>
    </w:rPr>
  </w:style>
  <w:style w:type="paragraph" w:customStyle="1" w:styleId="RectoFooter">
    <w:name w:val="Recto Footer"/>
    <w:basedOn w:val="Footer"/>
    <w:rsid w:val="00525FFB"/>
    <w:pPr>
      <w:tabs>
        <w:tab w:val="clear" w:pos="8647"/>
        <w:tab w:val="clear" w:pos="9356"/>
      </w:tabs>
      <w:spacing w:line="240" w:lineRule="auto"/>
      <w:jc w:val="right"/>
    </w:pPr>
    <w:rPr>
      <w:caps/>
      <w:sz w:val="15"/>
      <w:szCs w:val="20"/>
      <w:lang w:eastAsia="en-GB"/>
    </w:rPr>
  </w:style>
  <w:style w:type="character" w:customStyle="1" w:styleId="Heading2Char">
    <w:name w:val="Heading 2 Char"/>
    <w:basedOn w:val="DefaultParagraphFont"/>
    <w:link w:val="Heading2"/>
    <w:uiPriority w:val="9"/>
    <w:rsid w:val="00242284"/>
    <w:rPr>
      <w:rFonts w:ascii="Segoe UI" w:hAnsi="Segoe UI" w:cs="Arial"/>
      <w:b/>
      <w:bCs/>
      <w:iCs/>
      <w:sz w:val="36"/>
      <w:szCs w:val="28"/>
      <w:lang w:eastAsia="en-US"/>
    </w:rPr>
  </w:style>
  <w:style w:type="character" w:customStyle="1" w:styleId="FooterChar">
    <w:name w:val="Footer Char"/>
    <w:basedOn w:val="DefaultParagraphFont"/>
    <w:link w:val="Footer"/>
    <w:rsid w:val="00242284"/>
    <w:rPr>
      <w:rFonts w:ascii="Segoe UI" w:hAnsi="Segoe UI"/>
      <w:szCs w:val="24"/>
      <w:lang w:eastAsia="en-US"/>
    </w:rPr>
  </w:style>
  <w:style w:type="character" w:customStyle="1" w:styleId="HeaderChar">
    <w:name w:val="Header Char"/>
    <w:basedOn w:val="DefaultParagraphFont"/>
    <w:link w:val="Header"/>
    <w:uiPriority w:val="99"/>
    <w:rsid w:val="00242284"/>
    <w:rPr>
      <w:rFonts w:ascii="Segoe UI" w:hAnsi="Segoe UI"/>
      <w:sz w:val="21"/>
      <w:szCs w:val="24"/>
      <w:lang w:eastAsia="en-US"/>
    </w:rPr>
  </w:style>
  <w:style w:type="character" w:customStyle="1" w:styleId="Heading1Char">
    <w:name w:val="Heading 1 Char"/>
    <w:basedOn w:val="DefaultParagraphFont"/>
    <w:link w:val="Heading1"/>
    <w:uiPriority w:val="9"/>
    <w:rsid w:val="003A32ED"/>
    <w:rPr>
      <w:rFonts w:ascii="Segoe UI" w:hAnsi="Segoe UI" w:cs="Arial"/>
      <w:b/>
      <w:bCs/>
      <w:color w:val="000000" w:themeColor="text1"/>
      <w:sz w:val="28"/>
      <w:szCs w:val="48"/>
      <w:lang w:eastAsia="en-US"/>
    </w:rPr>
  </w:style>
  <w:style w:type="paragraph" w:styleId="Revision">
    <w:name w:val="Revision"/>
    <w:hidden/>
    <w:uiPriority w:val="99"/>
    <w:semiHidden/>
    <w:rsid w:val="00242284"/>
    <w:rPr>
      <w:rFonts w:ascii="Calibri" w:eastAsia="Calibri" w:hAnsi="Calibri"/>
      <w:sz w:val="22"/>
      <w:szCs w:val="22"/>
      <w:lang w:eastAsia="en-US"/>
    </w:rPr>
  </w:style>
  <w:style w:type="paragraph" w:customStyle="1" w:styleId="TableParagraph">
    <w:name w:val="Table Paragraph"/>
    <w:basedOn w:val="Normal"/>
    <w:uiPriority w:val="1"/>
    <w:qFormat/>
    <w:rsid w:val="00960C98"/>
    <w:pPr>
      <w:widowControl w:val="0"/>
      <w:autoSpaceDE w:val="0"/>
      <w:autoSpaceDN w:val="0"/>
      <w:spacing w:before="76" w:line="240" w:lineRule="auto"/>
      <w:ind w:right="72"/>
      <w:jc w:val="right"/>
    </w:pPr>
    <w:rPr>
      <w:rFonts w:ascii="Lucida Sans Unicode" w:eastAsia="Lucida Sans Unicode" w:hAnsi="Lucida Sans Unicode" w:cs="Lucida Sans Unicode"/>
      <w:sz w:val="22"/>
      <w:szCs w:val="22"/>
      <w:lang w:val="en-US"/>
    </w:rPr>
  </w:style>
  <w:style w:type="paragraph" w:styleId="ListParagraph">
    <w:name w:val="List Paragraph"/>
    <w:basedOn w:val="Normal"/>
    <w:uiPriority w:val="34"/>
    <w:qFormat/>
    <w:rsid w:val="00960C98"/>
    <w:pPr>
      <w:ind w:left="720"/>
      <w:contextualSpacing/>
    </w:pPr>
  </w:style>
  <w:style w:type="numbering" w:customStyle="1" w:styleId="CurrentList1">
    <w:name w:val="Current List1"/>
    <w:uiPriority w:val="99"/>
    <w:rsid w:val="00960C98"/>
    <w:pPr>
      <w:numPr>
        <w:numId w:val="9"/>
      </w:numPr>
    </w:pPr>
  </w:style>
  <w:style w:type="character" w:styleId="CommentReference">
    <w:name w:val="annotation reference"/>
    <w:basedOn w:val="DefaultParagraphFont"/>
    <w:uiPriority w:val="99"/>
    <w:semiHidden/>
    <w:unhideWhenUsed/>
    <w:rsid w:val="00573472"/>
    <w:rPr>
      <w:sz w:val="16"/>
      <w:szCs w:val="16"/>
    </w:rPr>
  </w:style>
  <w:style w:type="paragraph" w:styleId="CommentText">
    <w:name w:val="annotation text"/>
    <w:basedOn w:val="Normal"/>
    <w:link w:val="CommentTextChar"/>
    <w:uiPriority w:val="99"/>
    <w:unhideWhenUsed/>
    <w:rsid w:val="00573472"/>
    <w:pPr>
      <w:spacing w:line="240" w:lineRule="auto"/>
    </w:pPr>
    <w:rPr>
      <w:sz w:val="20"/>
      <w:szCs w:val="20"/>
    </w:rPr>
  </w:style>
  <w:style w:type="character" w:customStyle="1" w:styleId="CommentTextChar">
    <w:name w:val="Comment Text Char"/>
    <w:basedOn w:val="DefaultParagraphFont"/>
    <w:link w:val="CommentText"/>
    <w:uiPriority w:val="99"/>
    <w:rsid w:val="00573472"/>
    <w:rPr>
      <w:rFonts w:ascii="Segoe UI" w:hAnsi="Segoe UI"/>
      <w:color w:val="000000" w:themeColor="text1"/>
      <w:lang w:eastAsia="en-US"/>
    </w:rPr>
  </w:style>
  <w:style w:type="paragraph" w:styleId="CommentSubject">
    <w:name w:val="annotation subject"/>
    <w:basedOn w:val="CommentText"/>
    <w:next w:val="CommentText"/>
    <w:link w:val="CommentSubjectChar"/>
    <w:uiPriority w:val="99"/>
    <w:semiHidden/>
    <w:unhideWhenUsed/>
    <w:rsid w:val="00573472"/>
    <w:rPr>
      <w:b/>
      <w:bCs/>
    </w:rPr>
  </w:style>
  <w:style w:type="character" w:customStyle="1" w:styleId="CommentSubjectChar">
    <w:name w:val="Comment Subject Char"/>
    <w:basedOn w:val="CommentTextChar"/>
    <w:link w:val="CommentSubject"/>
    <w:uiPriority w:val="99"/>
    <w:semiHidden/>
    <w:rsid w:val="00573472"/>
    <w:rPr>
      <w:rFonts w:ascii="Segoe UI" w:hAnsi="Segoe UI"/>
      <w:b/>
      <w:bCs/>
      <w:color w:val="000000" w:themeColor="text1"/>
      <w:lang w:eastAsia="en-US"/>
    </w:rPr>
  </w:style>
  <w:style w:type="table" w:styleId="TableGridLight">
    <w:name w:val="Grid Table Light"/>
    <w:basedOn w:val="TableNormal"/>
    <w:uiPriority w:val="40"/>
    <w:rsid w:val="000443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ewhatuora.govt.nz/health-services-and-programmes/nationwide-service-framework-library/purchase-units" TargetMode="External"/><Relationship Id="rId2" Type="http://schemas.openxmlformats.org/officeDocument/2006/relationships/hyperlink" Target="https://www.tewhatuora.govt.nz/health-services-and-programmes/nationwide-service-framework-library/purchase-units" TargetMode="External"/><Relationship Id="rId1" Type="http://schemas.openxmlformats.org/officeDocument/2006/relationships/hyperlink" Target="http://www.health.govt.nz/publications/funding-to-maori-health-providers-201819-to-20222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Factsheet%20template.dotx" TargetMode="External"/></Relationships>
</file>

<file path=word/theme/theme1.xml><?xml version="1.0" encoding="utf-8"?>
<a:theme xmlns:a="http://schemas.openxmlformats.org/drawingml/2006/main" name="Office Theme">
  <a:themeElements>
    <a:clrScheme name="Ministry 20-6-24">
      <a:dk1>
        <a:sysClr val="windowText" lastClr="000000"/>
      </a:dk1>
      <a:lt1>
        <a:sysClr val="window" lastClr="FFFFFF"/>
      </a:lt1>
      <a:dk2>
        <a:srgbClr val="22305D"/>
      </a:dk2>
      <a:lt2>
        <a:srgbClr val="C6CFEA"/>
      </a:lt2>
      <a:accent1>
        <a:srgbClr val="1B83A0"/>
      </a:accent1>
      <a:accent2>
        <a:srgbClr val="C7EBF5"/>
      </a:accent2>
      <a:accent3>
        <a:srgbClr val="1F806A"/>
      </a:accent3>
      <a:accent4>
        <a:srgbClr val="ED6C77"/>
      </a:accent4>
      <a:accent5>
        <a:srgbClr val="4BAFB0"/>
      </a:accent5>
      <a:accent6>
        <a:srgbClr val="DAEFEF"/>
      </a:accent6>
      <a:hlink>
        <a:srgbClr val="595959"/>
      </a:hlink>
      <a:folHlink>
        <a:srgbClr val="22305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Māori Health Data and Analysis</Activity>
    <lcf76f155ced4ddcb4097134ff3c332f xmlns="481b176e-4748-40e6-b4c2-5c78c09fb5f8">
      <Terms xmlns="http://schemas.microsoft.com/office/infopath/2007/PartnerControls"/>
    </lcf76f155ced4ddcb4097134ff3c332f>
    <AggregationStatus xmlns="4f9c820c-e7e2-444d-97ee-45f2b3485c1d">Normal</AggregationStatus>
    <OverrideLabel xmlns="d0b61010-d6f3-4072-b934-7bbb13e97771" xsi:nil="true"/>
    <CategoryValue xmlns="4f9c820c-e7e2-444d-97ee-45f2b3485c1d">2024</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Māori Health Data and Analysis</Team>
    <Project xmlns="4f9c820c-e7e2-444d-97ee-45f2b3485c1d">NA</Project>
    <HasNHI xmlns="184c05c4-c568-455d-94a4-7e009b164348">false</HasNHI>
    <FunctionGroup xmlns="4f9c820c-e7e2-444d-97ee-45f2b3485c1d">Monitor and Support Health System</FunctionGroup>
    <Function xmlns="4f9c820c-e7e2-444d-97ee-45f2b3485c1d">Data and Analysis</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General</Channel>
    <_Flow_SignoffStatus xmlns="481b176e-4748-40e6-b4c2-5c78c09fb5f8"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TaxCatchAll xmlns="94106329-9bbb-49eb-b32b-6355cff7f379" xsi:nil="true"/>
    <Year xmlns="c91a514c-9034-4fa3-897a-8352025b26ed">NA</Year>
    <Narrative xmlns="4f9c820c-e7e2-444d-97ee-45f2b3485c1d" xsi:nil="true"/>
    <CategoryName xmlns="4f9c820c-e7e2-444d-97ee-45f2b3485c1d">Māori provider funding report</CategoryName>
    <PRADateTrigger xmlns="4f9c820c-e7e2-444d-97ee-45f2b3485c1d" xsi:nil="true"/>
    <PRAText2 xmlns="4f9c820c-e7e2-444d-97ee-45f2b3485c1d" xsi:nil="true"/>
    <zLegacyID xmlns="184c05c4-c568-455d-94a4-7e009b164348" xsi:nil="true"/>
    <_dlc_DocId xmlns="94106329-9bbb-49eb-b32b-6355cff7f379">MOHECM-1747730376-27701</_dlc_DocId>
    <_dlc_DocIdUrl xmlns="94106329-9bbb-49eb-b32b-6355cff7f379">
      <Url>https://mohgovtnz.sharepoint.com/sites/moh-ecm-MHDA/_layouts/15/DocIdRedir.aspx?ID=MOHECM-1747730376-27701</Url>
      <Description>MOHECM-1747730376-27701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5.xml><?xml version="1.0" encoding="utf-8"?>
<ct:contentTypeSchema xmlns:ct="http://schemas.microsoft.com/office/2006/metadata/contentType" xmlns:ma="http://schemas.microsoft.com/office/2006/metadata/properties/metaAttributes" ct:_="" ma:_="" ma:contentTypeName="eDocument" ma:contentTypeID="0x01010006B508744A2AC848B695886D527F4BAE" ma:contentTypeVersion="214" ma:contentTypeDescription="Create a new document." ma:contentTypeScope="" ma:versionID="57272f00d44c544537f206e9285c3a00">
  <xsd:schema xmlns:xsd="http://www.w3.org/2001/XMLSchema" xmlns:xs="http://www.w3.org/2001/XMLSchema" xmlns:p="http://schemas.microsoft.com/office/2006/metadata/properties" xmlns:ns2="94106329-9bbb-49eb-b32b-6355cff7f379" xmlns:ns3="4f9c820c-e7e2-444d-97ee-45f2b3485c1d" xmlns:ns4="15ffb055-6eb4-45a1-bc20-bf2ac0d420da" xmlns:ns5="725c79e5-42ce-4aa0-ac78-b6418001f0d2" xmlns:ns6="c91a514c-9034-4fa3-897a-8352025b26ed" xmlns:ns7="d0b61010-d6f3-4072-b934-7bbb13e97771" xmlns:ns8="184c05c4-c568-455d-94a4-7e009b164348" xmlns:ns9="481b176e-4748-40e6-b4c2-5c78c09fb5f8" targetNamespace="http://schemas.microsoft.com/office/2006/metadata/properties" ma:root="true" ma:fieldsID="d1864a87f258112c367d1e673d7c99de" ns2:_="" ns3:_="" ns4:_="" ns5:_="" ns6:_="" ns7:_="" ns8:_="" ns9:_="">
    <xsd:import namespace="94106329-9bbb-49eb-b32b-6355cff7f379"/>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481b176e-4748-40e6-b4c2-5c78c09fb5f8"/>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OCR" minOccurs="0"/>
                <xsd:element ref="ns9:MediaServiceGenerationTime" minOccurs="0"/>
                <xsd:element ref="ns9:MediaServiceEventHashCode" minOccurs="0"/>
                <xsd:element ref="ns9:MediaServiceDateTaken" minOccurs="0"/>
                <xsd:element ref="ns9:MediaServiceLocation" minOccurs="0"/>
                <xsd:element ref="ns9:MediaServiceObjectDetectorVersions" minOccurs="0"/>
                <xsd:element ref="ns9:MediaServiceSearchProperties" minOccurs="0"/>
                <xsd:element ref="ns9:_Flow_SignoffStatus" minOccurs="0"/>
                <xsd:element ref="ns9: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06329-9bbb-49eb-b32b-6355cff7f3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0164d9b9-2436-4bb3-8c6e-a385b1d9704c}" ma:internalName="TaxCatchAll" ma:showField="CatchAllData" ma:web="94106329-9bbb-49eb-b32b-6355cff7f3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Monitor and Support Health System" ma:hidden="true" ma:internalName="FunctionGroup" ma:readOnly="false">
      <xsd:simpleType>
        <xsd:restriction base="dms:Text">
          <xsd:maxLength value="255"/>
        </xsd:restriction>
      </xsd:simpleType>
    </xsd:element>
    <xsd:element name="Function" ma:index="22" nillable="true" ma:displayName="Function" ma:default="Data and Analysi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Māori Health Data and Analysi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Māori Health Data and Analysi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Retain"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481b176e-4748-40e6-b4c2-5c78c09fb5f8"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58" nillable="true" ma:displayName="Extracted Text" ma:internalName="MediaServiceOCR" ma:readOnly="true">
      <xsd:simpleType>
        <xsd:restriction base="dms:Note">
          <xsd:maxLength value="255"/>
        </xsd:restriction>
      </xsd:simpleType>
    </xsd:element>
    <xsd:element name="MediaServiceGenerationTime" ma:index="59" nillable="true" ma:displayName="MediaServiceGenerationTime" ma:hidden="true" ma:internalName="MediaServiceGenerationTime" ma:readOnly="true">
      <xsd:simpleType>
        <xsd:restriction base="dms:Text"/>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ServiceObjectDetectorVersions" ma:index="63" nillable="true" ma:displayName="MediaServiceObjectDetectorVersions"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_Flow_SignoffStatus" ma:index="65" nillable="true" ma:displayName="Sign-off status" ma:internalName="Sign_x002d_off_x0020_status">
      <xsd:simpleType>
        <xsd:restriction base="dms:Text"/>
      </xsd:simpleType>
    </xsd:element>
    <xsd:element name="MediaLengthInSeconds" ma:index="6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74AA4-98F0-40F0-A120-F99F74DC1567}">
  <ds:schemaRefs>
    <ds:schemaRef ds:uri="http://schemas.microsoft.com/sharepoint/events"/>
  </ds:schemaRefs>
</ds:datastoreItem>
</file>

<file path=customXml/itemProps2.xml><?xml version="1.0" encoding="utf-8"?>
<ds:datastoreItem xmlns:ds="http://schemas.openxmlformats.org/officeDocument/2006/customXml" ds:itemID="{EF0B08FE-8F72-47EA-8B29-9E49EC82F4FC}">
  <ds:schemaRefs>
    <ds:schemaRef ds:uri="http://schemas.microsoft.com/sharepoint/v3/contenttype/forms"/>
  </ds:schemaRefs>
</ds:datastoreItem>
</file>

<file path=customXml/itemProps3.xml><?xml version="1.0" encoding="utf-8"?>
<ds:datastoreItem xmlns:ds="http://schemas.openxmlformats.org/officeDocument/2006/customXml" ds:itemID="{984CB951-6F69-4E40-AD3A-CFD37072A6E7}">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481b176e-4748-40e6-b4c2-5c78c09fb5f8"/>
    <ds:schemaRef ds:uri="d0b61010-d6f3-4072-b934-7bbb13e97771"/>
    <ds:schemaRef ds:uri="725c79e5-42ce-4aa0-ac78-b6418001f0d2"/>
    <ds:schemaRef ds:uri="94106329-9bbb-49eb-b32b-6355cff7f379"/>
  </ds:schemaRefs>
</ds:datastoreItem>
</file>

<file path=customXml/itemProps4.xml><?xml version="1.0" encoding="utf-8"?>
<ds:datastoreItem xmlns:ds="http://schemas.openxmlformats.org/officeDocument/2006/customXml" ds:itemID="{77D45161-7393-4571-B48A-57B5B4955EEB}">
  <ds:schemaRefs>
    <ds:schemaRef ds:uri="http://schemas.openxmlformats.org/officeDocument/2006/bibliography"/>
  </ds:schemaRefs>
</ds:datastoreItem>
</file>

<file path=customXml/itemProps5.xml><?xml version="1.0" encoding="utf-8"?>
<ds:datastoreItem xmlns:ds="http://schemas.openxmlformats.org/officeDocument/2006/customXml" ds:itemID="{85383ED0-47B6-46C8-9E77-410DF4CE1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06329-9bbb-49eb-b32b-6355cff7f379"/>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481b176e-4748-40e6-b4c2-5c78c09fb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47</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Funding to Māori Health Providers, 2019/20 to 2023/24</vt:lpstr>
    </vt:vector>
  </TitlesOfParts>
  <Company>Ministry of Health</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to Māori Health Providers, 2019/20 to 2023/24</dc:title>
  <dc:creator>Ministry of Health</dc:creator>
  <cp:lastModifiedBy>Ministry of Health</cp:lastModifiedBy>
  <cp:revision>7</cp:revision>
  <cp:lastPrinted>2025-06-24T00:46:00Z</cp:lastPrinted>
  <dcterms:created xsi:type="dcterms:W3CDTF">2025-05-20T04:12:00Z</dcterms:created>
  <dcterms:modified xsi:type="dcterms:W3CDTF">2025-06-24T00:46:00Z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0x01010006B508744A2AC848B695886D527F4BAE</vt:lpwstr>
  </property>
  <property fmtid="{D5CDD505-2E9C-101B-9397-08002B2CF9AE}" pid="3" name="_dlc_DocIdItemGuid">
    <vt:lpwstr>c3a31f74-c8ab-447c-aaf1-22469b9203d7</vt:lpwstr>
  </property>
  <property fmtid="{D5CDD505-2E9C-101B-9397-08002B2CF9AE}" pid="4" name="MediaServiceImageTags">
    <vt:lpwstr/>
  </property>
</Properties>
</file>