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55161" w14:textId="31CC12F7" w:rsidR="00C86248" w:rsidRDefault="002E490C" w:rsidP="003376FA">
      <w:pPr>
        <w:pStyle w:val="Title"/>
        <w:ind w:right="3118"/>
      </w:pPr>
      <w:r w:rsidRPr="002E490C">
        <w:t xml:space="preserve">Review of </w:t>
      </w:r>
      <w:r w:rsidR="0096727C">
        <w:t>C</w:t>
      </w:r>
      <w:r w:rsidRPr="002E490C">
        <w:t xml:space="preserve">ertain </w:t>
      </w:r>
      <w:r w:rsidR="0096727C">
        <w:t>M</w:t>
      </w:r>
      <w:r w:rsidRPr="002E490C">
        <w:t>atters under the Contraception, Sterilisation, and Abortion Act 1977</w:t>
      </w:r>
    </w:p>
    <w:p w14:paraId="01F128C0" w14:textId="77777777" w:rsidR="00010D42" w:rsidRDefault="00010D42" w:rsidP="00010D42"/>
    <w:p w14:paraId="079E5B09" w14:textId="2CF000CB" w:rsidR="00010D42" w:rsidRPr="00010D42" w:rsidRDefault="00FB1CD9" w:rsidP="00BD5301">
      <w:pPr>
        <w:pStyle w:val="Year"/>
      </w:pPr>
      <w:r w:rsidRPr="00FB1CD9">
        <w:t>Presented to the House of Representatives pursuant to section 22 of the Contraception, Sterilisation, and Abortion Act 1977</w:t>
      </w:r>
    </w:p>
    <w:p w14:paraId="5C1CCC9F" w14:textId="77777777" w:rsidR="00C05132" w:rsidRDefault="00C05132" w:rsidP="00A06BE4"/>
    <w:p w14:paraId="57E2CB79" w14:textId="77777777" w:rsidR="00142954" w:rsidRPr="00142954" w:rsidRDefault="00142954" w:rsidP="00142954">
      <w:pPr>
        <w:sectPr w:rsidR="00142954" w:rsidRPr="00142954" w:rsidSect="005A79E5">
          <w:headerReference w:type="even" r:id="rId12"/>
          <w:headerReference w:type="default" r:id="rId13"/>
          <w:footerReference w:type="even" r:id="rId14"/>
          <w:footerReference w:type="default" r:id="rId15"/>
          <w:headerReference w:type="first" r:id="rId16"/>
          <w:footerReference w:type="first" r:id="rId17"/>
          <w:pgSz w:w="11907" w:h="16834" w:code="9"/>
          <w:pgMar w:top="5670" w:right="1134" w:bottom="1134" w:left="1134" w:header="567" w:footer="851" w:gutter="0"/>
          <w:pgNumType w:start="1"/>
          <w:cols w:space="720"/>
        </w:sectPr>
      </w:pPr>
    </w:p>
    <w:p w14:paraId="358CE3BA" w14:textId="0AB12319" w:rsidR="00A80363" w:rsidRPr="00C05132" w:rsidRDefault="00A80363" w:rsidP="00A63DFF">
      <w:pPr>
        <w:pStyle w:val="Imprint"/>
        <w:spacing w:before="1200"/>
        <w:rPr>
          <w:rFonts w:cs="Segoe UI"/>
        </w:rPr>
      </w:pPr>
      <w:r w:rsidRPr="00C05132">
        <w:rPr>
          <w:rFonts w:cs="Segoe UI"/>
        </w:rPr>
        <w:lastRenderedPageBreak/>
        <w:t xml:space="preserve">Citation: </w:t>
      </w:r>
      <w:r w:rsidR="00442C1C" w:rsidRPr="00C05132">
        <w:rPr>
          <w:rFonts w:cs="Segoe UI"/>
        </w:rPr>
        <w:t xml:space="preserve">Ministry of Health. </w:t>
      </w:r>
      <w:r w:rsidR="00576C27">
        <w:rPr>
          <w:rFonts w:cs="Segoe UI"/>
        </w:rPr>
        <w:t>2025</w:t>
      </w:r>
      <w:r w:rsidR="00442C1C" w:rsidRPr="00C05132">
        <w:rPr>
          <w:rFonts w:cs="Segoe UI"/>
        </w:rPr>
        <w:t xml:space="preserve">. </w:t>
      </w:r>
      <w:r w:rsidR="003376FA" w:rsidRPr="003376FA">
        <w:rPr>
          <w:rFonts w:cs="Segoe UI"/>
          <w:i/>
        </w:rPr>
        <w:t xml:space="preserve">Review of </w:t>
      </w:r>
      <w:r w:rsidR="0096727C">
        <w:rPr>
          <w:rFonts w:cs="Segoe UI"/>
          <w:i/>
        </w:rPr>
        <w:t>C</w:t>
      </w:r>
      <w:r w:rsidR="003376FA" w:rsidRPr="003376FA">
        <w:rPr>
          <w:rFonts w:cs="Segoe UI"/>
          <w:i/>
        </w:rPr>
        <w:t xml:space="preserve">ertain </w:t>
      </w:r>
      <w:r w:rsidR="0096727C">
        <w:rPr>
          <w:rFonts w:cs="Segoe UI"/>
          <w:i/>
        </w:rPr>
        <w:t>M</w:t>
      </w:r>
      <w:r w:rsidR="003376FA" w:rsidRPr="003376FA">
        <w:rPr>
          <w:rFonts w:cs="Segoe UI"/>
          <w:i/>
        </w:rPr>
        <w:t>atters under the Contraception, Sterilisation, and Abortion Act 1977</w:t>
      </w:r>
      <w:r w:rsidR="00442C1C" w:rsidRPr="00C05132">
        <w:rPr>
          <w:rFonts w:cs="Segoe UI"/>
        </w:rPr>
        <w:t>. Wellington: Ministry of Health.</w:t>
      </w:r>
    </w:p>
    <w:p w14:paraId="7909192E" w14:textId="48A70665" w:rsidR="00C86248" w:rsidRDefault="00C86248">
      <w:pPr>
        <w:pStyle w:val="Imprint"/>
      </w:pPr>
      <w:r>
        <w:t xml:space="preserve">Published in </w:t>
      </w:r>
      <w:r w:rsidR="00863527">
        <w:t>April 2025</w:t>
      </w:r>
      <w:r w:rsidR="00A63DFF">
        <w:t xml:space="preserve"> </w:t>
      </w:r>
      <w:r>
        <w:t>by the</w:t>
      </w:r>
      <w:r w:rsidR="00442C1C">
        <w:t xml:space="preserve"> </w:t>
      </w:r>
      <w:r>
        <w:t>Ministry of Health</w:t>
      </w:r>
      <w:r>
        <w:br/>
        <w:t>PO Box 5013, Wellington</w:t>
      </w:r>
      <w:r w:rsidR="00A80363">
        <w:t xml:space="preserve"> 614</w:t>
      </w:r>
      <w:r w:rsidR="006041F0">
        <w:t>0</w:t>
      </w:r>
      <w:r>
        <w:t xml:space="preserve">, </w:t>
      </w:r>
      <w:r w:rsidR="00571223">
        <w:t>New Zealand</w:t>
      </w:r>
    </w:p>
    <w:p w14:paraId="6D17E5E8" w14:textId="6AB59848" w:rsidR="00082CD6" w:rsidRPr="009C0F2D" w:rsidRDefault="00D863D0" w:rsidP="00082CD6">
      <w:pPr>
        <w:pStyle w:val="Imprint"/>
      </w:pPr>
      <w:r w:rsidRPr="00863527">
        <w:t>ISBN</w:t>
      </w:r>
      <w:r w:rsidR="00442C1C" w:rsidRPr="00863527">
        <w:t xml:space="preserve"> </w:t>
      </w:r>
      <w:r w:rsidR="0012634D" w:rsidRPr="0012634D">
        <w:t>978-1-991324-25-2</w:t>
      </w:r>
      <w:r w:rsidR="009A42D5" w:rsidRPr="00863527">
        <w:t xml:space="preserve"> (print)</w:t>
      </w:r>
      <w:r w:rsidR="009A42D5" w:rsidRPr="00863527">
        <w:br/>
        <w:t xml:space="preserve">ISBN </w:t>
      </w:r>
      <w:r w:rsidR="0012634D" w:rsidRPr="0012634D">
        <w:t>978-1-991324-26-9</w:t>
      </w:r>
      <w:r w:rsidR="009A42D5" w:rsidRPr="00863527">
        <w:t xml:space="preserve"> </w:t>
      </w:r>
      <w:r w:rsidRPr="00863527">
        <w:t>(</w:t>
      </w:r>
      <w:r w:rsidR="00442C1C" w:rsidRPr="00863527">
        <w:t>online</w:t>
      </w:r>
      <w:r w:rsidRPr="00863527">
        <w:t>)</w:t>
      </w:r>
      <w:r w:rsidR="00082CD6" w:rsidRPr="00863527">
        <w:br/>
        <w:t xml:space="preserve">HP </w:t>
      </w:r>
      <w:r w:rsidR="006B64BE">
        <w:t>9118</w:t>
      </w:r>
    </w:p>
    <w:p w14:paraId="48DBDA36" w14:textId="7263F306" w:rsidR="00C86248" w:rsidRDefault="00EA608C" w:rsidP="00A63DFF">
      <w:r w:rsidRPr="003D7765">
        <w:rPr>
          <w:noProof/>
        </w:rPr>
        <w:drawing>
          <wp:inline distT="0" distB="0" distL="0" distR="0" wp14:anchorId="7F6F146D" wp14:editId="1389585C">
            <wp:extent cx="1216800" cy="494305"/>
            <wp:effectExtent l="0" t="0" r="2540" b="1270"/>
            <wp:docPr id="1472750415" name="Picture 1472750415" descr="A blue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750415" name="Picture 1472750415" descr="A blue and white sign with white text&#10;&#10;Description automatically generated"/>
                    <pic:cNvPicPr>
                      <a:picLocks noChangeAspect="1" noChangeArrowheads="1"/>
                    </pic:cNvPicPr>
                  </pic:nvPicPr>
                  <pic:blipFill>
                    <a:blip r:embed="rId18" cstate="print">
                      <a:grayscl/>
                      <a:extLst>
                        <a:ext uri="{28A0092B-C50C-407E-A947-70E740481C1C}">
                          <a14:useLocalDpi xmlns:a14="http://schemas.microsoft.com/office/drawing/2010/main" val="0"/>
                        </a:ext>
                      </a:extLst>
                    </a:blip>
                    <a:srcRect/>
                    <a:stretch>
                      <a:fillRect/>
                    </a:stretch>
                  </pic:blipFill>
                  <pic:spPr bwMode="auto">
                    <a:xfrm>
                      <a:off x="0" y="0"/>
                      <a:ext cx="1216800" cy="494305"/>
                    </a:xfrm>
                    <a:prstGeom prst="rect">
                      <a:avLst/>
                    </a:prstGeom>
                    <a:noFill/>
                    <a:ln>
                      <a:noFill/>
                    </a:ln>
                  </pic:spPr>
                </pic:pic>
              </a:graphicData>
            </a:graphic>
          </wp:inline>
        </w:drawing>
      </w:r>
    </w:p>
    <w:p w14:paraId="354F16DF" w14:textId="77777777" w:rsidR="00A63DFF" w:rsidRDefault="00A63DFF" w:rsidP="00A63DFF">
      <w:pPr>
        <w:pStyle w:val="Imprint"/>
        <w:spacing w:before="240" w:after="480"/>
      </w:pPr>
      <w:r>
        <w:t xml:space="preserve">This document is available at </w:t>
      </w:r>
      <w:proofErr w:type="gramStart"/>
      <w:r>
        <w:t>health.govt.nz</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6061"/>
      </w:tblGrid>
      <w:tr w:rsidR="00A63DFF" w:rsidRPr="00A63DFF" w14:paraId="3FC6B2D2" w14:textId="77777777" w:rsidTr="00A63DFF">
        <w:trPr>
          <w:cantSplit/>
        </w:trPr>
        <w:tc>
          <w:tcPr>
            <w:tcW w:w="1526" w:type="dxa"/>
          </w:tcPr>
          <w:p w14:paraId="362D26E7" w14:textId="77777777" w:rsidR="00A63DFF" w:rsidRPr="00A63DFF" w:rsidRDefault="00A63DFF" w:rsidP="00A63DFF">
            <w:pPr>
              <w:rPr>
                <w:rFonts w:cs="Segoe UI"/>
                <w:sz w:val="15"/>
                <w:szCs w:val="15"/>
              </w:rPr>
            </w:pPr>
            <w:r w:rsidRPr="00A63DFF">
              <w:rPr>
                <w:rFonts w:cs="Segoe UI"/>
                <w:b/>
                <w:noProof/>
                <w:sz w:val="15"/>
                <w:szCs w:val="15"/>
                <w:lang w:eastAsia="en-NZ"/>
              </w:rPr>
              <w:drawing>
                <wp:inline distT="0" distB="0" distL="0" distR="0" wp14:anchorId="4BFD7476" wp14:editId="5569ABBB">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7D3A471A" w14:textId="77777777" w:rsidR="00A63DFF" w:rsidRPr="00A63DFF" w:rsidRDefault="00A63DFF" w:rsidP="00A63DFF">
            <w:pPr>
              <w:rPr>
                <w:rFonts w:cs="Segoe UI"/>
                <w:sz w:val="15"/>
                <w:szCs w:val="15"/>
              </w:rPr>
            </w:pPr>
            <w:r w:rsidRPr="00A63DFF">
              <w:rPr>
                <w:rFonts w:cs="Segoe UI"/>
                <w:sz w:val="15"/>
                <w:szCs w:val="15"/>
              </w:rPr>
              <w:t xml:space="preserve">This work is licensed under the Creative Commons Attribution 4.0 International licence. In essence, </w:t>
            </w:r>
            <w:r w:rsidRPr="00A63DFF">
              <w:rPr>
                <w:rFonts w:cs="Segoe UI"/>
                <w:bCs/>
                <w:sz w:val="15"/>
                <w:szCs w:val="15"/>
              </w:rPr>
              <w:t xml:space="preserve">you are free to: </w:t>
            </w:r>
            <w:r w:rsidRPr="00A63DFF">
              <w:rPr>
                <w:rFonts w:cs="Segoe UI"/>
                <w:sz w:val="15"/>
                <w:szCs w:val="15"/>
              </w:rPr>
              <w:t xml:space="preserve">share </w:t>
            </w:r>
            <w:proofErr w:type="spellStart"/>
            <w:r w:rsidRPr="00A63DFF">
              <w:rPr>
                <w:rFonts w:cs="Segoe UI"/>
                <w:sz w:val="15"/>
                <w:szCs w:val="15"/>
              </w:rPr>
              <w:t>ie</w:t>
            </w:r>
            <w:proofErr w:type="spellEnd"/>
            <w:r w:rsidRPr="00A63DFF">
              <w:rPr>
                <w:rFonts w:cs="Segoe UI"/>
                <w:sz w:val="15"/>
                <w:szCs w:val="15"/>
              </w:rPr>
              <w:t xml:space="preserve">, copy and redistribute the material in any medium or format; adapt </w:t>
            </w:r>
            <w:proofErr w:type="spellStart"/>
            <w:r w:rsidRPr="00A63DFF">
              <w:rPr>
                <w:rFonts w:cs="Segoe UI"/>
                <w:sz w:val="15"/>
                <w:szCs w:val="15"/>
              </w:rPr>
              <w:t>ie</w:t>
            </w:r>
            <w:proofErr w:type="spellEnd"/>
            <w:r w:rsidRPr="00A63DFF">
              <w:rPr>
                <w:rFonts w:cs="Segoe UI"/>
                <w:sz w:val="15"/>
                <w:szCs w:val="15"/>
              </w:rPr>
              <w:t xml:space="preserve">, remix, transform and build upon the material. </w:t>
            </w:r>
            <w:r w:rsidRPr="00A63DFF">
              <w:rPr>
                <w:rFonts w:cs="Segoe UI"/>
                <w:bCs/>
                <w:sz w:val="15"/>
                <w:szCs w:val="15"/>
              </w:rPr>
              <w:t>You must give appropriate credit, provide a link to the licence and indicate if changes were made.</w:t>
            </w:r>
          </w:p>
        </w:tc>
      </w:tr>
    </w:tbl>
    <w:p w14:paraId="44C6FE3A" w14:textId="13E3A6E4" w:rsidR="007E74F1" w:rsidRPr="001F45A7" w:rsidRDefault="007E74F1" w:rsidP="00A63DFF"/>
    <w:p w14:paraId="2113CC0B" w14:textId="77777777" w:rsidR="00C86248" w:rsidRDefault="00C86248">
      <w:pPr>
        <w:jc w:val="center"/>
        <w:sectPr w:rsidR="00C86248" w:rsidSect="00C05132">
          <w:footerReference w:type="even" r:id="rId20"/>
          <w:footerReference w:type="default" r:id="rId21"/>
          <w:pgSz w:w="11907" w:h="16834" w:code="9"/>
          <w:pgMar w:top="1701" w:right="2268" w:bottom="1134" w:left="2268" w:header="0" w:footer="0" w:gutter="0"/>
          <w:cols w:space="720"/>
          <w:vAlign w:val="bottom"/>
        </w:sectPr>
      </w:pPr>
    </w:p>
    <w:p w14:paraId="3C70FAF9" w14:textId="77777777" w:rsidR="00D662F8" w:rsidRDefault="00D662F8" w:rsidP="0046362D">
      <w:bookmarkStart w:id="0" w:name="_Toc405792991"/>
      <w:bookmarkStart w:id="1" w:name="_Toc405793224"/>
    </w:p>
    <w:bookmarkEnd w:id="0"/>
    <w:bookmarkEnd w:id="1"/>
    <w:p w14:paraId="648D4F84" w14:textId="50BBABA2" w:rsidR="00C86248" w:rsidRDefault="00750B39" w:rsidP="00025A6F">
      <w:pPr>
        <w:pStyle w:val="IntroHead"/>
      </w:pPr>
      <w:r w:rsidRPr="00750B39">
        <w:t>Contents</w:t>
      </w:r>
      <w:r>
        <w:t xml:space="preserve"> </w:t>
      </w:r>
      <w:r>
        <w:rPr>
          <w:spacing w:val="0"/>
        </w:rPr>
        <w:t xml:space="preserve">– </w:t>
      </w:r>
      <w:proofErr w:type="spellStart"/>
      <w:r w:rsidRPr="00750B39">
        <w:t>Ngā</w:t>
      </w:r>
      <w:proofErr w:type="spellEnd"/>
      <w:r w:rsidRPr="00750B39">
        <w:t xml:space="preserve"> kōrero o roto</w:t>
      </w:r>
    </w:p>
    <w:p w14:paraId="27C3E0FB" w14:textId="125B51A4" w:rsidR="0090362E" w:rsidRDefault="0090362E">
      <w:pPr>
        <w:pStyle w:val="TOC1"/>
        <w:rPr>
          <w:rFonts w:asciiTheme="minorHAnsi" w:eastAsiaTheme="minorEastAsia" w:hAnsiTheme="minorHAnsi" w:cstheme="minorBidi"/>
          <w:noProof/>
          <w:kern w:val="2"/>
          <w:sz w:val="22"/>
          <w:szCs w:val="22"/>
          <w:lang w:eastAsia="en-NZ"/>
          <w14:ligatures w14:val="standardContextual"/>
        </w:rPr>
      </w:pPr>
      <w:r>
        <w:rPr>
          <w:b/>
        </w:rPr>
        <w:fldChar w:fldCharType="begin"/>
      </w:r>
      <w:r>
        <w:rPr>
          <w:b/>
        </w:rPr>
        <w:instrText xml:space="preserve"> TOC \o "1-2" \h \z </w:instrText>
      </w:r>
      <w:r>
        <w:rPr>
          <w:b/>
        </w:rPr>
        <w:fldChar w:fldCharType="separate"/>
      </w:r>
      <w:hyperlink w:anchor="_Toc195016546" w:history="1">
        <w:r w:rsidRPr="005A609B">
          <w:rPr>
            <w:rStyle w:val="Hyperlink"/>
            <w:noProof/>
          </w:rPr>
          <w:t>Glossary of terms – He kuputaka</w:t>
        </w:r>
        <w:r>
          <w:rPr>
            <w:noProof/>
            <w:webHidden/>
          </w:rPr>
          <w:tab/>
        </w:r>
        <w:r>
          <w:rPr>
            <w:noProof/>
            <w:webHidden/>
          </w:rPr>
          <w:fldChar w:fldCharType="begin"/>
        </w:r>
        <w:r>
          <w:rPr>
            <w:noProof/>
            <w:webHidden/>
          </w:rPr>
          <w:instrText xml:space="preserve"> PAGEREF _Toc195016546 \h </w:instrText>
        </w:r>
        <w:r>
          <w:rPr>
            <w:noProof/>
            <w:webHidden/>
          </w:rPr>
        </w:r>
        <w:r>
          <w:rPr>
            <w:noProof/>
            <w:webHidden/>
          </w:rPr>
          <w:fldChar w:fldCharType="separate"/>
        </w:r>
        <w:r>
          <w:rPr>
            <w:noProof/>
            <w:webHidden/>
          </w:rPr>
          <w:t>1</w:t>
        </w:r>
        <w:r>
          <w:rPr>
            <w:noProof/>
            <w:webHidden/>
          </w:rPr>
          <w:fldChar w:fldCharType="end"/>
        </w:r>
      </w:hyperlink>
    </w:p>
    <w:p w14:paraId="209AD65A" w14:textId="513FA713" w:rsidR="0090362E" w:rsidRDefault="00431415">
      <w:pPr>
        <w:pStyle w:val="TOC1"/>
        <w:rPr>
          <w:rFonts w:asciiTheme="minorHAnsi" w:eastAsiaTheme="minorEastAsia" w:hAnsiTheme="minorHAnsi" w:cstheme="minorBidi"/>
          <w:noProof/>
          <w:kern w:val="2"/>
          <w:sz w:val="22"/>
          <w:szCs w:val="22"/>
          <w:lang w:eastAsia="en-NZ"/>
          <w14:ligatures w14:val="standardContextual"/>
        </w:rPr>
      </w:pPr>
      <w:hyperlink w:anchor="_Toc195016547" w:history="1">
        <w:r w:rsidR="0090362E" w:rsidRPr="005A609B">
          <w:rPr>
            <w:rStyle w:val="Hyperlink"/>
            <w:noProof/>
          </w:rPr>
          <w:t>Background to this report – He whakamārama</w:t>
        </w:r>
        <w:r w:rsidR="0090362E">
          <w:rPr>
            <w:noProof/>
            <w:webHidden/>
          </w:rPr>
          <w:tab/>
        </w:r>
        <w:r w:rsidR="0090362E">
          <w:rPr>
            <w:noProof/>
            <w:webHidden/>
          </w:rPr>
          <w:fldChar w:fldCharType="begin"/>
        </w:r>
        <w:r w:rsidR="0090362E">
          <w:rPr>
            <w:noProof/>
            <w:webHidden/>
          </w:rPr>
          <w:instrText xml:space="preserve"> PAGEREF _Toc195016547 \h </w:instrText>
        </w:r>
        <w:r w:rsidR="0090362E">
          <w:rPr>
            <w:noProof/>
            <w:webHidden/>
          </w:rPr>
        </w:r>
        <w:r w:rsidR="0090362E">
          <w:rPr>
            <w:noProof/>
            <w:webHidden/>
          </w:rPr>
          <w:fldChar w:fldCharType="separate"/>
        </w:r>
        <w:r w:rsidR="0090362E">
          <w:rPr>
            <w:noProof/>
            <w:webHidden/>
          </w:rPr>
          <w:t>3</w:t>
        </w:r>
        <w:r w:rsidR="0090362E">
          <w:rPr>
            <w:noProof/>
            <w:webHidden/>
          </w:rPr>
          <w:fldChar w:fldCharType="end"/>
        </w:r>
      </w:hyperlink>
    </w:p>
    <w:p w14:paraId="6F1DF403" w14:textId="61088204" w:rsidR="0090362E" w:rsidRDefault="00431415">
      <w:pPr>
        <w:pStyle w:val="TOC1"/>
        <w:rPr>
          <w:rFonts w:asciiTheme="minorHAnsi" w:eastAsiaTheme="minorEastAsia" w:hAnsiTheme="minorHAnsi" w:cstheme="minorBidi"/>
          <w:noProof/>
          <w:kern w:val="2"/>
          <w:sz w:val="22"/>
          <w:szCs w:val="22"/>
          <w:lang w:eastAsia="en-NZ"/>
          <w14:ligatures w14:val="standardContextual"/>
        </w:rPr>
      </w:pPr>
      <w:hyperlink w:anchor="_Toc195016548" w:history="1">
        <w:r w:rsidR="0090362E" w:rsidRPr="005A609B">
          <w:rPr>
            <w:rStyle w:val="Hyperlink"/>
            <w:noProof/>
          </w:rPr>
          <w:t>Executive summary – He whakarāpopoto</w:t>
        </w:r>
        <w:r w:rsidR="0090362E">
          <w:rPr>
            <w:noProof/>
            <w:webHidden/>
          </w:rPr>
          <w:tab/>
        </w:r>
        <w:r w:rsidR="0090362E">
          <w:rPr>
            <w:noProof/>
            <w:webHidden/>
          </w:rPr>
          <w:fldChar w:fldCharType="begin"/>
        </w:r>
        <w:r w:rsidR="0090362E">
          <w:rPr>
            <w:noProof/>
            <w:webHidden/>
          </w:rPr>
          <w:instrText xml:space="preserve"> PAGEREF _Toc195016548 \h </w:instrText>
        </w:r>
        <w:r w:rsidR="0090362E">
          <w:rPr>
            <w:noProof/>
            <w:webHidden/>
          </w:rPr>
        </w:r>
        <w:r w:rsidR="0090362E">
          <w:rPr>
            <w:noProof/>
            <w:webHidden/>
          </w:rPr>
          <w:fldChar w:fldCharType="separate"/>
        </w:r>
        <w:r w:rsidR="0090362E">
          <w:rPr>
            <w:noProof/>
            <w:webHidden/>
          </w:rPr>
          <w:t>4</w:t>
        </w:r>
        <w:r w:rsidR="0090362E">
          <w:rPr>
            <w:noProof/>
            <w:webHidden/>
          </w:rPr>
          <w:fldChar w:fldCharType="end"/>
        </w:r>
      </w:hyperlink>
    </w:p>
    <w:p w14:paraId="6B271591" w14:textId="6671D793" w:rsidR="0090362E" w:rsidRDefault="00431415">
      <w:pPr>
        <w:pStyle w:val="TOC1"/>
        <w:rPr>
          <w:rFonts w:asciiTheme="minorHAnsi" w:eastAsiaTheme="minorEastAsia" w:hAnsiTheme="minorHAnsi" w:cstheme="minorBidi"/>
          <w:noProof/>
          <w:kern w:val="2"/>
          <w:sz w:val="22"/>
          <w:szCs w:val="22"/>
          <w:lang w:eastAsia="en-NZ"/>
          <w14:ligatures w14:val="standardContextual"/>
        </w:rPr>
      </w:pPr>
      <w:hyperlink w:anchor="_Toc195016549" w:history="1">
        <w:r w:rsidR="0090362E" w:rsidRPr="005A609B">
          <w:rPr>
            <w:rStyle w:val="Hyperlink"/>
            <w:noProof/>
          </w:rPr>
          <w:t>The legislation – Te ture</w:t>
        </w:r>
        <w:r w:rsidR="0090362E">
          <w:rPr>
            <w:noProof/>
            <w:webHidden/>
          </w:rPr>
          <w:tab/>
        </w:r>
        <w:r w:rsidR="0090362E">
          <w:rPr>
            <w:noProof/>
            <w:webHidden/>
          </w:rPr>
          <w:fldChar w:fldCharType="begin"/>
        </w:r>
        <w:r w:rsidR="0090362E">
          <w:rPr>
            <w:noProof/>
            <w:webHidden/>
          </w:rPr>
          <w:instrText xml:space="preserve"> PAGEREF _Toc195016549 \h </w:instrText>
        </w:r>
        <w:r w:rsidR="0090362E">
          <w:rPr>
            <w:noProof/>
            <w:webHidden/>
          </w:rPr>
        </w:r>
        <w:r w:rsidR="0090362E">
          <w:rPr>
            <w:noProof/>
            <w:webHidden/>
          </w:rPr>
          <w:fldChar w:fldCharType="separate"/>
        </w:r>
        <w:r w:rsidR="0090362E">
          <w:rPr>
            <w:noProof/>
            <w:webHidden/>
          </w:rPr>
          <w:t>8</w:t>
        </w:r>
        <w:r w:rsidR="0090362E">
          <w:rPr>
            <w:noProof/>
            <w:webHidden/>
          </w:rPr>
          <w:fldChar w:fldCharType="end"/>
        </w:r>
      </w:hyperlink>
    </w:p>
    <w:p w14:paraId="55734CE4" w14:textId="6E436D7E" w:rsidR="0090362E" w:rsidRDefault="00431415">
      <w:pPr>
        <w:pStyle w:val="TOC1"/>
        <w:rPr>
          <w:rFonts w:asciiTheme="minorHAnsi" w:eastAsiaTheme="minorEastAsia" w:hAnsiTheme="minorHAnsi" w:cstheme="minorBidi"/>
          <w:noProof/>
          <w:kern w:val="2"/>
          <w:sz w:val="22"/>
          <w:szCs w:val="22"/>
          <w:lang w:eastAsia="en-NZ"/>
          <w14:ligatures w14:val="standardContextual"/>
        </w:rPr>
      </w:pPr>
      <w:hyperlink w:anchor="_Toc195016550" w:history="1">
        <w:r w:rsidR="0090362E" w:rsidRPr="005A609B">
          <w:rPr>
            <w:rStyle w:val="Hyperlink"/>
            <w:noProof/>
          </w:rPr>
          <w:t>Contraception – Te ārai hapū</w:t>
        </w:r>
        <w:r w:rsidR="0090362E">
          <w:rPr>
            <w:noProof/>
            <w:webHidden/>
          </w:rPr>
          <w:tab/>
        </w:r>
        <w:r w:rsidR="0090362E">
          <w:rPr>
            <w:noProof/>
            <w:webHidden/>
          </w:rPr>
          <w:fldChar w:fldCharType="begin"/>
        </w:r>
        <w:r w:rsidR="0090362E">
          <w:rPr>
            <w:noProof/>
            <w:webHidden/>
          </w:rPr>
          <w:instrText xml:space="preserve"> PAGEREF _Toc195016550 \h </w:instrText>
        </w:r>
        <w:r w:rsidR="0090362E">
          <w:rPr>
            <w:noProof/>
            <w:webHidden/>
          </w:rPr>
        </w:r>
        <w:r w:rsidR="0090362E">
          <w:rPr>
            <w:noProof/>
            <w:webHidden/>
          </w:rPr>
          <w:fldChar w:fldCharType="separate"/>
        </w:r>
        <w:r w:rsidR="0090362E">
          <w:rPr>
            <w:noProof/>
            <w:webHidden/>
          </w:rPr>
          <w:t>10</w:t>
        </w:r>
        <w:r w:rsidR="0090362E">
          <w:rPr>
            <w:noProof/>
            <w:webHidden/>
          </w:rPr>
          <w:fldChar w:fldCharType="end"/>
        </w:r>
      </w:hyperlink>
    </w:p>
    <w:p w14:paraId="4359B25A" w14:textId="27C20DCC" w:rsidR="0090362E" w:rsidRDefault="00431415">
      <w:pPr>
        <w:pStyle w:val="TOC2"/>
        <w:rPr>
          <w:rFonts w:asciiTheme="minorHAnsi" w:eastAsiaTheme="minorEastAsia" w:hAnsiTheme="minorHAnsi" w:cstheme="minorBidi"/>
          <w:noProof/>
          <w:kern w:val="2"/>
          <w:szCs w:val="22"/>
          <w:lang w:eastAsia="en-NZ"/>
          <w14:ligatures w14:val="standardContextual"/>
        </w:rPr>
      </w:pPr>
      <w:hyperlink w:anchor="_Toc195016551" w:history="1">
        <w:r w:rsidR="0090362E" w:rsidRPr="005A609B">
          <w:rPr>
            <w:rStyle w:val="Hyperlink"/>
            <w:noProof/>
          </w:rPr>
          <w:t>Legal requirements for contraception services</w:t>
        </w:r>
        <w:r w:rsidR="0090362E">
          <w:rPr>
            <w:noProof/>
            <w:webHidden/>
          </w:rPr>
          <w:tab/>
        </w:r>
        <w:r w:rsidR="0090362E">
          <w:rPr>
            <w:noProof/>
            <w:webHidden/>
          </w:rPr>
          <w:fldChar w:fldCharType="begin"/>
        </w:r>
        <w:r w:rsidR="0090362E">
          <w:rPr>
            <w:noProof/>
            <w:webHidden/>
          </w:rPr>
          <w:instrText xml:space="preserve"> PAGEREF _Toc195016551 \h </w:instrText>
        </w:r>
        <w:r w:rsidR="0090362E">
          <w:rPr>
            <w:noProof/>
            <w:webHidden/>
          </w:rPr>
        </w:r>
        <w:r w:rsidR="0090362E">
          <w:rPr>
            <w:noProof/>
            <w:webHidden/>
          </w:rPr>
          <w:fldChar w:fldCharType="separate"/>
        </w:r>
        <w:r w:rsidR="0090362E">
          <w:rPr>
            <w:noProof/>
            <w:webHidden/>
          </w:rPr>
          <w:t>10</w:t>
        </w:r>
        <w:r w:rsidR="0090362E">
          <w:rPr>
            <w:noProof/>
            <w:webHidden/>
          </w:rPr>
          <w:fldChar w:fldCharType="end"/>
        </w:r>
      </w:hyperlink>
    </w:p>
    <w:p w14:paraId="631BF345" w14:textId="19354CD2" w:rsidR="0090362E" w:rsidRDefault="00431415">
      <w:pPr>
        <w:pStyle w:val="TOC2"/>
        <w:rPr>
          <w:rFonts w:asciiTheme="minorHAnsi" w:eastAsiaTheme="minorEastAsia" w:hAnsiTheme="minorHAnsi" w:cstheme="minorBidi"/>
          <w:noProof/>
          <w:kern w:val="2"/>
          <w:szCs w:val="22"/>
          <w:lang w:eastAsia="en-NZ"/>
          <w14:ligatures w14:val="standardContextual"/>
        </w:rPr>
      </w:pPr>
      <w:hyperlink w:anchor="_Toc195016552" w:history="1">
        <w:r w:rsidR="0090362E" w:rsidRPr="005A609B">
          <w:rPr>
            <w:rStyle w:val="Hyperlink"/>
            <w:rFonts w:eastAsia="Calibri"/>
            <w:noProof/>
          </w:rPr>
          <w:t>Contraception services in New Zealand</w:t>
        </w:r>
        <w:r w:rsidR="0090362E">
          <w:rPr>
            <w:noProof/>
            <w:webHidden/>
          </w:rPr>
          <w:tab/>
        </w:r>
        <w:r w:rsidR="0090362E">
          <w:rPr>
            <w:noProof/>
            <w:webHidden/>
          </w:rPr>
          <w:fldChar w:fldCharType="begin"/>
        </w:r>
        <w:r w:rsidR="0090362E">
          <w:rPr>
            <w:noProof/>
            <w:webHidden/>
          </w:rPr>
          <w:instrText xml:space="preserve"> PAGEREF _Toc195016552 \h </w:instrText>
        </w:r>
        <w:r w:rsidR="0090362E">
          <w:rPr>
            <w:noProof/>
            <w:webHidden/>
          </w:rPr>
        </w:r>
        <w:r w:rsidR="0090362E">
          <w:rPr>
            <w:noProof/>
            <w:webHidden/>
          </w:rPr>
          <w:fldChar w:fldCharType="separate"/>
        </w:r>
        <w:r w:rsidR="0090362E">
          <w:rPr>
            <w:noProof/>
            <w:webHidden/>
          </w:rPr>
          <w:t>11</w:t>
        </w:r>
        <w:r w:rsidR="0090362E">
          <w:rPr>
            <w:noProof/>
            <w:webHidden/>
          </w:rPr>
          <w:fldChar w:fldCharType="end"/>
        </w:r>
      </w:hyperlink>
    </w:p>
    <w:p w14:paraId="42509055" w14:textId="55333B80" w:rsidR="0090362E" w:rsidRDefault="00431415">
      <w:pPr>
        <w:pStyle w:val="TOC2"/>
        <w:rPr>
          <w:rFonts w:asciiTheme="minorHAnsi" w:eastAsiaTheme="minorEastAsia" w:hAnsiTheme="minorHAnsi" w:cstheme="minorBidi"/>
          <w:noProof/>
          <w:kern w:val="2"/>
          <w:szCs w:val="22"/>
          <w:lang w:eastAsia="en-NZ"/>
          <w14:ligatures w14:val="standardContextual"/>
        </w:rPr>
      </w:pPr>
      <w:hyperlink w:anchor="_Toc195016553" w:history="1">
        <w:r w:rsidR="0090362E" w:rsidRPr="005A609B">
          <w:rPr>
            <w:rStyle w:val="Hyperlink"/>
            <w:noProof/>
          </w:rPr>
          <w:t>Timely and equitable access</w:t>
        </w:r>
        <w:r w:rsidR="0090362E">
          <w:rPr>
            <w:noProof/>
            <w:webHidden/>
          </w:rPr>
          <w:tab/>
        </w:r>
        <w:r w:rsidR="0090362E">
          <w:rPr>
            <w:noProof/>
            <w:webHidden/>
          </w:rPr>
          <w:fldChar w:fldCharType="begin"/>
        </w:r>
        <w:r w:rsidR="0090362E">
          <w:rPr>
            <w:noProof/>
            <w:webHidden/>
          </w:rPr>
          <w:instrText xml:space="preserve"> PAGEREF _Toc195016553 \h </w:instrText>
        </w:r>
        <w:r w:rsidR="0090362E">
          <w:rPr>
            <w:noProof/>
            <w:webHidden/>
          </w:rPr>
        </w:r>
        <w:r w:rsidR="0090362E">
          <w:rPr>
            <w:noProof/>
            <w:webHidden/>
          </w:rPr>
          <w:fldChar w:fldCharType="separate"/>
        </w:r>
        <w:r w:rsidR="0090362E">
          <w:rPr>
            <w:noProof/>
            <w:webHidden/>
          </w:rPr>
          <w:t>12</w:t>
        </w:r>
        <w:r w:rsidR="0090362E">
          <w:rPr>
            <w:noProof/>
            <w:webHidden/>
          </w:rPr>
          <w:fldChar w:fldCharType="end"/>
        </w:r>
      </w:hyperlink>
    </w:p>
    <w:p w14:paraId="27BDE6CB" w14:textId="402506CF" w:rsidR="0090362E" w:rsidRDefault="00431415">
      <w:pPr>
        <w:pStyle w:val="TOC2"/>
        <w:rPr>
          <w:rFonts w:asciiTheme="minorHAnsi" w:eastAsiaTheme="minorEastAsia" w:hAnsiTheme="minorHAnsi" w:cstheme="minorBidi"/>
          <w:noProof/>
          <w:kern w:val="2"/>
          <w:szCs w:val="22"/>
          <w:lang w:eastAsia="en-NZ"/>
          <w14:ligatures w14:val="standardContextual"/>
        </w:rPr>
      </w:pPr>
      <w:hyperlink w:anchor="_Toc195016554" w:history="1">
        <w:r w:rsidR="0090362E" w:rsidRPr="005A609B">
          <w:rPr>
            <w:rStyle w:val="Hyperlink"/>
            <w:noProof/>
          </w:rPr>
          <w:t>Relative costs of contraception throughout New Zealand</w:t>
        </w:r>
        <w:r w:rsidR="0090362E">
          <w:rPr>
            <w:noProof/>
            <w:webHidden/>
          </w:rPr>
          <w:tab/>
        </w:r>
        <w:r w:rsidR="0090362E">
          <w:rPr>
            <w:noProof/>
            <w:webHidden/>
          </w:rPr>
          <w:fldChar w:fldCharType="begin"/>
        </w:r>
        <w:r w:rsidR="0090362E">
          <w:rPr>
            <w:noProof/>
            <w:webHidden/>
          </w:rPr>
          <w:instrText xml:space="preserve"> PAGEREF _Toc195016554 \h </w:instrText>
        </w:r>
        <w:r w:rsidR="0090362E">
          <w:rPr>
            <w:noProof/>
            <w:webHidden/>
          </w:rPr>
        </w:r>
        <w:r w:rsidR="0090362E">
          <w:rPr>
            <w:noProof/>
            <w:webHidden/>
          </w:rPr>
          <w:fldChar w:fldCharType="separate"/>
        </w:r>
        <w:r w:rsidR="0090362E">
          <w:rPr>
            <w:noProof/>
            <w:webHidden/>
          </w:rPr>
          <w:t>14</w:t>
        </w:r>
        <w:r w:rsidR="0090362E">
          <w:rPr>
            <w:noProof/>
            <w:webHidden/>
          </w:rPr>
          <w:fldChar w:fldCharType="end"/>
        </w:r>
      </w:hyperlink>
    </w:p>
    <w:p w14:paraId="3B4BD263" w14:textId="197732B3" w:rsidR="0090362E" w:rsidRDefault="00431415">
      <w:pPr>
        <w:pStyle w:val="TOC1"/>
        <w:rPr>
          <w:rFonts w:asciiTheme="minorHAnsi" w:eastAsiaTheme="minorEastAsia" w:hAnsiTheme="minorHAnsi" w:cstheme="minorBidi"/>
          <w:noProof/>
          <w:kern w:val="2"/>
          <w:sz w:val="22"/>
          <w:szCs w:val="22"/>
          <w:lang w:eastAsia="en-NZ"/>
          <w14:ligatures w14:val="standardContextual"/>
        </w:rPr>
      </w:pPr>
      <w:hyperlink w:anchor="_Toc195016555" w:history="1">
        <w:r w:rsidR="0090362E" w:rsidRPr="005A609B">
          <w:rPr>
            <w:rStyle w:val="Hyperlink"/>
            <w:noProof/>
          </w:rPr>
          <w:t>Sterilisation – Te kokoti-uru</w:t>
        </w:r>
        <w:r w:rsidR="0090362E">
          <w:rPr>
            <w:noProof/>
            <w:webHidden/>
          </w:rPr>
          <w:tab/>
        </w:r>
        <w:r w:rsidR="0090362E">
          <w:rPr>
            <w:noProof/>
            <w:webHidden/>
          </w:rPr>
          <w:fldChar w:fldCharType="begin"/>
        </w:r>
        <w:r w:rsidR="0090362E">
          <w:rPr>
            <w:noProof/>
            <w:webHidden/>
          </w:rPr>
          <w:instrText xml:space="preserve"> PAGEREF _Toc195016555 \h </w:instrText>
        </w:r>
        <w:r w:rsidR="0090362E">
          <w:rPr>
            <w:noProof/>
            <w:webHidden/>
          </w:rPr>
        </w:r>
        <w:r w:rsidR="0090362E">
          <w:rPr>
            <w:noProof/>
            <w:webHidden/>
          </w:rPr>
          <w:fldChar w:fldCharType="separate"/>
        </w:r>
        <w:r w:rsidR="0090362E">
          <w:rPr>
            <w:noProof/>
            <w:webHidden/>
          </w:rPr>
          <w:t>16</w:t>
        </w:r>
        <w:r w:rsidR="0090362E">
          <w:rPr>
            <w:noProof/>
            <w:webHidden/>
          </w:rPr>
          <w:fldChar w:fldCharType="end"/>
        </w:r>
      </w:hyperlink>
    </w:p>
    <w:p w14:paraId="66D2F53B" w14:textId="586E64F5" w:rsidR="0090362E" w:rsidRDefault="00431415">
      <w:pPr>
        <w:pStyle w:val="TOC2"/>
        <w:rPr>
          <w:rFonts w:asciiTheme="minorHAnsi" w:eastAsiaTheme="minorEastAsia" w:hAnsiTheme="minorHAnsi" w:cstheme="minorBidi"/>
          <w:noProof/>
          <w:kern w:val="2"/>
          <w:szCs w:val="22"/>
          <w:lang w:eastAsia="en-NZ"/>
          <w14:ligatures w14:val="standardContextual"/>
        </w:rPr>
      </w:pPr>
      <w:hyperlink w:anchor="_Toc195016556" w:history="1">
        <w:r w:rsidR="0090362E" w:rsidRPr="005A609B">
          <w:rPr>
            <w:rStyle w:val="Hyperlink"/>
            <w:noProof/>
          </w:rPr>
          <w:t>Data collection</w:t>
        </w:r>
        <w:r w:rsidR="0090362E">
          <w:rPr>
            <w:noProof/>
            <w:webHidden/>
          </w:rPr>
          <w:tab/>
        </w:r>
        <w:r w:rsidR="0090362E">
          <w:rPr>
            <w:noProof/>
            <w:webHidden/>
          </w:rPr>
          <w:fldChar w:fldCharType="begin"/>
        </w:r>
        <w:r w:rsidR="0090362E">
          <w:rPr>
            <w:noProof/>
            <w:webHidden/>
          </w:rPr>
          <w:instrText xml:space="preserve"> PAGEREF _Toc195016556 \h </w:instrText>
        </w:r>
        <w:r w:rsidR="0090362E">
          <w:rPr>
            <w:noProof/>
            <w:webHidden/>
          </w:rPr>
        </w:r>
        <w:r w:rsidR="0090362E">
          <w:rPr>
            <w:noProof/>
            <w:webHidden/>
          </w:rPr>
          <w:fldChar w:fldCharType="separate"/>
        </w:r>
        <w:r w:rsidR="0090362E">
          <w:rPr>
            <w:noProof/>
            <w:webHidden/>
          </w:rPr>
          <w:t>16</w:t>
        </w:r>
        <w:r w:rsidR="0090362E">
          <w:rPr>
            <w:noProof/>
            <w:webHidden/>
          </w:rPr>
          <w:fldChar w:fldCharType="end"/>
        </w:r>
      </w:hyperlink>
    </w:p>
    <w:p w14:paraId="4616CD66" w14:textId="39A1B26A" w:rsidR="0090362E" w:rsidRDefault="00431415">
      <w:pPr>
        <w:pStyle w:val="TOC2"/>
        <w:rPr>
          <w:rFonts w:asciiTheme="minorHAnsi" w:eastAsiaTheme="minorEastAsia" w:hAnsiTheme="minorHAnsi" w:cstheme="minorBidi"/>
          <w:noProof/>
          <w:kern w:val="2"/>
          <w:szCs w:val="22"/>
          <w:lang w:eastAsia="en-NZ"/>
          <w14:ligatures w14:val="standardContextual"/>
        </w:rPr>
      </w:pPr>
      <w:hyperlink w:anchor="_Toc195016557" w:history="1">
        <w:r w:rsidR="0090362E" w:rsidRPr="005A609B">
          <w:rPr>
            <w:rStyle w:val="Hyperlink"/>
            <w:noProof/>
          </w:rPr>
          <w:t>Timely and equitable access</w:t>
        </w:r>
        <w:r w:rsidR="0090362E">
          <w:rPr>
            <w:noProof/>
            <w:webHidden/>
          </w:rPr>
          <w:tab/>
        </w:r>
        <w:r w:rsidR="0090362E">
          <w:rPr>
            <w:noProof/>
            <w:webHidden/>
          </w:rPr>
          <w:fldChar w:fldCharType="begin"/>
        </w:r>
        <w:r w:rsidR="0090362E">
          <w:rPr>
            <w:noProof/>
            <w:webHidden/>
          </w:rPr>
          <w:instrText xml:space="preserve"> PAGEREF _Toc195016557 \h </w:instrText>
        </w:r>
        <w:r w:rsidR="0090362E">
          <w:rPr>
            <w:noProof/>
            <w:webHidden/>
          </w:rPr>
        </w:r>
        <w:r w:rsidR="0090362E">
          <w:rPr>
            <w:noProof/>
            <w:webHidden/>
          </w:rPr>
          <w:fldChar w:fldCharType="separate"/>
        </w:r>
        <w:r w:rsidR="0090362E">
          <w:rPr>
            <w:noProof/>
            <w:webHidden/>
          </w:rPr>
          <w:t>17</w:t>
        </w:r>
        <w:r w:rsidR="0090362E">
          <w:rPr>
            <w:noProof/>
            <w:webHidden/>
          </w:rPr>
          <w:fldChar w:fldCharType="end"/>
        </w:r>
      </w:hyperlink>
    </w:p>
    <w:p w14:paraId="73D28A48" w14:textId="3B56F064" w:rsidR="0090362E" w:rsidRDefault="00431415">
      <w:pPr>
        <w:pStyle w:val="TOC2"/>
        <w:rPr>
          <w:rFonts w:asciiTheme="minorHAnsi" w:eastAsiaTheme="minorEastAsia" w:hAnsiTheme="minorHAnsi" w:cstheme="minorBidi"/>
          <w:noProof/>
          <w:kern w:val="2"/>
          <w:szCs w:val="22"/>
          <w:lang w:eastAsia="en-NZ"/>
          <w14:ligatures w14:val="standardContextual"/>
        </w:rPr>
      </w:pPr>
      <w:hyperlink w:anchor="_Toc195016558" w:history="1">
        <w:r w:rsidR="0090362E" w:rsidRPr="005A609B">
          <w:rPr>
            <w:rStyle w:val="Hyperlink"/>
            <w:noProof/>
          </w:rPr>
          <w:t>Relative costs of sterilisation throughout New Zealand</w:t>
        </w:r>
        <w:r w:rsidR="0090362E">
          <w:rPr>
            <w:noProof/>
            <w:webHidden/>
          </w:rPr>
          <w:tab/>
        </w:r>
        <w:r w:rsidR="0090362E">
          <w:rPr>
            <w:noProof/>
            <w:webHidden/>
          </w:rPr>
          <w:fldChar w:fldCharType="begin"/>
        </w:r>
        <w:r w:rsidR="0090362E">
          <w:rPr>
            <w:noProof/>
            <w:webHidden/>
          </w:rPr>
          <w:instrText xml:space="preserve"> PAGEREF _Toc195016558 \h </w:instrText>
        </w:r>
        <w:r w:rsidR="0090362E">
          <w:rPr>
            <w:noProof/>
            <w:webHidden/>
          </w:rPr>
        </w:r>
        <w:r w:rsidR="0090362E">
          <w:rPr>
            <w:noProof/>
            <w:webHidden/>
          </w:rPr>
          <w:fldChar w:fldCharType="separate"/>
        </w:r>
        <w:r w:rsidR="0090362E">
          <w:rPr>
            <w:noProof/>
            <w:webHidden/>
          </w:rPr>
          <w:t>19</w:t>
        </w:r>
        <w:r w:rsidR="0090362E">
          <w:rPr>
            <w:noProof/>
            <w:webHidden/>
          </w:rPr>
          <w:fldChar w:fldCharType="end"/>
        </w:r>
      </w:hyperlink>
    </w:p>
    <w:p w14:paraId="6F0FF041" w14:textId="52A16BCA" w:rsidR="0090362E" w:rsidRDefault="00431415">
      <w:pPr>
        <w:pStyle w:val="TOC1"/>
        <w:rPr>
          <w:rFonts w:asciiTheme="minorHAnsi" w:eastAsiaTheme="minorEastAsia" w:hAnsiTheme="minorHAnsi" w:cstheme="minorBidi"/>
          <w:noProof/>
          <w:kern w:val="2"/>
          <w:sz w:val="22"/>
          <w:szCs w:val="22"/>
          <w:lang w:eastAsia="en-NZ"/>
          <w14:ligatures w14:val="standardContextual"/>
        </w:rPr>
      </w:pPr>
      <w:hyperlink w:anchor="_Toc195016559" w:history="1">
        <w:r w:rsidR="0090362E" w:rsidRPr="005A609B">
          <w:rPr>
            <w:rStyle w:val="Hyperlink"/>
            <w:noProof/>
          </w:rPr>
          <w:t>Information and advisory services – Ngā ratonga tuku kōrero</w:t>
        </w:r>
        <w:r w:rsidR="0090362E">
          <w:rPr>
            <w:noProof/>
            <w:webHidden/>
          </w:rPr>
          <w:tab/>
        </w:r>
        <w:r w:rsidR="0090362E">
          <w:rPr>
            <w:noProof/>
            <w:webHidden/>
          </w:rPr>
          <w:fldChar w:fldCharType="begin"/>
        </w:r>
        <w:r w:rsidR="0090362E">
          <w:rPr>
            <w:noProof/>
            <w:webHidden/>
          </w:rPr>
          <w:instrText xml:space="preserve"> PAGEREF _Toc195016559 \h </w:instrText>
        </w:r>
        <w:r w:rsidR="0090362E">
          <w:rPr>
            <w:noProof/>
            <w:webHidden/>
          </w:rPr>
        </w:r>
        <w:r w:rsidR="0090362E">
          <w:rPr>
            <w:noProof/>
            <w:webHidden/>
          </w:rPr>
          <w:fldChar w:fldCharType="separate"/>
        </w:r>
        <w:r w:rsidR="0090362E">
          <w:rPr>
            <w:noProof/>
            <w:webHidden/>
          </w:rPr>
          <w:t>20</w:t>
        </w:r>
        <w:r w:rsidR="0090362E">
          <w:rPr>
            <w:noProof/>
            <w:webHidden/>
          </w:rPr>
          <w:fldChar w:fldCharType="end"/>
        </w:r>
      </w:hyperlink>
    </w:p>
    <w:p w14:paraId="5180D071" w14:textId="3138BA43" w:rsidR="0090362E" w:rsidRDefault="00431415">
      <w:pPr>
        <w:pStyle w:val="TOC1"/>
        <w:rPr>
          <w:rFonts w:asciiTheme="minorHAnsi" w:eastAsiaTheme="minorEastAsia" w:hAnsiTheme="minorHAnsi" w:cstheme="minorBidi"/>
          <w:noProof/>
          <w:kern w:val="2"/>
          <w:sz w:val="22"/>
          <w:szCs w:val="22"/>
          <w:lang w:eastAsia="en-NZ"/>
          <w14:ligatures w14:val="standardContextual"/>
        </w:rPr>
      </w:pPr>
      <w:hyperlink w:anchor="_Toc195016560" w:history="1">
        <w:r w:rsidR="0090362E" w:rsidRPr="005A609B">
          <w:rPr>
            <w:rStyle w:val="Hyperlink"/>
            <w:noProof/>
          </w:rPr>
          <w:t>Counselling – Te mahi tohuora</w:t>
        </w:r>
        <w:r w:rsidR="0090362E">
          <w:rPr>
            <w:noProof/>
            <w:webHidden/>
          </w:rPr>
          <w:tab/>
        </w:r>
        <w:r w:rsidR="0090362E">
          <w:rPr>
            <w:noProof/>
            <w:webHidden/>
          </w:rPr>
          <w:fldChar w:fldCharType="begin"/>
        </w:r>
        <w:r w:rsidR="0090362E">
          <w:rPr>
            <w:noProof/>
            <w:webHidden/>
          </w:rPr>
          <w:instrText xml:space="preserve"> PAGEREF _Toc195016560 \h </w:instrText>
        </w:r>
        <w:r w:rsidR="0090362E">
          <w:rPr>
            <w:noProof/>
            <w:webHidden/>
          </w:rPr>
        </w:r>
        <w:r w:rsidR="0090362E">
          <w:rPr>
            <w:noProof/>
            <w:webHidden/>
          </w:rPr>
          <w:fldChar w:fldCharType="separate"/>
        </w:r>
        <w:r w:rsidR="0090362E">
          <w:rPr>
            <w:noProof/>
            <w:webHidden/>
          </w:rPr>
          <w:t>22</w:t>
        </w:r>
        <w:r w:rsidR="0090362E">
          <w:rPr>
            <w:noProof/>
            <w:webHidden/>
          </w:rPr>
          <w:fldChar w:fldCharType="end"/>
        </w:r>
      </w:hyperlink>
    </w:p>
    <w:p w14:paraId="55C96F5E" w14:textId="33C3140F" w:rsidR="0090362E" w:rsidRDefault="00431415">
      <w:pPr>
        <w:pStyle w:val="TOC2"/>
        <w:rPr>
          <w:rFonts w:asciiTheme="minorHAnsi" w:eastAsiaTheme="minorEastAsia" w:hAnsiTheme="minorHAnsi" w:cstheme="minorBidi"/>
          <w:noProof/>
          <w:kern w:val="2"/>
          <w:szCs w:val="22"/>
          <w:lang w:eastAsia="en-NZ"/>
          <w14:ligatures w14:val="standardContextual"/>
        </w:rPr>
      </w:pPr>
      <w:hyperlink w:anchor="_Toc195016561" w:history="1">
        <w:r w:rsidR="0090362E" w:rsidRPr="005A609B">
          <w:rPr>
            <w:rStyle w:val="Hyperlink"/>
            <w:noProof/>
          </w:rPr>
          <w:t>Timely and equitable access</w:t>
        </w:r>
        <w:r w:rsidR="0090362E">
          <w:rPr>
            <w:noProof/>
            <w:webHidden/>
          </w:rPr>
          <w:tab/>
        </w:r>
        <w:r w:rsidR="0090362E">
          <w:rPr>
            <w:noProof/>
            <w:webHidden/>
          </w:rPr>
          <w:fldChar w:fldCharType="begin"/>
        </w:r>
        <w:r w:rsidR="0090362E">
          <w:rPr>
            <w:noProof/>
            <w:webHidden/>
          </w:rPr>
          <w:instrText xml:space="preserve"> PAGEREF _Toc195016561 \h </w:instrText>
        </w:r>
        <w:r w:rsidR="0090362E">
          <w:rPr>
            <w:noProof/>
            <w:webHidden/>
          </w:rPr>
        </w:r>
        <w:r w:rsidR="0090362E">
          <w:rPr>
            <w:noProof/>
            <w:webHidden/>
          </w:rPr>
          <w:fldChar w:fldCharType="separate"/>
        </w:r>
        <w:r w:rsidR="0090362E">
          <w:rPr>
            <w:noProof/>
            <w:webHidden/>
          </w:rPr>
          <w:t>23</w:t>
        </w:r>
        <w:r w:rsidR="0090362E">
          <w:rPr>
            <w:noProof/>
            <w:webHidden/>
          </w:rPr>
          <w:fldChar w:fldCharType="end"/>
        </w:r>
      </w:hyperlink>
    </w:p>
    <w:p w14:paraId="2BC24DB4" w14:textId="2EA28C4F" w:rsidR="0090362E" w:rsidRDefault="00431415">
      <w:pPr>
        <w:pStyle w:val="TOC2"/>
        <w:rPr>
          <w:rFonts w:asciiTheme="minorHAnsi" w:eastAsiaTheme="minorEastAsia" w:hAnsiTheme="minorHAnsi" w:cstheme="minorBidi"/>
          <w:noProof/>
          <w:kern w:val="2"/>
          <w:szCs w:val="22"/>
          <w:lang w:eastAsia="en-NZ"/>
          <w14:ligatures w14:val="standardContextual"/>
        </w:rPr>
      </w:pPr>
      <w:hyperlink w:anchor="_Toc195016562" w:history="1">
        <w:r w:rsidR="0090362E" w:rsidRPr="005A609B">
          <w:rPr>
            <w:rStyle w:val="Hyperlink"/>
            <w:noProof/>
          </w:rPr>
          <w:t>Relative costs of counselling throughout New Zealand</w:t>
        </w:r>
        <w:r w:rsidR="0090362E">
          <w:rPr>
            <w:noProof/>
            <w:webHidden/>
          </w:rPr>
          <w:tab/>
        </w:r>
        <w:r w:rsidR="0090362E">
          <w:rPr>
            <w:noProof/>
            <w:webHidden/>
          </w:rPr>
          <w:fldChar w:fldCharType="begin"/>
        </w:r>
        <w:r w:rsidR="0090362E">
          <w:rPr>
            <w:noProof/>
            <w:webHidden/>
          </w:rPr>
          <w:instrText xml:space="preserve"> PAGEREF _Toc195016562 \h </w:instrText>
        </w:r>
        <w:r w:rsidR="0090362E">
          <w:rPr>
            <w:noProof/>
            <w:webHidden/>
          </w:rPr>
        </w:r>
        <w:r w:rsidR="0090362E">
          <w:rPr>
            <w:noProof/>
            <w:webHidden/>
          </w:rPr>
          <w:fldChar w:fldCharType="separate"/>
        </w:r>
        <w:r w:rsidR="0090362E">
          <w:rPr>
            <w:noProof/>
            <w:webHidden/>
          </w:rPr>
          <w:t>26</w:t>
        </w:r>
        <w:r w:rsidR="0090362E">
          <w:rPr>
            <w:noProof/>
            <w:webHidden/>
          </w:rPr>
          <w:fldChar w:fldCharType="end"/>
        </w:r>
      </w:hyperlink>
    </w:p>
    <w:p w14:paraId="582BC316" w14:textId="201399E4" w:rsidR="0090362E" w:rsidRDefault="00431415">
      <w:pPr>
        <w:pStyle w:val="TOC1"/>
        <w:rPr>
          <w:rFonts w:asciiTheme="minorHAnsi" w:eastAsiaTheme="minorEastAsia" w:hAnsiTheme="minorHAnsi" w:cstheme="minorBidi"/>
          <w:noProof/>
          <w:kern w:val="2"/>
          <w:sz w:val="22"/>
          <w:szCs w:val="22"/>
          <w:lang w:eastAsia="en-NZ"/>
          <w14:ligatures w14:val="standardContextual"/>
        </w:rPr>
      </w:pPr>
      <w:hyperlink w:anchor="_Toc195016563" w:history="1">
        <w:r w:rsidR="0090362E" w:rsidRPr="005A609B">
          <w:rPr>
            <w:rStyle w:val="Hyperlink"/>
            <w:noProof/>
          </w:rPr>
          <w:t xml:space="preserve">Abortion </w:t>
        </w:r>
        <w:r w:rsidR="0090362E" w:rsidRPr="005A609B">
          <w:rPr>
            <w:rStyle w:val="Hyperlink"/>
            <w:rFonts w:eastAsia="Calibri"/>
            <w:noProof/>
          </w:rPr>
          <w:t>– Te whakatahe</w:t>
        </w:r>
        <w:r w:rsidR="0090362E">
          <w:rPr>
            <w:noProof/>
            <w:webHidden/>
          </w:rPr>
          <w:tab/>
        </w:r>
        <w:r w:rsidR="0090362E">
          <w:rPr>
            <w:noProof/>
            <w:webHidden/>
          </w:rPr>
          <w:fldChar w:fldCharType="begin"/>
        </w:r>
        <w:r w:rsidR="0090362E">
          <w:rPr>
            <w:noProof/>
            <w:webHidden/>
          </w:rPr>
          <w:instrText xml:space="preserve"> PAGEREF _Toc195016563 \h </w:instrText>
        </w:r>
        <w:r w:rsidR="0090362E">
          <w:rPr>
            <w:noProof/>
            <w:webHidden/>
          </w:rPr>
        </w:r>
        <w:r w:rsidR="0090362E">
          <w:rPr>
            <w:noProof/>
            <w:webHidden/>
          </w:rPr>
          <w:fldChar w:fldCharType="separate"/>
        </w:r>
        <w:r w:rsidR="0090362E">
          <w:rPr>
            <w:noProof/>
            <w:webHidden/>
          </w:rPr>
          <w:t>27</w:t>
        </w:r>
        <w:r w:rsidR="0090362E">
          <w:rPr>
            <w:noProof/>
            <w:webHidden/>
          </w:rPr>
          <w:fldChar w:fldCharType="end"/>
        </w:r>
      </w:hyperlink>
    </w:p>
    <w:p w14:paraId="21E814E3" w14:textId="04C90373" w:rsidR="0090362E" w:rsidRDefault="00431415">
      <w:pPr>
        <w:pStyle w:val="TOC2"/>
        <w:rPr>
          <w:rFonts w:asciiTheme="minorHAnsi" w:eastAsiaTheme="minorEastAsia" w:hAnsiTheme="minorHAnsi" w:cstheme="minorBidi"/>
          <w:noProof/>
          <w:kern w:val="2"/>
          <w:szCs w:val="22"/>
          <w:lang w:eastAsia="en-NZ"/>
          <w14:ligatures w14:val="standardContextual"/>
        </w:rPr>
      </w:pPr>
      <w:hyperlink w:anchor="_Toc195016564" w:history="1">
        <w:r w:rsidR="0090362E" w:rsidRPr="005A609B">
          <w:rPr>
            <w:rStyle w:val="Hyperlink"/>
            <w:rFonts w:eastAsia="Calibri"/>
            <w:noProof/>
            <w:lang w:eastAsia="en-US"/>
          </w:rPr>
          <w:t>Data collection</w:t>
        </w:r>
        <w:r w:rsidR="0090362E">
          <w:rPr>
            <w:noProof/>
            <w:webHidden/>
          </w:rPr>
          <w:tab/>
        </w:r>
        <w:r w:rsidR="0090362E">
          <w:rPr>
            <w:noProof/>
            <w:webHidden/>
          </w:rPr>
          <w:fldChar w:fldCharType="begin"/>
        </w:r>
        <w:r w:rsidR="0090362E">
          <w:rPr>
            <w:noProof/>
            <w:webHidden/>
          </w:rPr>
          <w:instrText xml:space="preserve"> PAGEREF _Toc195016564 \h </w:instrText>
        </w:r>
        <w:r w:rsidR="0090362E">
          <w:rPr>
            <w:noProof/>
            <w:webHidden/>
          </w:rPr>
        </w:r>
        <w:r w:rsidR="0090362E">
          <w:rPr>
            <w:noProof/>
            <w:webHidden/>
          </w:rPr>
          <w:fldChar w:fldCharType="separate"/>
        </w:r>
        <w:r w:rsidR="0090362E">
          <w:rPr>
            <w:noProof/>
            <w:webHidden/>
          </w:rPr>
          <w:t>27</w:t>
        </w:r>
        <w:r w:rsidR="0090362E">
          <w:rPr>
            <w:noProof/>
            <w:webHidden/>
          </w:rPr>
          <w:fldChar w:fldCharType="end"/>
        </w:r>
      </w:hyperlink>
    </w:p>
    <w:p w14:paraId="5F75FF89" w14:textId="3368EF6D" w:rsidR="0090362E" w:rsidRDefault="00431415">
      <w:pPr>
        <w:pStyle w:val="TOC2"/>
        <w:rPr>
          <w:rFonts w:asciiTheme="minorHAnsi" w:eastAsiaTheme="minorEastAsia" w:hAnsiTheme="minorHAnsi" w:cstheme="minorBidi"/>
          <w:noProof/>
          <w:kern w:val="2"/>
          <w:szCs w:val="22"/>
          <w:lang w:eastAsia="en-NZ"/>
          <w14:ligatures w14:val="standardContextual"/>
        </w:rPr>
      </w:pPr>
      <w:hyperlink w:anchor="_Toc195016565" w:history="1">
        <w:r w:rsidR="0090362E" w:rsidRPr="005A609B">
          <w:rPr>
            <w:rStyle w:val="Hyperlink"/>
            <w:rFonts w:eastAsia="Calibri"/>
            <w:noProof/>
            <w:lang w:eastAsia="en-US"/>
          </w:rPr>
          <w:t>Medicines</w:t>
        </w:r>
        <w:r w:rsidR="0090362E">
          <w:rPr>
            <w:noProof/>
            <w:webHidden/>
          </w:rPr>
          <w:tab/>
        </w:r>
        <w:r w:rsidR="0090362E">
          <w:rPr>
            <w:noProof/>
            <w:webHidden/>
          </w:rPr>
          <w:fldChar w:fldCharType="begin"/>
        </w:r>
        <w:r w:rsidR="0090362E">
          <w:rPr>
            <w:noProof/>
            <w:webHidden/>
          </w:rPr>
          <w:instrText xml:space="preserve"> PAGEREF _Toc195016565 \h </w:instrText>
        </w:r>
        <w:r w:rsidR="0090362E">
          <w:rPr>
            <w:noProof/>
            <w:webHidden/>
          </w:rPr>
        </w:r>
        <w:r w:rsidR="0090362E">
          <w:rPr>
            <w:noProof/>
            <w:webHidden/>
          </w:rPr>
          <w:fldChar w:fldCharType="separate"/>
        </w:r>
        <w:r w:rsidR="0090362E">
          <w:rPr>
            <w:noProof/>
            <w:webHidden/>
          </w:rPr>
          <w:t>28</w:t>
        </w:r>
        <w:r w:rsidR="0090362E">
          <w:rPr>
            <w:noProof/>
            <w:webHidden/>
          </w:rPr>
          <w:fldChar w:fldCharType="end"/>
        </w:r>
      </w:hyperlink>
    </w:p>
    <w:p w14:paraId="4CD91804" w14:textId="6AD57854" w:rsidR="0090362E" w:rsidRDefault="00431415">
      <w:pPr>
        <w:pStyle w:val="TOC2"/>
        <w:rPr>
          <w:rFonts w:asciiTheme="minorHAnsi" w:eastAsiaTheme="minorEastAsia" w:hAnsiTheme="minorHAnsi" w:cstheme="minorBidi"/>
          <w:noProof/>
          <w:kern w:val="2"/>
          <w:szCs w:val="22"/>
          <w:lang w:eastAsia="en-NZ"/>
          <w14:ligatures w14:val="standardContextual"/>
        </w:rPr>
      </w:pPr>
      <w:hyperlink w:anchor="_Toc195016566" w:history="1">
        <w:r w:rsidR="0090362E" w:rsidRPr="005A609B">
          <w:rPr>
            <w:rStyle w:val="Hyperlink"/>
            <w:rFonts w:eastAsia="Calibri"/>
            <w:noProof/>
            <w:lang w:eastAsia="en-US"/>
          </w:rPr>
          <w:t>Improved abortion services choice and access</w:t>
        </w:r>
        <w:r w:rsidR="0090362E">
          <w:rPr>
            <w:noProof/>
            <w:webHidden/>
          </w:rPr>
          <w:tab/>
        </w:r>
        <w:r w:rsidR="0090362E">
          <w:rPr>
            <w:noProof/>
            <w:webHidden/>
          </w:rPr>
          <w:fldChar w:fldCharType="begin"/>
        </w:r>
        <w:r w:rsidR="0090362E">
          <w:rPr>
            <w:noProof/>
            <w:webHidden/>
          </w:rPr>
          <w:instrText xml:space="preserve"> PAGEREF _Toc195016566 \h </w:instrText>
        </w:r>
        <w:r w:rsidR="0090362E">
          <w:rPr>
            <w:noProof/>
            <w:webHidden/>
          </w:rPr>
        </w:r>
        <w:r w:rsidR="0090362E">
          <w:rPr>
            <w:noProof/>
            <w:webHidden/>
          </w:rPr>
          <w:fldChar w:fldCharType="separate"/>
        </w:r>
        <w:r w:rsidR="0090362E">
          <w:rPr>
            <w:noProof/>
            <w:webHidden/>
          </w:rPr>
          <w:t>28</w:t>
        </w:r>
        <w:r w:rsidR="0090362E">
          <w:rPr>
            <w:noProof/>
            <w:webHidden/>
          </w:rPr>
          <w:fldChar w:fldCharType="end"/>
        </w:r>
      </w:hyperlink>
    </w:p>
    <w:p w14:paraId="3F7B24D9" w14:textId="19352FB8" w:rsidR="0090362E" w:rsidRDefault="00431415">
      <w:pPr>
        <w:pStyle w:val="TOC2"/>
        <w:rPr>
          <w:rFonts w:asciiTheme="minorHAnsi" w:eastAsiaTheme="minorEastAsia" w:hAnsiTheme="minorHAnsi" w:cstheme="minorBidi"/>
          <w:noProof/>
          <w:kern w:val="2"/>
          <w:szCs w:val="22"/>
          <w:lang w:eastAsia="en-NZ"/>
          <w14:ligatures w14:val="standardContextual"/>
        </w:rPr>
      </w:pPr>
      <w:hyperlink w:anchor="_Toc195016567" w:history="1">
        <w:r w:rsidR="0090362E" w:rsidRPr="005A609B">
          <w:rPr>
            <w:rStyle w:val="Hyperlink"/>
            <w:rFonts w:eastAsia="Calibri"/>
            <w:noProof/>
            <w:lang w:eastAsia="en-US"/>
          </w:rPr>
          <w:t>Continued barriers to in-person services, based on district of domicile</w:t>
        </w:r>
        <w:r w:rsidR="0090362E">
          <w:rPr>
            <w:noProof/>
            <w:webHidden/>
          </w:rPr>
          <w:tab/>
        </w:r>
        <w:r w:rsidR="0090362E">
          <w:rPr>
            <w:noProof/>
            <w:webHidden/>
          </w:rPr>
          <w:fldChar w:fldCharType="begin"/>
        </w:r>
        <w:r w:rsidR="0090362E">
          <w:rPr>
            <w:noProof/>
            <w:webHidden/>
          </w:rPr>
          <w:instrText xml:space="preserve"> PAGEREF _Toc195016567 \h </w:instrText>
        </w:r>
        <w:r w:rsidR="0090362E">
          <w:rPr>
            <w:noProof/>
            <w:webHidden/>
          </w:rPr>
        </w:r>
        <w:r w:rsidR="0090362E">
          <w:rPr>
            <w:noProof/>
            <w:webHidden/>
          </w:rPr>
          <w:fldChar w:fldCharType="separate"/>
        </w:r>
        <w:r w:rsidR="0090362E">
          <w:rPr>
            <w:noProof/>
            <w:webHidden/>
          </w:rPr>
          <w:t>31</w:t>
        </w:r>
        <w:r w:rsidR="0090362E">
          <w:rPr>
            <w:noProof/>
            <w:webHidden/>
          </w:rPr>
          <w:fldChar w:fldCharType="end"/>
        </w:r>
      </w:hyperlink>
    </w:p>
    <w:p w14:paraId="7241790A" w14:textId="338D89B9" w:rsidR="0090362E" w:rsidRDefault="00431415">
      <w:pPr>
        <w:pStyle w:val="TOC2"/>
        <w:rPr>
          <w:rFonts w:asciiTheme="minorHAnsi" w:eastAsiaTheme="minorEastAsia" w:hAnsiTheme="minorHAnsi" w:cstheme="minorBidi"/>
          <w:noProof/>
          <w:kern w:val="2"/>
          <w:szCs w:val="22"/>
          <w:lang w:eastAsia="en-NZ"/>
          <w14:ligatures w14:val="standardContextual"/>
        </w:rPr>
      </w:pPr>
      <w:hyperlink w:anchor="_Toc195016568" w:history="1">
        <w:r w:rsidR="0090362E" w:rsidRPr="005A609B">
          <w:rPr>
            <w:rStyle w:val="Hyperlink"/>
            <w:noProof/>
          </w:rPr>
          <w:t>Early medical abortion</w:t>
        </w:r>
        <w:r w:rsidR="0090362E">
          <w:rPr>
            <w:noProof/>
            <w:webHidden/>
          </w:rPr>
          <w:tab/>
        </w:r>
        <w:r w:rsidR="0090362E">
          <w:rPr>
            <w:noProof/>
            <w:webHidden/>
          </w:rPr>
          <w:fldChar w:fldCharType="begin"/>
        </w:r>
        <w:r w:rsidR="0090362E">
          <w:rPr>
            <w:noProof/>
            <w:webHidden/>
          </w:rPr>
          <w:instrText xml:space="preserve"> PAGEREF _Toc195016568 \h </w:instrText>
        </w:r>
        <w:r w:rsidR="0090362E">
          <w:rPr>
            <w:noProof/>
            <w:webHidden/>
          </w:rPr>
        </w:r>
        <w:r w:rsidR="0090362E">
          <w:rPr>
            <w:noProof/>
            <w:webHidden/>
          </w:rPr>
          <w:fldChar w:fldCharType="separate"/>
        </w:r>
        <w:r w:rsidR="0090362E">
          <w:rPr>
            <w:noProof/>
            <w:webHidden/>
          </w:rPr>
          <w:t>34</w:t>
        </w:r>
        <w:r w:rsidR="0090362E">
          <w:rPr>
            <w:noProof/>
            <w:webHidden/>
          </w:rPr>
          <w:fldChar w:fldCharType="end"/>
        </w:r>
      </w:hyperlink>
    </w:p>
    <w:p w14:paraId="54CD572A" w14:textId="266DCC99" w:rsidR="0090362E" w:rsidRDefault="00431415">
      <w:pPr>
        <w:pStyle w:val="TOC2"/>
        <w:rPr>
          <w:rFonts w:asciiTheme="minorHAnsi" w:eastAsiaTheme="minorEastAsia" w:hAnsiTheme="minorHAnsi" w:cstheme="minorBidi"/>
          <w:noProof/>
          <w:kern w:val="2"/>
          <w:szCs w:val="22"/>
          <w:lang w:eastAsia="en-NZ"/>
          <w14:ligatures w14:val="standardContextual"/>
        </w:rPr>
      </w:pPr>
      <w:hyperlink w:anchor="_Toc195016569" w:history="1">
        <w:r w:rsidR="0090362E" w:rsidRPr="005A609B">
          <w:rPr>
            <w:rStyle w:val="Hyperlink"/>
            <w:noProof/>
          </w:rPr>
          <w:t>Early surgical abortion</w:t>
        </w:r>
        <w:r w:rsidR="0090362E">
          <w:rPr>
            <w:noProof/>
            <w:webHidden/>
          </w:rPr>
          <w:tab/>
        </w:r>
        <w:r w:rsidR="0090362E">
          <w:rPr>
            <w:noProof/>
            <w:webHidden/>
          </w:rPr>
          <w:fldChar w:fldCharType="begin"/>
        </w:r>
        <w:r w:rsidR="0090362E">
          <w:rPr>
            <w:noProof/>
            <w:webHidden/>
          </w:rPr>
          <w:instrText xml:space="preserve"> PAGEREF _Toc195016569 \h </w:instrText>
        </w:r>
        <w:r w:rsidR="0090362E">
          <w:rPr>
            <w:noProof/>
            <w:webHidden/>
          </w:rPr>
        </w:r>
        <w:r w:rsidR="0090362E">
          <w:rPr>
            <w:noProof/>
            <w:webHidden/>
          </w:rPr>
          <w:fldChar w:fldCharType="separate"/>
        </w:r>
        <w:r w:rsidR="0090362E">
          <w:rPr>
            <w:noProof/>
            <w:webHidden/>
          </w:rPr>
          <w:t>35</w:t>
        </w:r>
        <w:r w:rsidR="0090362E">
          <w:rPr>
            <w:noProof/>
            <w:webHidden/>
          </w:rPr>
          <w:fldChar w:fldCharType="end"/>
        </w:r>
      </w:hyperlink>
    </w:p>
    <w:p w14:paraId="6495BAB3" w14:textId="43F13F1A" w:rsidR="0090362E" w:rsidRDefault="00431415">
      <w:pPr>
        <w:pStyle w:val="TOC2"/>
        <w:rPr>
          <w:rFonts w:asciiTheme="minorHAnsi" w:eastAsiaTheme="minorEastAsia" w:hAnsiTheme="minorHAnsi" w:cstheme="minorBidi"/>
          <w:noProof/>
          <w:kern w:val="2"/>
          <w:szCs w:val="22"/>
          <w:lang w:eastAsia="en-NZ"/>
          <w14:ligatures w14:val="standardContextual"/>
        </w:rPr>
      </w:pPr>
      <w:hyperlink w:anchor="_Toc195016570" w:history="1">
        <w:r w:rsidR="0090362E" w:rsidRPr="005A609B">
          <w:rPr>
            <w:rStyle w:val="Hyperlink"/>
            <w:noProof/>
          </w:rPr>
          <w:t>Later surgical abortion</w:t>
        </w:r>
        <w:r w:rsidR="0090362E">
          <w:rPr>
            <w:noProof/>
            <w:webHidden/>
          </w:rPr>
          <w:tab/>
        </w:r>
        <w:r w:rsidR="0090362E">
          <w:rPr>
            <w:noProof/>
            <w:webHidden/>
          </w:rPr>
          <w:fldChar w:fldCharType="begin"/>
        </w:r>
        <w:r w:rsidR="0090362E">
          <w:rPr>
            <w:noProof/>
            <w:webHidden/>
          </w:rPr>
          <w:instrText xml:space="preserve"> PAGEREF _Toc195016570 \h </w:instrText>
        </w:r>
        <w:r w:rsidR="0090362E">
          <w:rPr>
            <w:noProof/>
            <w:webHidden/>
          </w:rPr>
        </w:r>
        <w:r w:rsidR="0090362E">
          <w:rPr>
            <w:noProof/>
            <w:webHidden/>
          </w:rPr>
          <w:fldChar w:fldCharType="separate"/>
        </w:r>
        <w:r w:rsidR="0090362E">
          <w:rPr>
            <w:noProof/>
            <w:webHidden/>
          </w:rPr>
          <w:t>37</w:t>
        </w:r>
        <w:r w:rsidR="0090362E">
          <w:rPr>
            <w:noProof/>
            <w:webHidden/>
          </w:rPr>
          <w:fldChar w:fldCharType="end"/>
        </w:r>
      </w:hyperlink>
    </w:p>
    <w:p w14:paraId="5F285A10" w14:textId="59155056" w:rsidR="0090362E" w:rsidRDefault="00431415">
      <w:pPr>
        <w:pStyle w:val="TOC2"/>
        <w:rPr>
          <w:rFonts w:asciiTheme="minorHAnsi" w:eastAsiaTheme="minorEastAsia" w:hAnsiTheme="minorHAnsi" w:cstheme="minorBidi"/>
          <w:noProof/>
          <w:kern w:val="2"/>
          <w:szCs w:val="22"/>
          <w:lang w:eastAsia="en-NZ"/>
          <w14:ligatures w14:val="standardContextual"/>
        </w:rPr>
      </w:pPr>
      <w:hyperlink w:anchor="_Toc195016571" w:history="1">
        <w:r w:rsidR="0090362E" w:rsidRPr="005A609B">
          <w:rPr>
            <w:rStyle w:val="Hyperlink"/>
            <w:noProof/>
          </w:rPr>
          <w:t>Post 20-week abortion care</w:t>
        </w:r>
        <w:r w:rsidR="0090362E">
          <w:rPr>
            <w:noProof/>
            <w:webHidden/>
          </w:rPr>
          <w:tab/>
        </w:r>
        <w:r w:rsidR="0090362E">
          <w:rPr>
            <w:noProof/>
            <w:webHidden/>
          </w:rPr>
          <w:fldChar w:fldCharType="begin"/>
        </w:r>
        <w:r w:rsidR="0090362E">
          <w:rPr>
            <w:noProof/>
            <w:webHidden/>
          </w:rPr>
          <w:instrText xml:space="preserve"> PAGEREF _Toc195016571 \h </w:instrText>
        </w:r>
        <w:r w:rsidR="0090362E">
          <w:rPr>
            <w:noProof/>
            <w:webHidden/>
          </w:rPr>
        </w:r>
        <w:r w:rsidR="0090362E">
          <w:rPr>
            <w:noProof/>
            <w:webHidden/>
          </w:rPr>
          <w:fldChar w:fldCharType="separate"/>
        </w:r>
        <w:r w:rsidR="0090362E">
          <w:rPr>
            <w:noProof/>
            <w:webHidden/>
          </w:rPr>
          <w:t>39</w:t>
        </w:r>
        <w:r w:rsidR="0090362E">
          <w:rPr>
            <w:noProof/>
            <w:webHidden/>
          </w:rPr>
          <w:fldChar w:fldCharType="end"/>
        </w:r>
      </w:hyperlink>
    </w:p>
    <w:p w14:paraId="2A140D60" w14:textId="41306E08" w:rsidR="0090362E" w:rsidRDefault="00431415">
      <w:pPr>
        <w:pStyle w:val="TOC2"/>
        <w:rPr>
          <w:rFonts w:asciiTheme="minorHAnsi" w:eastAsiaTheme="minorEastAsia" w:hAnsiTheme="minorHAnsi" w:cstheme="minorBidi"/>
          <w:noProof/>
          <w:kern w:val="2"/>
          <w:szCs w:val="22"/>
          <w:lang w:eastAsia="en-NZ"/>
          <w14:ligatures w14:val="standardContextual"/>
        </w:rPr>
      </w:pPr>
      <w:hyperlink w:anchor="_Toc195016572" w:history="1">
        <w:r w:rsidR="0090362E" w:rsidRPr="005A609B">
          <w:rPr>
            <w:rStyle w:val="Hyperlink"/>
            <w:noProof/>
          </w:rPr>
          <w:t>Self-referral</w:t>
        </w:r>
        <w:r w:rsidR="0090362E">
          <w:rPr>
            <w:noProof/>
            <w:webHidden/>
          </w:rPr>
          <w:tab/>
        </w:r>
        <w:r w:rsidR="0090362E">
          <w:rPr>
            <w:noProof/>
            <w:webHidden/>
          </w:rPr>
          <w:fldChar w:fldCharType="begin"/>
        </w:r>
        <w:r w:rsidR="0090362E">
          <w:rPr>
            <w:noProof/>
            <w:webHidden/>
          </w:rPr>
          <w:instrText xml:space="preserve"> PAGEREF _Toc195016572 \h </w:instrText>
        </w:r>
        <w:r w:rsidR="0090362E">
          <w:rPr>
            <w:noProof/>
            <w:webHidden/>
          </w:rPr>
        </w:r>
        <w:r w:rsidR="0090362E">
          <w:rPr>
            <w:noProof/>
            <w:webHidden/>
          </w:rPr>
          <w:fldChar w:fldCharType="separate"/>
        </w:r>
        <w:r w:rsidR="0090362E">
          <w:rPr>
            <w:noProof/>
            <w:webHidden/>
          </w:rPr>
          <w:t>40</w:t>
        </w:r>
        <w:r w:rsidR="0090362E">
          <w:rPr>
            <w:noProof/>
            <w:webHidden/>
          </w:rPr>
          <w:fldChar w:fldCharType="end"/>
        </w:r>
      </w:hyperlink>
    </w:p>
    <w:p w14:paraId="5E51F57D" w14:textId="2F650828" w:rsidR="0090362E" w:rsidRDefault="00431415">
      <w:pPr>
        <w:pStyle w:val="TOC2"/>
        <w:rPr>
          <w:rFonts w:asciiTheme="minorHAnsi" w:eastAsiaTheme="minorEastAsia" w:hAnsiTheme="minorHAnsi" w:cstheme="minorBidi"/>
          <w:noProof/>
          <w:kern w:val="2"/>
          <w:szCs w:val="22"/>
          <w:lang w:eastAsia="en-NZ"/>
          <w14:ligatures w14:val="standardContextual"/>
        </w:rPr>
      </w:pPr>
      <w:hyperlink w:anchor="_Toc195016573" w:history="1">
        <w:r w:rsidR="0090362E" w:rsidRPr="005A609B">
          <w:rPr>
            <w:rStyle w:val="Hyperlink"/>
            <w:noProof/>
          </w:rPr>
          <w:t>Countering misinformation</w:t>
        </w:r>
        <w:r w:rsidR="0090362E">
          <w:rPr>
            <w:noProof/>
            <w:webHidden/>
          </w:rPr>
          <w:tab/>
        </w:r>
        <w:r w:rsidR="0090362E">
          <w:rPr>
            <w:noProof/>
            <w:webHidden/>
          </w:rPr>
          <w:fldChar w:fldCharType="begin"/>
        </w:r>
        <w:r w:rsidR="0090362E">
          <w:rPr>
            <w:noProof/>
            <w:webHidden/>
          </w:rPr>
          <w:instrText xml:space="preserve"> PAGEREF _Toc195016573 \h </w:instrText>
        </w:r>
        <w:r w:rsidR="0090362E">
          <w:rPr>
            <w:noProof/>
            <w:webHidden/>
          </w:rPr>
        </w:r>
        <w:r w:rsidR="0090362E">
          <w:rPr>
            <w:noProof/>
            <w:webHidden/>
          </w:rPr>
          <w:fldChar w:fldCharType="separate"/>
        </w:r>
        <w:r w:rsidR="0090362E">
          <w:rPr>
            <w:noProof/>
            <w:webHidden/>
          </w:rPr>
          <w:t>42</w:t>
        </w:r>
        <w:r w:rsidR="0090362E">
          <w:rPr>
            <w:noProof/>
            <w:webHidden/>
          </w:rPr>
          <w:fldChar w:fldCharType="end"/>
        </w:r>
      </w:hyperlink>
    </w:p>
    <w:p w14:paraId="09439F8B" w14:textId="0B71166B" w:rsidR="0090362E" w:rsidRDefault="00431415">
      <w:pPr>
        <w:pStyle w:val="TOC2"/>
        <w:rPr>
          <w:rFonts w:asciiTheme="minorHAnsi" w:eastAsiaTheme="minorEastAsia" w:hAnsiTheme="minorHAnsi" w:cstheme="minorBidi"/>
          <w:noProof/>
          <w:kern w:val="2"/>
          <w:szCs w:val="22"/>
          <w:lang w:eastAsia="en-NZ"/>
          <w14:ligatures w14:val="standardContextual"/>
        </w:rPr>
      </w:pPr>
      <w:hyperlink w:anchor="_Toc195016574" w:history="1">
        <w:r w:rsidR="0090362E" w:rsidRPr="005A609B">
          <w:rPr>
            <w:rStyle w:val="Hyperlink"/>
            <w:noProof/>
          </w:rPr>
          <w:t>Workforce</w:t>
        </w:r>
        <w:r w:rsidR="0090362E">
          <w:rPr>
            <w:noProof/>
            <w:webHidden/>
          </w:rPr>
          <w:tab/>
        </w:r>
        <w:r w:rsidR="0090362E">
          <w:rPr>
            <w:noProof/>
            <w:webHidden/>
          </w:rPr>
          <w:fldChar w:fldCharType="begin"/>
        </w:r>
        <w:r w:rsidR="0090362E">
          <w:rPr>
            <w:noProof/>
            <w:webHidden/>
          </w:rPr>
          <w:instrText xml:space="preserve"> PAGEREF _Toc195016574 \h </w:instrText>
        </w:r>
        <w:r w:rsidR="0090362E">
          <w:rPr>
            <w:noProof/>
            <w:webHidden/>
          </w:rPr>
        </w:r>
        <w:r w:rsidR="0090362E">
          <w:rPr>
            <w:noProof/>
            <w:webHidden/>
          </w:rPr>
          <w:fldChar w:fldCharType="separate"/>
        </w:r>
        <w:r w:rsidR="0090362E">
          <w:rPr>
            <w:noProof/>
            <w:webHidden/>
          </w:rPr>
          <w:t>43</w:t>
        </w:r>
        <w:r w:rsidR="0090362E">
          <w:rPr>
            <w:noProof/>
            <w:webHidden/>
          </w:rPr>
          <w:fldChar w:fldCharType="end"/>
        </w:r>
      </w:hyperlink>
    </w:p>
    <w:p w14:paraId="024C56E4" w14:textId="1903449E" w:rsidR="0090362E" w:rsidRDefault="00431415">
      <w:pPr>
        <w:pStyle w:val="TOC2"/>
        <w:rPr>
          <w:rFonts w:asciiTheme="minorHAnsi" w:eastAsiaTheme="minorEastAsia" w:hAnsiTheme="minorHAnsi" w:cstheme="minorBidi"/>
          <w:noProof/>
          <w:kern w:val="2"/>
          <w:szCs w:val="22"/>
          <w:lang w:eastAsia="en-NZ"/>
          <w14:ligatures w14:val="standardContextual"/>
        </w:rPr>
      </w:pPr>
      <w:hyperlink w:anchor="_Toc195016575" w:history="1">
        <w:r w:rsidR="0090362E" w:rsidRPr="005A609B">
          <w:rPr>
            <w:rStyle w:val="Hyperlink"/>
            <w:noProof/>
          </w:rPr>
          <w:t>Conscientious objection</w:t>
        </w:r>
        <w:r w:rsidR="0090362E">
          <w:rPr>
            <w:noProof/>
            <w:webHidden/>
          </w:rPr>
          <w:tab/>
        </w:r>
        <w:r w:rsidR="0090362E">
          <w:rPr>
            <w:noProof/>
            <w:webHidden/>
          </w:rPr>
          <w:fldChar w:fldCharType="begin"/>
        </w:r>
        <w:r w:rsidR="0090362E">
          <w:rPr>
            <w:noProof/>
            <w:webHidden/>
          </w:rPr>
          <w:instrText xml:space="preserve"> PAGEREF _Toc195016575 \h </w:instrText>
        </w:r>
        <w:r w:rsidR="0090362E">
          <w:rPr>
            <w:noProof/>
            <w:webHidden/>
          </w:rPr>
        </w:r>
        <w:r w:rsidR="0090362E">
          <w:rPr>
            <w:noProof/>
            <w:webHidden/>
          </w:rPr>
          <w:fldChar w:fldCharType="separate"/>
        </w:r>
        <w:r w:rsidR="0090362E">
          <w:rPr>
            <w:noProof/>
            <w:webHidden/>
          </w:rPr>
          <w:t>46</w:t>
        </w:r>
        <w:r w:rsidR="0090362E">
          <w:rPr>
            <w:noProof/>
            <w:webHidden/>
          </w:rPr>
          <w:fldChar w:fldCharType="end"/>
        </w:r>
      </w:hyperlink>
    </w:p>
    <w:p w14:paraId="45AE0F91" w14:textId="5EFC5BB5" w:rsidR="0090362E" w:rsidRDefault="00431415">
      <w:pPr>
        <w:pStyle w:val="TOC2"/>
        <w:rPr>
          <w:rFonts w:asciiTheme="minorHAnsi" w:eastAsiaTheme="minorEastAsia" w:hAnsiTheme="minorHAnsi" w:cstheme="minorBidi"/>
          <w:noProof/>
          <w:kern w:val="2"/>
          <w:szCs w:val="22"/>
          <w:lang w:eastAsia="en-NZ"/>
          <w14:ligatures w14:val="standardContextual"/>
        </w:rPr>
      </w:pPr>
      <w:hyperlink w:anchor="_Toc195016576" w:history="1">
        <w:r w:rsidR="0090362E" w:rsidRPr="005A609B">
          <w:rPr>
            <w:rStyle w:val="Hyperlink"/>
            <w:noProof/>
          </w:rPr>
          <w:t>Abortion stigma</w:t>
        </w:r>
        <w:r w:rsidR="0090362E">
          <w:rPr>
            <w:noProof/>
            <w:webHidden/>
          </w:rPr>
          <w:tab/>
        </w:r>
        <w:r w:rsidR="0090362E">
          <w:rPr>
            <w:noProof/>
            <w:webHidden/>
          </w:rPr>
          <w:fldChar w:fldCharType="begin"/>
        </w:r>
        <w:r w:rsidR="0090362E">
          <w:rPr>
            <w:noProof/>
            <w:webHidden/>
          </w:rPr>
          <w:instrText xml:space="preserve"> PAGEREF _Toc195016576 \h </w:instrText>
        </w:r>
        <w:r w:rsidR="0090362E">
          <w:rPr>
            <w:noProof/>
            <w:webHidden/>
          </w:rPr>
        </w:r>
        <w:r w:rsidR="0090362E">
          <w:rPr>
            <w:noProof/>
            <w:webHidden/>
          </w:rPr>
          <w:fldChar w:fldCharType="separate"/>
        </w:r>
        <w:r w:rsidR="0090362E">
          <w:rPr>
            <w:noProof/>
            <w:webHidden/>
          </w:rPr>
          <w:t>48</w:t>
        </w:r>
        <w:r w:rsidR="0090362E">
          <w:rPr>
            <w:noProof/>
            <w:webHidden/>
          </w:rPr>
          <w:fldChar w:fldCharType="end"/>
        </w:r>
      </w:hyperlink>
    </w:p>
    <w:p w14:paraId="419803FF" w14:textId="1798B5D8" w:rsidR="0090362E" w:rsidRDefault="00431415">
      <w:pPr>
        <w:pStyle w:val="TOC2"/>
        <w:rPr>
          <w:rFonts w:asciiTheme="minorHAnsi" w:eastAsiaTheme="minorEastAsia" w:hAnsiTheme="minorHAnsi" w:cstheme="minorBidi"/>
          <w:noProof/>
          <w:kern w:val="2"/>
          <w:szCs w:val="22"/>
          <w:lang w:eastAsia="en-NZ"/>
          <w14:ligatures w14:val="standardContextual"/>
        </w:rPr>
      </w:pPr>
      <w:hyperlink w:anchor="_Toc195016577" w:history="1">
        <w:r w:rsidR="0090362E" w:rsidRPr="005A609B">
          <w:rPr>
            <w:rStyle w:val="Hyperlink"/>
            <w:noProof/>
          </w:rPr>
          <w:t>Funding</w:t>
        </w:r>
        <w:r w:rsidR="0090362E">
          <w:rPr>
            <w:noProof/>
            <w:webHidden/>
          </w:rPr>
          <w:tab/>
        </w:r>
        <w:r w:rsidR="0090362E">
          <w:rPr>
            <w:noProof/>
            <w:webHidden/>
          </w:rPr>
          <w:fldChar w:fldCharType="begin"/>
        </w:r>
        <w:r w:rsidR="0090362E">
          <w:rPr>
            <w:noProof/>
            <w:webHidden/>
          </w:rPr>
          <w:instrText xml:space="preserve"> PAGEREF _Toc195016577 \h </w:instrText>
        </w:r>
        <w:r w:rsidR="0090362E">
          <w:rPr>
            <w:noProof/>
            <w:webHidden/>
          </w:rPr>
        </w:r>
        <w:r w:rsidR="0090362E">
          <w:rPr>
            <w:noProof/>
            <w:webHidden/>
          </w:rPr>
          <w:fldChar w:fldCharType="separate"/>
        </w:r>
        <w:r w:rsidR="0090362E">
          <w:rPr>
            <w:noProof/>
            <w:webHidden/>
          </w:rPr>
          <w:t>49</w:t>
        </w:r>
        <w:r w:rsidR="0090362E">
          <w:rPr>
            <w:noProof/>
            <w:webHidden/>
          </w:rPr>
          <w:fldChar w:fldCharType="end"/>
        </w:r>
      </w:hyperlink>
    </w:p>
    <w:p w14:paraId="7FDE21B4" w14:textId="2D587640" w:rsidR="0090362E" w:rsidRDefault="00431415">
      <w:pPr>
        <w:pStyle w:val="TOC1"/>
        <w:rPr>
          <w:rFonts w:asciiTheme="minorHAnsi" w:eastAsiaTheme="minorEastAsia" w:hAnsiTheme="minorHAnsi" w:cstheme="minorBidi"/>
          <w:noProof/>
          <w:kern w:val="2"/>
          <w:sz w:val="22"/>
          <w:szCs w:val="22"/>
          <w:lang w:eastAsia="en-NZ"/>
          <w14:ligatures w14:val="standardContextual"/>
        </w:rPr>
      </w:pPr>
      <w:hyperlink w:anchor="_Toc195016578" w:history="1">
        <w:r w:rsidR="0090362E" w:rsidRPr="005A609B">
          <w:rPr>
            <w:rStyle w:val="Hyperlink"/>
            <w:noProof/>
          </w:rPr>
          <w:t>Abortions for the sole purpose of sex selection – Ngā whakatahe kia whai uri nō ira kē</w:t>
        </w:r>
        <w:r w:rsidR="0090362E">
          <w:rPr>
            <w:noProof/>
            <w:webHidden/>
          </w:rPr>
          <w:tab/>
        </w:r>
        <w:r w:rsidR="0090362E">
          <w:rPr>
            <w:noProof/>
            <w:webHidden/>
          </w:rPr>
          <w:fldChar w:fldCharType="begin"/>
        </w:r>
        <w:r w:rsidR="0090362E">
          <w:rPr>
            <w:noProof/>
            <w:webHidden/>
          </w:rPr>
          <w:instrText xml:space="preserve"> PAGEREF _Toc195016578 \h </w:instrText>
        </w:r>
        <w:r w:rsidR="0090362E">
          <w:rPr>
            <w:noProof/>
            <w:webHidden/>
          </w:rPr>
        </w:r>
        <w:r w:rsidR="0090362E">
          <w:rPr>
            <w:noProof/>
            <w:webHidden/>
          </w:rPr>
          <w:fldChar w:fldCharType="separate"/>
        </w:r>
        <w:r w:rsidR="0090362E">
          <w:rPr>
            <w:noProof/>
            <w:webHidden/>
          </w:rPr>
          <w:t>52</w:t>
        </w:r>
        <w:r w:rsidR="0090362E">
          <w:rPr>
            <w:noProof/>
            <w:webHidden/>
          </w:rPr>
          <w:fldChar w:fldCharType="end"/>
        </w:r>
      </w:hyperlink>
    </w:p>
    <w:p w14:paraId="07BFEEF4" w14:textId="386910AD" w:rsidR="0090362E" w:rsidRDefault="00431415">
      <w:pPr>
        <w:pStyle w:val="TOC2"/>
        <w:rPr>
          <w:rFonts w:asciiTheme="minorHAnsi" w:eastAsiaTheme="minorEastAsia" w:hAnsiTheme="minorHAnsi" w:cstheme="minorBidi"/>
          <w:noProof/>
          <w:kern w:val="2"/>
          <w:szCs w:val="22"/>
          <w:lang w:eastAsia="en-NZ"/>
          <w14:ligatures w14:val="standardContextual"/>
        </w:rPr>
      </w:pPr>
      <w:hyperlink w:anchor="_Toc195016579" w:history="1">
        <w:r w:rsidR="0090362E" w:rsidRPr="005A609B">
          <w:rPr>
            <w:rStyle w:val="Hyperlink"/>
            <w:noProof/>
          </w:rPr>
          <w:t>Background</w:t>
        </w:r>
        <w:r w:rsidR="0090362E">
          <w:rPr>
            <w:noProof/>
            <w:webHidden/>
          </w:rPr>
          <w:tab/>
        </w:r>
        <w:r w:rsidR="0090362E">
          <w:rPr>
            <w:noProof/>
            <w:webHidden/>
          </w:rPr>
          <w:fldChar w:fldCharType="begin"/>
        </w:r>
        <w:r w:rsidR="0090362E">
          <w:rPr>
            <w:noProof/>
            <w:webHidden/>
          </w:rPr>
          <w:instrText xml:space="preserve"> PAGEREF _Toc195016579 \h </w:instrText>
        </w:r>
        <w:r w:rsidR="0090362E">
          <w:rPr>
            <w:noProof/>
            <w:webHidden/>
          </w:rPr>
        </w:r>
        <w:r w:rsidR="0090362E">
          <w:rPr>
            <w:noProof/>
            <w:webHidden/>
          </w:rPr>
          <w:fldChar w:fldCharType="separate"/>
        </w:r>
        <w:r w:rsidR="0090362E">
          <w:rPr>
            <w:noProof/>
            <w:webHidden/>
          </w:rPr>
          <w:t>52</w:t>
        </w:r>
        <w:r w:rsidR="0090362E">
          <w:rPr>
            <w:noProof/>
            <w:webHidden/>
          </w:rPr>
          <w:fldChar w:fldCharType="end"/>
        </w:r>
      </w:hyperlink>
    </w:p>
    <w:p w14:paraId="693EC428" w14:textId="02CF6EC6" w:rsidR="0090362E" w:rsidRDefault="00431415">
      <w:pPr>
        <w:pStyle w:val="TOC2"/>
        <w:rPr>
          <w:rFonts w:asciiTheme="minorHAnsi" w:eastAsiaTheme="minorEastAsia" w:hAnsiTheme="minorHAnsi" w:cstheme="minorBidi"/>
          <w:noProof/>
          <w:kern w:val="2"/>
          <w:szCs w:val="22"/>
          <w:lang w:eastAsia="en-NZ"/>
          <w14:ligatures w14:val="standardContextual"/>
        </w:rPr>
      </w:pPr>
      <w:hyperlink w:anchor="_Toc195016580" w:history="1">
        <w:r w:rsidR="0090362E" w:rsidRPr="005A609B">
          <w:rPr>
            <w:rStyle w:val="Hyperlink"/>
            <w:noProof/>
          </w:rPr>
          <w:t>Current practice and feedback</w:t>
        </w:r>
        <w:r w:rsidR="0090362E">
          <w:rPr>
            <w:noProof/>
            <w:webHidden/>
          </w:rPr>
          <w:tab/>
        </w:r>
        <w:r w:rsidR="0090362E">
          <w:rPr>
            <w:noProof/>
            <w:webHidden/>
          </w:rPr>
          <w:fldChar w:fldCharType="begin"/>
        </w:r>
        <w:r w:rsidR="0090362E">
          <w:rPr>
            <w:noProof/>
            <w:webHidden/>
          </w:rPr>
          <w:instrText xml:space="preserve"> PAGEREF _Toc195016580 \h </w:instrText>
        </w:r>
        <w:r w:rsidR="0090362E">
          <w:rPr>
            <w:noProof/>
            <w:webHidden/>
          </w:rPr>
        </w:r>
        <w:r w:rsidR="0090362E">
          <w:rPr>
            <w:noProof/>
            <w:webHidden/>
          </w:rPr>
          <w:fldChar w:fldCharType="separate"/>
        </w:r>
        <w:r w:rsidR="0090362E">
          <w:rPr>
            <w:noProof/>
            <w:webHidden/>
          </w:rPr>
          <w:t>53</w:t>
        </w:r>
        <w:r w:rsidR="0090362E">
          <w:rPr>
            <w:noProof/>
            <w:webHidden/>
          </w:rPr>
          <w:fldChar w:fldCharType="end"/>
        </w:r>
      </w:hyperlink>
    </w:p>
    <w:p w14:paraId="27F8113E" w14:textId="0892BE15" w:rsidR="0090362E" w:rsidRDefault="00431415">
      <w:pPr>
        <w:pStyle w:val="TOC2"/>
        <w:rPr>
          <w:rFonts w:asciiTheme="minorHAnsi" w:eastAsiaTheme="minorEastAsia" w:hAnsiTheme="minorHAnsi" w:cstheme="minorBidi"/>
          <w:noProof/>
          <w:kern w:val="2"/>
          <w:szCs w:val="22"/>
          <w:lang w:eastAsia="en-NZ"/>
          <w14:ligatures w14:val="standardContextual"/>
        </w:rPr>
      </w:pPr>
      <w:hyperlink w:anchor="_Toc195016581" w:history="1">
        <w:r w:rsidR="0090362E" w:rsidRPr="005A609B">
          <w:rPr>
            <w:rStyle w:val="Hyperlink"/>
            <w:noProof/>
          </w:rPr>
          <w:t>Research and international practice</w:t>
        </w:r>
        <w:r w:rsidR="0090362E">
          <w:rPr>
            <w:noProof/>
            <w:webHidden/>
          </w:rPr>
          <w:tab/>
        </w:r>
        <w:r w:rsidR="0090362E">
          <w:rPr>
            <w:noProof/>
            <w:webHidden/>
          </w:rPr>
          <w:fldChar w:fldCharType="begin"/>
        </w:r>
        <w:r w:rsidR="0090362E">
          <w:rPr>
            <w:noProof/>
            <w:webHidden/>
          </w:rPr>
          <w:instrText xml:space="preserve"> PAGEREF _Toc195016581 \h </w:instrText>
        </w:r>
        <w:r w:rsidR="0090362E">
          <w:rPr>
            <w:noProof/>
            <w:webHidden/>
          </w:rPr>
        </w:r>
        <w:r w:rsidR="0090362E">
          <w:rPr>
            <w:noProof/>
            <w:webHidden/>
          </w:rPr>
          <w:fldChar w:fldCharType="separate"/>
        </w:r>
        <w:r w:rsidR="0090362E">
          <w:rPr>
            <w:noProof/>
            <w:webHidden/>
          </w:rPr>
          <w:t>53</w:t>
        </w:r>
        <w:r w:rsidR="0090362E">
          <w:rPr>
            <w:noProof/>
            <w:webHidden/>
          </w:rPr>
          <w:fldChar w:fldCharType="end"/>
        </w:r>
      </w:hyperlink>
    </w:p>
    <w:p w14:paraId="72BA41C6" w14:textId="5EF14771" w:rsidR="0090362E" w:rsidRDefault="00431415">
      <w:pPr>
        <w:pStyle w:val="TOC1"/>
        <w:rPr>
          <w:rFonts w:asciiTheme="minorHAnsi" w:eastAsiaTheme="minorEastAsia" w:hAnsiTheme="minorHAnsi" w:cstheme="minorBidi"/>
          <w:noProof/>
          <w:kern w:val="2"/>
          <w:sz w:val="22"/>
          <w:szCs w:val="22"/>
          <w:lang w:eastAsia="en-NZ"/>
          <w14:ligatures w14:val="standardContextual"/>
        </w:rPr>
      </w:pPr>
      <w:hyperlink w:anchor="_Toc195016582" w:history="1">
        <w:r w:rsidR="0090362E" w:rsidRPr="005A609B">
          <w:rPr>
            <w:rStyle w:val="Hyperlink"/>
            <w:noProof/>
          </w:rPr>
          <w:t>Recommendations – Ngā tohutohu</w:t>
        </w:r>
        <w:r w:rsidR="0090362E">
          <w:rPr>
            <w:noProof/>
            <w:webHidden/>
          </w:rPr>
          <w:tab/>
        </w:r>
        <w:r w:rsidR="0090362E">
          <w:rPr>
            <w:noProof/>
            <w:webHidden/>
          </w:rPr>
          <w:fldChar w:fldCharType="begin"/>
        </w:r>
        <w:r w:rsidR="0090362E">
          <w:rPr>
            <w:noProof/>
            <w:webHidden/>
          </w:rPr>
          <w:instrText xml:space="preserve"> PAGEREF _Toc195016582 \h </w:instrText>
        </w:r>
        <w:r w:rsidR="0090362E">
          <w:rPr>
            <w:noProof/>
            <w:webHidden/>
          </w:rPr>
        </w:r>
        <w:r w:rsidR="0090362E">
          <w:rPr>
            <w:noProof/>
            <w:webHidden/>
          </w:rPr>
          <w:fldChar w:fldCharType="separate"/>
        </w:r>
        <w:r w:rsidR="0090362E">
          <w:rPr>
            <w:noProof/>
            <w:webHidden/>
          </w:rPr>
          <w:t>54</w:t>
        </w:r>
        <w:r w:rsidR="0090362E">
          <w:rPr>
            <w:noProof/>
            <w:webHidden/>
          </w:rPr>
          <w:fldChar w:fldCharType="end"/>
        </w:r>
      </w:hyperlink>
    </w:p>
    <w:p w14:paraId="6E7A495B" w14:textId="6A705CC9" w:rsidR="0090362E" w:rsidRDefault="00431415">
      <w:pPr>
        <w:pStyle w:val="TOC1"/>
        <w:rPr>
          <w:rFonts w:asciiTheme="minorHAnsi" w:eastAsiaTheme="minorEastAsia" w:hAnsiTheme="minorHAnsi" w:cstheme="minorBidi"/>
          <w:noProof/>
          <w:kern w:val="2"/>
          <w:sz w:val="22"/>
          <w:szCs w:val="22"/>
          <w:lang w:eastAsia="en-NZ"/>
          <w14:ligatures w14:val="standardContextual"/>
        </w:rPr>
      </w:pPr>
      <w:hyperlink w:anchor="_Toc195016583" w:history="1">
        <w:r w:rsidR="0090362E" w:rsidRPr="005A609B">
          <w:rPr>
            <w:rStyle w:val="Hyperlink"/>
            <w:noProof/>
          </w:rPr>
          <w:t>References – Ngā tohutoro</w:t>
        </w:r>
        <w:r w:rsidR="0090362E">
          <w:rPr>
            <w:noProof/>
            <w:webHidden/>
          </w:rPr>
          <w:tab/>
        </w:r>
        <w:r w:rsidR="0090362E">
          <w:rPr>
            <w:noProof/>
            <w:webHidden/>
          </w:rPr>
          <w:fldChar w:fldCharType="begin"/>
        </w:r>
        <w:r w:rsidR="0090362E">
          <w:rPr>
            <w:noProof/>
            <w:webHidden/>
          </w:rPr>
          <w:instrText xml:space="preserve"> PAGEREF _Toc195016583 \h </w:instrText>
        </w:r>
        <w:r w:rsidR="0090362E">
          <w:rPr>
            <w:noProof/>
            <w:webHidden/>
          </w:rPr>
        </w:r>
        <w:r w:rsidR="0090362E">
          <w:rPr>
            <w:noProof/>
            <w:webHidden/>
          </w:rPr>
          <w:fldChar w:fldCharType="separate"/>
        </w:r>
        <w:r w:rsidR="0090362E">
          <w:rPr>
            <w:noProof/>
            <w:webHidden/>
          </w:rPr>
          <w:t>56</w:t>
        </w:r>
        <w:r w:rsidR="0090362E">
          <w:rPr>
            <w:noProof/>
            <w:webHidden/>
          </w:rPr>
          <w:fldChar w:fldCharType="end"/>
        </w:r>
      </w:hyperlink>
    </w:p>
    <w:p w14:paraId="645D0EC9" w14:textId="2BCA3674" w:rsidR="0090362E" w:rsidRDefault="00431415">
      <w:pPr>
        <w:pStyle w:val="TOC1"/>
        <w:rPr>
          <w:rFonts w:asciiTheme="minorHAnsi" w:eastAsiaTheme="minorEastAsia" w:hAnsiTheme="minorHAnsi" w:cstheme="minorBidi"/>
          <w:noProof/>
          <w:kern w:val="2"/>
          <w:sz w:val="22"/>
          <w:szCs w:val="22"/>
          <w:lang w:eastAsia="en-NZ"/>
          <w14:ligatures w14:val="standardContextual"/>
        </w:rPr>
      </w:pPr>
      <w:hyperlink w:anchor="_Toc195016584" w:history="1">
        <w:r w:rsidR="0090362E" w:rsidRPr="005A609B">
          <w:rPr>
            <w:rStyle w:val="Hyperlink"/>
            <w:noProof/>
          </w:rPr>
          <w:t>Appendix 1: Data limitations</w:t>
        </w:r>
        <w:r w:rsidR="0090362E">
          <w:rPr>
            <w:noProof/>
            <w:webHidden/>
          </w:rPr>
          <w:tab/>
        </w:r>
        <w:r w:rsidR="0090362E">
          <w:rPr>
            <w:noProof/>
            <w:webHidden/>
          </w:rPr>
          <w:fldChar w:fldCharType="begin"/>
        </w:r>
        <w:r w:rsidR="0090362E">
          <w:rPr>
            <w:noProof/>
            <w:webHidden/>
          </w:rPr>
          <w:instrText xml:space="preserve"> PAGEREF _Toc195016584 \h </w:instrText>
        </w:r>
        <w:r w:rsidR="0090362E">
          <w:rPr>
            <w:noProof/>
            <w:webHidden/>
          </w:rPr>
        </w:r>
        <w:r w:rsidR="0090362E">
          <w:rPr>
            <w:noProof/>
            <w:webHidden/>
          </w:rPr>
          <w:fldChar w:fldCharType="separate"/>
        </w:r>
        <w:r w:rsidR="0090362E">
          <w:rPr>
            <w:noProof/>
            <w:webHidden/>
          </w:rPr>
          <w:t>59</w:t>
        </w:r>
        <w:r w:rsidR="0090362E">
          <w:rPr>
            <w:noProof/>
            <w:webHidden/>
          </w:rPr>
          <w:fldChar w:fldCharType="end"/>
        </w:r>
      </w:hyperlink>
    </w:p>
    <w:p w14:paraId="133A9219" w14:textId="610D100E" w:rsidR="00C86248" w:rsidRDefault="0090362E">
      <w:r>
        <w:rPr>
          <w:rFonts w:ascii="Segoe UI Semibold" w:hAnsi="Segoe UI Semibold"/>
          <w:b/>
          <w:sz w:val="24"/>
        </w:rPr>
        <w:fldChar w:fldCharType="end"/>
      </w:r>
    </w:p>
    <w:p w14:paraId="49038387" w14:textId="77777777" w:rsidR="003A5FEA" w:rsidRDefault="003A5FEA" w:rsidP="001D3E4E">
      <w:pPr>
        <w:pStyle w:val="TOC1"/>
        <w:keepNext/>
      </w:pPr>
      <w:r>
        <w:t>List of Figures</w:t>
      </w:r>
    </w:p>
    <w:p w14:paraId="67D61409" w14:textId="52CE694F" w:rsidR="0090362E" w:rsidRDefault="0090362E">
      <w:pPr>
        <w:pStyle w:val="TOC3"/>
        <w:rPr>
          <w:rFonts w:asciiTheme="minorHAnsi" w:eastAsiaTheme="minorEastAsia" w:hAnsiTheme="minorHAnsi" w:cstheme="minorBidi"/>
          <w:noProof/>
          <w:kern w:val="2"/>
          <w:sz w:val="22"/>
          <w:szCs w:val="22"/>
          <w:lang w:eastAsia="en-NZ"/>
          <w14:ligatures w14:val="standardContextual"/>
        </w:rPr>
      </w:pPr>
      <w:r>
        <w:fldChar w:fldCharType="begin"/>
      </w:r>
      <w:r>
        <w:instrText xml:space="preserve"> TOC \h \z \t "Figure,3" </w:instrText>
      </w:r>
      <w:r>
        <w:fldChar w:fldCharType="separate"/>
      </w:r>
      <w:hyperlink w:anchor="_Toc195016585" w:history="1">
        <w:r w:rsidRPr="00B56A34">
          <w:rPr>
            <w:rStyle w:val="Hyperlink"/>
            <w:noProof/>
          </w:rPr>
          <w:t>Figure 1: Number of contraceptives provided, by contraception and abortion type, 2020 and 2024</w:t>
        </w:r>
        <w:r>
          <w:rPr>
            <w:noProof/>
            <w:webHidden/>
          </w:rPr>
          <w:tab/>
        </w:r>
        <w:r>
          <w:rPr>
            <w:noProof/>
            <w:webHidden/>
          </w:rPr>
          <w:fldChar w:fldCharType="begin"/>
        </w:r>
        <w:r>
          <w:rPr>
            <w:noProof/>
            <w:webHidden/>
          </w:rPr>
          <w:instrText xml:space="preserve"> PAGEREF _Toc195016585 \h </w:instrText>
        </w:r>
        <w:r>
          <w:rPr>
            <w:noProof/>
            <w:webHidden/>
          </w:rPr>
        </w:r>
        <w:r>
          <w:rPr>
            <w:noProof/>
            <w:webHidden/>
          </w:rPr>
          <w:fldChar w:fldCharType="separate"/>
        </w:r>
        <w:r>
          <w:rPr>
            <w:noProof/>
            <w:webHidden/>
          </w:rPr>
          <w:t>14</w:t>
        </w:r>
        <w:r>
          <w:rPr>
            <w:noProof/>
            <w:webHidden/>
          </w:rPr>
          <w:fldChar w:fldCharType="end"/>
        </w:r>
      </w:hyperlink>
    </w:p>
    <w:p w14:paraId="1ACB96F5" w14:textId="65D1DE10" w:rsidR="0090362E" w:rsidRDefault="00431415">
      <w:pPr>
        <w:pStyle w:val="TOC3"/>
        <w:rPr>
          <w:rFonts w:asciiTheme="minorHAnsi" w:eastAsiaTheme="minorEastAsia" w:hAnsiTheme="minorHAnsi" w:cstheme="minorBidi"/>
          <w:noProof/>
          <w:kern w:val="2"/>
          <w:sz w:val="22"/>
          <w:szCs w:val="22"/>
          <w:lang w:eastAsia="en-NZ"/>
          <w14:ligatures w14:val="standardContextual"/>
        </w:rPr>
      </w:pPr>
      <w:hyperlink w:anchor="_Toc195016586" w:history="1">
        <w:r w:rsidR="0090362E" w:rsidRPr="00B56A34">
          <w:rPr>
            <w:rStyle w:val="Hyperlink"/>
            <w:noProof/>
          </w:rPr>
          <w:t xml:space="preserve">Figure 2: Percentage of medical and surgical abortion procedures where </w:t>
        </w:r>
        <w:r w:rsidR="0090362E" w:rsidRPr="00B56A34">
          <w:rPr>
            <w:rStyle w:val="Hyperlink"/>
            <w:rFonts w:eastAsia="Calibri"/>
            <w:noProof/>
          </w:rPr>
          <w:t>women</w:t>
        </w:r>
        <w:r w:rsidR="0090362E" w:rsidRPr="00B56A34">
          <w:rPr>
            <w:rStyle w:val="Hyperlink"/>
            <w:noProof/>
          </w:rPr>
          <w:t xml:space="preserve"> accessed pre-abortion counselling, 2022–2024</w:t>
        </w:r>
        <w:r w:rsidR="0090362E">
          <w:rPr>
            <w:noProof/>
            <w:webHidden/>
          </w:rPr>
          <w:tab/>
        </w:r>
        <w:r w:rsidR="0090362E">
          <w:rPr>
            <w:noProof/>
            <w:webHidden/>
          </w:rPr>
          <w:fldChar w:fldCharType="begin"/>
        </w:r>
        <w:r w:rsidR="0090362E">
          <w:rPr>
            <w:noProof/>
            <w:webHidden/>
          </w:rPr>
          <w:instrText xml:space="preserve"> PAGEREF _Toc195016586 \h </w:instrText>
        </w:r>
        <w:r w:rsidR="0090362E">
          <w:rPr>
            <w:noProof/>
            <w:webHidden/>
          </w:rPr>
        </w:r>
        <w:r w:rsidR="0090362E">
          <w:rPr>
            <w:noProof/>
            <w:webHidden/>
          </w:rPr>
          <w:fldChar w:fldCharType="separate"/>
        </w:r>
        <w:r w:rsidR="0090362E">
          <w:rPr>
            <w:noProof/>
            <w:webHidden/>
          </w:rPr>
          <w:t>24</w:t>
        </w:r>
        <w:r w:rsidR="0090362E">
          <w:rPr>
            <w:noProof/>
            <w:webHidden/>
          </w:rPr>
          <w:fldChar w:fldCharType="end"/>
        </w:r>
      </w:hyperlink>
    </w:p>
    <w:p w14:paraId="0F6AE7E2" w14:textId="012D7830" w:rsidR="0090362E" w:rsidRDefault="00431415">
      <w:pPr>
        <w:pStyle w:val="TOC3"/>
        <w:rPr>
          <w:rFonts w:asciiTheme="minorHAnsi" w:eastAsiaTheme="minorEastAsia" w:hAnsiTheme="minorHAnsi" w:cstheme="minorBidi"/>
          <w:noProof/>
          <w:kern w:val="2"/>
          <w:sz w:val="22"/>
          <w:szCs w:val="22"/>
          <w:lang w:eastAsia="en-NZ"/>
          <w14:ligatures w14:val="standardContextual"/>
        </w:rPr>
      </w:pPr>
      <w:hyperlink w:anchor="_Toc195016587" w:history="1">
        <w:r w:rsidR="0090362E" w:rsidRPr="00B56A34">
          <w:rPr>
            <w:rStyle w:val="Hyperlink"/>
            <w:rFonts w:eastAsia="Calibri"/>
            <w:noProof/>
            <w:lang w:eastAsia="en-US"/>
          </w:rPr>
          <w:t>Figure 3: Number of medical abortions, by gestation and profession, 2020, 2022 and 2024</w:t>
        </w:r>
        <w:r w:rsidR="0090362E">
          <w:rPr>
            <w:noProof/>
            <w:webHidden/>
          </w:rPr>
          <w:tab/>
        </w:r>
        <w:r w:rsidR="0090362E">
          <w:rPr>
            <w:noProof/>
            <w:webHidden/>
          </w:rPr>
          <w:fldChar w:fldCharType="begin"/>
        </w:r>
        <w:r w:rsidR="0090362E">
          <w:rPr>
            <w:noProof/>
            <w:webHidden/>
          </w:rPr>
          <w:instrText xml:space="preserve"> PAGEREF _Toc195016587 \h </w:instrText>
        </w:r>
        <w:r w:rsidR="0090362E">
          <w:rPr>
            <w:noProof/>
            <w:webHidden/>
          </w:rPr>
        </w:r>
        <w:r w:rsidR="0090362E">
          <w:rPr>
            <w:noProof/>
            <w:webHidden/>
          </w:rPr>
          <w:fldChar w:fldCharType="separate"/>
        </w:r>
        <w:r w:rsidR="0090362E">
          <w:rPr>
            <w:noProof/>
            <w:webHidden/>
          </w:rPr>
          <w:t>30</w:t>
        </w:r>
        <w:r w:rsidR="0090362E">
          <w:rPr>
            <w:noProof/>
            <w:webHidden/>
          </w:rPr>
          <w:fldChar w:fldCharType="end"/>
        </w:r>
      </w:hyperlink>
    </w:p>
    <w:p w14:paraId="134E8965" w14:textId="12F8C1E0" w:rsidR="0090362E" w:rsidRDefault="00431415">
      <w:pPr>
        <w:pStyle w:val="TOC3"/>
        <w:rPr>
          <w:rFonts w:asciiTheme="minorHAnsi" w:eastAsiaTheme="minorEastAsia" w:hAnsiTheme="minorHAnsi" w:cstheme="minorBidi"/>
          <w:noProof/>
          <w:kern w:val="2"/>
          <w:sz w:val="22"/>
          <w:szCs w:val="22"/>
          <w:lang w:eastAsia="en-NZ"/>
          <w14:ligatures w14:val="standardContextual"/>
        </w:rPr>
      </w:pPr>
      <w:hyperlink w:anchor="_Toc195016588" w:history="1">
        <w:r w:rsidR="0090362E" w:rsidRPr="00B56A34">
          <w:rPr>
            <w:rStyle w:val="Hyperlink"/>
            <w:rFonts w:eastAsia="Calibri"/>
            <w:noProof/>
            <w:lang w:eastAsia="en-US"/>
          </w:rPr>
          <w:t>Figure 4: Number of surgical abortions, by week’s gestation and profession, 2020, 2022 and 2024</w:t>
        </w:r>
        <w:r w:rsidR="0090362E">
          <w:rPr>
            <w:noProof/>
            <w:webHidden/>
          </w:rPr>
          <w:tab/>
        </w:r>
        <w:r w:rsidR="0090362E">
          <w:rPr>
            <w:noProof/>
            <w:webHidden/>
          </w:rPr>
          <w:fldChar w:fldCharType="begin"/>
        </w:r>
        <w:r w:rsidR="0090362E">
          <w:rPr>
            <w:noProof/>
            <w:webHidden/>
          </w:rPr>
          <w:instrText xml:space="preserve"> PAGEREF _Toc195016588 \h </w:instrText>
        </w:r>
        <w:r w:rsidR="0090362E">
          <w:rPr>
            <w:noProof/>
            <w:webHidden/>
          </w:rPr>
        </w:r>
        <w:r w:rsidR="0090362E">
          <w:rPr>
            <w:noProof/>
            <w:webHidden/>
          </w:rPr>
          <w:fldChar w:fldCharType="separate"/>
        </w:r>
        <w:r w:rsidR="0090362E">
          <w:rPr>
            <w:noProof/>
            <w:webHidden/>
          </w:rPr>
          <w:t>31</w:t>
        </w:r>
        <w:r w:rsidR="0090362E">
          <w:rPr>
            <w:noProof/>
            <w:webHidden/>
          </w:rPr>
          <w:fldChar w:fldCharType="end"/>
        </w:r>
      </w:hyperlink>
    </w:p>
    <w:p w14:paraId="46F99553" w14:textId="605726C3" w:rsidR="0090362E" w:rsidRDefault="00431415">
      <w:pPr>
        <w:pStyle w:val="TOC3"/>
        <w:rPr>
          <w:rFonts w:asciiTheme="minorHAnsi" w:eastAsiaTheme="minorEastAsia" w:hAnsiTheme="minorHAnsi" w:cstheme="minorBidi"/>
          <w:noProof/>
          <w:kern w:val="2"/>
          <w:sz w:val="22"/>
          <w:szCs w:val="22"/>
          <w:lang w:eastAsia="en-NZ"/>
          <w14:ligatures w14:val="standardContextual"/>
        </w:rPr>
      </w:pPr>
      <w:hyperlink w:anchor="_Toc195016589" w:history="1">
        <w:r w:rsidR="0090362E" w:rsidRPr="00B56A34">
          <w:rPr>
            <w:rStyle w:val="Hyperlink"/>
            <w:noProof/>
          </w:rPr>
          <w:t>Figure 5: Average drive time (in minutes) for females aged 15–44 years to nearest in-person abortion provider, by level of socioeconomic deprivation and GCH urban–rural index, 2023</w:t>
        </w:r>
        <w:r w:rsidR="0090362E">
          <w:rPr>
            <w:noProof/>
            <w:webHidden/>
          </w:rPr>
          <w:tab/>
        </w:r>
        <w:r w:rsidR="0090362E">
          <w:rPr>
            <w:noProof/>
            <w:webHidden/>
          </w:rPr>
          <w:fldChar w:fldCharType="begin"/>
        </w:r>
        <w:r w:rsidR="0090362E">
          <w:rPr>
            <w:noProof/>
            <w:webHidden/>
          </w:rPr>
          <w:instrText xml:space="preserve"> PAGEREF _Toc195016589 \h </w:instrText>
        </w:r>
        <w:r w:rsidR="0090362E">
          <w:rPr>
            <w:noProof/>
            <w:webHidden/>
          </w:rPr>
        </w:r>
        <w:r w:rsidR="0090362E">
          <w:rPr>
            <w:noProof/>
            <w:webHidden/>
          </w:rPr>
          <w:fldChar w:fldCharType="separate"/>
        </w:r>
        <w:r w:rsidR="0090362E">
          <w:rPr>
            <w:noProof/>
            <w:webHidden/>
          </w:rPr>
          <w:t>32</w:t>
        </w:r>
        <w:r w:rsidR="0090362E">
          <w:rPr>
            <w:noProof/>
            <w:webHidden/>
          </w:rPr>
          <w:fldChar w:fldCharType="end"/>
        </w:r>
      </w:hyperlink>
    </w:p>
    <w:p w14:paraId="6FE25C61" w14:textId="2CB6A90E" w:rsidR="0090362E" w:rsidRDefault="00431415">
      <w:pPr>
        <w:pStyle w:val="TOC3"/>
        <w:rPr>
          <w:rFonts w:asciiTheme="minorHAnsi" w:eastAsiaTheme="minorEastAsia" w:hAnsiTheme="minorHAnsi" w:cstheme="minorBidi"/>
          <w:noProof/>
          <w:kern w:val="2"/>
          <w:sz w:val="22"/>
          <w:szCs w:val="22"/>
          <w:lang w:eastAsia="en-NZ"/>
          <w14:ligatures w14:val="standardContextual"/>
        </w:rPr>
      </w:pPr>
      <w:hyperlink w:anchor="_Toc195016590" w:history="1">
        <w:r w:rsidR="0090362E" w:rsidRPr="00B56A34">
          <w:rPr>
            <w:rStyle w:val="Hyperlink"/>
            <w:noProof/>
          </w:rPr>
          <w:t>Figure 6: Average drive time (in minutes) for females aged 15–44 years to nearest in-person abortion provider, by district of domicile and GCH urban-rural index, 2023</w:t>
        </w:r>
        <w:r w:rsidR="0090362E">
          <w:rPr>
            <w:noProof/>
            <w:webHidden/>
          </w:rPr>
          <w:tab/>
        </w:r>
        <w:r w:rsidR="0090362E">
          <w:rPr>
            <w:noProof/>
            <w:webHidden/>
          </w:rPr>
          <w:fldChar w:fldCharType="begin"/>
        </w:r>
        <w:r w:rsidR="0090362E">
          <w:rPr>
            <w:noProof/>
            <w:webHidden/>
          </w:rPr>
          <w:instrText xml:space="preserve"> PAGEREF _Toc195016590 \h </w:instrText>
        </w:r>
        <w:r w:rsidR="0090362E">
          <w:rPr>
            <w:noProof/>
            <w:webHidden/>
          </w:rPr>
        </w:r>
        <w:r w:rsidR="0090362E">
          <w:rPr>
            <w:noProof/>
            <w:webHidden/>
          </w:rPr>
          <w:fldChar w:fldCharType="separate"/>
        </w:r>
        <w:r w:rsidR="0090362E">
          <w:rPr>
            <w:noProof/>
            <w:webHidden/>
          </w:rPr>
          <w:t>33</w:t>
        </w:r>
        <w:r w:rsidR="0090362E">
          <w:rPr>
            <w:noProof/>
            <w:webHidden/>
          </w:rPr>
          <w:fldChar w:fldCharType="end"/>
        </w:r>
      </w:hyperlink>
    </w:p>
    <w:p w14:paraId="59FEDD2A" w14:textId="07A385CC" w:rsidR="0090362E" w:rsidRDefault="00431415">
      <w:pPr>
        <w:pStyle w:val="TOC3"/>
        <w:rPr>
          <w:rFonts w:asciiTheme="minorHAnsi" w:eastAsiaTheme="minorEastAsia" w:hAnsiTheme="minorHAnsi" w:cstheme="minorBidi"/>
          <w:noProof/>
          <w:kern w:val="2"/>
          <w:sz w:val="22"/>
          <w:szCs w:val="22"/>
          <w:lang w:eastAsia="en-NZ"/>
          <w14:ligatures w14:val="standardContextual"/>
        </w:rPr>
      </w:pPr>
      <w:hyperlink w:anchor="_Toc195016591" w:history="1">
        <w:r w:rsidR="0090362E" w:rsidRPr="00B56A34">
          <w:rPr>
            <w:rStyle w:val="Hyperlink"/>
            <w:noProof/>
          </w:rPr>
          <w:t>Figure 7: Number of abortion procedures, by procedure type, 2017–2024</w:t>
        </w:r>
        <w:r w:rsidR="0090362E">
          <w:rPr>
            <w:noProof/>
            <w:webHidden/>
          </w:rPr>
          <w:tab/>
        </w:r>
        <w:r w:rsidR="0090362E">
          <w:rPr>
            <w:noProof/>
            <w:webHidden/>
          </w:rPr>
          <w:fldChar w:fldCharType="begin"/>
        </w:r>
        <w:r w:rsidR="0090362E">
          <w:rPr>
            <w:noProof/>
            <w:webHidden/>
          </w:rPr>
          <w:instrText xml:space="preserve"> PAGEREF _Toc195016591 \h </w:instrText>
        </w:r>
        <w:r w:rsidR="0090362E">
          <w:rPr>
            <w:noProof/>
            <w:webHidden/>
          </w:rPr>
        </w:r>
        <w:r w:rsidR="0090362E">
          <w:rPr>
            <w:noProof/>
            <w:webHidden/>
          </w:rPr>
          <w:fldChar w:fldCharType="separate"/>
        </w:r>
        <w:r w:rsidR="0090362E">
          <w:rPr>
            <w:noProof/>
            <w:webHidden/>
          </w:rPr>
          <w:t>34</w:t>
        </w:r>
        <w:r w:rsidR="0090362E">
          <w:rPr>
            <w:noProof/>
            <w:webHidden/>
          </w:rPr>
          <w:fldChar w:fldCharType="end"/>
        </w:r>
      </w:hyperlink>
    </w:p>
    <w:p w14:paraId="21776BB4" w14:textId="2E392AB3" w:rsidR="0090362E" w:rsidRDefault="00431415">
      <w:pPr>
        <w:pStyle w:val="TOC3"/>
        <w:rPr>
          <w:rFonts w:asciiTheme="minorHAnsi" w:eastAsiaTheme="minorEastAsia" w:hAnsiTheme="minorHAnsi" w:cstheme="minorBidi"/>
          <w:noProof/>
          <w:kern w:val="2"/>
          <w:sz w:val="22"/>
          <w:szCs w:val="22"/>
          <w:lang w:eastAsia="en-NZ"/>
          <w14:ligatures w14:val="standardContextual"/>
        </w:rPr>
      </w:pPr>
      <w:hyperlink w:anchor="_Toc195016592" w:history="1">
        <w:r w:rsidR="0090362E" w:rsidRPr="00B56A34">
          <w:rPr>
            <w:rStyle w:val="Hyperlink"/>
            <w:rFonts w:eastAsia="Calibri"/>
            <w:noProof/>
            <w:lang w:eastAsia="en-US"/>
          </w:rPr>
          <w:t>Figure 8: Practitioners who have completed NZCSRH training as of 30 October 2024, by professional group (percentage)</w:t>
        </w:r>
        <w:r w:rsidR="0090362E">
          <w:rPr>
            <w:noProof/>
            <w:webHidden/>
          </w:rPr>
          <w:tab/>
        </w:r>
        <w:r w:rsidR="0090362E">
          <w:rPr>
            <w:noProof/>
            <w:webHidden/>
          </w:rPr>
          <w:fldChar w:fldCharType="begin"/>
        </w:r>
        <w:r w:rsidR="0090362E">
          <w:rPr>
            <w:noProof/>
            <w:webHidden/>
          </w:rPr>
          <w:instrText xml:space="preserve"> PAGEREF _Toc195016592 \h </w:instrText>
        </w:r>
        <w:r w:rsidR="0090362E">
          <w:rPr>
            <w:noProof/>
            <w:webHidden/>
          </w:rPr>
        </w:r>
        <w:r w:rsidR="0090362E">
          <w:rPr>
            <w:noProof/>
            <w:webHidden/>
          </w:rPr>
          <w:fldChar w:fldCharType="separate"/>
        </w:r>
        <w:r w:rsidR="0090362E">
          <w:rPr>
            <w:noProof/>
            <w:webHidden/>
          </w:rPr>
          <w:t>45</w:t>
        </w:r>
        <w:r w:rsidR="0090362E">
          <w:rPr>
            <w:noProof/>
            <w:webHidden/>
          </w:rPr>
          <w:fldChar w:fldCharType="end"/>
        </w:r>
      </w:hyperlink>
    </w:p>
    <w:p w14:paraId="7D6B8AE4" w14:textId="1DDB4E5C" w:rsidR="0090362E" w:rsidRDefault="00431415">
      <w:pPr>
        <w:pStyle w:val="TOC3"/>
        <w:rPr>
          <w:rFonts w:asciiTheme="minorHAnsi" w:eastAsiaTheme="minorEastAsia" w:hAnsiTheme="minorHAnsi" w:cstheme="minorBidi"/>
          <w:noProof/>
          <w:kern w:val="2"/>
          <w:sz w:val="22"/>
          <w:szCs w:val="22"/>
          <w:lang w:eastAsia="en-NZ"/>
          <w14:ligatures w14:val="standardContextual"/>
        </w:rPr>
      </w:pPr>
      <w:hyperlink w:anchor="_Toc195016593" w:history="1">
        <w:r w:rsidR="0090362E" w:rsidRPr="00B56A34">
          <w:rPr>
            <w:rStyle w:val="Hyperlink"/>
            <w:rFonts w:eastAsia="Calibri"/>
            <w:noProof/>
            <w:lang w:eastAsia="en-US"/>
          </w:rPr>
          <w:t>Figure 9: Practitioners who have completed NZCSRH training as of 30 October 2024, by ethnicity (percentage)</w:t>
        </w:r>
        <w:r w:rsidR="0090362E">
          <w:rPr>
            <w:noProof/>
            <w:webHidden/>
          </w:rPr>
          <w:tab/>
        </w:r>
        <w:r w:rsidR="0090362E">
          <w:rPr>
            <w:noProof/>
            <w:webHidden/>
          </w:rPr>
          <w:fldChar w:fldCharType="begin"/>
        </w:r>
        <w:r w:rsidR="0090362E">
          <w:rPr>
            <w:noProof/>
            <w:webHidden/>
          </w:rPr>
          <w:instrText xml:space="preserve"> PAGEREF _Toc195016593 \h </w:instrText>
        </w:r>
        <w:r w:rsidR="0090362E">
          <w:rPr>
            <w:noProof/>
            <w:webHidden/>
          </w:rPr>
        </w:r>
        <w:r w:rsidR="0090362E">
          <w:rPr>
            <w:noProof/>
            <w:webHidden/>
          </w:rPr>
          <w:fldChar w:fldCharType="separate"/>
        </w:r>
        <w:r w:rsidR="0090362E">
          <w:rPr>
            <w:noProof/>
            <w:webHidden/>
          </w:rPr>
          <w:t>45</w:t>
        </w:r>
        <w:r w:rsidR="0090362E">
          <w:rPr>
            <w:noProof/>
            <w:webHidden/>
          </w:rPr>
          <w:fldChar w:fldCharType="end"/>
        </w:r>
      </w:hyperlink>
    </w:p>
    <w:p w14:paraId="05CC63FD" w14:textId="21BC3701" w:rsidR="003A5FEA" w:rsidRDefault="0090362E" w:rsidP="003A5FEA">
      <w:r>
        <w:fldChar w:fldCharType="end"/>
      </w:r>
    </w:p>
    <w:p w14:paraId="60E70763" w14:textId="77777777" w:rsidR="00750B39" w:rsidRDefault="00750B39" w:rsidP="002B76A7">
      <w:pPr>
        <w:pStyle w:val="TOC1"/>
        <w:keepNext/>
        <w:sectPr w:rsidR="00750B39" w:rsidSect="0078658E">
          <w:headerReference w:type="even" r:id="rId22"/>
          <w:headerReference w:type="default" r:id="rId23"/>
          <w:footerReference w:type="even" r:id="rId24"/>
          <w:footerReference w:type="default" r:id="rId25"/>
          <w:pgSz w:w="11907" w:h="16840" w:code="9"/>
          <w:pgMar w:top="1418" w:right="1701" w:bottom="1134" w:left="1843" w:header="284" w:footer="425" w:gutter="284"/>
          <w:pgNumType w:fmt="lowerRoman"/>
          <w:cols w:space="720"/>
        </w:sectPr>
      </w:pPr>
    </w:p>
    <w:p w14:paraId="0D248541" w14:textId="20406172" w:rsidR="002B76A7" w:rsidRDefault="002B76A7" w:rsidP="002B76A7">
      <w:pPr>
        <w:pStyle w:val="TOC1"/>
        <w:keepNext/>
      </w:pPr>
      <w:r>
        <w:t>List of Tables</w:t>
      </w:r>
    </w:p>
    <w:p w14:paraId="760FE7DB" w14:textId="185CE75F" w:rsidR="0090362E" w:rsidRDefault="0090362E">
      <w:pPr>
        <w:pStyle w:val="TOC3"/>
        <w:rPr>
          <w:rFonts w:asciiTheme="minorHAnsi" w:eastAsiaTheme="minorEastAsia" w:hAnsiTheme="minorHAnsi" w:cstheme="minorBidi"/>
          <w:noProof/>
          <w:kern w:val="2"/>
          <w:sz w:val="22"/>
          <w:szCs w:val="22"/>
          <w:lang w:eastAsia="en-NZ"/>
          <w14:ligatures w14:val="standardContextual"/>
        </w:rPr>
      </w:pPr>
      <w:r>
        <w:rPr>
          <w:sz w:val="20"/>
        </w:rPr>
        <w:fldChar w:fldCharType="begin"/>
      </w:r>
      <w:r>
        <w:rPr>
          <w:sz w:val="20"/>
        </w:rPr>
        <w:instrText xml:space="preserve"> TOC \h \z \t "Table,3" </w:instrText>
      </w:r>
      <w:r>
        <w:rPr>
          <w:sz w:val="20"/>
        </w:rPr>
        <w:fldChar w:fldCharType="separate"/>
      </w:r>
      <w:hyperlink w:anchor="_Toc195016594" w:history="1">
        <w:r w:rsidRPr="003440F9">
          <w:rPr>
            <w:rStyle w:val="Hyperlink"/>
            <w:noProof/>
          </w:rPr>
          <w:t>Table 1: Counselling provision by region of service, 2022</w:t>
        </w:r>
        <w:r>
          <w:rPr>
            <w:noProof/>
            <w:webHidden/>
          </w:rPr>
          <w:tab/>
        </w:r>
        <w:r>
          <w:rPr>
            <w:noProof/>
            <w:webHidden/>
          </w:rPr>
          <w:fldChar w:fldCharType="begin"/>
        </w:r>
        <w:r>
          <w:rPr>
            <w:noProof/>
            <w:webHidden/>
          </w:rPr>
          <w:instrText xml:space="preserve"> PAGEREF _Toc195016594 \h </w:instrText>
        </w:r>
        <w:r>
          <w:rPr>
            <w:noProof/>
            <w:webHidden/>
          </w:rPr>
        </w:r>
        <w:r>
          <w:rPr>
            <w:noProof/>
            <w:webHidden/>
          </w:rPr>
          <w:fldChar w:fldCharType="separate"/>
        </w:r>
        <w:r>
          <w:rPr>
            <w:noProof/>
            <w:webHidden/>
          </w:rPr>
          <w:t>25</w:t>
        </w:r>
        <w:r>
          <w:rPr>
            <w:noProof/>
            <w:webHidden/>
          </w:rPr>
          <w:fldChar w:fldCharType="end"/>
        </w:r>
      </w:hyperlink>
    </w:p>
    <w:p w14:paraId="5B3EA96E" w14:textId="34B4EFEB" w:rsidR="0090362E" w:rsidRDefault="00431415">
      <w:pPr>
        <w:pStyle w:val="TOC3"/>
        <w:rPr>
          <w:rFonts w:asciiTheme="minorHAnsi" w:eastAsiaTheme="minorEastAsia" w:hAnsiTheme="minorHAnsi" w:cstheme="minorBidi"/>
          <w:noProof/>
          <w:kern w:val="2"/>
          <w:sz w:val="22"/>
          <w:szCs w:val="22"/>
          <w:lang w:eastAsia="en-NZ"/>
          <w14:ligatures w14:val="standardContextual"/>
        </w:rPr>
      </w:pPr>
      <w:hyperlink w:anchor="_Toc195016595" w:history="1">
        <w:r w:rsidR="0090362E" w:rsidRPr="003440F9">
          <w:rPr>
            <w:rStyle w:val="Hyperlink"/>
            <w:noProof/>
          </w:rPr>
          <w:t>Table 2: Counselling provision by region of service, 2023</w:t>
        </w:r>
        <w:r w:rsidR="0090362E">
          <w:rPr>
            <w:noProof/>
            <w:webHidden/>
          </w:rPr>
          <w:tab/>
        </w:r>
        <w:r w:rsidR="0090362E">
          <w:rPr>
            <w:noProof/>
            <w:webHidden/>
          </w:rPr>
          <w:fldChar w:fldCharType="begin"/>
        </w:r>
        <w:r w:rsidR="0090362E">
          <w:rPr>
            <w:noProof/>
            <w:webHidden/>
          </w:rPr>
          <w:instrText xml:space="preserve"> PAGEREF _Toc195016595 \h </w:instrText>
        </w:r>
        <w:r w:rsidR="0090362E">
          <w:rPr>
            <w:noProof/>
            <w:webHidden/>
          </w:rPr>
        </w:r>
        <w:r w:rsidR="0090362E">
          <w:rPr>
            <w:noProof/>
            <w:webHidden/>
          </w:rPr>
          <w:fldChar w:fldCharType="separate"/>
        </w:r>
        <w:r w:rsidR="0090362E">
          <w:rPr>
            <w:noProof/>
            <w:webHidden/>
          </w:rPr>
          <w:t>25</w:t>
        </w:r>
        <w:r w:rsidR="0090362E">
          <w:rPr>
            <w:noProof/>
            <w:webHidden/>
          </w:rPr>
          <w:fldChar w:fldCharType="end"/>
        </w:r>
      </w:hyperlink>
    </w:p>
    <w:p w14:paraId="0DF6B7F5" w14:textId="22D93D53" w:rsidR="0090362E" w:rsidRDefault="00431415">
      <w:pPr>
        <w:pStyle w:val="TOC3"/>
        <w:rPr>
          <w:rFonts w:asciiTheme="minorHAnsi" w:eastAsiaTheme="minorEastAsia" w:hAnsiTheme="minorHAnsi" w:cstheme="minorBidi"/>
          <w:noProof/>
          <w:kern w:val="2"/>
          <w:sz w:val="22"/>
          <w:szCs w:val="22"/>
          <w:lang w:eastAsia="en-NZ"/>
          <w14:ligatures w14:val="standardContextual"/>
        </w:rPr>
      </w:pPr>
      <w:hyperlink w:anchor="_Toc195016596" w:history="1">
        <w:r w:rsidR="0090362E" w:rsidRPr="003440F9">
          <w:rPr>
            <w:rStyle w:val="Hyperlink"/>
            <w:noProof/>
          </w:rPr>
          <w:t>Table 3: Counselling provision by region of service, 2024</w:t>
        </w:r>
        <w:r w:rsidR="0090362E">
          <w:rPr>
            <w:noProof/>
            <w:webHidden/>
          </w:rPr>
          <w:tab/>
        </w:r>
        <w:r w:rsidR="0090362E">
          <w:rPr>
            <w:noProof/>
            <w:webHidden/>
          </w:rPr>
          <w:fldChar w:fldCharType="begin"/>
        </w:r>
        <w:r w:rsidR="0090362E">
          <w:rPr>
            <w:noProof/>
            <w:webHidden/>
          </w:rPr>
          <w:instrText xml:space="preserve"> PAGEREF _Toc195016596 \h </w:instrText>
        </w:r>
        <w:r w:rsidR="0090362E">
          <w:rPr>
            <w:noProof/>
            <w:webHidden/>
          </w:rPr>
        </w:r>
        <w:r w:rsidR="0090362E">
          <w:rPr>
            <w:noProof/>
            <w:webHidden/>
          </w:rPr>
          <w:fldChar w:fldCharType="separate"/>
        </w:r>
        <w:r w:rsidR="0090362E">
          <w:rPr>
            <w:noProof/>
            <w:webHidden/>
          </w:rPr>
          <w:t>26</w:t>
        </w:r>
        <w:r w:rsidR="0090362E">
          <w:rPr>
            <w:noProof/>
            <w:webHidden/>
          </w:rPr>
          <w:fldChar w:fldCharType="end"/>
        </w:r>
      </w:hyperlink>
    </w:p>
    <w:p w14:paraId="4CFBE10F" w14:textId="4D68AB7C" w:rsidR="0090362E" w:rsidRDefault="00431415">
      <w:pPr>
        <w:pStyle w:val="TOC3"/>
        <w:rPr>
          <w:rFonts w:asciiTheme="minorHAnsi" w:eastAsiaTheme="minorEastAsia" w:hAnsiTheme="minorHAnsi" w:cstheme="minorBidi"/>
          <w:noProof/>
          <w:kern w:val="2"/>
          <w:sz w:val="22"/>
          <w:szCs w:val="22"/>
          <w:lang w:eastAsia="en-NZ"/>
          <w14:ligatures w14:val="standardContextual"/>
        </w:rPr>
      </w:pPr>
      <w:hyperlink w:anchor="_Toc195016597" w:history="1">
        <w:r w:rsidR="0090362E" w:rsidRPr="003440F9">
          <w:rPr>
            <w:rStyle w:val="Hyperlink"/>
            <w:rFonts w:eastAsia="Calibri"/>
            <w:noProof/>
            <w:lang w:eastAsia="en-US"/>
          </w:rPr>
          <w:t>Table 4: Number of health workers delivering abortion services by profession and region of service, 2021 and 2023</w:t>
        </w:r>
        <w:r w:rsidR="0090362E">
          <w:rPr>
            <w:noProof/>
            <w:webHidden/>
          </w:rPr>
          <w:tab/>
        </w:r>
        <w:r w:rsidR="0090362E">
          <w:rPr>
            <w:noProof/>
            <w:webHidden/>
          </w:rPr>
          <w:fldChar w:fldCharType="begin"/>
        </w:r>
        <w:r w:rsidR="0090362E">
          <w:rPr>
            <w:noProof/>
            <w:webHidden/>
          </w:rPr>
          <w:instrText xml:space="preserve"> PAGEREF _Toc195016597 \h </w:instrText>
        </w:r>
        <w:r w:rsidR="0090362E">
          <w:rPr>
            <w:noProof/>
            <w:webHidden/>
          </w:rPr>
        </w:r>
        <w:r w:rsidR="0090362E">
          <w:rPr>
            <w:noProof/>
            <w:webHidden/>
          </w:rPr>
          <w:fldChar w:fldCharType="separate"/>
        </w:r>
        <w:r w:rsidR="0090362E">
          <w:rPr>
            <w:noProof/>
            <w:webHidden/>
          </w:rPr>
          <w:t>29</w:t>
        </w:r>
        <w:r w:rsidR="0090362E">
          <w:rPr>
            <w:noProof/>
            <w:webHidden/>
          </w:rPr>
          <w:fldChar w:fldCharType="end"/>
        </w:r>
      </w:hyperlink>
    </w:p>
    <w:p w14:paraId="75F5D8FC" w14:textId="3248866C" w:rsidR="0090362E" w:rsidRDefault="00431415">
      <w:pPr>
        <w:pStyle w:val="TOC3"/>
        <w:rPr>
          <w:rFonts w:asciiTheme="minorHAnsi" w:eastAsiaTheme="minorEastAsia" w:hAnsiTheme="minorHAnsi" w:cstheme="minorBidi"/>
          <w:noProof/>
          <w:kern w:val="2"/>
          <w:sz w:val="22"/>
          <w:szCs w:val="22"/>
          <w:lang w:eastAsia="en-NZ"/>
          <w14:ligatures w14:val="standardContextual"/>
        </w:rPr>
      </w:pPr>
      <w:hyperlink w:anchor="_Toc195016598" w:history="1">
        <w:r w:rsidR="0090362E" w:rsidRPr="003440F9">
          <w:rPr>
            <w:rStyle w:val="Hyperlink"/>
            <w:rFonts w:eastAsia="Calibri"/>
            <w:noProof/>
            <w:lang w:eastAsia="en-US"/>
          </w:rPr>
          <w:t>Table 5: Number of abortions by provider type and region of service, 2020 and 2024</w:t>
        </w:r>
        <w:r w:rsidR="0090362E">
          <w:rPr>
            <w:noProof/>
            <w:webHidden/>
          </w:rPr>
          <w:tab/>
        </w:r>
        <w:r w:rsidR="0090362E">
          <w:rPr>
            <w:noProof/>
            <w:webHidden/>
          </w:rPr>
          <w:fldChar w:fldCharType="begin"/>
        </w:r>
        <w:r w:rsidR="0090362E">
          <w:rPr>
            <w:noProof/>
            <w:webHidden/>
          </w:rPr>
          <w:instrText xml:space="preserve"> PAGEREF _Toc195016598 \h </w:instrText>
        </w:r>
        <w:r w:rsidR="0090362E">
          <w:rPr>
            <w:noProof/>
            <w:webHidden/>
          </w:rPr>
        </w:r>
        <w:r w:rsidR="0090362E">
          <w:rPr>
            <w:noProof/>
            <w:webHidden/>
          </w:rPr>
          <w:fldChar w:fldCharType="separate"/>
        </w:r>
        <w:r w:rsidR="0090362E">
          <w:rPr>
            <w:noProof/>
            <w:webHidden/>
          </w:rPr>
          <w:t>29</w:t>
        </w:r>
        <w:r w:rsidR="0090362E">
          <w:rPr>
            <w:noProof/>
            <w:webHidden/>
          </w:rPr>
          <w:fldChar w:fldCharType="end"/>
        </w:r>
      </w:hyperlink>
    </w:p>
    <w:p w14:paraId="739221E5" w14:textId="4FAD554E" w:rsidR="0090362E" w:rsidRDefault="00431415">
      <w:pPr>
        <w:pStyle w:val="TOC3"/>
        <w:rPr>
          <w:rFonts w:asciiTheme="minorHAnsi" w:eastAsiaTheme="minorEastAsia" w:hAnsiTheme="minorHAnsi" w:cstheme="minorBidi"/>
          <w:noProof/>
          <w:kern w:val="2"/>
          <w:sz w:val="22"/>
          <w:szCs w:val="22"/>
          <w:lang w:eastAsia="en-NZ"/>
          <w14:ligatures w14:val="standardContextual"/>
        </w:rPr>
      </w:pPr>
      <w:hyperlink w:anchor="_Toc195016599" w:history="1">
        <w:r w:rsidR="0090362E" w:rsidRPr="003440F9">
          <w:rPr>
            <w:rStyle w:val="Hyperlink"/>
            <w:rFonts w:eastAsia="Calibri"/>
            <w:noProof/>
            <w:lang w:eastAsia="en-US"/>
          </w:rPr>
          <w:t>Table 6: Number and percentage of surgical abortions occurring outside of district of domicile, by gestation, 2020, 2022 and 2024</w:t>
        </w:r>
        <w:r w:rsidR="0090362E">
          <w:rPr>
            <w:noProof/>
            <w:webHidden/>
          </w:rPr>
          <w:tab/>
        </w:r>
        <w:r w:rsidR="0090362E">
          <w:rPr>
            <w:noProof/>
            <w:webHidden/>
          </w:rPr>
          <w:fldChar w:fldCharType="begin"/>
        </w:r>
        <w:r w:rsidR="0090362E">
          <w:rPr>
            <w:noProof/>
            <w:webHidden/>
          </w:rPr>
          <w:instrText xml:space="preserve"> PAGEREF _Toc195016599 \h </w:instrText>
        </w:r>
        <w:r w:rsidR="0090362E">
          <w:rPr>
            <w:noProof/>
            <w:webHidden/>
          </w:rPr>
        </w:r>
        <w:r w:rsidR="0090362E">
          <w:rPr>
            <w:noProof/>
            <w:webHidden/>
          </w:rPr>
          <w:fldChar w:fldCharType="separate"/>
        </w:r>
        <w:r w:rsidR="0090362E">
          <w:rPr>
            <w:noProof/>
            <w:webHidden/>
          </w:rPr>
          <w:t>34</w:t>
        </w:r>
        <w:r w:rsidR="0090362E">
          <w:rPr>
            <w:noProof/>
            <w:webHidden/>
          </w:rPr>
          <w:fldChar w:fldCharType="end"/>
        </w:r>
      </w:hyperlink>
    </w:p>
    <w:p w14:paraId="482B5330" w14:textId="2105A8BD" w:rsidR="0090362E" w:rsidRDefault="00431415">
      <w:pPr>
        <w:pStyle w:val="TOC3"/>
        <w:rPr>
          <w:rFonts w:asciiTheme="minorHAnsi" w:eastAsiaTheme="minorEastAsia" w:hAnsiTheme="minorHAnsi" w:cstheme="minorBidi"/>
          <w:noProof/>
          <w:kern w:val="2"/>
          <w:sz w:val="22"/>
          <w:szCs w:val="22"/>
          <w:lang w:eastAsia="en-NZ"/>
          <w14:ligatures w14:val="standardContextual"/>
        </w:rPr>
      </w:pPr>
      <w:hyperlink w:anchor="_Toc195016600" w:history="1">
        <w:r w:rsidR="0090362E" w:rsidRPr="003440F9">
          <w:rPr>
            <w:rStyle w:val="Hyperlink"/>
            <w:rFonts w:eastAsia="Calibri"/>
            <w:noProof/>
            <w:lang w:eastAsia="en-US"/>
          </w:rPr>
          <w:t>Table 7: Number and percentage of surgical and total abortions provided at earlier than 13 weeks’ gestation, by district of service, 2020, 2022 and 2024</w:t>
        </w:r>
        <w:r w:rsidR="0090362E">
          <w:rPr>
            <w:noProof/>
            <w:webHidden/>
          </w:rPr>
          <w:tab/>
        </w:r>
        <w:r w:rsidR="0090362E">
          <w:rPr>
            <w:noProof/>
            <w:webHidden/>
          </w:rPr>
          <w:fldChar w:fldCharType="begin"/>
        </w:r>
        <w:r w:rsidR="0090362E">
          <w:rPr>
            <w:noProof/>
            <w:webHidden/>
          </w:rPr>
          <w:instrText xml:space="preserve"> PAGEREF _Toc195016600 \h </w:instrText>
        </w:r>
        <w:r w:rsidR="0090362E">
          <w:rPr>
            <w:noProof/>
            <w:webHidden/>
          </w:rPr>
        </w:r>
        <w:r w:rsidR="0090362E">
          <w:rPr>
            <w:noProof/>
            <w:webHidden/>
          </w:rPr>
          <w:fldChar w:fldCharType="separate"/>
        </w:r>
        <w:r w:rsidR="0090362E">
          <w:rPr>
            <w:noProof/>
            <w:webHidden/>
          </w:rPr>
          <w:t>36</w:t>
        </w:r>
        <w:r w:rsidR="0090362E">
          <w:rPr>
            <w:noProof/>
            <w:webHidden/>
          </w:rPr>
          <w:fldChar w:fldCharType="end"/>
        </w:r>
      </w:hyperlink>
    </w:p>
    <w:p w14:paraId="41234229" w14:textId="06F7D70B" w:rsidR="0090362E" w:rsidRDefault="00431415">
      <w:pPr>
        <w:pStyle w:val="TOC3"/>
        <w:rPr>
          <w:rFonts w:asciiTheme="minorHAnsi" w:eastAsiaTheme="minorEastAsia" w:hAnsiTheme="minorHAnsi" w:cstheme="minorBidi"/>
          <w:noProof/>
          <w:kern w:val="2"/>
          <w:sz w:val="22"/>
          <w:szCs w:val="22"/>
          <w:lang w:eastAsia="en-NZ"/>
          <w14:ligatures w14:val="standardContextual"/>
        </w:rPr>
      </w:pPr>
      <w:hyperlink w:anchor="_Toc195016601" w:history="1">
        <w:r w:rsidR="0090362E" w:rsidRPr="003440F9">
          <w:rPr>
            <w:rStyle w:val="Hyperlink"/>
            <w:rFonts w:eastAsia="Calibri"/>
            <w:noProof/>
            <w:lang w:eastAsia="en-US"/>
          </w:rPr>
          <w:t>Table 8: Number and percentage of surgical and total abortions provided at 13 to 26 weeks’ gestation by prioritised ethnicity, 2020 and 2024</w:t>
        </w:r>
        <w:r w:rsidR="0090362E">
          <w:rPr>
            <w:noProof/>
            <w:webHidden/>
          </w:rPr>
          <w:tab/>
        </w:r>
        <w:r w:rsidR="0090362E">
          <w:rPr>
            <w:noProof/>
            <w:webHidden/>
          </w:rPr>
          <w:fldChar w:fldCharType="begin"/>
        </w:r>
        <w:r w:rsidR="0090362E">
          <w:rPr>
            <w:noProof/>
            <w:webHidden/>
          </w:rPr>
          <w:instrText xml:space="preserve"> PAGEREF _Toc195016601 \h </w:instrText>
        </w:r>
        <w:r w:rsidR="0090362E">
          <w:rPr>
            <w:noProof/>
            <w:webHidden/>
          </w:rPr>
        </w:r>
        <w:r w:rsidR="0090362E">
          <w:rPr>
            <w:noProof/>
            <w:webHidden/>
          </w:rPr>
          <w:fldChar w:fldCharType="separate"/>
        </w:r>
        <w:r w:rsidR="0090362E">
          <w:rPr>
            <w:noProof/>
            <w:webHidden/>
          </w:rPr>
          <w:t>37</w:t>
        </w:r>
        <w:r w:rsidR="0090362E">
          <w:rPr>
            <w:noProof/>
            <w:webHidden/>
          </w:rPr>
          <w:fldChar w:fldCharType="end"/>
        </w:r>
      </w:hyperlink>
    </w:p>
    <w:p w14:paraId="00AE040D" w14:textId="7D3F8C21" w:rsidR="0090362E" w:rsidRDefault="00431415">
      <w:pPr>
        <w:pStyle w:val="TOC3"/>
        <w:rPr>
          <w:rFonts w:asciiTheme="minorHAnsi" w:eastAsiaTheme="minorEastAsia" w:hAnsiTheme="minorHAnsi" w:cstheme="minorBidi"/>
          <w:noProof/>
          <w:kern w:val="2"/>
          <w:sz w:val="22"/>
          <w:szCs w:val="22"/>
          <w:lang w:eastAsia="en-NZ"/>
          <w14:ligatures w14:val="standardContextual"/>
        </w:rPr>
      </w:pPr>
      <w:hyperlink w:anchor="_Toc195016602" w:history="1">
        <w:r w:rsidR="0090362E" w:rsidRPr="003440F9">
          <w:rPr>
            <w:rStyle w:val="Hyperlink"/>
            <w:rFonts w:eastAsia="Calibri"/>
            <w:noProof/>
            <w:lang w:eastAsia="en-US"/>
          </w:rPr>
          <w:t>Table 9: Number and percentage of surgical and total abortions provided during the second trimester (at 13 to 26 weeks’ gestation) by district of service, 2020, 2022 and 2024</w:t>
        </w:r>
        <w:r w:rsidR="0090362E">
          <w:rPr>
            <w:noProof/>
            <w:webHidden/>
          </w:rPr>
          <w:tab/>
        </w:r>
        <w:r w:rsidR="0090362E">
          <w:rPr>
            <w:noProof/>
            <w:webHidden/>
          </w:rPr>
          <w:fldChar w:fldCharType="begin"/>
        </w:r>
        <w:r w:rsidR="0090362E">
          <w:rPr>
            <w:noProof/>
            <w:webHidden/>
          </w:rPr>
          <w:instrText xml:space="preserve"> PAGEREF _Toc195016602 \h </w:instrText>
        </w:r>
        <w:r w:rsidR="0090362E">
          <w:rPr>
            <w:noProof/>
            <w:webHidden/>
          </w:rPr>
        </w:r>
        <w:r w:rsidR="0090362E">
          <w:rPr>
            <w:noProof/>
            <w:webHidden/>
          </w:rPr>
          <w:fldChar w:fldCharType="separate"/>
        </w:r>
        <w:r w:rsidR="0090362E">
          <w:rPr>
            <w:noProof/>
            <w:webHidden/>
          </w:rPr>
          <w:t>38</w:t>
        </w:r>
        <w:r w:rsidR="0090362E">
          <w:rPr>
            <w:noProof/>
            <w:webHidden/>
          </w:rPr>
          <w:fldChar w:fldCharType="end"/>
        </w:r>
      </w:hyperlink>
    </w:p>
    <w:p w14:paraId="4A6797B1" w14:textId="2EDE2271" w:rsidR="002B76A7" w:rsidRDefault="0090362E" w:rsidP="003A5FEA">
      <w:r>
        <w:rPr>
          <w:sz w:val="20"/>
        </w:rPr>
        <w:fldChar w:fldCharType="end"/>
      </w:r>
    </w:p>
    <w:p w14:paraId="03333094" w14:textId="77777777" w:rsidR="001D3E4E" w:rsidRDefault="001D3E4E" w:rsidP="003A5FEA">
      <w:pPr>
        <w:sectPr w:rsidR="001D3E4E" w:rsidSect="0078658E">
          <w:pgSz w:w="11907" w:h="16840" w:code="9"/>
          <w:pgMar w:top="1418" w:right="1701" w:bottom="1134" w:left="1843" w:header="284" w:footer="425" w:gutter="284"/>
          <w:pgNumType w:fmt="lowerRoman"/>
          <w:cols w:space="720"/>
        </w:sectPr>
      </w:pPr>
    </w:p>
    <w:p w14:paraId="5DDB57FC" w14:textId="77777777" w:rsidR="001D3E4E" w:rsidRDefault="001D3E4E" w:rsidP="003A5FEA"/>
    <w:p w14:paraId="42CB3D8F" w14:textId="77777777" w:rsidR="001D3E4E" w:rsidRDefault="001D3E4E" w:rsidP="003A5FEA">
      <w:pPr>
        <w:sectPr w:rsidR="001D3E4E" w:rsidSect="0078658E">
          <w:footerReference w:type="even" r:id="rId26"/>
          <w:pgSz w:w="11907" w:h="16840" w:code="9"/>
          <w:pgMar w:top="1418" w:right="1701" w:bottom="1134" w:left="1843" w:header="284" w:footer="425" w:gutter="284"/>
          <w:pgNumType w:fmt="lowerRoman"/>
          <w:cols w:space="720"/>
        </w:sectPr>
      </w:pPr>
    </w:p>
    <w:p w14:paraId="0A056DB8" w14:textId="527EDA6B" w:rsidR="009A42D5" w:rsidRDefault="00CC19AA" w:rsidP="001D3E4E">
      <w:pPr>
        <w:pStyle w:val="Heading1"/>
        <w:spacing w:before="0"/>
      </w:pPr>
      <w:bookmarkStart w:id="2" w:name="_Toc195016546"/>
      <w:r w:rsidRPr="00CC19AA">
        <w:t>Glossary of terms</w:t>
      </w:r>
      <w:r w:rsidR="002E490C">
        <w:t xml:space="preserve"> </w:t>
      </w:r>
      <w:r w:rsidR="002E490C">
        <w:rPr>
          <w:spacing w:val="0"/>
        </w:rPr>
        <w:t xml:space="preserve">– </w:t>
      </w:r>
      <w:r w:rsidR="002E490C" w:rsidRPr="00386916">
        <w:rPr>
          <w:spacing w:val="0"/>
        </w:rPr>
        <w:t xml:space="preserve">He </w:t>
      </w:r>
      <w:proofErr w:type="spellStart"/>
      <w:r w:rsidR="002E490C" w:rsidRPr="00386916">
        <w:rPr>
          <w:spacing w:val="0"/>
        </w:rPr>
        <w:t>kuputaka</w:t>
      </w:r>
      <w:bookmarkEnd w:id="2"/>
      <w:proofErr w:type="spellEnd"/>
    </w:p>
    <w:tbl>
      <w:tblPr>
        <w:tblStyle w:val="TableGrid"/>
        <w:tblW w:w="8165" w:type="dxa"/>
        <w:tblInd w:w="57"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3062"/>
        <w:gridCol w:w="5103"/>
      </w:tblGrid>
      <w:tr w:rsidR="002E490C" w:rsidRPr="005F1F83" w14:paraId="3D88E934" w14:textId="77777777" w:rsidTr="18A85DE3">
        <w:tc>
          <w:tcPr>
            <w:tcW w:w="3062" w:type="dxa"/>
            <w:tcBorders>
              <w:top w:val="nil"/>
              <w:bottom w:val="nil"/>
            </w:tcBorders>
            <w:shd w:val="clear" w:color="auto" w:fill="D9D9D9" w:themeFill="background1" w:themeFillShade="D9"/>
          </w:tcPr>
          <w:p w14:paraId="152BE35A" w14:textId="77777777" w:rsidR="002E490C" w:rsidRPr="005F1F83" w:rsidRDefault="002E490C" w:rsidP="00C70445">
            <w:pPr>
              <w:pStyle w:val="TableText"/>
              <w:keepNext/>
              <w:rPr>
                <w:b/>
                <w:bCs/>
              </w:rPr>
            </w:pPr>
            <w:bookmarkStart w:id="3" w:name="_Hlk185429499"/>
            <w:r w:rsidRPr="005F1F83">
              <w:rPr>
                <w:b/>
                <w:bCs/>
              </w:rPr>
              <w:t>Term</w:t>
            </w:r>
          </w:p>
        </w:tc>
        <w:tc>
          <w:tcPr>
            <w:tcW w:w="5103" w:type="dxa"/>
            <w:tcBorders>
              <w:top w:val="nil"/>
              <w:bottom w:val="nil"/>
            </w:tcBorders>
            <w:shd w:val="clear" w:color="auto" w:fill="D9D9D9" w:themeFill="background1" w:themeFillShade="D9"/>
          </w:tcPr>
          <w:p w14:paraId="4FBDC059" w14:textId="77777777" w:rsidR="002E490C" w:rsidRPr="005F1F83" w:rsidRDefault="002E490C" w:rsidP="00C70445">
            <w:pPr>
              <w:pStyle w:val="TableText"/>
              <w:keepNext/>
              <w:rPr>
                <w:b/>
                <w:bCs/>
              </w:rPr>
            </w:pPr>
            <w:r w:rsidRPr="005F1F83">
              <w:rPr>
                <w:b/>
                <w:bCs/>
              </w:rPr>
              <w:t>Meaning</w:t>
            </w:r>
          </w:p>
        </w:tc>
      </w:tr>
      <w:tr w:rsidR="002E490C" w:rsidRPr="005F1F83" w14:paraId="02444F72" w14:textId="77777777" w:rsidTr="18A85DE3">
        <w:tc>
          <w:tcPr>
            <w:tcW w:w="3062" w:type="dxa"/>
            <w:tcBorders>
              <w:top w:val="nil"/>
              <w:bottom w:val="single" w:sz="4" w:space="0" w:color="A6A6A6" w:themeColor="background1" w:themeShade="A6"/>
            </w:tcBorders>
          </w:tcPr>
          <w:p w14:paraId="486745AF" w14:textId="77777777" w:rsidR="002E490C" w:rsidRPr="005F1F83" w:rsidRDefault="002E490C" w:rsidP="00C70445">
            <w:pPr>
              <w:pStyle w:val="TableText"/>
              <w:keepNext/>
              <w:rPr>
                <w:b/>
                <w:bCs/>
              </w:rPr>
            </w:pPr>
            <w:r w:rsidRPr="005F1F83">
              <w:rPr>
                <w:b/>
                <w:bCs/>
              </w:rPr>
              <w:t>Abortion</w:t>
            </w:r>
          </w:p>
        </w:tc>
        <w:tc>
          <w:tcPr>
            <w:tcW w:w="5103" w:type="dxa"/>
            <w:tcBorders>
              <w:top w:val="nil"/>
              <w:bottom w:val="single" w:sz="4" w:space="0" w:color="A6A6A6" w:themeColor="background1" w:themeShade="A6"/>
            </w:tcBorders>
          </w:tcPr>
          <w:p w14:paraId="3CE92397" w14:textId="21E04F62" w:rsidR="002E490C" w:rsidRPr="005F1F83" w:rsidRDefault="002E490C" w:rsidP="00C70445">
            <w:pPr>
              <w:pStyle w:val="TableText"/>
              <w:rPr>
                <w:rFonts w:eastAsia="Lucida Sans Unicode"/>
              </w:rPr>
            </w:pPr>
            <w:r w:rsidRPr="005F1F83">
              <w:rPr>
                <w:rFonts w:eastAsia="Lucida Sans Unicode"/>
              </w:rPr>
              <w:t xml:space="preserve">Under the Contraception, Sterilisation and Abortion Act 1977, the intentional termination of a </w:t>
            </w:r>
            <w:r w:rsidR="00982B8D">
              <w:rPr>
                <w:rFonts w:eastAsia="Calibri"/>
              </w:rPr>
              <w:t>woman</w:t>
            </w:r>
            <w:r w:rsidRPr="005F1F83">
              <w:rPr>
                <w:rFonts w:eastAsia="Lucida Sans Unicode"/>
              </w:rPr>
              <w:t>’s pregnancy by any means, including by using:</w:t>
            </w:r>
          </w:p>
          <w:p w14:paraId="5707299A" w14:textId="77777777" w:rsidR="002E490C" w:rsidRPr="005F1F83" w:rsidRDefault="002E490C" w:rsidP="002E490C">
            <w:pPr>
              <w:pStyle w:val="TableBullet"/>
              <w:spacing w:line="240" w:lineRule="atLeast"/>
              <w:rPr>
                <w:rFonts w:eastAsia="Lucida Sans Unicode"/>
              </w:rPr>
            </w:pPr>
            <w:r w:rsidRPr="005F1F83">
              <w:rPr>
                <w:rFonts w:eastAsia="Lucida Sans Unicode"/>
              </w:rPr>
              <w:t>a drug or combination of drugs (medical)</w:t>
            </w:r>
          </w:p>
          <w:p w14:paraId="48D3D94E" w14:textId="77777777" w:rsidR="002E490C" w:rsidRPr="005F1F83" w:rsidRDefault="002E490C" w:rsidP="002E490C">
            <w:pPr>
              <w:pStyle w:val="TableBullet"/>
              <w:spacing w:line="240" w:lineRule="atLeast"/>
              <w:rPr>
                <w:rFonts w:eastAsia="Lucida Sans Unicode"/>
              </w:rPr>
            </w:pPr>
            <w:r w:rsidRPr="005F1F83">
              <w:rPr>
                <w:rFonts w:eastAsia="Lucida Sans Unicode"/>
              </w:rPr>
              <w:t>an instrument (surgical).</w:t>
            </w:r>
          </w:p>
        </w:tc>
      </w:tr>
      <w:tr w:rsidR="002E490C" w:rsidRPr="005F1F83" w14:paraId="4412EA3E" w14:textId="77777777" w:rsidTr="18A85DE3">
        <w:tc>
          <w:tcPr>
            <w:tcW w:w="3062" w:type="dxa"/>
          </w:tcPr>
          <w:p w14:paraId="11A86E2E" w14:textId="77777777" w:rsidR="002E490C" w:rsidRPr="005F1F83" w:rsidRDefault="002E490C" w:rsidP="00C70445">
            <w:pPr>
              <w:pStyle w:val="TableText"/>
              <w:rPr>
                <w:rFonts w:eastAsia="Lucida Sans Unicode"/>
                <w:b/>
              </w:rPr>
            </w:pPr>
            <w:r w:rsidRPr="005F1F83">
              <w:rPr>
                <w:rFonts w:eastAsia="Lucida Sans Unicode"/>
                <w:b/>
              </w:rPr>
              <w:t>Conscientious objection</w:t>
            </w:r>
          </w:p>
        </w:tc>
        <w:tc>
          <w:tcPr>
            <w:tcW w:w="5103" w:type="dxa"/>
          </w:tcPr>
          <w:p w14:paraId="0597A32C" w14:textId="77777777" w:rsidR="002E490C" w:rsidRDefault="002E490C" w:rsidP="00C70445">
            <w:pPr>
              <w:pStyle w:val="TableText"/>
              <w:rPr>
                <w:rFonts w:eastAsia="Lucida Sans Unicode"/>
              </w:rPr>
            </w:pPr>
            <w:r w:rsidRPr="005F1F83">
              <w:rPr>
                <w:rFonts w:eastAsia="Lucida Sans Unicode"/>
              </w:rPr>
              <w:t>An objection a health practitioner makes, on the ground of personal conscience, to providing contraception, sterilisation or abortion services.</w:t>
            </w:r>
          </w:p>
          <w:p w14:paraId="255B8BE7" w14:textId="77777777" w:rsidR="002E490C" w:rsidRPr="005F1F83" w:rsidRDefault="002E490C" w:rsidP="00C70445">
            <w:pPr>
              <w:pStyle w:val="TableText"/>
              <w:rPr>
                <w:rFonts w:eastAsia="Lucida Sans Unicode"/>
              </w:rPr>
            </w:pPr>
            <w:r>
              <w:rPr>
                <w:rFonts w:eastAsia="Lucida Sans Unicode"/>
              </w:rPr>
              <w:t xml:space="preserve">This report also describes how conscientious objection is used by organisations and groups (outside of health practitioners). </w:t>
            </w:r>
          </w:p>
        </w:tc>
      </w:tr>
      <w:tr w:rsidR="002E490C" w:rsidRPr="005F1F83" w14:paraId="4E714B87" w14:textId="77777777" w:rsidTr="18A85DE3">
        <w:tc>
          <w:tcPr>
            <w:tcW w:w="3062" w:type="dxa"/>
          </w:tcPr>
          <w:p w14:paraId="24B137BF" w14:textId="77777777" w:rsidR="002E490C" w:rsidRPr="005F1F83" w:rsidRDefault="002E490C" w:rsidP="00C70445">
            <w:pPr>
              <w:pStyle w:val="TableText"/>
              <w:rPr>
                <w:b/>
                <w:bCs/>
              </w:rPr>
            </w:pPr>
            <w:r w:rsidRPr="005F1F83">
              <w:rPr>
                <w:b/>
                <w:bCs/>
              </w:rPr>
              <w:t>Contraception</w:t>
            </w:r>
          </w:p>
        </w:tc>
        <w:tc>
          <w:tcPr>
            <w:tcW w:w="5103" w:type="dxa"/>
          </w:tcPr>
          <w:p w14:paraId="3DB47174" w14:textId="77777777" w:rsidR="002E490C" w:rsidRPr="005F1F83" w:rsidRDefault="002E490C" w:rsidP="00C70445">
            <w:pPr>
              <w:pStyle w:val="TableText"/>
              <w:tabs>
                <w:tab w:val="decimal" w:pos="1644"/>
              </w:tabs>
              <w:rPr>
                <w:rFonts w:eastAsia="Lucida Sans Unicode" w:hAnsi="Lucida Sans Unicode" w:cs="Lucida Sans Unicode"/>
              </w:rPr>
            </w:pPr>
            <w:r w:rsidRPr="005F1F83">
              <w:rPr>
                <w:rFonts w:eastAsia="Lucida Sans Unicode" w:hAnsi="Lucida Sans Unicode" w:cs="Lucida Sans Unicode"/>
              </w:rPr>
              <w:t>A method, medicine or device to prevent pregnancy.</w:t>
            </w:r>
          </w:p>
        </w:tc>
      </w:tr>
      <w:tr w:rsidR="002E490C" w:rsidRPr="005F1F83" w14:paraId="3A6B6779" w14:textId="77777777" w:rsidTr="18A85DE3">
        <w:tc>
          <w:tcPr>
            <w:tcW w:w="3062" w:type="dxa"/>
          </w:tcPr>
          <w:p w14:paraId="6B6B5275" w14:textId="77777777" w:rsidR="002E490C" w:rsidRPr="005F1F83" w:rsidRDefault="002E490C" w:rsidP="00C70445">
            <w:pPr>
              <w:pStyle w:val="TableText"/>
              <w:tabs>
                <w:tab w:val="left" w:pos="855"/>
              </w:tabs>
              <w:rPr>
                <w:b/>
                <w:bCs/>
              </w:rPr>
            </w:pPr>
            <w:r w:rsidRPr="005F1F83">
              <w:rPr>
                <w:b/>
                <w:bCs/>
              </w:rPr>
              <w:t>Decile</w:t>
            </w:r>
          </w:p>
        </w:tc>
        <w:tc>
          <w:tcPr>
            <w:tcW w:w="5103" w:type="dxa"/>
          </w:tcPr>
          <w:p w14:paraId="0F47393C" w14:textId="77777777" w:rsidR="002E490C" w:rsidRPr="005F1F83" w:rsidRDefault="002E490C" w:rsidP="00C70445">
            <w:pPr>
              <w:pStyle w:val="TableText"/>
              <w:tabs>
                <w:tab w:val="left" w:pos="649"/>
                <w:tab w:val="decimal" w:pos="1644"/>
              </w:tabs>
              <w:rPr>
                <w:rFonts w:eastAsia="Lucida Sans Unicode" w:hAnsi="Lucida Sans Unicode" w:cs="Lucida Sans Unicode"/>
              </w:rPr>
            </w:pPr>
            <w:r w:rsidRPr="005F1F83">
              <w:t>A label representing approximately 10% of small areas in New Zealand. Deciles are ordered on a scale of socioeconomic deprivation. For example, ‘Decile 1’ is the label for the 10% of areas in New Zealand with the lowest level of deprivation on the New Zealand Index of Deprivation, whereas ‘Decile 10’ is the label for the 10% of areas with the highest level of deprivation.</w:t>
            </w:r>
          </w:p>
        </w:tc>
      </w:tr>
      <w:tr w:rsidR="002E490C" w:rsidRPr="005F1F83" w14:paraId="2AA3EE37" w14:textId="77777777" w:rsidTr="18A85DE3">
        <w:tc>
          <w:tcPr>
            <w:tcW w:w="3062" w:type="dxa"/>
            <w:tcBorders>
              <w:top w:val="single" w:sz="4" w:space="0" w:color="A6A6A6" w:themeColor="background1" w:themeShade="A6"/>
              <w:left w:val="nil"/>
              <w:bottom w:val="single" w:sz="4" w:space="0" w:color="A6A6A6" w:themeColor="background1" w:themeShade="A6"/>
              <w:right w:val="nil"/>
            </w:tcBorders>
          </w:tcPr>
          <w:p w14:paraId="456D5B08" w14:textId="77777777" w:rsidR="002E490C" w:rsidRPr="005F1F83" w:rsidRDefault="002E490C" w:rsidP="00C70445">
            <w:pPr>
              <w:pStyle w:val="TableText"/>
              <w:tabs>
                <w:tab w:val="left" w:pos="855"/>
              </w:tabs>
              <w:rPr>
                <w:b/>
                <w:bCs/>
              </w:rPr>
            </w:pPr>
            <w:r w:rsidRPr="005F1F83">
              <w:rPr>
                <w:rFonts w:eastAsia="Calibri"/>
                <w:b/>
              </w:rPr>
              <w:t>District of domicile</w:t>
            </w:r>
          </w:p>
        </w:tc>
        <w:tc>
          <w:tcPr>
            <w:tcW w:w="5103" w:type="dxa"/>
            <w:tcBorders>
              <w:top w:val="single" w:sz="4" w:space="0" w:color="A6A6A6" w:themeColor="background1" w:themeShade="A6"/>
              <w:left w:val="nil"/>
              <w:bottom w:val="single" w:sz="4" w:space="0" w:color="A6A6A6" w:themeColor="background1" w:themeShade="A6"/>
              <w:right w:val="nil"/>
            </w:tcBorders>
          </w:tcPr>
          <w:p w14:paraId="0F4A2617" w14:textId="77777777" w:rsidR="002E490C" w:rsidRPr="005F1F83" w:rsidRDefault="002E490C" w:rsidP="00C70445">
            <w:pPr>
              <w:pStyle w:val="TableText"/>
              <w:tabs>
                <w:tab w:val="decimal" w:pos="790"/>
              </w:tabs>
            </w:pPr>
            <w:r w:rsidRPr="005F1F83">
              <w:t>The</w:t>
            </w:r>
            <w:r>
              <w:t xml:space="preserve"> Health New Zealand</w:t>
            </w:r>
            <w:r w:rsidRPr="005F1F83">
              <w:t xml:space="preserve"> district where a person has a fixed or legal address or permanent residence.</w:t>
            </w:r>
          </w:p>
        </w:tc>
      </w:tr>
      <w:tr w:rsidR="002E490C" w:rsidRPr="005F1F83" w14:paraId="3F12E7B4" w14:textId="77777777" w:rsidTr="18A85DE3">
        <w:tc>
          <w:tcPr>
            <w:tcW w:w="3062" w:type="dxa"/>
            <w:tcBorders>
              <w:top w:val="single" w:sz="4" w:space="0" w:color="A6A6A6" w:themeColor="background1" w:themeShade="A6"/>
              <w:left w:val="nil"/>
              <w:bottom w:val="single" w:sz="4" w:space="0" w:color="A6A6A6" w:themeColor="background1" w:themeShade="A6"/>
              <w:right w:val="nil"/>
            </w:tcBorders>
          </w:tcPr>
          <w:p w14:paraId="6DF66DBF" w14:textId="77777777" w:rsidR="002E490C" w:rsidRPr="005F1F83" w:rsidRDefault="002E490C" w:rsidP="00C70445">
            <w:pPr>
              <w:pStyle w:val="TableText"/>
              <w:tabs>
                <w:tab w:val="left" w:pos="855"/>
              </w:tabs>
              <w:rPr>
                <w:b/>
                <w:bCs/>
              </w:rPr>
            </w:pPr>
            <w:r w:rsidRPr="005F1F83">
              <w:rPr>
                <w:rFonts w:eastAsia="Calibri"/>
                <w:b/>
              </w:rPr>
              <w:t>District of service</w:t>
            </w:r>
          </w:p>
        </w:tc>
        <w:tc>
          <w:tcPr>
            <w:tcW w:w="5103" w:type="dxa"/>
            <w:tcBorders>
              <w:top w:val="single" w:sz="4" w:space="0" w:color="A6A6A6" w:themeColor="background1" w:themeShade="A6"/>
              <w:left w:val="nil"/>
              <w:bottom w:val="single" w:sz="4" w:space="0" w:color="A6A6A6" w:themeColor="background1" w:themeShade="A6"/>
              <w:right w:val="nil"/>
            </w:tcBorders>
          </w:tcPr>
          <w:p w14:paraId="21DD3A51" w14:textId="77777777" w:rsidR="002E490C" w:rsidRPr="005F1F83" w:rsidRDefault="002E490C" w:rsidP="00C70445">
            <w:pPr>
              <w:pStyle w:val="TableText"/>
              <w:tabs>
                <w:tab w:val="decimal" w:pos="790"/>
              </w:tabs>
            </w:pPr>
            <w:r w:rsidRPr="005F1F83">
              <w:t xml:space="preserve">The </w:t>
            </w:r>
            <w:r>
              <w:t xml:space="preserve">Health New Zealand </w:t>
            </w:r>
            <w:r w:rsidRPr="005F1F83">
              <w:t>district where a person has accessed the health care service.</w:t>
            </w:r>
          </w:p>
        </w:tc>
      </w:tr>
      <w:tr w:rsidR="002E490C" w:rsidRPr="005F1F83" w14:paraId="6D203CDD" w14:textId="77777777" w:rsidTr="18A85DE3">
        <w:tc>
          <w:tcPr>
            <w:tcW w:w="3062" w:type="dxa"/>
          </w:tcPr>
          <w:p w14:paraId="534FB9A8" w14:textId="77777777" w:rsidR="002E490C" w:rsidRPr="005F1F83" w:rsidRDefault="002E490C" w:rsidP="00C70445">
            <w:pPr>
              <w:pStyle w:val="TableText"/>
              <w:tabs>
                <w:tab w:val="left" w:pos="855"/>
              </w:tabs>
              <w:rPr>
                <w:b/>
                <w:bCs/>
              </w:rPr>
            </w:pPr>
            <w:r w:rsidRPr="005F1F83">
              <w:rPr>
                <w:b/>
              </w:rPr>
              <w:t>Female sterilisation</w:t>
            </w:r>
          </w:p>
        </w:tc>
        <w:tc>
          <w:tcPr>
            <w:tcW w:w="5103" w:type="dxa"/>
          </w:tcPr>
          <w:p w14:paraId="349256FF" w14:textId="77777777" w:rsidR="002E490C" w:rsidRPr="005F1F83" w:rsidRDefault="002E490C" w:rsidP="00C70445">
            <w:pPr>
              <w:pStyle w:val="TableText"/>
              <w:tabs>
                <w:tab w:val="decimal" w:pos="1074"/>
              </w:tabs>
              <w:rPr>
                <w:rFonts w:eastAsia="Lucida Sans Unicode" w:hAnsi="Lucida Sans Unicode" w:cs="Lucida Sans Unicode"/>
              </w:rPr>
            </w:pPr>
            <w:r w:rsidRPr="005F1F83">
              <w:rPr>
                <w:rFonts w:eastAsia="Lucida Sans Unicode" w:hAnsi="Lucida Sans Unicode" w:cs="Lucida Sans Unicode"/>
              </w:rPr>
              <w:t>A permanent type of contraception, where the fallopian tubes are blocked, cut or removed to stop sperm meeting an egg, or where all or part of the uterus is removed.</w:t>
            </w:r>
          </w:p>
        </w:tc>
      </w:tr>
      <w:tr w:rsidR="002E490C" w:rsidRPr="005F1F83" w14:paraId="14A15435" w14:textId="77777777" w:rsidTr="18A85DE3">
        <w:tc>
          <w:tcPr>
            <w:tcW w:w="3062" w:type="dxa"/>
          </w:tcPr>
          <w:p w14:paraId="08CBEE63" w14:textId="77777777" w:rsidR="002E490C" w:rsidRPr="005F1F83" w:rsidRDefault="002E490C" w:rsidP="00C70445">
            <w:pPr>
              <w:pStyle w:val="TableText"/>
              <w:rPr>
                <w:rFonts w:eastAsia="Lucida Sans Unicode"/>
                <w:b/>
              </w:rPr>
            </w:pPr>
            <w:r w:rsidRPr="005F1F83">
              <w:rPr>
                <w:rFonts w:eastAsia="Lucida Sans Unicode"/>
                <w:b/>
              </w:rPr>
              <w:t>Health practitioner</w:t>
            </w:r>
          </w:p>
        </w:tc>
        <w:tc>
          <w:tcPr>
            <w:tcW w:w="5103" w:type="dxa"/>
          </w:tcPr>
          <w:p w14:paraId="1285086F" w14:textId="77777777" w:rsidR="002E490C" w:rsidRPr="005F1F83" w:rsidRDefault="002E490C" w:rsidP="00C70445">
            <w:pPr>
              <w:pStyle w:val="TableText"/>
              <w:tabs>
                <w:tab w:val="decimal" w:pos="1644"/>
              </w:tabs>
              <w:rPr>
                <w:rFonts w:eastAsia="Lucida Sans Unicode"/>
              </w:rPr>
            </w:pPr>
            <w:r w:rsidRPr="005F1F83">
              <w:rPr>
                <w:rFonts w:eastAsia="Lucida Sans Unicode"/>
              </w:rPr>
              <w:t>A person who is registered with an authority as a practitioner of a particular health profession, under section 5 of the Health Practitioners Competence Assurance Act 2003.</w:t>
            </w:r>
          </w:p>
        </w:tc>
      </w:tr>
      <w:tr w:rsidR="002E490C" w:rsidRPr="005F1F83" w14:paraId="1BB4453C" w14:textId="77777777" w:rsidTr="18A85DE3">
        <w:tc>
          <w:tcPr>
            <w:tcW w:w="3062" w:type="dxa"/>
          </w:tcPr>
          <w:p w14:paraId="0C282C7B" w14:textId="77777777" w:rsidR="002E490C" w:rsidRPr="005F1F83" w:rsidRDefault="002E490C" w:rsidP="00C70445">
            <w:pPr>
              <w:pStyle w:val="TableText"/>
              <w:rPr>
                <w:rFonts w:eastAsia="Lucida Sans Unicode"/>
                <w:b/>
                <w:bCs/>
              </w:rPr>
            </w:pPr>
            <w:r w:rsidRPr="005F1F83">
              <w:rPr>
                <w:rFonts w:eastAsia="Lucida Sans Unicode"/>
                <w:b/>
                <w:bCs/>
              </w:rPr>
              <w:t>Hysterectomy</w:t>
            </w:r>
          </w:p>
        </w:tc>
        <w:tc>
          <w:tcPr>
            <w:tcW w:w="5103" w:type="dxa"/>
          </w:tcPr>
          <w:p w14:paraId="7C3F1923" w14:textId="77777777" w:rsidR="002E490C" w:rsidRPr="005F1F83" w:rsidRDefault="002E490C" w:rsidP="00C70445">
            <w:pPr>
              <w:pStyle w:val="TableText"/>
              <w:rPr>
                <w:rFonts w:eastAsia="Lucida Sans Unicode"/>
              </w:rPr>
            </w:pPr>
            <w:r w:rsidRPr="005F1F83">
              <w:rPr>
                <w:rFonts w:eastAsia="Lucida Sans Unicode"/>
              </w:rPr>
              <w:t>An operation that removes the uterus (womb). There are different types of hysterectomy. A ‘total hysterectomy’ is the most common, involving removal of the uterus and the cervix (neck of the uterus). A ‘subtotal’ hysterectomy removes the uterus but not the cervix (RANZCOG 2018).</w:t>
            </w:r>
          </w:p>
        </w:tc>
      </w:tr>
      <w:tr w:rsidR="002E490C" w:rsidRPr="005F1F83" w14:paraId="58CC797D" w14:textId="77777777" w:rsidTr="18A85DE3">
        <w:tc>
          <w:tcPr>
            <w:tcW w:w="3062" w:type="dxa"/>
          </w:tcPr>
          <w:p w14:paraId="6DD0C977" w14:textId="77777777" w:rsidR="002E490C" w:rsidRPr="005F1F83" w:rsidDel="00E93CCB" w:rsidRDefault="002E490C" w:rsidP="00C70445">
            <w:pPr>
              <w:pStyle w:val="TableText"/>
              <w:tabs>
                <w:tab w:val="left" w:pos="855"/>
              </w:tabs>
              <w:rPr>
                <w:b/>
              </w:rPr>
            </w:pPr>
            <w:r w:rsidRPr="005F1F83">
              <w:rPr>
                <w:b/>
              </w:rPr>
              <w:t>Male sterilisation</w:t>
            </w:r>
          </w:p>
        </w:tc>
        <w:tc>
          <w:tcPr>
            <w:tcW w:w="5103" w:type="dxa"/>
          </w:tcPr>
          <w:p w14:paraId="7DCDBCAF" w14:textId="77777777" w:rsidR="002E490C" w:rsidRPr="005F1F83" w:rsidRDefault="002E490C" w:rsidP="00C70445">
            <w:pPr>
              <w:spacing w:line="240" w:lineRule="auto"/>
              <w:rPr>
                <w:rFonts w:eastAsia="Lucida Sans Unicode" w:hAnsi="Lucida Sans Unicode" w:cs="Lucida Sans Unicode"/>
                <w:sz w:val="18"/>
                <w:szCs w:val="18"/>
              </w:rPr>
            </w:pPr>
            <w:r w:rsidRPr="005F1F83">
              <w:rPr>
                <w:rFonts w:cstheme="minorBidi"/>
                <w:color w:val="000000" w:themeColor="text1"/>
                <w:sz w:val="18"/>
                <w:szCs w:val="18"/>
                <w:shd w:val="clear" w:color="auto" w:fill="FFFFFF"/>
              </w:rPr>
              <w:t xml:space="preserve">A permanent type of contraception involving division or occlusion of both vasa </w:t>
            </w:r>
            <w:proofErr w:type="spellStart"/>
            <w:r w:rsidRPr="005F1F83">
              <w:rPr>
                <w:rFonts w:cstheme="minorBidi"/>
                <w:color w:val="000000" w:themeColor="text1"/>
                <w:sz w:val="18"/>
                <w:szCs w:val="18"/>
                <w:shd w:val="clear" w:color="auto" w:fill="FFFFFF"/>
              </w:rPr>
              <w:t>deferentia</w:t>
            </w:r>
            <w:proofErr w:type="spellEnd"/>
            <w:r w:rsidRPr="005F1F83">
              <w:rPr>
                <w:rFonts w:cstheme="minorBidi"/>
                <w:color w:val="000000" w:themeColor="text1"/>
                <w:sz w:val="18"/>
                <w:szCs w:val="18"/>
              </w:rPr>
              <w:t>.</w:t>
            </w:r>
          </w:p>
        </w:tc>
      </w:tr>
      <w:tr w:rsidR="002E490C" w:rsidRPr="005F1F83" w14:paraId="43175920" w14:textId="77777777" w:rsidTr="18A85DE3">
        <w:tc>
          <w:tcPr>
            <w:tcW w:w="3062" w:type="dxa"/>
          </w:tcPr>
          <w:p w14:paraId="375D8A40" w14:textId="77777777" w:rsidR="002E490C" w:rsidRPr="005F1F83" w:rsidRDefault="002E490C" w:rsidP="00C70445">
            <w:pPr>
              <w:pStyle w:val="TableText"/>
              <w:rPr>
                <w:rFonts w:eastAsia="Lucida Sans Unicode"/>
                <w:b/>
                <w:bCs/>
              </w:rPr>
            </w:pPr>
            <w:proofErr w:type="spellStart"/>
            <w:r w:rsidRPr="005F1F83">
              <w:rPr>
                <w:rFonts w:eastAsia="Lucida Sans Unicode"/>
                <w:b/>
                <w:bCs/>
              </w:rPr>
              <w:t>Medsafe</w:t>
            </w:r>
            <w:proofErr w:type="spellEnd"/>
          </w:p>
        </w:tc>
        <w:tc>
          <w:tcPr>
            <w:tcW w:w="5103" w:type="dxa"/>
          </w:tcPr>
          <w:p w14:paraId="1A8D8AED" w14:textId="77777777" w:rsidR="002E490C" w:rsidRPr="005F1F83" w:rsidRDefault="002E490C" w:rsidP="00C70445">
            <w:pPr>
              <w:pStyle w:val="TableText"/>
              <w:tabs>
                <w:tab w:val="decimal" w:pos="1644"/>
              </w:tabs>
              <w:rPr>
                <w:rFonts w:eastAsia="Lucida Sans Unicode"/>
              </w:rPr>
            </w:pPr>
            <w:r w:rsidRPr="005F1F83">
              <w:rPr>
                <w:rFonts w:eastAsia="Lucida Sans Unicode"/>
                <w:bCs/>
              </w:rPr>
              <w:t xml:space="preserve">New Zealand Medicines and </w:t>
            </w:r>
            <w:r w:rsidRPr="005F1F83">
              <w:rPr>
                <w:rFonts w:eastAsia="Lucida Sans Unicode"/>
              </w:rPr>
              <w:t>M</w:t>
            </w:r>
            <w:r w:rsidRPr="005F1F83">
              <w:rPr>
                <w:rFonts w:eastAsia="Lucida Sans Unicode"/>
                <w:bCs/>
              </w:rPr>
              <w:t xml:space="preserve">edical Devices Safety Authority, the agency </w:t>
            </w:r>
            <w:r w:rsidRPr="005F1F83">
              <w:rPr>
                <w:rFonts w:eastAsia="Lucida Sans Unicode"/>
              </w:rPr>
              <w:t>that regulates</w:t>
            </w:r>
            <w:r w:rsidRPr="005F1F83">
              <w:rPr>
                <w:rFonts w:eastAsia="Lucida Sans Unicode"/>
                <w:bCs/>
              </w:rPr>
              <w:t xml:space="preserve"> therapeutic products.</w:t>
            </w:r>
          </w:p>
        </w:tc>
      </w:tr>
      <w:tr w:rsidR="002E490C" w:rsidRPr="005F1F83" w14:paraId="07FBF255" w14:textId="77777777" w:rsidTr="18A85DE3">
        <w:tc>
          <w:tcPr>
            <w:tcW w:w="3062" w:type="dxa"/>
          </w:tcPr>
          <w:p w14:paraId="71C2EED9" w14:textId="77777777" w:rsidR="002E490C" w:rsidRPr="005F1F83" w:rsidRDefault="002E490C" w:rsidP="00C70445">
            <w:pPr>
              <w:pStyle w:val="TableText"/>
              <w:tabs>
                <w:tab w:val="left" w:pos="855"/>
              </w:tabs>
              <w:rPr>
                <w:b/>
                <w:bCs/>
              </w:rPr>
            </w:pPr>
            <w:r w:rsidRPr="005F1F83">
              <w:rPr>
                <w:b/>
                <w:bCs/>
              </w:rPr>
              <w:t>New Zealand Index of Deprivation</w:t>
            </w:r>
          </w:p>
        </w:tc>
        <w:tc>
          <w:tcPr>
            <w:tcW w:w="5103" w:type="dxa"/>
          </w:tcPr>
          <w:p w14:paraId="5E51ECF2" w14:textId="77777777" w:rsidR="002E490C" w:rsidRPr="005F1F83" w:rsidRDefault="002E490C" w:rsidP="00C70445">
            <w:pPr>
              <w:pStyle w:val="TableText"/>
              <w:rPr>
                <w:rFonts w:eastAsia="Lucida Sans Unicode" w:hAnsi="Lucida Sans Unicode" w:cs="Lucida Sans Unicode"/>
              </w:rPr>
            </w:pPr>
            <w:r w:rsidRPr="005F1F83">
              <w:t>An index that calculates an area’s level of socioeconomic deprivation for the population living there based on the following Census variables: lack of internet access, receiving a means-tested benefit, income below an income threshold, 18–64 years unemployed, 18–64 years without any qualifications, people not living in their own home, people under 65 years living in single-parent families, people living in households below a bedroom occupancy threshold and people with no access to a car.</w:t>
            </w:r>
          </w:p>
        </w:tc>
      </w:tr>
      <w:tr w:rsidR="002E490C" w:rsidRPr="005F1F83" w14:paraId="001106E2" w14:textId="77777777" w:rsidTr="18A85DE3">
        <w:tc>
          <w:tcPr>
            <w:tcW w:w="3062" w:type="dxa"/>
          </w:tcPr>
          <w:p w14:paraId="678C685D" w14:textId="77777777" w:rsidR="002E490C" w:rsidRPr="005F1F83" w:rsidRDefault="002E490C" w:rsidP="00C70445">
            <w:pPr>
              <w:pStyle w:val="TableText"/>
              <w:rPr>
                <w:rFonts w:eastAsia="Lucida Sans Unicode"/>
                <w:b/>
              </w:rPr>
            </w:pPr>
            <w:r w:rsidRPr="005F1F83">
              <w:rPr>
                <w:rFonts w:eastAsia="Lucida Sans Unicode"/>
                <w:b/>
              </w:rPr>
              <w:t>NHI</w:t>
            </w:r>
          </w:p>
        </w:tc>
        <w:tc>
          <w:tcPr>
            <w:tcW w:w="5103" w:type="dxa"/>
          </w:tcPr>
          <w:p w14:paraId="108CAE8D" w14:textId="77777777" w:rsidR="002E490C" w:rsidRPr="005F1F83" w:rsidRDefault="002E490C" w:rsidP="002E490C">
            <w:pPr>
              <w:pStyle w:val="TableText"/>
              <w:tabs>
                <w:tab w:val="decimal" w:pos="931"/>
              </w:tabs>
              <w:rPr>
                <w:rFonts w:eastAsia="Lucida Sans Unicode"/>
                <w:bCs/>
              </w:rPr>
            </w:pPr>
            <w:r w:rsidRPr="005F1F83">
              <w:rPr>
                <w:rFonts w:eastAsia="Lucida Sans Unicode"/>
                <w:bCs/>
              </w:rPr>
              <w:t>National Health Index. A unique identifier assigned to each person who receives health care in New Zealand</w:t>
            </w:r>
            <w:r w:rsidRPr="005F1F83">
              <w:rPr>
                <w:rFonts w:eastAsia="Lucida Sans Unicode"/>
              </w:rPr>
              <w:t xml:space="preserve"> (Health New Zealand 2024a)</w:t>
            </w:r>
            <w:r w:rsidRPr="005F1F83">
              <w:rPr>
                <w:rFonts w:eastAsia="Lucida Sans Unicode"/>
                <w:bCs/>
              </w:rPr>
              <w:t>.</w:t>
            </w:r>
          </w:p>
        </w:tc>
      </w:tr>
      <w:tr w:rsidR="002E490C" w:rsidRPr="005F1F83" w14:paraId="34335C65" w14:textId="77777777" w:rsidTr="18A85DE3">
        <w:tc>
          <w:tcPr>
            <w:tcW w:w="3062" w:type="dxa"/>
          </w:tcPr>
          <w:p w14:paraId="2841AD4C" w14:textId="77777777" w:rsidR="002E490C" w:rsidRPr="005F1F83" w:rsidRDefault="002E490C" w:rsidP="00C70445">
            <w:pPr>
              <w:pStyle w:val="TableText"/>
              <w:rPr>
                <w:rFonts w:eastAsia="Lucida Sans Unicode"/>
                <w:b/>
                <w:bCs/>
              </w:rPr>
            </w:pPr>
            <w:r w:rsidRPr="005F1F83">
              <w:rPr>
                <w:rFonts w:eastAsia="Lucida Sans Unicode"/>
                <w:b/>
                <w:bCs/>
              </w:rPr>
              <w:t xml:space="preserve">Non-invasive prenatal testing </w:t>
            </w:r>
          </w:p>
        </w:tc>
        <w:tc>
          <w:tcPr>
            <w:tcW w:w="5103" w:type="dxa"/>
          </w:tcPr>
          <w:p w14:paraId="7AA201FE" w14:textId="77777777" w:rsidR="002E490C" w:rsidRPr="005F1F83" w:rsidRDefault="002E490C" w:rsidP="00C70445">
            <w:pPr>
              <w:pStyle w:val="TableText"/>
              <w:rPr>
                <w:rFonts w:eastAsia="Lucida Sans Unicode"/>
              </w:rPr>
            </w:pPr>
            <w:r w:rsidRPr="005F1F83">
              <w:rPr>
                <w:rFonts w:eastAsia="Lucida Sans Unicode"/>
              </w:rPr>
              <w:t>A test/screen used to detect chromosomal abnormalities such as Down syndrome, Edwards</w:t>
            </w:r>
            <w:r>
              <w:rPr>
                <w:rFonts w:eastAsia="Lucida Sans Unicode"/>
              </w:rPr>
              <w:t>’</w:t>
            </w:r>
            <w:r w:rsidRPr="005F1F83">
              <w:rPr>
                <w:rFonts w:eastAsia="Lucida Sans Unicode"/>
              </w:rPr>
              <w:t xml:space="preserve"> syndrome and Patau syndrome in </w:t>
            </w:r>
            <w:r>
              <w:rPr>
                <w:rFonts w:eastAsia="Lucida Sans Unicode"/>
              </w:rPr>
              <w:t>the</w:t>
            </w:r>
            <w:r w:rsidRPr="005F1F83">
              <w:rPr>
                <w:rFonts w:eastAsia="Lucida Sans Unicode"/>
              </w:rPr>
              <w:t xml:space="preserve"> DNA</w:t>
            </w:r>
            <w:r>
              <w:rPr>
                <w:rFonts w:eastAsia="Lucida Sans Unicode"/>
              </w:rPr>
              <w:t xml:space="preserve"> of a </w:t>
            </w:r>
            <w:proofErr w:type="spellStart"/>
            <w:r>
              <w:rPr>
                <w:rFonts w:eastAsia="Lucida Sans Unicode"/>
              </w:rPr>
              <w:t>fetus</w:t>
            </w:r>
            <w:proofErr w:type="spellEnd"/>
            <w:r w:rsidRPr="005F1F83">
              <w:rPr>
                <w:rFonts w:eastAsia="Lucida Sans Unicode"/>
              </w:rPr>
              <w:t>. It is not funded in New Zealand (Health New Zealand 2024b).</w:t>
            </w:r>
          </w:p>
        </w:tc>
      </w:tr>
      <w:tr w:rsidR="002E490C" w:rsidRPr="005F1F83" w14:paraId="7A92AAA4" w14:textId="77777777" w:rsidTr="18A85DE3">
        <w:tc>
          <w:tcPr>
            <w:tcW w:w="3062" w:type="dxa"/>
          </w:tcPr>
          <w:p w14:paraId="316C508E" w14:textId="77777777" w:rsidR="002E490C" w:rsidRPr="005F1F83" w:rsidRDefault="002E490C" w:rsidP="00C70445">
            <w:pPr>
              <w:pStyle w:val="TableText"/>
              <w:tabs>
                <w:tab w:val="left" w:pos="855"/>
              </w:tabs>
              <w:rPr>
                <w:rFonts w:eastAsia="Calibri"/>
                <w:b/>
              </w:rPr>
            </w:pPr>
            <w:r w:rsidRPr="005F1F83">
              <w:rPr>
                <w:rFonts w:eastAsia="Calibri"/>
                <w:b/>
              </w:rPr>
              <w:t>Rainbow</w:t>
            </w:r>
          </w:p>
        </w:tc>
        <w:tc>
          <w:tcPr>
            <w:tcW w:w="5103" w:type="dxa"/>
          </w:tcPr>
          <w:p w14:paraId="235B2477" w14:textId="77777777" w:rsidR="002E490C" w:rsidRPr="005F1F83" w:rsidRDefault="002E490C" w:rsidP="00C70445">
            <w:pPr>
              <w:pStyle w:val="TableText"/>
            </w:pPr>
            <w:r w:rsidRPr="005F1F83">
              <w:t>As used in this report, an umbrella term to describe people whose sexuality, gender identity, gender expression or sex characteristics differ from majority, binary norms.</w:t>
            </w:r>
          </w:p>
        </w:tc>
      </w:tr>
      <w:tr w:rsidR="002E490C" w:rsidRPr="005F1F83" w14:paraId="5018F8D9" w14:textId="77777777" w:rsidTr="18A85DE3">
        <w:tc>
          <w:tcPr>
            <w:tcW w:w="3062" w:type="dxa"/>
          </w:tcPr>
          <w:p w14:paraId="67A9455E" w14:textId="77777777" w:rsidR="002E490C" w:rsidRPr="005F1F83" w:rsidRDefault="002E490C" w:rsidP="00C70445">
            <w:pPr>
              <w:pStyle w:val="TableText"/>
              <w:rPr>
                <w:rFonts w:eastAsia="Lucida Sans Unicode"/>
                <w:b/>
              </w:rPr>
            </w:pPr>
            <w:r w:rsidRPr="005F1F83">
              <w:rPr>
                <w:rFonts w:eastAsia="Lucida Sans Unicode"/>
                <w:b/>
              </w:rPr>
              <w:t xml:space="preserve">Salpingectomy  </w:t>
            </w:r>
          </w:p>
        </w:tc>
        <w:tc>
          <w:tcPr>
            <w:tcW w:w="5103" w:type="dxa"/>
          </w:tcPr>
          <w:p w14:paraId="63D727A6" w14:textId="77777777" w:rsidR="002E490C" w:rsidRPr="005F1F83" w:rsidRDefault="002E490C" w:rsidP="00C70445">
            <w:pPr>
              <w:pStyle w:val="TableText"/>
              <w:rPr>
                <w:rFonts w:eastAsia="Lucida Sans Unicode"/>
              </w:rPr>
            </w:pPr>
            <w:r w:rsidRPr="005F1F83">
              <w:rPr>
                <w:rFonts w:eastAsia="Lucida Sans Unicode"/>
              </w:rPr>
              <w:t>Surgical removal of one or both of the fallopian tubes.</w:t>
            </w:r>
          </w:p>
        </w:tc>
      </w:tr>
      <w:tr w:rsidR="002E490C" w:rsidRPr="005F1F83" w14:paraId="569402A6" w14:textId="77777777" w:rsidTr="18A85DE3">
        <w:tc>
          <w:tcPr>
            <w:tcW w:w="3062" w:type="dxa"/>
          </w:tcPr>
          <w:p w14:paraId="690F8C19" w14:textId="77777777" w:rsidR="002E490C" w:rsidRPr="005F1F83" w:rsidRDefault="002E490C" w:rsidP="00C70445">
            <w:pPr>
              <w:pStyle w:val="TableText"/>
              <w:rPr>
                <w:rFonts w:eastAsia="Lucida Sans Unicode"/>
                <w:b/>
              </w:rPr>
            </w:pPr>
            <w:r w:rsidRPr="005F1F83">
              <w:rPr>
                <w:rFonts w:eastAsia="Lucida Sans Unicode"/>
                <w:b/>
              </w:rPr>
              <w:t>Sex</w:t>
            </w:r>
            <w:r>
              <w:rPr>
                <w:rFonts w:eastAsia="Lucida Sans Unicode"/>
                <w:b/>
              </w:rPr>
              <w:t>-</w:t>
            </w:r>
            <w:r w:rsidRPr="005F1F83">
              <w:rPr>
                <w:rFonts w:eastAsia="Lucida Sans Unicode"/>
                <w:b/>
              </w:rPr>
              <w:t>selective abortion</w:t>
            </w:r>
          </w:p>
        </w:tc>
        <w:tc>
          <w:tcPr>
            <w:tcW w:w="5103" w:type="dxa"/>
          </w:tcPr>
          <w:p w14:paraId="147E912C" w14:textId="77777777" w:rsidR="002E490C" w:rsidRPr="005F1F83" w:rsidRDefault="002E490C" w:rsidP="00C70445">
            <w:pPr>
              <w:pStyle w:val="TableText"/>
              <w:tabs>
                <w:tab w:val="decimal" w:pos="932"/>
              </w:tabs>
              <w:rPr>
                <w:rFonts w:eastAsia="Lucida Sans Unicode"/>
              </w:rPr>
            </w:pPr>
            <w:r w:rsidRPr="005F1F83">
              <w:rPr>
                <w:rFonts w:eastAsia="Lucida Sans Unicode"/>
              </w:rPr>
              <w:t>In reporting requirements under the</w:t>
            </w:r>
            <w:r>
              <w:rPr>
                <w:rFonts w:eastAsia="Lucida Sans Unicode"/>
              </w:rPr>
              <w:t xml:space="preserve"> CSA</w:t>
            </w:r>
            <w:r w:rsidRPr="005F1F83">
              <w:rPr>
                <w:rFonts w:eastAsia="Lucida Sans Unicode"/>
              </w:rPr>
              <w:t xml:space="preserve"> Act, </w:t>
            </w:r>
            <w:r>
              <w:rPr>
                <w:rFonts w:eastAsia="Lucida Sans Unicode"/>
              </w:rPr>
              <w:t xml:space="preserve">an </w:t>
            </w:r>
            <w:r w:rsidRPr="005F1F83">
              <w:rPr>
                <w:rFonts w:eastAsia="Lucida Sans Unicode"/>
              </w:rPr>
              <w:t xml:space="preserve">abortion requested solely for the purpose of a preference for the </w:t>
            </w:r>
            <w:proofErr w:type="spellStart"/>
            <w:r w:rsidRPr="005F1F83">
              <w:rPr>
                <w:rFonts w:eastAsia="Lucida Sans Unicode"/>
              </w:rPr>
              <w:t>fetus</w:t>
            </w:r>
            <w:proofErr w:type="spellEnd"/>
            <w:r w:rsidRPr="005F1F83">
              <w:rPr>
                <w:rFonts w:eastAsia="Lucida Sans Unicode"/>
              </w:rPr>
              <w:t xml:space="preserve"> to be of a particular sex</w:t>
            </w:r>
          </w:p>
        </w:tc>
      </w:tr>
      <w:tr w:rsidR="002E490C" w:rsidRPr="005F1F83" w14:paraId="32F9E17B" w14:textId="77777777" w:rsidTr="18A85DE3">
        <w:tc>
          <w:tcPr>
            <w:tcW w:w="3062" w:type="dxa"/>
          </w:tcPr>
          <w:p w14:paraId="073686F4" w14:textId="77777777" w:rsidR="002E490C" w:rsidRPr="005F1F83" w:rsidRDefault="002E490C" w:rsidP="00C70445">
            <w:pPr>
              <w:pStyle w:val="TableText"/>
              <w:rPr>
                <w:b/>
                <w:bCs/>
              </w:rPr>
            </w:pPr>
            <w:r w:rsidRPr="005F1F83">
              <w:rPr>
                <w:b/>
                <w:bCs/>
              </w:rPr>
              <w:t>Telehealth</w:t>
            </w:r>
          </w:p>
        </w:tc>
        <w:tc>
          <w:tcPr>
            <w:tcW w:w="5103" w:type="dxa"/>
          </w:tcPr>
          <w:p w14:paraId="51E400A7" w14:textId="77777777" w:rsidR="002E490C" w:rsidRPr="005F1F83" w:rsidRDefault="002E490C" w:rsidP="00C70445">
            <w:pPr>
              <w:pStyle w:val="TableText"/>
              <w:tabs>
                <w:tab w:val="decimal" w:pos="1644"/>
                <w:tab w:val="left" w:pos="3655"/>
              </w:tabs>
              <w:rPr>
                <w:rFonts w:eastAsia="Lucida Sans Unicode" w:hAnsi="Lucida Sans Unicode" w:cs="Lucida Sans Unicode"/>
              </w:rPr>
            </w:pPr>
            <w:r w:rsidRPr="005F1F83">
              <w:rPr>
                <w:rFonts w:eastAsia="Lucida Sans Unicode" w:hAnsi="Lucida Sans Unicode" w:cs="Lucida Sans Unicode"/>
              </w:rPr>
              <w:t xml:space="preserve">Health care services that are typically provided via phone or video consultation. In this report, this term may refer to regionally based or national telehealth services. Telehealth services can coordinate most aspects of care such as testing, prescriptions and counselling services. </w:t>
            </w:r>
            <w:r w:rsidRPr="005F1F83" w:rsidDel="00E12224">
              <w:rPr>
                <w:rFonts w:eastAsia="Lucida Sans Unicode" w:hAnsi="Lucida Sans Unicode" w:cs="Lucida Sans Unicode"/>
              </w:rPr>
              <w:t xml:space="preserve"> </w:t>
            </w:r>
          </w:p>
        </w:tc>
      </w:tr>
      <w:tr w:rsidR="002E490C" w:rsidRPr="005F1F83" w14:paraId="5A7A40C6" w14:textId="77777777" w:rsidTr="18A85DE3">
        <w:tc>
          <w:tcPr>
            <w:tcW w:w="3062" w:type="dxa"/>
          </w:tcPr>
          <w:p w14:paraId="374C0B38" w14:textId="77777777" w:rsidR="002E490C" w:rsidRPr="005F1F83" w:rsidRDefault="002E490C" w:rsidP="00C70445">
            <w:pPr>
              <w:pStyle w:val="TableText"/>
              <w:rPr>
                <w:rFonts w:eastAsia="Lucida Sans Unicode"/>
                <w:b/>
                <w:bCs/>
              </w:rPr>
            </w:pPr>
            <w:r w:rsidRPr="005F1F83">
              <w:rPr>
                <w:rFonts w:eastAsia="Lucida Sans Unicode"/>
                <w:b/>
                <w:bCs/>
              </w:rPr>
              <w:t>Tubal ligation</w:t>
            </w:r>
          </w:p>
        </w:tc>
        <w:tc>
          <w:tcPr>
            <w:tcW w:w="5103" w:type="dxa"/>
          </w:tcPr>
          <w:p w14:paraId="7B572D85" w14:textId="355237F2" w:rsidR="002E490C" w:rsidRPr="005F1F83" w:rsidRDefault="002E490C" w:rsidP="00C70445">
            <w:pPr>
              <w:pStyle w:val="TableText"/>
              <w:rPr>
                <w:rFonts w:eastAsia="Lucida Sans Unicode"/>
              </w:rPr>
            </w:pPr>
            <w:r w:rsidRPr="005F1F83">
              <w:rPr>
                <w:rFonts w:eastAsia="Lucida Sans Unicode"/>
              </w:rPr>
              <w:t xml:space="preserve">A permanent form of birth control in which a </w:t>
            </w:r>
            <w:r w:rsidR="00982B8D">
              <w:rPr>
                <w:rFonts w:eastAsia="Calibri"/>
              </w:rPr>
              <w:t>woman</w:t>
            </w:r>
            <w:r w:rsidRPr="005F1F83">
              <w:rPr>
                <w:rFonts w:eastAsia="Lucida Sans Unicode"/>
              </w:rPr>
              <w:t>’s fallopian tubes are tied or blocked.</w:t>
            </w:r>
          </w:p>
        </w:tc>
      </w:tr>
      <w:tr w:rsidR="002E490C" w:rsidRPr="005F1F83" w14:paraId="1681C0D8" w14:textId="77777777" w:rsidTr="18A85DE3">
        <w:tc>
          <w:tcPr>
            <w:tcW w:w="3062" w:type="dxa"/>
          </w:tcPr>
          <w:p w14:paraId="1F13D6B4" w14:textId="77777777" w:rsidR="002E490C" w:rsidRPr="005F1F83" w:rsidRDefault="002E490C" w:rsidP="00C70445">
            <w:pPr>
              <w:pStyle w:val="TableText"/>
              <w:rPr>
                <w:rFonts w:eastAsia="Lucida Sans Unicode"/>
                <w:b/>
                <w:bCs/>
              </w:rPr>
            </w:pPr>
            <w:r w:rsidRPr="005F1F83">
              <w:rPr>
                <w:rFonts w:eastAsia="Lucida Sans Unicode"/>
                <w:b/>
                <w:bCs/>
              </w:rPr>
              <w:t xml:space="preserve">Vasectomy </w:t>
            </w:r>
          </w:p>
        </w:tc>
        <w:tc>
          <w:tcPr>
            <w:tcW w:w="5103" w:type="dxa"/>
          </w:tcPr>
          <w:p w14:paraId="57208B02" w14:textId="77777777" w:rsidR="002E490C" w:rsidRPr="005F1F83" w:rsidRDefault="002E490C" w:rsidP="00C70445">
            <w:pPr>
              <w:pStyle w:val="TableText"/>
              <w:rPr>
                <w:rFonts w:eastAsia="Lucida Sans Unicode"/>
              </w:rPr>
            </w:pPr>
            <w:r w:rsidRPr="005F1F83">
              <w:rPr>
                <w:rFonts w:eastAsia="Lucida Sans Unicode"/>
              </w:rPr>
              <w:t>A form of male birth control that cuts the supply of sperm through the</w:t>
            </w:r>
            <w:r w:rsidRPr="005F1F83">
              <w:rPr>
                <w:rFonts w:cstheme="minorBidi"/>
                <w:color w:val="000000" w:themeColor="text1"/>
                <w:szCs w:val="18"/>
                <w:shd w:val="clear" w:color="auto" w:fill="FFFFFF"/>
              </w:rPr>
              <w:t xml:space="preserve"> division or occlusion of both vasa </w:t>
            </w:r>
            <w:proofErr w:type="spellStart"/>
            <w:r w:rsidRPr="005F1F83">
              <w:rPr>
                <w:rFonts w:cstheme="minorBidi"/>
                <w:color w:val="000000" w:themeColor="text1"/>
                <w:szCs w:val="18"/>
                <w:shd w:val="clear" w:color="auto" w:fill="FFFFFF"/>
              </w:rPr>
              <w:t>deferentia</w:t>
            </w:r>
            <w:proofErr w:type="spellEnd"/>
            <w:r w:rsidRPr="005F1F83">
              <w:rPr>
                <w:rFonts w:cstheme="minorBidi"/>
                <w:color w:val="000000" w:themeColor="text1"/>
                <w:szCs w:val="18"/>
              </w:rPr>
              <w:t>.</w:t>
            </w:r>
          </w:p>
        </w:tc>
      </w:tr>
      <w:tr w:rsidR="000B7CCD" w:rsidRPr="005F1F83" w14:paraId="477C9EF4" w14:textId="77777777" w:rsidTr="18A85DE3">
        <w:trPr>
          <w:trHeight w:val="300"/>
        </w:trPr>
        <w:tc>
          <w:tcPr>
            <w:tcW w:w="3062" w:type="dxa"/>
          </w:tcPr>
          <w:p w14:paraId="314D0D4A" w14:textId="12280163" w:rsidR="000B7CCD" w:rsidRPr="005F1F83" w:rsidRDefault="000B7CCD" w:rsidP="00C70445">
            <w:pPr>
              <w:pStyle w:val="TableText"/>
              <w:rPr>
                <w:rFonts w:eastAsia="Lucida Sans Unicode"/>
                <w:b/>
                <w:bCs/>
              </w:rPr>
            </w:pPr>
            <w:r w:rsidRPr="18A85DE3">
              <w:rPr>
                <w:rFonts w:eastAsia="Lucida Sans Unicode"/>
                <w:b/>
                <w:bCs/>
              </w:rPr>
              <w:t>Women/</w:t>
            </w:r>
            <w:r w:rsidR="00461F03" w:rsidRPr="18A85DE3">
              <w:rPr>
                <w:rFonts w:eastAsia="Lucida Sans Unicode"/>
                <w:b/>
                <w:bCs/>
              </w:rPr>
              <w:t>W</w:t>
            </w:r>
            <w:r w:rsidRPr="18A85DE3">
              <w:rPr>
                <w:rFonts w:eastAsia="Lucida Sans Unicode"/>
                <w:b/>
                <w:bCs/>
              </w:rPr>
              <w:t>oman</w:t>
            </w:r>
          </w:p>
        </w:tc>
        <w:tc>
          <w:tcPr>
            <w:tcW w:w="5103" w:type="dxa"/>
          </w:tcPr>
          <w:p w14:paraId="74038E72" w14:textId="3BCFDDA6" w:rsidR="000B7CCD" w:rsidRPr="005F1F83" w:rsidRDefault="00461F03" w:rsidP="00C70445">
            <w:pPr>
              <w:pStyle w:val="TableText"/>
              <w:rPr>
                <w:rFonts w:eastAsia="Lucida Sans Unicode"/>
              </w:rPr>
            </w:pPr>
            <w:r>
              <w:t>In line</w:t>
            </w:r>
            <w:r w:rsidR="00EC15DA">
              <w:t xml:space="preserve"> with the </w:t>
            </w:r>
            <w:r w:rsidR="00EC15DA" w:rsidRPr="18A85DE3">
              <w:rPr>
                <w:i/>
                <w:iCs/>
              </w:rPr>
              <w:t>Women</w:t>
            </w:r>
            <w:r w:rsidR="000F5002" w:rsidRPr="18A85DE3">
              <w:rPr>
                <w:i/>
                <w:iCs/>
              </w:rPr>
              <w:t>’s Health Strategy</w:t>
            </w:r>
            <w:r w:rsidR="000F5002">
              <w:t xml:space="preserve"> </w:t>
            </w:r>
            <w:r w:rsidR="000F5002" w:rsidRPr="007D1A80">
              <w:rPr>
                <w:i/>
                <w:iCs/>
              </w:rPr>
              <w:t>(2023)</w:t>
            </w:r>
            <w:r>
              <w:t xml:space="preserve"> i</w:t>
            </w:r>
            <w:r w:rsidR="003E16B6">
              <w:t>t is recognised that not everyone who experiences the health issues covered in th</w:t>
            </w:r>
            <w:r w:rsidR="00CD7C87">
              <w:t>is report</w:t>
            </w:r>
            <w:r w:rsidR="003E16B6">
              <w:t xml:space="preserve"> are women. The </w:t>
            </w:r>
            <w:r w:rsidR="005C4392">
              <w:t xml:space="preserve">contraception, sterilisation, and </w:t>
            </w:r>
            <w:r w:rsidR="00986C1C">
              <w:t>abortion health care</w:t>
            </w:r>
            <w:r w:rsidR="003E16B6">
              <w:t xml:space="preserve"> needs discussed in this </w:t>
            </w:r>
            <w:r w:rsidR="00986C1C">
              <w:t>report</w:t>
            </w:r>
            <w:r w:rsidR="003E16B6">
              <w:t xml:space="preserve"> can be experienced by people with diverse gender identities and expressions and sex characteristics. It is intended that the</w:t>
            </w:r>
            <w:r w:rsidR="00EE6F9B">
              <w:t xml:space="preserve"> recommendations within </w:t>
            </w:r>
            <w:r w:rsidR="003E16B6">
              <w:t xml:space="preserve">this </w:t>
            </w:r>
            <w:r w:rsidR="00EE6F9B">
              <w:t>report</w:t>
            </w:r>
            <w:r w:rsidR="003E16B6">
              <w:t xml:space="preserve"> will be inclusive of rainbow voices and work to drive services and approaches that respond to rainbow needs and aspirations. </w:t>
            </w:r>
          </w:p>
        </w:tc>
      </w:tr>
      <w:bookmarkEnd w:id="3"/>
    </w:tbl>
    <w:p w14:paraId="5DA1E5AC" w14:textId="77777777" w:rsidR="008B666D" w:rsidRPr="008B666D" w:rsidRDefault="008B666D" w:rsidP="008B666D">
      <w:pPr>
        <w:spacing w:before="60" w:after="60"/>
      </w:pPr>
    </w:p>
    <w:p w14:paraId="0EDA88D2" w14:textId="77777777" w:rsidR="00D662F8" w:rsidRPr="00E53A9F" w:rsidRDefault="00D662F8" w:rsidP="0043478F">
      <w:pPr>
        <w:rPr>
          <w:rStyle w:val="Hyperlink"/>
        </w:rPr>
      </w:pPr>
    </w:p>
    <w:p w14:paraId="4BF0CCBE" w14:textId="77777777" w:rsidR="00CC19AA" w:rsidRDefault="00CC19AA" w:rsidP="00BB4198">
      <w:pPr>
        <w:pStyle w:val="Heading1"/>
        <w:sectPr w:rsidR="00CC19AA" w:rsidSect="00CC19AA">
          <w:footerReference w:type="even" r:id="rId27"/>
          <w:footerReference w:type="default" r:id="rId28"/>
          <w:pgSz w:w="11907" w:h="16840" w:code="9"/>
          <w:pgMar w:top="1418" w:right="1701" w:bottom="1134" w:left="1843" w:header="284" w:footer="425" w:gutter="284"/>
          <w:pgNumType w:start="1"/>
          <w:cols w:space="720"/>
        </w:sectPr>
      </w:pPr>
      <w:bookmarkStart w:id="4" w:name="_bookmark4"/>
      <w:bookmarkEnd w:id="4"/>
    </w:p>
    <w:p w14:paraId="7F838428" w14:textId="57DCE2F4" w:rsidR="009A42D5" w:rsidRPr="0043478F" w:rsidRDefault="00CC19AA" w:rsidP="00CC19AA">
      <w:pPr>
        <w:pStyle w:val="Heading1"/>
        <w:spacing w:before="0"/>
      </w:pPr>
      <w:bookmarkStart w:id="5" w:name="_Toc195016547"/>
      <w:r w:rsidRPr="00CC19AA">
        <w:t>Background to this report</w:t>
      </w:r>
      <w:r w:rsidR="002E490C">
        <w:t xml:space="preserve"> – </w:t>
      </w:r>
      <w:r w:rsidR="002E490C" w:rsidRPr="00812B21">
        <w:t xml:space="preserve">He </w:t>
      </w:r>
      <w:proofErr w:type="spellStart"/>
      <w:r w:rsidR="002E490C" w:rsidRPr="00812B21">
        <w:t>whakamārama</w:t>
      </w:r>
      <w:bookmarkEnd w:id="5"/>
      <w:proofErr w:type="spellEnd"/>
    </w:p>
    <w:p w14:paraId="2F7E9CE6" w14:textId="51AED8EF" w:rsidR="002E490C" w:rsidRDefault="002E490C" w:rsidP="002E490C">
      <w:pPr>
        <w:rPr>
          <w:rFonts w:eastAsia="Calibri"/>
          <w:lang w:eastAsia="en-US"/>
        </w:rPr>
      </w:pPr>
      <w:r w:rsidRPr="005F1F83">
        <w:rPr>
          <w:rFonts w:eastAsia="Calibri"/>
          <w:lang w:eastAsia="en-US"/>
        </w:rPr>
        <w:t xml:space="preserve">Section 17(1) of the </w:t>
      </w:r>
      <w:r>
        <w:rPr>
          <w:rFonts w:eastAsia="Calibri"/>
          <w:lang w:eastAsia="en-US"/>
        </w:rPr>
        <w:t>Contraception, Sterilisation and Abortion Act</w:t>
      </w:r>
      <w:r w:rsidRPr="005F1F83">
        <w:rPr>
          <w:rFonts w:eastAsia="Calibri"/>
          <w:lang w:eastAsia="en-US"/>
        </w:rPr>
        <w:t xml:space="preserve"> </w:t>
      </w:r>
      <w:r>
        <w:rPr>
          <w:rFonts w:eastAsia="Calibri"/>
          <w:lang w:eastAsia="en-US"/>
        </w:rPr>
        <w:t>1977</w:t>
      </w:r>
      <w:r>
        <w:rPr>
          <w:rStyle w:val="FootnoteReference"/>
          <w:rFonts w:eastAsia="Calibri"/>
          <w:lang w:eastAsia="en-US"/>
        </w:rPr>
        <w:footnoteReference w:id="2"/>
      </w:r>
      <w:r>
        <w:rPr>
          <w:rFonts w:eastAsia="Calibri"/>
          <w:lang w:eastAsia="en-US"/>
        </w:rPr>
        <w:t xml:space="preserve"> (the CSA Act) </w:t>
      </w:r>
      <w:r w:rsidRPr="005F1F83">
        <w:rPr>
          <w:rFonts w:eastAsia="Calibri"/>
          <w:lang w:eastAsia="en-US"/>
        </w:rPr>
        <w:t xml:space="preserve">requires the Director-General of Health (Director-General) to undertake </w:t>
      </w:r>
      <w:r>
        <w:rPr>
          <w:rFonts w:eastAsia="Calibri"/>
          <w:lang w:eastAsia="en-US"/>
        </w:rPr>
        <w:t xml:space="preserve">a </w:t>
      </w:r>
      <w:r w:rsidRPr="005F1F83">
        <w:rPr>
          <w:rFonts w:eastAsia="Calibri"/>
          <w:lang w:eastAsia="en-US"/>
        </w:rPr>
        <w:t>periodic review (the review) not later than five years after the commencement of this section, and then at subsequent intervals of not more than five years. The review must consider whether New Zealanders have timely and equitable access to:</w:t>
      </w:r>
    </w:p>
    <w:p w14:paraId="2755EABD" w14:textId="77777777" w:rsidR="002E490C" w:rsidRPr="005F1F83" w:rsidRDefault="002E490C" w:rsidP="002E490C">
      <w:pPr>
        <w:pStyle w:val="Bullet"/>
        <w:rPr>
          <w:rFonts w:eastAsia="Calibri"/>
          <w:lang w:eastAsia="en-US"/>
        </w:rPr>
      </w:pPr>
      <w:r w:rsidRPr="005F1F83">
        <w:rPr>
          <w:rFonts w:eastAsia="Calibri"/>
          <w:lang w:eastAsia="en-US"/>
        </w:rPr>
        <w:t xml:space="preserve">contraception, sterilisation and abortion services </w:t>
      </w:r>
    </w:p>
    <w:p w14:paraId="261B1D91" w14:textId="77777777" w:rsidR="002E490C" w:rsidRPr="005F1F83" w:rsidRDefault="002E490C" w:rsidP="002E490C">
      <w:pPr>
        <w:pStyle w:val="Bullet"/>
        <w:rPr>
          <w:rFonts w:eastAsia="Calibri"/>
          <w:lang w:eastAsia="en-US"/>
        </w:rPr>
      </w:pPr>
      <w:r w:rsidRPr="005F1F83">
        <w:rPr>
          <w:rFonts w:eastAsia="Calibri"/>
          <w:lang w:eastAsia="en-US"/>
        </w:rPr>
        <w:t xml:space="preserve">information or advisory services about whether to continue or terminate a </w:t>
      </w:r>
      <w:proofErr w:type="gramStart"/>
      <w:r w:rsidRPr="005F1F83">
        <w:rPr>
          <w:rFonts w:eastAsia="Calibri"/>
          <w:lang w:eastAsia="en-US"/>
        </w:rPr>
        <w:t>pregnancy</w:t>
      </w:r>
      <w:proofErr w:type="gramEnd"/>
    </w:p>
    <w:p w14:paraId="794A1365" w14:textId="77777777" w:rsidR="002E490C" w:rsidRPr="005F1F83" w:rsidRDefault="002E490C" w:rsidP="002E490C">
      <w:pPr>
        <w:pStyle w:val="Bullet"/>
        <w:rPr>
          <w:rFonts w:eastAsia="Calibri"/>
          <w:lang w:eastAsia="en-US"/>
        </w:rPr>
      </w:pPr>
      <w:r w:rsidRPr="005F1F83">
        <w:rPr>
          <w:rFonts w:eastAsia="Calibri"/>
          <w:lang w:eastAsia="en-US"/>
        </w:rPr>
        <w:t xml:space="preserve">counselling services related to abortion services. </w:t>
      </w:r>
    </w:p>
    <w:p w14:paraId="4F8F021A" w14:textId="77777777" w:rsidR="002E490C" w:rsidRDefault="002E490C" w:rsidP="002E490C">
      <w:pPr>
        <w:rPr>
          <w:rFonts w:eastAsia="Calibri"/>
          <w:lang w:eastAsia="en-US"/>
        </w:rPr>
      </w:pPr>
    </w:p>
    <w:p w14:paraId="29D71416" w14:textId="5A0906D6" w:rsidR="002E490C" w:rsidRDefault="002E490C" w:rsidP="002E490C">
      <w:pPr>
        <w:rPr>
          <w:rFonts w:eastAsia="Calibri"/>
          <w:lang w:eastAsia="en-US"/>
        </w:rPr>
      </w:pPr>
      <w:r w:rsidRPr="005F1F83">
        <w:rPr>
          <w:rFonts w:eastAsia="Calibri"/>
          <w:lang w:eastAsia="en-US"/>
        </w:rPr>
        <w:t xml:space="preserve">The review must also consider the relative costs throughout Aotearoa New Zealand for people accessing those services. </w:t>
      </w:r>
    </w:p>
    <w:p w14:paraId="79D60E52" w14:textId="77777777" w:rsidR="002E490C" w:rsidRPr="005F1F83" w:rsidRDefault="002E490C" w:rsidP="002E490C">
      <w:pPr>
        <w:rPr>
          <w:rFonts w:eastAsia="Calibri"/>
          <w:lang w:eastAsia="en-US"/>
        </w:rPr>
      </w:pPr>
    </w:p>
    <w:p w14:paraId="3B2A565A" w14:textId="52E1DEFC" w:rsidR="002E490C" w:rsidRDefault="002E490C" w:rsidP="002E490C">
      <w:pPr>
        <w:rPr>
          <w:rFonts w:eastAsia="Calibri"/>
          <w:lang w:eastAsia="en-US"/>
        </w:rPr>
      </w:pPr>
      <w:r w:rsidRPr="005F1F83">
        <w:rPr>
          <w:rFonts w:eastAsia="Calibri"/>
          <w:lang w:eastAsia="en-US"/>
        </w:rPr>
        <w:t xml:space="preserve">Additionally, section 21 of the </w:t>
      </w:r>
      <w:r>
        <w:rPr>
          <w:rFonts w:eastAsia="Calibri"/>
          <w:lang w:eastAsia="en-US"/>
        </w:rPr>
        <w:t xml:space="preserve">CSA </w:t>
      </w:r>
      <w:r w:rsidRPr="005F1F83">
        <w:rPr>
          <w:rFonts w:eastAsia="Calibri"/>
          <w:lang w:eastAsia="en-US"/>
        </w:rPr>
        <w:t xml:space="preserve">Act requires the Director-General to report not later </w:t>
      </w:r>
      <w:r w:rsidRPr="009D43CF">
        <w:rPr>
          <w:rFonts w:eastAsia="Calibri"/>
          <w:lang w:eastAsia="en-US"/>
        </w:rPr>
        <w:t xml:space="preserve">than five years, and then at subsequent intervals of not more than five years, on whether any evidence indicates </w:t>
      </w:r>
      <w:r w:rsidR="00DD408F">
        <w:rPr>
          <w:rFonts w:eastAsia="Calibri"/>
          <w:lang w:eastAsia="en-US"/>
        </w:rPr>
        <w:t>women</w:t>
      </w:r>
      <w:r w:rsidRPr="009D43CF">
        <w:rPr>
          <w:rFonts w:eastAsia="Calibri"/>
          <w:lang w:eastAsia="en-US"/>
        </w:rPr>
        <w:t xml:space="preserve"> are seeking abortions for the sole purpose of selecting the sex of the </w:t>
      </w:r>
      <w:proofErr w:type="spellStart"/>
      <w:r w:rsidRPr="009D43CF">
        <w:rPr>
          <w:rFonts w:eastAsia="Calibri"/>
          <w:lang w:eastAsia="en-US"/>
        </w:rPr>
        <w:t>fetus</w:t>
      </w:r>
      <w:proofErr w:type="spellEnd"/>
      <w:r w:rsidRPr="009D43CF">
        <w:rPr>
          <w:rFonts w:eastAsia="Calibri"/>
          <w:lang w:eastAsia="en-US"/>
        </w:rPr>
        <w:t>.</w:t>
      </w:r>
      <w:r w:rsidRPr="005F1F83">
        <w:rPr>
          <w:rFonts w:eastAsia="Calibri"/>
          <w:lang w:eastAsia="en-US"/>
        </w:rPr>
        <w:t xml:space="preserve"> </w:t>
      </w:r>
    </w:p>
    <w:p w14:paraId="57DEA22D" w14:textId="77777777" w:rsidR="002E490C" w:rsidRPr="005F1F83" w:rsidRDefault="002E490C" w:rsidP="002E490C">
      <w:pPr>
        <w:rPr>
          <w:rFonts w:eastAsia="Calibri"/>
          <w:lang w:eastAsia="en-US"/>
        </w:rPr>
      </w:pPr>
    </w:p>
    <w:p w14:paraId="623F83AC" w14:textId="77777777" w:rsidR="002E490C" w:rsidRPr="005F1F83" w:rsidRDefault="002E490C" w:rsidP="002E490C">
      <w:pPr>
        <w:rPr>
          <w:rFonts w:eastAsia="Calibri"/>
          <w:lang w:eastAsia="en-US"/>
        </w:rPr>
      </w:pPr>
      <w:r w:rsidRPr="005F1F83">
        <w:rPr>
          <w:rFonts w:eastAsia="Calibri"/>
          <w:lang w:eastAsia="en-US"/>
        </w:rPr>
        <w:t xml:space="preserve">The review must also include recommendations that the Director-General considers appropriate (if any) for making access to those services </w:t>
      </w:r>
      <w:proofErr w:type="gramStart"/>
      <w:r w:rsidRPr="005F1F83">
        <w:rPr>
          <w:rFonts w:eastAsia="Calibri"/>
          <w:lang w:eastAsia="en-US"/>
        </w:rPr>
        <w:t>more timely and equitable</w:t>
      </w:r>
      <w:proofErr w:type="gramEnd"/>
      <w:r w:rsidRPr="005F1F83">
        <w:rPr>
          <w:rFonts w:eastAsia="Calibri"/>
          <w:lang w:eastAsia="en-US"/>
        </w:rPr>
        <w:t>.</w:t>
      </w:r>
    </w:p>
    <w:p w14:paraId="23BEC49F" w14:textId="77777777" w:rsidR="00C86248" w:rsidRPr="0043478F" w:rsidRDefault="00C86248" w:rsidP="002E490C">
      <w:pPr>
        <w:sectPr w:rsidR="00C86248" w:rsidRPr="0043478F" w:rsidSect="00F47902">
          <w:pgSz w:w="11907" w:h="16840" w:code="9"/>
          <w:pgMar w:top="1418" w:right="1701" w:bottom="1134" w:left="1843" w:header="284" w:footer="425" w:gutter="284"/>
          <w:cols w:space="720"/>
        </w:sectPr>
      </w:pPr>
    </w:p>
    <w:p w14:paraId="6889BC0F" w14:textId="77777777" w:rsidR="009A42D5" w:rsidRPr="0043478F" w:rsidRDefault="009A42D5" w:rsidP="0008437D">
      <w:pPr>
        <w:ind w:left="-2268" w:right="-1701"/>
      </w:pPr>
    </w:p>
    <w:p w14:paraId="39BE2591" w14:textId="4E2E9D63" w:rsidR="008C2973" w:rsidRDefault="00CC19AA" w:rsidP="00CC19AA">
      <w:pPr>
        <w:pStyle w:val="Heading1"/>
        <w:spacing w:before="0"/>
      </w:pPr>
      <w:bookmarkStart w:id="6" w:name="_Toc195016548"/>
      <w:r w:rsidRPr="00CC19AA">
        <w:rPr>
          <w:spacing w:val="0"/>
        </w:rPr>
        <w:t>Executive summary</w:t>
      </w:r>
      <w:r w:rsidR="002E490C">
        <w:t xml:space="preserve"> – </w:t>
      </w:r>
      <w:r w:rsidR="002E490C" w:rsidRPr="007D73CA">
        <w:t xml:space="preserve">He </w:t>
      </w:r>
      <w:proofErr w:type="spellStart"/>
      <w:r w:rsidR="002E490C" w:rsidRPr="007D73CA">
        <w:t>whakarāpopoto</w:t>
      </w:r>
      <w:bookmarkEnd w:id="6"/>
      <w:proofErr w:type="spellEnd"/>
    </w:p>
    <w:p w14:paraId="3808D7BF" w14:textId="77777777" w:rsidR="002E490C" w:rsidRPr="005F1F83" w:rsidRDefault="002E490C" w:rsidP="002E490C">
      <w:pPr>
        <w:rPr>
          <w:rFonts w:eastAsia="Calibri"/>
        </w:rPr>
      </w:pPr>
      <w:r w:rsidRPr="005F1F83">
        <w:rPr>
          <w:rFonts w:eastAsia="Calibri"/>
        </w:rPr>
        <w:t>On 24 March 2020, changes were made to the law to decriminalise abortion, better align the regulation of abortion services with other health services, and modernise the legal framework for abortion services in</w:t>
      </w:r>
      <w:r>
        <w:rPr>
          <w:rFonts w:eastAsia="Calibri"/>
        </w:rPr>
        <w:t xml:space="preserve"> Aotearoa</w:t>
      </w:r>
      <w:r w:rsidRPr="005F1F83">
        <w:rPr>
          <w:rFonts w:eastAsia="Calibri"/>
        </w:rPr>
        <w:t xml:space="preserve"> New Zealand.</w:t>
      </w:r>
    </w:p>
    <w:p w14:paraId="41187BE3" w14:textId="77777777" w:rsidR="003376FA" w:rsidRDefault="003376FA" w:rsidP="002E490C">
      <w:pPr>
        <w:rPr>
          <w:rFonts w:eastAsia="Calibri"/>
        </w:rPr>
      </w:pPr>
    </w:p>
    <w:p w14:paraId="464991D4" w14:textId="2168808E" w:rsidR="002E490C" w:rsidRPr="005F1F83" w:rsidRDefault="002E490C" w:rsidP="002E490C">
      <w:pPr>
        <w:rPr>
          <w:rFonts w:eastAsia="Calibri"/>
        </w:rPr>
      </w:pPr>
      <w:r w:rsidRPr="005F1F83">
        <w:rPr>
          <w:rFonts w:eastAsia="Calibri"/>
        </w:rPr>
        <w:t>Since 2020 the Ministry of Health – Manat</w:t>
      </w:r>
      <w:r w:rsidRPr="005F1F83">
        <w:rPr>
          <w:rFonts w:eastAsia="Calibri" w:cs="Segoe UI"/>
        </w:rPr>
        <w:t>ū</w:t>
      </w:r>
      <w:r w:rsidRPr="005F1F83">
        <w:rPr>
          <w:rFonts w:eastAsia="Calibri"/>
        </w:rPr>
        <w:t xml:space="preserve"> Hauora has worked towards achieving these changes through focusing on:</w:t>
      </w:r>
    </w:p>
    <w:p w14:paraId="0F6C4AE2" w14:textId="77777777" w:rsidR="002E490C" w:rsidRPr="005F1F83" w:rsidRDefault="002E490C" w:rsidP="002E490C">
      <w:pPr>
        <w:pStyle w:val="Bullet"/>
        <w:rPr>
          <w:rFonts w:eastAsia="Calibri"/>
        </w:rPr>
      </w:pPr>
      <w:r w:rsidRPr="005F1F83">
        <w:rPr>
          <w:rFonts w:eastAsia="Calibri"/>
        </w:rPr>
        <w:t>better reporting for sterilisation and abortion services</w:t>
      </w:r>
    </w:p>
    <w:p w14:paraId="488183E9" w14:textId="3E345811" w:rsidR="002E490C" w:rsidRPr="005F1F83" w:rsidRDefault="002E490C" w:rsidP="002E490C">
      <w:pPr>
        <w:pStyle w:val="Bullet"/>
        <w:rPr>
          <w:rFonts w:eastAsia="Calibri"/>
        </w:rPr>
      </w:pPr>
      <w:r w:rsidRPr="005F1F83">
        <w:rPr>
          <w:rFonts w:eastAsia="Calibri"/>
        </w:rPr>
        <w:t xml:space="preserve">local access for </w:t>
      </w:r>
      <w:r w:rsidR="00DD408F">
        <w:rPr>
          <w:rFonts w:eastAsia="Calibri"/>
        </w:rPr>
        <w:t>women</w:t>
      </w:r>
      <w:r w:rsidRPr="005F1F83">
        <w:rPr>
          <w:rFonts w:eastAsia="Calibri"/>
        </w:rPr>
        <w:t xml:space="preserve"> to first-trimester abortion services within all districts</w:t>
      </w:r>
    </w:p>
    <w:p w14:paraId="2BAE6A3F" w14:textId="77777777" w:rsidR="002E490C" w:rsidRPr="005F1F83" w:rsidRDefault="002E490C" w:rsidP="002E490C">
      <w:pPr>
        <w:pStyle w:val="Bullet"/>
        <w:rPr>
          <w:rFonts w:eastAsia="Calibri"/>
        </w:rPr>
      </w:pPr>
      <w:r w:rsidRPr="005F1F83">
        <w:rPr>
          <w:rFonts w:eastAsia="Calibri"/>
        </w:rPr>
        <w:t xml:space="preserve">improved abortion service choice and access, with barriers and delays </w:t>
      </w:r>
      <w:proofErr w:type="gramStart"/>
      <w:r w:rsidRPr="005F1F83">
        <w:rPr>
          <w:rFonts w:eastAsia="Calibri"/>
        </w:rPr>
        <w:t>removed</w:t>
      </w:r>
      <w:proofErr w:type="gramEnd"/>
    </w:p>
    <w:p w14:paraId="5D2EBC3D" w14:textId="77777777" w:rsidR="002E490C" w:rsidRPr="005F1F83" w:rsidRDefault="002E490C" w:rsidP="002E490C">
      <w:pPr>
        <w:pStyle w:val="Bullet"/>
        <w:rPr>
          <w:rFonts w:eastAsia="Calibri"/>
        </w:rPr>
      </w:pPr>
      <w:r w:rsidRPr="005F1F83">
        <w:rPr>
          <w:rFonts w:eastAsia="Calibri"/>
        </w:rPr>
        <w:t xml:space="preserve">services that are more person-centred and focused on patient </w:t>
      </w:r>
      <w:proofErr w:type="gramStart"/>
      <w:r w:rsidRPr="005F1F83">
        <w:rPr>
          <w:rFonts w:eastAsia="Calibri"/>
        </w:rPr>
        <w:t>needs</w:t>
      </w:r>
      <w:proofErr w:type="gramEnd"/>
    </w:p>
    <w:p w14:paraId="64F869B1" w14:textId="77777777" w:rsidR="002E490C" w:rsidRPr="005F1F83" w:rsidRDefault="002E490C" w:rsidP="002E490C">
      <w:pPr>
        <w:pStyle w:val="Bullet"/>
        <w:rPr>
          <w:rFonts w:eastAsia="Calibri"/>
        </w:rPr>
      </w:pPr>
      <w:r w:rsidRPr="005F1F83">
        <w:rPr>
          <w:rFonts w:eastAsia="Calibri"/>
        </w:rPr>
        <w:t>a well-supported abortion workforce, with clear clinical guidance and training as a framework for person-centred and equitable service provision.</w:t>
      </w:r>
    </w:p>
    <w:p w14:paraId="100242D5" w14:textId="77777777" w:rsidR="002E490C" w:rsidRDefault="002E490C" w:rsidP="002E490C">
      <w:pPr>
        <w:rPr>
          <w:rFonts w:eastAsia="Calibri"/>
        </w:rPr>
      </w:pPr>
    </w:p>
    <w:p w14:paraId="28FB9CF8" w14:textId="41CAA644" w:rsidR="002E490C" w:rsidRDefault="002E490C" w:rsidP="002E490C">
      <w:pPr>
        <w:rPr>
          <w:rFonts w:eastAsia="Calibri"/>
        </w:rPr>
      </w:pPr>
      <w:r w:rsidRPr="005F1F83">
        <w:rPr>
          <w:rFonts w:eastAsia="Calibri"/>
        </w:rPr>
        <w:t xml:space="preserve">The </w:t>
      </w:r>
      <w:r>
        <w:rPr>
          <w:rFonts w:eastAsia="Calibri"/>
        </w:rPr>
        <w:t>law</w:t>
      </w:r>
      <w:r w:rsidRPr="005F1F83">
        <w:rPr>
          <w:rFonts w:eastAsia="Calibri"/>
        </w:rPr>
        <w:t xml:space="preserve"> change is still relatively new, and the Ministry acknowledges that some services are still establishing their provision framework. More work is required to ensure timely and equitable access</w:t>
      </w:r>
      <w:r>
        <w:rPr>
          <w:rFonts w:eastAsia="Calibri"/>
        </w:rPr>
        <w:t xml:space="preserve"> to abortion services</w:t>
      </w:r>
      <w:r w:rsidRPr="005F1F83">
        <w:rPr>
          <w:rFonts w:eastAsia="Calibri"/>
        </w:rPr>
        <w:t>.</w:t>
      </w:r>
    </w:p>
    <w:p w14:paraId="16596415" w14:textId="77777777" w:rsidR="002E490C" w:rsidRPr="005F1F83" w:rsidRDefault="002E490C" w:rsidP="002E490C">
      <w:pPr>
        <w:rPr>
          <w:rFonts w:eastAsia="Calibri"/>
        </w:rPr>
      </w:pPr>
    </w:p>
    <w:p w14:paraId="57C19EA0" w14:textId="7E614A40" w:rsidR="002E490C" w:rsidRDefault="002E490C" w:rsidP="002E490C">
      <w:pPr>
        <w:rPr>
          <w:rFonts w:eastAsia="Calibri"/>
        </w:rPr>
      </w:pPr>
      <w:r w:rsidRPr="005F1F83">
        <w:rPr>
          <w:rFonts w:eastAsia="Calibri"/>
        </w:rPr>
        <w:t xml:space="preserve">The Contraception, Sterilisation and Abortion work programme aligns with the Government Policy Statement on Health (Minister of Health 2024), which outlines the five priority areas for the health system. These priority areas include access and timeliness, which are a specific focus of this report. </w:t>
      </w:r>
    </w:p>
    <w:p w14:paraId="756A642B" w14:textId="77777777" w:rsidR="002E490C" w:rsidRPr="005F1F83" w:rsidRDefault="002E490C" w:rsidP="002E490C">
      <w:pPr>
        <w:rPr>
          <w:rFonts w:eastAsia="Calibri"/>
        </w:rPr>
      </w:pPr>
    </w:p>
    <w:p w14:paraId="39EF335F" w14:textId="79235AF1" w:rsidR="002E490C" w:rsidRDefault="002E490C" w:rsidP="002E490C">
      <w:pPr>
        <w:rPr>
          <w:rFonts w:eastAsia="Calibri"/>
        </w:rPr>
      </w:pPr>
      <w:r w:rsidRPr="005F1F83">
        <w:rPr>
          <w:rFonts w:eastAsia="Calibri"/>
        </w:rPr>
        <w:t xml:space="preserve">In March 2023, the abortion services work programme was divided between the Ministry of Health and Health New Zealand as a part of the health reforms in the </w:t>
      </w:r>
      <w:proofErr w:type="spellStart"/>
      <w:r w:rsidRPr="005F1F83">
        <w:rPr>
          <w:rFonts w:eastAsia="Calibri"/>
        </w:rPr>
        <w:t>Pae</w:t>
      </w:r>
      <w:proofErr w:type="spellEnd"/>
      <w:r w:rsidRPr="005F1F83">
        <w:rPr>
          <w:rFonts w:eastAsia="Calibri"/>
        </w:rPr>
        <w:t xml:space="preserve"> Ora Act 2022. Health New Zealand is responsible for abortion and sterilisation service provision and equitable service access. The Ministry regulates and monitors equitable access to abortion and sterilisation services through abortion and sterilisation service reporting and has been engaging with Health New Zealand regularly with the aim of providing timely and equitable access for </w:t>
      </w:r>
      <w:r w:rsidR="00DD408F">
        <w:rPr>
          <w:rFonts w:eastAsia="Calibri"/>
        </w:rPr>
        <w:t xml:space="preserve">women </w:t>
      </w:r>
      <w:r w:rsidRPr="005F1F83">
        <w:rPr>
          <w:rFonts w:eastAsia="Calibri"/>
        </w:rPr>
        <w:t>seeking abortion health care and sterilisation.</w:t>
      </w:r>
    </w:p>
    <w:p w14:paraId="2D89F3F3" w14:textId="77777777" w:rsidR="002E490C" w:rsidRPr="005F1F83" w:rsidRDefault="002E490C" w:rsidP="002E490C">
      <w:pPr>
        <w:rPr>
          <w:rFonts w:eastAsia="Calibri"/>
        </w:rPr>
      </w:pPr>
    </w:p>
    <w:p w14:paraId="289295C9" w14:textId="20608B0B" w:rsidR="002E490C" w:rsidRDefault="002E490C" w:rsidP="002E490C">
      <w:pPr>
        <w:rPr>
          <w:rFonts w:eastAsia="Calibri"/>
          <w:lang w:eastAsia="en-US"/>
        </w:rPr>
      </w:pPr>
      <w:r w:rsidRPr="005F1F83">
        <w:rPr>
          <w:rFonts w:eastAsia="Calibri"/>
          <w:lang w:eastAsia="en-US"/>
        </w:rPr>
        <w:t>Overall, access to abortion services has increased since the law change. Factors contributing to this improvement have been an increase in the number of abortion providers and in both types and locations of provision available. Improved access is especially evident among those seeking an early medical abortion (EMA) (10 weeks’ gesta</w:t>
      </w:r>
      <w:r w:rsidRPr="009D43CF">
        <w:rPr>
          <w:rFonts w:eastAsia="Calibri"/>
          <w:lang w:eastAsia="en-US"/>
        </w:rPr>
        <w:t>tion or earlier). This is</w:t>
      </w:r>
      <w:r w:rsidRPr="005F1F83">
        <w:rPr>
          <w:rFonts w:eastAsia="Calibri"/>
          <w:lang w:eastAsia="en-US"/>
        </w:rPr>
        <w:t xml:space="preserve"> a positive sign that those seeking care are experiencing fewer barriers and that the </w:t>
      </w:r>
      <w:r>
        <w:rPr>
          <w:rFonts w:eastAsia="Calibri"/>
          <w:lang w:eastAsia="en-US"/>
        </w:rPr>
        <w:t>initiatives to improve access</w:t>
      </w:r>
      <w:r w:rsidRPr="005F1F83">
        <w:rPr>
          <w:rFonts w:eastAsia="Calibri"/>
          <w:lang w:eastAsia="en-US"/>
        </w:rPr>
        <w:t>, like self-referral and telehealth, are making an impact.</w:t>
      </w:r>
    </w:p>
    <w:p w14:paraId="32C2EFB3" w14:textId="5387DE3B" w:rsidR="002E490C" w:rsidRDefault="002E490C" w:rsidP="002E490C">
      <w:pPr>
        <w:rPr>
          <w:rFonts w:eastAsia="Calibri"/>
          <w:lang w:eastAsia="en-US"/>
        </w:rPr>
      </w:pPr>
    </w:p>
    <w:p w14:paraId="1E654DE9" w14:textId="77777777" w:rsidR="00F47902" w:rsidRPr="005F1F83" w:rsidRDefault="00F47902" w:rsidP="002E490C">
      <w:pPr>
        <w:rPr>
          <w:rFonts w:eastAsia="Calibri"/>
          <w:lang w:eastAsia="en-US"/>
        </w:rPr>
      </w:pPr>
    </w:p>
    <w:p w14:paraId="1A89046F" w14:textId="77777777" w:rsidR="002E490C" w:rsidRPr="005F1F83" w:rsidRDefault="002E490C" w:rsidP="002E490C">
      <w:pPr>
        <w:rPr>
          <w:rFonts w:eastAsia="Calibri"/>
        </w:rPr>
      </w:pPr>
      <w:r w:rsidRPr="005F1F83">
        <w:rPr>
          <w:rFonts w:eastAsia="Calibri"/>
        </w:rPr>
        <w:t>Some key achievements show how service availability, quality of service, and accessibility have improved since the changes in legislation were made. These include:</w:t>
      </w:r>
    </w:p>
    <w:p w14:paraId="157BC395" w14:textId="77777777" w:rsidR="002E490C" w:rsidRPr="005F1F83" w:rsidRDefault="002E490C" w:rsidP="00C70445">
      <w:pPr>
        <w:pStyle w:val="Bullet"/>
        <w:rPr>
          <w:rFonts w:eastAsia="Calibri"/>
        </w:rPr>
      </w:pPr>
      <w:r w:rsidRPr="005F1F83">
        <w:rPr>
          <w:rFonts w:eastAsia="Calibri"/>
        </w:rPr>
        <w:t xml:space="preserve">an increase in sterilisation provider reporting and a greater awareness of reporting requirements under the </w:t>
      </w:r>
      <w:r>
        <w:rPr>
          <w:rFonts w:eastAsia="Calibri"/>
        </w:rPr>
        <w:t xml:space="preserve">CSA Act. </w:t>
      </w:r>
    </w:p>
    <w:p w14:paraId="480AF9E1" w14:textId="77777777" w:rsidR="002E490C" w:rsidRPr="005F1F83" w:rsidRDefault="002E490C" w:rsidP="00C70445">
      <w:pPr>
        <w:pStyle w:val="Bullet"/>
        <w:rPr>
          <w:rFonts w:eastAsia="Calibri"/>
        </w:rPr>
      </w:pPr>
      <w:r w:rsidRPr="005F1F83">
        <w:rPr>
          <w:rFonts w:eastAsia="Calibri"/>
        </w:rPr>
        <w:t xml:space="preserve">the introduction of the national </w:t>
      </w:r>
      <w:r>
        <w:rPr>
          <w:rFonts w:eastAsia="Calibri"/>
        </w:rPr>
        <w:t>abortion</w:t>
      </w:r>
      <w:r w:rsidRPr="005F1F83">
        <w:rPr>
          <w:rFonts w:eastAsia="Calibri"/>
        </w:rPr>
        <w:t xml:space="preserve"> telehealth</w:t>
      </w:r>
      <w:r>
        <w:rPr>
          <w:rFonts w:eastAsia="Calibri"/>
        </w:rPr>
        <w:t xml:space="preserve"> </w:t>
      </w:r>
      <w:r w:rsidRPr="005F1F83">
        <w:rPr>
          <w:rFonts w:eastAsia="Calibri"/>
        </w:rPr>
        <w:t xml:space="preserve">service DECIDE to improve access to information, advice and delivery of </w:t>
      </w:r>
      <w:proofErr w:type="gramStart"/>
      <w:r w:rsidRPr="005F1F83">
        <w:rPr>
          <w:rFonts w:eastAsia="Calibri"/>
        </w:rPr>
        <w:t>EMA</w:t>
      </w:r>
      <w:proofErr w:type="gramEnd"/>
    </w:p>
    <w:p w14:paraId="682102E7" w14:textId="77777777" w:rsidR="002E490C" w:rsidRPr="005F1F83" w:rsidRDefault="002E490C" w:rsidP="00C70445">
      <w:pPr>
        <w:pStyle w:val="Bullet"/>
        <w:rPr>
          <w:rFonts w:eastAsia="Calibri"/>
        </w:rPr>
      </w:pPr>
      <w:r w:rsidRPr="005F1F83">
        <w:rPr>
          <w:rFonts w:eastAsia="Calibri"/>
        </w:rPr>
        <w:t xml:space="preserve">clinical guidelines for abortion care to support consistent clinical </w:t>
      </w:r>
      <w:r>
        <w:rPr>
          <w:rFonts w:eastAsia="Calibri"/>
        </w:rPr>
        <w:t>practice in</w:t>
      </w:r>
      <w:r w:rsidRPr="005F1F83">
        <w:rPr>
          <w:rFonts w:eastAsia="Calibri"/>
        </w:rPr>
        <w:t xml:space="preserve"> abortion </w:t>
      </w:r>
      <w:proofErr w:type="gramStart"/>
      <w:r w:rsidRPr="005F1F83">
        <w:rPr>
          <w:rFonts w:eastAsia="Calibri"/>
        </w:rPr>
        <w:t>care</w:t>
      </w:r>
      <w:proofErr w:type="gramEnd"/>
    </w:p>
    <w:p w14:paraId="557953C6" w14:textId="77777777" w:rsidR="002E490C" w:rsidRPr="005F1F83" w:rsidRDefault="002E490C" w:rsidP="00C70445">
      <w:pPr>
        <w:pStyle w:val="Bullet"/>
        <w:rPr>
          <w:rFonts w:eastAsia="Calibri"/>
        </w:rPr>
      </w:pPr>
      <w:r w:rsidRPr="005F1F83">
        <w:rPr>
          <w:rFonts w:eastAsia="Calibri"/>
        </w:rPr>
        <w:t>the introduction of data collection and reporting to support better service planning and monitoring of timely and equitable access to abortion and sterilisation services</w:t>
      </w:r>
    </w:p>
    <w:p w14:paraId="2A8FB670" w14:textId="77777777" w:rsidR="002E490C" w:rsidRPr="005F1F83" w:rsidRDefault="002E490C" w:rsidP="00C70445">
      <w:pPr>
        <w:pStyle w:val="Bullet"/>
        <w:rPr>
          <w:rFonts w:eastAsia="Calibri"/>
        </w:rPr>
      </w:pPr>
      <w:r w:rsidRPr="005F1F83">
        <w:rPr>
          <w:rFonts w:eastAsia="Calibri"/>
        </w:rPr>
        <w:t xml:space="preserve">improved access to funded EMA medicines for those in community and primary care settings to support patient choice and early abortion </w:t>
      </w:r>
      <w:proofErr w:type="gramStart"/>
      <w:r w:rsidRPr="005F1F83">
        <w:rPr>
          <w:rFonts w:eastAsia="Calibri"/>
        </w:rPr>
        <w:t>access</w:t>
      </w:r>
      <w:proofErr w:type="gramEnd"/>
    </w:p>
    <w:p w14:paraId="6656A28E" w14:textId="77777777" w:rsidR="002E490C" w:rsidRPr="005F1F83" w:rsidRDefault="002E490C" w:rsidP="00C70445">
      <w:pPr>
        <w:pStyle w:val="Bullet"/>
        <w:rPr>
          <w:rFonts w:eastAsia="Calibri"/>
        </w:rPr>
      </w:pPr>
      <w:r w:rsidRPr="005F1F83">
        <w:rPr>
          <w:rFonts w:eastAsia="Calibri"/>
        </w:rPr>
        <w:t>clarification of funding opportunities for primary care, which can be accessed through the Primary Maternity Services Notice</w:t>
      </w:r>
    </w:p>
    <w:p w14:paraId="24A70072" w14:textId="77777777" w:rsidR="002E490C" w:rsidRPr="005F1F83" w:rsidRDefault="002E490C" w:rsidP="00C70445">
      <w:pPr>
        <w:pStyle w:val="Bullet"/>
        <w:rPr>
          <w:rFonts w:eastAsia="Calibri"/>
        </w:rPr>
      </w:pPr>
      <w:r w:rsidRPr="005F1F83">
        <w:rPr>
          <w:rFonts w:eastAsia="Calibri"/>
        </w:rPr>
        <w:t xml:space="preserve">an increase in the number and range of health practitioners providing abortion </w:t>
      </w:r>
      <w:proofErr w:type="gramStart"/>
      <w:r w:rsidRPr="005F1F83">
        <w:rPr>
          <w:rFonts w:eastAsia="Calibri"/>
        </w:rPr>
        <w:t>care</w:t>
      </w:r>
      <w:proofErr w:type="gramEnd"/>
    </w:p>
    <w:p w14:paraId="35C8ED9B" w14:textId="77777777" w:rsidR="002E490C" w:rsidRPr="005F1F83" w:rsidRDefault="002E490C" w:rsidP="00C70445">
      <w:pPr>
        <w:pStyle w:val="Bullet"/>
        <w:rPr>
          <w:rFonts w:eastAsia="Calibri"/>
        </w:rPr>
      </w:pPr>
      <w:r w:rsidRPr="005F1F83">
        <w:rPr>
          <w:rFonts w:eastAsia="Calibri"/>
        </w:rPr>
        <w:t xml:space="preserve">the development of a primary care education package to enable more providers within primary care to deliver EMA </w:t>
      </w:r>
      <w:proofErr w:type="gramStart"/>
      <w:r w:rsidRPr="005F1F83">
        <w:rPr>
          <w:rFonts w:eastAsia="Calibri"/>
        </w:rPr>
        <w:t>care</w:t>
      </w:r>
      <w:proofErr w:type="gramEnd"/>
    </w:p>
    <w:p w14:paraId="78502521" w14:textId="77777777" w:rsidR="002E490C" w:rsidRPr="005F1F83" w:rsidRDefault="002E490C" w:rsidP="00C70445">
      <w:pPr>
        <w:pStyle w:val="Bullet"/>
        <w:rPr>
          <w:rFonts w:eastAsia="Calibri"/>
        </w:rPr>
      </w:pPr>
      <w:r w:rsidRPr="005F1F83">
        <w:rPr>
          <w:rFonts w:eastAsia="Calibri"/>
        </w:rPr>
        <w:t xml:space="preserve">development of the Standard for Abortion Counselling to set the requirements for providing abortion </w:t>
      </w:r>
      <w:proofErr w:type="gramStart"/>
      <w:r w:rsidRPr="005F1F83">
        <w:rPr>
          <w:rFonts w:eastAsia="Calibri"/>
        </w:rPr>
        <w:t>counselling</w:t>
      </w:r>
      <w:proofErr w:type="gramEnd"/>
    </w:p>
    <w:p w14:paraId="35AD4A51" w14:textId="77777777" w:rsidR="002E490C" w:rsidRPr="005F1F83" w:rsidRDefault="002E490C" w:rsidP="00C70445">
      <w:pPr>
        <w:pStyle w:val="Bullet"/>
        <w:rPr>
          <w:rFonts w:eastAsia="Calibri"/>
        </w:rPr>
      </w:pPr>
      <w:r w:rsidRPr="005F1F83">
        <w:rPr>
          <w:rFonts w:eastAsia="Calibri"/>
        </w:rPr>
        <w:t xml:space="preserve">proactive engagement with sterilisation and abortion health care providers to understand and engage with their perspectives. </w:t>
      </w:r>
    </w:p>
    <w:p w14:paraId="0F9AD378" w14:textId="77777777" w:rsidR="00C70445" w:rsidRDefault="00C70445" w:rsidP="002E490C">
      <w:pPr>
        <w:rPr>
          <w:rFonts w:eastAsia="Calibri"/>
        </w:rPr>
      </w:pPr>
    </w:p>
    <w:p w14:paraId="5408CB7C" w14:textId="49F32337" w:rsidR="002E490C" w:rsidRPr="005F1F83" w:rsidRDefault="002E490C" w:rsidP="002E490C">
      <w:pPr>
        <w:rPr>
          <w:rFonts w:eastAsia="Calibri"/>
        </w:rPr>
      </w:pPr>
      <w:r w:rsidRPr="005F1F83">
        <w:rPr>
          <w:rFonts w:eastAsia="Calibri"/>
        </w:rPr>
        <w:t>This review identifies that some good progress has occurred. However, some aspects need more work in each of the focus areas, as noted below.</w:t>
      </w:r>
    </w:p>
    <w:p w14:paraId="70732784" w14:textId="77777777" w:rsidR="002E490C" w:rsidRPr="005F1F83" w:rsidRDefault="002E490C" w:rsidP="002E490C">
      <w:pPr>
        <w:pStyle w:val="Heading3"/>
      </w:pPr>
      <w:r w:rsidRPr="005F1F83">
        <w:t>Contraception</w:t>
      </w:r>
    </w:p>
    <w:p w14:paraId="0CBFDA22" w14:textId="77777777" w:rsidR="002E490C" w:rsidRPr="005F1F83" w:rsidRDefault="002E490C" w:rsidP="002E490C">
      <w:pPr>
        <w:rPr>
          <w:rFonts w:eastAsia="Calibri"/>
        </w:rPr>
      </w:pPr>
      <w:r w:rsidRPr="005F1F83">
        <w:rPr>
          <w:rFonts w:eastAsia="Calibri"/>
        </w:rPr>
        <w:t>Access</w:t>
      </w:r>
      <w:r>
        <w:rPr>
          <w:rFonts w:eastAsia="Calibri"/>
        </w:rPr>
        <w:t xml:space="preserve"> to contraception</w:t>
      </w:r>
      <w:r w:rsidRPr="005F1F83">
        <w:rPr>
          <w:rFonts w:eastAsia="Calibri"/>
        </w:rPr>
        <w:t xml:space="preserve"> is variable for those seeking</w:t>
      </w:r>
      <w:r>
        <w:rPr>
          <w:rFonts w:eastAsia="Calibri"/>
        </w:rPr>
        <w:t xml:space="preserve"> it</w:t>
      </w:r>
      <w:r w:rsidRPr="005F1F83">
        <w:rPr>
          <w:rFonts w:eastAsia="Calibri"/>
        </w:rPr>
        <w:t>, which impacts their ability to have timely access to these services. Funding is available in isolated pockets across the country, but unless a person fits specific criteria, or lives within a certain catchment, they are likely to have to wait for contraception access and will also have to pay for contraception services.</w:t>
      </w:r>
    </w:p>
    <w:p w14:paraId="37200279" w14:textId="77777777" w:rsidR="002E490C" w:rsidRPr="005F1F83" w:rsidRDefault="002E490C" w:rsidP="002E490C">
      <w:pPr>
        <w:pStyle w:val="Heading3"/>
      </w:pPr>
      <w:r w:rsidRPr="005F1F83">
        <w:t xml:space="preserve">Sterilisation </w:t>
      </w:r>
    </w:p>
    <w:p w14:paraId="620BB7AB" w14:textId="3158C246" w:rsidR="002E490C" w:rsidRDefault="002E490C" w:rsidP="002E490C">
      <w:pPr>
        <w:rPr>
          <w:rFonts w:eastAsia="Calibri"/>
          <w:lang w:eastAsia="en-US"/>
        </w:rPr>
      </w:pPr>
      <w:r w:rsidRPr="005F1F83">
        <w:rPr>
          <w:rFonts w:eastAsia="Calibri"/>
          <w:lang w:eastAsia="en-US"/>
        </w:rPr>
        <w:t>Accessing a female sterilisation procedure, such as a hysterectomy or tubal ligation (for the purpose of permanent contraception), has unclear health care pathways and involves long wait times through the public health system. Although it is possible to access these sterilisations through private care, the cost is prohibitive and therefore this option is inequitable. Male sterilisation procedures, such as vasectomies, are almost always accessed through private care. While costs are typically lower than for female sterilisation procedures, they too can be prohibitive.</w:t>
      </w:r>
    </w:p>
    <w:p w14:paraId="3521CF2C" w14:textId="77777777" w:rsidR="00C70445" w:rsidRPr="005F1F83" w:rsidRDefault="00C70445" w:rsidP="002E490C">
      <w:pPr>
        <w:rPr>
          <w:rFonts w:eastAsia="Calibri"/>
          <w:lang w:eastAsia="en-US"/>
        </w:rPr>
      </w:pPr>
    </w:p>
    <w:p w14:paraId="7692018C" w14:textId="26DA7459" w:rsidR="002E490C" w:rsidRDefault="002E490C" w:rsidP="002E490C">
      <w:pPr>
        <w:rPr>
          <w:rFonts w:eastAsia="Calibri"/>
          <w:lang w:eastAsia="en-US"/>
        </w:rPr>
      </w:pPr>
      <w:r w:rsidRPr="005F1F83">
        <w:rPr>
          <w:rFonts w:eastAsia="Calibri"/>
          <w:lang w:eastAsia="en-US"/>
        </w:rPr>
        <w:t xml:space="preserve">The Ministry does not have a clear picture of the extent of sterilisation services </w:t>
      </w:r>
      <w:r>
        <w:rPr>
          <w:rFonts w:eastAsia="Calibri"/>
          <w:lang w:eastAsia="en-US"/>
        </w:rPr>
        <w:t xml:space="preserve">people </w:t>
      </w:r>
      <w:r w:rsidRPr="005F1F83">
        <w:rPr>
          <w:rFonts w:eastAsia="Calibri"/>
          <w:lang w:eastAsia="en-US"/>
        </w:rPr>
        <w:t xml:space="preserve">access. Issues remain over the intention and scope of data collected, as well as provider compliance in reporting. </w:t>
      </w:r>
    </w:p>
    <w:p w14:paraId="5A523D50" w14:textId="77777777" w:rsidR="002E490C" w:rsidRPr="005F1F83" w:rsidRDefault="002E490C" w:rsidP="002E490C">
      <w:pPr>
        <w:rPr>
          <w:rFonts w:eastAsia="Calibri"/>
          <w:lang w:eastAsia="en-US"/>
        </w:rPr>
      </w:pPr>
      <w:r w:rsidRPr="005F1F83">
        <w:rPr>
          <w:rFonts w:eastAsia="Calibri"/>
          <w:lang w:eastAsia="en-US"/>
        </w:rPr>
        <w:t>We note th</w:t>
      </w:r>
      <w:r w:rsidRPr="004E254A">
        <w:rPr>
          <w:rFonts w:eastAsia="Calibri"/>
          <w:lang w:eastAsia="en-US"/>
        </w:rPr>
        <w:t>at some issues could prevent eq</w:t>
      </w:r>
      <w:r w:rsidRPr="005F1F83">
        <w:rPr>
          <w:rFonts w:eastAsia="Calibri"/>
          <w:lang w:eastAsia="en-US"/>
        </w:rPr>
        <w:t xml:space="preserve">uitable access to sterilisation procedures for disabled people. </w:t>
      </w:r>
      <w:r>
        <w:rPr>
          <w:rFonts w:eastAsia="Calibri"/>
          <w:lang w:eastAsia="en-US"/>
        </w:rPr>
        <w:t>Particular issues are</w:t>
      </w:r>
      <w:r w:rsidRPr="005F1F83">
        <w:rPr>
          <w:rFonts w:eastAsia="Calibri"/>
          <w:lang w:eastAsia="en-US"/>
        </w:rPr>
        <w:t xml:space="preserve"> the limited availability of accessible and understandable information and the potential </w:t>
      </w:r>
      <w:r>
        <w:rPr>
          <w:rFonts w:eastAsia="Calibri"/>
          <w:lang w:eastAsia="en-US"/>
        </w:rPr>
        <w:t>risk that sterilisation may be performed without</w:t>
      </w:r>
      <w:r w:rsidRPr="005F1F83">
        <w:rPr>
          <w:rFonts w:eastAsia="Calibri"/>
          <w:lang w:eastAsia="en-US"/>
        </w:rPr>
        <w:t xml:space="preserve"> informed consent, particularly for those with impaired decision-making or communication abilities. </w:t>
      </w:r>
    </w:p>
    <w:p w14:paraId="2006FDCE" w14:textId="77777777" w:rsidR="002E490C" w:rsidRPr="005F1F83" w:rsidRDefault="002E490C" w:rsidP="002E490C">
      <w:pPr>
        <w:pStyle w:val="Heading3"/>
      </w:pPr>
      <w:r w:rsidRPr="005F1F83">
        <w:t xml:space="preserve">Information and advisory services </w:t>
      </w:r>
    </w:p>
    <w:p w14:paraId="47439636" w14:textId="5C64B66D" w:rsidR="002E490C" w:rsidRDefault="002E490C" w:rsidP="002E490C">
      <w:pPr>
        <w:rPr>
          <w:rFonts w:eastAsia="Calibri"/>
          <w:lang w:eastAsia="en-US"/>
        </w:rPr>
      </w:pPr>
      <w:r>
        <w:rPr>
          <w:rFonts w:eastAsia="Calibri"/>
          <w:lang w:eastAsia="en-US"/>
        </w:rPr>
        <w:t>I</w:t>
      </w:r>
      <w:r w:rsidRPr="005F1F83">
        <w:rPr>
          <w:rFonts w:eastAsia="Calibri"/>
          <w:lang w:eastAsia="en-US"/>
        </w:rPr>
        <w:t>nformation is available about whether to continue or terminate a pregnancy within several settings, and from a range of people</w:t>
      </w:r>
      <w:r>
        <w:rPr>
          <w:rFonts w:eastAsia="Calibri"/>
          <w:lang w:eastAsia="en-US"/>
        </w:rPr>
        <w:t xml:space="preserve"> and </w:t>
      </w:r>
      <w:r w:rsidRPr="005F1F83">
        <w:rPr>
          <w:rFonts w:eastAsia="Calibri"/>
          <w:lang w:eastAsia="en-US"/>
        </w:rPr>
        <w:t>organisations</w:t>
      </w:r>
      <w:r>
        <w:rPr>
          <w:rFonts w:eastAsia="Calibri"/>
          <w:lang w:eastAsia="en-US"/>
        </w:rPr>
        <w:t>. However</w:t>
      </w:r>
      <w:r w:rsidRPr="005F1F83">
        <w:rPr>
          <w:rFonts w:eastAsia="Calibri"/>
          <w:lang w:eastAsia="en-US"/>
        </w:rPr>
        <w:t>, access to accurate information about abortion services (</w:t>
      </w:r>
      <w:proofErr w:type="spellStart"/>
      <w:r w:rsidRPr="005F1F83">
        <w:rPr>
          <w:rFonts w:eastAsia="Calibri"/>
          <w:lang w:eastAsia="en-US"/>
        </w:rPr>
        <w:t>eg</w:t>
      </w:r>
      <w:proofErr w:type="spellEnd"/>
      <w:r w:rsidRPr="005F1F83">
        <w:rPr>
          <w:rFonts w:eastAsia="Calibri"/>
          <w:lang w:eastAsia="en-US"/>
        </w:rPr>
        <w:t xml:space="preserve">, how to access services) remains a barrier to some </w:t>
      </w:r>
      <w:r w:rsidR="00DD408F">
        <w:rPr>
          <w:rFonts w:eastAsia="Calibri"/>
        </w:rPr>
        <w:t>women</w:t>
      </w:r>
      <w:r w:rsidRPr="005F1F83">
        <w:rPr>
          <w:rFonts w:eastAsia="Calibri"/>
          <w:lang w:eastAsia="en-US"/>
        </w:rPr>
        <w:t xml:space="preserve"> who intend to access abortion care. </w:t>
      </w:r>
    </w:p>
    <w:p w14:paraId="064F3DC2" w14:textId="77777777" w:rsidR="00C70445" w:rsidRPr="005F1F83" w:rsidRDefault="00C70445" w:rsidP="002E490C">
      <w:pPr>
        <w:rPr>
          <w:rFonts w:eastAsia="Calibri"/>
          <w:lang w:eastAsia="en-US"/>
        </w:rPr>
      </w:pPr>
    </w:p>
    <w:p w14:paraId="06E66F4F" w14:textId="1EB75C93" w:rsidR="002E490C" w:rsidRPr="005F1F83" w:rsidRDefault="002E490C" w:rsidP="002E490C">
      <w:pPr>
        <w:rPr>
          <w:rFonts w:eastAsia="Calibri"/>
          <w:lang w:eastAsia="en-US"/>
        </w:rPr>
      </w:pPr>
      <w:r>
        <w:rPr>
          <w:rFonts w:eastAsia="Calibri"/>
          <w:lang w:eastAsia="en-US"/>
        </w:rPr>
        <w:t>A</w:t>
      </w:r>
      <w:r w:rsidRPr="005F1F83">
        <w:rPr>
          <w:rFonts w:eastAsia="Calibri"/>
          <w:lang w:eastAsia="en-US"/>
        </w:rPr>
        <w:t xml:space="preserve"> concern </w:t>
      </w:r>
      <w:r>
        <w:rPr>
          <w:rFonts w:eastAsia="Calibri"/>
          <w:lang w:eastAsia="en-US"/>
        </w:rPr>
        <w:t xml:space="preserve">is </w:t>
      </w:r>
      <w:r w:rsidRPr="005F1F83">
        <w:rPr>
          <w:rFonts w:eastAsia="Calibri"/>
          <w:lang w:eastAsia="en-US"/>
        </w:rPr>
        <w:t xml:space="preserve">that </w:t>
      </w:r>
      <w:r w:rsidR="00DD408F">
        <w:rPr>
          <w:rFonts w:eastAsia="Calibri"/>
        </w:rPr>
        <w:t xml:space="preserve">women </w:t>
      </w:r>
      <w:r>
        <w:rPr>
          <w:rFonts w:eastAsia="Calibri"/>
          <w:lang w:eastAsia="en-US"/>
        </w:rPr>
        <w:t>may receive biased</w:t>
      </w:r>
      <w:r w:rsidRPr="005F1F83">
        <w:rPr>
          <w:rFonts w:eastAsia="Calibri"/>
          <w:lang w:eastAsia="en-US"/>
        </w:rPr>
        <w:t xml:space="preserve"> information and advice and/or misinformation about the risks of abortion, and that this could delay their access to timely abortion care or prevent the abortion altogether.</w:t>
      </w:r>
    </w:p>
    <w:p w14:paraId="5148ED6F" w14:textId="77777777" w:rsidR="002E490C" w:rsidRPr="005F1F83" w:rsidRDefault="002E490C" w:rsidP="002E490C">
      <w:pPr>
        <w:pStyle w:val="Heading3"/>
      </w:pPr>
      <w:r w:rsidRPr="005F1F83">
        <w:t>Counselling</w:t>
      </w:r>
    </w:p>
    <w:p w14:paraId="75C99CF4" w14:textId="420B97BA" w:rsidR="002E490C" w:rsidRDefault="002E490C" w:rsidP="002E490C">
      <w:pPr>
        <w:tabs>
          <w:tab w:val="left" w:pos="210"/>
        </w:tabs>
        <w:rPr>
          <w:rFonts w:eastAsia="Calibri"/>
          <w:lang w:eastAsia="en-US"/>
        </w:rPr>
      </w:pPr>
      <w:r>
        <w:rPr>
          <w:rFonts w:eastAsia="Calibri"/>
          <w:lang w:eastAsia="en-US"/>
        </w:rPr>
        <w:t xml:space="preserve">Under the CSA Act, counselling cannot be a condition of service provision. Meaning, providers cannot insist on a </w:t>
      </w:r>
      <w:r w:rsidR="00982B8D">
        <w:rPr>
          <w:rFonts w:eastAsia="Calibri"/>
        </w:rPr>
        <w:t>woman</w:t>
      </w:r>
      <w:r>
        <w:rPr>
          <w:rFonts w:eastAsia="Calibri"/>
          <w:lang w:eastAsia="en-US"/>
        </w:rPr>
        <w:t xml:space="preserve"> having counselling services before an abortion procedure, though they must offer it. </w:t>
      </w:r>
      <w:r w:rsidRPr="005F1F83">
        <w:rPr>
          <w:rFonts w:eastAsia="Calibri"/>
          <w:lang w:eastAsia="en-US"/>
        </w:rPr>
        <w:t xml:space="preserve">Regions and facilities appear to vary in their level </w:t>
      </w:r>
      <w:r>
        <w:rPr>
          <w:rFonts w:eastAsia="Calibri"/>
          <w:lang w:eastAsia="en-US"/>
        </w:rPr>
        <w:t xml:space="preserve">provision </w:t>
      </w:r>
      <w:r w:rsidRPr="005F1F83">
        <w:rPr>
          <w:rFonts w:eastAsia="Calibri"/>
          <w:lang w:eastAsia="en-US"/>
        </w:rPr>
        <w:t xml:space="preserve">of abortion counselling. This means that whether or not a provider requires someone to have pre-abortion counselling may depend on the </w:t>
      </w:r>
      <w:r w:rsidR="00982B8D">
        <w:rPr>
          <w:rFonts w:eastAsia="Calibri"/>
        </w:rPr>
        <w:t xml:space="preserve">woman’s </w:t>
      </w:r>
      <w:r w:rsidRPr="005F1F83">
        <w:rPr>
          <w:rFonts w:eastAsia="Calibri"/>
          <w:lang w:eastAsia="en-US"/>
        </w:rPr>
        <w:t>district of domicile, or the standard care procedure that their nearest facility follows.</w:t>
      </w:r>
    </w:p>
    <w:p w14:paraId="21BC90C2" w14:textId="77777777" w:rsidR="00C70445" w:rsidRPr="005F1F83" w:rsidRDefault="00C70445" w:rsidP="002E490C">
      <w:pPr>
        <w:tabs>
          <w:tab w:val="left" w:pos="210"/>
        </w:tabs>
        <w:rPr>
          <w:rFonts w:eastAsia="Calibri"/>
          <w:lang w:eastAsia="en-US"/>
        </w:rPr>
      </w:pPr>
    </w:p>
    <w:p w14:paraId="5297307B" w14:textId="77777777" w:rsidR="002E490C" w:rsidRPr="005F1F83" w:rsidRDefault="002E490C" w:rsidP="002E490C">
      <w:pPr>
        <w:rPr>
          <w:rFonts w:eastAsia="Calibri"/>
          <w:lang w:eastAsia="en-US"/>
        </w:rPr>
      </w:pPr>
      <w:r w:rsidRPr="005F1F83">
        <w:rPr>
          <w:rFonts w:eastAsia="Calibri"/>
          <w:lang w:eastAsia="en-US"/>
        </w:rPr>
        <w:t>The Ministry will be undertaking further work to understand the reasons for these variations. It will also continue to monitor counselling provision because having ongoing effective monitoring and regulation of abortion counselling services is critical to ensuring services are accessible, equitable and timely.</w:t>
      </w:r>
    </w:p>
    <w:p w14:paraId="0D2BB1A2" w14:textId="77777777" w:rsidR="002E490C" w:rsidRPr="005F1F83" w:rsidRDefault="002E490C" w:rsidP="002E490C">
      <w:pPr>
        <w:pStyle w:val="Heading3"/>
      </w:pPr>
      <w:r w:rsidRPr="005F1F83">
        <w:t xml:space="preserve">Abortion </w:t>
      </w:r>
    </w:p>
    <w:p w14:paraId="604A4A3F" w14:textId="0B041AB0" w:rsidR="002E490C" w:rsidRDefault="002E490C" w:rsidP="002E490C">
      <w:pPr>
        <w:rPr>
          <w:rFonts w:eastAsia="Calibri"/>
          <w:lang w:eastAsia="en-US"/>
        </w:rPr>
      </w:pPr>
      <w:r w:rsidRPr="005F1F83">
        <w:rPr>
          <w:rFonts w:eastAsia="Calibri"/>
          <w:lang w:eastAsia="en-US"/>
        </w:rPr>
        <w:t xml:space="preserve">Gestation is an important factor in access to abortion services. Where </w:t>
      </w:r>
      <w:r w:rsidR="00982B8D">
        <w:rPr>
          <w:rFonts w:eastAsia="Calibri"/>
        </w:rPr>
        <w:t>women have</w:t>
      </w:r>
      <w:r w:rsidRPr="005F1F83">
        <w:rPr>
          <w:rFonts w:eastAsia="Calibri"/>
          <w:lang w:eastAsia="en-US"/>
        </w:rPr>
        <w:t xml:space="preserve"> earlier gestation at the time of abortion, this indicates they have faced fewer barriers to accessing the service. Earlier abortion is also associated with better health outcomes for </w:t>
      </w:r>
      <w:r w:rsidR="00DD408F">
        <w:rPr>
          <w:rFonts w:eastAsia="Calibri"/>
        </w:rPr>
        <w:t>women</w:t>
      </w:r>
      <w:r w:rsidRPr="005F1F83">
        <w:rPr>
          <w:rFonts w:eastAsia="Calibri"/>
          <w:lang w:eastAsia="en-US"/>
        </w:rPr>
        <w:t xml:space="preserve"> accessing these services. </w:t>
      </w:r>
    </w:p>
    <w:p w14:paraId="51A5500B" w14:textId="77777777" w:rsidR="00C70445" w:rsidRPr="005F1F83" w:rsidRDefault="00C70445" w:rsidP="002E490C">
      <w:pPr>
        <w:rPr>
          <w:rFonts w:eastAsia="Calibri"/>
          <w:highlight w:val="yellow"/>
          <w:lang w:eastAsia="en-US"/>
        </w:rPr>
      </w:pPr>
    </w:p>
    <w:p w14:paraId="1D0F4E25" w14:textId="4DFC8F29" w:rsidR="002E490C" w:rsidRDefault="002E490C" w:rsidP="002E490C">
      <w:pPr>
        <w:rPr>
          <w:rFonts w:eastAsia="Calibri"/>
          <w:lang w:eastAsia="en-US"/>
        </w:rPr>
      </w:pPr>
      <w:r w:rsidRPr="005F1F83">
        <w:rPr>
          <w:rFonts w:eastAsia="Calibri"/>
          <w:lang w:eastAsia="en-US"/>
        </w:rPr>
        <w:t xml:space="preserve">Surgical abortion provision is critical to ensuring timely and accessible care, especially in abortion care at later gestation. Most surgical abortion services are available </w:t>
      </w:r>
      <w:r w:rsidRPr="00C947B3">
        <w:rPr>
          <w:rFonts w:eastAsia="Calibri"/>
          <w:lang w:eastAsia="en-US"/>
        </w:rPr>
        <w:t>predominantly in t</w:t>
      </w:r>
      <w:r w:rsidRPr="005F1F83">
        <w:rPr>
          <w:rFonts w:eastAsia="Calibri"/>
          <w:lang w:eastAsia="en-US"/>
        </w:rPr>
        <w:t xml:space="preserve">he main centres of New Zealand and typically within hospital facilities. So, while the law change has enabled more timely and equitable access to early medical abortion, large disparities in surgical provision remain, even at early gestations. </w:t>
      </w:r>
    </w:p>
    <w:p w14:paraId="6D0CF793" w14:textId="77777777" w:rsidR="00C70445" w:rsidRPr="005F1F83" w:rsidRDefault="00C70445" w:rsidP="002E490C">
      <w:pPr>
        <w:rPr>
          <w:rFonts w:eastAsia="Calibri"/>
          <w:lang w:eastAsia="en-US"/>
        </w:rPr>
      </w:pPr>
    </w:p>
    <w:p w14:paraId="6F35B38F" w14:textId="77777777" w:rsidR="002E490C" w:rsidRPr="005F1F83" w:rsidRDefault="002E490C" w:rsidP="002E490C">
      <w:pPr>
        <w:rPr>
          <w:rFonts w:eastAsia="Calibri"/>
          <w:lang w:eastAsia="en-US"/>
        </w:rPr>
      </w:pPr>
      <w:r w:rsidRPr="005F1F83">
        <w:rPr>
          <w:rFonts w:eastAsia="Calibri"/>
          <w:lang w:eastAsia="en-US"/>
        </w:rPr>
        <w:t>The Ministry notes that stigma is still attached to abortion services. As a result, a further barrier to timely and equitable abortion services is ‘conscientious objection’. ‘Conscientious objection’ has been observed to impact patient access to these health services at both individual and organisational levels.</w:t>
      </w:r>
    </w:p>
    <w:p w14:paraId="7A367825" w14:textId="77777777" w:rsidR="002E490C" w:rsidRPr="005F1F83" w:rsidRDefault="002E490C" w:rsidP="002E490C">
      <w:pPr>
        <w:pStyle w:val="Heading3"/>
        <w:spacing w:line="259" w:lineRule="auto"/>
        <w:rPr>
          <w:rFonts w:eastAsia="Calibri"/>
        </w:rPr>
      </w:pPr>
      <w:r w:rsidRPr="005F1F83">
        <w:rPr>
          <w:rFonts w:eastAsia="Calibri"/>
        </w:rPr>
        <w:t>Abortion for the sole purpose of sex selection</w:t>
      </w:r>
    </w:p>
    <w:p w14:paraId="16AC25BF" w14:textId="37808796" w:rsidR="002E490C" w:rsidRDefault="002E490C" w:rsidP="002E490C">
      <w:pPr>
        <w:rPr>
          <w:rFonts w:eastAsia="Calibri"/>
          <w:lang w:eastAsia="en-US"/>
        </w:rPr>
      </w:pPr>
      <w:r w:rsidRPr="00C947B3">
        <w:rPr>
          <w:rFonts w:eastAsia="Calibri"/>
          <w:lang w:eastAsia="en-US"/>
        </w:rPr>
        <w:t xml:space="preserve">In a few isolated cases, practitioners have reported that they believe someone accessed abortion services for the purpose of selecting the sex of the </w:t>
      </w:r>
      <w:proofErr w:type="spellStart"/>
      <w:r w:rsidRPr="00C947B3">
        <w:rPr>
          <w:rFonts w:eastAsia="Calibri"/>
          <w:lang w:eastAsia="en-US"/>
        </w:rPr>
        <w:t>fetus</w:t>
      </w:r>
      <w:proofErr w:type="spellEnd"/>
      <w:r w:rsidRPr="00C947B3">
        <w:rPr>
          <w:rFonts w:eastAsia="Calibri"/>
          <w:lang w:eastAsia="en-US"/>
        </w:rPr>
        <w:t xml:space="preserve">. </w:t>
      </w:r>
      <w:r w:rsidR="00215628">
        <w:rPr>
          <w:rFonts w:eastAsia="Calibri"/>
          <w:lang w:eastAsia="en-US"/>
        </w:rPr>
        <w:t>T</w:t>
      </w:r>
      <w:r w:rsidRPr="00C947B3">
        <w:rPr>
          <w:rFonts w:eastAsia="Calibri"/>
          <w:lang w:eastAsia="en-US"/>
        </w:rPr>
        <w:t xml:space="preserve">here is no requirement for a </w:t>
      </w:r>
      <w:r w:rsidR="00982B8D">
        <w:rPr>
          <w:rFonts w:eastAsia="Calibri"/>
        </w:rPr>
        <w:t>woman</w:t>
      </w:r>
      <w:r w:rsidRPr="00C947B3">
        <w:rPr>
          <w:rFonts w:eastAsia="Calibri"/>
          <w:lang w:eastAsia="en-US"/>
        </w:rPr>
        <w:t xml:space="preserve"> seeking abortion services to state their reason for accessing abortion care, except where they are at later than 20 weeks’ gestation.</w:t>
      </w:r>
      <w:r w:rsidRPr="005F1F83">
        <w:rPr>
          <w:rFonts w:eastAsia="Calibri"/>
          <w:lang w:eastAsia="en-US"/>
        </w:rPr>
        <w:t xml:space="preserve"> </w:t>
      </w:r>
    </w:p>
    <w:p w14:paraId="6D58BC66" w14:textId="77777777" w:rsidR="002E490C" w:rsidRPr="002E490C" w:rsidRDefault="002E490C" w:rsidP="002E490C"/>
    <w:p w14:paraId="6CCE32C0" w14:textId="77777777" w:rsidR="00C70445" w:rsidRDefault="00C70445">
      <w:pPr>
        <w:rPr>
          <w:rFonts w:eastAsia="Arial Unicode MS"/>
        </w:rPr>
        <w:sectPr w:rsidR="00C70445" w:rsidSect="00F47902">
          <w:headerReference w:type="default" r:id="rId29"/>
          <w:footerReference w:type="even" r:id="rId30"/>
          <w:footerReference w:type="default" r:id="rId31"/>
          <w:pgSz w:w="11907" w:h="16834" w:code="9"/>
          <w:pgMar w:top="1134" w:right="1701" w:bottom="1134" w:left="1843" w:header="284" w:footer="425" w:gutter="284"/>
          <w:cols w:space="720"/>
        </w:sectPr>
      </w:pPr>
    </w:p>
    <w:p w14:paraId="21B42BAF" w14:textId="7A1CD7A5" w:rsidR="009A42D5" w:rsidRDefault="00CC19AA" w:rsidP="00C70445">
      <w:pPr>
        <w:pStyle w:val="Heading1"/>
        <w:spacing w:before="0"/>
      </w:pPr>
      <w:bookmarkStart w:id="7" w:name="_bookmark21"/>
      <w:bookmarkStart w:id="8" w:name="_Toc195016549"/>
      <w:bookmarkEnd w:id="7"/>
      <w:r w:rsidRPr="00CC19AA">
        <w:t>The legislation</w:t>
      </w:r>
      <w:r w:rsidR="00C70445">
        <w:t xml:space="preserve"> – </w:t>
      </w:r>
      <w:proofErr w:type="spellStart"/>
      <w:r w:rsidR="00C70445" w:rsidRPr="00E14BB7">
        <w:t>Te</w:t>
      </w:r>
      <w:proofErr w:type="spellEnd"/>
      <w:r w:rsidR="00C70445" w:rsidRPr="00E14BB7">
        <w:t xml:space="preserve"> </w:t>
      </w:r>
      <w:proofErr w:type="spellStart"/>
      <w:r w:rsidR="00D86EC3">
        <w:t>t</w:t>
      </w:r>
      <w:r w:rsidR="00C70445" w:rsidRPr="00E14BB7">
        <w:t>ure</w:t>
      </w:r>
      <w:bookmarkEnd w:id="8"/>
      <w:proofErr w:type="spellEnd"/>
    </w:p>
    <w:p w14:paraId="51BA81DA" w14:textId="77777777" w:rsidR="00C70445" w:rsidRPr="005F1F83" w:rsidRDefault="00C70445" w:rsidP="00C70445">
      <w:r w:rsidRPr="005F1F83">
        <w:t>The Abortion Legislation Act 2020</w:t>
      </w:r>
      <w:r>
        <w:rPr>
          <w:rStyle w:val="FootnoteReference"/>
        </w:rPr>
        <w:footnoteReference w:id="3"/>
      </w:r>
      <w:r w:rsidRPr="005F1F83">
        <w:t xml:space="preserve"> amended the </w:t>
      </w:r>
      <w:r>
        <w:t>CSA Act</w:t>
      </w:r>
      <w:r w:rsidRPr="005F1F83">
        <w:t xml:space="preserve"> and the Crimes Act 1961, and made minor amendments to several other Acts. The key changes of the law reforms were:</w:t>
      </w:r>
    </w:p>
    <w:p w14:paraId="7B1463C1" w14:textId="77777777" w:rsidR="00C70445" w:rsidRPr="00C70445" w:rsidRDefault="00C70445" w:rsidP="00C70445">
      <w:pPr>
        <w:pStyle w:val="Bullet"/>
      </w:pPr>
      <w:r w:rsidRPr="00C70445">
        <w:t xml:space="preserve">decriminalising abortion health care (by removing it from the Crimes Act 1961) and allowing a wider range of registered health practitioners to perform </w:t>
      </w:r>
      <w:proofErr w:type="gramStart"/>
      <w:r w:rsidRPr="00C70445">
        <w:t>abortions</w:t>
      </w:r>
      <w:proofErr w:type="gramEnd"/>
    </w:p>
    <w:p w14:paraId="5843E1F7" w14:textId="77777777" w:rsidR="00C70445" w:rsidRPr="00C70445" w:rsidRDefault="00C70445" w:rsidP="00C70445">
      <w:pPr>
        <w:pStyle w:val="Bullet"/>
      </w:pPr>
      <w:r w:rsidRPr="00C70445">
        <w:t xml:space="preserve">providing the option to self-refer to an abortion </w:t>
      </w:r>
      <w:proofErr w:type="gramStart"/>
      <w:r w:rsidRPr="00C70445">
        <w:t>service</w:t>
      </w:r>
      <w:proofErr w:type="gramEnd"/>
    </w:p>
    <w:p w14:paraId="3F40AE80" w14:textId="77777777" w:rsidR="00C70445" w:rsidRPr="00C70445" w:rsidRDefault="00C70445" w:rsidP="00C70445">
      <w:pPr>
        <w:pStyle w:val="Bullet"/>
      </w:pPr>
      <w:r w:rsidRPr="00C70445">
        <w:t xml:space="preserve">providing regulation that allows qualified health practitioners to perform an abortion before 20 weeks’ gestation. After 20 weeks’ gestation, a health practitioner may only perform an abortion if they reasonably believe the abortion is clinically appropriate in the </w:t>
      </w:r>
      <w:proofErr w:type="gramStart"/>
      <w:r w:rsidRPr="00C70445">
        <w:t>circumstances</w:t>
      </w:r>
      <w:proofErr w:type="gramEnd"/>
    </w:p>
    <w:p w14:paraId="2F734250" w14:textId="77777777" w:rsidR="00C70445" w:rsidRPr="00C70445" w:rsidRDefault="00C70445" w:rsidP="00C70445">
      <w:pPr>
        <w:pStyle w:val="Bullet"/>
      </w:pPr>
      <w:r w:rsidRPr="00C70445">
        <w:t xml:space="preserve">removing the requirement for premises providing abortion services to be licensed. Abortions can now occur in a range of settings, including within primary care facilities and through accessing telehealth </w:t>
      </w:r>
      <w:proofErr w:type="gramStart"/>
      <w:r w:rsidRPr="00C70445">
        <w:t>services</w:t>
      </w:r>
      <w:proofErr w:type="gramEnd"/>
    </w:p>
    <w:p w14:paraId="73C3BA6C" w14:textId="77777777" w:rsidR="00C70445" w:rsidRPr="00C70445" w:rsidRDefault="00C70445" w:rsidP="00C70445">
      <w:pPr>
        <w:pStyle w:val="Bullet"/>
      </w:pPr>
      <w:r w:rsidRPr="00C70445">
        <w:t>requiring counselling to be available to anyone considering abortion, without making counselling mandatory</w:t>
      </w:r>
    </w:p>
    <w:p w14:paraId="36D3A663" w14:textId="58DE616E" w:rsidR="00C70445" w:rsidRPr="00C70445" w:rsidRDefault="00C70445" w:rsidP="00C70445">
      <w:pPr>
        <w:pStyle w:val="Bullet"/>
      </w:pPr>
      <w:r w:rsidRPr="00C70445">
        <w:t xml:space="preserve">requiring health practitioners who conscientiously object to abortion provision to inform the </w:t>
      </w:r>
      <w:r w:rsidR="00982B8D">
        <w:rPr>
          <w:rFonts w:eastAsia="Calibri"/>
        </w:rPr>
        <w:t>woman</w:t>
      </w:r>
      <w:r w:rsidRPr="00C70445">
        <w:t xml:space="preserve"> seeking services of their objection as well as how to access details of their closest abortion </w:t>
      </w:r>
      <w:proofErr w:type="gramStart"/>
      <w:r w:rsidRPr="00C70445">
        <w:t>provider</w:t>
      </w:r>
      <w:proofErr w:type="gramEnd"/>
      <w:r w:rsidRPr="00C70445">
        <w:t xml:space="preserve"> </w:t>
      </w:r>
    </w:p>
    <w:p w14:paraId="70A30631" w14:textId="77777777" w:rsidR="00C70445" w:rsidRPr="00C70445" w:rsidRDefault="00C70445" w:rsidP="00C70445">
      <w:pPr>
        <w:pStyle w:val="Bullet"/>
      </w:pPr>
      <w:r w:rsidRPr="00C70445">
        <w:t>requiring employers to accommodate an employee’s conscientious objection unless doing so would unreasonably disrupt their provision of health services. Accommodating the employee’s objection may include arranging for another existing employee to carry out those duties.</w:t>
      </w:r>
    </w:p>
    <w:p w14:paraId="53E24855" w14:textId="77777777" w:rsidR="00C70445" w:rsidRDefault="00C70445" w:rsidP="00C70445"/>
    <w:p w14:paraId="39318B06" w14:textId="4DCC9FC8" w:rsidR="00C70445" w:rsidRDefault="00C70445" w:rsidP="00C70445">
      <w:r w:rsidRPr="005F1F83">
        <w:t>The following year, the Contraception, Sterilisation, and Abortion (Information Collection) Regulations 2021</w:t>
      </w:r>
      <w:r>
        <w:rPr>
          <w:rStyle w:val="FootnoteReference"/>
        </w:rPr>
        <w:footnoteReference w:id="4"/>
      </w:r>
      <w:r w:rsidRPr="005F1F83">
        <w:t xml:space="preserve"> (the Information Collection Regulations) were introduced. These regulations outline the information that must be collected from providers of abortion services and introduced annual reporting for abortion and sterilisation providers. Information obtained through the Information Collection Regulations has helped form a view of whether there is timely and equitable access to these services.</w:t>
      </w:r>
    </w:p>
    <w:p w14:paraId="1B1FDDA1" w14:textId="77777777" w:rsidR="00C70445" w:rsidRPr="005F1F83" w:rsidRDefault="00C70445" w:rsidP="00C70445">
      <w:pPr>
        <w:pStyle w:val="Heading3"/>
      </w:pPr>
      <w:r w:rsidRPr="005F1F83">
        <w:t xml:space="preserve">The review </w:t>
      </w:r>
      <w:proofErr w:type="gramStart"/>
      <w:r w:rsidRPr="005F1F83">
        <w:t>process</w:t>
      </w:r>
      <w:proofErr w:type="gramEnd"/>
    </w:p>
    <w:p w14:paraId="30863D09" w14:textId="6560DBEA" w:rsidR="00C70445" w:rsidRDefault="00C70445" w:rsidP="00C70445">
      <w:r w:rsidRPr="005F1F83">
        <w:t xml:space="preserve">The key information that contributed to the review process was the data collected under the Information Collection Regulations. </w:t>
      </w:r>
    </w:p>
    <w:p w14:paraId="4FE189CE" w14:textId="77777777" w:rsidR="00C70445" w:rsidRPr="005F1F83" w:rsidRDefault="00C70445" w:rsidP="00C70445"/>
    <w:p w14:paraId="28E04A0D" w14:textId="1A708FF6" w:rsidR="00C70445" w:rsidRDefault="00C70445" w:rsidP="00C70445">
      <w:r w:rsidRPr="005F1F83">
        <w:t>Data used within the review includes information that providers submitted to the Ministry of Health</w:t>
      </w:r>
      <w:r>
        <w:t xml:space="preserve"> – Manat</w:t>
      </w:r>
      <w:r>
        <w:rPr>
          <w:rFonts w:cs="Segoe UI"/>
        </w:rPr>
        <w:t>ū</w:t>
      </w:r>
      <w:r>
        <w:t xml:space="preserve"> Hauora</w:t>
      </w:r>
      <w:r w:rsidRPr="005F1F83">
        <w:t>, as part of the reporting requirements under the Information Collection Regulations, from 2020 to 2024. Note that data from 2024 reflects data submitted to the Ministry as of 1 January 2025, and is provisional, pending final review and validation of data from that year.</w:t>
      </w:r>
      <w:r>
        <w:rPr>
          <w:rStyle w:val="FootnoteReference"/>
        </w:rPr>
        <w:footnoteReference w:id="5"/>
      </w:r>
      <w:r w:rsidRPr="005F1F83">
        <w:t xml:space="preserve"> </w:t>
      </w:r>
    </w:p>
    <w:p w14:paraId="6B4F87F6" w14:textId="77777777" w:rsidR="00C70445" w:rsidRPr="005F1F83" w:rsidRDefault="00C70445" w:rsidP="00C70445"/>
    <w:p w14:paraId="3F85AF03" w14:textId="651FE007" w:rsidR="00C70445" w:rsidRDefault="00C70445" w:rsidP="00C70445">
      <w:r w:rsidRPr="005F1F83">
        <w:t>As the Information Collection Regulations were enacted in 2021, certain data reported here is only available from 2022 onwards. This applies, for instance, to data on access to pre-abortion counselling.</w:t>
      </w:r>
    </w:p>
    <w:p w14:paraId="12E24988" w14:textId="77777777" w:rsidR="00C70445" w:rsidRPr="005F1F83" w:rsidRDefault="00C70445" w:rsidP="00C70445"/>
    <w:p w14:paraId="0697DB36" w14:textId="0E2BA9D8" w:rsidR="00C70445" w:rsidRDefault="00C70445" w:rsidP="00C70445">
      <w:r w:rsidRPr="005F1F83">
        <w:t>Note that limitations to the data reported in turn limit the interpretations and inferences that can be made. Appendix 1 describes known limitations related to contraception, abortion and sterilisation data</w:t>
      </w:r>
      <w:r>
        <w:t xml:space="preserve">. The </w:t>
      </w:r>
      <w:r w:rsidRPr="005F1F83">
        <w:t>Information Collection Regulations</w:t>
      </w:r>
      <w:r>
        <w:t xml:space="preserve"> outline the information that providers must submit for abortion and sterilisation procedures. </w:t>
      </w:r>
    </w:p>
    <w:p w14:paraId="3C1F893A" w14:textId="77777777" w:rsidR="00C70445" w:rsidRPr="005F1F83" w:rsidRDefault="00C70445" w:rsidP="00C70445"/>
    <w:p w14:paraId="0AC16749" w14:textId="20E05408" w:rsidR="00C70445" w:rsidRDefault="00C70445" w:rsidP="00C70445">
      <w:r w:rsidRPr="005F1F83">
        <w:t>In addition to the existing data and reporting process, the Ministry commissioned three research groups to explore the consumer experience of abortion services. These reports focus on Māori and Pacific consumers (</w:t>
      </w:r>
      <w:r>
        <w:t>National Centre for Women’s Health Research</w:t>
      </w:r>
      <w:r w:rsidRPr="005F1F83">
        <w:t xml:space="preserve"> 2025); rainbow consumers (Parker et al 2025); and disabled consumers (Donald Beasley Institute 2025). This research was commissioned as, at the time, very little direct research had been undertaken on the experiences of those accessing abortion services. We also recognised that, across the three groups identified, inequity of access and additional barriers to health services persist and that these issues need to be understood within the abortion context.</w:t>
      </w:r>
    </w:p>
    <w:p w14:paraId="59048834" w14:textId="77777777" w:rsidR="00C70445" w:rsidRPr="005F1F83" w:rsidRDefault="00C70445" w:rsidP="00C70445"/>
    <w:p w14:paraId="38A405A1" w14:textId="1DEA0FCE" w:rsidR="00C70445" w:rsidRDefault="00C70445" w:rsidP="00C70445">
      <w:r w:rsidRPr="005F1F83">
        <w:t xml:space="preserve">These qualitative consumer research reports have been used to inform discussion and add </w:t>
      </w:r>
      <w:r>
        <w:t>further</w:t>
      </w:r>
      <w:r w:rsidRPr="005F1F83">
        <w:t xml:space="preserve"> context to issues impacting the timely and equitable access of abortion for these groups</w:t>
      </w:r>
      <w:r>
        <w:t>,</w:t>
      </w:r>
      <w:r w:rsidRPr="005F1F83">
        <w:t xml:space="preserve"> who often experience inequitable health care outcomes. The consumer research reports include valuable insights into and recommendations on the quality of services being delivered. While these findings and recommendations are outside the scope of this review, we encourage abortion health care providers to consider them for improvement in all three research areas. </w:t>
      </w:r>
    </w:p>
    <w:p w14:paraId="376D0E4E" w14:textId="77777777" w:rsidR="00C70445" w:rsidRPr="005F1F83" w:rsidRDefault="00C70445" w:rsidP="00C70445"/>
    <w:p w14:paraId="0778CE7A" w14:textId="77777777" w:rsidR="00C70445" w:rsidRPr="005F1F83" w:rsidRDefault="00C70445" w:rsidP="00C70445">
      <w:r w:rsidRPr="00C947B3">
        <w:t>This review process also involved conducting a survey to abortion providers within the public system and gaining targeted stakeholder feedback to help</w:t>
      </w:r>
      <w:r w:rsidRPr="005F1F83">
        <w:t xml:space="preserve"> inform the findings. </w:t>
      </w:r>
    </w:p>
    <w:p w14:paraId="62DE893B" w14:textId="77777777" w:rsidR="003376FA" w:rsidRDefault="003376FA" w:rsidP="00C70445"/>
    <w:p w14:paraId="4095E1C2" w14:textId="6355850F" w:rsidR="00C70445" w:rsidRDefault="00C70445" w:rsidP="00C70445">
      <w:r w:rsidRPr="005F1F83">
        <w:t>Subject matter experts within the Ministry who have legal, academic, policy and clinical backgrounds have considered this review.</w:t>
      </w:r>
    </w:p>
    <w:p w14:paraId="2A9203DC" w14:textId="3EAAE038" w:rsidR="00CC19AA" w:rsidRDefault="00CC19AA" w:rsidP="00CC19AA"/>
    <w:p w14:paraId="5E84DA32" w14:textId="77777777" w:rsidR="00CC19AA" w:rsidRDefault="00CC19AA" w:rsidP="00CC19AA">
      <w:pPr>
        <w:sectPr w:rsidR="00CC19AA" w:rsidSect="00CC19AA">
          <w:pgSz w:w="11907" w:h="16834" w:code="9"/>
          <w:pgMar w:top="1418" w:right="1701" w:bottom="1134" w:left="1843" w:header="284" w:footer="425" w:gutter="284"/>
          <w:cols w:space="720"/>
        </w:sectPr>
      </w:pPr>
    </w:p>
    <w:p w14:paraId="07283C77" w14:textId="3871D0C2" w:rsidR="00C70445" w:rsidRDefault="00CC19AA" w:rsidP="00C70445">
      <w:pPr>
        <w:pStyle w:val="Heading1"/>
        <w:spacing w:before="0"/>
      </w:pPr>
      <w:bookmarkStart w:id="9" w:name="_Toc195016550"/>
      <w:r w:rsidRPr="00CC19AA">
        <w:t>Contraception</w:t>
      </w:r>
      <w:r w:rsidR="00C70445">
        <w:t xml:space="preserve"> – </w:t>
      </w:r>
      <w:proofErr w:type="spellStart"/>
      <w:r w:rsidR="00C70445" w:rsidRPr="00EA3A83">
        <w:t>Te</w:t>
      </w:r>
      <w:proofErr w:type="spellEnd"/>
      <w:r w:rsidR="00C70445" w:rsidRPr="00EA3A83">
        <w:t xml:space="preserve"> </w:t>
      </w:r>
      <w:proofErr w:type="spellStart"/>
      <w:r w:rsidR="00C70445" w:rsidRPr="00EA3A83">
        <w:t>ārai</w:t>
      </w:r>
      <w:proofErr w:type="spellEnd"/>
      <w:r w:rsidR="00C70445" w:rsidRPr="00EA3A83">
        <w:t xml:space="preserve"> hapū</w:t>
      </w:r>
      <w:bookmarkEnd w:id="9"/>
    </w:p>
    <w:p w14:paraId="79092596" w14:textId="21EDBC8E" w:rsidR="00C70445" w:rsidRDefault="00C70445" w:rsidP="00C70445">
      <w:r w:rsidRPr="005F1F83">
        <w:t>Access to timely, equitable and affordable contraception services is important for the health and wellbeing of people</w:t>
      </w:r>
      <w:r w:rsidR="00DD408F">
        <w:t xml:space="preserve"> of reproductive age</w:t>
      </w:r>
      <w:r w:rsidRPr="005F1F83">
        <w:t xml:space="preserve">. It also gives them autonomy over their own reproductive journey and </w:t>
      </w:r>
      <w:r>
        <w:t xml:space="preserve">their </w:t>
      </w:r>
      <w:r w:rsidRPr="005F1F83">
        <w:t xml:space="preserve">decision-making </w:t>
      </w:r>
      <w:r>
        <w:t>on</w:t>
      </w:r>
      <w:r w:rsidRPr="005F1F83">
        <w:t xml:space="preserve"> whether or when to have children. The World Health Organization (WHO) and the United Nations Population Fund (UNFPA)</w:t>
      </w:r>
      <w:r w:rsidRPr="005F1F83">
        <w:rPr>
          <w:rStyle w:val="FootnoteReference"/>
        </w:rPr>
        <w:t xml:space="preserve"> </w:t>
      </w:r>
      <w:r w:rsidRPr="005F1F83">
        <w:t xml:space="preserve">consider access to contraception services to be a fundamental human right (UNFPA 2025; WHO 2025). </w:t>
      </w:r>
    </w:p>
    <w:p w14:paraId="21C25229" w14:textId="77777777" w:rsidR="00C70445" w:rsidRPr="005F1F83" w:rsidRDefault="00C70445" w:rsidP="00C70445">
      <w:pPr>
        <w:pStyle w:val="Heading2"/>
      </w:pPr>
      <w:bookmarkStart w:id="10" w:name="_Toc195016551"/>
      <w:r w:rsidRPr="008E5055">
        <w:t xml:space="preserve">Legal requirements for </w:t>
      </w:r>
      <w:r>
        <w:t>c</w:t>
      </w:r>
      <w:r w:rsidRPr="008E5055">
        <w:t>ontraception services</w:t>
      </w:r>
      <w:bookmarkEnd w:id="10"/>
    </w:p>
    <w:p w14:paraId="36D6B3FB" w14:textId="6E2930B5" w:rsidR="00C70445" w:rsidRDefault="00C70445" w:rsidP="00C70445">
      <w:r w:rsidRPr="005F1F83">
        <w:t xml:space="preserve">The 2020 abortion law reform process did not consider sections 4–6 of the </w:t>
      </w:r>
      <w:r>
        <w:t xml:space="preserve">CSA </w:t>
      </w:r>
      <w:r w:rsidRPr="005F1F83">
        <w:t xml:space="preserve">Act. These sections remain as they were originally written into the law in 1977. </w:t>
      </w:r>
    </w:p>
    <w:p w14:paraId="3D3E9307" w14:textId="77777777" w:rsidR="00C70445" w:rsidRPr="005F1F83" w:rsidRDefault="00C70445" w:rsidP="00C70445"/>
    <w:p w14:paraId="65C369CA" w14:textId="249B5660" w:rsidR="00C70445" w:rsidRDefault="00C70445" w:rsidP="00C70445">
      <w:r w:rsidRPr="005F1F83">
        <w:t xml:space="preserve">As such, some of the language used in section 4 is out of date, is considered not fit for purpose and will not be discussed as a part of this review. The Ministry would, however, welcome opportunities to revisit this section of the </w:t>
      </w:r>
      <w:r>
        <w:t xml:space="preserve">CSA </w:t>
      </w:r>
      <w:r w:rsidRPr="005F1F83">
        <w:t xml:space="preserve">Act. Similarly, a medical practitioner enables section 5, which relates to sexual violation, and the Ministry is not obliged to collect information in relation to this. </w:t>
      </w:r>
    </w:p>
    <w:p w14:paraId="764D6AC0" w14:textId="77777777" w:rsidR="00C70445" w:rsidRPr="005F1F83" w:rsidRDefault="00C70445" w:rsidP="00C70445"/>
    <w:p w14:paraId="14BE60C6" w14:textId="13054BB4" w:rsidR="00C70445" w:rsidRDefault="00C70445" w:rsidP="00C70445">
      <w:r w:rsidRPr="005F1F83">
        <w:t xml:space="preserve">Section 6 of the </w:t>
      </w:r>
      <w:r>
        <w:t xml:space="preserve">CSA </w:t>
      </w:r>
      <w:r w:rsidRPr="005F1F83">
        <w:t xml:space="preserve">Act mandates that where the Minister of Health has gazetted a standard for manufacturing condoms and other contraceptive devices, these devices must meet this standard before they can be sold or supplied. </w:t>
      </w:r>
      <w:proofErr w:type="spellStart"/>
      <w:r w:rsidRPr="005F1F83">
        <w:t>Medsafe</w:t>
      </w:r>
      <w:proofErr w:type="spellEnd"/>
      <w:r w:rsidRPr="005F1F83">
        <w:t xml:space="preserve"> (a business unit within the Ministry) is the agency that regulates medicines and medical devices under the Medicines Act 1981 and associated legislation. On its </w:t>
      </w:r>
      <w:r w:rsidRPr="0097172A">
        <w:t>website</w:t>
      </w:r>
      <w:r w:rsidRPr="005F1F83">
        <w:t>, it publishes information on the current gazetted standards for contraceptives that are medical devices (</w:t>
      </w:r>
      <w:proofErr w:type="spellStart"/>
      <w:r w:rsidRPr="005F1F83">
        <w:t>Medsafe</w:t>
      </w:r>
      <w:proofErr w:type="spellEnd"/>
      <w:r w:rsidRPr="005F1F83">
        <w:t xml:space="preserve"> 2014). </w:t>
      </w:r>
      <w:proofErr w:type="spellStart"/>
      <w:r w:rsidRPr="005F1F83">
        <w:t>Medsafe</w:t>
      </w:r>
      <w:proofErr w:type="spellEnd"/>
      <w:r w:rsidRPr="005F1F83">
        <w:t xml:space="preserve"> is currently updating three of the gazetted standards and will consult on a fourth in 2025.</w:t>
      </w:r>
    </w:p>
    <w:p w14:paraId="4D35E6EC" w14:textId="77777777" w:rsidR="00C70445" w:rsidRPr="005F1F83" w:rsidRDefault="00C70445" w:rsidP="00C70445"/>
    <w:p w14:paraId="66933F1B" w14:textId="27E8BDDC" w:rsidR="00C70445" w:rsidRDefault="00C70445" w:rsidP="00C70445">
      <w:r w:rsidRPr="005F1F83">
        <w:t xml:space="preserve">Contraceptives that are medicines </w:t>
      </w:r>
      <w:r>
        <w:t xml:space="preserve">must have </w:t>
      </w:r>
      <w:r w:rsidRPr="005F1F83">
        <w:t xml:space="preserve">consent (be approved) before they can be supplied, sold or advertised. Under section 16 of the </w:t>
      </w:r>
      <w:r>
        <w:t xml:space="preserve">CSA </w:t>
      </w:r>
      <w:r w:rsidRPr="005F1F83">
        <w:t xml:space="preserve">Act, Health New Zealand must ensure that contraception services are available throughout New Zealand and that </w:t>
      </w:r>
      <w:r>
        <w:t xml:space="preserve">any person requesting </w:t>
      </w:r>
      <w:r w:rsidRPr="005F1F83">
        <w:t>access to</w:t>
      </w:r>
      <w:r>
        <w:t xml:space="preserve"> the</w:t>
      </w:r>
      <w:r w:rsidRPr="005F1F83">
        <w:t xml:space="preserve"> emergency contracepti</w:t>
      </w:r>
      <w:r>
        <w:t>ve</w:t>
      </w:r>
      <w:r w:rsidRPr="005F1F83">
        <w:t xml:space="preserve"> pill </w:t>
      </w:r>
      <w:r>
        <w:t>can access it anywhere in</w:t>
      </w:r>
      <w:r w:rsidRPr="005F1F83">
        <w:t xml:space="preserve"> New Zealand within 48 hours of </w:t>
      </w:r>
      <w:r>
        <w:t>making their</w:t>
      </w:r>
      <w:r w:rsidRPr="005F1F83">
        <w:t xml:space="preserve"> request. </w:t>
      </w:r>
    </w:p>
    <w:p w14:paraId="26C85766" w14:textId="77777777" w:rsidR="00C70445" w:rsidRPr="005F1F83" w:rsidRDefault="00C70445" w:rsidP="00C70445"/>
    <w:p w14:paraId="39E8CAF9" w14:textId="77777777" w:rsidR="00C70445" w:rsidRPr="005F1F83" w:rsidRDefault="00C70445" w:rsidP="00C70445">
      <w:pPr>
        <w:pStyle w:val="Heading2"/>
        <w:rPr>
          <w:rFonts w:eastAsia="Calibri"/>
        </w:rPr>
      </w:pPr>
      <w:bookmarkStart w:id="11" w:name="_Toc192348794"/>
      <w:bookmarkStart w:id="12" w:name="_Toc195016552"/>
      <w:bookmarkStart w:id="13" w:name="_Hlk187233774"/>
      <w:r w:rsidRPr="005F1F83">
        <w:rPr>
          <w:rFonts w:eastAsia="Calibri"/>
        </w:rPr>
        <w:t>Contraception services in New Zealand</w:t>
      </w:r>
      <w:bookmarkEnd w:id="11"/>
      <w:bookmarkEnd w:id="12"/>
    </w:p>
    <w:p w14:paraId="32BF75F8" w14:textId="6ECD998D" w:rsidR="00C70445" w:rsidRDefault="00C70445" w:rsidP="00C70445">
      <w:r w:rsidRPr="005F1F83">
        <w:t>Contraception services available in New Zealand include long-acting reversible contraception (LARC) (</w:t>
      </w:r>
      <w:proofErr w:type="spellStart"/>
      <w:r>
        <w:t>eg</w:t>
      </w:r>
      <w:proofErr w:type="spellEnd"/>
      <w:r w:rsidRPr="005F1F83">
        <w:t>, implants, injections and intra-uterine devices (IUDs)), oral contraceptive pills, barriers (</w:t>
      </w:r>
      <w:proofErr w:type="spellStart"/>
      <w:r>
        <w:t>eg</w:t>
      </w:r>
      <w:proofErr w:type="spellEnd"/>
      <w:r>
        <w:t>,</w:t>
      </w:r>
      <w:r w:rsidRPr="005F1F83">
        <w:t xml:space="preserve"> condoms), vaginal rings and fertility awareness methods. While LARC consists of highly effective contraceptive mechanisms, some forms are also used as treatment for other physical conditions, including pain and heavy menstrual bleeding (</w:t>
      </w:r>
      <w:r>
        <w:t>Sexual Wellbeing Aotearoa 2025</w:t>
      </w:r>
      <w:r w:rsidRPr="005F1F83">
        <w:t xml:space="preserve">), as well as for menopause symptoms. The Ministry also acknowledges that sterilisation services are a method of permanent contraception. We explore this link further in the sterilisation </w:t>
      </w:r>
      <w:r>
        <w:t>chapter</w:t>
      </w:r>
      <w:r w:rsidRPr="005F1F83">
        <w:t>.</w:t>
      </w:r>
    </w:p>
    <w:p w14:paraId="6088AA96" w14:textId="77777777" w:rsidR="00C70445" w:rsidRPr="005F1F83" w:rsidRDefault="00C70445" w:rsidP="00C70445"/>
    <w:p w14:paraId="761D77D1" w14:textId="760519C6" w:rsidR="00C70445" w:rsidRDefault="00C70445" w:rsidP="00C70445">
      <w:pPr>
        <w:rPr>
          <w:rFonts w:eastAsia="Calibri"/>
        </w:rPr>
      </w:pPr>
      <w:r w:rsidRPr="005F1F83">
        <w:rPr>
          <w:rFonts w:eastAsia="Calibri"/>
        </w:rPr>
        <w:t>Contraception services are available through several health providers</w:t>
      </w:r>
      <w:r>
        <w:rPr>
          <w:rFonts w:eastAsia="Calibri"/>
        </w:rPr>
        <w:t>,</w:t>
      </w:r>
      <w:r w:rsidRPr="005F1F83">
        <w:rPr>
          <w:rFonts w:eastAsia="Calibri"/>
        </w:rPr>
        <w:t xml:space="preserve"> including general practitioners</w:t>
      </w:r>
      <w:r>
        <w:rPr>
          <w:rFonts w:eastAsia="Calibri"/>
        </w:rPr>
        <w:t xml:space="preserve"> (</w:t>
      </w:r>
      <w:r w:rsidRPr="005F1F83">
        <w:rPr>
          <w:rFonts w:eastAsia="Calibri"/>
        </w:rPr>
        <w:t>GPs</w:t>
      </w:r>
      <w:r>
        <w:rPr>
          <w:rFonts w:eastAsia="Calibri"/>
        </w:rPr>
        <w:t>)</w:t>
      </w:r>
      <w:r w:rsidRPr="005F1F83">
        <w:rPr>
          <w:rFonts w:eastAsia="Calibri"/>
        </w:rPr>
        <w:t xml:space="preserve">, midwives, primary care, and sexual health/youth health clinics. Condoms are available widely through supermarkets, pharmacies and other stockists. </w:t>
      </w:r>
    </w:p>
    <w:p w14:paraId="3CBAC69A" w14:textId="77777777" w:rsidR="00C70445" w:rsidRPr="005F1F83" w:rsidRDefault="00C70445" w:rsidP="00C70445">
      <w:pPr>
        <w:rPr>
          <w:rFonts w:eastAsia="Calibri"/>
        </w:rPr>
      </w:pPr>
    </w:p>
    <w:p w14:paraId="638A8D20" w14:textId="6461DD95" w:rsidR="00C70445" w:rsidRDefault="00C70445" w:rsidP="00C70445">
      <w:r w:rsidRPr="005F1F83">
        <w:rPr>
          <w:rFonts w:eastAsia="Calibri"/>
        </w:rPr>
        <w:t xml:space="preserve">Patients can access emergency contraception through all of the above health providers and pharmacies (pills only), as well as through Health New Zealand urgent care clinics and accident and emergency services. </w:t>
      </w:r>
      <w:r w:rsidRPr="005F1F83">
        <w:t xml:space="preserve">As of December 2024, there were 1,009 pharmacies on </w:t>
      </w:r>
      <w:proofErr w:type="spellStart"/>
      <w:r w:rsidRPr="005F1F83">
        <w:t>Healthpoint</w:t>
      </w:r>
      <w:proofErr w:type="spellEnd"/>
      <w:r w:rsidRPr="005F1F83">
        <w:rPr>
          <w:rStyle w:val="FootnoteReference"/>
        </w:rPr>
        <w:footnoteReference w:id="6"/>
      </w:r>
      <w:r w:rsidRPr="005F1F83">
        <w:t xml:space="preserve"> offering the emergency contraceptive pill. This </w:t>
      </w:r>
      <w:r>
        <w:t>indicates</w:t>
      </w:r>
      <w:r w:rsidRPr="005F1F83">
        <w:t xml:space="preserve"> a significant proportion of the population hav</w:t>
      </w:r>
      <w:r>
        <w:t>e access to</w:t>
      </w:r>
      <w:r w:rsidRPr="005F1F83">
        <w:t xml:space="preserve"> the emergency contraceptive pill, but further analysis </w:t>
      </w:r>
      <w:r>
        <w:t>is</w:t>
      </w:r>
      <w:r w:rsidRPr="005F1F83">
        <w:t xml:space="preserve"> need</w:t>
      </w:r>
      <w:r>
        <w:t>ed</w:t>
      </w:r>
      <w:r w:rsidRPr="005F1F83">
        <w:t xml:space="preserve"> to determine whether there is an equitable spread.</w:t>
      </w:r>
    </w:p>
    <w:p w14:paraId="197E7C97" w14:textId="77777777" w:rsidR="00C70445" w:rsidRPr="005F1F83" w:rsidRDefault="00C70445" w:rsidP="00C70445">
      <w:pPr>
        <w:rPr>
          <w:rFonts w:eastAsia="Calibri"/>
        </w:rPr>
      </w:pPr>
    </w:p>
    <w:p w14:paraId="5554FCBC" w14:textId="247E7011" w:rsidR="00C70445" w:rsidRDefault="00C70445" w:rsidP="00C70445">
      <w:r w:rsidRPr="005F1F83">
        <w:t>In 2020, the Ministry published guidance on contraception after recognising that contraception guidance to that point had been disjointed and spread across a number of documents. The intention behind the updated guidance is to ‘improve the quality, consistency and standardisation of contraceptive practice and will support access to suitable contraception for anyone who needs it’ (Ministry of Health 2020). This document and work surrounding contraception access now sit with Health New Zealand.</w:t>
      </w:r>
    </w:p>
    <w:p w14:paraId="219E1365" w14:textId="77777777" w:rsidR="00C70445" w:rsidRPr="005F1F83" w:rsidRDefault="00C70445" w:rsidP="00C70445"/>
    <w:p w14:paraId="5E904FD7" w14:textId="16C3D5BB" w:rsidR="00C70445" w:rsidRDefault="00C70445" w:rsidP="00C70445">
      <w:r w:rsidRPr="005F1F83">
        <w:t>Contraception is part of the Women’s Health Strategy, linking to a number of priorities. Feedback received in developing the strategy included:</w:t>
      </w:r>
    </w:p>
    <w:p w14:paraId="71EB1DB4" w14:textId="77777777" w:rsidR="003376FA" w:rsidRDefault="003376FA" w:rsidP="00C70445"/>
    <w:p w14:paraId="529D2F22" w14:textId="63DF7A20" w:rsidR="00C70445" w:rsidRDefault="00C70445" w:rsidP="003376FA">
      <w:pPr>
        <w:pStyle w:val="NormalIndent"/>
        <w:spacing w:after="0"/>
        <w:ind w:left="567"/>
      </w:pPr>
      <w:r w:rsidRPr="005F1F83">
        <w:t>Access to effective contraception is important for the health and wellbeing of women of reproductive age. Barriers to contraceptive access can lead to unintended pregnancies and sexually transmitted infections. One area where women want change is in access to long-acting reversible contraceptives (LARC</w:t>
      </w:r>
      <w:r w:rsidRPr="005F1F83">
        <w:rPr>
          <w:iCs/>
        </w:rPr>
        <w:t>)</w:t>
      </w:r>
      <w:r w:rsidRPr="005F1F83">
        <w:t>. (Minister of Health 2023)</w:t>
      </w:r>
    </w:p>
    <w:p w14:paraId="0F5D01A8" w14:textId="77777777" w:rsidR="003376FA" w:rsidRPr="005F1F83" w:rsidRDefault="003376FA" w:rsidP="003376FA">
      <w:pPr>
        <w:pStyle w:val="NormalIndent"/>
        <w:spacing w:after="0"/>
        <w:ind w:left="567"/>
      </w:pPr>
    </w:p>
    <w:p w14:paraId="73261DD7" w14:textId="77777777" w:rsidR="00C70445" w:rsidRPr="005F1F83" w:rsidRDefault="00C70445" w:rsidP="00C70445">
      <w:r w:rsidRPr="005F1F83" w:rsidDel="00351F06">
        <w:t>Sexual Wellbeing Aotearoa</w:t>
      </w:r>
      <w:r w:rsidRPr="005F1F83">
        <w:t xml:space="preserve"> (formerly New Zealand Family Planning)</w:t>
      </w:r>
      <w:r w:rsidRPr="005F1F83" w:rsidDel="00351F06">
        <w:t xml:space="preserve"> </w:t>
      </w:r>
      <w:r w:rsidRPr="005F1F83">
        <w:t xml:space="preserve">and Health New Zealand recently funded a collaborative research study on </w:t>
      </w:r>
      <w:proofErr w:type="spellStart"/>
      <w:r w:rsidRPr="005F1F83">
        <w:t>wāhine</w:t>
      </w:r>
      <w:proofErr w:type="spellEnd"/>
      <w:r w:rsidRPr="005F1F83">
        <w:t xml:space="preserve"> Māori and contraception. Using a </w:t>
      </w:r>
      <w:proofErr w:type="spellStart"/>
      <w:r w:rsidRPr="005F1F83">
        <w:t>kaupapa</w:t>
      </w:r>
      <w:proofErr w:type="spellEnd"/>
      <w:r w:rsidRPr="005F1F83">
        <w:t xml:space="preserve"> Māori methodology, the study identified key areas for improvement, such as destigmatising conversations about sexual and reproductive health and having options that are ‘culturally welcoming and safe for </w:t>
      </w:r>
      <w:proofErr w:type="spellStart"/>
      <w:r w:rsidRPr="005F1F83">
        <w:t>wāhine</w:t>
      </w:r>
      <w:proofErr w:type="spellEnd"/>
      <w:r w:rsidRPr="005F1F83">
        <w:t xml:space="preserve"> Māori, including the provision of </w:t>
      </w:r>
      <w:proofErr w:type="spellStart"/>
      <w:r w:rsidRPr="005F1F83">
        <w:t>kaupapa</w:t>
      </w:r>
      <w:proofErr w:type="spellEnd"/>
      <w:r w:rsidRPr="005F1F83">
        <w:t xml:space="preserve"> Māori services and contraception options’ (Cram et al 2024). </w:t>
      </w:r>
    </w:p>
    <w:p w14:paraId="1853AFED" w14:textId="77777777" w:rsidR="00C70445" w:rsidRPr="005F1F83" w:rsidRDefault="00C70445" w:rsidP="00C70445">
      <w:pPr>
        <w:pStyle w:val="Heading2"/>
        <w:rPr>
          <w:sz w:val="20"/>
        </w:rPr>
      </w:pPr>
      <w:bookmarkStart w:id="14" w:name="_Toc192348795"/>
      <w:bookmarkStart w:id="15" w:name="_Toc195016553"/>
      <w:bookmarkStart w:id="16" w:name="_Hlk187233583"/>
      <w:bookmarkEnd w:id="13"/>
      <w:r w:rsidRPr="005F1F83">
        <w:t>Timely and equitable access</w:t>
      </w:r>
      <w:bookmarkEnd w:id="14"/>
      <w:bookmarkEnd w:id="15"/>
    </w:p>
    <w:bookmarkEnd w:id="16"/>
    <w:p w14:paraId="5D90E373" w14:textId="3F047653" w:rsidR="00C70445" w:rsidRDefault="00C70445" w:rsidP="00C70445">
      <w:r w:rsidRPr="005F1F83">
        <w:t>To date, the Ministry’s role in the oversight of contraception services</w:t>
      </w:r>
      <w:r w:rsidRPr="005F1F83" w:rsidDel="00466D6B">
        <w:t xml:space="preserve"> </w:t>
      </w:r>
      <w:r w:rsidRPr="005F1F83">
        <w:t xml:space="preserve">has been unclear and lacked centralised ownership (with the exception of </w:t>
      </w:r>
      <w:proofErr w:type="spellStart"/>
      <w:r w:rsidRPr="005F1F83">
        <w:t>Medsafe’s</w:t>
      </w:r>
      <w:proofErr w:type="spellEnd"/>
      <w:r w:rsidRPr="005F1F83">
        <w:t xml:space="preserve"> role in regulating and publishing information on medicines and medical devices). Additionally, the reporting requirements of the current Act do not enable the Ministry to collect sufficient data to comment in comprehensive detail on timely and equitable access to contraception. </w:t>
      </w:r>
    </w:p>
    <w:p w14:paraId="293C278B" w14:textId="77777777" w:rsidR="00C70445" w:rsidRPr="005F1F83" w:rsidRDefault="00C70445" w:rsidP="00C70445"/>
    <w:p w14:paraId="1A729024" w14:textId="71105D62" w:rsidR="00C70445" w:rsidRDefault="00C70445" w:rsidP="00C70445">
      <w:r w:rsidRPr="005F1F83">
        <w:t>We can provide some information on timely and equitable access to contraception following an abortion. However, this information is variable and relates to contraception received at the time of an abortion procedure. Information on a</w:t>
      </w:r>
      <w:r w:rsidR="001864D1">
        <w:t xml:space="preserve"> </w:t>
      </w:r>
      <w:r w:rsidR="1013B7FF">
        <w:t>woman</w:t>
      </w:r>
      <w:r w:rsidR="001864D1">
        <w:t>’</w:t>
      </w:r>
      <w:r w:rsidR="1013B7FF">
        <w:t xml:space="preserve">s </w:t>
      </w:r>
      <w:r w:rsidRPr="005F1F83">
        <w:t>intent to receive contraception following an abortion is not reliable enough for us to comment on whether this contributes to timely and equitable contraceptive access.</w:t>
      </w:r>
    </w:p>
    <w:p w14:paraId="5671FDF5" w14:textId="77777777" w:rsidR="00C70445" w:rsidRPr="005F1F83" w:rsidRDefault="00C70445" w:rsidP="00C70445"/>
    <w:p w14:paraId="381074FE" w14:textId="6E289258" w:rsidR="00C70445" w:rsidRDefault="00C70445" w:rsidP="00C70445">
      <w:bookmarkStart w:id="17" w:name="_Hlk190423826"/>
      <w:r w:rsidRPr="005F1F83">
        <w:t xml:space="preserve">A further, specific concern is that disabled people are at risk of being given contraception (especially LARC) without their free and fully informed consent as the </w:t>
      </w:r>
      <w:r>
        <w:t xml:space="preserve">CSA </w:t>
      </w:r>
      <w:r w:rsidRPr="005F1F83">
        <w:t xml:space="preserve">Act does not provide an avenue to monitor issues relating to informed consent for contraception. In addition, some disabled people face unique barriers, where they have impairments that make it difficult to communicate about contraception, and therefore they require specific considerations for using contraception. While these barriers are outside the scope of reporting on contraceptive services within the </w:t>
      </w:r>
      <w:r>
        <w:t xml:space="preserve">CSA </w:t>
      </w:r>
      <w:r w:rsidRPr="005F1F83">
        <w:t>Act, it is important to note that they, along with potential barriers to understandable information in accessible formats, may disproportionately impact some groups, making it more difficult</w:t>
      </w:r>
      <w:r>
        <w:t xml:space="preserve"> for them</w:t>
      </w:r>
      <w:r w:rsidRPr="005F1F83">
        <w:t xml:space="preserve"> to get timely access to contraceptive services.  </w:t>
      </w:r>
    </w:p>
    <w:p w14:paraId="25831ADA" w14:textId="77777777" w:rsidR="00C70445" w:rsidRPr="005F1F83" w:rsidRDefault="00C70445" w:rsidP="00C70445"/>
    <w:bookmarkEnd w:id="17"/>
    <w:p w14:paraId="6A650BCA" w14:textId="77777777" w:rsidR="00C70445" w:rsidRDefault="00C70445" w:rsidP="00C70445">
      <w:r w:rsidRPr="005F1F83">
        <w:t xml:space="preserve">For Māori, the Voices of </w:t>
      </w:r>
      <w:proofErr w:type="spellStart"/>
      <w:r w:rsidRPr="005F1F83">
        <w:t>Wāhine</w:t>
      </w:r>
      <w:proofErr w:type="spellEnd"/>
      <w:r w:rsidRPr="005F1F83">
        <w:t xml:space="preserve"> report (</w:t>
      </w:r>
      <w:r>
        <w:t xml:space="preserve">National Centre for Women’s Health Research Aotearoa </w:t>
      </w:r>
      <w:r w:rsidRPr="005F1F83">
        <w:t>2025) made recommendations on contraception access</w:t>
      </w:r>
      <w:r>
        <w:t>, such as:</w:t>
      </w:r>
    </w:p>
    <w:p w14:paraId="41822437" w14:textId="77777777" w:rsidR="00C70445" w:rsidRDefault="00C70445" w:rsidP="00C70445">
      <w:pPr>
        <w:pStyle w:val="Bullet"/>
        <w:ind w:right="-1"/>
      </w:pPr>
      <w:r w:rsidRPr="005F1F83">
        <w:t xml:space="preserve">exploring ways to ensure </w:t>
      </w:r>
      <w:proofErr w:type="spellStart"/>
      <w:r w:rsidRPr="005F1F83">
        <w:t>wāhine</w:t>
      </w:r>
      <w:proofErr w:type="spellEnd"/>
      <w:r w:rsidRPr="005F1F83">
        <w:t xml:space="preserve"> who access telehealth early medical abortion (EMA) also have access to </w:t>
      </w:r>
      <w:proofErr w:type="gramStart"/>
      <w:r w:rsidRPr="005F1F83">
        <w:t>LARC</w:t>
      </w:r>
      <w:proofErr w:type="gramEnd"/>
    </w:p>
    <w:p w14:paraId="38B43809" w14:textId="77777777" w:rsidR="00C70445" w:rsidRDefault="00C70445" w:rsidP="00C70445">
      <w:pPr>
        <w:pStyle w:val="Bullet"/>
      </w:pPr>
      <w:r w:rsidRPr="005F1F83">
        <w:t xml:space="preserve">ensuring </w:t>
      </w:r>
      <w:proofErr w:type="spellStart"/>
      <w:r w:rsidRPr="005F1F83">
        <w:t>wāhine</w:t>
      </w:r>
      <w:proofErr w:type="spellEnd"/>
      <w:r w:rsidRPr="005F1F83">
        <w:t xml:space="preserve"> have multiple opportunities to have conversations about contraception, </w:t>
      </w:r>
      <w:r>
        <w:t xml:space="preserve">where they </w:t>
      </w:r>
      <w:r w:rsidRPr="005F1F83">
        <w:t xml:space="preserve">are offered a choice of contraception, and these conversations are </w:t>
      </w:r>
      <w:proofErr w:type="gramStart"/>
      <w:r w:rsidRPr="005F1F83">
        <w:t>respectfu</w:t>
      </w:r>
      <w:r>
        <w:t>l</w:t>
      </w:r>
      <w:proofErr w:type="gramEnd"/>
    </w:p>
    <w:p w14:paraId="74D673E1" w14:textId="51B1A5E1" w:rsidR="00C70445" w:rsidRDefault="00C70445" w:rsidP="00C70445">
      <w:pPr>
        <w:pStyle w:val="Bullet"/>
      </w:pPr>
      <w:r>
        <w:t xml:space="preserve">fully funding </w:t>
      </w:r>
      <w:r w:rsidRPr="005F1F83">
        <w:t>contraception.</w:t>
      </w:r>
    </w:p>
    <w:p w14:paraId="273586ED" w14:textId="4B85F1F0" w:rsidR="00C70445" w:rsidRDefault="00C70445" w:rsidP="00C70445"/>
    <w:p w14:paraId="6A5BE75F" w14:textId="72666285" w:rsidR="00C70445" w:rsidRDefault="00C70445" w:rsidP="00C70445">
      <w:r w:rsidRPr="005F1F83">
        <w:rPr>
          <w:noProof/>
        </w:rPr>
        <mc:AlternateContent>
          <mc:Choice Requires="wps">
            <w:drawing>
              <wp:anchor distT="45720" distB="45720" distL="114300" distR="114300" simplePos="0" relativeHeight="251658240" behindDoc="0" locked="0" layoutInCell="1" allowOverlap="1" wp14:anchorId="184FB989" wp14:editId="3CEBFDDF">
                <wp:simplePos x="0" y="0"/>
                <wp:positionH relativeFrom="margin">
                  <wp:posOffset>2977515</wp:posOffset>
                </wp:positionH>
                <wp:positionV relativeFrom="paragraph">
                  <wp:posOffset>41910</wp:posOffset>
                </wp:positionV>
                <wp:extent cx="2219325" cy="22193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2219325"/>
                        </a:xfrm>
                        <a:prstGeom prst="rect">
                          <a:avLst/>
                        </a:prstGeom>
                        <a:solidFill>
                          <a:schemeClr val="bg1">
                            <a:lumMod val="95000"/>
                          </a:schemeClr>
                        </a:solidFill>
                        <a:ln w="9525">
                          <a:noFill/>
                          <a:miter lim="800000"/>
                          <a:headEnd/>
                          <a:tailEnd/>
                        </a:ln>
                      </wps:spPr>
                      <wps:txbx>
                        <w:txbxContent>
                          <w:p w14:paraId="714F5932" w14:textId="75B186FF" w:rsidR="007E5D11" w:rsidRPr="005F1F83" w:rsidRDefault="007E5D11" w:rsidP="00C70445">
                            <w:pPr>
                              <w:spacing w:after="120"/>
                              <w:rPr>
                                <w:i/>
                                <w:iCs/>
                              </w:rPr>
                            </w:pPr>
                            <w:r w:rsidRPr="00916193">
                              <w:t>‘</w:t>
                            </w:r>
                            <w:r w:rsidRPr="00263A7E">
                              <w:t>I understood why. It makes sense, but I was already feeling overwhelmed. I was feeling upset and stuff. It's like when you lose something and someone tells you, “You should have put it here</w:t>
                            </w:r>
                            <w:r w:rsidR="00345DFF">
                              <w:t>.</w:t>
                            </w:r>
                            <w:r w:rsidRPr="00263A7E">
                              <w:t>”’</w:t>
                            </w:r>
                          </w:p>
                          <w:p w14:paraId="0C1DC8BB" w14:textId="77777777" w:rsidR="007E5D11" w:rsidRPr="005F1F83" w:rsidRDefault="007E5D11" w:rsidP="00C70445">
                            <w:pPr>
                              <w:spacing w:after="120"/>
                            </w:pPr>
                            <w:r w:rsidRPr="005F1F83">
                              <w:t>Participant reflecting on being asked about contraception before an abortion (</w:t>
                            </w:r>
                            <w:r>
                              <w:t>National Centre for Women’s Health Research Aotearoa</w:t>
                            </w:r>
                            <w:r w:rsidRPr="005F1F83">
                              <w:t xml:space="preserve">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4FB989" id="_x0000_t202" coordsize="21600,21600" o:spt="202" path="m,l,21600r21600,l21600,xe">
                <v:stroke joinstyle="miter"/>
                <v:path gradientshapeok="t" o:connecttype="rect"/>
              </v:shapetype>
              <v:shape id="Text Box 2" o:spid="_x0000_s1026" type="#_x0000_t202" style="position:absolute;margin-left:234.45pt;margin-top:3.3pt;width:174.75pt;height:174.7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" fillcolor="#f2f2f2 [3052]" stroked="f">
                <v:textbox>
                  <w:txbxContent>
                    <w:p w14:paraId="714F5932" w14:textId="75B186FF" w:rsidR="007E5D11" w:rsidRPr="005F1F83" w:rsidRDefault="007E5D11" w:rsidP="00C70445">
                      <w:pPr>
                        <w:spacing w:after="120"/>
                        <w:rPr>
                          <w:i/>
                          <w:iCs/>
                        </w:rPr>
                      </w:pPr>
                      <w:r w:rsidRPr="00916193">
                        <w:t>‘</w:t>
                      </w:r>
                      <w:r w:rsidRPr="00263A7E">
                        <w:t>I understood why. It makes sense, but I was already feeling overwhelmed. I was feeling upset and stuff. It's like when you lose something and someone tells you, “You should have put it here</w:t>
                      </w:r>
                      <w:r w:rsidR="00345DFF">
                        <w:t>.</w:t>
                      </w:r>
                      <w:r w:rsidRPr="00263A7E">
                        <w:t>”’</w:t>
                      </w:r>
                    </w:p>
                    <w:p w14:paraId="0C1DC8BB" w14:textId="77777777" w:rsidR="007E5D11" w:rsidRPr="005F1F83" w:rsidRDefault="007E5D11" w:rsidP="00C70445">
                      <w:pPr>
                        <w:spacing w:after="120"/>
                      </w:pPr>
                      <w:r w:rsidRPr="005F1F83">
                        <w:t>Participant reflecting on being asked about contraception before an abortion (</w:t>
                      </w:r>
                      <w:r>
                        <w:t>National Centre for Women’s Health Research Aotearoa</w:t>
                      </w:r>
                      <w:r w:rsidRPr="005F1F83">
                        <w:t xml:space="preserve"> 2025)</w:t>
                      </w:r>
                    </w:p>
                  </w:txbxContent>
                </v:textbox>
                <w10:wrap type="square" anchorx="margin"/>
              </v:shape>
            </w:pict>
          </mc:Fallback>
        </mc:AlternateContent>
      </w:r>
      <w:r>
        <w:t>National Centre for Women’s Health Research Aotearoa</w:t>
      </w:r>
      <w:r w:rsidRPr="005F1F83">
        <w:t xml:space="preserve"> (2025) found that almost all surveyed </w:t>
      </w:r>
      <w:proofErr w:type="spellStart"/>
      <w:r w:rsidRPr="005F1F83">
        <w:t>wāhine</w:t>
      </w:r>
      <w:proofErr w:type="spellEnd"/>
      <w:r w:rsidRPr="005F1F83">
        <w:t xml:space="preserve"> reported being offered contraception as part of abortion care. Approximately half of the </w:t>
      </w:r>
      <w:proofErr w:type="spellStart"/>
      <w:r w:rsidRPr="005F1F83">
        <w:t>wāhine</w:t>
      </w:r>
      <w:proofErr w:type="spellEnd"/>
      <w:r w:rsidRPr="005F1F83">
        <w:t xml:space="preserve"> (particularly Pacific women and young people) surveyed were offered only one type of contraception during their abortion appointment. This finding suggests potentially inequitable and inconsistent approaches to care. </w:t>
      </w:r>
    </w:p>
    <w:p w14:paraId="0A8EAF25" w14:textId="1B5A4DC6" w:rsidR="00C70445" w:rsidRPr="005F1F83" w:rsidRDefault="00C70445" w:rsidP="00C70445"/>
    <w:p w14:paraId="62C81FFF" w14:textId="406D6C05" w:rsidR="00C70445" w:rsidRDefault="00C70445" w:rsidP="00C70445">
      <w:r w:rsidRPr="005F1F83">
        <w:t>Importantly, it was reported that although contraception was often discussed at various points in the abortion pathway, some</w:t>
      </w:r>
      <w:r>
        <w:t xml:space="preserve"> </w:t>
      </w:r>
      <w:r w:rsidR="00DD408F">
        <w:rPr>
          <w:rFonts w:eastAsia="Calibri"/>
        </w:rPr>
        <w:t>women</w:t>
      </w:r>
      <w:r w:rsidRPr="005F1F83">
        <w:t xml:space="preserve"> accessing the service felt that it wasn’t the time and place for a discussion about </w:t>
      </w:r>
      <w:bookmarkStart w:id="18" w:name="_Hlk189116844"/>
      <w:r w:rsidRPr="005F1F83">
        <w:t>contraception</w:t>
      </w:r>
      <w:bookmarkEnd w:id="18"/>
      <w:r w:rsidRPr="005F1F83">
        <w:t xml:space="preserve">. This is notable, as accurate reporting on contraception provision may be impacted by </w:t>
      </w:r>
      <w:r w:rsidR="0045370F">
        <w:t>women</w:t>
      </w:r>
      <w:r w:rsidRPr="005F1F83">
        <w:t xml:space="preserve"> choosing to separate contraceptive medical appointments from their abortion medical appointment.</w:t>
      </w:r>
    </w:p>
    <w:p w14:paraId="1739D452" w14:textId="77777777" w:rsidR="00C70445" w:rsidRPr="005F1F83" w:rsidRDefault="00C70445" w:rsidP="00C70445"/>
    <w:p w14:paraId="32805679" w14:textId="54D2D034" w:rsidR="00C70445" w:rsidRDefault="00C70445" w:rsidP="00C70445">
      <w:r w:rsidRPr="005F1F83">
        <w:rPr>
          <w:noProof/>
        </w:rPr>
        <mc:AlternateContent>
          <mc:Choice Requires="wps">
            <w:drawing>
              <wp:anchor distT="45720" distB="45720" distL="114300" distR="114300" simplePos="0" relativeHeight="251658241" behindDoc="0" locked="0" layoutInCell="1" allowOverlap="1" wp14:anchorId="667BADBE" wp14:editId="3730C64A">
                <wp:simplePos x="0" y="0"/>
                <wp:positionH relativeFrom="margin">
                  <wp:posOffset>2773680</wp:posOffset>
                </wp:positionH>
                <wp:positionV relativeFrom="paragraph">
                  <wp:posOffset>9525</wp:posOffset>
                </wp:positionV>
                <wp:extent cx="2338705" cy="1543050"/>
                <wp:effectExtent l="0" t="0" r="4445" b="0"/>
                <wp:wrapSquare wrapText="bothSides"/>
                <wp:docPr id="12901578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8705" cy="1543050"/>
                        </a:xfrm>
                        <a:prstGeom prst="rect">
                          <a:avLst/>
                        </a:prstGeom>
                        <a:solidFill>
                          <a:sysClr val="window" lastClr="FFFFFF">
                            <a:lumMod val="95000"/>
                          </a:sysClr>
                        </a:solidFill>
                        <a:ln w="9525">
                          <a:noFill/>
                          <a:miter lim="800000"/>
                          <a:headEnd/>
                          <a:tailEnd/>
                        </a:ln>
                      </wps:spPr>
                      <wps:txbx>
                        <w:txbxContent>
                          <w:p w14:paraId="401513F0" w14:textId="77777777" w:rsidR="007E5D11" w:rsidRPr="00FF5F34" w:rsidRDefault="007E5D11" w:rsidP="00615399">
                            <w:pPr>
                              <w:spacing w:after="120"/>
                            </w:pPr>
                            <w:r>
                              <w:t>‘</w:t>
                            </w:r>
                            <w:r w:rsidRPr="00FF5F34">
                              <w:t>I remember saying to them that this is good enough for now. It’s not what I want but I’ll take it. Anything to stop me getting pregnant again …</w:t>
                            </w:r>
                            <w:r>
                              <w:t>’</w:t>
                            </w:r>
                          </w:p>
                          <w:p w14:paraId="03AAB2DC" w14:textId="77777777" w:rsidR="007E5D11" w:rsidRPr="005F1F83" w:rsidRDefault="007E5D11" w:rsidP="00615399">
                            <w:pPr>
                              <w:spacing w:after="120"/>
                            </w:pPr>
                            <w:r w:rsidRPr="005F1F83">
                              <w:t>Participant (Donald Beasley Institute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7BADBE" id="_x0000_s1027" type="#_x0000_t202" style="position:absolute;margin-left:218.4pt;margin-top:.75pt;width:184.15pt;height:121.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" fillcolor="#f2f2f2" stroked="f">
                <v:textbox>
                  <w:txbxContent>
                    <w:p w14:paraId="401513F0" w14:textId="77777777" w:rsidR="007E5D11" w:rsidRPr="00FF5F34" w:rsidRDefault="007E5D11" w:rsidP="00615399">
                      <w:pPr>
                        <w:spacing w:after="120"/>
                      </w:pPr>
                      <w:r>
                        <w:t>‘</w:t>
                      </w:r>
                      <w:r w:rsidRPr="00FF5F34">
                        <w:t>I remember saying to them that this is good enough for now. It’s not what I want but I’ll take it. Anything to stop me getting pregnant again …</w:t>
                      </w:r>
                      <w:r>
                        <w:t>’</w:t>
                      </w:r>
                    </w:p>
                    <w:p w14:paraId="03AAB2DC" w14:textId="77777777" w:rsidR="007E5D11" w:rsidRPr="005F1F83" w:rsidRDefault="007E5D11" w:rsidP="00615399">
                      <w:pPr>
                        <w:spacing w:after="120"/>
                      </w:pPr>
                      <w:r w:rsidRPr="005F1F83">
                        <w:t>Participant (Donald Beasley Institute 2025)</w:t>
                      </w:r>
                    </w:p>
                  </w:txbxContent>
                </v:textbox>
                <w10:wrap type="square" anchorx="margin"/>
              </v:shape>
            </w:pict>
          </mc:Fallback>
        </mc:AlternateContent>
      </w:r>
      <w:r w:rsidRPr="005F1F83">
        <w:t xml:space="preserve">In the Abortion as a Human Right report, the Donald Beasley Institute (2025) describes disabled people’s experiences of abortion care. The participants reported inconsistent approaches to contraception during the abortion process. However, overall, participants reported positive experiences about information provided and access to their choice of contraception after an abortion. </w:t>
      </w:r>
    </w:p>
    <w:p w14:paraId="578F9DEE" w14:textId="38BA0EB4" w:rsidR="00C70445" w:rsidRPr="005F1F83" w:rsidRDefault="00C70445" w:rsidP="00C70445"/>
    <w:p w14:paraId="00823BD3" w14:textId="40D5E3F8" w:rsidR="00C70445" w:rsidRDefault="00C70445" w:rsidP="00C70445">
      <w:bookmarkStart w:id="19" w:name="_Hlk190873762"/>
      <w:r w:rsidRPr="005F1F83">
        <w:t xml:space="preserve">Notably, the type of abortion a </w:t>
      </w:r>
      <w:r w:rsidR="00982B8D">
        <w:rPr>
          <w:rFonts w:eastAsia="Calibri"/>
        </w:rPr>
        <w:t>woman</w:t>
      </w:r>
      <w:r w:rsidRPr="005F1F83">
        <w:t xml:space="preserve"> accesses affects the precis</w:t>
      </w:r>
      <w:r>
        <w:t>i</w:t>
      </w:r>
      <w:r w:rsidRPr="005F1F83">
        <w:t>on of reporting</w:t>
      </w:r>
      <w:r w:rsidRPr="005F1F83">
        <w:rPr>
          <w:rFonts w:eastAsia="Segoe UI" w:cs="Segoe UI"/>
        </w:rPr>
        <w:t xml:space="preserve"> </w:t>
      </w:r>
      <w:r w:rsidRPr="005F1F83">
        <w:rPr>
          <w:rFonts w:eastAsia="Segoe UI"/>
        </w:rPr>
        <w:t xml:space="preserve">on </w:t>
      </w:r>
      <w:r w:rsidRPr="005F1F83">
        <w:rPr>
          <w:rFonts w:eastAsia="Segoe UI" w:cs="Segoe UI"/>
        </w:rPr>
        <w:t xml:space="preserve">the </w:t>
      </w:r>
      <w:r w:rsidRPr="005F1F83">
        <w:rPr>
          <w:rFonts w:eastAsia="Segoe UI"/>
        </w:rPr>
        <w:t xml:space="preserve">provision </w:t>
      </w:r>
      <w:r w:rsidRPr="005F1F83">
        <w:rPr>
          <w:rFonts w:eastAsia="Segoe UI" w:cs="Segoe UI"/>
        </w:rPr>
        <w:t>of contraception following an abortion</w:t>
      </w:r>
      <w:r w:rsidRPr="005F1F83">
        <w:t xml:space="preserve">. </w:t>
      </w:r>
      <w:r w:rsidRPr="005F1F83">
        <w:rPr>
          <w:rFonts w:eastAsia="Segoe UI" w:cs="Segoe UI"/>
        </w:rPr>
        <w:t>This is because</w:t>
      </w:r>
      <w:r w:rsidRPr="005F1F83">
        <w:rPr>
          <w:rFonts w:eastAsia="Segoe UI"/>
        </w:rPr>
        <w:t xml:space="preserve"> certain contraceptives, such as a LARC IUD, which must be inserted into the uterus, </w:t>
      </w:r>
      <w:r>
        <w:rPr>
          <w:rFonts w:eastAsia="Segoe UI"/>
        </w:rPr>
        <w:t>are</w:t>
      </w:r>
      <w:r w:rsidRPr="005F1F83">
        <w:rPr>
          <w:rFonts w:eastAsia="Segoe UI"/>
        </w:rPr>
        <w:t xml:space="preserve"> not generally </w:t>
      </w:r>
      <w:r>
        <w:rPr>
          <w:rFonts w:eastAsia="Segoe UI"/>
        </w:rPr>
        <w:t>provided</w:t>
      </w:r>
      <w:r w:rsidRPr="005F1F83">
        <w:rPr>
          <w:rFonts w:eastAsia="Segoe UI"/>
        </w:rPr>
        <w:t xml:space="preserve"> immediately following a med</w:t>
      </w:r>
      <w:r w:rsidRPr="00C02390">
        <w:rPr>
          <w:rFonts w:eastAsia="Segoe UI"/>
        </w:rPr>
        <w:t>ical abortion when it is more likely to be expelled</w:t>
      </w:r>
      <w:r w:rsidRPr="00C02390">
        <w:rPr>
          <w:rFonts w:eastAsia="Segoe UI" w:cs="Segoe UI"/>
        </w:rPr>
        <w:t>. This</w:t>
      </w:r>
      <w:r w:rsidRPr="005F1F83">
        <w:rPr>
          <w:rFonts w:eastAsia="Segoe UI" w:cs="Segoe UI"/>
        </w:rPr>
        <w:t xml:space="preserve"> form of LARC</w:t>
      </w:r>
      <w:r w:rsidRPr="005F1F83">
        <w:rPr>
          <w:rFonts w:eastAsia="Segoe UI"/>
        </w:rPr>
        <w:t xml:space="preserve"> is therefore generally accessed at a follow-up </w:t>
      </w:r>
      <w:r w:rsidRPr="005F1F83">
        <w:t xml:space="preserve">appointment. </w:t>
      </w:r>
    </w:p>
    <w:p w14:paraId="1C17D0D3" w14:textId="77777777" w:rsidR="00C70445" w:rsidRPr="005F1F83" w:rsidRDefault="00C70445" w:rsidP="00C70445"/>
    <w:bookmarkEnd w:id="19"/>
    <w:p w14:paraId="04BE4F8E" w14:textId="0A1C0D8E" w:rsidR="00C70445" w:rsidRDefault="00C70445" w:rsidP="00C70445">
      <w:pPr>
        <w:rPr>
          <w:rFonts w:eastAsia="Segoe UI" w:cs="Segoe UI"/>
          <w:szCs w:val="21"/>
        </w:rPr>
      </w:pPr>
      <w:r w:rsidRPr="005F1F83">
        <w:rPr>
          <w:rFonts w:eastAsia="Segoe UI" w:cs="Segoe UI"/>
          <w:szCs w:val="21"/>
        </w:rPr>
        <w:t xml:space="preserve">As a result, and due to the reporting requirements to submit a notification of abortion form within one month of an abortion procedure, the Ministry may not receive a full account of contraception provided following abortion. Additionally, the increased use of regional and national telehealth services for EMA, which may require a </w:t>
      </w:r>
      <w:r w:rsidR="00982B8D">
        <w:rPr>
          <w:rFonts w:eastAsia="Calibri"/>
        </w:rPr>
        <w:t>woman</w:t>
      </w:r>
      <w:r w:rsidRPr="005F1F83">
        <w:rPr>
          <w:rFonts w:eastAsia="Segoe UI" w:cs="Segoe UI"/>
          <w:szCs w:val="21"/>
        </w:rPr>
        <w:t xml:space="preserve"> to access a secondary provider for contraception, could limit comprehensive reporting. </w:t>
      </w:r>
    </w:p>
    <w:p w14:paraId="1F3DB54B" w14:textId="4801B660" w:rsidR="00C70445" w:rsidRPr="005F1F83" w:rsidRDefault="00C70445" w:rsidP="00C70445">
      <w:r w:rsidRPr="005F1F83">
        <w:rPr>
          <w:rFonts w:eastAsia="Segoe UI" w:cs="Segoe UI"/>
          <w:szCs w:val="21"/>
        </w:rPr>
        <w:t xml:space="preserve"> </w:t>
      </w:r>
    </w:p>
    <w:p w14:paraId="1D60B519" w14:textId="064DB63B" w:rsidR="00C70445" w:rsidRDefault="00C70445" w:rsidP="00C70445">
      <w:r w:rsidRPr="005F1F83">
        <w:t xml:space="preserve">Therefore, a key factor following the law reform that may reduce the precision of reporting on contraception provision is the increase in access to EMA. In 2024, EMAs accounted for 66% of all abortions, compared with 38% in 2020. As </w:t>
      </w:r>
      <w:r w:rsidRPr="005F1F83">
        <w:fldChar w:fldCharType="begin"/>
      </w:r>
      <w:r w:rsidRPr="005F1F83">
        <w:instrText xml:space="preserve"> REF _Ref192074400 \h </w:instrText>
      </w:r>
      <w:r w:rsidRPr="005F1F83">
        <w:fldChar w:fldCharType="separate"/>
      </w:r>
      <w:r w:rsidR="00974F51" w:rsidRPr="005F1F83">
        <w:t xml:space="preserve">Figure </w:t>
      </w:r>
      <w:r w:rsidR="00974F51">
        <w:rPr>
          <w:noProof/>
        </w:rPr>
        <w:t>1</w:t>
      </w:r>
      <w:r w:rsidRPr="005F1F83">
        <w:fldChar w:fldCharType="end"/>
      </w:r>
      <w:r w:rsidRPr="005F1F83">
        <w:t xml:space="preserve"> shows, compared with</w:t>
      </w:r>
      <w:r>
        <w:t xml:space="preserve"> those using</w:t>
      </w:r>
      <w:r w:rsidRPr="005F1F83">
        <w:t xml:space="preserve"> surgical services, a greater proportion of </w:t>
      </w:r>
      <w:r w:rsidR="00555EE2">
        <w:t>women</w:t>
      </w:r>
      <w:r w:rsidR="00555EE2" w:rsidRPr="005F1F83">
        <w:t xml:space="preserve"> </w:t>
      </w:r>
      <w:r w:rsidRPr="005F1F83">
        <w:t>accessing EMA services are referred to a follow-up appointment, receive a contraception alternative to LARC (</w:t>
      </w:r>
      <w:proofErr w:type="spellStart"/>
      <w:r w:rsidRPr="005F1F83">
        <w:t>eg</w:t>
      </w:r>
      <w:proofErr w:type="spellEnd"/>
      <w:r w:rsidRPr="005F1F83">
        <w:t xml:space="preserve">, condoms or oral contraceptive medication) or receive no contraception at the time of abortion. </w:t>
      </w:r>
    </w:p>
    <w:p w14:paraId="2AD03FDA" w14:textId="77777777" w:rsidR="00C70445" w:rsidRPr="005F1F83" w:rsidRDefault="00C70445" w:rsidP="00C70445"/>
    <w:p w14:paraId="22103D90" w14:textId="31F22E52" w:rsidR="00C70445" w:rsidRDefault="00C70445" w:rsidP="00C70445">
      <w:r w:rsidRPr="005F1F83">
        <w:t xml:space="preserve">In particular, records indicate 10% of </w:t>
      </w:r>
      <w:r w:rsidR="00555EE2">
        <w:t>women</w:t>
      </w:r>
      <w:r w:rsidR="00555EE2" w:rsidRPr="005F1F83" w:rsidDel="00555EE2">
        <w:t xml:space="preserve"> </w:t>
      </w:r>
      <w:r w:rsidRPr="005F1F83">
        <w:t xml:space="preserve">accessing an EMA in 2024 also received LARC at the time of reporting, compared with 53% of those accessing surgical abortions. These findings are comparable with 2020 figures of 13% (EMA) and 54% (surgical). Reported figures may therefore misrepresent the actual uptake of LARC provision, as they exclude a growing proportion of </w:t>
      </w:r>
      <w:r w:rsidR="00DD408F">
        <w:rPr>
          <w:rFonts w:eastAsia="Calibri"/>
        </w:rPr>
        <w:t xml:space="preserve">women </w:t>
      </w:r>
      <w:r w:rsidRPr="005F1F83">
        <w:t xml:space="preserve">accessing EMAs who may need to access LARC through follow-up appointments.  </w:t>
      </w:r>
    </w:p>
    <w:p w14:paraId="14FEA51F" w14:textId="77777777" w:rsidR="00C70445" w:rsidRPr="005F1F83" w:rsidRDefault="00C70445" w:rsidP="00C70445"/>
    <w:p w14:paraId="42BCEB37" w14:textId="1B76EAFF" w:rsidR="00615399" w:rsidRPr="005F1F83" w:rsidRDefault="00615399" w:rsidP="00615399">
      <w:pPr>
        <w:pStyle w:val="Figure"/>
      </w:pPr>
      <w:bookmarkStart w:id="20" w:name="_Ref192074400"/>
      <w:bookmarkStart w:id="21" w:name="_Toc192349312"/>
      <w:bookmarkStart w:id="22" w:name="_Toc195016585"/>
      <w:r w:rsidRPr="005F1F83">
        <w:t xml:space="preserve">Figure </w:t>
      </w:r>
      <w:r>
        <w:fldChar w:fldCharType="begin"/>
      </w:r>
      <w:r>
        <w:instrText xml:space="preserve"> SEQ Figure \* ARABIC </w:instrText>
      </w:r>
      <w:r>
        <w:fldChar w:fldCharType="separate"/>
      </w:r>
      <w:r w:rsidR="00974F51">
        <w:rPr>
          <w:noProof/>
        </w:rPr>
        <w:t>1</w:t>
      </w:r>
      <w:r>
        <w:rPr>
          <w:noProof/>
        </w:rPr>
        <w:fldChar w:fldCharType="end"/>
      </w:r>
      <w:bookmarkEnd w:id="20"/>
      <w:r w:rsidRPr="005F1F83">
        <w:t>: Number of contraceptives provided</w:t>
      </w:r>
      <w:r>
        <w:t>,</w:t>
      </w:r>
      <w:r w:rsidRPr="005F1F83">
        <w:t xml:space="preserve"> by contraception and abortion type, 2020 and </w:t>
      </w:r>
      <w:proofErr w:type="gramStart"/>
      <w:r w:rsidRPr="005F1F83">
        <w:t>2024</w:t>
      </w:r>
      <w:bookmarkEnd w:id="21"/>
      <w:bookmarkEnd w:id="22"/>
      <w:proofErr w:type="gramEnd"/>
    </w:p>
    <w:p w14:paraId="0162755A" w14:textId="52CD5014" w:rsidR="00C70445" w:rsidRPr="00C70445" w:rsidRDefault="00615399" w:rsidP="00C70445">
      <w:r>
        <w:rPr>
          <w:noProof/>
        </w:rPr>
        <w:drawing>
          <wp:inline distT="0" distB="0" distL="0" distR="0" wp14:anchorId="1996947A" wp14:editId="10FFFD0E">
            <wp:extent cx="5118100" cy="2744602"/>
            <wp:effectExtent l="0" t="0" r="635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139919" cy="2756303"/>
                    </a:xfrm>
                    <a:prstGeom prst="rect">
                      <a:avLst/>
                    </a:prstGeom>
                    <a:noFill/>
                  </pic:spPr>
                </pic:pic>
              </a:graphicData>
            </a:graphic>
          </wp:inline>
        </w:drawing>
      </w:r>
    </w:p>
    <w:p w14:paraId="762946A0" w14:textId="77777777" w:rsidR="00615399" w:rsidRPr="005F1F83" w:rsidRDefault="00615399" w:rsidP="00615399">
      <w:pPr>
        <w:pStyle w:val="Note"/>
      </w:pPr>
      <w:r w:rsidRPr="005F1F83">
        <w:t>Note: ‘Other medical’ represents medical aborti</w:t>
      </w:r>
      <w:r w:rsidRPr="00C02390">
        <w:t>ons at later than 10</w:t>
      </w:r>
      <w:r w:rsidRPr="005F1F83">
        <w:t xml:space="preserve"> weeks’ gestation.</w:t>
      </w:r>
    </w:p>
    <w:p w14:paraId="288757D8" w14:textId="77777777" w:rsidR="00615399" w:rsidRPr="005F1F83" w:rsidRDefault="00615399" w:rsidP="00615399">
      <w:pPr>
        <w:pStyle w:val="Heading2"/>
      </w:pPr>
      <w:bookmarkStart w:id="23" w:name="_Toc195016554"/>
      <w:bookmarkStart w:id="24" w:name="_Toc192348796"/>
      <w:r w:rsidRPr="005F1F83">
        <w:t>Relative costs</w:t>
      </w:r>
      <w:r w:rsidRPr="00F87545">
        <w:t xml:space="preserve"> </w:t>
      </w:r>
      <w:r>
        <w:t>of</w:t>
      </w:r>
      <w:r w:rsidRPr="005F1F83">
        <w:t xml:space="preserve"> contraception throughout New Zealand</w:t>
      </w:r>
      <w:bookmarkEnd w:id="23"/>
      <w:r w:rsidRPr="005F1F83">
        <w:t xml:space="preserve"> </w:t>
      </w:r>
      <w:bookmarkEnd w:id="24"/>
    </w:p>
    <w:p w14:paraId="6B41CCB6" w14:textId="0F0D98E0" w:rsidR="00615399" w:rsidRDefault="00615399" w:rsidP="00615399">
      <w:r w:rsidRPr="005F1F83">
        <w:t xml:space="preserve">Assessing the relative costs of contraception throughout New Zealand is challenging as a result of the limited reporting requirements for contraception under the Information Collection Regulations. Contraceptive use and costs in the regulations are only considered through the lens of abortion under the </w:t>
      </w:r>
      <w:r>
        <w:t xml:space="preserve">CSA </w:t>
      </w:r>
      <w:r w:rsidRPr="005F1F83">
        <w:t xml:space="preserve">Act, so we have a limited view of costs within the health care system. This issue is further complicated by the availability of commonly used contraceptives for purchase at variable costs from, for example, private providers, pharmacies and supermarkets. </w:t>
      </w:r>
    </w:p>
    <w:p w14:paraId="17AE81F3" w14:textId="77777777" w:rsidR="00615399" w:rsidRPr="005F1F83" w:rsidRDefault="00615399" w:rsidP="00615399"/>
    <w:p w14:paraId="56575AC0" w14:textId="1CBC0013" w:rsidR="00615399" w:rsidRDefault="00615399" w:rsidP="00615399">
      <w:r w:rsidRPr="005F1F83">
        <w:t xml:space="preserve">Health New Zealand funds a broad range of sexual and reproductive health services, programmes and initiatives to support high-quality, safe and consistent practice across New Zealand. While it provides funded access to some contraception, this funding is not spread equitably across the country and some people still have to pay (depending on a variety of factors such as </w:t>
      </w:r>
      <w:r>
        <w:rPr>
          <w:rFonts w:eastAsia="Calibri"/>
        </w:rPr>
        <w:t>their</w:t>
      </w:r>
      <w:r w:rsidRPr="005F1F83">
        <w:rPr>
          <w:rFonts w:eastAsia="Calibri"/>
        </w:rPr>
        <w:t xml:space="preserve"> income, age, ethnicity and location) (Sexual Wellbeing Aotearoa 2020)</w:t>
      </w:r>
      <w:r w:rsidRPr="005F1F83">
        <w:t xml:space="preserve">. </w:t>
      </w:r>
    </w:p>
    <w:p w14:paraId="735BA69A" w14:textId="77777777" w:rsidR="00615399" w:rsidRPr="005F1F83" w:rsidRDefault="00615399" w:rsidP="00615399"/>
    <w:p w14:paraId="704162AC" w14:textId="1E1349A6" w:rsidR="00615399" w:rsidRDefault="00615399" w:rsidP="00615399">
      <w:r w:rsidRPr="005F1F83">
        <w:t xml:space="preserve">The Ministry notes that the cost </w:t>
      </w:r>
      <w:r>
        <w:t>of</w:t>
      </w:r>
      <w:r w:rsidRPr="005F1F83">
        <w:t xml:space="preserve"> contraception can also vary depending on the type of contraception </w:t>
      </w:r>
      <w:r>
        <w:t xml:space="preserve">the person is </w:t>
      </w:r>
      <w:r w:rsidRPr="005F1F83">
        <w:t>us</w:t>
      </w:r>
      <w:r>
        <w:t>ing</w:t>
      </w:r>
      <w:r w:rsidRPr="005F1F83">
        <w:t xml:space="preserve">. For example, some contraceptives require multiple health practitioner appointments throughout the year (such as every 12 weeks for LARC injections) even if the medicine itself is funded or partially funded. Additionally, we are aware that people may need to try several different </w:t>
      </w:r>
      <w:r>
        <w:t xml:space="preserve">types of </w:t>
      </w:r>
      <w:r w:rsidRPr="005F1F83">
        <w:t>contraceptives before settling on the one best suited to them.</w:t>
      </w:r>
    </w:p>
    <w:p w14:paraId="64FD27C4" w14:textId="77777777" w:rsidR="00615399" w:rsidRPr="005F1F83" w:rsidRDefault="00615399" w:rsidP="00615399"/>
    <w:p w14:paraId="1773420B" w14:textId="5EEB6876" w:rsidR="00615399" w:rsidRDefault="00615399" w:rsidP="00615399">
      <w:r w:rsidRPr="005F1F83">
        <w:t xml:space="preserve">While additional funding for LARC has increased in recent years, access criteria to funded LARC have been inconsistent across the country and access to trained LARC providers varies. As a result, access to LARC has been inequitable and people have faced cost barriers (McGinn et al 2021). </w:t>
      </w:r>
    </w:p>
    <w:p w14:paraId="0813640B" w14:textId="77777777" w:rsidR="00615399" w:rsidRPr="005F1F83" w:rsidRDefault="00615399" w:rsidP="00615399"/>
    <w:p w14:paraId="3BB966A7" w14:textId="6AF1A00F" w:rsidR="00615399" w:rsidRDefault="00615399" w:rsidP="00615399">
      <w:pPr>
        <w:rPr>
          <w:rFonts w:eastAsia="Calibri"/>
        </w:rPr>
      </w:pPr>
      <w:r w:rsidRPr="005F1F83">
        <w:rPr>
          <w:rFonts w:eastAsia="Calibri"/>
        </w:rPr>
        <w:t>Sexual Wellbeing Aotearoa, Youth One Stop Shops, and the Contraceptive Access Programme (funded by Health New Zealand) have been successful in providing affordable,</w:t>
      </w:r>
      <w:r w:rsidRPr="00F87545">
        <w:rPr>
          <w:rFonts w:eastAsia="Calibri"/>
        </w:rPr>
        <w:t xml:space="preserve"> </w:t>
      </w:r>
      <w:r w:rsidRPr="005F1F83">
        <w:rPr>
          <w:rFonts w:eastAsia="Calibri"/>
        </w:rPr>
        <w:t xml:space="preserve">acceptable care </w:t>
      </w:r>
      <w:r>
        <w:rPr>
          <w:rFonts w:eastAsia="Calibri"/>
        </w:rPr>
        <w:t xml:space="preserve">that is </w:t>
      </w:r>
      <w:r w:rsidRPr="005F1F83">
        <w:rPr>
          <w:rFonts w:eastAsia="Calibri"/>
        </w:rPr>
        <w:t>culturally safe</w:t>
      </w:r>
      <w:r>
        <w:rPr>
          <w:rFonts w:eastAsia="Calibri"/>
        </w:rPr>
        <w:t xml:space="preserve"> and</w:t>
      </w:r>
      <w:r w:rsidRPr="005F1F83">
        <w:rPr>
          <w:rFonts w:eastAsia="Calibri"/>
        </w:rPr>
        <w:t xml:space="preserve"> youth-friendly to help ameliorate this variation. </w:t>
      </w:r>
    </w:p>
    <w:p w14:paraId="3920C9D1" w14:textId="39EB297F" w:rsidR="008B666D" w:rsidRDefault="008B666D" w:rsidP="00C70445"/>
    <w:p w14:paraId="577FEBC2" w14:textId="77777777" w:rsidR="008B666D" w:rsidRDefault="008B666D" w:rsidP="008B666D">
      <w:pPr>
        <w:sectPr w:rsidR="008B666D" w:rsidSect="00CC19AA">
          <w:pgSz w:w="11907" w:h="16834" w:code="9"/>
          <w:pgMar w:top="1418" w:right="1701" w:bottom="1134" w:left="1843" w:header="284" w:footer="425" w:gutter="284"/>
          <w:cols w:space="720"/>
        </w:sectPr>
      </w:pPr>
    </w:p>
    <w:p w14:paraId="14CDF28B" w14:textId="1E3C1901" w:rsidR="00615399" w:rsidRDefault="008B666D" w:rsidP="00615399">
      <w:pPr>
        <w:pStyle w:val="Heading1"/>
        <w:spacing w:before="0"/>
      </w:pPr>
      <w:bookmarkStart w:id="25" w:name="_Toc195016555"/>
      <w:r w:rsidRPr="008B666D">
        <w:t>Sterilisation</w:t>
      </w:r>
      <w:r w:rsidR="00615399">
        <w:t xml:space="preserve"> – </w:t>
      </w:r>
      <w:proofErr w:type="spellStart"/>
      <w:r w:rsidR="00615399" w:rsidRPr="002E6022">
        <w:t>Te</w:t>
      </w:r>
      <w:proofErr w:type="spellEnd"/>
      <w:r w:rsidR="00615399" w:rsidRPr="002E6022">
        <w:t xml:space="preserve"> </w:t>
      </w:r>
      <w:proofErr w:type="spellStart"/>
      <w:r w:rsidR="00615399" w:rsidRPr="002E6022">
        <w:t>kokoti-uru</w:t>
      </w:r>
      <w:bookmarkEnd w:id="25"/>
      <w:proofErr w:type="spellEnd"/>
    </w:p>
    <w:p w14:paraId="1B35E6E9" w14:textId="3352800A" w:rsidR="00615399" w:rsidRDefault="00615399" w:rsidP="00615399">
      <w:r w:rsidRPr="005F1F83">
        <w:t xml:space="preserve">Sterilisation is an important form of permanent contraception that prevents </w:t>
      </w:r>
      <w:r w:rsidR="00752368">
        <w:t>pregnancy.</w:t>
      </w:r>
    </w:p>
    <w:p w14:paraId="15859253" w14:textId="77777777" w:rsidR="00615399" w:rsidRPr="005F1F83" w:rsidRDefault="00615399" w:rsidP="00615399"/>
    <w:p w14:paraId="7DE82A8B" w14:textId="404B2ED4" w:rsidR="00615399" w:rsidRDefault="00615399" w:rsidP="00615399">
      <w:r w:rsidRPr="005F1F83">
        <w:t xml:space="preserve">The </w:t>
      </w:r>
      <w:r>
        <w:t xml:space="preserve">CSA </w:t>
      </w:r>
      <w:r w:rsidRPr="005F1F83">
        <w:t xml:space="preserve">Act covers male and female sterilisation. However, reporting requirements are only for those sterilisations undertaken for the primary purpose of permanent contraception. For this reason, sterilisations undertaken for this purpose will be the focus of this report. </w:t>
      </w:r>
    </w:p>
    <w:p w14:paraId="1F504918" w14:textId="77777777" w:rsidR="00615399" w:rsidRPr="005F1F83" w:rsidRDefault="00615399" w:rsidP="00615399"/>
    <w:p w14:paraId="4EB515A6" w14:textId="6610DB88" w:rsidR="00615399" w:rsidRDefault="00615399" w:rsidP="00615399">
      <w:r w:rsidRPr="005F1F83">
        <w:t>Conversations about sterilisation are often first raised</w:t>
      </w:r>
      <w:r w:rsidRPr="005F1F83" w:rsidDel="0063605A">
        <w:t xml:space="preserve"> </w:t>
      </w:r>
      <w:r w:rsidRPr="005F1F83">
        <w:t xml:space="preserve">through GPs and primary care. However, sterilisations also occur alongside other medical procedures. For example, sterilisation procedures can be undertaken alongside caesarean sections or as a result of other surgeries (namely for cancer treatment). The most common form of female sterilisation is tubal ligation, although hysterectomies and salpingectomies are used in some cases. The most common form of male sterilisation is vasectomy. </w:t>
      </w:r>
    </w:p>
    <w:p w14:paraId="2FC2EAFE" w14:textId="77777777" w:rsidR="00615399" w:rsidRPr="005F1F83" w:rsidRDefault="00615399" w:rsidP="00615399"/>
    <w:p w14:paraId="140C6496" w14:textId="63BDCC0B" w:rsidR="00615399" w:rsidRDefault="00615399" w:rsidP="00615399">
      <w:r w:rsidRPr="005F1F83">
        <w:t>While certain procedures, such as vasectomies, have a clear purpose of permanent contraception, other procedures outside of that scope</w:t>
      </w:r>
      <w:r>
        <w:t xml:space="preserve"> can occur for the same purpose</w:t>
      </w:r>
      <w:r w:rsidRPr="005F1F83">
        <w:t>. For example, LARCs may be used as a permanent measure but are not captured by the sterilisation reporting requirements.</w:t>
      </w:r>
      <w:r w:rsidRPr="005F1F83">
        <w:rPr>
          <w:rStyle w:val="FootnoteReference"/>
        </w:rPr>
        <w:footnoteReference w:id="7"/>
      </w:r>
      <w:r w:rsidRPr="005F1F83">
        <w:t xml:space="preserve"> Hysterectomies and salpingectomies used to treat other medical conditions are not include</w:t>
      </w:r>
      <w:r>
        <w:t>d</w:t>
      </w:r>
      <w:r w:rsidRPr="005F1F83">
        <w:t xml:space="preserve"> in our data.</w:t>
      </w:r>
    </w:p>
    <w:p w14:paraId="03499D90" w14:textId="77777777" w:rsidR="00615399" w:rsidRPr="005F1F83" w:rsidRDefault="00615399" w:rsidP="00615399"/>
    <w:p w14:paraId="3A7B9BD2" w14:textId="3A2E4F71" w:rsidR="00615399" w:rsidRDefault="00615399" w:rsidP="00615399">
      <w:r w:rsidRPr="005F1F83">
        <w:t xml:space="preserve">The Ministry of Health gathers the data it needs to regulate and monitor equitable access to sterilisation services through providers completing a sterilisation reporting form after every procedure. The amendments made under the Information Collection Regulations introduced annual reporting for sterilisation providers for the first time. The questions focused specifically on types of services, timely access and reasons for refusal, alongside costs of the service. </w:t>
      </w:r>
    </w:p>
    <w:p w14:paraId="66B6AE40" w14:textId="77777777" w:rsidR="00615399" w:rsidRPr="005F1F83" w:rsidRDefault="00615399" w:rsidP="00615399">
      <w:pPr>
        <w:pStyle w:val="Heading2"/>
      </w:pPr>
      <w:bookmarkStart w:id="26" w:name="_Toc192348798"/>
      <w:bookmarkStart w:id="27" w:name="_Toc195016556"/>
      <w:r w:rsidRPr="005F1F83">
        <w:t>Data collection</w:t>
      </w:r>
      <w:bookmarkEnd w:id="26"/>
      <w:bookmarkEnd w:id="27"/>
    </w:p>
    <w:p w14:paraId="0947AECF" w14:textId="54BAD794" w:rsidR="00615399" w:rsidRDefault="00615399" w:rsidP="00615399">
      <w:r w:rsidRPr="005F1F83">
        <w:t>Over the last four years, the Ministry has been engaging with providers about sterilisation reporting and the numbers of providers reporting regularly have increased. However, significant gaps in the data remain.</w:t>
      </w:r>
    </w:p>
    <w:p w14:paraId="1EED356A" w14:textId="77777777" w:rsidR="00615399" w:rsidRPr="005F1F83" w:rsidRDefault="00615399" w:rsidP="00615399"/>
    <w:p w14:paraId="1E0A01B6" w14:textId="0D26E586" w:rsidR="00615399" w:rsidRDefault="00615399" w:rsidP="00615399">
      <w:r w:rsidRPr="005F1F83">
        <w:t xml:space="preserve">Resistance from some providers has contributed to the incomplete data. Some practitioners have told us they are unwilling to collect information from their patients as they do not agree with some of the questions, in particular the ones related to relationship status and number of children (see section 8 of the </w:t>
      </w:r>
      <w:r>
        <w:t xml:space="preserve">CSA </w:t>
      </w:r>
      <w:r w:rsidRPr="005F1F83">
        <w:t xml:space="preserve">Act). </w:t>
      </w:r>
    </w:p>
    <w:p w14:paraId="283FFA22" w14:textId="77777777" w:rsidR="00615399" w:rsidRPr="005F1F83" w:rsidRDefault="00615399" w:rsidP="00615399"/>
    <w:p w14:paraId="00F053AD" w14:textId="396BA386" w:rsidR="00615399" w:rsidRDefault="00615399" w:rsidP="00615399">
      <w:r>
        <w:t>I</w:t>
      </w:r>
      <w:r w:rsidRPr="005F1F83">
        <w:t>n 1977</w:t>
      </w:r>
      <w:r>
        <w:t>, t</w:t>
      </w:r>
      <w:r w:rsidRPr="005F1F83">
        <w:t xml:space="preserve">he Royal Commission into Contraception, Sterilisation and Abortion noted increasing demand for sterilisations in hospitals as permanent contraception. This demand was highest among lower socioeconomic groups, and couples who felt they already had enough children. As a result, the government of the time felt it would help to collect data that was relevant to understanding who was accessing sterilisation services. </w:t>
      </w:r>
    </w:p>
    <w:p w14:paraId="716D15DB" w14:textId="77777777" w:rsidR="00615399" w:rsidRPr="005F1F83" w:rsidRDefault="00615399" w:rsidP="00615399"/>
    <w:p w14:paraId="1EC6BBF0" w14:textId="00EC6C06" w:rsidR="00615399" w:rsidRDefault="00615399" w:rsidP="00615399">
      <w:r w:rsidRPr="005F1F83">
        <w:t xml:space="preserve">We acknowledge that some of the questions set out in the </w:t>
      </w:r>
      <w:r>
        <w:t xml:space="preserve">CSA </w:t>
      </w:r>
      <w:r w:rsidRPr="005F1F83">
        <w:t xml:space="preserve">Act are no longer relevant or appropriate, including questions around relationship status, race and number of children of the person seeking a sterilisation. The Ministry is working through changes to the questions for sterilisation services. These changes are yet to be finalised and, if approved, will be implemented later in 2025. </w:t>
      </w:r>
    </w:p>
    <w:p w14:paraId="08F8C03B" w14:textId="77777777" w:rsidR="00615399" w:rsidRPr="005F1F83" w:rsidRDefault="00615399" w:rsidP="00615399"/>
    <w:p w14:paraId="4924A07C" w14:textId="49F344B1" w:rsidR="00615399" w:rsidRDefault="00615399" w:rsidP="00615399">
      <w:r w:rsidRPr="005F1F83">
        <w:t xml:space="preserve">The Ministry intends that these new question sets will enhance the participation of providers in data collection. We also anticipate they will provide better data that we can use to draw firmer conclusions, by the next periodic review, on whether people have timely and equitable access to sterilisation services. </w:t>
      </w:r>
    </w:p>
    <w:p w14:paraId="149F148E" w14:textId="77777777" w:rsidR="00615399" w:rsidRPr="005F1F83" w:rsidRDefault="00615399" w:rsidP="00615399"/>
    <w:p w14:paraId="1D2D802A" w14:textId="35E44A14" w:rsidR="00615399" w:rsidRDefault="00615399" w:rsidP="00615399">
      <w:r w:rsidRPr="005F1F83">
        <w:t xml:space="preserve">The Ministry has not published data relating to sterilisation services because the data sets are not of a quality that allows any useful analysis. The data does not reflect accurate use. For example, of the 150 providers listed as offering sterilisation services, 62 (around 41.5%) provided an annual report for 2023. </w:t>
      </w:r>
    </w:p>
    <w:p w14:paraId="11FAA77A" w14:textId="77777777" w:rsidR="00615399" w:rsidRPr="005F1F83" w:rsidRDefault="00615399" w:rsidP="00615399"/>
    <w:p w14:paraId="759A9595" w14:textId="77777777" w:rsidR="00615399" w:rsidRPr="005F1F83" w:rsidRDefault="00615399" w:rsidP="00615399">
      <w:r w:rsidRPr="005F1F83">
        <w:t xml:space="preserve">Under the </w:t>
      </w:r>
      <w:r>
        <w:t xml:space="preserve">CSA </w:t>
      </w:r>
      <w:r w:rsidRPr="005F1F83">
        <w:t>Act, it is possible to issue fines to medical practitioners who do not comply with section 8(1) reporting. However, no fines have been issued to date. To be able to issue fines, the Ministry would need to be aware of individual incidents where providers have not reported on sterilisation procedures, which is difficult to identify given we remain unclear as to the scale of the workforce (</w:t>
      </w:r>
      <w:proofErr w:type="spellStart"/>
      <w:r w:rsidRPr="005F1F83">
        <w:t>ie</w:t>
      </w:r>
      <w:proofErr w:type="spellEnd"/>
      <w:r w:rsidRPr="005F1F83">
        <w:t>, who exactly is providing sterilisation services) and the existing</w:t>
      </w:r>
      <w:r>
        <w:t xml:space="preserve"> or </w:t>
      </w:r>
      <w:r w:rsidRPr="005F1F83">
        <w:t>historical data gaps. In addition, a fine of $100 may not be enough to stimulate reporting, creates an administrative burden</w:t>
      </w:r>
      <w:r>
        <w:t xml:space="preserve"> (for providers and the Ministry)</w:t>
      </w:r>
      <w:r w:rsidRPr="005F1F83">
        <w:t xml:space="preserve"> and potentially could damage relationships within the sector.</w:t>
      </w:r>
    </w:p>
    <w:p w14:paraId="46697C86" w14:textId="77777777" w:rsidR="00615399" w:rsidRPr="005F1F83" w:rsidRDefault="00615399" w:rsidP="00615399">
      <w:pPr>
        <w:pStyle w:val="Heading2"/>
      </w:pPr>
      <w:bookmarkStart w:id="28" w:name="_Toc192348799"/>
      <w:bookmarkStart w:id="29" w:name="_Toc195016557"/>
      <w:r w:rsidRPr="005F1F83">
        <w:t>Timely and equitable access</w:t>
      </w:r>
      <w:bookmarkEnd w:id="28"/>
      <w:bookmarkEnd w:id="29"/>
      <w:r w:rsidRPr="005F1F83">
        <w:t xml:space="preserve"> </w:t>
      </w:r>
    </w:p>
    <w:p w14:paraId="57DB0336" w14:textId="57F7AE5D" w:rsidR="00615399" w:rsidRDefault="00615399" w:rsidP="00615399">
      <w:r w:rsidRPr="005F1F83">
        <w:t>Wait times for female sterilisation procedures vary greatly across regions and by type of sterilisation procedure. However, due to incomplete data, the Ministry cannot draw clear conclusions beyond identifying that the range of wait times is anywhere from a few days to over one year between referral and first consultation, and a similar range of times appl</w:t>
      </w:r>
      <w:r>
        <w:t>ies</w:t>
      </w:r>
      <w:r w:rsidRPr="005F1F83">
        <w:t xml:space="preserve"> between consultation and the procedure. At the upper end of the timeframe, therefore, someone may have a wait time of two years (or longer) to access female sterilisation services. </w:t>
      </w:r>
    </w:p>
    <w:p w14:paraId="53E904B8" w14:textId="77777777" w:rsidR="00615399" w:rsidRPr="005F1F83" w:rsidRDefault="00615399" w:rsidP="00615399"/>
    <w:p w14:paraId="081702FD" w14:textId="4C4B201D" w:rsidR="00615399" w:rsidRDefault="00615399" w:rsidP="00615399">
      <w:r w:rsidRPr="005F1F83">
        <w:t xml:space="preserve">For male sterilisation procedures, the wait times can be 1 to 31 weeks between referral and consultation, and from </w:t>
      </w:r>
      <w:r>
        <w:t xml:space="preserve">the </w:t>
      </w:r>
      <w:r w:rsidRPr="005F1F83">
        <w:t xml:space="preserve">same day to 30 weeks between consultation and the procedure. While these wait times are shorter than for female sterilisation procedures, a person can still wait for just over one year to access a procedure. Additionally, male sterilisation procedures are typically accessed </w:t>
      </w:r>
      <w:proofErr w:type="gramStart"/>
      <w:r w:rsidRPr="005F1F83">
        <w:t>privately</w:t>
      </w:r>
      <w:proofErr w:type="gramEnd"/>
      <w:r w:rsidRPr="005F1F83">
        <w:t xml:space="preserve"> and funded options appear to be limited in the public health system. Note that the Ministry only collects data from the point of referral, and it is unclear what the patient journey looks like prior to and leading up to referral.</w:t>
      </w:r>
    </w:p>
    <w:p w14:paraId="791BE3FB" w14:textId="77777777" w:rsidR="00A21925" w:rsidRPr="005F1F83" w:rsidRDefault="00A21925" w:rsidP="00615399"/>
    <w:p w14:paraId="75DA6B9D" w14:textId="77777777" w:rsidR="00615399" w:rsidRPr="005F1F83" w:rsidRDefault="00615399" w:rsidP="00615399">
      <w:r w:rsidRPr="005F1F83">
        <w:t>In early 2022</w:t>
      </w:r>
      <w:r>
        <w:t>, t</w:t>
      </w:r>
      <w:r w:rsidRPr="005F1F83">
        <w:t xml:space="preserve">he Ministry met with the Royal Australian and New Zealand College of Obstetricians and Gynaecologists (RANZCOG) and the Urological Society of Australia and New Zealand (USANZ) about the requirements for sterilisation data collection. Following these meetings, both RANZCOG and USANZ provided written feedback noting that sterilisation procedures and medical practice had changed since the </w:t>
      </w:r>
      <w:r>
        <w:t xml:space="preserve">CSA </w:t>
      </w:r>
      <w:r w:rsidRPr="005F1F83">
        <w:t xml:space="preserve">Act was written. Specifically, access to and availability of effective forms of LARC have improved significantly, and female sterilisation procedures are generally no longer a preferred contraceptive approach. Additionally, providers have told us that LARC is more often offered as a first option for those seeking sterilisation. </w:t>
      </w:r>
    </w:p>
    <w:p w14:paraId="575F5FB8" w14:textId="77777777" w:rsidR="00615399" w:rsidRPr="005F1F83" w:rsidRDefault="00615399" w:rsidP="00615399">
      <w:pPr>
        <w:pStyle w:val="Heading3"/>
      </w:pPr>
      <w:r w:rsidRPr="005F1F83">
        <w:t>Disabled people’s access</w:t>
      </w:r>
    </w:p>
    <w:p w14:paraId="00E7EF16" w14:textId="7F06DE6A" w:rsidR="00615399" w:rsidRDefault="00615399" w:rsidP="00615399">
      <w:r w:rsidRPr="005F1F83">
        <w:t xml:space="preserve">The disability sector has had long-standing concerns about sterilisations performed on disabled people without informed consent, as noted during the Royal Commission of Inquiry into Abuse in Care (2024). The Royal Commission asked the Ministry to provide data on how many disabled people that received sterilisation and whether they had provided informed consent for that. The Ministry was unable to provide this information due to the lack of any coherent or reliable data. While legislative requirements outline practitioners’ responsibility to report all cases where a third party gives consent for a </w:t>
      </w:r>
      <w:r w:rsidR="00752368">
        <w:rPr>
          <w:rFonts w:eastAsia="Calibri"/>
        </w:rPr>
        <w:t>woman</w:t>
      </w:r>
      <w:r w:rsidRPr="005F1F83">
        <w:t xml:space="preserve"> accessing an abortion, no such legislative requirement applies to sterilisation services. </w:t>
      </w:r>
    </w:p>
    <w:p w14:paraId="0740CEA2" w14:textId="77777777" w:rsidR="00A21925" w:rsidRPr="005F1F83" w:rsidRDefault="00A21925" w:rsidP="00615399"/>
    <w:p w14:paraId="5CCBDF47" w14:textId="5C43D6FF" w:rsidR="00615399" w:rsidRDefault="00615399" w:rsidP="00615399">
      <w:r w:rsidRPr="005F1F83">
        <w:t>Following the request from the Royal Commission of Inquiry into Abuse in Care, the Ministry worked internally to strengthen data collection on disabled people’s access to sterilisation services. In 2022, it included optional questions on the notification of sterilisation form to collect information on whether the person accessing sterilisation services had a disability and whether a third par</w:t>
      </w:r>
      <w:r w:rsidRPr="00C02390">
        <w:t>ty provided consent. Additional optional questions focused on whether a court order or capacity assessment was issued in relation to the sterilisation procedure. Following this adjustment to the form, a small number of cases have been reported where a third party provided consent to a sterilisation.</w:t>
      </w:r>
      <w:r w:rsidRPr="005F1F83">
        <w:t xml:space="preserve">  </w:t>
      </w:r>
    </w:p>
    <w:p w14:paraId="319BCCAE" w14:textId="77777777" w:rsidR="00A21925" w:rsidRPr="005F1F83" w:rsidRDefault="00A21925" w:rsidP="00615399"/>
    <w:p w14:paraId="1441A128" w14:textId="53EE0918" w:rsidR="00615399" w:rsidRPr="005F1F83" w:rsidRDefault="00615399" w:rsidP="00615399">
      <w:r w:rsidRPr="005F1F83">
        <w:t xml:space="preserve">However, although the reporting form now includes questions about disability status and informed consent, under-reporting on disabled people accessing sterilisations may still occur because of poor reporting rates. Additionally, questions relating to disability and consent are included only as an optional addition to the reporting form, and providers are under no legislative requirement to supply this information. As a result, effective oversight is unlikely to be achieved based on this information. Furthermore, the questions do not capture information on informed consent to LARC. </w:t>
      </w:r>
    </w:p>
    <w:p w14:paraId="34D02BDC" w14:textId="77777777" w:rsidR="00615399" w:rsidRPr="005F1F83" w:rsidRDefault="00615399" w:rsidP="00615399">
      <w:pPr>
        <w:pStyle w:val="Heading3"/>
      </w:pPr>
      <w:r w:rsidRPr="005F1F83">
        <w:t xml:space="preserve">Conscientious objection </w:t>
      </w:r>
    </w:p>
    <w:p w14:paraId="312F76D5" w14:textId="4107F319" w:rsidR="00615399" w:rsidRDefault="00615399" w:rsidP="00615399">
      <w:r w:rsidRPr="005F1F83">
        <w:t xml:space="preserve">We are aware of instances where conscientious objection prevents someone from accessing sterilisation services. Through the annual provider reporting form, the Ministry has been informed that people have been turned away when the health practitioner they approached considered them ‘too young’ to undergo the procedure, </w:t>
      </w:r>
      <w:r w:rsidRPr="00307017">
        <w:t>or refused services on the grounds that the person did not yet have biological children (</w:t>
      </w:r>
      <w:proofErr w:type="spellStart"/>
      <w:r w:rsidRPr="00307017">
        <w:t>ie</w:t>
      </w:r>
      <w:proofErr w:type="spellEnd"/>
      <w:r w:rsidRPr="00307017">
        <w:t xml:space="preserve">, suggesting they may change their mind later in life). </w:t>
      </w:r>
    </w:p>
    <w:p w14:paraId="6905CF49" w14:textId="77777777" w:rsidR="00A21925" w:rsidRPr="00307017" w:rsidRDefault="00A21925" w:rsidP="00615399"/>
    <w:p w14:paraId="04EE900A" w14:textId="77777777" w:rsidR="00615399" w:rsidRPr="005F1F83" w:rsidRDefault="00615399" w:rsidP="00615399">
      <w:r w:rsidRPr="00307017">
        <w:t xml:space="preserve">Ensuring that people seeking a sterilisation are aware of their rights and how to complain if they feel that a health practitioner has refused their request unlawfully will be considered as part of the Ministry’s </w:t>
      </w:r>
      <w:proofErr w:type="gramStart"/>
      <w:r w:rsidRPr="00307017">
        <w:t>5 year</w:t>
      </w:r>
      <w:proofErr w:type="gramEnd"/>
      <w:r w:rsidRPr="00307017">
        <w:t xml:space="preserve"> work plan (referenced in the recommendations chapter). </w:t>
      </w:r>
    </w:p>
    <w:p w14:paraId="4F188E1F" w14:textId="77777777" w:rsidR="00615399" w:rsidRPr="005F1F83" w:rsidRDefault="00615399" w:rsidP="00615399">
      <w:pPr>
        <w:pStyle w:val="Heading2"/>
      </w:pPr>
      <w:bookmarkStart w:id="30" w:name="_Toc192348800"/>
      <w:bookmarkStart w:id="31" w:name="_Toc195016558"/>
      <w:r w:rsidRPr="005F1F83">
        <w:t>Relative costs</w:t>
      </w:r>
      <w:r>
        <w:t xml:space="preserve"> of sterilisation</w:t>
      </w:r>
      <w:r w:rsidRPr="005F1F83">
        <w:t xml:space="preserve"> throughout New Zealand</w:t>
      </w:r>
      <w:bookmarkEnd w:id="30"/>
      <w:bookmarkEnd w:id="31"/>
    </w:p>
    <w:p w14:paraId="7C1127D4" w14:textId="1EEE0F1E" w:rsidR="00615399" w:rsidRDefault="00615399" w:rsidP="00615399">
      <w:r w:rsidRPr="005F1F83">
        <w:t xml:space="preserve">From the information that has been reported to the Ministry, it is clear that costs across the range of sterilisation procedures available vary greatly. While the </w:t>
      </w:r>
      <w:r>
        <w:t xml:space="preserve">CSA </w:t>
      </w:r>
      <w:r w:rsidRPr="005F1F83">
        <w:t>Act explicitly asks that this review includes only the relative costs for female sterilisation procedures, we have also included costs for vasectomies to provide a more detailed picture of services.</w:t>
      </w:r>
    </w:p>
    <w:p w14:paraId="2DC6C572" w14:textId="77777777" w:rsidR="00A21925" w:rsidRPr="005F1F83" w:rsidRDefault="00A21925" w:rsidP="00615399"/>
    <w:p w14:paraId="3931F7C9" w14:textId="3D916E32" w:rsidR="00615399" w:rsidRDefault="00615399" w:rsidP="00615399">
      <w:r w:rsidRPr="005F1F83">
        <w:t>As noted, while female sterilisation procedures are available in public hospitals, wait times are long. Because they are expensive to access through private providers, they are not an equitable option unless some form of subsidy was available.</w:t>
      </w:r>
    </w:p>
    <w:p w14:paraId="0F3D4E75" w14:textId="77777777" w:rsidR="00A21925" w:rsidRPr="005F1F83" w:rsidRDefault="00A21925" w:rsidP="00615399"/>
    <w:p w14:paraId="4CFBB8F4" w14:textId="77777777" w:rsidR="00615399" w:rsidRPr="005F1F83" w:rsidRDefault="00615399" w:rsidP="00615399">
      <w:r w:rsidRPr="005F1F83">
        <w:t>Price ranges for services are outlined below. These costs are for services that are either provided in private hospitals or not funded by the public health system:</w:t>
      </w:r>
    </w:p>
    <w:p w14:paraId="6FF347CC" w14:textId="77777777" w:rsidR="00615399" w:rsidRPr="00A21925" w:rsidRDefault="00615399" w:rsidP="00A21925">
      <w:pPr>
        <w:pStyle w:val="Bullet"/>
      </w:pPr>
      <w:r w:rsidRPr="00A21925">
        <w:t>hysterectomy: $5,650 to $25,000</w:t>
      </w:r>
    </w:p>
    <w:p w14:paraId="6316512C" w14:textId="77777777" w:rsidR="00615399" w:rsidRPr="00A21925" w:rsidRDefault="00615399" w:rsidP="00A21925">
      <w:pPr>
        <w:pStyle w:val="Bullet"/>
      </w:pPr>
      <w:r w:rsidRPr="00A21925">
        <w:t>salpingectomy: $4,000 to $22,000</w:t>
      </w:r>
    </w:p>
    <w:p w14:paraId="6A34ECC2" w14:textId="77777777" w:rsidR="00615399" w:rsidRPr="00A21925" w:rsidRDefault="00615399" w:rsidP="00A21925">
      <w:pPr>
        <w:pStyle w:val="Bullet"/>
      </w:pPr>
      <w:r w:rsidRPr="00A21925">
        <w:t>tubal ligation: $3,500 to $15,000</w:t>
      </w:r>
    </w:p>
    <w:p w14:paraId="0B6BBE46" w14:textId="77777777" w:rsidR="00615399" w:rsidRPr="00A21925" w:rsidRDefault="00615399" w:rsidP="00A21925">
      <w:pPr>
        <w:pStyle w:val="Bullet"/>
      </w:pPr>
      <w:r w:rsidRPr="00A21925">
        <w:t>vasectomy: $350 to $8,000.</w:t>
      </w:r>
    </w:p>
    <w:p w14:paraId="5CF30400" w14:textId="77777777" w:rsidR="00A21925" w:rsidRDefault="00A21925" w:rsidP="00615399"/>
    <w:p w14:paraId="3F6F3735" w14:textId="71ED6AD5" w:rsidR="00615399" w:rsidRDefault="00615399" w:rsidP="00615399">
      <w:r w:rsidRPr="005F1F83">
        <w:t xml:space="preserve">The Ministry of Health will work closely with Health New Zealand in the future about the cost for these procedures in the public system to enable greater comparison and a better understanding of cost for the next periodic review. </w:t>
      </w:r>
    </w:p>
    <w:p w14:paraId="3C2870BB" w14:textId="77777777" w:rsidR="00A21925" w:rsidRPr="005F1F83" w:rsidRDefault="00A21925" w:rsidP="00615399"/>
    <w:p w14:paraId="2D34D724" w14:textId="0E1DEF6E" w:rsidR="00A21925" w:rsidRDefault="00615399" w:rsidP="00615399">
      <w:r>
        <w:t>It is evident that costs</w:t>
      </w:r>
      <w:r w:rsidRPr="005F1F83">
        <w:t xml:space="preserve"> </w:t>
      </w:r>
      <w:r>
        <w:t xml:space="preserve">vary </w:t>
      </w:r>
      <w:r w:rsidRPr="005F1F83">
        <w:t>wide</w:t>
      </w:r>
      <w:r>
        <w:t>ly between</w:t>
      </w:r>
      <w:r w:rsidRPr="005F1F83">
        <w:t xml:space="preserve"> provider</w:t>
      </w:r>
      <w:r>
        <w:t>s</w:t>
      </w:r>
      <w:r w:rsidRPr="005F1F83">
        <w:t xml:space="preserve"> and, for female sterilisation in particular (outside of the public system), costs are prohibitive. While some public funding is available for male sterilisations through Work and Income (for those who meet specific criteria), it is not universally available (Work and Income </w:t>
      </w:r>
      <w:proofErr w:type="spellStart"/>
      <w:r w:rsidRPr="005F1F83">
        <w:t>nd</w:t>
      </w:r>
      <w:proofErr w:type="spellEnd"/>
      <w:r w:rsidRPr="005F1F83">
        <w:t xml:space="preserve">). Additionally, the Ministry does not capture which vasectomies were covered under this public funding structure, and therefore does not have accurate information on how many people use this service. </w:t>
      </w:r>
    </w:p>
    <w:p w14:paraId="63D8B1A3" w14:textId="0B23B879" w:rsidR="008B666D" w:rsidRDefault="008B666D" w:rsidP="00615399"/>
    <w:p w14:paraId="4BF4527E" w14:textId="77777777" w:rsidR="008B666D" w:rsidRDefault="008B666D" w:rsidP="008B666D">
      <w:pPr>
        <w:sectPr w:rsidR="008B666D" w:rsidSect="00CC19AA">
          <w:pgSz w:w="11907" w:h="16834" w:code="9"/>
          <w:pgMar w:top="1418" w:right="1701" w:bottom="1134" w:left="1843" w:header="284" w:footer="425" w:gutter="284"/>
          <w:cols w:space="720"/>
        </w:sectPr>
      </w:pPr>
    </w:p>
    <w:p w14:paraId="7468AFE7" w14:textId="25D9BD28" w:rsidR="008B666D" w:rsidRDefault="008B666D" w:rsidP="008B666D">
      <w:pPr>
        <w:pStyle w:val="Heading1"/>
        <w:spacing w:before="0"/>
      </w:pPr>
      <w:bookmarkStart w:id="32" w:name="_Toc195016559"/>
      <w:r w:rsidRPr="008B666D">
        <w:t>Information and advisory services</w:t>
      </w:r>
      <w:r w:rsidR="00A21925" w:rsidRPr="005F1F83">
        <w:t xml:space="preserve"> </w:t>
      </w:r>
      <w:r w:rsidR="00A21925">
        <w:t xml:space="preserve">– </w:t>
      </w:r>
      <w:proofErr w:type="spellStart"/>
      <w:r w:rsidR="00A21925" w:rsidRPr="00830F79">
        <w:t>Ngā</w:t>
      </w:r>
      <w:proofErr w:type="spellEnd"/>
      <w:r w:rsidR="00A21925" w:rsidRPr="00830F79">
        <w:t xml:space="preserve"> </w:t>
      </w:r>
      <w:proofErr w:type="spellStart"/>
      <w:r w:rsidR="00A21925" w:rsidRPr="00830F79">
        <w:t>ratonga</w:t>
      </w:r>
      <w:proofErr w:type="spellEnd"/>
      <w:r w:rsidR="00A21925" w:rsidRPr="00830F79">
        <w:t xml:space="preserve"> </w:t>
      </w:r>
      <w:proofErr w:type="spellStart"/>
      <w:r w:rsidR="00A21925" w:rsidRPr="00830F79">
        <w:t>tuku</w:t>
      </w:r>
      <w:proofErr w:type="spellEnd"/>
      <w:r w:rsidR="00A21925" w:rsidRPr="00830F79">
        <w:t xml:space="preserve"> </w:t>
      </w:r>
      <w:r w:rsidR="00A21925">
        <w:t>k</w:t>
      </w:r>
      <w:r w:rsidR="00D86EC3">
        <w:t>ō</w:t>
      </w:r>
      <w:r w:rsidR="00A21925">
        <w:t>rero</w:t>
      </w:r>
      <w:bookmarkEnd w:id="32"/>
    </w:p>
    <w:p w14:paraId="6FEBC09D" w14:textId="458F8B98" w:rsidR="00A21925" w:rsidRDefault="00A21925" w:rsidP="00A21925">
      <w:r w:rsidRPr="005F1F83">
        <w:t xml:space="preserve">The availability of timely, equitable, unbiased and accurate information and advisory services is critical </w:t>
      </w:r>
      <w:r>
        <w:t>in supporting</w:t>
      </w:r>
      <w:r w:rsidRPr="005F1F83">
        <w:t xml:space="preserve"> </w:t>
      </w:r>
      <w:r w:rsidR="00A124A0">
        <w:rPr>
          <w:rFonts w:eastAsia="Calibri"/>
        </w:rPr>
        <w:t xml:space="preserve">women </w:t>
      </w:r>
      <w:r>
        <w:t xml:space="preserve">to </w:t>
      </w:r>
      <w:r w:rsidRPr="005F1F83">
        <w:t xml:space="preserve">make an informed decision about their pregnancy options. </w:t>
      </w:r>
    </w:p>
    <w:p w14:paraId="282D8F1C" w14:textId="77777777" w:rsidR="00A21925" w:rsidRPr="005F1F83" w:rsidRDefault="00A21925" w:rsidP="00A21925"/>
    <w:p w14:paraId="42494537" w14:textId="76D7DB31" w:rsidR="00A21925" w:rsidRDefault="00A21925" w:rsidP="00A21925">
      <w:r w:rsidRPr="005F1F83">
        <w:t xml:space="preserve">The </w:t>
      </w:r>
      <w:r>
        <w:t xml:space="preserve">CSA </w:t>
      </w:r>
      <w:r w:rsidRPr="005F1F83">
        <w:t xml:space="preserve">Act considers information and advisory services as distinct from abortion counselling. These services relate specifically to the decision-making process about pregnancy options, including whether to have an abortion (in contrast to counselling, which might provide this information as part of the procedure).  </w:t>
      </w:r>
    </w:p>
    <w:p w14:paraId="5200E594" w14:textId="77777777" w:rsidR="00A21925" w:rsidRPr="005F1F83" w:rsidRDefault="00A21925" w:rsidP="00A21925"/>
    <w:p w14:paraId="0FF12454" w14:textId="2EEB2AD9" w:rsidR="00A21925" w:rsidRDefault="00A21925" w:rsidP="00A21925">
      <w:r w:rsidRPr="005F1F83">
        <w:t xml:space="preserve">Ensuring that </w:t>
      </w:r>
      <w:r w:rsidR="00A124A0">
        <w:rPr>
          <w:rFonts w:eastAsia="Calibri"/>
        </w:rPr>
        <w:t>women</w:t>
      </w:r>
      <w:r w:rsidRPr="005F1F83">
        <w:t xml:space="preserve"> have accessible, culturally safe information and education on women-specific health issues to reduce stigma and enable more women to access health advice is one of the priorities within the </w:t>
      </w:r>
      <w:r w:rsidRPr="00BA75DB">
        <w:rPr>
          <w:bCs/>
        </w:rPr>
        <w:t>Women’s Health Strategy 2023</w:t>
      </w:r>
      <w:r w:rsidRPr="002A1E2F">
        <w:rPr>
          <w:b/>
          <w:bCs/>
        </w:rPr>
        <w:t xml:space="preserve"> </w:t>
      </w:r>
      <w:r w:rsidRPr="005F1F83">
        <w:t xml:space="preserve">(Minister of Health 2023). Providing timely and equitable access to information about whether to continue or terminate a pregnancy supports this priority. </w:t>
      </w:r>
    </w:p>
    <w:p w14:paraId="129ACDBD" w14:textId="77777777" w:rsidR="00A21925" w:rsidRPr="005F1F83" w:rsidRDefault="00A21925" w:rsidP="00A21925"/>
    <w:p w14:paraId="310B59B9" w14:textId="77777777" w:rsidR="00A21925" w:rsidRPr="005F1F83" w:rsidRDefault="00A21925" w:rsidP="00A21925">
      <w:r w:rsidRPr="005F1F83">
        <w:t>A range of people and organisations in several settings provide information about whether to continue or terminate a pregnancy. They include:</w:t>
      </w:r>
    </w:p>
    <w:p w14:paraId="1B7DD252" w14:textId="77777777" w:rsidR="00A21925" w:rsidRPr="005F1F83" w:rsidRDefault="00A21925" w:rsidP="00A21925">
      <w:pPr>
        <w:pStyle w:val="Bullet"/>
      </w:pPr>
      <w:r w:rsidRPr="005F1F83">
        <w:t>health practitioners (</w:t>
      </w:r>
      <w:proofErr w:type="spellStart"/>
      <w:r w:rsidRPr="005F1F83">
        <w:t>eg</w:t>
      </w:r>
      <w:proofErr w:type="spellEnd"/>
      <w:r w:rsidRPr="005F1F83">
        <w:t>, doctors, nurses, midwives)</w:t>
      </w:r>
    </w:p>
    <w:p w14:paraId="44FA4B89" w14:textId="77777777" w:rsidR="00A21925" w:rsidRPr="005F1F83" w:rsidRDefault="00A21925" w:rsidP="00A21925">
      <w:pPr>
        <w:pStyle w:val="Bullet"/>
      </w:pPr>
      <w:r w:rsidRPr="005F1F83">
        <w:t xml:space="preserve">social workers and counsellors </w:t>
      </w:r>
    </w:p>
    <w:p w14:paraId="5130A601" w14:textId="77777777" w:rsidR="00A21925" w:rsidRPr="005F1F83" w:rsidRDefault="00A21925" w:rsidP="00A21925">
      <w:pPr>
        <w:pStyle w:val="Bullet"/>
      </w:pPr>
      <w:r w:rsidRPr="005F1F83">
        <w:t xml:space="preserve">sexual health organisations such as DECIDE (the national </w:t>
      </w:r>
      <w:r>
        <w:t xml:space="preserve">abortion </w:t>
      </w:r>
      <w:r w:rsidRPr="005F1F83">
        <w:t xml:space="preserve">telehealth service), Sexual Wellbeing Aotearoa and other local </w:t>
      </w:r>
      <w:proofErr w:type="gramStart"/>
      <w:r w:rsidRPr="005F1F83">
        <w:t>organisations</w:t>
      </w:r>
      <w:proofErr w:type="gramEnd"/>
      <w:r w:rsidRPr="005F1F83">
        <w:t xml:space="preserve"> </w:t>
      </w:r>
    </w:p>
    <w:p w14:paraId="525D4908" w14:textId="77777777" w:rsidR="00A21925" w:rsidRPr="005F1F83" w:rsidRDefault="00A21925" w:rsidP="00A21925">
      <w:pPr>
        <w:pStyle w:val="Bullet"/>
      </w:pPr>
      <w:r w:rsidRPr="005F1F83">
        <w:t xml:space="preserve">charities and religious-based organisations that provide information about </w:t>
      </w:r>
      <w:proofErr w:type="gramStart"/>
      <w:r w:rsidRPr="005F1F83">
        <w:t>pregnancy</w:t>
      </w:r>
      <w:proofErr w:type="gramEnd"/>
      <w:r w:rsidRPr="005F1F83">
        <w:t xml:space="preserve"> </w:t>
      </w:r>
    </w:p>
    <w:p w14:paraId="5FC79B7C" w14:textId="77777777" w:rsidR="00A21925" w:rsidRPr="005F1F83" w:rsidRDefault="00A21925" w:rsidP="00A21925">
      <w:pPr>
        <w:pStyle w:val="Bullet"/>
      </w:pPr>
      <w:r w:rsidRPr="005F1F83">
        <w:t xml:space="preserve">‘crisis’ pregnancy centres and pregnancy choice ‘opportunity shops’ (op-shops that support pregnancy choice information services often provided from the same location), many of which are run by groups with a conscientious objection to abortion. </w:t>
      </w:r>
    </w:p>
    <w:p w14:paraId="6AB25180" w14:textId="77777777" w:rsidR="00A21925" w:rsidRDefault="00A21925" w:rsidP="00A21925"/>
    <w:p w14:paraId="07A4CD40" w14:textId="0ED79E80" w:rsidR="00A21925" w:rsidRDefault="00A21925" w:rsidP="00A21925">
      <w:r w:rsidRPr="005F1F83">
        <w:t xml:space="preserve">Most of these organisations provide free information and advice on their website. For </w:t>
      </w:r>
      <w:r w:rsidR="00A124A0">
        <w:rPr>
          <w:rFonts w:eastAsia="Calibri"/>
        </w:rPr>
        <w:t xml:space="preserve">women </w:t>
      </w:r>
      <w:r w:rsidRPr="005F1F83">
        <w:t xml:space="preserve">seeking information and advice face to face, there may be a consultation fee. </w:t>
      </w:r>
    </w:p>
    <w:p w14:paraId="16952469" w14:textId="77777777" w:rsidR="00A21925" w:rsidRPr="005F1F83" w:rsidRDefault="00A21925" w:rsidP="00A21925"/>
    <w:p w14:paraId="5862C4A0" w14:textId="72A299F2" w:rsidR="00A21925" w:rsidRDefault="00A21925" w:rsidP="00A21925">
      <w:r w:rsidRPr="005F1F83">
        <w:t>Health practitioners providing information and advice on pregnancy are bound by their professional codes of practice. Their patients are further protected by the Code of Health and Disability Services Consumers</w:t>
      </w:r>
      <w:r>
        <w:t>’</w:t>
      </w:r>
      <w:r w:rsidRPr="005F1F83">
        <w:t xml:space="preserve"> Rights. Similarly, registered social workers have their own code of conduct that they must follow during practice.</w:t>
      </w:r>
    </w:p>
    <w:p w14:paraId="62F8D5E5" w14:textId="77777777" w:rsidR="00A21925" w:rsidRPr="005F1F83" w:rsidRDefault="00A21925" w:rsidP="00A21925"/>
    <w:p w14:paraId="601E06B0" w14:textId="00E85BE9" w:rsidR="00A21925" w:rsidRDefault="00A21925" w:rsidP="00A21925">
      <w:r w:rsidRPr="005F1F83">
        <w:t xml:space="preserve">The number of crisis pregnancy centres and opportunity shops </w:t>
      </w:r>
      <w:r>
        <w:t xml:space="preserve">linked to </w:t>
      </w:r>
      <w:r w:rsidRPr="005F1F83">
        <w:t xml:space="preserve">pregnancy choice is growing in New Zealand. Several online or over-the-phone ‘helpline’ services are also available. It appears, based on their publicly available information, that the intent behind these services is to delay or prevent </w:t>
      </w:r>
      <w:r w:rsidR="00A124A0">
        <w:rPr>
          <w:rFonts w:eastAsia="Calibri"/>
        </w:rPr>
        <w:t xml:space="preserve">women </w:t>
      </w:r>
      <w:r w:rsidRPr="005F1F83">
        <w:t xml:space="preserve">from seeking an abortion. </w:t>
      </w:r>
    </w:p>
    <w:p w14:paraId="51106221" w14:textId="77777777" w:rsidR="00A21925" w:rsidRPr="005F1F83" w:rsidRDefault="00A21925" w:rsidP="00A21925"/>
    <w:p w14:paraId="7AF38299" w14:textId="7C91709D" w:rsidR="00A21925" w:rsidRDefault="00A21925" w:rsidP="00A21925">
      <w:r w:rsidRPr="005F1F83">
        <w:t xml:space="preserve">In practice, we know that many of the people within these organisations are not health practitioners or registered social workers. </w:t>
      </w:r>
      <w:r w:rsidRPr="005F1F83" w:rsidDel="0084270F">
        <w:t>Services</w:t>
      </w:r>
      <w:r w:rsidRPr="005F1F83">
        <w:t xml:space="preserve"> are often provided by ‘volunteers’ (who often refer to themselves as counsellors) and they may belong to groups that oppose abortion. They are therefore not bound by the</w:t>
      </w:r>
      <w:r>
        <w:t xml:space="preserve"> CSA</w:t>
      </w:r>
      <w:r w:rsidRPr="005F1F83">
        <w:t xml:space="preserve"> Act or any kind of professional standards or regulations to offer services that are free from bias or coercion and do not spread misinformation. </w:t>
      </w:r>
    </w:p>
    <w:p w14:paraId="729A3510" w14:textId="77777777" w:rsidR="00A21925" w:rsidRPr="005F1F83" w:rsidRDefault="00A21925" w:rsidP="00A21925"/>
    <w:p w14:paraId="1540B5C2" w14:textId="3408A915" w:rsidR="00A21925" w:rsidRDefault="00A21925" w:rsidP="00A21925">
      <w:r w:rsidRPr="005F1F83">
        <w:t xml:space="preserve">Based on the consumer research the Ministry commissioned, for some </w:t>
      </w:r>
      <w:r w:rsidR="00A124A0">
        <w:rPr>
          <w:rFonts w:eastAsia="Calibri"/>
        </w:rPr>
        <w:t xml:space="preserve">women </w:t>
      </w:r>
      <w:r w:rsidRPr="005F1F83">
        <w:t>difficulty in accessing accurate information about abortion services (</w:t>
      </w:r>
      <w:proofErr w:type="spellStart"/>
      <w:r w:rsidRPr="005F1F83">
        <w:t>eg</w:t>
      </w:r>
      <w:proofErr w:type="spellEnd"/>
      <w:r w:rsidRPr="005F1F83">
        <w:t xml:space="preserve">, how to access services) remains a barrier to accessing abortion care. All three research reports noted that once </w:t>
      </w:r>
      <w:r w:rsidR="00A124A0">
        <w:rPr>
          <w:rFonts w:eastAsia="Calibri"/>
        </w:rPr>
        <w:t xml:space="preserve">women </w:t>
      </w:r>
      <w:r w:rsidRPr="005F1F83">
        <w:t xml:space="preserve">had accessed abortion services, their experience of the advice and support provided </w:t>
      </w:r>
      <w:r>
        <w:t>was</w:t>
      </w:r>
      <w:r w:rsidRPr="005F1F83">
        <w:t xml:space="preserve"> positive. Getting to the right place for the right information was the barrier. </w:t>
      </w:r>
    </w:p>
    <w:p w14:paraId="6AE620AA" w14:textId="20F294BC" w:rsidR="00A21925" w:rsidRPr="005F1F83" w:rsidRDefault="00A21925" w:rsidP="00A21925">
      <w:r w:rsidRPr="005F1F83">
        <w:t xml:space="preserve"> </w:t>
      </w:r>
    </w:p>
    <w:p w14:paraId="198007FB" w14:textId="4B4B5508" w:rsidR="00A21925" w:rsidRDefault="00A124A0" w:rsidP="00A21925">
      <w:r>
        <w:rPr>
          <w:rFonts w:eastAsia="Calibri"/>
        </w:rPr>
        <w:t>Women</w:t>
      </w:r>
      <w:r w:rsidR="00A21925" w:rsidRPr="005F1F83">
        <w:t xml:space="preserve"> may require a level of health literacy</w:t>
      </w:r>
      <w:r w:rsidR="00A21925" w:rsidRPr="005F1F83">
        <w:rPr>
          <w:rStyle w:val="FootnoteReference"/>
        </w:rPr>
        <w:footnoteReference w:id="8"/>
      </w:r>
      <w:r w:rsidR="00A21925" w:rsidRPr="005F1F83">
        <w:t xml:space="preserve"> to identify sources of information that are credible and to detect and avoid disinformation or misinformation. Additionally, some groups, such as those with additional needs in relation to decision-making and communication, may find it harder to access accurate information in understandable formats.</w:t>
      </w:r>
    </w:p>
    <w:p w14:paraId="2F3B9718" w14:textId="77777777" w:rsidR="00A21925" w:rsidRPr="005F1F83" w:rsidRDefault="00A21925" w:rsidP="00A21925"/>
    <w:p w14:paraId="5FBEE327" w14:textId="1C204F35" w:rsidR="00A21925" w:rsidRDefault="00A21925" w:rsidP="00A21925">
      <w:r w:rsidRPr="005F1F83">
        <w:t xml:space="preserve">As well as pointing to the need for easy access to information, all three commissioned research projects identified that the kind of language used in sources of information helps to remove barriers within this health service. For instance, </w:t>
      </w:r>
      <w:r>
        <w:t>r</w:t>
      </w:r>
      <w:r w:rsidRPr="005F1F83">
        <w:t>ainbow, Māori, Pacific and disabled communities all said inclusive and affirming language was important to them.</w:t>
      </w:r>
    </w:p>
    <w:p w14:paraId="1E8B75C7" w14:textId="77777777" w:rsidR="00A21925" w:rsidRPr="005F1F83" w:rsidRDefault="00A21925" w:rsidP="00A21925"/>
    <w:p w14:paraId="391D2722" w14:textId="67321EBE" w:rsidR="00A21925" w:rsidRDefault="00A21925" w:rsidP="00A21925">
      <w:r w:rsidRPr="005F1F83">
        <w:t xml:space="preserve">Despite the intention of the Select Committee, the </w:t>
      </w:r>
      <w:r>
        <w:t xml:space="preserve">CSA </w:t>
      </w:r>
      <w:r w:rsidRPr="005F1F83">
        <w:t xml:space="preserve">Act does not currently provide a basis for monitoring access to information and advisory services (outside of abortion counselling). The Ministry therefore does not have data on areas such as the cost, timeliness and equity of these services, and who provides them. </w:t>
      </w:r>
    </w:p>
    <w:p w14:paraId="08D25BDC" w14:textId="77777777" w:rsidR="00A21925" w:rsidRPr="005F1F83" w:rsidRDefault="00A21925" w:rsidP="00A21925"/>
    <w:p w14:paraId="2E7326A2" w14:textId="2409FBE9" w:rsidR="00A21925" w:rsidRDefault="00A21925" w:rsidP="00A21925">
      <w:pPr>
        <w:pStyle w:val="ListParagraph"/>
        <w:ind w:left="0"/>
      </w:pPr>
      <w:r w:rsidRPr="005F1F83">
        <w:t xml:space="preserve">For this reason, it is unclear whether </w:t>
      </w:r>
      <w:r w:rsidR="00A124A0">
        <w:rPr>
          <w:rFonts w:eastAsia="Calibri"/>
        </w:rPr>
        <w:t xml:space="preserve">women </w:t>
      </w:r>
      <w:r w:rsidRPr="005F1F83">
        <w:t xml:space="preserve">have timely access to unbiased, informative and accessible information to support them to make an informed decision about whether to continue or terminate their pregnancy. </w:t>
      </w:r>
    </w:p>
    <w:p w14:paraId="04411800" w14:textId="5042585E" w:rsidR="008B666D" w:rsidRDefault="008B666D" w:rsidP="008B666D"/>
    <w:p w14:paraId="4FFAC147" w14:textId="77777777" w:rsidR="008B666D" w:rsidRDefault="008B666D" w:rsidP="008B666D">
      <w:pPr>
        <w:sectPr w:rsidR="008B666D" w:rsidSect="00CC19AA">
          <w:pgSz w:w="11907" w:h="16834" w:code="9"/>
          <w:pgMar w:top="1418" w:right="1701" w:bottom="1134" w:left="1843" w:header="284" w:footer="425" w:gutter="284"/>
          <w:cols w:space="720"/>
        </w:sectPr>
      </w:pPr>
    </w:p>
    <w:p w14:paraId="425E8772" w14:textId="77777777" w:rsidR="00A21925" w:rsidRPr="005F1F83" w:rsidRDefault="008B666D" w:rsidP="00A21925">
      <w:pPr>
        <w:pStyle w:val="Heading1"/>
        <w:spacing w:before="0"/>
      </w:pPr>
      <w:bookmarkStart w:id="33" w:name="_Toc195016560"/>
      <w:r w:rsidRPr="008B666D">
        <w:t>Counselling</w:t>
      </w:r>
      <w:r w:rsidR="00A21925">
        <w:t xml:space="preserve"> – </w:t>
      </w:r>
      <w:proofErr w:type="spellStart"/>
      <w:r w:rsidR="00A21925" w:rsidRPr="009253B7">
        <w:t>Te</w:t>
      </w:r>
      <w:proofErr w:type="spellEnd"/>
      <w:r w:rsidR="00A21925" w:rsidRPr="009253B7">
        <w:t xml:space="preserve"> mahi </w:t>
      </w:r>
      <w:proofErr w:type="spellStart"/>
      <w:r w:rsidR="00A21925" w:rsidRPr="009253B7">
        <w:t>tohuora</w:t>
      </w:r>
      <w:bookmarkEnd w:id="33"/>
      <w:proofErr w:type="spellEnd"/>
    </w:p>
    <w:p w14:paraId="2FBB5364" w14:textId="2E11D19E" w:rsidR="00A21925" w:rsidRDefault="00A21925" w:rsidP="00A21925">
      <w:r w:rsidRPr="005F1F83">
        <w:t xml:space="preserve">Abortion counselling is not mandatory. However, the </w:t>
      </w:r>
      <w:r>
        <w:t xml:space="preserve">CSA </w:t>
      </w:r>
      <w:r w:rsidRPr="005F1F83">
        <w:t xml:space="preserve">Act is clear that a health practitioner providing abortion services must ensure the </w:t>
      </w:r>
      <w:r w:rsidR="00752368">
        <w:rPr>
          <w:rFonts w:eastAsia="Calibri"/>
        </w:rPr>
        <w:t>woman</w:t>
      </w:r>
      <w:r w:rsidRPr="005F1F83">
        <w:t xml:space="preserve"> seeking an abortion is aware that counselling is available. </w:t>
      </w:r>
    </w:p>
    <w:p w14:paraId="7390B826" w14:textId="77777777" w:rsidR="00A21925" w:rsidRPr="005F1F83" w:rsidRDefault="00A21925" w:rsidP="00A21925"/>
    <w:p w14:paraId="407AFC7E" w14:textId="11F58C09" w:rsidR="00A21925" w:rsidRDefault="00A21925" w:rsidP="00A21925">
      <w:r w:rsidRPr="005F1F83">
        <w:t>In describing abortion counselling, the WHO (2015) notes:</w:t>
      </w:r>
    </w:p>
    <w:p w14:paraId="1409DD0F" w14:textId="77777777" w:rsidR="00A21925" w:rsidRPr="005F1F83" w:rsidRDefault="00A21925" w:rsidP="00A21925"/>
    <w:p w14:paraId="1109C6E6" w14:textId="4E6CEE11" w:rsidR="00A21925" w:rsidRDefault="00A21925" w:rsidP="003376FA">
      <w:pPr>
        <w:pStyle w:val="NormalIndent"/>
        <w:spacing w:after="0"/>
        <w:ind w:left="567"/>
      </w:pPr>
      <w:r w:rsidRPr="005F1F83">
        <w:t xml:space="preserve">Counselling is more than information provision and refers to a focused, interactive process through which the woman voluntarily receives support, information and non-directive guidance from a trained person. It requires a much higher level of specific knowledge than providing general information about safe abortion care. </w:t>
      </w:r>
    </w:p>
    <w:p w14:paraId="43F5EC6D" w14:textId="77777777" w:rsidR="00A21925" w:rsidRPr="005F1F83" w:rsidRDefault="00A21925" w:rsidP="00A21925">
      <w:pPr>
        <w:pStyle w:val="NormalIndent"/>
        <w:spacing w:after="0"/>
      </w:pPr>
    </w:p>
    <w:p w14:paraId="1CE9599F" w14:textId="77777777" w:rsidR="00A21925" w:rsidRPr="005F1F83" w:rsidRDefault="00A21925" w:rsidP="00A21925">
      <w:r w:rsidRPr="005F1F83">
        <w:t xml:space="preserve">The Director-General </w:t>
      </w:r>
      <w:r>
        <w:t xml:space="preserve">of Health (Director-General) </w:t>
      </w:r>
      <w:r w:rsidRPr="005F1F83">
        <w:t xml:space="preserve">has an obligation under the </w:t>
      </w:r>
      <w:r>
        <w:t xml:space="preserve">CSA </w:t>
      </w:r>
      <w:r w:rsidRPr="005F1F83">
        <w:t>Act to collect, collate, analyse and publish information about the provision of counselling services in relation to, or in connection with, the provision of abortion services.</w:t>
      </w:r>
    </w:p>
    <w:p w14:paraId="517FD139" w14:textId="77777777" w:rsidR="003376FA" w:rsidRDefault="003376FA" w:rsidP="00A21925"/>
    <w:p w14:paraId="3F1FF39E" w14:textId="49BF7888" w:rsidR="00A21925" w:rsidRPr="005F1F83" w:rsidRDefault="00A21925" w:rsidP="00A21925">
      <w:r w:rsidRPr="005F1F83">
        <w:t>The Information Collection Regulations</w:t>
      </w:r>
      <w:r>
        <w:t>,</w:t>
      </w:r>
      <w:r w:rsidRPr="005F1F83">
        <w:t xml:space="preserve"> introduced in September 2021</w:t>
      </w:r>
      <w:r>
        <w:t>,</w:t>
      </w:r>
      <w:r w:rsidRPr="005F1F83">
        <w:t xml:space="preserve"> added annual reporting requirements for facilities providing abortion services. Their reporting must include information on:</w:t>
      </w:r>
    </w:p>
    <w:p w14:paraId="47D1B97B" w14:textId="77777777" w:rsidR="00A21925" w:rsidRPr="005F1F83" w:rsidRDefault="00A21925" w:rsidP="00A21925">
      <w:pPr>
        <w:pStyle w:val="Bullet"/>
      </w:pPr>
      <w:r w:rsidRPr="005F1F83">
        <w:t>their counselling workforce</w:t>
      </w:r>
    </w:p>
    <w:p w14:paraId="53C58FA8" w14:textId="77777777" w:rsidR="00A21925" w:rsidRPr="005F1F83" w:rsidRDefault="00A21925" w:rsidP="00A21925">
      <w:pPr>
        <w:pStyle w:val="Bullet"/>
      </w:pPr>
      <w:r w:rsidRPr="005F1F83">
        <w:t xml:space="preserve">the type of counselling provided, such as pre- or post-abortion </w:t>
      </w:r>
      <w:proofErr w:type="gramStart"/>
      <w:r w:rsidRPr="005F1F83">
        <w:t>counselling</w:t>
      </w:r>
      <w:proofErr w:type="gramEnd"/>
    </w:p>
    <w:p w14:paraId="5D24F00E" w14:textId="77777777" w:rsidR="00A21925" w:rsidRPr="005F1F83" w:rsidRDefault="00A21925" w:rsidP="00A21925">
      <w:pPr>
        <w:pStyle w:val="Bullet"/>
      </w:pPr>
      <w:r w:rsidRPr="005F1F83">
        <w:t xml:space="preserve">the cost of the counselling services and the circumstances in which patients are required to pay for the </w:t>
      </w:r>
      <w:proofErr w:type="gramStart"/>
      <w:r w:rsidRPr="005F1F83">
        <w:t>services</w:t>
      </w:r>
      <w:proofErr w:type="gramEnd"/>
    </w:p>
    <w:p w14:paraId="6D1A229F" w14:textId="77777777" w:rsidR="00A21925" w:rsidRPr="005F1F83" w:rsidRDefault="00A21925" w:rsidP="00A21925">
      <w:pPr>
        <w:pStyle w:val="Bullet"/>
      </w:pPr>
      <w:r w:rsidRPr="005F1F83">
        <w:t xml:space="preserve">whether these counselling services are offered in virtual or in-person settings. </w:t>
      </w:r>
    </w:p>
    <w:p w14:paraId="4685D612" w14:textId="77777777" w:rsidR="00A21925" w:rsidRDefault="00A21925" w:rsidP="00A21925"/>
    <w:p w14:paraId="1EAF304A" w14:textId="17724416" w:rsidR="00A21925" w:rsidRDefault="00A21925" w:rsidP="00A21925">
      <w:r w:rsidRPr="005F1F83">
        <w:t xml:space="preserve">In August 2022 the Ministry published the first Standard for Abortion Counselling in Aotearoa New Zealand (the Standard) (Ministry of Health 2022). In developing the Standard, the Ministry consulted with experts in counselling and social work, as well as those who provided abortion counselling.  </w:t>
      </w:r>
    </w:p>
    <w:p w14:paraId="15AAC7C7" w14:textId="77777777" w:rsidR="00A21925" w:rsidRPr="005F1F83" w:rsidRDefault="00A21925" w:rsidP="00A21925"/>
    <w:p w14:paraId="41DC4A8B" w14:textId="7CA3682C" w:rsidR="00A21925" w:rsidRDefault="00A21925" w:rsidP="00A21925">
      <w:r w:rsidRPr="005F1F83">
        <w:t xml:space="preserve">The purpose of abortion counselling is to provide comprehensive support and enhance a </w:t>
      </w:r>
      <w:r w:rsidR="00752368">
        <w:rPr>
          <w:rFonts w:eastAsia="Calibri"/>
        </w:rPr>
        <w:t>woman</w:t>
      </w:r>
      <w:r w:rsidRPr="005F1F83">
        <w:t>’s ability to assess and understand their situation, evaluate their options and make an informed choice or decision around abortion. It is distinct from the informed consent process that occurs as part of good clinical practice before providing an abortion.</w:t>
      </w:r>
    </w:p>
    <w:p w14:paraId="5A6D2676" w14:textId="77777777" w:rsidR="00A21925" w:rsidRPr="005F1F83" w:rsidRDefault="00A21925" w:rsidP="00A21925"/>
    <w:p w14:paraId="3B249129" w14:textId="23E04EA8" w:rsidR="00A21925" w:rsidRDefault="00A21925" w:rsidP="00A21925">
      <w:r w:rsidRPr="005F1F83">
        <w:t xml:space="preserve">The Standard outlines that abortion counselling provides therapeutic support to </w:t>
      </w:r>
      <w:r w:rsidR="00A124A0">
        <w:rPr>
          <w:rFonts w:eastAsia="Calibri"/>
        </w:rPr>
        <w:t>women</w:t>
      </w:r>
      <w:r w:rsidRPr="005F1F83">
        <w:t xml:space="preserve"> who are considering having, or have had, an abortion. It is grounded in </w:t>
      </w:r>
      <w:proofErr w:type="spellStart"/>
      <w:r w:rsidRPr="005F1F83">
        <w:t>Te</w:t>
      </w:r>
      <w:proofErr w:type="spellEnd"/>
      <w:r w:rsidRPr="005F1F83">
        <w:t xml:space="preserve"> </w:t>
      </w:r>
      <w:proofErr w:type="spellStart"/>
      <w:r w:rsidRPr="005F1F83">
        <w:t>Tiriti</w:t>
      </w:r>
      <w:proofErr w:type="spellEnd"/>
      <w:r w:rsidRPr="005F1F83">
        <w:t xml:space="preserve"> o Waitangi and health equity practice and sets out what the Ministry expects of those delivering abortion-related counselling. </w:t>
      </w:r>
    </w:p>
    <w:p w14:paraId="6E2A18A9" w14:textId="77777777" w:rsidR="00A21925" w:rsidRPr="005F1F83" w:rsidRDefault="00A21925" w:rsidP="00A21925"/>
    <w:p w14:paraId="04E1A37F" w14:textId="77777777" w:rsidR="00A21925" w:rsidRPr="005F1F83" w:rsidRDefault="00A21925" w:rsidP="00A21925">
      <w:r w:rsidRPr="005F1F83">
        <w:t>The principles in the Standard are that abortion counsellors in delivering abortion counselling will:</w:t>
      </w:r>
    </w:p>
    <w:p w14:paraId="5F49EB31" w14:textId="77777777" w:rsidR="00A21925" w:rsidRPr="005F1F83" w:rsidRDefault="00A21925" w:rsidP="00A21925">
      <w:pPr>
        <w:pStyle w:val="Bullet"/>
      </w:pPr>
      <w:r w:rsidRPr="005F1F83">
        <w:t xml:space="preserve">give effect to Crown obligations under </w:t>
      </w:r>
      <w:proofErr w:type="spellStart"/>
      <w:r w:rsidRPr="005F1F83">
        <w:t>Te</w:t>
      </w:r>
      <w:proofErr w:type="spellEnd"/>
      <w:r w:rsidRPr="005F1F83">
        <w:t xml:space="preserve"> </w:t>
      </w:r>
      <w:proofErr w:type="spellStart"/>
      <w:r w:rsidRPr="005F1F83">
        <w:t>Tiriti</w:t>
      </w:r>
      <w:proofErr w:type="spellEnd"/>
      <w:r w:rsidRPr="005F1F83">
        <w:t xml:space="preserve"> o Waitangi, considering interests and needs of </w:t>
      </w:r>
      <w:proofErr w:type="gramStart"/>
      <w:r w:rsidRPr="005F1F83">
        <w:t>Māori</w:t>
      </w:r>
      <w:proofErr w:type="gramEnd"/>
    </w:p>
    <w:p w14:paraId="31D0AF83" w14:textId="77777777" w:rsidR="00A21925" w:rsidRPr="005F1F83" w:rsidRDefault="00A21925" w:rsidP="00A21925">
      <w:pPr>
        <w:pStyle w:val="Bullet"/>
      </w:pPr>
      <w:r w:rsidRPr="005F1F83">
        <w:t xml:space="preserve">be objective, impartial and </w:t>
      </w:r>
      <w:proofErr w:type="gramStart"/>
      <w:r w:rsidRPr="005F1F83">
        <w:t>non-judgemental</w:t>
      </w:r>
      <w:proofErr w:type="gramEnd"/>
    </w:p>
    <w:p w14:paraId="2DE9FFF8" w14:textId="77777777" w:rsidR="00A21925" w:rsidRPr="005F1F83" w:rsidRDefault="00A21925" w:rsidP="00A21925">
      <w:pPr>
        <w:pStyle w:val="Bullet"/>
      </w:pPr>
      <w:r w:rsidRPr="005F1F83">
        <w:t xml:space="preserve">ensure counselling services are accessible, equitable and of high </w:t>
      </w:r>
      <w:proofErr w:type="gramStart"/>
      <w:r w:rsidRPr="005F1F83">
        <w:t>quality</w:t>
      </w:r>
      <w:proofErr w:type="gramEnd"/>
    </w:p>
    <w:p w14:paraId="050D9C99" w14:textId="77777777" w:rsidR="00A21925" w:rsidRPr="005F1F83" w:rsidRDefault="00A21925" w:rsidP="00A21925">
      <w:pPr>
        <w:pStyle w:val="Bullet"/>
      </w:pPr>
      <w:r w:rsidRPr="005F1F83">
        <w:t xml:space="preserve">offer timely, person-specific and tailored </w:t>
      </w:r>
      <w:proofErr w:type="gramStart"/>
      <w:r w:rsidRPr="005F1F83">
        <w:t>support</w:t>
      </w:r>
      <w:proofErr w:type="gramEnd"/>
    </w:p>
    <w:p w14:paraId="763D4257" w14:textId="77777777" w:rsidR="00A21925" w:rsidRPr="005F1F83" w:rsidRDefault="00A21925" w:rsidP="00A21925">
      <w:pPr>
        <w:pStyle w:val="Bullet"/>
      </w:pPr>
      <w:r w:rsidRPr="005F1F83">
        <w:t>screen for and acknowledge trauma.</w:t>
      </w:r>
    </w:p>
    <w:p w14:paraId="2726FC9E" w14:textId="77777777" w:rsidR="00A21925" w:rsidRPr="005F1F83" w:rsidRDefault="00A21925" w:rsidP="00A21925">
      <w:pPr>
        <w:pStyle w:val="Heading2"/>
      </w:pPr>
      <w:bookmarkStart w:id="34" w:name="_Toc192348803"/>
      <w:bookmarkStart w:id="35" w:name="_Toc195016561"/>
      <w:r w:rsidRPr="005F1F83">
        <w:t>Timely and equitable access</w:t>
      </w:r>
      <w:bookmarkEnd w:id="34"/>
      <w:bookmarkEnd w:id="35"/>
      <w:r w:rsidRPr="005F1F83">
        <w:t xml:space="preserve"> </w:t>
      </w:r>
    </w:p>
    <w:p w14:paraId="1DB5FA5D" w14:textId="60010EBE" w:rsidR="00A21925" w:rsidRDefault="00A21925" w:rsidP="00A21925">
      <w:r w:rsidRPr="005F1F83">
        <w:t xml:space="preserve">Before 2020, nearly all abortion providers offered counselling as part of their service and had dedicated abortion counselling staff. The law change allowed for different ways of providing abortion care (including in primary care) and the number </w:t>
      </w:r>
      <w:r>
        <w:t xml:space="preserve">and diversity </w:t>
      </w:r>
      <w:r w:rsidRPr="005F1F83">
        <w:t xml:space="preserve">of providers in a range of settings has gradually grown. </w:t>
      </w:r>
    </w:p>
    <w:p w14:paraId="239F78E6" w14:textId="77777777" w:rsidR="00A21925" w:rsidRPr="005F1F83" w:rsidRDefault="00A21925" w:rsidP="00A21925"/>
    <w:p w14:paraId="695287C4" w14:textId="6F364172" w:rsidR="00A21925" w:rsidRPr="005F1F83" w:rsidRDefault="00A21925" w:rsidP="00A21925">
      <w:r w:rsidRPr="005F1F83">
        <w:t xml:space="preserve">The introduction of the national abortion telehealth service also allowed for providers in primary care to refer </w:t>
      </w:r>
      <w:r w:rsidR="00A124A0">
        <w:rPr>
          <w:rFonts w:eastAsia="Calibri"/>
        </w:rPr>
        <w:t xml:space="preserve">women </w:t>
      </w:r>
      <w:r w:rsidRPr="005F1F83">
        <w:t>for abortion counselling to provide an appropriate counselling pathway for those that requested it.</w:t>
      </w:r>
    </w:p>
    <w:p w14:paraId="1E2F5D12" w14:textId="77777777" w:rsidR="00A21925" w:rsidRPr="005F1F83" w:rsidRDefault="00A21925" w:rsidP="00A21925">
      <w:pPr>
        <w:pStyle w:val="Heading3"/>
      </w:pPr>
      <w:r w:rsidRPr="005F1F83">
        <w:t>What the research says</w:t>
      </w:r>
    </w:p>
    <w:p w14:paraId="1A12407A" w14:textId="37EDDC48" w:rsidR="00A21925" w:rsidRDefault="00A21925" w:rsidP="00A21925">
      <w:r w:rsidRPr="005F1F83">
        <w:t xml:space="preserve">All three commissioned research reports commented on consumer experiences of abortion counselling. It is evident that consumer experiences are </w:t>
      </w:r>
      <w:proofErr w:type="gramStart"/>
      <w:r w:rsidRPr="005F1F83">
        <w:t>varied</w:t>
      </w:r>
      <w:proofErr w:type="gramEnd"/>
      <w:r w:rsidRPr="005F1F83">
        <w:t xml:space="preserve"> and providers differ in the way they offer counselling. Further training would be beneficial for all providers and counsellors working in this space.</w:t>
      </w:r>
    </w:p>
    <w:p w14:paraId="3B288FFF" w14:textId="77777777" w:rsidR="00A21925" w:rsidRPr="005F1F83" w:rsidRDefault="00A21925" w:rsidP="00A21925"/>
    <w:p w14:paraId="49403FFE" w14:textId="51A44394" w:rsidR="00A21925" w:rsidRDefault="00A21925" w:rsidP="00A21925">
      <w:r w:rsidRPr="005F1F83">
        <w:t>In relation to post-abortion counselling, the Donald Beasley Institute (2025) reports:</w:t>
      </w:r>
    </w:p>
    <w:p w14:paraId="25C176E2" w14:textId="77777777" w:rsidR="00A21925" w:rsidRPr="005F1F83" w:rsidRDefault="00A21925" w:rsidP="00A21925"/>
    <w:p w14:paraId="40E3CB8A" w14:textId="1E28FB50" w:rsidR="00A21925" w:rsidRDefault="00A21925" w:rsidP="003376FA">
      <w:pPr>
        <w:pStyle w:val="Quote"/>
        <w:spacing w:before="0"/>
        <w:ind w:left="567"/>
      </w:pPr>
      <w:r w:rsidRPr="005F1F83">
        <w:t xml:space="preserve">one participant described how they chose not to do counselling because they felt secure in their decision. However, this participant also felt anxiety about potentially having to justify their decision within counselling sessions, revealing a mental barrier to accessing abortion counselling. (p 46) </w:t>
      </w:r>
    </w:p>
    <w:p w14:paraId="253DDF17" w14:textId="77777777" w:rsidR="00A21925" w:rsidRPr="00A21925" w:rsidRDefault="00A21925" w:rsidP="00A21925"/>
    <w:p w14:paraId="7E0445EB" w14:textId="09FA8815" w:rsidR="00A21925" w:rsidRDefault="00A21925" w:rsidP="00A21925">
      <w:r w:rsidRPr="005F1F83">
        <w:t xml:space="preserve">Recommendations from this research highlight that abortion counselling services are critical, that choice is </w:t>
      </w:r>
      <w:proofErr w:type="gramStart"/>
      <w:r w:rsidRPr="005F1F83">
        <w:t>important</w:t>
      </w:r>
      <w:proofErr w:type="gramEnd"/>
      <w:r w:rsidRPr="005F1F83">
        <w:t xml:space="preserve"> and that counselling remains optional (but available).  </w:t>
      </w:r>
    </w:p>
    <w:p w14:paraId="6B434825" w14:textId="77777777" w:rsidR="00A21925" w:rsidRPr="005F1F83" w:rsidRDefault="00A21925" w:rsidP="00A21925"/>
    <w:p w14:paraId="04FB51F2" w14:textId="0F33AE54" w:rsidR="00A21925" w:rsidRDefault="00A21925" w:rsidP="00A21925">
      <w:r>
        <w:t>National Centre for Women’s Health Research Aotearoa</w:t>
      </w:r>
      <w:r w:rsidRPr="005F1F83">
        <w:t xml:space="preserve"> (2025) reiterate</w:t>
      </w:r>
      <w:r>
        <w:t>s</w:t>
      </w:r>
      <w:r w:rsidRPr="005F1F83">
        <w:t xml:space="preserve"> that non-judgemental and supportive counselling </w:t>
      </w:r>
      <w:r>
        <w:t>is</w:t>
      </w:r>
      <w:r w:rsidRPr="005F1F83">
        <w:t xml:space="preserve"> important and most of its Māori and Pacific participants were offered counselling. The majority of those who accessed abortion counselling found it useful and informative.</w:t>
      </w:r>
    </w:p>
    <w:p w14:paraId="4CB37BCC" w14:textId="77777777" w:rsidR="00A21925" w:rsidRPr="005F1F83" w:rsidRDefault="00A21925" w:rsidP="00A21925"/>
    <w:p w14:paraId="388350E9" w14:textId="1CA10C31" w:rsidR="00A21925" w:rsidRDefault="00A21925" w:rsidP="00A21925">
      <w:r w:rsidRPr="005F1F83">
        <w:t>The research on rainbow people’s experience (Parker et al 2025) indicates that some providers still treated abortion counselling as a mandatory step in the process. Overall, it found an inconsistency in both abortion counselling provision and the points in the process at which it was offered. This inconsistency was raised as a concern to address for equitable provision of these services.</w:t>
      </w:r>
    </w:p>
    <w:p w14:paraId="20C3C3A0" w14:textId="77777777" w:rsidR="00A21925" w:rsidRPr="005F1F83" w:rsidRDefault="00A21925" w:rsidP="00A21925">
      <w:pPr>
        <w:pStyle w:val="Heading3"/>
      </w:pPr>
      <w:r w:rsidRPr="005F1F83">
        <w:t>Data collection</w:t>
      </w:r>
    </w:p>
    <w:p w14:paraId="1134A7D2" w14:textId="2993F174" w:rsidR="00A21925" w:rsidRDefault="00A21925" w:rsidP="00A21925">
      <w:r w:rsidRPr="005F1F83">
        <w:t xml:space="preserve">The Ministry began collecting data on pre-abortion counselling for </w:t>
      </w:r>
      <w:r w:rsidR="00A124A0">
        <w:rPr>
          <w:rFonts w:eastAsia="Calibri"/>
        </w:rPr>
        <w:t xml:space="preserve">women </w:t>
      </w:r>
      <w:r w:rsidRPr="005F1F83">
        <w:t xml:space="preserve">accessing an abortion within every notification of abortion form in 2022. Between 2022 and 2024, we observed a 35% decrease in </w:t>
      </w:r>
      <w:r w:rsidR="002B58CE">
        <w:t>women</w:t>
      </w:r>
      <w:r w:rsidR="002B58CE" w:rsidRPr="005F1F83" w:rsidDel="002B58CE">
        <w:t xml:space="preserve"> </w:t>
      </w:r>
      <w:r w:rsidRPr="005F1F83">
        <w:t xml:space="preserve">accessing pre-abortion counselling, despite a 21% increase in the total number of abortion procedures provided over this same period. </w:t>
      </w:r>
    </w:p>
    <w:p w14:paraId="52EFE267" w14:textId="77777777" w:rsidR="00A21925" w:rsidRPr="005F1F83" w:rsidRDefault="00A21925" w:rsidP="00A21925"/>
    <w:p w14:paraId="2C16DCD6" w14:textId="7B4C0885" w:rsidR="00A21925" w:rsidRDefault="00A21925" w:rsidP="00A21925">
      <w:r w:rsidRPr="005F1F83">
        <w:t xml:space="preserve">One reason for the decrease in the rate of pre-abortion counselling may be the effect of the removal of the perception of mandatory counselling in the old regime and promoting the view that </w:t>
      </w:r>
      <w:r w:rsidR="00A124A0">
        <w:rPr>
          <w:rFonts w:eastAsia="Calibri"/>
        </w:rPr>
        <w:t xml:space="preserve">women </w:t>
      </w:r>
      <w:r w:rsidRPr="005F1F83">
        <w:t xml:space="preserve">have freedom of choice. Another factor contributing to the decrease in counselling is the increase in medical abortions, and decrease in surgical abortions, over this same period. Specifically, as </w:t>
      </w:r>
      <w:r w:rsidRPr="005F1F83">
        <w:fldChar w:fldCharType="begin"/>
      </w:r>
      <w:r w:rsidRPr="005F1F83">
        <w:instrText xml:space="preserve"> REF _Ref192160698 \h </w:instrText>
      </w:r>
      <w:r w:rsidRPr="005F1F83">
        <w:fldChar w:fldCharType="separate"/>
      </w:r>
      <w:r w:rsidR="00974F51" w:rsidRPr="00A21925">
        <w:t xml:space="preserve">Figure </w:t>
      </w:r>
      <w:r w:rsidR="00974F51">
        <w:rPr>
          <w:noProof/>
        </w:rPr>
        <w:t>2</w:t>
      </w:r>
      <w:r w:rsidRPr="005F1F83">
        <w:fldChar w:fldCharType="end"/>
      </w:r>
      <w:r w:rsidRPr="005F1F83">
        <w:t xml:space="preserve"> shows, the proportion of </w:t>
      </w:r>
      <w:r w:rsidR="002B58CE">
        <w:t>women</w:t>
      </w:r>
      <w:r w:rsidRPr="005F1F83">
        <w:t xml:space="preserve"> who had pre-abortion counselling was higher for those accessing surgical abortion services than for those accessing medical abortion services. However, there was an overall decrease in the proportion of patients accessing pre-abortion counselling, regardless of which type of service they accessed.   </w:t>
      </w:r>
    </w:p>
    <w:p w14:paraId="7BC4DF66" w14:textId="77777777" w:rsidR="00A21925" w:rsidRPr="005F1F83" w:rsidRDefault="00A21925" w:rsidP="00A21925"/>
    <w:p w14:paraId="0422C467" w14:textId="5C5DFF6B" w:rsidR="00A21925" w:rsidRPr="00A21925" w:rsidRDefault="00A21925" w:rsidP="00A21925">
      <w:pPr>
        <w:pStyle w:val="Figure"/>
      </w:pPr>
      <w:bookmarkStart w:id="36" w:name="_Ref192160698"/>
      <w:bookmarkStart w:id="37" w:name="_Toc192349313"/>
      <w:bookmarkStart w:id="38" w:name="_Toc195016586"/>
      <w:r w:rsidRPr="00A21925">
        <w:t xml:space="preserve">Figure </w:t>
      </w:r>
      <w:r>
        <w:fldChar w:fldCharType="begin"/>
      </w:r>
      <w:r>
        <w:instrText xml:space="preserve"> SEQ Figure \* ARABIC </w:instrText>
      </w:r>
      <w:r>
        <w:fldChar w:fldCharType="separate"/>
      </w:r>
      <w:r w:rsidR="00974F51">
        <w:rPr>
          <w:noProof/>
        </w:rPr>
        <w:t>2</w:t>
      </w:r>
      <w:r>
        <w:rPr>
          <w:noProof/>
        </w:rPr>
        <w:fldChar w:fldCharType="end"/>
      </w:r>
      <w:bookmarkEnd w:id="36"/>
      <w:r w:rsidRPr="00A21925">
        <w:t xml:space="preserve">: Percentage of medical and surgical abortion procedures where </w:t>
      </w:r>
      <w:r w:rsidR="00A124A0">
        <w:rPr>
          <w:rFonts w:eastAsia="Calibri"/>
        </w:rPr>
        <w:t>women</w:t>
      </w:r>
      <w:r w:rsidRPr="00A21925">
        <w:t xml:space="preserve"> accessed pre-abortion counselling, 2022–</w:t>
      </w:r>
      <w:proofErr w:type="gramStart"/>
      <w:r w:rsidRPr="00A21925">
        <w:t>2024</w:t>
      </w:r>
      <w:bookmarkEnd w:id="37"/>
      <w:bookmarkEnd w:id="38"/>
      <w:proofErr w:type="gramEnd"/>
    </w:p>
    <w:p w14:paraId="44D561E8" w14:textId="77777777" w:rsidR="00A21925" w:rsidRPr="005F1F83" w:rsidRDefault="00A21925" w:rsidP="00A21925">
      <w:pPr>
        <w:rPr>
          <w:i/>
        </w:rPr>
      </w:pPr>
      <w:r w:rsidRPr="005F1F83">
        <w:rPr>
          <w:noProof/>
        </w:rPr>
        <w:drawing>
          <wp:inline distT="0" distB="0" distL="0" distR="0" wp14:anchorId="19CBE3E2" wp14:editId="479BB9FB">
            <wp:extent cx="4638675" cy="2257425"/>
            <wp:effectExtent l="0" t="0" r="0" b="0"/>
            <wp:docPr id="2105040471" name="Chart 1">
              <a:extLst xmlns:a="http://schemas.openxmlformats.org/drawingml/2006/main">
                <a:ext uri="{FF2B5EF4-FFF2-40B4-BE49-F238E27FC236}">
                  <a16:creationId xmlns:a16="http://schemas.microsoft.com/office/drawing/2014/main" id="{B6E65345-FD83-9CDD-F044-83435F1EEC76}"/>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2549B840" w14:textId="77777777" w:rsidR="00A21925" w:rsidRDefault="00A21925" w:rsidP="00A21925"/>
    <w:p w14:paraId="68E1B29F" w14:textId="77777777" w:rsidR="00D27C50" w:rsidRDefault="00D27C50" w:rsidP="00E30733">
      <w:pPr>
        <w:sectPr w:rsidR="00D27C50" w:rsidSect="00CC19AA">
          <w:pgSz w:w="11907" w:h="16834" w:code="9"/>
          <w:pgMar w:top="1418" w:right="1701" w:bottom="1134" w:left="1843" w:header="284" w:footer="425" w:gutter="284"/>
          <w:cols w:space="720"/>
        </w:sectPr>
      </w:pPr>
    </w:p>
    <w:p w14:paraId="4919EDDA" w14:textId="1022F0A6" w:rsidR="00A21925" w:rsidRDefault="00E30733" w:rsidP="00E30733">
      <w:r>
        <w:fldChar w:fldCharType="begin"/>
      </w:r>
      <w:r>
        <w:instrText xml:space="preserve"> REF _Ref192758161 \h  \* MERGEFORMAT </w:instrText>
      </w:r>
      <w:r>
        <w:fldChar w:fldCharType="separate"/>
      </w:r>
      <w:r w:rsidR="00974F51" w:rsidRPr="005F1F83">
        <w:t xml:space="preserve">Table </w:t>
      </w:r>
      <w:r w:rsidR="00974F51">
        <w:rPr>
          <w:noProof/>
        </w:rPr>
        <w:t>1</w:t>
      </w:r>
      <w:r>
        <w:fldChar w:fldCharType="end"/>
      </w:r>
      <w:r w:rsidR="00A21925" w:rsidRPr="005F1F83">
        <w:t xml:space="preserve"> to </w:t>
      </w:r>
      <w:r>
        <w:fldChar w:fldCharType="begin"/>
      </w:r>
      <w:r>
        <w:instrText xml:space="preserve"> REF _Ref192758173 \h  \* MERGEFORMAT </w:instrText>
      </w:r>
      <w:r>
        <w:fldChar w:fldCharType="separate"/>
      </w:r>
      <w:r w:rsidR="00974F51" w:rsidRPr="005F1F83">
        <w:t xml:space="preserve">Table </w:t>
      </w:r>
      <w:r w:rsidR="00974F51">
        <w:rPr>
          <w:noProof/>
        </w:rPr>
        <w:t>3</w:t>
      </w:r>
      <w:r>
        <w:fldChar w:fldCharType="end"/>
      </w:r>
      <w:r>
        <w:t xml:space="preserve"> </w:t>
      </w:r>
      <w:r w:rsidR="00A21925" w:rsidRPr="005F1F83">
        <w:t xml:space="preserve">show how access to pre-abortion counselling appears to differ between regions. Notably, a higher percentage of </w:t>
      </w:r>
      <w:r w:rsidR="00A124A0">
        <w:rPr>
          <w:rFonts w:eastAsia="Calibri"/>
        </w:rPr>
        <w:t xml:space="preserve">women </w:t>
      </w:r>
      <w:r w:rsidR="00A21925" w:rsidRPr="005F1F83">
        <w:t>accessed pre-abortion counselling in the Central region, particularly in 2022 (</w:t>
      </w:r>
      <w:r>
        <w:fldChar w:fldCharType="begin"/>
      </w:r>
      <w:r>
        <w:instrText xml:space="preserve"> REF _Ref192758161 \h  \* MERGEFORMAT </w:instrText>
      </w:r>
      <w:r>
        <w:fldChar w:fldCharType="separate"/>
      </w:r>
      <w:r w:rsidR="00974F51" w:rsidRPr="005F1F83">
        <w:t xml:space="preserve">Table </w:t>
      </w:r>
      <w:r w:rsidR="00974F51">
        <w:rPr>
          <w:noProof/>
        </w:rPr>
        <w:t>1</w:t>
      </w:r>
      <w:r>
        <w:fldChar w:fldCharType="end"/>
      </w:r>
      <w:r w:rsidR="00A21925" w:rsidRPr="005F1F83">
        <w:t>) and 2023 (</w:t>
      </w:r>
      <w:r>
        <w:fldChar w:fldCharType="begin"/>
      </w:r>
      <w:r>
        <w:instrText xml:space="preserve"> REF _Ref192758188 \h  \* MERGEFORMAT </w:instrText>
      </w:r>
      <w:r>
        <w:fldChar w:fldCharType="separate"/>
      </w:r>
      <w:r w:rsidR="00974F51" w:rsidRPr="005F1F83">
        <w:t xml:space="preserve">Table </w:t>
      </w:r>
      <w:r w:rsidR="00974F51">
        <w:rPr>
          <w:noProof/>
        </w:rPr>
        <w:t>2</w:t>
      </w:r>
      <w:r>
        <w:fldChar w:fldCharType="end"/>
      </w:r>
      <w:r w:rsidR="00A21925" w:rsidRPr="005F1F83">
        <w:t xml:space="preserve">). More analysis is required to understand the reasons for this difference further. It is possible that individual providers are influencing regional rates. For instance, in 2022, two facilities in the Central region accounted for 63% of abortion provision and 92% of pre-abortion counselling access, within that region. The percentage of abortions associated with pre-abortion counselling was 90% in one of those facilities and 98% in the other. </w:t>
      </w:r>
    </w:p>
    <w:p w14:paraId="13521E4A" w14:textId="77777777" w:rsidR="00E30733" w:rsidRPr="005F1F83" w:rsidRDefault="00E30733" w:rsidP="00E30733"/>
    <w:p w14:paraId="02C6A59B" w14:textId="273C7B0C" w:rsidR="00A21925" w:rsidRDefault="00A21925" w:rsidP="00A21925">
      <w:pPr>
        <w:pStyle w:val="Table"/>
      </w:pPr>
      <w:bookmarkStart w:id="39" w:name="_Ref192161298"/>
      <w:bookmarkStart w:id="40" w:name="_Ref192758161"/>
      <w:bookmarkStart w:id="41" w:name="_Toc192349323"/>
      <w:bookmarkStart w:id="42" w:name="_Toc195016594"/>
      <w:r w:rsidRPr="005F1F83">
        <w:t xml:space="preserve">Table </w:t>
      </w:r>
      <w:r>
        <w:fldChar w:fldCharType="begin"/>
      </w:r>
      <w:r>
        <w:instrText xml:space="preserve"> SEQ Table \* ARABIC </w:instrText>
      </w:r>
      <w:r>
        <w:fldChar w:fldCharType="separate"/>
      </w:r>
      <w:r w:rsidR="00974F51">
        <w:rPr>
          <w:noProof/>
        </w:rPr>
        <w:t>1</w:t>
      </w:r>
      <w:r>
        <w:rPr>
          <w:noProof/>
        </w:rPr>
        <w:fldChar w:fldCharType="end"/>
      </w:r>
      <w:bookmarkEnd w:id="39"/>
      <w:bookmarkEnd w:id="40"/>
      <w:r w:rsidRPr="005F1F83">
        <w:t>: Counselling provision by region of service, 2022</w:t>
      </w:r>
      <w:bookmarkEnd w:id="41"/>
      <w:bookmarkEnd w:id="42"/>
    </w:p>
    <w:tbl>
      <w:tblPr>
        <w:tblW w:w="8081" w:type="dxa"/>
        <w:tblLayout w:type="fixed"/>
        <w:tblLook w:val="04A0" w:firstRow="1" w:lastRow="0" w:firstColumn="1" w:lastColumn="0" w:noHBand="0" w:noVBand="1"/>
      </w:tblPr>
      <w:tblGrid>
        <w:gridCol w:w="1560"/>
        <w:gridCol w:w="1411"/>
        <w:gridCol w:w="1282"/>
        <w:gridCol w:w="1134"/>
        <w:gridCol w:w="1276"/>
        <w:gridCol w:w="1418"/>
      </w:tblGrid>
      <w:tr w:rsidR="00A21925" w:rsidRPr="005F1F83" w14:paraId="62F9CE19" w14:textId="77777777" w:rsidTr="00A21925">
        <w:trPr>
          <w:trHeight w:val="300"/>
        </w:trPr>
        <w:tc>
          <w:tcPr>
            <w:tcW w:w="1560" w:type="dxa"/>
            <w:tcBorders>
              <w:top w:val="nil"/>
              <w:left w:val="nil"/>
              <w:right w:val="nil"/>
            </w:tcBorders>
            <w:shd w:val="clear" w:color="auto" w:fill="D9D9D9" w:themeFill="background1" w:themeFillShade="D9"/>
            <w:tcMar>
              <w:left w:w="108" w:type="dxa"/>
              <w:right w:w="108" w:type="dxa"/>
            </w:tcMar>
          </w:tcPr>
          <w:p w14:paraId="2217A7B7" w14:textId="77777777" w:rsidR="00A21925" w:rsidRPr="005F1F83" w:rsidRDefault="00A21925" w:rsidP="007E5D11">
            <w:pPr>
              <w:pStyle w:val="TableText"/>
              <w:rPr>
                <w:b/>
              </w:rPr>
            </w:pPr>
            <w:r w:rsidRPr="005F1F83">
              <w:rPr>
                <w:b/>
              </w:rPr>
              <w:t>Region</w:t>
            </w:r>
          </w:p>
        </w:tc>
        <w:tc>
          <w:tcPr>
            <w:tcW w:w="1411" w:type="dxa"/>
            <w:tcBorders>
              <w:top w:val="nil"/>
              <w:left w:val="nil"/>
              <w:right w:val="nil"/>
            </w:tcBorders>
            <w:shd w:val="clear" w:color="auto" w:fill="D9D9D9" w:themeFill="background1" w:themeFillShade="D9"/>
            <w:tcMar>
              <w:left w:w="108" w:type="dxa"/>
              <w:right w:w="108" w:type="dxa"/>
            </w:tcMar>
          </w:tcPr>
          <w:p w14:paraId="0089E6FC" w14:textId="77777777" w:rsidR="00A21925" w:rsidRPr="005F1F83" w:rsidRDefault="00A21925" w:rsidP="007E5D11">
            <w:pPr>
              <w:pStyle w:val="TableText"/>
              <w:rPr>
                <w:b/>
              </w:rPr>
            </w:pPr>
            <w:r w:rsidRPr="005F1F83">
              <w:rPr>
                <w:b/>
                <w:bCs/>
              </w:rPr>
              <w:t xml:space="preserve">Accessed </w:t>
            </w:r>
            <w:r w:rsidRPr="005F1F83">
              <w:rPr>
                <w:b/>
                <w:bCs/>
              </w:rPr>
              <w:br/>
            </w:r>
            <w:r w:rsidRPr="005F1F83">
              <w:rPr>
                <w:b/>
              </w:rPr>
              <w:t>pre-abortion counselling</w:t>
            </w:r>
          </w:p>
        </w:tc>
        <w:tc>
          <w:tcPr>
            <w:tcW w:w="1282" w:type="dxa"/>
            <w:tcBorders>
              <w:top w:val="nil"/>
              <w:left w:val="nil"/>
              <w:right w:val="nil"/>
            </w:tcBorders>
            <w:shd w:val="clear" w:color="auto" w:fill="D9D9D9" w:themeFill="background1" w:themeFillShade="D9"/>
            <w:tcMar>
              <w:left w:w="108" w:type="dxa"/>
              <w:right w:w="108" w:type="dxa"/>
            </w:tcMar>
          </w:tcPr>
          <w:p w14:paraId="456EFA4F" w14:textId="77777777" w:rsidR="00A21925" w:rsidRPr="005F1F83" w:rsidRDefault="00A21925" w:rsidP="007E5D11">
            <w:pPr>
              <w:pStyle w:val="TableText"/>
              <w:rPr>
                <w:b/>
              </w:rPr>
            </w:pPr>
            <w:r w:rsidRPr="005F1F83">
              <w:rPr>
                <w:b/>
              </w:rPr>
              <w:t>Counselling from provider</w:t>
            </w:r>
            <w:r w:rsidRPr="005F1F83">
              <w:rPr>
                <w:b/>
                <w:vertAlign w:val="superscript"/>
              </w:rPr>
              <w:t>1</w:t>
            </w:r>
            <w:r w:rsidRPr="005F1F83">
              <w:rPr>
                <w:b/>
              </w:rPr>
              <w:t xml:space="preserve"> </w:t>
            </w:r>
          </w:p>
        </w:tc>
        <w:tc>
          <w:tcPr>
            <w:tcW w:w="1134" w:type="dxa"/>
            <w:tcBorders>
              <w:top w:val="nil"/>
              <w:left w:val="nil"/>
              <w:right w:val="single" w:sz="8" w:space="0" w:color="auto"/>
            </w:tcBorders>
            <w:shd w:val="clear" w:color="auto" w:fill="D9D9D9" w:themeFill="background1" w:themeFillShade="D9"/>
            <w:tcMar>
              <w:left w:w="108" w:type="dxa"/>
              <w:right w:w="108" w:type="dxa"/>
            </w:tcMar>
          </w:tcPr>
          <w:p w14:paraId="4D857B59" w14:textId="77777777" w:rsidR="00A21925" w:rsidRPr="005F1F83" w:rsidRDefault="00A21925" w:rsidP="007E5D11">
            <w:pPr>
              <w:pStyle w:val="TableText"/>
              <w:rPr>
                <w:b/>
              </w:rPr>
            </w:pPr>
            <w:r w:rsidRPr="005F1F83">
              <w:rPr>
                <w:b/>
              </w:rPr>
              <w:t>Total abortions</w:t>
            </w:r>
          </w:p>
        </w:tc>
        <w:tc>
          <w:tcPr>
            <w:tcW w:w="1276" w:type="dxa"/>
            <w:tcBorders>
              <w:top w:val="nil"/>
              <w:left w:val="single" w:sz="8" w:space="0" w:color="auto"/>
              <w:right w:val="nil"/>
            </w:tcBorders>
            <w:shd w:val="clear" w:color="auto" w:fill="D9D9D9" w:themeFill="background1" w:themeFillShade="D9"/>
            <w:tcMar>
              <w:left w:w="108" w:type="dxa"/>
              <w:right w:w="108" w:type="dxa"/>
            </w:tcMar>
          </w:tcPr>
          <w:p w14:paraId="14D9D1B0" w14:textId="77777777" w:rsidR="00A21925" w:rsidRPr="005F1F83" w:rsidRDefault="00A21925" w:rsidP="007E5D11">
            <w:pPr>
              <w:pStyle w:val="TableText"/>
              <w:rPr>
                <w:b/>
              </w:rPr>
            </w:pPr>
            <w:r w:rsidRPr="005F1F83">
              <w:rPr>
                <w:b/>
              </w:rPr>
              <w:t xml:space="preserve">% accessing counselling </w:t>
            </w:r>
          </w:p>
        </w:tc>
        <w:tc>
          <w:tcPr>
            <w:tcW w:w="1418" w:type="dxa"/>
            <w:tcBorders>
              <w:top w:val="nil"/>
              <w:left w:val="nil"/>
              <w:right w:val="nil"/>
            </w:tcBorders>
            <w:shd w:val="clear" w:color="auto" w:fill="D9D9D9" w:themeFill="background1" w:themeFillShade="D9"/>
            <w:tcMar>
              <w:left w:w="108" w:type="dxa"/>
              <w:right w:w="108" w:type="dxa"/>
            </w:tcMar>
          </w:tcPr>
          <w:p w14:paraId="034E03F0" w14:textId="77777777" w:rsidR="00A21925" w:rsidRPr="005F1F83" w:rsidRDefault="00A21925" w:rsidP="007E5D11">
            <w:pPr>
              <w:pStyle w:val="TableText"/>
              <w:rPr>
                <w:b/>
              </w:rPr>
            </w:pPr>
            <w:r w:rsidRPr="005F1F83">
              <w:rPr>
                <w:b/>
              </w:rPr>
              <w:t>% counselling from provider</w:t>
            </w:r>
          </w:p>
        </w:tc>
      </w:tr>
      <w:tr w:rsidR="00A21925" w:rsidRPr="005F1F83" w14:paraId="18FFC3BD" w14:textId="77777777" w:rsidTr="00A21925">
        <w:trPr>
          <w:trHeight w:val="300"/>
        </w:trPr>
        <w:tc>
          <w:tcPr>
            <w:tcW w:w="1560" w:type="dxa"/>
            <w:tcBorders>
              <w:left w:val="nil"/>
              <w:bottom w:val="single" w:sz="8" w:space="0" w:color="A6A6A6" w:themeColor="background1" w:themeShade="A6"/>
              <w:right w:val="nil"/>
            </w:tcBorders>
            <w:tcMar>
              <w:left w:w="108" w:type="dxa"/>
              <w:right w:w="108" w:type="dxa"/>
            </w:tcMar>
            <w:vAlign w:val="bottom"/>
          </w:tcPr>
          <w:p w14:paraId="246492F7" w14:textId="77777777" w:rsidR="00A21925" w:rsidRPr="005F1F83" w:rsidRDefault="00A21925" w:rsidP="007E5D11">
            <w:pPr>
              <w:pStyle w:val="TableText"/>
            </w:pPr>
            <w:proofErr w:type="spellStart"/>
            <w:r w:rsidRPr="005F1F83">
              <w:t>Te</w:t>
            </w:r>
            <w:proofErr w:type="spellEnd"/>
            <w:r w:rsidRPr="005F1F83">
              <w:t xml:space="preserve"> Tai </w:t>
            </w:r>
            <w:proofErr w:type="spellStart"/>
            <w:r w:rsidRPr="005F1F83">
              <w:t>Tokerau</w:t>
            </w:r>
            <w:proofErr w:type="spellEnd"/>
            <w:r w:rsidRPr="005F1F83">
              <w:br/>
              <w:t>(Northern)</w:t>
            </w:r>
          </w:p>
        </w:tc>
        <w:tc>
          <w:tcPr>
            <w:tcW w:w="1411" w:type="dxa"/>
            <w:tcBorders>
              <w:left w:val="nil"/>
              <w:bottom w:val="single" w:sz="8" w:space="0" w:color="A6A6A6" w:themeColor="background1" w:themeShade="A6"/>
              <w:right w:val="nil"/>
            </w:tcBorders>
            <w:tcMar>
              <w:left w:w="108" w:type="dxa"/>
              <w:right w:w="108" w:type="dxa"/>
            </w:tcMar>
            <w:vAlign w:val="center"/>
          </w:tcPr>
          <w:p w14:paraId="4166DE34" w14:textId="77777777" w:rsidR="00A21925" w:rsidRPr="005F1F83" w:rsidRDefault="00A21925" w:rsidP="007E5D11">
            <w:pPr>
              <w:pStyle w:val="TableText"/>
            </w:pPr>
            <w:r w:rsidRPr="005F1F83">
              <w:t>526</w:t>
            </w:r>
          </w:p>
        </w:tc>
        <w:tc>
          <w:tcPr>
            <w:tcW w:w="1282" w:type="dxa"/>
            <w:tcBorders>
              <w:left w:val="nil"/>
              <w:bottom w:val="single" w:sz="8" w:space="0" w:color="A6A6A6" w:themeColor="background1" w:themeShade="A6"/>
              <w:right w:val="nil"/>
            </w:tcBorders>
            <w:tcMar>
              <w:left w:w="108" w:type="dxa"/>
              <w:right w:w="108" w:type="dxa"/>
            </w:tcMar>
            <w:vAlign w:val="center"/>
          </w:tcPr>
          <w:p w14:paraId="22674DE1" w14:textId="77777777" w:rsidR="00A21925" w:rsidRPr="005F1F83" w:rsidRDefault="00A21925" w:rsidP="007E5D11">
            <w:pPr>
              <w:pStyle w:val="TableText"/>
            </w:pPr>
            <w:r w:rsidRPr="005F1F83">
              <w:t>406</w:t>
            </w:r>
          </w:p>
        </w:tc>
        <w:tc>
          <w:tcPr>
            <w:tcW w:w="1134" w:type="dxa"/>
            <w:tcBorders>
              <w:left w:val="nil"/>
              <w:bottom w:val="single" w:sz="8" w:space="0" w:color="A6A6A6" w:themeColor="background1" w:themeShade="A6"/>
              <w:right w:val="single" w:sz="8" w:space="0" w:color="auto"/>
            </w:tcBorders>
            <w:tcMar>
              <w:left w:w="108" w:type="dxa"/>
              <w:right w:w="108" w:type="dxa"/>
            </w:tcMar>
            <w:vAlign w:val="center"/>
          </w:tcPr>
          <w:p w14:paraId="7023742C" w14:textId="77777777" w:rsidR="00A21925" w:rsidRPr="005F1F83" w:rsidRDefault="00A21925" w:rsidP="007E5D11">
            <w:pPr>
              <w:pStyle w:val="TableText"/>
            </w:pPr>
            <w:r w:rsidRPr="005F1F83">
              <w:t>6,090</w:t>
            </w:r>
          </w:p>
        </w:tc>
        <w:tc>
          <w:tcPr>
            <w:tcW w:w="1276" w:type="dxa"/>
            <w:tcBorders>
              <w:left w:val="single" w:sz="8" w:space="0" w:color="auto"/>
              <w:bottom w:val="single" w:sz="8" w:space="0" w:color="A6A6A6" w:themeColor="background1" w:themeShade="A6"/>
              <w:right w:val="nil"/>
            </w:tcBorders>
            <w:tcMar>
              <w:left w:w="108" w:type="dxa"/>
              <w:right w:w="108" w:type="dxa"/>
            </w:tcMar>
            <w:vAlign w:val="center"/>
          </w:tcPr>
          <w:p w14:paraId="1B2CA81C" w14:textId="77777777" w:rsidR="00A21925" w:rsidRPr="005F1F83" w:rsidRDefault="00A21925" w:rsidP="007E5D11">
            <w:pPr>
              <w:pStyle w:val="TableText"/>
            </w:pPr>
            <w:r w:rsidRPr="005F1F83">
              <w:t>9</w:t>
            </w:r>
          </w:p>
        </w:tc>
        <w:tc>
          <w:tcPr>
            <w:tcW w:w="1418" w:type="dxa"/>
            <w:tcBorders>
              <w:left w:val="nil"/>
              <w:bottom w:val="single" w:sz="8" w:space="0" w:color="A6A6A6" w:themeColor="background1" w:themeShade="A6"/>
              <w:right w:val="nil"/>
            </w:tcBorders>
            <w:tcMar>
              <w:left w:w="108" w:type="dxa"/>
              <w:right w:w="108" w:type="dxa"/>
            </w:tcMar>
            <w:vAlign w:val="center"/>
          </w:tcPr>
          <w:p w14:paraId="1B39F1D9" w14:textId="77777777" w:rsidR="00A21925" w:rsidRPr="005F1F83" w:rsidRDefault="00A21925" w:rsidP="007E5D11">
            <w:pPr>
              <w:pStyle w:val="TableText"/>
            </w:pPr>
            <w:r w:rsidRPr="005F1F83">
              <w:t>77</w:t>
            </w:r>
          </w:p>
        </w:tc>
      </w:tr>
      <w:tr w:rsidR="00A21925" w:rsidRPr="005F1F83" w14:paraId="1A3E0CB8" w14:textId="77777777" w:rsidTr="00A21925">
        <w:trPr>
          <w:trHeight w:val="300"/>
        </w:trPr>
        <w:tc>
          <w:tcPr>
            <w:tcW w:w="1560" w:type="dxa"/>
            <w:tcBorders>
              <w:top w:val="single" w:sz="8" w:space="0" w:color="A6A6A6" w:themeColor="background1" w:themeShade="A6"/>
              <w:left w:val="nil"/>
              <w:bottom w:val="single" w:sz="8" w:space="0" w:color="A6A6A6" w:themeColor="background1" w:themeShade="A6"/>
              <w:right w:val="nil"/>
            </w:tcBorders>
            <w:tcMar>
              <w:left w:w="108" w:type="dxa"/>
              <w:right w:w="108" w:type="dxa"/>
            </w:tcMar>
            <w:vAlign w:val="bottom"/>
          </w:tcPr>
          <w:p w14:paraId="2704DC17" w14:textId="77777777" w:rsidR="00A21925" w:rsidRPr="005F1F83" w:rsidRDefault="00A21925" w:rsidP="007E5D11">
            <w:pPr>
              <w:pStyle w:val="TableText"/>
            </w:pPr>
            <w:proofErr w:type="spellStart"/>
            <w:r w:rsidRPr="005F1F83">
              <w:t>Te</w:t>
            </w:r>
            <w:proofErr w:type="spellEnd"/>
            <w:r w:rsidRPr="005F1F83">
              <w:t xml:space="preserve"> Manawa Taki (Midland)</w:t>
            </w:r>
          </w:p>
        </w:tc>
        <w:tc>
          <w:tcPr>
            <w:tcW w:w="1411" w:type="dxa"/>
            <w:tcBorders>
              <w:top w:val="single" w:sz="8" w:space="0" w:color="A6A6A6" w:themeColor="background1" w:themeShade="A6"/>
              <w:left w:val="nil"/>
              <w:bottom w:val="single" w:sz="8" w:space="0" w:color="A6A6A6" w:themeColor="background1" w:themeShade="A6"/>
              <w:right w:val="nil"/>
            </w:tcBorders>
            <w:tcMar>
              <w:left w:w="108" w:type="dxa"/>
              <w:right w:w="108" w:type="dxa"/>
            </w:tcMar>
            <w:vAlign w:val="center"/>
          </w:tcPr>
          <w:p w14:paraId="007C1B34" w14:textId="77777777" w:rsidR="00A21925" w:rsidRPr="005F1F83" w:rsidRDefault="00A21925" w:rsidP="007E5D11">
            <w:pPr>
              <w:pStyle w:val="TableText"/>
            </w:pPr>
            <w:r w:rsidRPr="005F1F83">
              <w:t>243</w:t>
            </w:r>
          </w:p>
        </w:tc>
        <w:tc>
          <w:tcPr>
            <w:tcW w:w="1282" w:type="dxa"/>
            <w:tcBorders>
              <w:top w:val="single" w:sz="8" w:space="0" w:color="A6A6A6" w:themeColor="background1" w:themeShade="A6"/>
              <w:left w:val="nil"/>
              <w:bottom w:val="single" w:sz="8" w:space="0" w:color="A6A6A6" w:themeColor="background1" w:themeShade="A6"/>
              <w:right w:val="nil"/>
            </w:tcBorders>
            <w:tcMar>
              <w:left w:w="108" w:type="dxa"/>
              <w:right w:w="108" w:type="dxa"/>
            </w:tcMar>
            <w:vAlign w:val="center"/>
          </w:tcPr>
          <w:p w14:paraId="342C39E3" w14:textId="77777777" w:rsidR="00A21925" w:rsidRPr="005F1F83" w:rsidRDefault="00A21925" w:rsidP="007E5D11">
            <w:pPr>
              <w:pStyle w:val="TableText"/>
            </w:pPr>
            <w:r w:rsidRPr="005F1F83">
              <w:t>228</w:t>
            </w:r>
          </w:p>
        </w:tc>
        <w:tc>
          <w:tcPr>
            <w:tcW w:w="1134" w:type="dxa"/>
            <w:tcBorders>
              <w:top w:val="single" w:sz="8" w:space="0" w:color="A6A6A6" w:themeColor="background1" w:themeShade="A6"/>
              <w:left w:val="nil"/>
              <w:bottom w:val="single" w:sz="8" w:space="0" w:color="A6A6A6" w:themeColor="background1" w:themeShade="A6"/>
              <w:right w:val="single" w:sz="8" w:space="0" w:color="auto"/>
            </w:tcBorders>
            <w:tcMar>
              <w:left w:w="108" w:type="dxa"/>
              <w:right w:w="108" w:type="dxa"/>
            </w:tcMar>
            <w:vAlign w:val="center"/>
          </w:tcPr>
          <w:p w14:paraId="1FB58273" w14:textId="77777777" w:rsidR="00A21925" w:rsidRPr="005F1F83" w:rsidRDefault="00A21925" w:rsidP="007E5D11">
            <w:pPr>
              <w:pStyle w:val="TableText"/>
            </w:pPr>
            <w:r w:rsidRPr="005F1F83">
              <w:t>1,888</w:t>
            </w:r>
          </w:p>
        </w:tc>
        <w:tc>
          <w:tcPr>
            <w:tcW w:w="1276" w:type="dxa"/>
            <w:tcBorders>
              <w:top w:val="single" w:sz="8" w:space="0" w:color="A6A6A6" w:themeColor="background1" w:themeShade="A6"/>
              <w:left w:val="single" w:sz="8" w:space="0" w:color="auto"/>
              <w:bottom w:val="single" w:sz="8" w:space="0" w:color="A6A6A6" w:themeColor="background1" w:themeShade="A6"/>
              <w:right w:val="nil"/>
            </w:tcBorders>
            <w:tcMar>
              <w:left w:w="108" w:type="dxa"/>
              <w:right w:w="108" w:type="dxa"/>
            </w:tcMar>
            <w:vAlign w:val="center"/>
          </w:tcPr>
          <w:p w14:paraId="115A319C" w14:textId="77777777" w:rsidR="00A21925" w:rsidRPr="005F1F83" w:rsidRDefault="00A21925" w:rsidP="007E5D11">
            <w:pPr>
              <w:pStyle w:val="TableText"/>
            </w:pPr>
            <w:r w:rsidRPr="005F1F83">
              <w:t>13</w:t>
            </w:r>
          </w:p>
        </w:tc>
        <w:tc>
          <w:tcPr>
            <w:tcW w:w="1418" w:type="dxa"/>
            <w:tcBorders>
              <w:top w:val="single" w:sz="8" w:space="0" w:color="A6A6A6" w:themeColor="background1" w:themeShade="A6"/>
              <w:left w:val="nil"/>
              <w:bottom w:val="single" w:sz="8" w:space="0" w:color="A6A6A6" w:themeColor="background1" w:themeShade="A6"/>
              <w:right w:val="nil"/>
            </w:tcBorders>
            <w:tcMar>
              <w:left w:w="108" w:type="dxa"/>
              <w:right w:w="108" w:type="dxa"/>
            </w:tcMar>
            <w:vAlign w:val="center"/>
          </w:tcPr>
          <w:p w14:paraId="4C2DF5DD" w14:textId="77777777" w:rsidR="00A21925" w:rsidRPr="005F1F83" w:rsidRDefault="00A21925" w:rsidP="007E5D11">
            <w:pPr>
              <w:pStyle w:val="TableText"/>
            </w:pPr>
            <w:r w:rsidRPr="005F1F83">
              <w:t>94</w:t>
            </w:r>
          </w:p>
        </w:tc>
      </w:tr>
      <w:tr w:rsidR="00A21925" w:rsidRPr="005F1F83" w14:paraId="693A6A63" w14:textId="77777777" w:rsidTr="00A21925">
        <w:trPr>
          <w:trHeight w:val="300"/>
        </w:trPr>
        <w:tc>
          <w:tcPr>
            <w:tcW w:w="1560" w:type="dxa"/>
            <w:tcBorders>
              <w:top w:val="single" w:sz="8" w:space="0" w:color="A6A6A6" w:themeColor="background1" w:themeShade="A6"/>
              <w:left w:val="nil"/>
              <w:bottom w:val="single" w:sz="8" w:space="0" w:color="A6A6A6" w:themeColor="background1" w:themeShade="A6"/>
              <w:right w:val="nil"/>
            </w:tcBorders>
            <w:tcMar>
              <w:left w:w="108" w:type="dxa"/>
              <w:right w:w="108" w:type="dxa"/>
            </w:tcMar>
            <w:vAlign w:val="bottom"/>
          </w:tcPr>
          <w:p w14:paraId="597AC084" w14:textId="77777777" w:rsidR="00A21925" w:rsidRPr="005F1F83" w:rsidRDefault="00A21925" w:rsidP="007E5D11">
            <w:pPr>
              <w:pStyle w:val="TableText"/>
            </w:pPr>
            <w:proofErr w:type="spellStart"/>
            <w:r w:rsidRPr="005F1F83">
              <w:t>Te</w:t>
            </w:r>
            <w:proofErr w:type="spellEnd"/>
            <w:r w:rsidRPr="005F1F83">
              <w:t xml:space="preserve"> </w:t>
            </w:r>
            <w:proofErr w:type="spellStart"/>
            <w:r w:rsidRPr="005F1F83">
              <w:t>Ikaroa</w:t>
            </w:r>
            <w:proofErr w:type="spellEnd"/>
            <w:r w:rsidRPr="005F1F83">
              <w:t xml:space="preserve"> (Central)</w:t>
            </w:r>
          </w:p>
        </w:tc>
        <w:tc>
          <w:tcPr>
            <w:tcW w:w="1411" w:type="dxa"/>
            <w:tcBorders>
              <w:top w:val="single" w:sz="8" w:space="0" w:color="A6A6A6" w:themeColor="background1" w:themeShade="A6"/>
              <w:left w:val="nil"/>
              <w:bottom w:val="single" w:sz="8" w:space="0" w:color="A6A6A6" w:themeColor="background1" w:themeShade="A6"/>
              <w:right w:val="nil"/>
            </w:tcBorders>
            <w:tcMar>
              <w:left w:w="108" w:type="dxa"/>
              <w:right w:w="108" w:type="dxa"/>
            </w:tcMar>
            <w:vAlign w:val="center"/>
          </w:tcPr>
          <w:p w14:paraId="55386157" w14:textId="77777777" w:rsidR="00A21925" w:rsidRPr="005F1F83" w:rsidRDefault="00A21925" w:rsidP="007E5D11">
            <w:pPr>
              <w:pStyle w:val="TableText"/>
            </w:pPr>
            <w:r w:rsidRPr="005F1F83">
              <w:t>1,775</w:t>
            </w:r>
          </w:p>
        </w:tc>
        <w:tc>
          <w:tcPr>
            <w:tcW w:w="1282" w:type="dxa"/>
            <w:tcBorders>
              <w:top w:val="single" w:sz="8" w:space="0" w:color="A6A6A6" w:themeColor="background1" w:themeShade="A6"/>
              <w:left w:val="nil"/>
              <w:bottom w:val="single" w:sz="8" w:space="0" w:color="A6A6A6" w:themeColor="background1" w:themeShade="A6"/>
              <w:right w:val="nil"/>
            </w:tcBorders>
            <w:tcMar>
              <w:left w:w="108" w:type="dxa"/>
              <w:right w:w="108" w:type="dxa"/>
            </w:tcMar>
            <w:vAlign w:val="center"/>
          </w:tcPr>
          <w:p w14:paraId="6EFB3B31" w14:textId="77777777" w:rsidR="00A21925" w:rsidRPr="005F1F83" w:rsidRDefault="00A21925" w:rsidP="007E5D11">
            <w:pPr>
              <w:pStyle w:val="TableText"/>
            </w:pPr>
            <w:r w:rsidRPr="005F1F83">
              <w:t>1,618</w:t>
            </w:r>
          </w:p>
        </w:tc>
        <w:tc>
          <w:tcPr>
            <w:tcW w:w="1134" w:type="dxa"/>
            <w:tcBorders>
              <w:top w:val="single" w:sz="8" w:space="0" w:color="A6A6A6" w:themeColor="background1" w:themeShade="A6"/>
              <w:left w:val="nil"/>
              <w:bottom w:val="single" w:sz="8" w:space="0" w:color="A6A6A6" w:themeColor="background1" w:themeShade="A6"/>
              <w:right w:val="single" w:sz="8" w:space="0" w:color="auto"/>
            </w:tcBorders>
            <w:tcMar>
              <w:left w:w="108" w:type="dxa"/>
              <w:right w:w="108" w:type="dxa"/>
            </w:tcMar>
            <w:vAlign w:val="center"/>
          </w:tcPr>
          <w:p w14:paraId="371AB8EB" w14:textId="77777777" w:rsidR="00A21925" w:rsidRPr="005F1F83" w:rsidRDefault="00A21925" w:rsidP="007E5D11">
            <w:pPr>
              <w:pStyle w:val="TableText"/>
            </w:pPr>
            <w:r w:rsidRPr="005F1F83">
              <w:t>2,843</w:t>
            </w:r>
          </w:p>
        </w:tc>
        <w:tc>
          <w:tcPr>
            <w:tcW w:w="1276" w:type="dxa"/>
            <w:tcBorders>
              <w:top w:val="single" w:sz="8" w:space="0" w:color="A6A6A6" w:themeColor="background1" w:themeShade="A6"/>
              <w:left w:val="single" w:sz="8" w:space="0" w:color="auto"/>
              <w:bottom w:val="single" w:sz="8" w:space="0" w:color="A6A6A6" w:themeColor="background1" w:themeShade="A6"/>
              <w:right w:val="nil"/>
            </w:tcBorders>
            <w:tcMar>
              <w:left w:w="108" w:type="dxa"/>
              <w:right w:w="108" w:type="dxa"/>
            </w:tcMar>
            <w:vAlign w:val="center"/>
          </w:tcPr>
          <w:p w14:paraId="1734DB6D" w14:textId="77777777" w:rsidR="00A21925" w:rsidRPr="005F1F83" w:rsidRDefault="00A21925" w:rsidP="007E5D11">
            <w:pPr>
              <w:pStyle w:val="TableText"/>
            </w:pPr>
            <w:r w:rsidRPr="005F1F83">
              <w:t>62</w:t>
            </w:r>
          </w:p>
        </w:tc>
        <w:tc>
          <w:tcPr>
            <w:tcW w:w="1418" w:type="dxa"/>
            <w:tcBorders>
              <w:top w:val="single" w:sz="8" w:space="0" w:color="A6A6A6" w:themeColor="background1" w:themeShade="A6"/>
              <w:left w:val="nil"/>
              <w:bottom w:val="single" w:sz="8" w:space="0" w:color="A6A6A6" w:themeColor="background1" w:themeShade="A6"/>
              <w:right w:val="nil"/>
            </w:tcBorders>
            <w:tcMar>
              <w:left w:w="108" w:type="dxa"/>
              <w:right w:w="108" w:type="dxa"/>
            </w:tcMar>
            <w:vAlign w:val="center"/>
          </w:tcPr>
          <w:p w14:paraId="61D2A615" w14:textId="77777777" w:rsidR="00A21925" w:rsidRPr="005F1F83" w:rsidRDefault="00A21925" w:rsidP="007E5D11">
            <w:pPr>
              <w:pStyle w:val="TableText"/>
            </w:pPr>
            <w:r w:rsidRPr="005F1F83">
              <w:t>91</w:t>
            </w:r>
          </w:p>
        </w:tc>
      </w:tr>
      <w:tr w:rsidR="00A21925" w:rsidRPr="005F1F83" w14:paraId="13DF3B98" w14:textId="77777777" w:rsidTr="00A21925">
        <w:trPr>
          <w:trHeight w:val="300"/>
        </w:trPr>
        <w:tc>
          <w:tcPr>
            <w:tcW w:w="1560" w:type="dxa"/>
            <w:tcBorders>
              <w:top w:val="single" w:sz="8" w:space="0" w:color="A6A6A6" w:themeColor="background1" w:themeShade="A6"/>
              <w:left w:val="nil"/>
              <w:bottom w:val="single" w:sz="8" w:space="0" w:color="A6A6A6" w:themeColor="background1" w:themeShade="A6"/>
              <w:right w:val="nil"/>
            </w:tcBorders>
            <w:tcMar>
              <w:left w:w="108" w:type="dxa"/>
              <w:right w:w="108" w:type="dxa"/>
            </w:tcMar>
            <w:vAlign w:val="bottom"/>
          </w:tcPr>
          <w:p w14:paraId="0110545A" w14:textId="77777777" w:rsidR="00A21925" w:rsidRPr="005F1F83" w:rsidRDefault="00A21925" w:rsidP="007E5D11">
            <w:pPr>
              <w:pStyle w:val="TableText"/>
            </w:pPr>
            <w:proofErr w:type="spellStart"/>
            <w:r w:rsidRPr="005F1F83">
              <w:t>Te</w:t>
            </w:r>
            <w:proofErr w:type="spellEnd"/>
            <w:r w:rsidRPr="005F1F83">
              <w:t xml:space="preserve"> Waipounamu (Southern) </w:t>
            </w:r>
          </w:p>
        </w:tc>
        <w:tc>
          <w:tcPr>
            <w:tcW w:w="1411" w:type="dxa"/>
            <w:tcBorders>
              <w:top w:val="single" w:sz="8" w:space="0" w:color="A6A6A6" w:themeColor="background1" w:themeShade="A6"/>
              <w:left w:val="nil"/>
              <w:bottom w:val="single" w:sz="8" w:space="0" w:color="A6A6A6" w:themeColor="background1" w:themeShade="A6"/>
              <w:right w:val="nil"/>
            </w:tcBorders>
            <w:tcMar>
              <w:left w:w="108" w:type="dxa"/>
              <w:right w:w="108" w:type="dxa"/>
            </w:tcMar>
            <w:vAlign w:val="center"/>
          </w:tcPr>
          <w:p w14:paraId="6A80A1E3" w14:textId="77777777" w:rsidR="00A21925" w:rsidRPr="005F1F83" w:rsidRDefault="00A21925" w:rsidP="007E5D11">
            <w:pPr>
              <w:pStyle w:val="TableText"/>
            </w:pPr>
            <w:r w:rsidRPr="005F1F83">
              <w:t>185</w:t>
            </w:r>
          </w:p>
        </w:tc>
        <w:tc>
          <w:tcPr>
            <w:tcW w:w="1282" w:type="dxa"/>
            <w:tcBorders>
              <w:top w:val="single" w:sz="8" w:space="0" w:color="A6A6A6" w:themeColor="background1" w:themeShade="A6"/>
              <w:left w:val="nil"/>
              <w:bottom w:val="single" w:sz="8" w:space="0" w:color="A6A6A6" w:themeColor="background1" w:themeShade="A6"/>
              <w:right w:val="nil"/>
            </w:tcBorders>
            <w:tcMar>
              <w:left w:w="108" w:type="dxa"/>
              <w:right w:w="108" w:type="dxa"/>
            </w:tcMar>
            <w:vAlign w:val="center"/>
          </w:tcPr>
          <w:p w14:paraId="63CF6D36" w14:textId="77777777" w:rsidR="00A21925" w:rsidRPr="005F1F83" w:rsidRDefault="00A21925" w:rsidP="007E5D11">
            <w:pPr>
              <w:pStyle w:val="TableText"/>
            </w:pPr>
            <w:r w:rsidRPr="005F1F83">
              <w:t>140</w:t>
            </w:r>
          </w:p>
        </w:tc>
        <w:tc>
          <w:tcPr>
            <w:tcW w:w="1134" w:type="dxa"/>
            <w:tcBorders>
              <w:top w:val="single" w:sz="8" w:space="0" w:color="A6A6A6" w:themeColor="background1" w:themeShade="A6"/>
              <w:left w:val="nil"/>
              <w:bottom w:val="single" w:sz="8" w:space="0" w:color="A6A6A6" w:themeColor="background1" w:themeShade="A6"/>
              <w:right w:val="single" w:sz="8" w:space="0" w:color="auto"/>
            </w:tcBorders>
            <w:tcMar>
              <w:left w:w="108" w:type="dxa"/>
              <w:right w:w="108" w:type="dxa"/>
            </w:tcMar>
            <w:vAlign w:val="center"/>
          </w:tcPr>
          <w:p w14:paraId="279D9D91" w14:textId="77777777" w:rsidR="00A21925" w:rsidRPr="005F1F83" w:rsidRDefault="00A21925" w:rsidP="007E5D11">
            <w:pPr>
              <w:pStyle w:val="TableText"/>
            </w:pPr>
            <w:r w:rsidRPr="005F1F83">
              <w:t>2,828</w:t>
            </w:r>
          </w:p>
        </w:tc>
        <w:tc>
          <w:tcPr>
            <w:tcW w:w="1276" w:type="dxa"/>
            <w:tcBorders>
              <w:top w:val="single" w:sz="8" w:space="0" w:color="A6A6A6" w:themeColor="background1" w:themeShade="A6"/>
              <w:left w:val="single" w:sz="8" w:space="0" w:color="auto"/>
              <w:bottom w:val="single" w:sz="8" w:space="0" w:color="A6A6A6" w:themeColor="background1" w:themeShade="A6"/>
              <w:right w:val="nil"/>
            </w:tcBorders>
            <w:tcMar>
              <w:left w:w="108" w:type="dxa"/>
              <w:right w:w="108" w:type="dxa"/>
            </w:tcMar>
            <w:vAlign w:val="center"/>
          </w:tcPr>
          <w:p w14:paraId="64B27B32" w14:textId="77777777" w:rsidR="00A21925" w:rsidRPr="005F1F83" w:rsidRDefault="00A21925" w:rsidP="007E5D11">
            <w:pPr>
              <w:pStyle w:val="TableText"/>
            </w:pPr>
            <w:r w:rsidRPr="005F1F83">
              <w:t>7</w:t>
            </w:r>
          </w:p>
        </w:tc>
        <w:tc>
          <w:tcPr>
            <w:tcW w:w="1418" w:type="dxa"/>
            <w:tcBorders>
              <w:top w:val="single" w:sz="8" w:space="0" w:color="A6A6A6" w:themeColor="background1" w:themeShade="A6"/>
              <w:left w:val="nil"/>
              <w:bottom w:val="single" w:sz="8" w:space="0" w:color="A6A6A6" w:themeColor="background1" w:themeShade="A6"/>
              <w:right w:val="nil"/>
            </w:tcBorders>
            <w:tcMar>
              <w:left w:w="108" w:type="dxa"/>
              <w:right w:w="108" w:type="dxa"/>
            </w:tcMar>
            <w:vAlign w:val="center"/>
          </w:tcPr>
          <w:p w14:paraId="2E2D1DDC" w14:textId="77777777" w:rsidR="00A21925" w:rsidRPr="005F1F83" w:rsidRDefault="00A21925" w:rsidP="007E5D11">
            <w:pPr>
              <w:pStyle w:val="TableText"/>
            </w:pPr>
            <w:r w:rsidRPr="005F1F83">
              <w:t>76</w:t>
            </w:r>
          </w:p>
        </w:tc>
      </w:tr>
      <w:tr w:rsidR="00A21925" w:rsidRPr="005F1F83" w14:paraId="11EF83A2" w14:textId="77777777" w:rsidTr="00A21925">
        <w:trPr>
          <w:trHeight w:val="300"/>
        </w:trPr>
        <w:tc>
          <w:tcPr>
            <w:tcW w:w="1560" w:type="dxa"/>
            <w:tcBorders>
              <w:top w:val="single" w:sz="8" w:space="0" w:color="A6A6A6" w:themeColor="background1" w:themeShade="A6"/>
              <w:left w:val="nil"/>
              <w:bottom w:val="single" w:sz="8" w:space="0" w:color="A6A6A6" w:themeColor="background1" w:themeShade="A6"/>
              <w:right w:val="nil"/>
            </w:tcBorders>
            <w:tcMar>
              <w:left w:w="108" w:type="dxa"/>
              <w:right w:w="108" w:type="dxa"/>
            </w:tcMar>
            <w:vAlign w:val="bottom"/>
          </w:tcPr>
          <w:p w14:paraId="75FDF24F" w14:textId="77777777" w:rsidR="00A21925" w:rsidRPr="00A010CA" w:rsidRDefault="00A21925" w:rsidP="007E5D11">
            <w:pPr>
              <w:pStyle w:val="TableText"/>
              <w:rPr>
                <w:vertAlign w:val="superscript"/>
              </w:rPr>
            </w:pPr>
            <w:r w:rsidRPr="005F1F83">
              <w:t>National</w:t>
            </w:r>
            <w:r>
              <w:rPr>
                <w:vertAlign w:val="superscript"/>
              </w:rPr>
              <w:t>2</w:t>
            </w:r>
          </w:p>
        </w:tc>
        <w:tc>
          <w:tcPr>
            <w:tcW w:w="1411" w:type="dxa"/>
            <w:tcBorders>
              <w:top w:val="single" w:sz="8" w:space="0" w:color="A6A6A6" w:themeColor="background1" w:themeShade="A6"/>
              <w:left w:val="nil"/>
              <w:bottom w:val="single" w:sz="8" w:space="0" w:color="A6A6A6" w:themeColor="background1" w:themeShade="A6"/>
              <w:right w:val="nil"/>
            </w:tcBorders>
            <w:tcMar>
              <w:left w:w="108" w:type="dxa"/>
              <w:right w:w="108" w:type="dxa"/>
            </w:tcMar>
            <w:vAlign w:val="center"/>
          </w:tcPr>
          <w:p w14:paraId="2A45B477" w14:textId="77777777" w:rsidR="00A21925" w:rsidRPr="005F1F83" w:rsidRDefault="00A21925" w:rsidP="007E5D11">
            <w:pPr>
              <w:pStyle w:val="TableText"/>
            </w:pPr>
            <w:r w:rsidRPr="005F1F83">
              <w:t>35</w:t>
            </w:r>
          </w:p>
        </w:tc>
        <w:tc>
          <w:tcPr>
            <w:tcW w:w="1282" w:type="dxa"/>
            <w:tcBorders>
              <w:top w:val="single" w:sz="8" w:space="0" w:color="A6A6A6" w:themeColor="background1" w:themeShade="A6"/>
              <w:left w:val="nil"/>
              <w:bottom w:val="single" w:sz="8" w:space="0" w:color="A6A6A6" w:themeColor="background1" w:themeShade="A6"/>
              <w:right w:val="nil"/>
            </w:tcBorders>
            <w:tcMar>
              <w:left w:w="108" w:type="dxa"/>
              <w:right w:w="108" w:type="dxa"/>
            </w:tcMar>
            <w:vAlign w:val="center"/>
          </w:tcPr>
          <w:p w14:paraId="4F290522" w14:textId="77777777" w:rsidR="00A21925" w:rsidRPr="005F1F83" w:rsidRDefault="00A21925" w:rsidP="007E5D11">
            <w:pPr>
              <w:pStyle w:val="TableText"/>
            </w:pPr>
            <w:r w:rsidRPr="005F1F83">
              <w:t>0</w:t>
            </w:r>
          </w:p>
        </w:tc>
        <w:tc>
          <w:tcPr>
            <w:tcW w:w="1134" w:type="dxa"/>
            <w:tcBorders>
              <w:top w:val="single" w:sz="8" w:space="0" w:color="A6A6A6" w:themeColor="background1" w:themeShade="A6"/>
              <w:left w:val="nil"/>
              <w:bottom w:val="single" w:sz="8" w:space="0" w:color="A6A6A6" w:themeColor="background1" w:themeShade="A6"/>
              <w:right w:val="single" w:sz="8" w:space="0" w:color="auto"/>
            </w:tcBorders>
            <w:tcMar>
              <w:left w:w="108" w:type="dxa"/>
              <w:right w:w="108" w:type="dxa"/>
            </w:tcMar>
            <w:vAlign w:val="center"/>
          </w:tcPr>
          <w:p w14:paraId="73B6C343" w14:textId="77777777" w:rsidR="00A21925" w:rsidRPr="005F1F83" w:rsidRDefault="00A21925" w:rsidP="007E5D11">
            <w:pPr>
              <w:pStyle w:val="TableText"/>
            </w:pPr>
            <w:r w:rsidRPr="005F1F83">
              <w:t>515</w:t>
            </w:r>
          </w:p>
        </w:tc>
        <w:tc>
          <w:tcPr>
            <w:tcW w:w="1276" w:type="dxa"/>
            <w:tcBorders>
              <w:top w:val="single" w:sz="8" w:space="0" w:color="A6A6A6" w:themeColor="background1" w:themeShade="A6"/>
              <w:left w:val="single" w:sz="8" w:space="0" w:color="auto"/>
              <w:bottom w:val="single" w:sz="8" w:space="0" w:color="A6A6A6" w:themeColor="background1" w:themeShade="A6"/>
              <w:right w:val="nil"/>
            </w:tcBorders>
            <w:tcMar>
              <w:left w:w="108" w:type="dxa"/>
              <w:right w:w="108" w:type="dxa"/>
            </w:tcMar>
            <w:vAlign w:val="center"/>
          </w:tcPr>
          <w:p w14:paraId="456DE058" w14:textId="77777777" w:rsidR="00A21925" w:rsidRPr="005F1F83" w:rsidRDefault="00A21925" w:rsidP="007E5D11">
            <w:pPr>
              <w:pStyle w:val="TableText"/>
            </w:pPr>
            <w:r w:rsidRPr="005F1F83">
              <w:t>7</w:t>
            </w:r>
          </w:p>
        </w:tc>
        <w:tc>
          <w:tcPr>
            <w:tcW w:w="1418" w:type="dxa"/>
            <w:tcBorders>
              <w:top w:val="single" w:sz="8" w:space="0" w:color="A6A6A6" w:themeColor="background1" w:themeShade="A6"/>
              <w:left w:val="nil"/>
              <w:bottom w:val="single" w:sz="8" w:space="0" w:color="A6A6A6" w:themeColor="background1" w:themeShade="A6"/>
              <w:right w:val="nil"/>
            </w:tcBorders>
            <w:tcMar>
              <w:left w:w="108" w:type="dxa"/>
              <w:right w:w="108" w:type="dxa"/>
            </w:tcMar>
            <w:vAlign w:val="center"/>
          </w:tcPr>
          <w:p w14:paraId="23446550" w14:textId="77777777" w:rsidR="00A21925" w:rsidRPr="005F1F83" w:rsidRDefault="00A21925" w:rsidP="007E5D11">
            <w:pPr>
              <w:pStyle w:val="TableText"/>
            </w:pPr>
            <w:r w:rsidRPr="005F1F83">
              <w:t>0</w:t>
            </w:r>
          </w:p>
        </w:tc>
      </w:tr>
      <w:tr w:rsidR="00A21925" w:rsidRPr="005F1F83" w14:paraId="5615EF85" w14:textId="77777777" w:rsidTr="00A21925">
        <w:trPr>
          <w:trHeight w:val="300"/>
        </w:trPr>
        <w:tc>
          <w:tcPr>
            <w:tcW w:w="1560" w:type="dxa"/>
            <w:tcBorders>
              <w:top w:val="single" w:sz="8" w:space="0" w:color="A6A6A6" w:themeColor="background1" w:themeShade="A6"/>
              <w:left w:val="nil"/>
              <w:bottom w:val="single" w:sz="8" w:space="0" w:color="A6A6A6" w:themeColor="background1" w:themeShade="A6"/>
              <w:right w:val="nil"/>
            </w:tcBorders>
            <w:tcMar>
              <w:left w:w="108" w:type="dxa"/>
              <w:right w:w="108" w:type="dxa"/>
            </w:tcMar>
            <w:vAlign w:val="bottom"/>
          </w:tcPr>
          <w:p w14:paraId="2C99A1F7" w14:textId="77777777" w:rsidR="00A21925" w:rsidRPr="005F1F83" w:rsidRDefault="00A21925" w:rsidP="007E5D11">
            <w:pPr>
              <w:pStyle w:val="TableText"/>
              <w:rPr>
                <w:b/>
              </w:rPr>
            </w:pPr>
            <w:r w:rsidRPr="005F1F83">
              <w:rPr>
                <w:b/>
              </w:rPr>
              <w:t>Total</w:t>
            </w:r>
          </w:p>
        </w:tc>
        <w:tc>
          <w:tcPr>
            <w:tcW w:w="1411" w:type="dxa"/>
            <w:tcBorders>
              <w:top w:val="single" w:sz="8" w:space="0" w:color="A6A6A6" w:themeColor="background1" w:themeShade="A6"/>
              <w:left w:val="nil"/>
              <w:bottom w:val="single" w:sz="8" w:space="0" w:color="A6A6A6" w:themeColor="background1" w:themeShade="A6"/>
              <w:right w:val="nil"/>
            </w:tcBorders>
            <w:tcMar>
              <w:left w:w="108" w:type="dxa"/>
              <w:right w:w="108" w:type="dxa"/>
            </w:tcMar>
            <w:vAlign w:val="center"/>
          </w:tcPr>
          <w:p w14:paraId="1CE7387B" w14:textId="77777777" w:rsidR="00A21925" w:rsidRPr="005F1F83" w:rsidRDefault="00A21925" w:rsidP="007E5D11">
            <w:pPr>
              <w:pStyle w:val="TableText"/>
              <w:rPr>
                <w:b/>
              </w:rPr>
            </w:pPr>
            <w:r w:rsidRPr="005F1F83">
              <w:rPr>
                <w:b/>
              </w:rPr>
              <w:t>2,764</w:t>
            </w:r>
          </w:p>
        </w:tc>
        <w:tc>
          <w:tcPr>
            <w:tcW w:w="1282" w:type="dxa"/>
            <w:tcBorders>
              <w:top w:val="single" w:sz="8" w:space="0" w:color="A6A6A6" w:themeColor="background1" w:themeShade="A6"/>
              <w:left w:val="nil"/>
              <w:bottom w:val="single" w:sz="8" w:space="0" w:color="A6A6A6" w:themeColor="background1" w:themeShade="A6"/>
              <w:right w:val="nil"/>
            </w:tcBorders>
            <w:tcMar>
              <w:left w:w="108" w:type="dxa"/>
              <w:right w:w="108" w:type="dxa"/>
            </w:tcMar>
            <w:vAlign w:val="center"/>
          </w:tcPr>
          <w:p w14:paraId="6D6E7F8D" w14:textId="77777777" w:rsidR="00A21925" w:rsidRPr="005F1F83" w:rsidRDefault="00A21925" w:rsidP="007E5D11">
            <w:pPr>
              <w:pStyle w:val="TableText"/>
              <w:rPr>
                <w:b/>
              </w:rPr>
            </w:pPr>
            <w:r w:rsidRPr="005F1F83">
              <w:rPr>
                <w:b/>
              </w:rPr>
              <w:t>2,392</w:t>
            </w:r>
          </w:p>
        </w:tc>
        <w:tc>
          <w:tcPr>
            <w:tcW w:w="1134" w:type="dxa"/>
            <w:tcBorders>
              <w:top w:val="single" w:sz="8" w:space="0" w:color="A6A6A6" w:themeColor="background1" w:themeShade="A6"/>
              <w:left w:val="nil"/>
              <w:bottom w:val="single" w:sz="8" w:space="0" w:color="A6A6A6" w:themeColor="background1" w:themeShade="A6"/>
              <w:right w:val="single" w:sz="8" w:space="0" w:color="auto"/>
            </w:tcBorders>
            <w:tcMar>
              <w:left w:w="108" w:type="dxa"/>
              <w:right w:w="108" w:type="dxa"/>
            </w:tcMar>
            <w:vAlign w:val="center"/>
          </w:tcPr>
          <w:p w14:paraId="43203F41" w14:textId="77777777" w:rsidR="00A21925" w:rsidRPr="005F1F83" w:rsidRDefault="00A21925" w:rsidP="007E5D11">
            <w:pPr>
              <w:pStyle w:val="TableText"/>
              <w:rPr>
                <w:b/>
              </w:rPr>
            </w:pPr>
            <w:r w:rsidRPr="005F1F83">
              <w:rPr>
                <w:b/>
              </w:rPr>
              <w:t>14,164</w:t>
            </w:r>
          </w:p>
        </w:tc>
        <w:tc>
          <w:tcPr>
            <w:tcW w:w="1276" w:type="dxa"/>
            <w:tcBorders>
              <w:top w:val="single" w:sz="8" w:space="0" w:color="A6A6A6" w:themeColor="background1" w:themeShade="A6"/>
              <w:left w:val="single" w:sz="8" w:space="0" w:color="auto"/>
              <w:bottom w:val="single" w:sz="8" w:space="0" w:color="A6A6A6" w:themeColor="background1" w:themeShade="A6"/>
              <w:right w:val="nil"/>
            </w:tcBorders>
            <w:tcMar>
              <w:left w:w="108" w:type="dxa"/>
              <w:right w:w="108" w:type="dxa"/>
            </w:tcMar>
            <w:vAlign w:val="center"/>
          </w:tcPr>
          <w:p w14:paraId="47278458" w14:textId="77777777" w:rsidR="00A21925" w:rsidRPr="005F1F83" w:rsidRDefault="00A21925" w:rsidP="007E5D11">
            <w:pPr>
              <w:pStyle w:val="TableText"/>
              <w:rPr>
                <w:b/>
              </w:rPr>
            </w:pPr>
            <w:r w:rsidRPr="005F1F83">
              <w:rPr>
                <w:b/>
              </w:rPr>
              <w:t>20</w:t>
            </w:r>
          </w:p>
        </w:tc>
        <w:tc>
          <w:tcPr>
            <w:tcW w:w="1418" w:type="dxa"/>
            <w:tcBorders>
              <w:top w:val="single" w:sz="8" w:space="0" w:color="A6A6A6" w:themeColor="background1" w:themeShade="A6"/>
              <w:left w:val="nil"/>
              <w:bottom w:val="single" w:sz="8" w:space="0" w:color="A6A6A6" w:themeColor="background1" w:themeShade="A6"/>
              <w:right w:val="nil"/>
            </w:tcBorders>
            <w:tcMar>
              <w:left w:w="108" w:type="dxa"/>
              <w:right w:w="108" w:type="dxa"/>
            </w:tcMar>
            <w:vAlign w:val="center"/>
          </w:tcPr>
          <w:p w14:paraId="520CF4BE" w14:textId="77777777" w:rsidR="00A21925" w:rsidRPr="005F1F83" w:rsidRDefault="00A21925" w:rsidP="007E5D11">
            <w:pPr>
              <w:pStyle w:val="TableText"/>
              <w:rPr>
                <w:b/>
              </w:rPr>
            </w:pPr>
            <w:r w:rsidRPr="005F1F83">
              <w:rPr>
                <w:b/>
              </w:rPr>
              <w:t>87</w:t>
            </w:r>
          </w:p>
        </w:tc>
      </w:tr>
    </w:tbl>
    <w:p w14:paraId="4DB5ED97" w14:textId="11F8059E" w:rsidR="00A21925" w:rsidRPr="00A010CA" w:rsidRDefault="00A21925" w:rsidP="00A21925">
      <w:pPr>
        <w:pStyle w:val="Note"/>
      </w:pPr>
      <w:r w:rsidRPr="005F1F83">
        <w:t xml:space="preserve">Note: </w:t>
      </w:r>
      <w:r w:rsidRPr="005F1F83">
        <w:rPr>
          <w:vertAlign w:val="superscript"/>
        </w:rPr>
        <w:t xml:space="preserve">1 </w:t>
      </w:r>
      <w:r w:rsidRPr="005F1F83">
        <w:t xml:space="preserve">’Counselling from provider’ refers to instances where a </w:t>
      </w:r>
      <w:r w:rsidR="00752368">
        <w:rPr>
          <w:rFonts w:eastAsia="Calibri"/>
        </w:rPr>
        <w:t>woman</w:t>
      </w:r>
      <w:r w:rsidRPr="005F1F83">
        <w:t xml:space="preserve"> accesses pre-abortion counselling at the same facility as they accessed their abortion care.</w:t>
      </w:r>
      <w:r>
        <w:t xml:space="preserve"> </w:t>
      </w:r>
      <w:r w:rsidRPr="005F1F83">
        <w:t xml:space="preserve">For instance, they accessed both </w:t>
      </w:r>
      <w:r>
        <w:t xml:space="preserve">services </w:t>
      </w:r>
      <w:r w:rsidRPr="005F1F83">
        <w:t xml:space="preserve">at the same hospital. </w:t>
      </w:r>
      <w:r>
        <w:rPr>
          <w:vertAlign w:val="superscript"/>
        </w:rPr>
        <w:t xml:space="preserve">2 </w:t>
      </w:r>
      <w:r>
        <w:t xml:space="preserve">’National’ refers to the </w:t>
      </w:r>
      <w:r w:rsidRPr="00A010CA">
        <w:t>national abortion telehealth service DECIDE</w:t>
      </w:r>
      <w:r>
        <w:t>.</w:t>
      </w:r>
    </w:p>
    <w:p w14:paraId="4DADBDE9" w14:textId="77777777" w:rsidR="00A21925" w:rsidRDefault="00A21925" w:rsidP="00A21925">
      <w:bookmarkStart w:id="43" w:name="_Ref192161792"/>
      <w:bookmarkStart w:id="44" w:name="_Toc192349324"/>
    </w:p>
    <w:p w14:paraId="57689DE2" w14:textId="2D03AB0D" w:rsidR="00A21925" w:rsidRDefault="00A21925" w:rsidP="00A21925">
      <w:pPr>
        <w:pStyle w:val="Table"/>
      </w:pPr>
      <w:bookmarkStart w:id="45" w:name="_Ref192758188"/>
      <w:bookmarkStart w:id="46" w:name="_Toc195016595"/>
      <w:r w:rsidRPr="005F1F83">
        <w:t xml:space="preserve">Table </w:t>
      </w:r>
      <w:r>
        <w:fldChar w:fldCharType="begin"/>
      </w:r>
      <w:r>
        <w:instrText xml:space="preserve"> SEQ Table \* ARABIC </w:instrText>
      </w:r>
      <w:r>
        <w:fldChar w:fldCharType="separate"/>
      </w:r>
      <w:r w:rsidR="00974F51">
        <w:rPr>
          <w:noProof/>
        </w:rPr>
        <w:t>2</w:t>
      </w:r>
      <w:r>
        <w:rPr>
          <w:noProof/>
        </w:rPr>
        <w:fldChar w:fldCharType="end"/>
      </w:r>
      <w:bookmarkEnd w:id="43"/>
      <w:bookmarkEnd w:id="45"/>
      <w:r w:rsidRPr="005F1F83">
        <w:t>: Counselling provision by region of service, 2023</w:t>
      </w:r>
      <w:bookmarkEnd w:id="44"/>
      <w:bookmarkEnd w:id="46"/>
    </w:p>
    <w:tbl>
      <w:tblPr>
        <w:tblW w:w="8081" w:type="dxa"/>
        <w:tblLayout w:type="fixed"/>
        <w:tblLook w:val="04A0" w:firstRow="1" w:lastRow="0" w:firstColumn="1" w:lastColumn="0" w:noHBand="0" w:noVBand="1"/>
      </w:tblPr>
      <w:tblGrid>
        <w:gridCol w:w="1560"/>
        <w:gridCol w:w="1411"/>
        <w:gridCol w:w="1282"/>
        <w:gridCol w:w="1134"/>
        <w:gridCol w:w="1276"/>
        <w:gridCol w:w="1418"/>
      </w:tblGrid>
      <w:tr w:rsidR="00A21925" w:rsidRPr="005F1F83" w14:paraId="1D57B133" w14:textId="77777777" w:rsidTr="007E5D11">
        <w:trPr>
          <w:trHeight w:val="300"/>
        </w:trPr>
        <w:tc>
          <w:tcPr>
            <w:tcW w:w="1560" w:type="dxa"/>
            <w:tcBorders>
              <w:top w:val="nil"/>
              <w:left w:val="nil"/>
              <w:right w:val="nil"/>
            </w:tcBorders>
            <w:shd w:val="clear" w:color="auto" w:fill="D9D9D9" w:themeFill="background1" w:themeFillShade="D9"/>
            <w:tcMar>
              <w:left w:w="108" w:type="dxa"/>
              <w:right w:w="108" w:type="dxa"/>
            </w:tcMar>
          </w:tcPr>
          <w:p w14:paraId="4AD81549" w14:textId="09B67C95" w:rsidR="00A21925" w:rsidRPr="005F1F83" w:rsidRDefault="00A21925" w:rsidP="00A21925">
            <w:pPr>
              <w:pStyle w:val="TableText"/>
              <w:rPr>
                <w:b/>
              </w:rPr>
            </w:pPr>
            <w:r w:rsidRPr="005F1F83">
              <w:rPr>
                <w:b/>
              </w:rPr>
              <w:t>Region</w:t>
            </w:r>
          </w:p>
        </w:tc>
        <w:tc>
          <w:tcPr>
            <w:tcW w:w="1411" w:type="dxa"/>
            <w:tcBorders>
              <w:top w:val="nil"/>
              <w:left w:val="nil"/>
              <w:right w:val="nil"/>
            </w:tcBorders>
            <w:shd w:val="clear" w:color="auto" w:fill="D9D9D9" w:themeFill="background1" w:themeFillShade="D9"/>
            <w:tcMar>
              <w:left w:w="108" w:type="dxa"/>
              <w:right w:w="108" w:type="dxa"/>
            </w:tcMar>
          </w:tcPr>
          <w:p w14:paraId="5EB57F5D" w14:textId="08F444E3" w:rsidR="00A21925" w:rsidRPr="005F1F83" w:rsidRDefault="00A21925" w:rsidP="00A21925">
            <w:pPr>
              <w:pStyle w:val="TableText"/>
              <w:rPr>
                <w:b/>
              </w:rPr>
            </w:pPr>
            <w:r w:rsidRPr="005F1F83">
              <w:rPr>
                <w:b/>
                <w:bCs/>
              </w:rPr>
              <w:t xml:space="preserve">Accessed </w:t>
            </w:r>
            <w:r w:rsidRPr="005F1F83">
              <w:rPr>
                <w:b/>
                <w:bCs/>
              </w:rPr>
              <w:br/>
            </w:r>
            <w:r w:rsidRPr="005F1F83">
              <w:rPr>
                <w:b/>
              </w:rPr>
              <w:t>pre-abortion counselling</w:t>
            </w:r>
          </w:p>
        </w:tc>
        <w:tc>
          <w:tcPr>
            <w:tcW w:w="1282" w:type="dxa"/>
            <w:tcBorders>
              <w:top w:val="nil"/>
              <w:left w:val="nil"/>
              <w:right w:val="nil"/>
            </w:tcBorders>
            <w:shd w:val="clear" w:color="auto" w:fill="D9D9D9" w:themeFill="background1" w:themeFillShade="D9"/>
            <w:tcMar>
              <w:left w:w="108" w:type="dxa"/>
              <w:right w:w="108" w:type="dxa"/>
            </w:tcMar>
          </w:tcPr>
          <w:p w14:paraId="73E3F790" w14:textId="05EBDBBC" w:rsidR="00A21925" w:rsidRPr="005F1F83" w:rsidRDefault="00A21925" w:rsidP="00A21925">
            <w:pPr>
              <w:pStyle w:val="TableText"/>
              <w:rPr>
                <w:b/>
              </w:rPr>
            </w:pPr>
            <w:r w:rsidRPr="005F1F83">
              <w:rPr>
                <w:b/>
              </w:rPr>
              <w:t>Counselling from provider</w:t>
            </w:r>
            <w:r w:rsidRPr="005F1F83">
              <w:rPr>
                <w:b/>
                <w:vertAlign w:val="superscript"/>
              </w:rPr>
              <w:t>1</w:t>
            </w:r>
            <w:r w:rsidRPr="005F1F83">
              <w:rPr>
                <w:b/>
              </w:rPr>
              <w:t xml:space="preserve"> </w:t>
            </w:r>
          </w:p>
        </w:tc>
        <w:tc>
          <w:tcPr>
            <w:tcW w:w="1134" w:type="dxa"/>
            <w:tcBorders>
              <w:top w:val="nil"/>
              <w:left w:val="nil"/>
              <w:right w:val="single" w:sz="8" w:space="0" w:color="auto"/>
            </w:tcBorders>
            <w:shd w:val="clear" w:color="auto" w:fill="D9D9D9" w:themeFill="background1" w:themeFillShade="D9"/>
            <w:tcMar>
              <w:left w:w="108" w:type="dxa"/>
              <w:right w:w="108" w:type="dxa"/>
            </w:tcMar>
          </w:tcPr>
          <w:p w14:paraId="0B9D34EB" w14:textId="33D66C4E" w:rsidR="00A21925" w:rsidRPr="005F1F83" w:rsidRDefault="00A21925" w:rsidP="00A21925">
            <w:pPr>
              <w:pStyle w:val="TableText"/>
              <w:rPr>
                <w:b/>
              </w:rPr>
            </w:pPr>
            <w:r w:rsidRPr="005F1F83">
              <w:rPr>
                <w:b/>
              </w:rPr>
              <w:t>Total abortions</w:t>
            </w:r>
          </w:p>
        </w:tc>
        <w:tc>
          <w:tcPr>
            <w:tcW w:w="1276" w:type="dxa"/>
            <w:tcBorders>
              <w:top w:val="nil"/>
              <w:left w:val="single" w:sz="8" w:space="0" w:color="auto"/>
              <w:right w:val="nil"/>
            </w:tcBorders>
            <w:shd w:val="clear" w:color="auto" w:fill="D9D9D9" w:themeFill="background1" w:themeFillShade="D9"/>
            <w:tcMar>
              <w:left w:w="108" w:type="dxa"/>
              <w:right w:w="108" w:type="dxa"/>
            </w:tcMar>
          </w:tcPr>
          <w:p w14:paraId="2903DA8A" w14:textId="29B93EBE" w:rsidR="00A21925" w:rsidRPr="005F1F83" w:rsidRDefault="00A21925" w:rsidP="00A21925">
            <w:pPr>
              <w:pStyle w:val="TableText"/>
              <w:rPr>
                <w:b/>
              </w:rPr>
            </w:pPr>
            <w:r w:rsidRPr="005F1F83">
              <w:rPr>
                <w:b/>
              </w:rPr>
              <w:t xml:space="preserve">% accessing counselling </w:t>
            </w:r>
          </w:p>
        </w:tc>
        <w:tc>
          <w:tcPr>
            <w:tcW w:w="1418" w:type="dxa"/>
            <w:tcBorders>
              <w:top w:val="nil"/>
              <w:left w:val="nil"/>
              <w:right w:val="nil"/>
            </w:tcBorders>
            <w:shd w:val="clear" w:color="auto" w:fill="D9D9D9" w:themeFill="background1" w:themeFillShade="D9"/>
            <w:tcMar>
              <w:left w:w="108" w:type="dxa"/>
              <w:right w:w="108" w:type="dxa"/>
            </w:tcMar>
          </w:tcPr>
          <w:p w14:paraId="13E39855" w14:textId="5DC8FF2D" w:rsidR="00A21925" w:rsidRPr="005F1F83" w:rsidRDefault="00A21925" w:rsidP="00A21925">
            <w:pPr>
              <w:pStyle w:val="TableText"/>
              <w:rPr>
                <w:b/>
              </w:rPr>
            </w:pPr>
            <w:r w:rsidRPr="005F1F83">
              <w:rPr>
                <w:b/>
              </w:rPr>
              <w:t>% counselling from provider</w:t>
            </w:r>
          </w:p>
        </w:tc>
      </w:tr>
      <w:tr w:rsidR="00A21925" w:rsidRPr="005F1F83" w14:paraId="171530B1" w14:textId="77777777" w:rsidTr="007E5D11">
        <w:trPr>
          <w:trHeight w:val="300"/>
        </w:trPr>
        <w:tc>
          <w:tcPr>
            <w:tcW w:w="1560" w:type="dxa"/>
            <w:tcBorders>
              <w:left w:val="nil"/>
              <w:bottom w:val="single" w:sz="8" w:space="0" w:color="A6A6A6" w:themeColor="background1" w:themeShade="A6"/>
              <w:right w:val="nil"/>
            </w:tcBorders>
            <w:tcMar>
              <w:left w:w="108" w:type="dxa"/>
              <w:right w:w="108" w:type="dxa"/>
            </w:tcMar>
            <w:vAlign w:val="bottom"/>
          </w:tcPr>
          <w:p w14:paraId="4835AD78" w14:textId="3A2F24E6" w:rsidR="00A21925" w:rsidRPr="005F1F83" w:rsidRDefault="00A21925" w:rsidP="00A21925">
            <w:pPr>
              <w:pStyle w:val="TableText"/>
            </w:pPr>
            <w:proofErr w:type="spellStart"/>
            <w:r w:rsidRPr="005F1F83">
              <w:t>Te</w:t>
            </w:r>
            <w:proofErr w:type="spellEnd"/>
            <w:r w:rsidRPr="005F1F83">
              <w:t xml:space="preserve"> Tai </w:t>
            </w:r>
            <w:proofErr w:type="spellStart"/>
            <w:r w:rsidRPr="005F1F83">
              <w:t>Tokerau</w:t>
            </w:r>
            <w:proofErr w:type="spellEnd"/>
            <w:r w:rsidRPr="005F1F83">
              <w:br/>
              <w:t>(Northern)</w:t>
            </w:r>
          </w:p>
        </w:tc>
        <w:tc>
          <w:tcPr>
            <w:tcW w:w="1411" w:type="dxa"/>
            <w:tcBorders>
              <w:left w:val="nil"/>
              <w:bottom w:val="single" w:sz="8" w:space="0" w:color="A6A6A6" w:themeColor="background1" w:themeShade="A6"/>
              <w:right w:val="nil"/>
            </w:tcBorders>
            <w:tcMar>
              <w:left w:w="108" w:type="dxa"/>
              <w:right w:w="108" w:type="dxa"/>
            </w:tcMar>
          </w:tcPr>
          <w:p w14:paraId="4E4CBA6C" w14:textId="57C77DEF" w:rsidR="00A21925" w:rsidRPr="005F1F83" w:rsidRDefault="00A21925" w:rsidP="00A21925">
            <w:pPr>
              <w:pStyle w:val="TableText"/>
            </w:pPr>
            <w:r w:rsidRPr="005F1F83">
              <w:t>607</w:t>
            </w:r>
          </w:p>
        </w:tc>
        <w:tc>
          <w:tcPr>
            <w:tcW w:w="1282" w:type="dxa"/>
            <w:tcBorders>
              <w:left w:val="nil"/>
              <w:bottom w:val="single" w:sz="8" w:space="0" w:color="A6A6A6" w:themeColor="background1" w:themeShade="A6"/>
              <w:right w:val="nil"/>
            </w:tcBorders>
            <w:tcMar>
              <w:left w:w="108" w:type="dxa"/>
              <w:right w:w="108" w:type="dxa"/>
            </w:tcMar>
          </w:tcPr>
          <w:p w14:paraId="7098954D" w14:textId="2D44980C" w:rsidR="00A21925" w:rsidRPr="005F1F83" w:rsidRDefault="00A21925" w:rsidP="00A21925">
            <w:pPr>
              <w:pStyle w:val="TableText"/>
            </w:pPr>
            <w:r w:rsidRPr="005F1F83">
              <w:t>481</w:t>
            </w:r>
          </w:p>
        </w:tc>
        <w:tc>
          <w:tcPr>
            <w:tcW w:w="1134" w:type="dxa"/>
            <w:tcBorders>
              <w:left w:val="nil"/>
              <w:bottom w:val="single" w:sz="8" w:space="0" w:color="A6A6A6" w:themeColor="background1" w:themeShade="A6"/>
              <w:right w:val="single" w:sz="8" w:space="0" w:color="auto"/>
            </w:tcBorders>
            <w:tcMar>
              <w:left w:w="108" w:type="dxa"/>
              <w:right w:w="108" w:type="dxa"/>
            </w:tcMar>
          </w:tcPr>
          <w:p w14:paraId="28A4A389" w14:textId="338B5749" w:rsidR="00A21925" w:rsidRPr="005F1F83" w:rsidRDefault="00A21925" w:rsidP="00A21925">
            <w:pPr>
              <w:pStyle w:val="TableText"/>
            </w:pPr>
            <w:r w:rsidRPr="005F1F83">
              <w:t>4,896</w:t>
            </w:r>
          </w:p>
        </w:tc>
        <w:tc>
          <w:tcPr>
            <w:tcW w:w="1276" w:type="dxa"/>
            <w:tcBorders>
              <w:left w:val="single" w:sz="8" w:space="0" w:color="auto"/>
              <w:bottom w:val="single" w:sz="8" w:space="0" w:color="A6A6A6" w:themeColor="background1" w:themeShade="A6"/>
              <w:right w:val="nil"/>
            </w:tcBorders>
            <w:tcMar>
              <w:left w:w="108" w:type="dxa"/>
              <w:right w:w="108" w:type="dxa"/>
            </w:tcMar>
          </w:tcPr>
          <w:p w14:paraId="4F227C49" w14:textId="3AD3524D" w:rsidR="00A21925" w:rsidRPr="005F1F83" w:rsidRDefault="00A21925" w:rsidP="00A21925">
            <w:pPr>
              <w:pStyle w:val="TableText"/>
            </w:pPr>
            <w:r w:rsidRPr="005F1F83">
              <w:t>12</w:t>
            </w:r>
          </w:p>
        </w:tc>
        <w:tc>
          <w:tcPr>
            <w:tcW w:w="1418" w:type="dxa"/>
            <w:tcBorders>
              <w:left w:val="nil"/>
              <w:bottom w:val="single" w:sz="8" w:space="0" w:color="A6A6A6" w:themeColor="background1" w:themeShade="A6"/>
              <w:right w:val="nil"/>
            </w:tcBorders>
            <w:tcMar>
              <w:left w:w="108" w:type="dxa"/>
              <w:right w:w="108" w:type="dxa"/>
            </w:tcMar>
          </w:tcPr>
          <w:p w14:paraId="7906DB3A" w14:textId="74040CA9" w:rsidR="00A21925" w:rsidRPr="005F1F83" w:rsidRDefault="00A21925" w:rsidP="00A21925">
            <w:pPr>
              <w:pStyle w:val="TableText"/>
            </w:pPr>
            <w:r w:rsidRPr="005F1F83">
              <w:t>79</w:t>
            </w:r>
          </w:p>
        </w:tc>
      </w:tr>
      <w:tr w:rsidR="00A21925" w:rsidRPr="005F1F83" w14:paraId="24DC4D4D" w14:textId="77777777" w:rsidTr="007E5D11">
        <w:trPr>
          <w:trHeight w:val="300"/>
        </w:trPr>
        <w:tc>
          <w:tcPr>
            <w:tcW w:w="1560" w:type="dxa"/>
            <w:tcBorders>
              <w:top w:val="single" w:sz="8" w:space="0" w:color="A6A6A6" w:themeColor="background1" w:themeShade="A6"/>
              <w:left w:val="nil"/>
              <w:bottom w:val="single" w:sz="8" w:space="0" w:color="A6A6A6" w:themeColor="background1" w:themeShade="A6"/>
              <w:right w:val="nil"/>
            </w:tcBorders>
            <w:tcMar>
              <w:left w:w="108" w:type="dxa"/>
              <w:right w:w="108" w:type="dxa"/>
            </w:tcMar>
            <w:vAlign w:val="bottom"/>
          </w:tcPr>
          <w:p w14:paraId="22F9AA14" w14:textId="30A4CFBE" w:rsidR="00A21925" w:rsidRPr="005F1F83" w:rsidRDefault="00A21925" w:rsidP="00A21925">
            <w:pPr>
              <w:pStyle w:val="TableText"/>
            </w:pPr>
            <w:proofErr w:type="spellStart"/>
            <w:r w:rsidRPr="005F1F83">
              <w:t>Te</w:t>
            </w:r>
            <w:proofErr w:type="spellEnd"/>
            <w:r w:rsidRPr="005F1F83">
              <w:t xml:space="preserve"> Manawa Taki (Midland)</w:t>
            </w:r>
          </w:p>
        </w:tc>
        <w:tc>
          <w:tcPr>
            <w:tcW w:w="1411" w:type="dxa"/>
            <w:tcBorders>
              <w:top w:val="single" w:sz="8" w:space="0" w:color="A6A6A6" w:themeColor="background1" w:themeShade="A6"/>
              <w:left w:val="nil"/>
              <w:bottom w:val="single" w:sz="8" w:space="0" w:color="A6A6A6" w:themeColor="background1" w:themeShade="A6"/>
              <w:right w:val="nil"/>
            </w:tcBorders>
            <w:tcMar>
              <w:left w:w="108" w:type="dxa"/>
              <w:right w:w="108" w:type="dxa"/>
            </w:tcMar>
          </w:tcPr>
          <w:p w14:paraId="5EFE8872" w14:textId="6AB5DF88" w:rsidR="00A21925" w:rsidRPr="005F1F83" w:rsidRDefault="00A21925" w:rsidP="00A21925">
            <w:pPr>
              <w:pStyle w:val="TableText"/>
            </w:pPr>
            <w:r w:rsidRPr="005F1F83">
              <w:t>251</w:t>
            </w:r>
          </w:p>
        </w:tc>
        <w:tc>
          <w:tcPr>
            <w:tcW w:w="1282" w:type="dxa"/>
            <w:tcBorders>
              <w:top w:val="single" w:sz="8" w:space="0" w:color="A6A6A6" w:themeColor="background1" w:themeShade="A6"/>
              <w:left w:val="nil"/>
              <w:bottom w:val="single" w:sz="8" w:space="0" w:color="A6A6A6" w:themeColor="background1" w:themeShade="A6"/>
              <w:right w:val="nil"/>
            </w:tcBorders>
            <w:tcMar>
              <w:left w:w="108" w:type="dxa"/>
              <w:right w:w="108" w:type="dxa"/>
            </w:tcMar>
          </w:tcPr>
          <w:p w14:paraId="65C56CAE" w14:textId="58FCF325" w:rsidR="00A21925" w:rsidRPr="005F1F83" w:rsidRDefault="00A21925" w:rsidP="00A21925">
            <w:pPr>
              <w:pStyle w:val="TableText"/>
            </w:pPr>
            <w:r w:rsidRPr="005F1F83">
              <w:t>227</w:t>
            </w:r>
          </w:p>
        </w:tc>
        <w:tc>
          <w:tcPr>
            <w:tcW w:w="1134" w:type="dxa"/>
            <w:tcBorders>
              <w:top w:val="single" w:sz="8" w:space="0" w:color="A6A6A6" w:themeColor="background1" w:themeShade="A6"/>
              <w:left w:val="nil"/>
              <w:bottom w:val="single" w:sz="8" w:space="0" w:color="A6A6A6" w:themeColor="background1" w:themeShade="A6"/>
              <w:right w:val="single" w:sz="8" w:space="0" w:color="auto"/>
            </w:tcBorders>
            <w:tcMar>
              <w:left w:w="108" w:type="dxa"/>
              <w:right w:w="108" w:type="dxa"/>
            </w:tcMar>
          </w:tcPr>
          <w:p w14:paraId="61E7454C" w14:textId="1A5B0E93" w:rsidR="00A21925" w:rsidRPr="005F1F83" w:rsidRDefault="00A21925" w:rsidP="00A21925">
            <w:pPr>
              <w:pStyle w:val="TableText"/>
            </w:pPr>
            <w:r w:rsidRPr="005F1F83">
              <w:t>2,145</w:t>
            </w:r>
          </w:p>
        </w:tc>
        <w:tc>
          <w:tcPr>
            <w:tcW w:w="1276" w:type="dxa"/>
            <w:tcBorders>
              <w:top w:val="single" w:sz="8" w:space="0" w:color="A6A6A6" w:themeColor="background1" w:themeShade="A6"/>
              <w:left w:val="single" w:sz="8" w:space="0" w:color="auto"/>
              <w:bottom w:val="single" w:sz="8" w:space="0" w:color="A6A6A6" w:themeColor="background1" w:themeShade="A6"/>
              <w:right w:val="nil"/>
            </w:tcBorders>
            <w:tcMar>
              <w:left w:w="108" w:type="dxa"/>
              <w:right w:w="108" w:type="dxa"/>
            </w:tcMar>
          </w:tcPr>
          <w:p w14:paraId="005A58A5" w14:textId="7F63A98E" w:rsidR="00A21925" w:rsidRPr="005F1F83" w:rsidRDefault="00A21925" w:rsidP="00A21925">
            <w:pPr>
              <w:pStyle w:val="TableText"/>
            </w:pPr>
            <w:r w:rsidRPr="005F1F83">
              <w:t>12</w:t>
            </w:r>
          </w:p>
        </w:tc>
        <w:tc>
          <w:tcPr>
            <w:tcW w:w="1418" w:type="dxa"/>
            <w:tcBorders>
              <w:top w:val="single" w:sz="8" w:space="0" w:color="A6A6A6" w:themeColor="background1" w:themeShade="A6"/>
              <w:left w:val="nil"/>
              <w:bottom w:val="single" w:sz="8" w:space="0" w:color="A6A6A6" w:themeColor="background1" w:themeShade="A6"/>
              <w:right w:val="nil"/>
            </w:tcBorders>
            <w:tcMar>
              <w:left w:w="108" w:type="dxa"/>
              <w:right w:w="108" w:type="dxa"/>
            </w:tcMar>
          </w:tcPr>
          <w:p w14:paraId="250751DD" w14:textId="3E920318" w:rsidR="00A21925" w:rsidRPr="005F1F83" w:rsidRDefault="00A21925" w:rsidP="00A21925">
            <w:pPr>
              <w:pStyle w:val="TableText"/>
            </w:pPr>
            <w:r w:rsidRPr="005F1F83">
              <w:t>90</w:t>
            </w:r>
          </w:p>
        </w:tc>
      </w:tr>
      <w:tr w:rsidR="00A21925" w:rsidRPr="005F1F83" w14:paraId="2550A924" w14:textId="77777777" w:rsidTr="007E5D11">
        <w:trPr>
          <w:trHeight w:val="300"/>
        </w:trPr>
        <w:tc>
          <w:tcPr>
            <w:tcW w:w="1560" w:type="dxa"/>
            <w:tcBorders>
              <w:top w:val="single" w:sz="8" w:space="0" w:color="A6A6A6" w:themeColor="background1" w:themeShade="A6"/>
              <w:left w:val="nil"/>
              <w:bottom w:val="single" w:sz="8" w:space="0" w:color="A6A6A6" w:themeColor="background1" w:themeShade="A6"/>
              <w:right w:val="nil"/>
            </w:tcBorders>
            <w:tcMar>
              <w:left w:w="108" w:type="dxa"/>
              <w:right w:w="108" w:type="dxa"/>
            </w:tcMar>
            <w:vAlign w:val="bottom"/>
          </w:tcPr>
          <w:p w14:paraId="328E45CF" w14:textId="0A05AE95" w:rsidR="00A21925" w:rsidRPr="005F1F83" w:rsidRDefault="00A21925" w:rsidP="00A21925">
            <w:pPr>
              <w:pStyle w:val="TableText"/>
            </w:pPr>
            <w:proofErr w:type="spellStart"/>
            <w:r w:rsidRPr="005F1F83">
              <w:t>Te</w:t>
            </w:r>
            <w:proofErr w:type="spellEnd"/>
            <w:r w:rsidRPr="005F1F83">
              <w:t xml:space="preserve"> </w:t>
            </w:r>
            <w:proofErr w:type="spellStart"/>
            <w:r w:rsidRPr="005F1F83">
              <w:t>Ikaroa</w:t>
            </w:r>
            <w:proofErr w:type="spellEnd"/>
            <w:r w:rsidRPr="005F1F83">
              <w:t xml:space="preserve"> (Central)</w:t>
            </w:r>
          </w:p>
        </w:tc>
        <w:tc>
          <w:tcPr>
            <w:tcW w:w="1411" w:type="dxa"/>
            <w:tcBorders>
              <w:top w:val="single" w:sz="8" w:space="0" w:color="A6A6A6" w:themeColor="background1" w:themeShade="A6"/>
              <w:left w:val="nil"/>
              <w:bottom w:val="single" w:sz="8" w:space="0" w:color="A6A6A6" w:themeColor="background1" w:themeShade="A6"/>
              <w:right w:val="nil"/>
            </w:tcBorders>
            <w:tcMar>
              <w:left w:w="108" w:type="dxa"/>
              <w:right w:w="108" w:type="dxa"/>
            </w:tcMar>
          </w:tcPr>
          <w:p w14:paraId="1718F0F1" w14:textId="0D519AC7" w:rsidR="00A21925" w:rsidRPr="005F1F83" w:rsidRDefault="00A21925" w:rsidP="00A21925">
            <w:pPr>
              <w:pStyle w:val="TableText"/>
            </w:pPr>
            <w:r w:rsidRPr="005F1F83">
              <w:t>1,267</w:t>
            </w:r>
          </w:p>
        </w:tc>
        <w:tc>
          <w:tcPr>
            <w:tcW w:w="1282" w:type="dxa"/>
            <w:tcBorders>
              <w:top w:val="single" w:sz="8" w:space="0" w:color="A6A6A6" w:themeColor="background1" w:themeShade="A6"/>
              <w:left w:val="nil"/>
              <w:bottom w:val="single" w:sz="8" w:space="0" w:color="A6A6A6" w:themeColor="background1" w:themeShade="A6"/>
              <w:right w:val="nil"/>
            </w:tcBorders>
            <w:tcMar>
              <w:left w:w="108" w:type="dxa"/>
              <w:right w:w="108" w:type="dxa"/>
            </w:tcMar>
          </w:tcPr>
          <w:p w14:paraId="32DFFFC1" w14:textId="6381BDC6" w:rsidR="00A21925" w:rsidRPr="005F1F83" w:rsidRDefault="00A21925" w:rsidP="00A21925">
            <w:pPr>
              <w:pStyle w:val="TableText"/>
            </w:pPr>
            <w:r w:rsidRPr="005F1F83">
              <w:t>1,175</w:t>
            </w:r>
          </w:p>
        </w:tc>
        <w:tc>
          <w:tcPr>
            <w:tcW w:w="1134" w:type="dxa"/>
            <w:tcBorders>
              <w:top w:val="single" w:sz="8" w:space="0" w:color="A6A6A6" w:themeColor="background1" w:themeShade="A6"/>
              <w:left w:val="nil"/>
              <w:bottom w:val="single" w:sz="8" w:space="0" w:color="A6A6A6" w:themeColor="background1" w:themeShade="A6"/>
              <w:right w:val="single" w:sz="8" w:space="0" w:color="auto"/>
            </w:tcBorders>
            <w:tcMar>
              <w:left w:w="108" w:type="dxa"/>
              <w:right w:w="108" w:type="dxa"/>
            </w:tcMar>
          </w:tcPr>
          <w:p w14:paraId="56635D6A" w14:textId="3A404968" w:rsidR="00A21925" w:rsidRPr="005F1F83" w:rsidRDefault="00A21925" w:rsidP="00A21925">
            <w:pPr>
              <w:pStyle w:val="TableText"/>
            </w:pPr>
            <w:r w:rsidRPr="005F1F83">
              <w:t>2,720</w:t>
            </w:r>
          </w:p>
        </w:tc>
        <w:tc>
          <w:tcPr>
            <w:tcW w:w="1276" w:type="dxa"/>
            <w:tcBorders>
              <w:top w:val="single" w:sz="8" w:space="0" w:color="A6A6A6" w:themeColor="background1" w:themeShade="A6"/>
              <w:left w:val="single" w:sz="8" w:space="0" w:color="auto"/>
              <w:bottom w:val="single" w:sz="8" w:space="0" w:color="A6A6A6" w:themeColor="background1" w:themeShade="A6"/>
              <w:right w:val="nil"/>
            </w:tcBorders>
            <w:tcMar>
              <w:left w:w="108" w:type="dxa"/>
              <w:right w:w="108" w:type="dxa"/>
            </w:tcMar>
          </w:tcPr>
          <w:p w14:paraId="3D037E3B" w14:textId="559951B6" w:rsidR="00A21925" w:rsidRPr="005F1F83" w:rsidRDefault="00A21925" w:rsidP="00A21925">
            <w:pPr>
              <w:pStyle w:val="TableText"/>
            </w:pPr>
            <w:r w:rsidRPr="005F1F83">
              <w:t>47</w:t>
            </w:r>
          </w:p>
        </w:tc>
        <w:tc>
          <w:tcPr>
            <w:tcW w:w="1418" w:type="dxa"/>
            <w:tcBorders>
              <w:top w:val="single" w:sz="8" w:space="0" w:color="A6A6A6" w:themeColor="background1" w:themeShade="A6"/>
              <w:left w:val="nil"/>
              <w:bottom w:val="single" w:sz="8" w:space="0" w:color="A6A6A6" w:themeColor="background1" w:themeShade="A6"/>
              <w:right w:val="nil"/>
            </w:tcBorders>
            <w:tcMar>
              <w:left w:w="108" w:type="dxa"/>
              <w:right w:w="108" w:type="dxa"/>
            </w:tcMar>
          </w:tcPr>
          <w:p w14:paraId="4A0E654A" w14:textId="41C32DBB" w:rsidR="00A21925" w:rsidRPr="005F1F83" w:rsidRDefault="00A21925" w:rsidP="00A21925">
            <w:pPr>
              <w:pStyle w:val="TableText"/>
            </w:pPr>
            <w:r w:rsidRPr="005F1F83">
              <w:t>93</w:t>
            </w:r>
          </w:p>
        </w:tc>
      </w:tr>
      <w:tr w:rsidR="00A21925" w:rsidRPr="005F1F83" w14:paraId="500567F8" w14:textId="77777777" w:rsidTr="007E5D11">
        <w:trPr>
          <w:trHeight w:val="300"/>
        </w:trPr>
        <w:tc>
          <w:tcPr>
            <w:tcW w:w="1560" w:type="dxa"/>
            <w:tcBorders>
              <w:top w:val="single" w:sz="8" w:space="0" w:color="A6A6A6" w:themeColor="background1" w:themeShade="A6"/>
              <w:left w:val="nil"/>
              <w:bottom w:val="single" w:sz="8" w:space="0" w:color="A6A6A6" w:themeColor="background1" w:themeShade="A6"/>
              <w:right w:val="nil"/>
            </w:tcBorders>
            <w:tcMar>
              <w:left w:w="108" w:type="dxa"/>
              <w:right w:w="108" w:type="dxa"/>
            </w:tcMar>
            <w:vAlign w:val="bottom"/>
          </w:tcPr>
          <w:p w14:paraId="22759B14" w14:textId="54C07631" w:rsidR="00A21925" w:rsidRPr="005F1F83" w:rsidRDefault="00A21925" w:rsidP="00A21925">
            <w:pPr>
              <w:pStyle w:val="TableText"/>
            </w:pPr>
            <w:proofErr w:type="spellStart"/>
            <w:r w:rsidRPr="005F1F83">
              <w:t>Te</w:t>
            </w:r>
            <w:proofErr w:type="spellEnd"/>
            <w:r w:rsidRPr="005F1F83">
              <w:t xml:space="preserve"> Waipounamu (Southern) </w:t>
            </w:r>
          </w:p>
        </w:tc>
        <w:tc>
          <w:tcPr>
            <w:tcW w:w="1411" w:type="dxa"/>
            <w:tcBorders>
              <w:top w:val="single" w:sz="8" w:space="0" w:color="A6A6A6" w:themeColor="background1" w:themeShade="A6"/>
              <w:left w:val="nil"/>
              <w:bottom w:val="single" w:sz="8" w:space="0" w:color="A6A6A6" w:themeColor="background1" w:themeShade="A6"/>
              <w:right w:val="nil"/>
            </w:tcBorders>
            <w:tcMar>
              <w:left w:w="108" w:type="dxa"/>
              <w:right w:w="108" w:type="dxa"/>
            </w:tcMar>
          </w:tcPr>
          <w:p w14:paraId="14CB0F4E" w14:textId="1D57D41D" w:rsidR="00A21925" w:rsidRPr="005F1F83" w:rsidRDefault="00A21925" w:rsidP="00A21925">
            <w:pPr>
              <w:pStyle w:val="TableText"/>
            </w:pPr>
            <w:r w:rsidRPr="005F1F83">
              <w:t>177</w:t>
            </w:r>
          </w:p>
        </w:tc>
        <w:tc>
          <w:tcPr>
            <w:tcW w:w="1282" w:type="dxa"/>
            <w:tcBorders>
              <w:top w:val="single" w:sz="8" w:space="0" w:color="A6A6A6" w:themeColor="background1" w:themeShade="A6"/>
              <w:left w:val="nil"/>
              <w:bottom w:val="single" w:sz="8" w:space="0" w:color="A6A6A6" w:themeColor="background1" w:themeShade="A6"/>
              <w:right w:val="nil"/>
            </w:tcBorders>
            <w:tcMar>
              <w:left w:w="108" w:type="dxa"/>
              <w:right w:w="108" w:type="dxa"/>
            </w:tcMar>
          </w:tcPr>
          <w:p w14:paraId="4D16F049" w14:textId="08B07009" w:rsidR="00A21925" w:rsidRPr="005F1F83" w:rsidRDefault="00A21925" w:rsidP="00A21925">
            <w:pPr>
              <w:pStyle w:val="TableText"/>
            </w:pPr>
            <w:r w:rsidRPr="005F1F83">
              <w:t>131</w:t>
            </w:r>
          </w:p>
        </w:tc>
        <w:tc>
          <w:tcPr>
            <w:tcW w:w="1134" w:type="dxa"/>
            <w:tcBorders>
              <w:top w:val="single" w:sz="8" w:space="0" w:color="A6A6A6" w:themeColor="background1" w:themeShade="A6"/>
              <w:left w:val="nil"/>
              <w:bottom w:val="single" w:sz="8" w:space="0" w:color="A6A6A6" w:themeColor="background1" w:themeShade="A6"/>
              <w:right w:val="single" w:sz="8" w:space="0" w:color="auto"/>
            </w:tcBorders>
            <w:tcMar>
              <w:left w:w="108" w:type="dxa"/>
              <w:right w:w="108" w:type="dxa"/>
            </w:tcMar>
          </w:tcPr>
          <w:p w14:paraId="040D0F44" w14:textId="2D06DD3F" w:rsidR="00A21925" w:rsidRPr="005F1F83" w:rsidRDefault="00A21925" w:rsidP="00A21925">
            <w:pPr>
              <w:pStyle w:val="TableText"/>
            </w:pPr>
            <w:r w:rsidRPr="005F1F83">
              <w:t>2,627</w:t>
            </w:r>
          </w:p>
        </w:tc>
        <w:tc>
          <w:tcPr>
            <w:tcW w:w="1276" w:type="dxa"/>
            <w:tcBorders>
              <w:top w:val="single" w:sz="8" w:space="0" w:color="A6A6A6" w:themeColor="background1" w:themeShade="A6"/>
              <w:left w:val="single" w:sz="8" w:space="0" w:color="auto"/>
              <w:bottom w:val="single" w:sz="8" w:space="0" w:color="A6A6A6" w:themeColor="background1" w:themeShade="A6"/>
              <w:right w:val="nil"/>
            </w:tcBorders>
            <w:tcMar>
              <w:left w:w="108" w:type="dxa"/>
              <w:right w:w="108" w:type="dxa"/>
            </w:tcMar>
          </w:tcPr>
          <w:p w14:paraId="040F6904" w14:textId="0D463537" w:rsidR="00A21925" w:rsidRPr="005F1F83" w:rsidRDefault="00A21925" w:rsidP="00A21925">
            <w:pPr>
              <w:pStyle w:val="TableText"/>
            </w:pPr>
            <w:r w:rsidRPr="005F1F83">
              <w:t>7</w:t>
            </w:r>
          </w:p>
        </w:tc>
        <w:tc>
          <w:tcPr>
            <w:tcW w:w="1418" w:type="dxa"/>
            <w:tcBorders>
              <w:top w:val="single" w:sz="8" w:space="0" w:color="A6A6A6" w:themeColor="background1" w:themeShade="A6"/>
              <w:left w:val="nil"/>
              <w:bottom w:val="single" w:sz="8" w:space="0" w:color="A6A6A6" w:themeColor="background1" w:themeShade="A6"/>
              <w:right w:val="nil"/>
            </w:tcBorders>
            <w:tcMar>
              <w:left w:w="108" w:type="dxa"/>
              <w:right w:w="108" w:type="dxa"/>
            </w:tcMar>
          </w:tcPr>
          <w:p w14:paraId="5E3C729A" w14:textId="5A11008E" w:rsidR="00A21925" w:rsidRPr="005F1F83" w:rsidRDefault="00A21925" w:rsidP="00A21925">
            <w:pPr>
              <w:pStyle w:val="TableText"/>
            </w:pPr>
            <w:r w:rsidRPr="005F1F83">
              <w:t>74</w:t>
            </w:r>
          </w:p>
        </w:tc>
      </w:tr>
      <w:tr w:rsidR="00A21925" w:rsidRPr="005F1F83" w14:paraId="01D226A8" w14:textId="77777777" w:rsidTr="007E5D11">
        <w:trPr>
          <w:trHeight w:val="300"/>
        </w:trPr>
        <w:tc>
          <w:tcPr>
            <w:tcW w:w="1560" w:type="dxa"/>
            <w:tcBorders>
              <w:top w:val="single" w:sz="8" w:space="0" w:color="A6A6A6" w:themeColor="background1" w:themeShade="A6"/>
              <w:left w:val="nil"/>
              <w:bottom w:val="single" w:sz="8" w:space="0" w:color="A6A6A6" w:themeColor="background1" w:themeShade="A6"/>
              <w:right w:val="nil"/>
            </w:tcBorders>
            <w:tcMar>
              <w:left w:w="108" w:type="dxa"/>
              <w:right w:w="108" w:type="dxa"/>
            </w:tcMar>
            <w:vAlign w:val="bottom"/>
          </w:tcPr>
          <w:p w14:paraId="7A726FC1" w14:textId="4BA56590" w:rsidR="00A21925" w:rsidRPr="00A010CA" w:rsidRDefault="00A21925" w:rsidP="00A21925">
            <w:pPr>
              <w:pStyle w:val="TableText"/>
              <w:rPr>
                <w:vertAlign w:val="superscript"/>
              </w:rPr>
            </w:pPr>
            <w:r w:rsidRPr="005F1F83">
              <w:t>National</w:t>
            </w:r>
            <w:r>
              <w:rPr>
                <w:vertAlign w:val="superscript"/>
              </w:rPr>
              <w:t>2</w:t>
            </w:r>
          </w:p>
        </w:tc>
        <w:tc>
          <w:tcPr>
            <w:tcW w:w="1411" w:type="dxa"/>
            <w:tcBorders>
              <w:top w:val="single" w:sz="8" w:space="0" w:color="A6A6A6" w:themeColor="background1" w:themeShade="A6"/>
              <w:left w:val="nil"/>
              <w:bottom w:val="single" w:sz="8" w:space="0" w:color="A6A6A6" w:themeColor="background1" w:themeShade="A6"/>
              <w:right w:val="nil"/>
            </w:tcBorders>
            <w:tcMar>
              <w:left w:w="108" w:type="dxa"/>
              <w:right w:w="108" w:type="dxa"/>
            </w:tcMar>
          </w:tcPr>
          <w:p w14:paraId="13363714" w14:textId="6EB1E8B3" w:rsidR="00A21925" w:rsidRPr="005F1F83" w:rsidRDefault="00A21925" w:rsidP="00A21925">
            <w:pPr>
              <w:pStyle w:val="TableText"/>
            </w:pPr>
            <w:r w:rsidRPr="005F1F83">
              <w:t>207</w:t>
            </w:r>
          </w:p>
        </w:tc>
        <w:tc>
          <w:tcPr>
            <w:tcW w:w="1282" w:type="dxa"/>
            <w:tcBorders>
              <w:top w:val="single" w:sz="8" w:space="0" w:color="A6A6A6" w:themeColor="background1" w:themeShade="A6"/>
              <w:left w:val="nil"/>
              <w:bottom w:val="single" w:sz="8" w:space="0" w:color="A6A6A6" w:themeColor="background1" w:themeShade="A6"/>
              <w:right w:val="nil"/>
            </w:tcBorders>
            <w:tcMar>
              <w:left w:w="108" w:type="dxa"/>
              <w:right w:w="108" w:type="dxa"/>
            </w:tcMar>
          </w:tcPr>
          <w:p w14:paraId="21EBA667" w14:textId="394155ED" w:rsidR="00A21925" w:rsidRPr="005F1F83" w:rsidRDefault="00A21925" w:rsidP="00A21925">
            <w:pPr>
              <w:pStyle w:val="TableText"/>
            </w:pPr>
            <w:r w:rsidRPr="005F1F83">
              <w:t>0</w:t>
            </w:r>
          </w:p>
        </w:tc>
        <w:tc>
          <w:tcPr>
            <w:tcW w:w="1134" w:type="dxa"/>
            <w:tcBorders>
              <w:top w:val="single" w:sz="8" w:space="0" w:color="A6A6A6" w:themeColor="background1" w:themeShade="A6"/>
              <w:left w:val="nil"/>
              <w:bottom w:val="single" w:sz="8" w:space="0" w:color="A6A6A6" w:themeColor="background1" w:themeShade="A6"/>
              <w:right w:val="single" w:sz="8" w:space="0" w:color="auto"/>
            </w:tcBorders>
            <w:tcMar>
              <w:left w:w="108" w:type="dxa"/>
              <w:right w:w="108" w:type="dxa"/>
            </w:tcMar>
          </w:tcPr>
          <w:p w14:paraId="685B705E" w14:textId="43E83702" w:rsidR="00A21925" w:rsidRPr="005F1F83" w:rsidRDefault="00A21925" w:rsidP="00A21925">
            <w:pPr>
              <w:pStyle w:val="TableText"/>
            </w:pPr>
            <w:r w:rsidRPr="005F1F83">
              <w:t>3,889</w:t>
            </w:r>
          </w:p>
        </w:tc>
        <w:tc>
          <w:tcPr>
            <w:tcW w:w="1276" w:type="dxa"/>
            <w:tcBorders>
              <w:top w:val="single" w:sz="8" w:space="0" w:color="A6A6A6" w:themeColor="background1" w:themeShade="A6"/>
              <w:left w:val="single" w:sz="8" w:space="0" w:color="auto"/>
              <w:bottom w:val="single" w:sz="8" w:space="0" w:color="A6A6A6" w:themeColor="background1" w:themeShade="A6"/>
              <w:right w:val="nil"/>
            </w:tcBorders>
            <w:tcMar>
              <w:left w:w="108" w:type="dxa"/>
              <w:right w:w="108" w:type="dxa"/>
            </w:tcMar>
          </w:tcPr>
          <w:p w14:paraId="16F2B3C5" w14:textId="2C143984" w:rsidR="00A21925" w:rsidRPr="005F1F83" w:rsidRDefault="00A21925" w:rsidP="00A21925">
            <w:pPr>
              <w:pStyle w:val="TableText"/>
            </w:pPr>
            <w:r w:rsidRPr="005F1F83">
              <w:t>5</w:t>
            </w:r>
          </w:p>
        </w:tc>
        <w:tc>
          <w:tcPr>
            <w:tcW w:w="1418" w:type="dxa"/>
            <w:tcBorders>
              <w:top w:val="single" w:sz="8" w:space="0" w:color="A6A6A6" w:themeColor="background1" w:themeShade="A6"/>
              <w:left w:val="nil"/>
              <w:bottom w:val="single" w:sz="8" w:space="0" w:color="A6A6A6" w:themeColor="background1" w:themeShade="A6"/>
              <w:right w:val="nil"/>
            </w:tcBorders>
            <w:tcMar>
              <w:left w:w="108" w:type="dxa"/>
              <w:right w:w="108" w:type="dxa"/>
            </w:tcMar>
          </w:tcPr>
          <w:p w14:paraId="77E75C70" w14:textId="5B860216" w:rsidR="00A21925" w:rsidRPr="005F1F83" w:rsidRDefault="00A21925" w:rsidP="00A21925">
            <w:pPr>
              <w:pStyle w:val="TableText"/>
            </w:pPr>
            <w:r w:rsidRPr="005F1F83">
              <w:t>0</w:t>
            </w:r>
          </w:p>
        </w:tc>
      </w:tr>
      <w:tr w:rsidR="00A21925" w:rsidRPr="005F1F83" w14:paraId="13766687" w14:textId="77777777" w:rsidTr="007E5D11">
        <w:trPr>
          <w:trHeight w:val="300"/>
        </w:trPr>
        <w:tc>
          <w:tcPr>
            <w:tcW w:w="1560" w:type="dxa"/>
            <w:tcBorders>
              <w:top w:val="single" w:sz="8" w:space="0" w:color="A6A6A6" w:themeColor="background1" w:themeShade="A6"/>
              <w:left w:val="nil"/>
              <w:bottom w:val="single" w:sz="8" w:space="0" w:color="A6A6A6" w:themeColor="background1" w:themeShade="A6"/>
              <w:right w:val="nil"/>
            </w:tcBorders>
            <w:tcMar>
              <w:left w:w="108" w:type="dxa"/>
              <w:right w:w="108" w:type="dxa"/>
            </w:tcMar>
            <w:vAlign w:val="bottom"/>
          </w:tcPr>
          <w:p w14:paraId="7621B925" w14:textId="1FD7D8F1" w:rsidR="00A21925" w:rsidRPr="005F1F83" w:rsidRDefault="00A21925" w:rsidP="00A21925">
            <w:pPr>
              <w:pStyle w:val="TableText"/>
              <w:rPr>
                <w:b/>
              </w:rPr>
            </w:pPr>
            <w:r w:rsidRPr="005F1F83">
              <w:rPr>
                <w:b/>
              </w:rPr>
              <w:t>Total</w:t>
            </w:r>
          </w:p>
        </w:tc>
        <w:tc>
          <w:tcPr>
            <w:tcW w:w="1411" w:type="dxa"/>
            <w:tcBorders>
              <w:top w:val="single" w:sz="8" w:space="0" w:color="A6A6A6" w:themeColor="background1" w:themeShade="A6"/>
              <w:left w:val="nil"/>
              <w:bottom w:val="single" w:sz="8" w:space="0" w:color="A6A6A6" w:themeColor="background1" w:themeShade="A6"/>
              <w:right w:val="nil"/>
            </w:tcBorders>
            <w:tcMar>
              <w:left w:w="108" w:type="dxa"/>
              <w:right w:w="108" w:type="dxa"/>
            </w:tcMar>
          </w:tcPr>
          <w:p w14:paraId="06C8B08A" w14:textId="3E363DEA" w:rsidR="00A21925" w:rsidRPr="005F1F83" w:rsidRDefault="00A21925" w:rsidP="00A21925">
            <w:pPr>
              <w:pStyle w:val="TableText"/>
              <w:rPr>
                <w:b/>
              </w:rPr>
            </w:pPr>
            <w:r w:rsidRPr="005F1F83">
              <w:rPr>
                <w:b/>
                <w:bCs/>
              </w:rPr>
              <w:t>2,509</w:t>
            </w:r>
          </w:p>
        </w:tc>
        <w:tc>
          <w:tcPr>
            <w:tcW w:w="1282" w:type="dxa"/>
            <w:tcBorders>
              <w:top w:val="single" w:sz="8" w:space="0" w:color="A6A6A6" w:themeColor="background1" w:themeShade="A6"/>
              <w:left w:val="nil"/>
              <w:bottom w:val="single" w:sz="8" w:space="0" w:color="A6A6A6" w:themeColor="background1" w:themeShade="A6"/>
              <w:right w:val="nil"/>
            </w:tcBorders>
            <w:tcMar>
              <w:left w:w="108" w:type="dxa"/>
              <w:right w:w="108" w:type="dxa"/>
            </w:tcMar>
          </w:tcPr>
          <w:p w14:paraId="5C295E7F" w14:textId="7C8BF90C" w:rsidR="00A21925" w:rsidRPr="005F1F83" w:rsidRDefault="00A21925" w:rsidP="00A21925">
            <w:pPr>
              <w:pStyle w:val="TableText"/>
              <w:rPr>
                <w:b/>
              </w:rPr>
            </w:pPr>
            <w:r w:rsidRPr="005F1F83">
              <w:rPr>
                <w:b/>
                <w:bCs/>
              </w:rPr>
              <w:t>2,014</w:t>
            </w:r>
          </w:p>
        </w:tc>
        <w:tc>
          <w:tcPr>
            <w:tcW w:w="1134" w:type="dxa"/>
            <w:tcBorders>
              <w:top w:val="single" w:sz="8" w:space="0" w:color="A6A6A6" w:themeColor="background1" w:themeShade="A6"/>
              <w:left w:val="nil"/>
              <w:bottom w:val="single" w:sz="8" w:space="0" w:color="A6A6A6" w:themeColor="background1" w:themeShade="A6"/>
              <w:right w:val="single" w:sz="8" w:space="0" w:color="auto"/>
            </w:tcBorders>
            <w:tcMar>
              <w:left w:w="108" w:type="dxa"/>
              <w:right w:w="108" w:type="dxa"/>
            </w:tcMar>
          </w:tcPr>
          <w:p w14:paraId="3A1B091A" w14:textId="08C56BA7" w:rsidR="00A21925" w:rsidRPr="005F1F83" w:rsidRDefault="00A21925" w:rsidP="00A21925">
            <w:pPr>
              <w:pStyle w:val="TableText"/>
              <w:rPr>
                <w:b/>
              </w:rPr>
            </w:pPr>
            <w:r w:rsidRPr="005F1F83">
              <w:rPr>
                <w:b/>
                <w:bCs/>
              </w:rPr>
              <w:t>16,277</w:t>
            </w:r>
          </w:p>
        </w:tc>
        <w:tc>
          <w:tcPr>
            <w:tcW w:w="1276" w:type="dxa"/>
            <w:tcBorders>
              <w:top w:val="single" w:sz="8" w:space="0" w:color="A6A6A6" w:themeColor="background1" w:themeShade="A6"/>
              <w:left w:val="single" w:sz="8" w:space="0" w:color="auto"/>
              <w:bottom w:val="single" w:sz="8" w:space="0" w:color="A6A6A6" w:themeColor="background1" w:themeShade="A6"/>
              <w:right w:val="nil"/>
            </w:tcBorders>
            <w:tcMar>
              <w:left w:w="108" w:type="dxa"/>
              <w:right w:w="108" w:type="dxa"/>
            </w:tcMar>
          </w:tcPr>
          <w:p w14:paraId="3A38F18E" w14:textId="0A7405D5" w:rsidR="00A21925" w:rsidRPr="005F1F83" w:rsidRDefault="00A21925" w:rsidP="00A21925">
            <w:pPr>
              <w:pStyle w:val="TableText"/>
              <w:rPr>
                <w:b/>
              </w:rPr>
            </w:pPr>
            <w:r w:rsidRPr="005F1F83">
              <w:rPr>
                <w:b/>
                <w:bCs/>
              </w:rPr>
              <w:t>15</w:t>
            </w:r>
          </w:p>
        </w:tc>
        <w:tc>
          <w:tcPr>
            <w:tcW w:w="1418" w:type="dxa"/>
            <w:tcBorders>
              <w:top w:val="single" w:sz="8" w:space="0" w:color="A6A6A6" w:themeColor="background1" w:themeShade="A6"/>
              <w:left w:val="nil"/>
              <w:bottom w:val="single" w:sz="8" w:space="0" w:color="A6A6A6" w:themeColor="background1" w:themeShade="A6"/>
              <w:right w:val="nil"/>
            </w:tcBorders>
            <w:tcMar>
              <w:left w:w="108" w:type="dxa"/>
              <w:right w:w="108" w:type="dxa"/>
            </w:tcMar>
          </w:tcPr>
          <w:p w14:paraId="35979686" w14:textId="3060E496" w:rsidR="00A21925" w:rsidRPr="005F1F83" w:rsidRDefault="00A21925" w:rsidP="00A21925">
            <w:pPr>
              <w:pStyle w:val="TableText"/>
              <w:rPr>
                <w:b/>
              </w:rPr>
            </w:pPr>
            <w:r w:rsidRPr="005F1F83">
              <w:rPr>
                <w:b/>
                <w:bCs/>
              </w:rPr>
              <w:t>80</w:t>
            </w:r>
          </w:p>
        </w:tc>
      </w:tr>
    </w:tbl>
    <w:p w14:paraId="1477F912" w14:textId="72FC2B21" w:rsidR="00A21925" w:rsidRDefault="00A21925" w:rsidP="00A21925">
      <w:pPr>
        <w:pStyle w:val="Note"/>
      </w:pPr>
      <w:r w:rsidRPr="005F1F83">
        <w:t xml:space="preserve">Note: </w:t>
      </w:r>
      <w:r w:rsidRPr="005F1F83">
        <w:rPr>
          <w:vertAlign w:val="superscript"/>
        </w:rPr>
        <w:t xml:space="preserve">1 </w:t>
      </w:r>
      <w:r w:rsidRPr="005F1F83">
        <w:t xml:space="preserve">’Counselling from provider’ refers to instances where a </w:t>
      </w:r>
      <w:r w:rsidR="00752368">
        <w:rPr>
          <w:rFonts w:eastAsia="Calibri"/>
        </w:rPr>
        <w:t>woman</w:t>
      </w:r>
      <w:r w:rsidRPr="005F1F83">
        <w:t xml:space="preserve"> accesses pre-abortion counselling at the same facility as they accessed their abortion care. For instance, they accessed both </w:t>
      </w:r>
      <w:r>
        <w:t xml:space="preserve">services </w:t>
      </w:r>
      <w:r w:rsidRPr="005F1F83">
        <w:t>at the same hospital.</w:t>
      </w:r>
      <w:r>
        <w:t xml:space="preserve"> </w:t>
      </w:r>
      <w:r>
        <w:rPr>
          <w:vertAlign w:val="superscript"/>
        </w:rPr>
        <w:t xml:space="preserve">2 </w:t>
      </w:r>
      <w:r>
        <w:t xml:space="preserve">’National’ refers to the </w:t>
      </w:r>
      <w:r w:rsidRPr="00A010CA">
        <w:t>national abortion telehealth service DECIDE</w:t>
      </w:r>
      <w:r>
        <w:t>.</w:t>
      </w:r>
    </w:p>
    <w:p w14:paraId="02CF821B" w14:textId="77777777" w:rsidR="00A21925" w:rsidRPr="00A21925" w:rsidRDefault="00A21925" w:rsidP="00A21925"/>
    <w:p w14:paraId="542EA305" w14:textId="77777777" w:rsidR="00A21925" w:rsidRDefault="00A21925" w:rsidP="00A21925">
      <w:pPr>
        <w:pStyle w:val="Table"/>
        <w:sectPr w:rsidR="00A21925" w:rsidSect="00CC19AA">
          <w:pgSz w:w="11907" w:h="16834" w:code="9"/>
          <w:pgMar w:top="1418" w:right="1701" w:bottom="1134" w:left="1843" w:header="284" w:footer="425" w:gutter="284"/>
          <w:cols w:space="720"/>
        </w:sectPr>
      </w:pPr>
      <w:bookmarkStart w:id="47" w:name="_Ref192161301"/>
      <w:bookmarkStart w:id="48" w:name="_Toc192349325"/>
    </w:p>
    <w:p w14:paraId="599ADA0A" w14:textId="235B6C10" w:rsidR="00A21925" w:rsidRDefault="00A21925" w:rsidP="00A21925">
      <w:pPr>
        <w:pStyle w:val="Table"/>
      </w:pPr>
      <w:bookmarkStart w:id="49" w:name="_Ref192758173"/>
      <w:bookmarkStart w:id="50" w:name="_Toc195016596"/>
      <w:r w:rsidRPr="005F1F83">
        <w:t xml:space="preserve">Table </w:t>
      </w:r>
      <w:r>
        <w:fldChar w:fldCharType="begin"/>
      </w:r>
      <w:r>
        <w:instrText xml:space="preserve"> SEQ Table \* ARABIC </w:instrText>
      </w:r>
      <w:r>
        <w:fldChar w:fldCharType="separate"/>
      </w:r>
      <w:r w:rsidR="00974F51">
        <w:rPr>
          <w:noProof/>
        </w:rPr>
        <w:t>3</w:t>
      </w:r>
      <w:r>
        <w:rPr>
          <w:noProof/>
        </w:rPr>
        <w:fldChar w:fldCharType="end"/>
      </w:r>
      <w:bookmarkEnd w:id="47"/>
      <w:bookmarkEnd w:id="49"/>
      <w:r w:rsidRPr="005F1F83">
        <w:t>: Counselling provision by region of service, 2024</w:t>
      </w:r>
      <w:bookmarkEnd w:id="48"/>
      <w:bookmarkEnd w:id="50"/>
    </w:p>
    <w:tbl>
      <w:tblPr>
        <w:tblW w:w="8081" w:type="dxa"/>
        <w:tblLayout w:type="fixed"/>
        <w:tblLook w:val="04A0" w:firstRow="1" w:lastRow="0" w:firstColumn="1" w:lastColumn="0" w:noHBand="0" w:noVBand="1"/>
      </w:tblPr>
      <w:tblGrid>
        <w:gridCol w:w="1560"/>
        <w:gridCol w:w="1411"/>
        <w:gridCol w:w="1282"/>
        <w:gridCol w:w="1134"/>
        <w:gridCol w:w="1276"/>
        <w:gridCol w:w="1418"/>
      </w:tblGrid>
      <w:tr w:rsidR="00A21925" w:rsidRPr="005F1F83" w14:paraId="64EDA426" w14:textId="77777777" w:rsidTr="007E5D11">
        <w:trPr>
          <w:trHeight w:val="300"/>
        </w:trPr>
        <w:tc>
          <w:tcPr>
            <w:tcW w:w="1560" w:type="dxa"/>
            <w:tcBorders>
              <w:top w:val="nil"/>
              <w:left w:val="nil"/>
              <w:right w:val="nil"/>
            </w:tcBorders>
            <w:shd w:val="clear" w:color="auto" w:fill="D9D9D9" w:themeFill="background1" w:themeFillShade="D9"/>
            <w:tcMar>
              <w:left w:w="108" w:type="dxa"/>
              <w:right w:w="108" w:type="dxa"/>
            </w:tcMar>
          </w:tcPr>
          <w:p w14:paraId="58360230" w14:textId="1FE0659E" w:rsidR="00A21925" w:rsidRPr="005F1F83" w:rsidRDefault="00A21925" w:rsidP="00A21925">
            <w:pPr>
              <w:pStyle w:val="TableText"/>
              <w:rPr>
                <w:b/>
              </w:rPr>
            </w:pPr>
            <w:r w:rsidRPr="005F1F83">
              <w:rPr>
                <w:b/>
              </w:rPr>
              <w:t>Region</w:t>
            </w:r>
          </w:p>
        </w:tc>
        <w:tc>
          <w:tcPr>
            <w:tcW w:w="1411" w:type="dxa"/>
            <w:tcBorders>
              <w:top w:val="nil"/>
              <w:left w:val="nil"/>
              <w:right w:val="nil"/>
            </w:tcBorders>
            <w:shd w:val="clear" w:color="auto" w:fill="D9D9D9" w:themeFill="background1" w:themeFillShade="D9"/>
            <w:tcMar>
              <w:left w:w="108" w:type="dxa"/>
              <w:right w:w="108" w:type="dxa"/>
            </w:tcMar>
          </w:tcPr>
          <w:p w14:paraId="2AFECA73" w14:textId="6B8AC2DA" w:rsidR="00A21925" w:rsidRPr="005F1F83" w:rsidRDefault="00A21925" w:rsidP="00A21925">
            <w:pPr>
              <w:pStyle w:val="TableText"/>
              <w:rPr>
                <w:b/>
              </w:rPr>
            </w:pPr>
            <w:r w:rsidRPr="005F1F83">
              <w:rPr>
                <w:b/>
              </w:rPr>
              <w:t xml:space="preserve">Received </w:t>
            </w:r>
            <w:r w:rsidRPr="005F1F83">
              <w:rPr>
                <w:b/>
              </w:rPr>
              <w:br/>
              <w:t>pre-abortion counselling</w:t>
            </w:r>
          </w:p>
        </w:tc>
        <w:tc>
          <w:tcPr>
            <w:tcW w:w="1282" w:type="dxa"/>
            <w:tcBorders>
              <w:top w:val="nil"/>
              <w:left w:val="nil"/>
              <w:right w:val="nil"/>
            </w:tcBorders>
            <w:shd w:val="clear" w:color="auto" w:fill="D9D9D9" w:themeFill="background1" w:themeFillShade="D9"/>
            <w:tcMar>
              <w:left w:w="108" w:type="dxa"/>
              <w:right w:w="108" w:type="dxa"/>
            </w:tcMar>
          </w:tcPr>
          <w:p w14:paraId="0BA95D8B" w14:textId="616F89BB" w:rsidR="00A21925" w:rsidRPr="005F1F83" w:rsidRDefault="00A21925" w:rsidP="00A21925">
            <w:pPr>
              <w:pStyle w:val="TableText"/>
              <w:rPr>
                <w:b/>
              </w:rPr>
            </w:pPr>
            <w:r w:rsidRPr="005F1F83">
              <w:rPr>
                <w:b/>
              </w:rPr>
              <w:t>Counselling from provider</w:t>
            </w:r>
            <w:r w:rsidRPr="005F1F83">
              <w:rPr>
                <w:b/>
                <w:vertAlign w:val="superscript"/>
              </w:rPr>
              <w:t>1</w:t>
            </w:r>
            <w:r w:rsidRPr="005F1F83">
              <w:rPr>
                <w:b/>
              </w:rPr>
              <w:t xml:space="preserve"> </w:t>
            </w:r>
          </w:p>
        </w:tc>
        <w:tc>
          <w:tcPr>
            <w:tcW w:w="1134" w:type="dxa"/>
            <w:tcBorders>
              <w:top w:val="nil"/>
              <w:left w:val="nil"/>
              <w:right w:val="single" w:sz="8" w:space="0" w:color="auto"/>
            </w:tcBorders>
            <w:shd w:val="clear" w:color="auto" w:fill="D9D9D9" w:themeFill="background1" w:themeFillShade="D9"/>
            <w:tcMar>
              <w:left w:w="108" w:type="dxa"/>
              <w:right w:w="108" w:type="dxa"/>
            </w:tcMar>
          </w:tcPr>
          <w:p w14:paraId="7B766713" w14:textId="1C6D13BB" w:rsidR="00A21925" w:rsidRPr="005F1F83" w:rsidRDefault="00A21925" w:rsidP="00A21925">
            <w:pPr>
              <w:pStyle w:val="TableText"/>
              <w:rPr>
                <w:b/>
              </w:rPr>
            </w:pPr>
            <w:r w:rsidRPr="005F1F83">
              <w:rPr>
                <w:b/>
              </w:rPr>
              <w:t>Total abortions</w:t>
            </w:r>
          </w:p>
        </w:tc>
        <w:tc>
          <w:tcPr>
            <w:tcW w:w="1276" w:type="dxa"/>
            <w:tcBorders>
              <w:top w:val="nil"/>
              <w:left w:val="single" w:sz="8" w:space="0" w:color="auto"/>
              <w:right w:val="nil"/>
            </w:tcBorders>
            <w:shd w:val="clear" w:color="auto" w:fill="D9D9D9" w:themeFill="background1" w:themeFillShade="D9"/>
            <w:tcMar>
              <w:left w:w="108" w:type="dxa"/>
              <w:right w:w="108" w:type="dxa"/>
            </w:tcMar>
          </w:tcPr>
          <w:p w14:paraId="085D2BFB" w14:textId="0B08824F" w:rsidR="00A21925" w:rsidRPr="005F1F83" w:rsidRDefault="00A21925" w:rsidP="00A21925">
            <w:pPr>
              <w:pStyle w:val="TableText"/>
              <w:rPr>
                <w:b/>
              </w:rPr>
            </w:pPr>
            <w:r w:rsidRPr="005F1F83">
              <w:rPr>
                <w:b/>
              </w:rPr>
              <w:t xml:space="preserve">% accessing counselling </w:t>
            </w:r>
          </w:p>
        </w:tc>
        <w:tc>
          <w:tcPr>
            <w:tcW w:w="1418" w:type="dxa"/>
            <w:tcBorders>
              <w:top w:val="nil"/>
              <w:left w:val="nil"/>
              <w:right w:val="nil"/>
            </w:tcBorders>
            <w:shd w:val="clear" w:color="auto" w:fill="D9D9D9" w:themeFill="background1" w:themeFillShade="D9"/>
            <w:tcMar>
              <w:left w:w="108" w:type="dxa"/>
              <w:right w:w="108" w:type="dxa"/>
            </w:tcMar>
          </w:tcPr>
          <w:p w14:paraId="796CFB32" w14:textId="099747B3" w:rsidR="00A21925" w:rsidRPr="005F1F83" w:rsidRDefault="00A21925" w:rsidP="00A21925">
            <w:pPr>
              <w:pStyle w:val="TableText"/>
              <w:rPr>
                <w:b/>
              </w:rPr>
            </w:pPr>
            <w:r w:rsidRPr="005F1F83">
              <w:rPr>
                <w:b/>
                <w:bCs/>
              </w:rPr>
              <w:t>% counselling from their provider</w:t>
            </w:r>
          </w:p>
        </w:tc>
      </w:tr>
      <w:tr w:rsidR="00A21925" w:rsidRPr="005F1F83" w14:paraId="26675294" w14:textId="77777777" w:rsidTr="007E5D11">
        <w:trPr>
          <w:trHeight w:val="300"/>
        </w:trPr>
        <w:tc>
          <w:tcPr>
            <w:tcW w:w="1560" w:type="dxa"/>
            <w:tcBorders>
              <w:left w:val="nil"/>
              <w:bottom w:val="single" w:sz="8" w:space="0" w:color="A6A6A6" w:themeColor="background1" w:themeShade="A6"/>
              <w:right w:val="nil"/>
            </w:tcBorders>
            <w:tcMar>
              <w:left w:w="108" w:type="dxa"/>
              <w:right w:w="108" w:type="dxa"/>
            </w:tcMar>
            <w:vAlign w:val="bottom"/>
          </w:tcPr>
          <w:p w14:paraId="0BBF30BB" w14:textId="1938C9C2" w:rsidR="00A21925" w:rsidRPr="005F1F83" w:rsidRDefault="00A21925" w:rsidP="00A21925">
            <w:pPr>
              <w:pStyle w:val="TableText"/>
            </w:pPr>
            <w:proofErr w:type="spellStart"/>
            <w:r w:rsidRPr="005F1F83">
              <w:t>Te</w:t>
            </w:r>
            <w:proofErr w:type="spellEnd"/>
            <w:r w:rsidRPr="005F1F83">
              <w:t xml:space="preserve"> Tai </w:t>
            </w:r>
            <w:proofErr w:type="spellStart"/>
            <w:r w:rsidRPr="005F1F83">
              <w:t>Tokerau</w:t>
            </w:r>
            <w:proofErr w:type="spellEnd"/>
            <w:r w:rsidRPr="005F1F83">
              <w:br/>
              <w:t>(Northern)</w:t>
            </w:r>
          </w:p>
        </w:tc>
        <w:tc>
          <w:tcPr>
            <w:tcW w:w="1411" w:type="dxa"/>
            <w:tcBorders>
              <w:left w:val="nil"/>
              <w:bottom w:val="single" w:sz="8" w:space="0" w:color="A6A6A6" w:themeColor="background1" w:themeShade="A6"/>
              <w:right w:val="nil"/>
            </w:tcBorders>
            <w:tcMar>
              <w:left w:w="108" w:type="dxa"/>
              <w:right w:w="108" w:type="dxa"/>
            </w:tcMar>
            <w:vAlign w:val="center"/>
          </w:tcPr>
          <w:p w14:paraId="40BD3121" w14:textId="622E6F6B" w:rsidR="00A21925" w:rsidRPr="005F1F83" w:rsidRDefault="00A21925" w:rsidP="00A21925">
            <w:pPr>
              <w:pStyle w:val="TableText"/>
            </w:pPr>
            <w:r w:rsidRPr="005F1F83">
              <w:t>540</w:t>
            </w:r>
          </w:p>
        </w:tc>
        <w:tc>
          <w:tcPr>
            <w:tcW w:w="1282" w:type="dxa"/>
            <w:tcBorders>
              <w:left w:val="nil"/>
              <w:bottom w:val="single" w:sz="8" w:space="0" w:color="A6A6A6" w:themeColor="background1" w:themeShade="A6"/>
              <w:right w:val="nil"/>
            </w:tcBorders>
            <w:tcMar>
              <w:left w:w="108" w:type="dxa"/>
              <w:right w:w="108" w:type="dxa"/>
            </w:tcMar>
            <w:vAlign w:val="center"/>
          </w:tcPr>
          <w:p w14:paraId="3512857F" w14:textId="6DE7F54B" w:rsidR="00A21925" w:rsidRPr="005F1F83" w:rsidRDefault="00A21925" w:rsidP="00A21925">
            <w:pPr>
              <w:pStyle w:val="TableText"/>
            </w:pPr>
            <w:r w:rsidRPr="005F1F83">
              <w:t>435</w:t>
            </w:r>
          </w:p>
        </w:tc>
        <w:tc>
          <w:tcPr>
            <w:tcW w:w="1134" w:type="dxa"/>
            <w:tcBorders>
              <w:left w:val="nil"/>
              <w:bottom w:val="single" w:sz="8" w:space="0" w:color="A6A6A6" w:themeColor="background1" w:themeShade="A6"/>
              <w:right w:val="single" w:sz="8" w:space="0" w:color="auto"/>
            </w:tcBorders>
            <w:tcMar>
              <w:left w:w="108" w:type="dxa"/>
              <w:right w:w="108" w:type="dxa"/>
            </w:tcMar>
            <w:vAlign w:val="center"/>
          </w:tcPr>
          <w:p w14:paraId="2298300E" w14:textId="627BEDA1" w:rsidR="00A21925" w:rsidRPr="005F1F83" w:rsidRDefault="00A21925" w:rsidP="00A21925">
            <w:pPr>
              <w:pStyle w:val="TableText"/>
            </w:pPr>
            <w:r w:rsidRPr="005F1F83">
              <w:t>4,664</w:t>
            </w:r>
          </w:p>
        </w:tc>
        <w:tc>
          <w:tcPr>
            <w:tcW w:w="1276" w:type="dxa"/>
            <w:tcBorders>
              <w:left w:val="single" w:sz="8" w:space="0" w:color="auto"/>
              <w:bottom w:val="single" w:sz="8" w:space="0" w:color="A6A6A6" w:themeColor="background1" w:themeShade="A6"/>
              <w:right w:val="nil"/>
            </w:tcBorders>
            <w:tcMar>
              <w:left w:w="108" w:type="dxa"/>
              <w:right w:w="108" w:type="dxa"/>
            </w:tcMar>
            <w:vAlign w:val="center"/>
          </w:tcPr>
          <w:p w14:paraId="43785789" w14:textId="19D044D8" w:rsidR="00A21925" w:rsidRPr="005F1F83" w:rsidRDefault="00A21925" w:rsidP="00A21925">
            <w:pPr>
              <w:pStyle w:val="TableText"/>
            </w:pPr>
            <w:r w:rsidRPr="005F1F83">
              <w:t>12</w:t>
            </w:r>
          </w:p>
        </w:tc>
        <w:tc>
          <w:tcPr>
            <w:tcW w:w="1418" w:type="dxa"/>
            <w:tcBorders>
              <w:left w:val="nil"/>
              <w:bottom w:val="single" w:sz="8" w:space="0" w:color="A6A6A6" w:themeColor="background1" w:themeShade="A6"/>
              <w:right w:val="nil"/>
            </w:tcBorders>
            <w:tcMar>
              <w:left w:w="108" w:type="dxa"/>
              <w:right w:w="108" w:type="dxa"/>
            </w:tcMar>
            <w:vAlign w:val="center"/>
          </w:tcPr>
          <w:p w14:paraId="7AC3036C" w14:textId="70144C76" w:rsidR="00A21925" w:rsidRPr="005F1F83" w:rsidRDefault="00A21925" w:rsidP="00A21925">
            <w:pPr>
              <w:pStyle w:val="TableText"/>
            </w:pPr>
            <w:r w:rsidRPr="005F1F83">
              <w:t>81</w:t>
            </w:r>
          </w:p>
        </w:tc>
      </w:tr>
      <w:tr w:rsidR="00A21925" w:rsidRPr="005F1F83" w14:paraId="0225B24B" w14:textId="77777777" w:rsidTr="007E5D11">
        <w:trPr>
          <w:trHeight w:val="300"/>
        </w:trPr>
        <w:tc>
          <w:tcPr>
            <w:tcW w:w="1560" w:type="dxa"/>
            <w:tcBorders>
              <w:top w:val="single" w:sz="8" w:space="0" w:color="A6A6A6" w:themeColor="background1" w:themeShade="A6"/>
              <w:left w:val="nil"/>
              <w:bottom w:val="single" w:sz="8" w:space="0" w:color="A6A6A6" w:themeColor="background1" w:themeShade="A6"/>
              <w:right w:val="nil"/>
            </w:tcBorders>
            <w:tcMar>
              <w:left w:w="108" w:type="dxa"/>
              <w:right w:w="108" w:type="dxa"/>
            </w:tcMar>
            <w:vAlign w:val="bottom"/>
          </w:tcPr>
          <w:p w14:paraId="64D7B37B" w14:textId="2F24725D" w:rsidR="00A21925" w:rsidRPr="005F1F83" w:rsidRDefault="00A21925" w:rsidP="00A21925">
            <w:pPr>
              <w:pStyle w:val="TableText"/>
            </w:pPr>
            <w:proofErr w:type="spellStart"/>
            <w:r w:rsidRPr="005F1F83">
              <w:t>Te</w:t>
            </w:r>
            <w:proofErr w:type="spellEnd"/>
            <w:r w:rsidRPr="005F1F83">
              <w:t xml:space="preserve"> Manawa Taki (Midland)</w:t>
            </w:r>
          </w:p>
        </w:tc>
        <w:tc>
          <w:tcPr>
            <w:tcW w:w="1411" w:type="dxa"/>
            <w:tcBorders>
              <w:top w:val="single" w:sz="8" w:space="0" w:color="A6A6A6" w:themeColor="background1" w:themeShade="A6"/>
              <w:left w:val="nil"/>
              <w:bottom w:val="single" w:sz="8" w:space="0" w:color="A6A6A6" w:themeColor="background1" w:themeShade="A6"/>
              <w:right w:val="nil"/>
            </w:tcBorders>
            <w:tcMar>
              <w:left w:w="108" w:type="dxa"/>
              <w:right w:w="108" w:type="dxa"/>
            </w:tcMar>
            <w:vAlign w:val="center"/>
          </w:tcPr>
          <w:p w14:paraId="420D6CF8" w14:textId="634D2309" w:rsidR="00A21925" w:rsidRPr="005F1F83" w:rsidRDefault="00A21925" w:rsidP="00A21925">
            <w:pPr>
              <w:pStyle w:val="TableText"/>
            </w:pPr>
            <w:r w:rsidRPr="005F1F83">
              <w:t>146</w:t>
            </w:r>
          </w:p>
        </w:tc>
        <w:tc>
          <w:tcPr>
            <w:tcW w:w="1282" w:type="dxa"/>
            <w:tcBorders>
              <w:top w:val="single" w:sz="8" w:space="0" w:color="A6A6A6" w:themeColor="background1" w:themeShade="A6"/>
              <w:left w:val="nil"/>
              <w:bottom w:val="single" w:sz="8" w:space="0" w:color="A6A6A6" w:themeColor="background1" w:themeShade="A6"/>
              <w:right w:val="nil"/>
            </w:tcBorders>
            <w:tcMar>
              <w:left w:w="108" w:type="dxa"/>
              <w:right w:w="108" w:type="dxa"/>
            </w:tcMar>
            <w:vAlign w:val="center"/>
          </w:tcPr>
          <w:p w14:paraId="181A4687" w14:textId="12866219" w:rsidR="00A21925" w:rsidRPr="005F1F83" w:rsidRDefault="00A21925" w:rsidP="00A21925">
            <w:pPr>
              <w:pStyle w:val="TableText"/>
            </w:pPr>
            <w:r w:rsidRPr="005F1F83">
              <w:t>140</w:t>
            </w:r>
          </w:p>
        </w:tc>
        <w:tc>
          <w:tcPr>
            <w:tcW w:w="1134" w:type="dxa"/>
            <w:tcBorders>
              <w:top w:val="single" w:sz="8" w:space="0" w:color="A6A6A6" w:themeColor="background1" w:themeShade="A6"/>
              <w:left w:val="nil"/>
              <w:bottom w:val="single" w:sz="8" w:space="0" w:color="A6A6A6" w:themeColor="background1" w:themeShade="A6"/>
              <w:right w:val="single" w:sz="8" w:space="0" w:color="auto"/>
            </w:tcBorders>
            <w:tcMar>
              <w:left w:w="108" w:type="dxa"/>
              <w:right w:w="108" w:type="dxa"/>
            </w:tcMar>
            <w:vAlign w:val="center"/>
          </w:tcPr>
          <w:p w14:paraId="43107A1E" w14:textId="4029C407" w:rsidR="00A21925" w:rsidRPr="005F1F83" w:rsidRDefault="00A21925" w:rsidP="00A21925">
            <w:pPr>
              <w:pStyle w:val="TableText"/>
            </w:pPr>
            <w:r w:rsidRPr="005F1F83">
              <w:t>1,902</w:t>
            </w:r>
          </w:p>
        </w:tc>
        <w:tc>
          <w:tcPr>
            <w:tcW w:w="1276" w:type="dxa"/>
            <w:tcBorders>
              <w:top w:val="single" w:sz="8" w:space="0" w:color="A6A6A6" w:themeColor="background1" w:themeShade="A6"/>
              <w:left w:val="single" w:sz="8" w:space="0" w:color="auto"/>
              <w:bottom w:val="single" w:sz="8" w:space="0" w:color="A6A6A6" w:themeColor="background1" w:themeShade="A6"/>
              <w:right w:val="nil"/>
            </w:tcBorders>
            <w:tcMar>
              <w:left w:w="108" w:type="dxa"/>
              <w:right w:w="108" w:type="dxa"/>
            </w:tcMar>
            <w:vAlign w:val="center"/>
          </w:tcPr>
          <w:p w14:paraId="6A2998E7" w14:textId="719FD536" w:rsidR="00A21925" w:rsidRPr="005F1F83" w:rsidRDefault="00A21925" w:rsidP="00A21925">
            <w:pPr>
              <w:pStyle w:val="TableText"/>
            </w:pPr>
            <w:r w:rsidRPr="005F1F83">
              <w:t>8</w:t>
            </w:r>
          </w:p>
        </w:tc>
        <w:tc>
          <w:tcPr>
            <w:tcW w:w="1418" w:type="dxa"/>
            <w:tcBorders>
              <w:top w:val="single" w:sz="8" w:space="0" w:color="A6A6A6" w:themeColor="background1" w:themeShade="A6"/>
              <w:left w:val="nil"/>
              <w:bottom w:val="single" w:sz="8" w:space="0" w:color="A6A6A6" w:themeColor="background1" w:themeShade="A6"/>
              <w:right w:val="nil"/>
            </w:tcBorders>
            <w:tcMar>
              <w:left w:w="108" w:type="dxa"/>
              <w:right w:w="108" w:type="dxa"/>
            </w:tcMar>
            <w:vAlign w:val="center"/>
          </w:tcPr>
          <w:p w14:paraId="58DBC51C" w14:textId="32B19CA0" w:rsidR="00A21925" w:rsidRPr="005F1F83" w:rsidRDefault="00A21925" w:rsidP="00A21925">
            <w:pPr>
              <w:pStyle w:val="TableText"/>
            </w:pPr>
            <w:r w:rsidRPr="005F1F83">
              <w:t>96</w:t>
            </w:r>
          </w:p>
        </w:tc>
      </w:tr>
      <w:tr w:rsidR="00A21925" w:rsidRPr="005F1F83" w14:paraId="33CCEBE1" w14:textId="77777777" w:rsidTr="007E5D11">
        <w:trPr>
          <w:trHeight w:val="300"/>
        </w:trPr>
        <w:tc>
          <w:tcPr>
            <w:tcW w:w="1560" w:type="dxa"/>
            <w:tcBorders>
              <w:top w:val="single" w:sz="8" w:space="0" w:color="A6A6A6" w:themeColor="background1" w:themeShade="A6"/>
              <w:left w:val="nil"/>
              <w:bottom w:val="single" w:sz="8" w:space="0" w:color="A6A6A6" w:themeColor="background1" w:themeShade="A6"/>
              <w:right w:val="nil"/>
            </w:tcBorders>
            <w:tcMar>
              <w:left w:w="108" w:type="dxa"/>
              <w:right w:w="108" w:type="dxa"/>
            </w:tcMar>
            <w:vAlign w:val="bottom"/>
          </w:tcPr>
          <w:p w14:paraId="7B35A908" w14:textId="3CE941EB" w:rsidR="00A21925" w:rsidRPr="005F1F83" w:rsidRDefault="00A21925" w:rsidP="00A21925">
            <w:pPr>
              <w:pStyle w:val="TableText"/>
            </w:pPr>
            <w:proofErr w:type="spellStart"/>
            <w:r w:rsidRPr="005F1F83">
              <w:t>Te</w:t>
            </w:r>
            <w:proofErr w:type="spellEnd"/>
            <w:r w:rsidRPr="005F1F83">
              <w:t xml:space="preserve"> </w:t>
            </w:r>
            <w:proofErr w:type="spellStart"/>
            <w:r w:rsidRPr="005F1F83">
              <w:t>Ikaroa</w:t>
            </w:r>
            <w:proofErr w:type="spellEnd"/>
            <w:r w:rsidRPr="005F1F83">
              <w:t xml:space="preserve"> (Central)</w:t>
            </w:r>
          </w:p>
        </w:tc>
        <w:tc>
          <w:tcPr>
            <w:tcW w:w="1411" w:type="dxa"/>
            <w:tcBorders>
              <w:top w:val="single" w:sz="8" w:space="0" w:color="A6A6A6" w:themeColor="background1" w:themeShade="A6"/>
              <w:left w:val="nil"/>
              <w:bottom w:val="single" w:sz="8" w:space="0" w:color="A6A6A6" w:themeColor="background1" w:themeShade="A6"/>
              <w:right w:val="nil"/>
            </w:tcBorders>
            <w:tcMar>
              <w:left w:w="108" w:type="dxa"/>
              <w:right w:w="108" w:type="dxa"/>
            </w:tcMar>
            <w:vAlign w:val="center"/>
          </w:tcPr>
          <w:p w14:paraId="54A2842E" w14:textId="22272257" w:rsidR="00A21925" w:rsidRPr="005F1F83" w:rsidRDefault="00A21925" w:rsidP="00A21925">
            <w:pPr>
              <w:pStyle w:val="TableText"/>
            </w:pPr>
            <w:r w:rsidRPr="005F1F83">
              <w:t>617</w:t>
            </w:r>
          </w:p>
        </w:tc>
        <w:tc>
          <w:tcPr>
            <w:tcW w:w="1282" w:type="dxa"/>
            <w:tcBorders>
              <w:top w:val="single" w:sz="8" w:space="0" w:color="A6A6A6" w:themeColor="background1" w:themeShade="A6"/>
              <w:left w:val="nil"/>
              <w:bottom w:val="single" w:sz="8" w:space="0" w:color="A6A6A6" w:themeColor="background1" w:themeShade="A6"/>
              <w:right w:val="nil"/>
            </w:tcBorders>
            <w:tcMar>
              <w:left w:w="108" w:type="dxa"/>
              <w:right w:w="108" w:type="dxa"/>
            </w:tcMar>
            <w:vAlign w:val="center"/>
          </w:tcPr>
          <w:p w14:paraId="79B5B53F" w14:textId="58DDEBB4" w:rsidR="00A21925" w:rsidRPr="005F1F83" w:rsidRDefault="00A21925" w:rsidP="00A21925">
            <w:pPr>
              <w:pStyle w:val="TableText"/>
            </w:pPr>
            <w:r w:rsidRPr="005F1F83">
              <w:t>525</w:t>
            </w:r>
          </w:p>
        </w:tc>
        <w:tc>
          <w:tcPr>
            <w:tcW w:w="1134" w:type="dxa"/>
            <w:tcBorders>
              <w:top w:val="single" w:sz="8" w:space="0" w:color="A6A6A6" w:themeColor="background1" w:themeShade="A6"/>
              <w:left w:val="nil"/>
              <w:bottom w:val="single" w:sz="8" w:space="0" w:color="A6A6A6" w:themeColor="background1" w:themeShade="A6"/>
              <w:right w:val="single" w:sz="8" w:space="0" w:color="auto"/>
            </w:tcBorders>
            <w:tcMar>
              <w:left w:w="108" w:type="dxa"/>
              <w:right w:w="108" w:type="dxa"/>
            </w:tcMar>
            <w:vAlign w:val="center"/>
          </w:tcPr>
          <w:p w14:paraId="4AF7183D" w14:textId="568A115A" w:rsidR="00A21925" w:rsidRPr="005F1F83" w:rsidRDefault="00A21925" w:rsidP="00A21925">
            <w:pPr>
              <w:pStyle w:val="TableText"/>
            </w:pPr>
            <w:r w:rsidRPr="005F1F83">
              <w:t>2,986</w:t>
            </w:r>
          </w:p>
        </w:tc>
        <w:tc>
          <w:tcPr>
            <w:tcW w:w="1276" w:type="dxa"/>
            <w:tcBorders>
              <w:top w:val="single" w:sz="8" w:space="0" w:color="A6A6A6" w:themeColor="background1" w:themeShade="A6"/>
              <w:left w:val="single" w:sz="8" w:space="0" w:color="auto"/>
              <w:bottom w:val="single" w:sz="8" w:space="0" w:color="A6A6A6" w:themeColor="background1" w:themeShade="A6"/>
              <w:right w:val="nil"/>
            </w:tcBorders>
            <w:tcMar>
              <w:left w:w="108" w:type="dxa"/>
              <w:right w:w="108" w:type="dxa"/>
            </w:tcMar>
            <w:vAlign w:val="center"/>
          </w:tcPr>
          <w:p w14:paraId="0469BACC" w14:textId="6C2313AC" w:rsidR="00A21925" w:rsidRPr="005F1F83" w:rsidRDefault="00A21925" w:rsidP="00A21925">
            <w:pPr>
              <w:pStyle w:val="TableText"/>
            </w:pPr>
            <w:r w:rsidRPr="005F1F83">
              <w:t>21</w:t>
            </w:r>
          </w:p>
        </w:tc>
        <w:tc>
          <w:tcPr>
            <w:tcW w:w="1418" w:type="dxa"/>
            <w:tcBorders>
              <w:top w:val="single" w:sz="8" w:space="0" w:color="A6A6A6" w:themeColor="background1" w:themeShade="A6"/>
              <w:left w:val="nil"/>
              <w:bottom w:val="single" w:sz="8" w:space="0" w:color="A6A6A6" w:themeColor="background1" w:themeShade="A6"/>
              <w:right w:val="nil"/>
            </w:tcBorders>
            <w:tcMar>
              <w:left w:w="108" w:type="dxa"/>
              <w:right w:w="108" w:type="dxa"/>
            </w:tcMar>
            <w:vAlign w:val="center"/>
          </w:tcPr>
          <w:p w14:paraId="672FE765" w14:textId="31520035" w:rsidR="00A21925" w:rsidRPr="005F1F83" w:rsidRDefault="00A21925" w:rsidP="00A21925">
            <w:pPr>
              <w:pStyle w:val="TableText"/>
            </w:pPr>
            <w:r w:rsidRPr="005F1F83">
              <w:t>85</w:t>
            </w:r>
          </w:p>
        </w:tc>
      </w:tr>
      <w:tr w:rsidR="00A21925" w:rsidRPr="005F1F83" w14:paraId="62BF511A" w14:textId="77777777" w:rsidTr="007E5D11">
        <w:trPr>
          <w:trHeight w:val="300"/>
        </w:trPr>
        <w:tc>
          <w:tcPr>
            <w:tcW w:w="1560" w:type="dxa"/>
            <w:tcBorders>
              <w:top w:val="single" w:sz="8" w:space="0" w:color="A6A6A6" w:themeColor="background1" w:themeShade="A6"/>
              <w:left w:val="nil"/>
              <w:bottom w:val="single" w:sz="8" w:space="0" w:color="A6A6A6" w:themeColor="background1" w:themeShade="A6"/>
              <w:right w:val="nil"/>
            </w:tcBorders>
            <w:tcMar>
              <w:left w:w="108" w:type="dxa"/>
              <w:right w:w="108" w:type="dxa"/>
            </w:tcMar>
            <w:vAlign w:val="bottom"/>
          </w:tcPr>
          <w:p w14:paraId="5781D693" w14:textId="4AB7CE2D" w:rsidR="00A21925" w:rsidRPr="005F1F83" w:rsidRDefault="00A21925" w:rsidP="00A21925">
            <w:pPr>
              <w:pStyle w:val="TableText"/>
            </w:pPr>
            <w:proofErr w:type="spellStart"/>
            <w:r w:rsidRPr="005F1F83">
              <w:t>Te</w:t>
            </w:r>
            <w:proofErr w:type="spellEnd"/>
            <w:r w:rsidRPr="005F1F83">
              <w:t xml:space="preserve"> Waipounamu (Southern) </w:t>
            </w:r>
          </w:p>
        </w:tc>
        <w:tc>
          <w:tcPr>
            <w:tcW w:w="1411" w:type="dxa"/>
            <w:tcBorders>
              <w:top w:val="single" w:sz="8" w:space="0" w:color="A6A6A6" w:themeColor="background1" w:themeShade="A6"/>
              <w:left w:val="nil"/>
              <w:bottom w:val="single" w:sz="8" w:space="0" w:color="A6A6A6" w:themeColor="background1" w:themeShade="A6"/>
              <w:right w:val="nil"/>
            </w:tcBorders>
            <w:tcMar>
              <w:left w:w="108" w:type="dxa"/>
              <w:right w:w="108" w:type="dxa"/>
            </w:tcMar>
            <w:vAlign w:val="center"/>
          </w:tcPr>
          <w:p w14:paraId="2B11BC51" w14:textId="68F25B90" w:rsidR="00A21925" w:rsidRPr="005F1F83" w:rsidRDefault="00A21925" w:rsidP="00A21925">
            <w:pPr>
              <w:pStyle w:val="TableText"/>
            </w:pPr>
            <w:r w:rsidRPr="005F1F83">
              <w:t>170</w:t>
            </w:r>
          </w:p>
        </w:tc>
        <w:tc>
          <w:tcPr>
            <w:tcW w:w="1282" w:type="dxa"/>
            <w:tcBorders>
              <w:top w:val="single" w:sz="8" w:space="0" w:color="A6A6A6" w:themeColor="background1" w:themeShade="A6"/>
              <w:left w:val="nil"/>
              <w:bottom w:val="single" w:sz="8" w:space="0" w:color="A6A6A6" w:themeColor="background1" w:themeShade="A6"/>
              <w:right w:val="nil"/>
            </w:tcBorders>
            <w:tcMar>
              <w:left w:w="108" w:type="dxa"/>
              <w:right w:w="108" w:type="dxa"/>
            </w:tcMar>
            <w:vAlign w:val="center"/>
          </w:tcPr>
          <w:p w14:paraId="62722D04" w14:textId="514BEEAF" w:rsidR="00A21925" w:rsidRPr="005F1F83" w:rsidRDefault="00A21925" w:rsidP="00A21925">
            <w:pPr>
              <w:pStyle w:val="TableText"/>
            </w:pPr>
            <w:r w:rsidRPr="005F1F83">
              <w:t>148</w:t>
            </w:r>
          </w:p>
        </w:tc>
        <w:tc>
          <w:tcPr>
            <w:tcW w:w="1134" w:type="dxa"/>
            <w:tcBorders>
              <w:top w:val="single" w:sz="8" w:space="0" w:color="A6A6A6" w:themeColor="background1" w:themeShade="A6"/>
              <w:left w:val="nil"/>
              <w:bottom w:val="single" w:sz="8" w:space="0" w:color="A6A6A6" w:themeColor="background1" w:themeShade="A6"/>
              <w:right w:val="single" w:sz="8" w:space="0" w:color="auto"/>
            </w:tcBorders>
            <w:tcMar>
              <w:left w:w="108" w:type="dxa"/>
              <w:right w:w="108" w:type="dxa"/>
            </w:tcMar>
            <w:vAlign w:val="center"/>
          </w:tcPr>
          <w:p w14:paraId="5135D821" w14:textId="3C9F4038" w:rsidR="00A21925" w:rsidRPr="005F1F83" w:rsidRDefault="00A21925" w:rsidP="00A21925">
            <w:pPr>
              <w:pStyle w:val="TableText"/>
            </w:pPr>
            <w:r w:rsidRPr="005F1F83">
              <w:t>2,463</w:t>
            </w:r>
          </w:p>
        </w:tc>
        <w:tc>
          <w:tcPr>
            <w:tcW w:w="1276" w:type="dxa"/>
            <w:tcBorders>
              <w:top w:val="single" w:sz="8" w:space="0" w:color="A6A6A6" w:themeColor="background1" w:themeShade="A6"/>
              <w:left w:val="single" w:sz="8" w:space="0" w:color="auto"/>
              <w:bottom w:val="single" w:sz="8" w:space="0" w:color="A6A6A6" w:themeColor="background1" w:themeShade="A6"/>
              <w:right w:val="nil"/>
            </w:tcBorders>
            <w:tcMar>
              <w:left w:w="108" w:type="dxa"/>
              <w:right w:w="108" w:type="dxa"/>
            </w:tcMar>
            <w:vAlign w:val="center"/>
          </w:tcPr>
          <w:p w14:paraId="19B1567D" w14:textId="05C131CF" w:rsidR="00A21925" w:rsidRPr="005F1F83" w:rsidRDefault="00A21925" w:rsidP="00A21925">
            <w:pPr>
              <w:pStyle w:val="TableText"/>
            </w:pPr>
            <w:r w:rsidRPr="005F1F83">
              <w:t>7</w:t>
            </w:r>
          </w:p>
        </w:tc>
        <w:tc>
          <w:tcPr>
            <w:tcW w:w="1418" w:type="dxa"/>
            <w:tcBorders>
              <w:top w:val="single" w:sz="8" w:space="0" w:color="A6A6A6" w:themeColor="background1" w:themeShade="A6"/>
              <w:left w:val="nil"/>
              <w:bottom w:val="single" w:sz="8" w:space="0" w:color="A6A6A6" w:themeColor="background1" w:themeShade="A6"/>
              <w:right w:val="nil"/>
            </w:tcBorders>
            <w:tcMar>
              <w:left w:w="108" w:type="dxa"/>
              <w:right w:w="108" w:type="dxa"/>
            </w:tcMar>
            <w:vAlign w:val="center"/>
          </w:tcPr>
          <w:p w14:paraId="434FAD7C" w14:textId="2BB97515" w:rsidR="00A21925" w:rsidRPr="005F1F83" w:rsidRDefault="00A21925" w:rsidP="00A21925">
            <w:pPr>
              <w:pStyle w:val="TableText"/>
            </w:pPr>
            <w:r w:rsidRPr="005F1F83">
              <w:t>87</w:t>
            </w:r>
          </w:p>
        </w:tc>
      </w:tr>
      <w:tr w:rsidR="00A21925" w:rsidRPr="005F1F83" w14:paraId="57D83591" w14:textId="77777777" w:rsidTr="007E5D11">
        <w:trPr>
          <w:trHeight w:val="300"/>
        </w:trPr>
        <w:tc>
          <w:tcPr>
            <w:tcW w:w="1560" w:type="dxa"/>
            <w:tcBorders>
              <w:top w:val="single" w:sz="8" w:space="0" w:color="A6A6A6" w:themeColor="background1" w:themeShade="A6"/>
              <w:left w:val="nil"/>
              <w:bottom w:val="single" w:sz="8" w:space="0" w:color="A6A6A6" w:themeColor="background1" w:themeShade="A6"/>
              <w:right w:val="nil"/>
            </w:tcBorders>
            <w:tcMar>
              <w:left w:w="108" w:type="dxa"/>
              <w:right w:w="108" w:type="dxa"/>
            </w:tcMar>
            <w:vAlign w:val="bottom"/>
          </w:tcPr>
          <w:p w14:paraId="6097313A" w14:textId="58848742" w:rsidR="00A21925" w:rsidRPr="00A010CA" w:rsidRDefault="00A21925" w:rsidP="00A21925">
            <w:pPr>
              <w:pStyle w:val="TableText"/>
              <w:rPr>
                <w:vertAlign w:val="superscript"/>
              </w:rPr>
            </w:pPr>
            <w:r w:rsidRPr="005F1F83">
              <w:t>National</w:t>
            </w:r>
            <w:r>
              <w:rPr>
                <w:vertAlign w:val="superscript"/>
              </w:rPr>
              <w:t>2</w:t>
            </w:r>
          </w:p>
        </w:tc>
        <w:tc>
          <w:tcPr>
            <w:tcW w:w="1411" w:type="dxa"/>
            <w:tcBorders>
              <w:top w:val="single" w:sz="8" w:space="0" w:color="A6A6A6" w:themeColor="background1" w:themeShade="A6"/>
              <w:left w:val="nil"/>
              <w:bottom w:val="single" w:sz="8" w:space="0" w:color="A6A6A6" w:themeColor="background1" w:themeShade="A6"/>
              <w:right w:val="nil"/>
            </w:tcBorders>
            <w:tcMar>
              <w:left w:w="108" w:type="dxa"/>
              <w:right w:w="108" w:type="dxa"/>
            </w:tcMar>
            <w:vAlign w:val="center"/>
          </w:tcPr>
          <w:p w14:paraId="234875A8" w14:textId="668B8530" w:rsidR="00A21925" w:rsidRPr="005F1F83" w:rsidRDefault="00A21925" w:rsidP="00A21925">
            <w:pPr>
              <w:pStyle w:val="TableText"/>
            </w:pPr>
            <w:r w:rsidRPr="005F1F83">
              <w:t>302</w:t>
            </w:r>
          </w:p>
        </w:tc>
        <w:tc>
          <w:tcPr>
            <w:tcW w:w="1282" w:type="dxa"/>
            <w:tcBorders>
              <w:top w:val="single" w:sz="8" w:space="0" w:color="A6A6A6" w:themeColor="background1" w:themeShade="A6"/>
              <w:left w:val="nil"/>
              <w:bottom w:val="single" w:sz="8" w:space="0" w:color="A6A6A6" w:themeColor="background1" w:themeShade="A6"/>
              <w:right w:val="nil"/>
            </w:tcBorders>
            <w:tcMar>
              <w:left w:w="108" w:type="dxa"/>
              <w:right w:w="108" w:type="dxa"/>
            </w:tcMar>
            <w:vAlign w:val="center"/>
          </w:tcPr>
          <w:p w14:paraId="2DD683FA" w14:textId="2B3C5BC7" w:rsidR="00A21925" w:rsidRPr="005F1F83" w:rsidRDefault="00A21925" w:rsidP="00A21925">
            <w:pPr>
              <w:pStyle w:val="TableText"/>
            </w:pPr>
            <w:r w:rsidRPr="005F1F83">
              <w:t>0</w:t>
            </w:r>
          </w:p>
        </w:tc>
        <w:tc>
          <w:tcPr>
            <w:tcW w:w="1134" w:type="dxa"/>
            <w:tcBorders>
              <w:top w:val="single" w:sz="8" w:space="0" w:color="A6A6A6" w:themeColor="background1" w:themeShade="A6"/>
              <w:left w:val="nil"/>
              <w:bottom w:val="single" w:sz="8" w:space="0" w:color="A6A6A6" w:themeColor="background1" w:themeShade="A6"/>
              <w:right w:val="single" w:sz="8" w:space="0" w:color="auto"/>
            </w:tcBorders>
            <w:tcMar>
              <w:left w:w="108" w:type="dxa"/>
              <w:right w:w="108" w:type="dxa"/>
            </w:tcMar>
            <w:vAlign w:val="center"/>
          </w:tcPr>
          <w:p w14:paraId="1991CE69" w14:textId="316E49E9" w:rsidR="00A21925" w:rsidRPr="005F1F83" w:rsidRDefault="00A21925" w:rsidP="00A21925">
            <w:pPr>
              <w:pStyle w:val="TableText"/>
            </w:pPr>
            <w:r w:rsidRPr="005F1F83">
              <w:t>5,108</w:t>
            </w:r>
          </w:p>
        </w:tc>
        <w:tc>
          <w:tcPr>
            <w:tcW w:w="1276" w:type="dxa"/>
            <w:tcBorders>
              <w:top w:val="single" w:sz="8" w:space="0" w:color="A6A6A6" w:themeColor="background1" w:themeShade="A6"/>
              <w:left w:val="single" w:sz="8" w:space="0" w:color="auto"/>
              <w:bottom w:val="single" w:sz="8" w:space="0" w:color="A6A6A6" w:themeColor="background1" w:themeShade="A6"/>
              <w:right w:val="nil"/>
            </w:tcBorders>
            <w:tcMar>
              <w:left w:w="108" w:type="dxa"/>
              <w:right w:w="108" w:type="dxa"/>
            </w:tcMar>
            <w:vAlign w:val="center"/>
          </w:tcPr>
          <w:p w14:paraId="09A85BA7" w14:textId="42B8069E" w:rsidR="00A21925" w:rsidRPr="005F1F83" w:rsidRDefault="00A21925" w:rsidP="00A21925">
            <w:pPr>
              <w:pStyle w:val="TableText"/>
            </w:pPr>
            <w:r w:rsidRPr="005F1F83">
              <w:t>6</w:t>
            </w:r>
          </w:p>
        </w:tc>
        <w:tc>
          <w:tcPr>
            <w:tcW w:w="1418" w:type="dxa"/>
            <w:tcBorders>
              <w:top w:val="single" w:sz="8" w:space="0" w:color="A6A6A6" w:themeColor="background1" w:themeShade="A6"/>
              <w:left w:val="nil"/>
              <w:bottom w:val="single" w:sz="8" w:space="0" w:color="A6A6A6" w:themeColor="background1" w:themeShade="A6"/>
              <w:right w:val="nil"/>
            </w:tcBorders>
            <w:tcMar>
              <w:left w:w="108" w:type="dxa"/>
              <w:right w:w="108" w:type="dxa"/>
            </w:tcMar>
            <w:vAlign w:val="center"/>
          </w:tcPr>
          <w:p w14:paraId="1AD0D06A" w14:textId="1E3E2097" w:rsidR="00A21925" w:rsidRPr="005F1F83" w:rsidRDefault="00A21925" w:rsidP="00A21925">
            <w:pPr>
              <w:pStyle w:val="TableText"/>
            </w:pPr>
            <w:r w:rsidRPr="005F1F83">
              <w:t>0</w:t>
            </w:r>
          </w:p>
        </w:tc>
      </w:tr>
      <w:tr w:rsidR="00A21925" w:rsidRPr="005F1F83" w14:paraId="19208F16" w14:textId="77777777" w:rsidTr="007E5D11">
        <w:trPr>
          <w:trHeight w:val="300"/>
        </w:trPr>
        <w:tc>
          <w:tcPr>
            <w:tcW w:w="1560" w:type="dxa"/>
            <w:tcBorders>
              <w:top w:val="single" w:sz="8" w:space="0" w:color="A6A6A6" w:themeColor="background1" w:themeShade="A6"/>
              <w:left w:val="nil"/>
              <w:bottom w:val="single" w:sz="8" w:space="0" w:color="A6A6A6" w:themeColor="background1" w:themeShade="A6"/>
              <w:right w:val="nil"/>
            </w:tcBorders>
            <w:tcMar>
              <w:left w:w="108" w:type="dxa"/>
              <w:right w:w="108" w:type="dxa"/>
            </w:tcMar>
            <w:vAlign w:val="bottom"/>
          </w:tcPr>
          <w:p w14:paraId="1C8BEB52" w14:textId="34BF50AB" w:rsidR="00A21925" w:rsidRPr="005F1F83" w:rsidRDefault="00A21925" w:rsidP="00A21925">
            <w:pPr>
              <w:pStyle w:val="TableText"/>
              <w:rPr>
                <w:b/>
              </w:rPr>
            </w:pPr>
            <w:r w:rsidRPr="005F1F83">
              <w:rPr>
                <w:b/>
              </w:rPr>
              <w:t>Total</w:t>
            </w:r>
          </w:p>
        </w:tc>
        <w:tc>
          <w:tcPr>
            <w:tcW w:w="1411" w:type="dxa"/>
            <w:tcBorders>
              <w:top w:val="single" w:sz="8" w:space="0" w:color="A6A6A6" w:themeColor="background1" w:themeShade="A6"/>
              <w:left w:val="nil"/>
              <w:bottom w:val="single" w:sz="8" w:space="0" w:color="A6A6A6" w:themeColor="background1" w:themeShade="A6"/>
              <w:right w:val="nil"/>
            </w:tcBorders>
            <w:tcMar>
              <w:left w:w="108" w:type="dxa"/>
              <w:right w:w="108" w:type="dxa"/>
            </w:tcMar>
            <w:vAlign w:val="center"/>
          </w:tcPr>
          <w:p w14:paraId="3ECF74FE" w14:textId="05817E64" w:rsidR="00A21925" w:rsidRPr="005F1F83" w:rsidRDefault="00A21925" w:rsidP="00A21925">
            <w:pPr>
              <w:pStyle w:val="TableText"/>
              <w:rPr>
                <w:b/>
              </w:rPr>
            </w:pPr>
            <w:r w:rsidRPr="005F1F83">
              <w:rPr>
                <w:b/>
              </w:rPr>
              <w:t>1,775</w:t>
            </w:r>
          </w:p>
        </w:tc>
        <w:tc>
          <w:tcPr>
            <w:tcW w:w="1282" w:type="dxa"/>
            <w:tcBorders>
              <w:top w:val="single" w:sz="8" w:space="0" w:color="A6A6A6" w:themeColor="background1" w:themeShade="A6"/>
              <w:left w:val="nil"/>
              <w:bottom w:val="single" w:sz="8" w:space="0" w:color="A6A6A6" w:themeColor="background1" w:themeShade="A6"/>
              <w:right w:val="nil"/>
            </w:tcBorders>
            <w:tcMar>
              <w:left w:w="108" w:type="dxa"/>
              <w:right w:w="108" w:type="dxa"/>
            </w:tcMar>
            <w:vAlign w:val="center"/>
          </w:tcPr>
          <w:p w14:paraId="37C803B3" w14:textId="7C7F0D2E" w:rsidR="00A21925" w:rsidRPr="005F1F83" w:rsidRDefault="00A21925" w:rsidP="00A21925">
            <w:pPr>
              <w:pStyle w:val="TableText"/>
              <w:rPr>
                <w:b/>
              </w:rPr>
            </w:pPr>
            <w:r w:rsidRPr="005F1F83">
              <w:rPr>
                <w:b/>
              </w:rPr>
              <w:t>1,248</w:t>
            </w:r>
          </w:p>
        </w:tc>
        <w:tc>
          <w:tcPr>
            <w:tcW w:w="1134" w:type="dxa"/>
            <w:tcBorders>
              <w:top w:val="single" w:sz="8" w:space="0" w:color="A6A6A6" w:themeColor="background1" w:themeShade="A6"/>
              <w:left w:val="nil"/>
              <w:bottom w:val="single" w:sz="8" w:space="0" w:color="A6A6A6" w:themeColor="background1" w:themeShade="A6"/>
              <w:right w:val="single" w:sz="8" w:space="0" w:color="auto"/>
            </w:tcBorders>
            <w:tcMar>
              <w:left w:w="108" w:type="dxa"/>
              <w:right w:w="108" w:type="dxa"/>
            </w:tcMar>
            <w:vAlign w:val="center"/>
          </w:tcPr>
          <w:p w14:paraId="0F42B230" w14:textId="24796D4F" w:rsidR="00A21925" w:rsidRPr="005F1F83" w:rsidRDefault="00A21925" w:rsidP="00A21925">
            <w:pPr>
              <w:pStyle w:val="TableText"/>
              <w:rPr>
                <w:b/>
              </w:rPr>
            </w:pPr>
            <w:r w:rsidRPr="005F1F83">
              <w:rPr>
                <w:b/>
              </w:rPr>
              <w:t>17,123</w:t>
            </w:r>
          </w:p>
        </w:tc>
        <w:tc>
          <w:tcPr>
            <w:tcW w:w="1276" w:type="dxa"/>
            <w:tcBorders>
              <w:top w:val="single" w:sz="8" w:space="0" w:color="A6A6A6" w:themeColor="background1" w:themeShade="A6"/>
              <w:left w:val="single" w:sz="8" w:space="0" w:color="auto"/>
              <w:bottom w:val="single" w:sz="8" w:space="0" w:color="A6A6A6" w:themeColor="background1" w:themeShade="A6"/>
              <w:right w:val="nil"/>
            </w:tcBorders>
            <w:tcMar>
              <w:left w:w="108" w:type="dxa"/>
              <w:right w:w="108" w:type="dxa"/>
            </w:tcMar>
            <w:vAlign w:val="center"/>
          </w:tcPr>
          <w:p w14:paraId="0CBA8BD8" w14:textId="35ECC8A1" w:rsidR="00A21925" w:rsidRPr="005F1F83" w:rsidRDefault="00A21925" w:rsidP="00A21925">
            <w:pPr>
              <w:pStyle w:val="TableText"/>
              <w:rPr>
                <w:b/>
              </w:rPr>
            </w:pPr>
            <w:r w:rsidRPr="005F1F83">
              <w:rPr>
                <w:b/>
              </w:rPr>
              <w:t>10</w:t>
            </w:r>
          </w:p>
        </w:tc>
        <w:tc>
          <w:tcPr>
            <w:tcW w:w="1418" w:type="dxa"/>
            <w:tcBorders>
              <w:top w:val="single" w:sz="8" w:space="0" w:color="A6A6A6" w:themeColor="background1" w:themeShade="A6"/>
              <w:left w:val="nil"/>
              <w:bottom w:val="single" w:sz="8" w:space="0" w:color="A6A6A6" w:themeColor="background1" w:themeShade="A6"/>
              <w:right w:val="nil"/>
            </w:tcBorders>
            <w:tcMar>
              <w:left w:w="108" w:type="dxa"/>
              <w:right w:w="108" w:type="dxa"/>
            </w:tcMar>
            <w:vAlign w:val="center"/>
          </w:tcPr>
          <w:p w14:paraId="6B939DFB" w14:textId="51BCB321" w:rsidR="00A21925" w:rsidRPr="005F1F83" w:rsidRDefault="00A21925" w:rsidP="00A21925">
            <w:pPr>
              <w:pStyle w:val="TableText"/>
              <w:rPr>
                <w:b/>
              </w:rPr>
            </w:pPr>
            <w:r w:rsidRPr="005F1F83">
              <w:rPr>
                <w:b/>
              </w:rPr>
              <w:t>70</w:t>
            </w:r>
          </w:p>
        </w:tc>
      </w:tr>
    </w:tbl>
    <w:p w14:paraId="56EAD4A1" w14:textId="4F0F7BB0" w:rsidR="00A21925" w:rsidRPr="005F1F83" w:rsidRDefault="00A21925" w:rsidP="00A21925">
      <w:pPr>
        <w:pStyle w:val="Note"/>
      </w:pPr>
      <w:r w:rsidRPr="005F1F83">
        <w:t xml:space="preserve">Note: </w:t>
      </w:r>
      <w:r w:rsidRPr="005F1F83">
        <w:rPr>
          <w:vertAlign w:val="superscript"/>
        </w:rPr>
        <w:t xml:space="preserve">1 </w:t>
      </w:r>
      <w:r w:rsidRPr="005F1F83">
        <w:t xml:space="preserve">’Counselling from provider’ refers to instances where a </w:t>
      </w:r>
      <w:r w:rsidR="00752368">
        <w:rPr>
          <w:rFonts w:eastAsia="Calibri"/>
        </w:rPr>
        <w:t>woman</w:t>
      </w:r>
      <w:r w:rsidRPr="005F1F83">
        <w:t xml:space="preserve"> accesses pre-abortion counselling at the same facility as they accessed their abortion care. For instance, they accessed both </w:t>
      </w:r>
      <w:r>
        <w:t xml:space="preserve">services </w:t>
      </w:r>
      <w:r w:rsidRPr="005F1F83">
        <w:t>at the same hospital.</w:t>
      </w:r>
      <w:r>
        <w:t xml:space="preserve"> </w:t>
      </w:r>
      <w:r>
        <w:rPr>
          <w:vertAlign w:val="superscript"/>
        </w:rPr>
        <w:t xml:space="preserve">2 </w:t>
      </w:r>
      <w:r>
        <w:t xml:space="preserve">’National’ refers to the </w:t>
      </w:r>
      <w:r w:rsidRPr="00A010CA">
        <w:t>national abortion telehealth service DECIDE</w:t>
      </w:r>
      <w:r>
        <w:t>.</w:t>
      </w:r>
    </w:p>
    <w:p w14:paraId="093AD4E3" w14:textId="77777777" w:rsidR="00A21925" w:rsidRDefault="00A21925" w:rsidP="00A21925"/>
    <w:p w14:paraId="09EBFEA1" w14:textId="3105D03F" w:rsidR="00A21925" w:rsidRDefault="00A21925" w:rsidP="00A21925">
      <w:r w:rsidRPr="005F1F83">
        <w:t xml:space="preserve">These regional variations could therefore be due to inconsistencies in the way services apply the counselling standards or in their practice, or they could be due to data errors. </w:t>
      </w:r>
    </w:p>
    <w:p w14:paraId="4712DB2D" w14:textId="77777777" w:rsidR="00A21925" w:rsidRPr="005F1F83" w:rsidRDefault="00A21925" w:rsidP="00A21925"/>
    <w:p w14:paraId="3D942DAC" w14:textId="2008DB97" w:rsidR="00A21925" w:rsidRDefault="00A21925" w:rsidP="00A21925">
      <w:r w:rsidRPr="005F1F83">
        <w:t xml:space="preserve">Variations in counselling also appear associated with a </w:t>
      </w:r>
      <w:r w:rsidR="00752368">
        <w:rPr>
          <w:rFonts w:eastAsia="Calibri"/>
        </w:rPr>
        <w:t>woman</w:t>
      </w:r>
      <w:r w:rsidRPr="005F1F83">
        <w:t xml:space="preserve">’s ethnicity, age, and duration of gestation at time of abortion. </w:t>
      </w:r>
    </w:p>
    <w:p w14:paraId="778A1641" w14:textId="77777777" w:rsidR="00A21925" w:rsidRPr="005F1F83" w:rsidRDefault="00A21925" w:rsidP="00A21925"/>
    <w:p w14:paraId="78A8E863" w14:textId="77777777" w:rsidR="00A21925" w:rsidRPr="005F1F83" w:rsidRDefault="00A21925" w:rsidP="00A21925">
      <w:r w:rsidRPr="005F1F83">
        <w:t>The Ministry will undertake further work to understand the reasons for these variations and whether regions differ in timely and equitable access.</w:t>
      </w:r>
    </w:p>
    <w:p w14:paraId="02E8140E" w14:textId="77777777" w:rsidR="00A21925" w:rsidRPr="005F1F83" w:rsidRDefault="00A21925" w:rsidP="00A21925">
      <w:pPr>
        <w:pStyle w:val="Heading2"/>
      </w:pPr>
      <w:bookmarkStart w:id="51" w:name="_Toc192348804"/>
      <w:bookmarkStart w:id="52" w:name="_Toc195016562"/>
      <w:r w:rsidRPr="005F1F83">
        <w:t xml:space="preserve">Relative costs </w:t>
      </w:r>
      <w:r>
        <w:t xml:space="preserve">of counselling </w:t>
      </w:r>
      <w:r w:rsidRPr="005F1F83">
        <w:t>throughout New Zealand</w:t>
      </w:r>
      <w:bookmarkEnd w:id="51"/>
      <w:bookmarkEnd w:id="52"/>
    </w:p>
    <w:p w14:paraId="1C561AC1" w14:textId="05B9B11D" w:rsidR="00A21925" w:rsidRDefault="00A21925" w:rsidP="00A21925">
      <w:r w:rsidRPr="005F1F83">
        <w:t xml:space="preserve">Through their annual reporting, providers are asked to submit information on the cost of abortion counselling for their service. Counselling accessed within a publicly funded hospital is free for New Zealand citizens and permanent residents. </w:t>
      </w:r>
    </w:p>
    <w:p w14:paraId="3FCC6BD1" w14:textId="77777777" w:rsidR="00AF52DF" w:rsidRPr="005F1F83" w:rsidRDefault="00AF52DF" w:rsidP="00A21925"/>
    <w:p w14:paraId="2E4D2466" w14:textId="730E5937" w:rsidR="00A21925" w:rsidRDefault="00A21925" w:rsidP="00A21925">
      <w:r w:rsidRPr="005F1F83">
        <w:t xml:space="preserve">Providers in primary care settings can refer </w:t>
      </w:r>
      <w:r w:rsidR="00A124A0">
        <w:rPr>
          <w:rFonts w:eastAsia="Calibri"/>
        </w:rPr>
        <w:t xml:space="preserve">women </w:t>
      </w:r>
      <w:r w:rsidRPr="005F1F83">
        <w:t xml:space="preserve">to the national abortion telehealth service if </w:t>
      </w:r>
      <w:r w:rsidR="00752368">
        <w:t>they</w:t>
      </w:r>
      <w:r w:rsidRPr="005F1F83">
        <w:t xml:space="preserve"> request counselling. This option means that </w:t>
      </w:r>
      <w:r>
        <w:t>a</w:t>
      </w:r>
      <w:r w:rsidRPr="005F1F83">
        <w:t xml:space="preserve"> </w:t>
      </w:r>
      <w:r w:rsidR="00752368">
        <w:rPr>
          <w:rFonts w:eastAsia="Calibri"/>
        </w:rPr>
        <w:t>woman</w:t>
      </w:r>
      <w:r w:rsidRPr="005F1F83">
        <w:t xml:space="preserve"> can still receive free and accessible counselling. </w:t>
      </w:r>
    </w:p>
    <w:p w14:paraId="624479C9" w14:textId="77777777" w:rsidR="00AF52DF" w:rsidRPr="005F1F83" w:rsidRDefault="00AF52DF" w:rsidP="00A21925"/>
    <w:p w14:paraId="1C44F9F9" w14:textId="088199B5" w:rsidR="008B666D" w:rsidRDefault="00A21925" w:rsidP="00A21925">
      <w:r w:rsidRPr="005F1F83">
        <w:t>Information</w:t>
      </w:r>
      <w:r>
        <w:t xml:space="preserve"> that</w:t>
      </w:r>
      <w:r w:rsidRPr="005F1F83">
        <w:t xml:space="preserve"> providers submitted through their annual reports shows that when counselling is not free, the reported costs are usually in the range of $100 to $200 (per session)</w:t>
      </w:r>
      <w:r>
        <w:rPr>
          <w:rStyle w:val="FootnoteReference"/>
        </w:rPr>
        <w:footnoteReference w:id="9"/>
      </w:r>
      <w:r w:rsidRPr="005F1F83">
        <w:t xml:space="preserve">. The Ministry does not hold information on the cost of counselling services that a </w:t>
      </w:r>
      <w:r w:rsidR="00752368">
        <w:rPr>
          <w:rFonts w:eastAsia="Calibri"/>
        </w:rPr>
        <w:t>woman</w:t>
      </w:r>
      <w:r w:rsidRPr="005F1F83">
        <w:t xml:space="preserve"> accesses privately, outside of the usual referral pathways.</w:t>
      </w:r>
    </w:p>
    <w:p w14:paraId="57E8CD78" w14:textId="191F6B82" w:rsidR="008B666D" w:rsidRDefault="008B666D" w:rsidP="008B666D"/>
    <w:p w14:paraId="22370A72" w14:textId="77777777" w:rsidR="008B666D" w:rsidRDefault="008B666D" w:rsidP="008B666D">
      <w:pPr>
        <w:sectPr w:rsidR="008B666D" w:rsidSect="00CC19AA">
          <w:pgSz w:w="11907" w:h="16834" w:code="9"/>
          <w:pgMar w:top="1418" w:right="1701" w:bottom="1134" w:left="1843" w:header="284" w:footer="425" w:gutter="284"/>
          <w:cols w:space="720"/>
        </w:sectPr>
      </w:pPr>
    </w:p>
    <w:p w14:paraId="656C17D1" w14:textId="3C78EBEA" w:rsidR="008B666D" w:rsidRDefault="008B666D" w:rsidP="008B666D">
      <w:pPr>
        <w:pStyle w:val="Heading1"/>
        <w:spacing w:before="0"/>
      </w:pPr>
      <w:bookmarkStart w:id="53" w:name="_Toc195016563"/>
      <w:r w:rsidRPr="008B666D">
        <w:t>Abortion</w:t>
      </w:r>
      <w:r w:rsidR="00CD6572">
        <w:t xml:space="preserve"> </w:t>
      </w:r>
      <w:r w:rsidR="00CD6572">
        <w:rPr>
          <w:rFonts w:eastAsia="Calibri"/>
        </w:rPr>
        <w:t xml:space="preserve">– </w:t>
      </w:r>
      <w:proofErr w:type="spellStart"/>
      <w:r w:rsidR="00CD6572" w:rsidRPr="00D57B6A">
        <w:rPr>
          <w:rFonts w:eastAsia="Calibri"/>
        </w:rPr>
        <w:t>Te</w:t>
      </w:r>
      <w:proofErr w:type="spellEnd"/>
      <w:r w:rsidR="00CD6572" w:rsidRPr="00D57B6A">
        <w:rPr>
          <w:rFonts w:eastAsia="Calibri"/>
        </w:rPr>
        <w:t xml:space="preserve"> </w:t>
      </w:r>
      <w:proofErr w:type="spellStart"/>
      <w:r w:rsidR="00CD6572" w:rsidRPr="00D57B6A">
        <w:rPr>
          <w:rFonts w:eastAsia="Calibri"/>
        </w:rPr>
        <w:t>whakatahe</w:t>
      </w:r>
      <w:bookmarkEnd w:id="53"/>
      <w:proofErr w:type="spellEnd"/>
    </w:p>
    <w:p w14:paraId="7C98E3EA" w14:textId="77777777" w:rsidR="00CD6572" w:rsidRPr="005F1F83" w:rsidRDefault="00CD6572" w:rsidP="00CD6572">
      <w:pPr>
        <w:rPr>
          <w:rFonts w:eastAsia="Calibri"/>
          <w:lang w:eastAsia="en-US"/>
        </w:rPr>
      </w:pPr>
      <w:r w:rsidRPr="005F1F83">
        <w:rPr>
          <w:rFonts w:eastAsia="Calibri"/>
          <w:lang w:eastAsia="en-US"/>
        </w:rPr>
        <w:t xml:space="preserve">In its first annual report on abortion services (for the 2020 calendar year) (Ministry of Health 2021), the Ministry’s vision was to ensure accessible, equitable and high-quality abortion services. Following implementation of the changes to the </w:t>
      </w:r>
      <w:r>
        <w:rPr>
          <w:rFonts w:eastAsia="Calibri"/>
          <w:lang w:eastAsia="en-US"/>
        </w:rPr>
        <w:t xml:space="preserve">CSA </w:t>
      </w:r>
      <w:r w:rsidRPr="005F1F83">
        <w:rPr>
          <w:rFonts w:eastAsia="Calibri"/>
          <w:lang w:eastAsia="en-US"/>
        </w:rPr>
        <w:t>Act, it expected to see:</w:t>
      </w:r>
    </w:p>
    <w:p w14:paraId="106C7BDA" w14:textId="77777777" w:rsidR="00CD6572" w:rsidRPr="005F1F83" w:rsidRDefault="00CD6572" w:rsidP="002A6BB1">
      <w:pPr>
        <w:pStyle w:val="Bullet"/>
        <w:rPr>
          <w:rFonts w:eastAsia="Yu Gothic Light"/>
          <w:lang w:eastAsia="en-US"/>
        </w:rPr>
      </w:pPr>
      <w:r w:rsidRPr="005F1F83">
        <w:rPr>
          <w:rFonts w:eastAsia="Calibri"/>
          <w:lang w:eastAsia="en-US"/>
        </w:rPr>
        <w:t>local access to first-trimester abortion services for all regions of New Zealand</w:t>
      </w:r>
    </w:p>
    <w:p w14:paraId="2CD806C7" w14:textId="77777777" w:rsidR="00CD6572" w:rsidRPr="005F1F83" w:rsidRDefault="00CD6572" w:rsidP="002A6BB1">
      <w:pPr>
        <w:pStyle w:val="Bullet"/>
        <w:rPr>
          <w:rFonts w:eastAsia="Yu Gothic Light"/>
          <w:lang w:eastAsia="en-US"/>
        </w:rPr>
      </w:pPr>
      <w:r w:rsidRPr="005F1F83">
        <w:rPr>
          <w:rFonts w:eastAsia="Calibri"/>
          <w:lang w:eastAsia="en-US"/>
        </w:rPr>
        <w:t xml:space="preserve">improved choice and access for abortion services – in particular, those considering abortion services would experience greater choice and timely access, with barriers and delays to care </w:t>
      </w:r>
      <w:proofErr w:type="gramStart"/>
      <w:r w:rsidRPr="005F1F83">
        <w:rPr>
          <w:rFonts w:eastAsia="Calibri"/>
          <w:lang w:eastAsia="en-US"/>
        </w:rPr>
        <w:t>removed</w:t>
      </w:r>
      <w:proofErr w:type="gramEnd"/>
    </w:p>
    <w:p w14:paraId="7688DD0D" w14:textId="30DE16DC" w:rsidR="00CD6572" w:rsidRPr="005F1F83" w:rsidRDefault="00CD6572" w:rsidP="002A6BB1">
      <w:pPr>
        <w:pStyle w:val="Bullet"/>
        <w:rPr>
          <w:rFonts w:eastAsia="Yu Gothic Light"/>
          <w:lang w:eastAsia="en-US"/>
        </w:rPr>
      </w:pPr>
      <w:r w:rsidRPr="005F1F83">
        <w:rPr>
          <w:rFonts w:eastAsia="Calibri"/>
          <w:lang w:eastAsia="en-US"/>
        </w:rPr>
        <w:t>equitable service</w:t>
      </w:r>
      <w:r>
        <w:rPr>
          <w:rFonts w:eastAsia="Calibri"/>
          <w:lang w:eastAsia="en-US"/>
        </w:rPr>
        <w:t>s</w:t>
      </w:r>
      <w:r w:rsidRPr="005F1F83">
        <w:rPr>
          <w:rFonts w:eastAsia="Calibri"/>
          <w:lang w:eastAsia="en-US"/>
        </w:rPr>
        <w:t xml:space="preserve"> that are patient</w:t>
      </w:r>
      <w:r w:rsidR="00502E86">
        <w:rPr>
          <w:rFonts w:eastAsia="Calibri"/>
          <w:lang w:eastAsia="en-US"/>
        </w:rPr>
        <w:t>-</w:t>
      </w:r>
      <w:r w:rsidRPr="005F1F83">
        <w:rPr>
          <w:rFonts w:eastAsia="Calibri"/>
          <w:lang w:eastAsia="en-US"/>
        </w:rPr>
        <w:t xml:space="preserve">centred and focused more strongly on the requirements of </w:t>
      </w:r>
      <w:proofErr w:type="spellStart"/>
      <w:r w:rsidRPr="005F1F83">
        <w:rPr>
          <w:rFonts w:eastAsia="Calibri"/>
          <w:lang w:eastAsia="en-US"/>
        </w:rPr>
        <w:t>rangatahi</w:t>
      </w:r>
      <w:proofErr w:type="spellEnd"/>
      <w:r w:rsidRPr="005F1F83">
        <w:rPr>
          <w:rFonts w:eastAsia="Calibri"/>
          <w:lang w:eastAsia="en-US"/>
        </w:rPr>
        <w:t xml:space="preserve">, Māori, Pacific peoples and disabled people considering </w:t>
      </w:r>
      <w:proofErr w:type="gramStart"/>
      <w:r w:rsidRPr="005F1F83">
        <w:rPr>
          <w:rFonts w:eastAsia="Calibri"/>
          <w:lang w:eastAsia="en-US"/>
        </w:rPr>
        <w:t>abortion</w:t>
      </w:r>
      <w:proofErr w:type="gramEnd"/>
    </w:p>
    <w:p w14:paraId="7B9536FA" w14:textId="77777777" w:rsidR="00CD6572" w:rsidRPr="005F1F83" w:rsidRDefault="00CD6572" w:rsidP="002A6BB1">
      <w:pPr>
        <w:pStyle w:val="Bullet"/>
        <w:rPr>
          <w:rFonts w:eastAsia="Calibri"/>
          <w:lang w:eastAsia="en-US"/>
        </w:rPr>
      </w:pPr>
      <w:r w:rsidRPr="005F1F83">
        <w:rPr>
          <w:rFonts w:eastAsia="Calibri"/>
          <w:lang w:eastAsia="en-US"/>
        </w:rPr>
        <w:t>a well-supported abortion workforce that has clear clinical guidance and training as a framework for patient centred and equitable service provision.</w:t>
      </w:r>
    </w:p>
    <w:p w14:paraId="05BC044C" w14:textId="77777777" w:rsidR="002A6BB1" w:rsidRDefault="002A6BB1" w:rsidP="002A6BB1">
      <w:pPr>
        <w:rPr>
          <w:rFonts w:eastAsia="Calibri"/>
          <w:lang w:eastAsia="en-US"/>
        </w:rPr>
      </w:pPr>
    </w:p>
    <w:p w14:paraId="266B0D62" w14:textId="27E7E153" w:rsidR="00CD6572" w:rsidRPr="005F1F83" w:rsidRDefault="00CD6572" w:rsidP="002A6BB1">
      <w:pPr>
        <w:rPr>
          <w:rFonts w:eastAsia="Calibri"/>
          <w:lang w:eastAsia="en-US"/>
        </w:rPr>
      </w:pPr>
      <w:r w:rsidRPr="005F1F83">
        <w:rPr>
          <w:rFonts w:eastAsia="Calibri"/>
          <w:lang w:eastAsia="en-US"/>
        </w:rPr>
        <w:t xml:space="preserve">The data collected and reported on since 2020 suggests that the changes to the legislation are beginning to have a positive impact on timely and equitable abortion health care. However, there remains considerable room for improvement in each area, as we explore in this </w:t>
      </w:r>
      <w:r>
        <w:rPr>
          <w:rFonts w:eastAsia="Calibri"/>
          <w:lang w:eastAsia="en-US"/>
        </w:rPr>
        <w:t>chapter</w:t>
      </w:r>
      <w:r w:rsidRPr="005F1F83">
        <w:rPr>
          <w:rFonts w:eastAsia="Calibri"/>
          <w:lang w:eastAsia="en-US"/>
        </w:rPr>
        <w:t>.</w:t>
      </w:r>
    </w:p>
    <w:p w14:paraId="73ED261D" w14:textId="77777777" w:rsidR="00CD6572" w:rsidRPr="005F1F83" w:rsidRDefault="00CD6572" w:rsidP="00CD6572">
      <w:pPr>
        <w:pStyle w:val="Heading2"/>
        <w:rPr>
          <w:rFonts w:eastAsia="Calibri"/>
          <w:lang w:eastAsia="en-US"/>
        </w:rPr>
      </w:pPr>
      <w:bookmarkStart w:id="54" w:name="_Toc192348806"/>
      <w:bookmarkStart w:id="55" w:name="_Toc195016564"/>
      <w:r w:rsidRPr="005F1F83">
        <w:rPr>
          <w:rFonts w:eastAsia="Calibri"/>
          <w:lang w:eastAsia="en-US"/>
        </w:rPr>
        <w:t>Data collection</w:t>
      </w:r>
      <w:bookmarkEnd w:id="54"/>
      <w:bookmarkEnd w:id="55"/>
    </w:p>
    <w:p w14:paraId="6BDC2B9B" w14:textId="2ACFC4C0" w:rsidR="00CD6572" w:rsidRDefault="00CD6572" w:rsidP="00CD6572">
      <w:pPr>
        <w:rPr>
          <w:rFonts w:eastAsia="Calibri"/>
          <w:lang w:eastAsia="en-US"/>
        </w:rPr>
      </w:pPr>
      <w:r w:rsidRPr="005F1F83">
        <w:rPr>
          <w:rFonts w:eastAsia="Calibri"/>
          <w:lang w:eastAsia="en-US"/>
        </w:rPr>
        <w:t>In 2021, the Information Collection Regulations</w:t>
      </w:r>
      <w:r w:rsidRPr="005F1F83">
        <w:t xml:space="preserve"> </w:t>
      </w:r>
      <w:r w:rsidRPr="005F1F83">
        <w:rPr>
          <w:rFonts w:eastAsia="Calibri"/>
          <w:lang w:eastAsia="en-US"/>
        </w:rPr>
        <w:t xml:space="preserve">were introduced as secondary legislation. These regulations outline information that practitioners must submit to the Ministry on abortions it provides, within one month of providing each abortion. They also set out annual reporting requirements for facilities offering abortion services. </w:t>
      </w:r>
    </w:p>
    <w:p w14:paraId="7FBBBDC8" w14:textId="77777777" w:rsidR="002A6BB1" w:rsidRPr="005F1F83" w:rsidRDefault="002A6BB1" w:rsidP="00CD6572">
      <w:pPr>
        <w:rPr>
          <w:rFonts w:eastAsia="Calibri"/>
          <w:lang w:eastAsia="en-US"/>
        </w:rPr>
      </w:pPr>
    </w:p>
    <w:p w14:paraId="7881C9EC" w14:textId="606C9F29" w:rsidR="00CD6572" w:rsidRDefault="00CD6572" w:rsidP="00CD6572">
      <w:pPr>
        <w:rPr>
          <w:rFonts w:eastAsia="Calibri"/>
          <w:lang w:eastAsia="en-US"/>
        </w:rPr>
      </w:pPr>
      <w:r w:rsidRPr="005F1F83">
        <w:rPr>
          <w:rFonts w:eastAsia="Calibri"/>
          <w:lang w:eastAsia="en-US"/>
        </w:rPr>
        <w:t>The data collected, and the range of questions mandated, have allowed the Ministry to report more extensively on aspects of abortion service provision since the law change</w:t>
      </w:r>
      <w:r>
        <w:rPr>
          <w:rStyle w:val="FootnoteReference"/>
          <w:rFonts w:eastAsia="Calibri"/>
          <w:lang w:eastAsia="en-US"/>
        </w:rPr>
        <w:footnoteReference w:id="10"/>
      </w:r>
      <w:r w:rsidRPr="005F1F83">
        <w:rPr>
          <w:rFonts w:eastAsia="Calibri"/>
          <w:lang w:eastAsia="en-US"/>
        </w:rPr>
        <w:t xml:space="preserve">. </w:t>
      </w:r>
    </w:p>
    <w:p w14:paraId="4222CB53" w14:textId="77777777" w:rsidR="002A6BB1" w:rsidRPr="005F1F83" w:rsidRDefault="002A6BB1" w:rsidP="00CD6572">
      <w:pPr>
        <w:rPr>
          <w:rFonts w:eastAsia="Calibri"/>
          <w:lang w:eastAsia="en-US"/>
        </w:rPr>
      </w:pPr>
    </w:p>
    <w:p w14:paraId="262C633D" w14:textId="77777777" w:rsidR="00CD6572" w:rsidRPr="005F1F83" w:rsidRDefault="00CD6572" w:rsidP="00CD6572">
      <w:pPr>
        <w:rPr>
          <w:rFonts w:eastAsia="Calibri"/>
          <w:lang w:eastAsia="en-US"/>
        </w:rPr>
      </w:pPr>
      <w:r w:rsidRPr="005F1F83">
        <w:rPr>
          <w:rFonts w:eastAsia="Calibri"/>
          <w:lang w:eastAsia="en-US"/>
        </w:rPr>
        <w:t>However, the following challenges with the data collected</w:t>
      </w:r>
      <w:r w:rsidRPr="002C11EA">
        <w:rPr>
          <w:rFonts w:eastAsia="Calibri"/>
          <w:lang w:eastAsia="en-US"/>
        </w:rPr>
        <w:t xml:space="preserve"> </w:t>
      </w:r>
      <w:r w:rsidRPr="005F1F83">
        <w:rPr>
          <w:rFonts w:eastAsia="Calibri"/>
          <w:lang w:eastAsia="en-US"/>
        </w:rPr>
        <w:t>remain.</w:t>
      </w:r>
    </w:p>
    <w:p w14:paraId="0FE7E26C" w14:textId="77777777" w:rsidR="00CD6572" w:rsidRPr="002A6BB1" w:rsidRDefault="00CD6572" w:rsidP="002A6BB1">
      <w:pPr>
        <w:pStyle w:val="Bullet"/>
        <w:rPr>
          <w:rFonts w:eastAsia="Calibri"/>
        </w:rPr>
      </w:pPr>
      <w:r w:rsidRPr="002A6BB1">
        <w:rPr>
          <w:rFonts w:eastAsia="Calibri"/>
        </w:rPr>
        <w:t>Providers see some of the questions required by legislation as irrelevant to service provision (in particular, the questions on the number of previous abortions and the number of children).</w:t>
      </w:r>
    </w:p>
    <w:p w14:paraId="4DE5F2BE" w14:textId="77777777" w:rsidR="00CD6572" w:rsidRPr="002A6BB1" w:rsidRDefault="00CD6572" w:rsidP="002A6BB1">
      <w:pPr>
        <w:pStyle w:val="Bullet"/>
        <w:rPr>
          <w:rFonts w:eastAsia="Calibri"/>
        </w:rPr>
      </w:pPr>
      <w:r w:rsidRPr="002A6BB1">
        <w:rPr>
          <w:rFonts w:eastAsia="Calibri"/>
        </w:rPr>
        <w:t>National Health Index (NHI) data is not linked to the notification of abortion form. As a result, collecting demographic information is repetitious and creates an additional burden on health practitioners, particularly those in the public health care system.</w:t>
      </w:r>
    </w:p>
    <w:p w14:paraId="099E54FE" w14:textId="77777777" w:rsidR="00CD6572" w:rsidRPr="005F1F83" w:rsidRDefault="00CD6572" w:rsidP="002A6BB1">
      <w:pPr>
        <w:pStyle w:val="Bullet"/>
        <w:rPr>
          <w:rFonts w:eastAsia="Calibri"/>
          <w:lang w:eastAsia="en-US"/>
        </w:rPr>
      </w:pPr>
      <w:r w:rsidRPr="005F1F83">
        <w:rPr>
          <w:rFonts w:eastAsia="Calibri"/>
          <w:lang w:eastAsia="en-US"/>
        </w:rPr>
        <w:t>Completing these forms perpetuates the stigma and ‘otherness’ linked to abortion, because these requirements are outside of normal health care reporting.</w:t>
      </w:r>
    </w:p>
    <w:p w14:paraId="1A2F5251" w14:textId="6EF258A4" w:rsidR="00CD6572" w:rsidRPr="005F1F83" w:rsidRDefault="00CD6572" w:rsidP="002A6BB1">
      <w:pPr>
        <w:pStyle w:val="Bullet"/>
        <w:rPr>
          <w:rFonts w:eastAsia="Calibri"/>
          <w:lang w:eastAsia="en-US"/>
        </w:rPr>
      </w:pPr>
      <w:r w:rsidRPr="005F1F83">
        <w:rPr>
          <w:rFonts w:eastAsia="Calibri"/>
          <w:lang w:eastAsia="en-US"/>
        </w:rPr>
        <w:t xml:space="preserve">The current structure means information about a </w:t>
      </w:r>
      <w:r w:rsidR="00752368">
        <w:rPr>
          <w:rFonts w:eastAsia="Calibri"/>
        </w:rPr>
        <w:t>woman</w:t>
      </w:r>
      <w:r w:rsidRPr="005F1F83">
        <w:rPr>
          <w:rFonts w:eastAsia="Calibri"/>
          <w:lang w:eastAsia="en-US"/>
        </w:rPr>
        <w:t>’s abortion care access cannot be placed within their broader health context, such as information on disabilities and care surrounding these disabilities.</w:t>
      </w:r>
    </w:p>
    <w:p w14:paraId="2475B030" w14:textId="77777777" w:rsidR="00CD6572" w:rsidRPr="005F1F83" w:rsidRDefault="00CD6572" w:rsidP="002A6BB1">
      <w:pPr>
        <w:pStyle w:val="Bullet"/>
        <w:rPr>
          <w:rFonts w:eastAsia="Calibri"/>
          <w:lang w:eastAsia="en-US"/>
        </w:rPr>
      </w:pPr>
      <w:r w:rsidRPr="005F1F83">
        <w:rPr>
          <w:rFonts w:eastAsia="Calibri"/>
          <w:lang w:eastAsia="en-US"/>
        </w:rPr>
        <w:t xml:space="preserve">The structure limits the ability to record complications or additional treatment that may occur following an abortion procedure. </w:t>
      </w:r>
    </w:p>
    <w:p w14:paraId="3BFB864A" w14:textId="77777777" w:rsidR="002A6BB1" w:rsidRDefault="002A6BB1" w:rsidP="002A6BB1">
      <w:pPr>
        <w:rPr>
          <w:rFonts w:eastAsia="Calibri"/>
          <w:lang w:eastAsia="en-US"/>
        </w:rPr>
      </w:pPr>
    </w:p>
    <w:p w14:paraId="51F4F535" w14:textId="7F996D1A" w:rsidR="00CD6572" w:rsidRPr="005F1F83" w:rsidRDefault="00CD6572" w:rsidP="002A6BB1">
      <w:pPr>
        <w:rPr>
          <w:rFonts w:eastAsia="Calibri"/>
          <w:lang w:eastAsia="en-US"/>
        </w:rPr>
      </w:pPr>
      <w:r w:rsidRPr="005F1F83">
        <w:rPr>
          <w:rFonts w:eastAsia="Calibri"/>
          <w:lang w:eastAsia="en-US"/>
        </w:rPr>
        <w:t xml:space="preserve">Developing a digital platform is part of the Ministry’s ongoing programme of work to improve data collection. Development work includes understanding what the system requires, what data is collected, and whether this can be integrated into existing platforms. The data solution may also allow for more detailed review of relevant medical services, including follow-up treatment for complications. </w:t>
      </w:r>
    </w:p>
    <w:p w14:paraId="3D6FCEF1" w14:textId="77777777" w:rsidR="00CD6572" w:rsidRPr="005F1F83" w:rsidRDefault="00CD6572" w:rsidP="00CD6572">
      <w:pPr>
        <w:pStyle w:val="Heading2"/>
        <w:rPr>
          <w:rFonts w:eastAsia="Calibri"/>
          <w:lang w:eastAsia="en-US"/>
        </w:rPr>
      </w:pPr>
      <w:bookmarkStart w:id="56" w:name="_Toc192348807"/>
      <w:bookmarkStart w:id="57" w:name="_Toc195016565"/>
      <w:r w:rsidRPr="005F1F83">
        <w:rPr>
          <w:rFonts w:eastAsia="Calibri"/>
          <w:lang w:eastAsia="en-US"/>
        </w:rPr>
        <w:t>Medicines</w:t>
      </w:r>
      <w:bookmarkEnd w:id="56"/>
      <w:bookmarkEnd w:id="57"/>
    </w:p>
    <w:p w14:paraId="46B69BEE" w14:textId="623F8C01" w:rsidR="002A6BB1" w:rsidRDefault="00CD6572" w:rsidP="00CD6572">
      <w:pPr>
        <w:rPr>
          <w:rFonts w:eastAsia="Calibri"/>
          <w:lang w:eastAsia="en-US"/>
        </w:rPr>
      </w:pPr>
      <w:r w:rsidRPr="005F1F83">
        <w:rPr>
          <w:rFonts w:eastAsia="Calibri"/>
          <w:lang w:eastAsia="en-US"/>
        </w:rPr>
        <w:t>There has been progress in removing barriers to</w:t>
      </w:r>
      <w:r w:rsidRPr="00140C7A">
        <w:rPr>
          <w:rFonts w:eastAsia="Calibri"/>
          <w:lang w:eastAsia="en-US"/>
        </w:rPr>
        <w:t xml:space="preserve"> </w:t>
      </w:r>
      <w:r w:rsidRPr="005F1F83">
        <w:rPr>
          <w:rFonts w:eastAsia="Calibri"/>
          <w:lang w:eastAsia="en-US"/>
        </w:rPr>
        <w:t xml:space="preserve">access </w:t>
      </w:r>
      <w:r>
        <w:rPr>
          <w:rFonts w:eastAsia="Calibri"/>
          <w:lang w:eastAsia="en-US"/>
        </w:rPr>
        <w:t xml:space="preserve">to abortion </w:t>
      </w:r>
      <w:r w:rsidRPr="005F1F83">
        <w:rPr>
          <w:rFonts w:eastAsia="Calibri"/>
          <w:lang w:eastAsia="en-US"/>
        </w:rPr>
        <w:t>medicine</w:t>
      </w:r>
      <w:r>
        <w:rPr>
          <w:rFonts w:eastAsia="Calibri"/>
          <w:lang w:eastAsia="en-US"/>
        </w:rPr>
        <w:t>s</w:t>
      </w:r>
      <w:r w:rsidRPr="005F1F83">
        <w:rPr>
          <w:rFonts w:eastAsia="Calibri"/>
          <w:lang w:eastAsia="en-US"/>
        </w:rPr>
        <w:t xml:space="preserve">. In November 2022, </w:t>
      </w:r>
      <w:proofErr w:type="spellStart"/>
      <w:r w:rsidRPr="005F1F83">
        <w:rPr>
          <w:rFonts w:eastAsia="Calibri"/>
          <w:lang w:eastAsia="en-US"/>
        </w:rPr>
        <w:t>Pharmac</w:t>
      </w:r>
      <w:proofErr w:type="spellEnd"/>
      <w:r w:rsidRPr="005F1F83">
        <w:rPr>
          <w:rFonts w:eastAsia="Calibri"/>
          <w:lang w:eastAsia="en-US"/>
        </w:rPr>
        <w:t xml:space="preserve"> funding for mifepristone became available. </w:t>
      </w:r>
      <w:r>
        <w:rPr>
          <w:rFonts w:eastAsia="Calibri"/>
          <w:lang w:eastAsia="en-US"/>
        </w:rPr>
        <w:t>Later</w:t>
      </w:r>
      <w:r w:rsidRPr="005F1F83">
        <w:rPr>
          <w:rFonts w:eastAsia="Calibri"/>
          <w:lang w:eastAsia="en-US"/>
        </w:rPr>
        <w:t xml:space="preserve">, in November 2024, </w:t>
      </w:r>
      <w:proofErr w:type="spellStart"/>
      <w:r w:rsidRPr="005F1F83">
        <w:rPr>
          <w:rFonts w:eastAsia="Calibri"/>
          <w:lang w:eastAsia="en-US"/>
        </w:rPr>
        <w:t>Pharmac</w:t>
      </w:r>
      <w:proofErr w:type="spellEnd"/>
      <w:r w:rsidRPr="005F1F83">
        <w:rPr>
          <w:rFonts w:eastAsia="Calibri"/>
          <w:lang w:eastAsia="en-US"/>
        </w:rPr>
        <w:t xml:space="preserve"> announced that from 1 December 2024 it would fund a low-sensitivity urine test kit used after a medical abortion to confirm that a pregnancy has ended (</w:t>
      </w:r>
      <w:proofErr w:type="spellStart"/>
      <w:r w:rsidRPr="005F1F83">
        <w:rPr>
          <w:rFonts w:eastAsia="Calibri"/>
          <w:lang w:eastAsia="en-US"/>
        </w:rPr>
        <w:t>Pharmac</w:t>
      </w:r>
      <w:proofErr w:type="spellEnd"/>
      <w:r w:rsidRPr="005F1F83">
        <w:rPr>
          <w:rFonts w:eastAsia="Calibri"/>
          <w:lang w:eastAsia="en-US"/>
        </w:rPr>
        <w:t xml:space="preserve"> 2024). These changes mean that a </w:t>
      </w:r>
      <w:r w:rsidR="00752368">
        <w:rPr>
          <w:rFonts w:eastAsia="Calibri"/>
        </w:rPr>
        <w:t xml:space="preserve">woman </w:t>
      </w:r>
      <w:r w:rsidRPr="005F1F83">
        <w:rPr>
          <w:rFonts w:eastAsia="Calibri"/>
          <w:lang w:eastAsia="en-US"/>
        </w:rPr>
        <w:t>can receive a prescription for abortion medicines and follow-up test kits from their health care provider without needing a blood test. They can pick up prescriptions from a local supporting pharmacy, improving their choice and providing closer-to-home access.</w:t>
      </w:r>
    </w:p>
    <w:p w14:paraId="0562C17B" w14:textId="3B5BAADC" w:rsidR="00CD6572" w:rsidRPr="005F1F83" w:rsidRDefault="00CD6572" w:rsidP="00CD6572">
      <w:pPr>
        <w:rPr>
          <w:rFonts w:eastAsia="Calibri"/>
          <w:lang w:eastAsia="en-US"/>
        </w:rPr>
      </w:pPr>
      <w:r w:rsidRPr="005F1F83">
        <w:rPr>
          <w:rFonts w:eastAsia="Calibri"/>
          <w:lang w:eastAsia="en-US"/>
        </w:rPr>
        <w:t xml:space="preserve"> </w:t>
      </w:r>
    </w:p>
    <w:p w14:paraId="38A53B90" w14:textId="77777777" w:rsidR="00CD6572" w:rsidRPr="005F1F83" w:rsidRDefault="00CD6572" w:rsidP="00CD6572">
      <w:pPr>
        <w:rPr>
          <w:rFonts w:eastAsia="Calibri"/>
          <w:lang w:eastAsia="en-US"/>
        </w:rPr>
      </w:pPr>
      <w:proofErr w:type="spellStart"/>
      <w:r w:rsidRPr="005F1F83">
        <w:rPr>
          <w:rFonts w:eastAsia="Calibri"/>
          <w:lang w:eastAsia="en-US"/>
        </w:rPr>
        <w:t>Healthpoint</w:t>
      </w:r>
      <w:proofErr w:type="spellEnd"/>
      <w:r w:rsidRPr="005F1F83">
        <w:rPr>
          <w:rFonts w:eastAsia="Calibri"/>
          <w:lang w:eastAsia="en-US"/>
        </w:rPr>
        <w:t xml:space="preserve"> maintains a list of pharmacies that update their information regularly to indicate their willingness and ability to dispense a range of medicines. Coverage of pharmacies is good, with 570 pharmacies around the country indicating</w:t>
      </w:r>
      <w:r>
        <w:rPr>
          <w:rFonts w:eastAsia="Calibri"/>
          <w:lang w:eastAsia="en-US"/>
        </w:rPr>
        <w:t xml:space="preserve"> they are</w:t>
      </w:r>
      <w:r w:rsidRPr="005F1F83">
        <w:rPr>
          <w:rFonts w:eastAsia="Calibri"/>
          <w:lang w:eastAsia="en-US"/>
        </w:rPr>
        <w:t xml:space="preserve"> willing to dispense these abortion medicines. </w:t>
      </w:r>
    </w:p>
    <w:p w14:paraId="35EADFC6" w14:textId="77777777" w:rsidR="00CD6572" w:rsidRPr="005F1F83" w:rsidRDefault="00CD6572" w:rsidP="00CD6572">
      <w:pPr>
        <w:pStyle w:val="Heading2"/>
        <w:rPr>
          <w:rFonts w:eastAsia="Calibri"/>
          <w:lang w:eastAsia="en-US"/>
        </w:rPr>
      </w:pPr>
      <w:bookmarkStart w:id="58" w:name="_Toc192348808"/>
      <w:bookmarkStart w:id="59" w:name="_Toc195016566"/>
      <w:r w:rsidRPr="005F1F83">
        <w:rPr>
          <w:rFonts w:eastAsia="Calibri"/>
          <w:lang w:eastAsia="en-US"/>
        </w:rPr>
        <w:t>Improved abortion services choice and access</w:t>
      </w:r>
      <w:bookmarkEnd w:id="58"/>
      <w:bookmarkEnd w:id="59"/>
    </w:p>
    <w:p w14:paraId="0E978E51" w14:textId="7307ADF6" w:rsidR="00CD6572" w:rsidRPr="005F1F83" w:rsidRDefault="00CD6572" w:rsidP="00CD6572">
      <w:pPr>
        <w:rPr>
          <w:rFonts w:eastAsia="Calibri"/>
          <w:lang w:eastAsia="en-US"/>
        </w:rPr>
      </w:pPr>
      <w:r w:rsidRPr="005F1F83">
        <w:rPr>
          <w:rFonts w:eastAsia="Calibri"/>
          <w:lang w:eastAsia="en-US"/>
        </w:rPr>
        <w:t>Following the implementation of the Information Collection Regulations, the Ministry has collected data and reported on the number of professionals and providers delivering abortion services across New Zealand. While the 2024 figures are not yet available, we have observed a marked increase in the number of providers across all regions and professions from 2021 to 2023 (</w:t>
      </w:r>
      <w:r w:rsidR="00897435">
        <w:rPr>
          <w:rFonts w:eastAsia="Calibri"/>
          <w:lang w:eastAsia="en-US"/>
        </w:rPr>
        <w:fldChar w:fldCharType="begin"/>
      </w:r>
      <w:r w:rsidR="00897435">
        <w:rPr>
          <w:rFonts w:eastAsia="Calibri"/>
          <w:lang w:eastAsia="en-US"/>
        </w:rPr>
        <w:instrText xml:space="preserve"> REF _Ref192681091 \h </w:instrText>
      </w:r>
      <w:r w:rsidR="00897435">
        <w:rPr>
          <w:rFonts w:eastAsia="Calibri"/>
          <w:lang w:eastAsia="en-US"/>
        </w:rPr>
      </w:r>
      <w:r w:rsidR="00897435">
        <w:rPr>
          <w:rFonts w:eastAsia="Calibri"/>
          <w:lang w:eastAsia="en-US"/>
        </w:rPr>
        <w:fldChar w:fldCharType="separate"/>
      </w:r>
      <w:r w:rsidR="00974F51" w:rsidRPr="005F1F83">
        <w:rPr>
          <w:rFonts w:eastAsia="Calibri"/>
          <w:lang w:eastAsia="en-US"/>
        </w:rPr>
        <w:t xml:space="preserve">Table </w:t>
      </w:r>
      <w:r w:rsidR="00974F51">
        <w:rPr>
          <w:rFonts w:eastAsia="Calibri"/>
          <w:noProof/>
          <w:lang w:eastAsia="en-US"/>
        </w:rPr>
        <w:t>4</w:t>
      </w:r>
      <w:r w:rsidR="00897435">
        <w:rPr>
          <w:rFonts w:eastAsia="Calibri"/>
          <w:lang w:eastAsia="en-US"/>
        </w:rPr>
        <w:fldChar w:fldCharType="end"/>
      </w:r>
      <w:r w:rsidRPr="005F1F83">
        <w:rPr>
          <w:rFonts w:eastAsia="Calibri"/>
          <w:lang w:eastAsia="en-US"/>
        </w:rPr>
        <w:t xml:space="preserve">). Moreover, while 29 unique facilities provided abortion services in 2020, the number has increased to 55 unique facilities in 2024. </w:t>
      </w:r>
    </w:p>
    <w:p w14:paraId="49986D67" w14:textId="77A9F523" w:rsidR="008B666D" w:rsidRDefault="008B666D" w:rsidP="008B666D"/>
    <w:p w14:paraId="4E2E4610" w14:textId="108CA562" w:rsidR="008B666D" w:rsidRDefault="008B666D" w:rsidP="008B666D"/>
    <w:p w14:paraId="751B679D" w14:textId="6259B550" w:rsidR="008B666D" w:rsidRPr="005F1F83" w:rsidRDefault="008B666D" w:rsidP="00CD6572">
      <w:pPr>
        <w:pStyle w:val="Table"/>
        <w:rPr>
          <w:rFonts w:eastAsia="Calibri"/>
          <w:lang w:eastAsia="en-US"/>
        </w:rPr>
      </w:pPr>
      <w:bookmarkStart w:id="60" w:name="_Ref192681091"/>
      <w:bookmarkStart w:id="61" w:name="_Toc192349326"/>
      <w:bookmarkStart w:id="62" w:name="_Toc195016597"/>
      <w:r w:rsidRPr="005F1F83">
        <w:rPr>
          <w:rFonts w:eastAsia="Calibri"/>
          <w:lang w:eastAsia="en-US"/>
        </w:rPr>
        <w:t xml:space="preserve">Table </w:t>
      </w:r>
      <w:r w:rsidRPr="005F1F83">
        <w:rPr>
          <w:rFonts w:eastAsia="Calibri"/>
          <w:lang w:eastAsia="en-US"/>
        </w:rPr>
        <w:fldChar w:fldCharType="begin"/>
      </w:r>
      <w:r w:rsidRPr="005F1F83">
        <w:rPr>
          <w:rFonts w:eastAsia="Calibri"/>
          <w:lang w:eastAsia="en-US"/>
        </w:rPr>
        <w:instrText xml:space="preserve"> SEQ Table \* ARABIC </w:instrText>
      </w:r>
      <w:r w:rsidRPr="005F1F83">
        <w:rPr>
          <w:rFonts w:eastAsia="Calibri"/>
          <w:lang w:eastAsia="en-US"/>
        </w:rPr>
        <w:fldChar w:fldCharType="separate"/>
      </w:r>
      <w:r w:rsidR="00974F51">
        <w:rPr>
          <w:rFonts w:eastAsia="Calibri"/>
          <w:noProof/>
          <w:lang w:eastAsia="en-US"/>
        </w:rPr>
        <w:t>4</w:t>
      </w:r>
      <w:r w:rsidRPr="005F1F83">
        <w:rPr>
          <w:rFonts w:eastAsia="Calibri"/>
          <w:lang w:eastAsia="en-US"/>
        </w:rPr>
        <w:fldChar w:fldCharType="end"/>
      </w:r>
      <w:bookmarkEnd w:id="60"/>
      <w:r w:rsidRPr="005F1F83">
        <w:rPr>
          <w:rFonts w:eastAsia="Calibri"/>
          <w:lang w:eastAsia="en-US"/>
        </w:rPr>
        <w:t xml:space="preserve">: Number of health workers delivering abortion services by profession and region of service, 2021 and </w:t>
      </w:r>
      <w:proofErr w:type="gramStart"/>
      <w:r w:rsidRPr="005F1F83">
        <w:rPr>
          <w:rFonts w:eastAsia="Calibri"/>
          <w:lang w:eastAsia="en-US"/>
        </w:rPr>
        <w:t>2023</w:t>
      </w:r>
      <w:bookmarkEnd w:id="61"/>
      <w:bookmarkEnd w:id="62"/>
      <w:proofErr w:type="gramEnd"/>
      <w:r w:rsidRPr="005F1F83">
        <w:rPr>
          <w:rFonts w:eastAsia="Calibri"/>
          <w:lang w:eastAsia="en-US"/>
        </w:rPr>
        <w:t xml:space="preserve"> </w:t>
      </w:r>
    </w:p>
    <w:tbl>
      <w:tblPr>
        <w:tblStyle w:val="TableGrid"/>
        <w:tblW w:w="8075"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972"/>
        <w:gridCol w:w="850"/>
        <w:gridCol w:w="851"/>
        <w:gridCol w:w="850"/>
        <w:gridCol w:w="851"/>
        <w:gridCol w:w="850"/>
        <w:gridCol w:w="851"/>
      </w:tblGrid>
      <w:tr w:rsidR="008B666D" w:rsidRPr="005F1F83" w14:paraId="4D1EF5C1" w14:textId="77777777" w:rsidTr="008B666D">
        <w:trPr>
          <w:trHeight w:val="20"/>
        </w:trPr>
        <w:tc>
          <w:tcPr>
            <w:tcW w:w="2972" w:type="dxa"/>
            <w:vMerge w:val="restart"/>
            <w:tcBorders>
              <w:top w:val="nil"/>
              <w:bottom w:val="single" w:sz="6" w:space="0" w:color="A6A6A6" w:themeColor="background1" w:themeShade="A6"/>
            </w:tcBorders>
            <w:shd w:val="clear" w:color="auto" w:fill="D9D9D9" w:themeFill="background1" w:themeFillShade="D9"/>
          </w:tcPr>
          <w:p w14:paraId="3762EF64" w14:textId="77777777" w:rsidR="008B666D" w:rsidRPr="008B666D" w:rsidRDefault="008B666D" w:rsidP="008B666D">
            <w:pPr>
              <w:pStyle w:val="TableText"/>
              <w:rPr>
                <w:rFonts w:eastAsia="Calibri"/>
                <w:b/>
                <w:bCs/>
              </w:rPr>
            </w:pPr>
            <w:r w:rsidRPr="008B666D">
              <w:rPr>
                <w:rFonts w:eastAsia="Calibri"/>
                <w:b/>
                <w:bCs/>
              </w:rPr>
              <w:t>Region of service</w:t>
            </w:r>
          </w:p>
        </w:tc>
        <w:tc>
          <w:tcPr>
            <w:tcW w:w="1701" w:type="dxa"/>
            <w:gridSpan w:val="2"/>
            <w:tcBorders>
              <w:top w:val="nil"/>
              <w:bottom w:val="nil"/>
            </w:tcBorders>
            <w:shd w:val="clear" w:color="auto" w:fill="D9D9D9" w:themeFill="background1" w:themeFillShade="D9"/>
          </w:tcPr>
          <w:p w14:paraId="6986A4D2" w14:textId="77777777" w:rsidR="008B666D" w:rsidRPr="008B666D" w:rsidRDefault="008B666D" w:rsidP="008B666D">
            <w:pPr>
              <w:pStyle w:val="TableText"/>
              <w:jc w:val="center"/>
              <w:rPr>
                <w:rFonts w:eastAsia="Calibri"/>
                <w:b/>
                <w:bCs/>
              </w:rPr>
            </w:pPr>
            <w:r w:rsidRPr="008B666D">
              <w:rPr>
                <w:rFonts w:eastAsia="Calibri"/>
                <w:b/>
                <w:bCs/>
              </w:rPr>
              <w:t>Medical</w:t>
            </w:r>
          </w:p>
        </w:tc>
        <w:tc>
          <w:tcPr>
            <w:tcW w:w="1701" w:type="dxa"/>
            <w:gridSpan w:val="2"/>
            <w:tcBorders>
              <w:top w:val="nil"/>
              <w:bottom w:val="nil"/>
            </w:tcBorders>
            <w:shd w:val="clear" w:color="auto" w:fill="D9D9D9" w:themeFill="background1" w:themeFillShade="D9"/>
          </w:tcPr>
          <w:p w14:paraId="6D6DEFCB" w14:textId="77777777" w:rsidR="008B666D" w:rsidRPr="008B666D" w:rsidRDefault="008B666D" w:rsidP="008B666D">
            <w:pPr>
              <w:pStyle w:val="TableText"/>
              <w:jc w:val="center"/>
              <w:rPr>
                <w:rFonts w:eastAsia="Calibri"/>
                <w:b/>
                <w:bCs/>
              </w:rPr>
            </w:pPr>
            <w:r w:rsidRPr="008B666D">
              <w:rPr>
                <w:rFonts w:eastAsia="Calibri"/>
                <w:b/>
                <w:bCs/>
              </w:rPr>
              <w:t>Nursing</w:t>
            </w:r>
          </w:p>
        </w:tc>
        <w:tc>
          <w:tcPr>
            <w:tcW w:w="1701" w:type="dxa"/>
            <w:gridSpan w:val="2"/>
            <w:tcBorders>
              <w:top w:val="nil"/>
              <w:bottom w:val="nil"/>
            </w:tcBorders>
            <w:shd w:val="clear" w:color="auto" w:fill="D9D9D9" w:themeFill="background1" w:themeFillShade="D9"/>
          </w:tcPr>
          <w:p w14:paraId="2D9520FB" w14:textId="77777777" w:rsidR="008B666D" w:rsidRPr="008B666D" w:rsidRDefault="008B666D" w:rsidP="008B666D">
            <w:pPr>
              <w:pStyle w:val="TableText"/>
              <w:jc w:val="center"/>
              <w:rPr>
                <w:rFonts w:eastAsia="Calibri"/>
                <w:b/>
                <w:bCs/>
              </w:rPr>
            </w:pPr>
            <w:r w:rsidRPr="008B666D">
              <w:rPr>
                <w:rFonts w:eastAsia="Calibri"/>
                <w:b/>
                <w:bCs/>
              </w:rPr>
              <w:t>Midwifery</w:t>
            </w:r>
          </w:p>
        </w:tc>
      </w:tr>
      <w:tr w:rsidR="008B666D" w:rsidRPr="005F1F83" w14:paraId="23FCC0F7" w14:textId="77777777" w:rsidTr="008B666D">
        <w:trPr>
          <w:trHeight w:val="20"/>
        </w:trPr>
        <w:tc>
          <w:tcPr>
            <w:tcW w:w="2972" w:type="dxa"/>
            <w:vMerge/>
            <w:tcBorders>
              <w:top w:val="single" w:sz="6" w:space="0" w:color="A6A6A6" w:themeColor="background1" w:themeShade="A6"/>
              <w:bottom w:val="nil"/>
            </w:tcBorders>
            <w:shd w:val="clear" w:color="auto" w:fill="D9D9D9" w:themeFill="background1" w:themeFillShade="D9"/>
          </w:tcPr>
          <w:p w14:paraId="37C6CC46" w14:textId="77777777" w:rsidR="008B666D" w:rsidRPr="008B666D" w:rsidRDefault="008B666D" w:rsidP="008B666D">
            <w:pPr>
              <w:pStyle w:val="TableText"/>
              <w:rPr>
                <w:rFonts w:eastAsia="Calibri"/>
                <w:b/>
                <w:bCs/>
              </w:rPr>
            </w:pPr>
          </w:p>
        </w:tc>
        <w:tc>
          <w:tcPr>
            <w:tcW w:w="850" w:type="dxa"/>
            <w:tcBorders>
              <w:top w:val="nil"/>
              <w:bottom w:val="nil"/>
            </w:tcBorders>
            <w:shd w:val="clear" w:color="auto" w:fill="D9D9D9" w:themeFill="background1" w:themeFillShade="D9"/>
          </w:tcPr>
          <w:p w14:paraId="60976721" w14:textId="77777777" w:rsidR="008B666D" w:rsidRPr="008B666D" w:rsidRDefault="008B666D" w:rsidP="008B666D">
            <w:pPr>
              <w:pStyle w:val="TableText"/>
              <w:jc w:val="center"/>
              <w:rPr>
                <w:rFonts w:eastAsia="Calibri"/>
                <w:b/>
                <w:bCs/>
              </w:rPr>
            </w:pPr>
            <w:r w:rsidRPr="008B666D">
              <w:rPr>
                <w:rFonts w:eastAsia="Calibri"/>
                <w:b/>
                <w:bCs/>
              </w:rPr>
              <w:t>2021</w:t>
            </w:r>
          </w:p>
        </w:tc>
        <w:tc>
          <w:tcPr>
            <w:tcW w:w="851" w:type="dxa"/>
            <w:tcBorders>
              <w:top w:val="nil"/>
              <w:bottom w:val="nil"/>
            </w:tcBorders>
            <w:shd w:val="clear" w:color="auto" w:fill="D9D9D9" w:themeFill="background1" w:themeFillShade="D9"/>
          </w:tcPr>
          <w:p w14:paraId="2B5C44B1" w14:textId="77777777" w:rsidR="008B666D" w:rsidRPr="008B666D" w:rsidRDefault="008B666D" w:rsidP="008B666D">
            <w:pPr>
              <w:pStyle w:val="TableText"/>
              <w:jc w:val="center"/>
              <w:rPr>
                <w:rFonts w:eastAsia="Calibri"/>
                <w:b/>
                <w:bCs/>
              </w:rPr>
            </w:pPr>
            <w:r w:rsidRPr="008B666D">
              <w:rPr>
                <w:rFonts w:eastAsia="Calibri"/>
                <w:b/>
                <w:bCs/>
              </w:rPr>
              <w:t>2023</w:t>
            </w:r>
          </w:p>
        </w:tc>
        <w:tc>
          <w:tcPr>
            <w:tcW w:w="850" w:type="dxa"/>
            <w:tcBorders>
              <w:top w:val="nil"/>
              <w:bottom w:val="nil"/>
            </w:tcBorders>
            <w:shd w:val="clear" w:color="auto" w:fill="D9D9D9" w:themeFill="background1" w:themeFillShade="D9"/>
          </w:tcPr>
          <w:p w14:paraId="0DC3FCC4" w14:textId="77777777" w:rsidR="008B666D" w:rsidRPr="008B666D" w:rsidRDefault="008B666D" w:rsidP="008B666D">
            <w:pPr>
              <w:pStyle w:val="TableText"/>
              <w:jc w:val="center"/>
              <w:rPr>
                <w:rFonts w:eastAsia="Calibri"/>
                <w:b/>
                <w:bCs/>
              </w:rPr>
            </w:pPr>
            <w:r w:rsidRPr="008B666D">
              <w:rPr>
                <w:rFonts w:eastAsia="Calibri"/>
                <w:b/>
                <w:bCs/>
              </w:rPr>
              <w:t>2021</w:t>
            </w:r>
          </w:p>
        </w:tc>
        <w:tc>
          <w:tcPr>
            <w:tcW w:w="851" w:type="dxa"/>
            <w:tcBorders>
              <w:top w:val="nil"/>
              <w:bottom w:val="nil"/>
            </w:tcBorders>
            <w:shd w:val="clear" w:color="auto" w:fill="D9D9D9" w:themeFill="background1" w:themeFillShade="D9"/>
          </w:tcPr>
          <w:p w14:paraId="32C4A31A" w14:textId="77777777" w:rsidR="008B666D" w:rsidRPr="008B666D" w:rsidRDefault="008B666D" w:rsidP="008B666D">
            <w:pPr>
              <w:pStyle w:val="TableText"/>
              <w:jc w:val="center"/>
              <w:rPr>
                <w:rFonts w:eastAsia="Calibri"/>
                <w:b/>
                <w:bCs/>
              </w:rPr>
            </w:pPr>
            <w:r w:rsidRPr="008B666D">
              <w:rPr>
                <w:rFonts w:eastAsia="Calibri"/>
                <w:b/>
                <w:bCs/>
              </w:rPr>
              <w:t>2023</w:t>
            </w:r>
          </w:p>
        </w:tc>
        <w:tc>
          <w:tcPr>
            <w:tcW w:w="850" w:type="dxa"/>
            <w:tcBorders>
              <w:top w:val="nil"/>
              <w:bottom w:val="nil"/>
            </w:tcBorders>
            <w:shd w:val="clear" w:color="auto" w:fill="D9D9D9" w:themeFill="background1" w:themeFillShade="D9"/>
          </w:tcPr>
          <w:p w14:paraId="3CB1E341" w14:textId="77777777" w:rsidR="008B666D" w:rsidRPr="008B666D" w:rsidRDefault="008B666D" w:rsidP="008B666D">
            <w:pPr>
              <w:pStyle w:val="TableText"/>
              <w:jc w:val="center"/>
              <w:rPr>
                <w:rFonts w:eastAsia="Calibri"/>
                <w:b/>
                <w:bCs/>
              </w:rPr>
            </w:pPr>
            <w:r w:rsidRPr="008B666D">
              <w:rPr>
                <w:rFonts w:eastAsia="Calibri"/>
                <w:b/>
                <w:bCs/>
              </w:rPr>
              <w:t>2021</w:t>
            </w:r>
          </w:p>
        </w:tc>
        <w:tc>
          <w:tcPr>
            <w:tcW w:w="851" w:type="dxa"/>
            <w:tcBorders>
              <w:top w:val="nil"/>
              <w:bottom w:val="nil"/>
            </w:tcBorders>
            <w:shd w:val="clear" w:color="auto" w:fill="D9D9D9" w:themeFill="background1" w:themeFillShade="D9"/>
          </w:tcPr>
          <w:p w14:paraId="0F68010B" w14:textId="77777777" w:rsidR="008B666D" w:rsidRPr="008B666D" w:rsidRDefault="008B666D" w:rsidP="008B666D">
            <w:pPr>
              <w:pStyle w:val="TableText"/>
              <w:jc w:val="center"/>
              <w:rPr>
                <w:rFonts w:eastAsia="Calibri"/>
                <w:b/>
                <w:bCs/>
              </w:rPr>
            </w:pPr>
            <w:r w:rsidRPr="008B666D">
              <w:rPr>
                <w:rFonts w:eastAsia="Calibri"/>
                <w:b/>
                <w:bCs/>
              </w:rPr>
              <w:t>2023</w:t>
            </w:r>
          </w:p>
        </w:tc>
      </w:tr>
      <w:tr w:rsidR="008B666D" w:rsidRPr="005F1F83" w14:paraId="33CE4A38" w14:textId="77777777" w:rsidTr="008B666D">
        <w:trPr>
          <w:trHeight w:val="20"/>
        </w:trPr>
        <w:tc>
          <w:tcPr>
            <w:tcW w:w="2972" w:type="dxa"/>
            <w:tcBorders>
              <w:top w:val="nil"/>
              <w:bottom w:val="single" w:sz="6" w:space="0" w:color="A6A6A6" w:themeColor="background1" w:themeShade="A6"/>
            </w:tcBorders>
          </w:tcPr>
          <w:p w14:paraId="32837F86" w14:textId="77777777" w:rsidR="008B666D" w:rsidRPr="005F1F83" w:rsidRDefault="008B666D" w:rsidP="008B666D">
            <w:pPr>
              <w:pStyle w:val="TableText"/>
              <w:rPr>
                <w:rFonts w:eastAsia="Calibri"/>
              </w:rPr>
            </w:pPr>
            <w:proofErr w:type="spellStart"/>
            <w:r w:rsidRPr="005F1F83">
              <w:rPr>
                <w:rFonts w:eastAsia="Calibri"/>
              </w:rPr>
              <w:t>Te</w:t>
            </w:r>
            <w:proofErr w:type="spellEnd"/>
            <w:r w:rsidRPr="005F1F83">
              <w:rPr>
                <w:rFonts w:eastAsia="Calibri"/>
              </w:rPr>
              <w:t xml:space="preserve"> </w:t>
            </w:r>
            <w:proofErr w:type="spellStart"/>
            <w:r w:rsidRPr="005F1F83">
              <w:rPr>
                <w:rFonts w:eastAsia="Calibri"/>
              </w:rPr>
              <w:t>Ikaroa</w:t>
            </w:r>
            <w:proofErr w:type="spellEnd"/>
            <w:r w:rsidRPr="005F1F83">
              <w:rPr>
                <w:rFonts w:eastAsia="Calibri"/>
              </w:rPr>
              <w:t xml:space="preserve"> (Central)</w:t>
            </w:r>
          </w:p>
        </w:tc>
        <w:tc>
          <w:tcPr>
            <w:tcW w:w="850" w:type="dxa"/>
            <w:tcBorders>
              <w:top w:val="nil"/>
              <w:bottom w:val="single" w:sz="6" w:space="0" w:color="A6A6A6" w:themeColor="background1" w:themeShade="A6"/>
            </w:tcBorders>
          </w:tcPr>
          <w:p w14:paraId="79C00F91" w14:textId="77777777" w:rsidR="008B666D" w:rsidRPr="005F1F83" w:rsidRDefault="008B666D" w:rsidP="008B666D">
            <w:pPr>
              <w:pStyle w:val="TableText"/>
              <w:jc w:val="right"/>
              <w:rPr>
                <w:rFonts w:eastAsia="Calibri"/>
              </w:rPr>
            </w:pPr>
            <w:r w:rsidRPr="005F1F83">
              <w:rPr>
                <w:rFonts w:eastAsia="Calibri"/>
              </w:rPr>
              <w:t>10</w:t>
            </w:r>
          </w:p>
        </w:tc>
        <w:tc>
          <w:tcPr>
            <w:tcW w:w="851" w:type="dxa"/>
            <w:tcBorders>
              <w:top w:val="nil"/>
              <w:bottom w:val="single" w:sz="6" w:space="0" w:color="A6A6A6" w:themeColor="background1" w:themeShade="A6"/>
            </w:tcBorders>
          </w:tcPr>
          <w:p w14:paraId="58223059" w14:textId="77777777" w:rsidR="008B666D" w:rsidRPr="005F1F83" w:rsidRDefault="008B666D" w:rsidP="008B666D">
            <w:pPr>
              <w:pStyle w:val="TableText"/>
              <w:jc w:val="right"/>
              <w:rPr>
                <w:rFonts w:eastAsia="Calibri"/>
              </w:rPr>
            </w:pPr>
            <w:r w:rsidRPr="005F1F83">
              <w:rPr>
                <w:rFonts w:eastAsia="Calibri"/>
              </w:rPr>
              <w:t>36</w:t>
            </w:r>
          </w:p>
        </w:tc>
        <w:tc>
          <w:tcPr>
            <w:tcW w:w="850" w:type="dxa"/>
            <w:tcBorders>
              <w:top w:val="nil"/>
              <w:bottom w:val="single" w:sz="6" w:space="0" w:color="A6A6A6" w:themeColor="background1" w:themeShade="A6"/>
            </w:tcBorders>
          </w:tcPr>
          <w:p w14:paraId="32A5BE25" w14:textId="77777777" w:rsidR="008B666D" w:rsidRPr="005F1F83" w:rsidRDefault="008B666D" w:rsidP="008B666D">
            <w:pPr>
              <w:pStyle w:val="TableText"/>
              <w:jc w:val="right"/>
              <w:rPr>
                <w:rFonts w:eastAsia="Calibri"/>
              </w:rPr>
            </w:pPr>
            <w:r w:rsidRPr="005F1F83">
              <w:rPr>
                <w:rFonts w:eastAsia="Calibri"/>
              </w:rPr>
              <w:t>6</w:t>
            </w:r>
          </w:p>
        </w:tc>
        <w:tc>
          <w:tcPr>
            <w:tcW w:w="851" w:type="dxa"/>
            <w:tcBorders>
              <w:top w:val="nil"/>
              <w:bottom w:val="single" w:sz="6" w:space="0" w:color="A6A6A6" w:themeColor="background1" w:themeShade="A6"/>
            </w:tcBorders>
          </w:tcPr>
          <w:p w14:paraId="1B7C55EE" w14:textId="77777777" w:rsidR="008B666D" w:rsidRPr="005F1F83" w:rsidRDefault="008B666D" w:rsidP="008B666D">
            <w:pPr>
              <w:pStyle w:val="TableText"/>
              <w:jc w:val="right"/>
              <w:rPr>
                <w:rFonts w:eastAsia="Calibri"/>
              </w:rPr>
            </w:pPr>
            <w:r w:rsidRPr="005F1F83">
              <w:rPr>
                <w:rFonts w:eastAsia="Calibri"/>
              </w:rPr>
              <w:t>12</w:t>
            </w:r>
          </w:p>
        </w:tc>
        <w:tc>
          <w:tcPr>
            <w:tcW w:w="850" w:type="dxa"/>
            <w:tcBorders>
              <w:top w:val="nil"/>
              <w:bottom w:val="single" w:sz="6" w:space="0" w:color="A6A6A6" w:themeColor="background1" w:themeShade="A6"/>
            </w:tcBorders>
          </w:tcPr>
          <w:p w14:paraId="0BF93FB1" w14:textId="77777777" w:rsidR="008B666D" w:rsidRPr="005F1F83" w:rsidRDefault="008B666D" w:rsidP="008B666D">
            <w:pPr>
              <w:pStyle w:val="TableText"/>
              <w:jc w:val="right"/>
              <w:rPr>
                <w:rFonts w:eastAsia="Calibri"/>
              </w:rPr>
            </w:pPr>
            <w:r w:rsidRPr="005F1F83">
              <w:rPr>
                <w:rFonts w:eastAsia="Calibri"/>
              </w:rPr>
              <w:t>0</w:t>
            </w:r>
          </w:p>
        </w:tc>
        <w:tc>
          <w:tcPr>
            <w:tcW w:w="851" w:type="dxa"/>
            <w:tcBorders>
              <w:top w:val="nil"/>
              <w:bottom w:val="single" w:sz="6" w:space="0" w:color="A6A6A6" w:themeColor="background1" w:themeShade="A6"/>
            </w:tcBorders>
          </w:tcPr>
          <w:p w14:paraId="740D0D90" w14:textId="77777777" w:rsidR="008B666D" w:rsidRPr="005F1F83" w:rsidRDefault="008B666D" w:rsidP="008B666D">
            <w:pPr>
              <w:pStyle w:val="TableText"/>
              <w:jc w:val="right"/>
              <w:rPr>
                <w:rFonts w:eastAsia="Calibri"/>
              </w:rPr>
            </w:pPr>
            <w:r w:rsidRPr="005F1F83">
              <w:rPr>
                <w:rFonts w:eastAsia="Calibri"/>
              </w:rPr>
              <w:t>2</w:t>
            </w:r>
          </w:p>
        </w:tc>
      </w:tr>
      <w:tr w:rsidR="008B666D" w:rsidRPr="005F1F83" w14:paraId="1E2D1256" w14:textId="77777777" w:rsidTr="008B666D">
        <w:trPr>
          <w:trHeight w:val="20"/>
        </w:trPr>
        <w:tc>
          <w:tcPr>
            <w:tcW w:w="2972" w:type="dxa"/>
            <w:tcBorders>
              <w:top w:val="single" w:sz="6" w:space="0" w:color="A6A6A6" w:themeColor="background1" w:themeShade="A6"/>
            </w:tcBorders>
          </w:tcPr>
          <w:p w14:paraId="0C021865" w14:textId="77777777" w:rsidR="008B666D" w:rsidRPr="005F1F83" w:rsidRDefault="008B666D" w:rsidP="008B666D">
            <w:pPr>
              <w:pStyle w:val="TableText"/>
              <w:rPr>
                <w:rFonts w:eastAsia="Calibri"/>
              </w:rPr>
            </w:pPr>
            <w:proofErr w:type="spellStart"/>
            <w:r w:rsidRPr="005F1F83">
              <w:rPr>
                <w:rFonts w:eastAsia="Calibri"/>
              </w:rPr>
              <w:t>Te</w:t>
            </w:r>
            <w:proofErr w:type="spellEnd"/>
            <w:r w:rsidRPr="005F1F83">
              <w:rPr>
                <w:rFonts w:eastAsia="Calibri"/>
              </w:rPr>
              <w:t xml:space="preserve"> Tai </w:t>
            </w:r>
            <w:proofErr w:type="spellStart"/>
            <w:r w:rsidRPr="005F1F83">
              <w:rPr>
                <w:rFonts w:eastAsia="Calibri"/>
              </w:rPr>
              <w:t>Tokerau</w:t>
            </w:r>
            <w:proofErr w:type="spellEnd"/>
            <w:r w:rsidRPr="005F1F83">
              <w:rPr>
                <w:rFonts w:eastAsia="Calibri"/>
              </w:rPr>
              <w:t xml:space="preserve"> (Northern)</w:t>
            </w:r>
          </w:p>
        </w:tc>
        <w:tc>
          <w:tcPr>
            <w:tcW w:w="850" w:type="dxa"/>
            <w:tcBorders>
              <w:top w:val="single" w:sz="6" w:space="0" w:color="A6A6A6" w:themeColor="background1" w:themeShade="A6"/>
            </w:tcBorders>
          </w:tcPr>
          <w:p w14:paraId="476E8A32" w14:textId="77777777" w:rsidR="008B666D" w:rsidRPr="005F1F83" w:rsidRDefault="008B666D" w:rsidP="008B666D">
            <w:pPr>
              <w:pStyle w:val="TableText"/>
              <w:jc w:val="right"/>
              <w:rPr>
                <w:rFonts w:eastAsia="Calibri"/>
              </w:rPr>
            </w:pPr>
            <w:r w:rsidRPr="005F1F83">
              <w:rPr>
                <w:rFonts w:eastAsia="Calibri"/>
              </w:rPr>
              <w:t>24</w:t>
            </w:r>
          </w:p>
        </w:tc>
        <w:tc>
          <w:tcPr>
            <w:tcW w:w="851" w:type="dxa"/>
            <w:tcBorders>
              <w:top w:val="single" w:sz="6" w:space="0" w:color="A6A6A6" w:themeColor="background1" w:themeShade="A6"/>
            </w:tcBorders>
          </w:tcPr>
          <w:p w14:paraId="76B88025" w14:textId="77777777" w:rsidR="008B666D" w:rsidRPr="005F1F83" w:rsidRDefault="008B666D" w:rsidP="008B666D">
            <w:pPr>
              <w:pStyle w:val="TableText"/>
              <w:jc w:val="right"/>
              <w:rPr>
                <w:rFonts w:eastAsia="Calibri"/>
              </w:rPr>
            </w:pPr>
            <w:r w:rsidRPr="005F1F83">
              <w:rPr>
                <w:rFonts w:eastAsia="Calibri"/>
              </w:rPr>
              <w:t>42</w:t>
            </w:r>
          </w:p>
        </w:tc>
        <w:tc>
          <w:tcPr>
            <w:tcW w:w="850" w:type="dxa"/>
            <w:tcBorders>
              <w:top w:val="single" w:sz="6" w:space="0" w:color="A6A6A6" w:themeColor="background1" w:themeShade="A6"/>
            </w:tcBorders>
          </w:tcPr>
          <w:p w14:paraId="1F18FF6F" w14:textId="77777777" w:rsidR="008B666D" w:rsidRPr="005F1F83" w:rsidRDefault="008B666D" w:rsidP="008B666D">
            <w:pPr>
              <w:pStyle w:val="TableText"/>
              <w:jc w:val="right"/>
              <w:rPr>
                <w:rFonts w:eastAsia="Calibri"/>
              </w:rPr>
            </w:pPr>
            <w:r w:rsidRPr="005F1F83">
              <w:rPr>
                <w:rFonts w:eastAsia="Calibri"/>
              </w:rPr>
              <w:t>60</w:t>
            </w:r>
          </w:p>
        </w:tc>
        <w:tc>
          <w:tcPr>
            <w:tcW w:w="851" w:type="dxa"/>
            <w:tcBorders>
              <w:top w:val="single" w:sz="6" w:space="0" w:color="A6A6A6" w:themeColor="background1" w:themeShade="A6"/>
            </w:tcBorders>
          </w:tcPr>
          <w:p w14:paraId="1D0BFFB2" w14:textId="77777777" w:rsidR="008B666D" w:rsidRPr="005F1F83" w:rsidRDefault="008B666D" w:rsidP="008B666D">
            <w:pPr>
              <w:pStyle w:val="TableText"/>
              <w:jc w:val="right"/>
              <w:rPr>
                <w:rFonts w:eastAsia="Calibri"/>
              </w:rPr>
            </w:pPr>
            <w:r w:rsidRPr="005F1F83">
              <w:rPr>
                <w:rFonts w:eastAsia="Calibri"/>
              </w:rPr>
              <w:t>95</w:t>
            </w:r>
          </w:p>
        </w:tc>
        <w:tc>
          <w:tcPr>
            <w:tcW w:w="850" w:type="dxa"/>
            <w:tcBorders>
              <w:top w:val="single" w:sz="6" w:space="0" w:color="A6A6A6" w:themeColor="background1" w:themeShade="A6"/>
            </w:tcBorders>
          </w:tcPr>
          <w:p w14:paraId="705D163E" w14:textId="77777777" w:rsidR="008B666D" w:rsidRPr="005F1F83" w:rsidRDefault="008B666D" w:rsidP="008B666D">
            <w:pPr>
              <w:pStyle w:val="TableText"/>
              <w:jc w:val="right"/>
              <w:rPr>
                <w:rFonts w:eastAsia="Calibri"/>
              </w:rPr>
            </w:pPr>
            <w:r w:rsidRPr="005F1F83">
              <w:rPr>
                <w:rFonts w:eastAsia="Calibri"/>
              </w:rPr>
              <w:t>0</w:t>
            </w:r>
          </w:p>
        </w:tc>
        <w:tc>
          <w:tcPr>
            <w:tcW w:w="851" w:type="dxa"/>
            <w:tcBorders>
              <w:top w:val="single" w:sz="6" w:space="0" w:color="A6A6A6" w:themeColor="background1" w:themeShade="A6"/>
            </w:tcBorders>
          </w:tcPr>
          <w:p w14:paraId="3E2B4CC6" w14:textId="77777777" w:rsidR="008B666D" w:rsidRPr="005F1F83" w:rsidRDefault="008B666D" w:rsidP="008B666D">
            <w:pPr>
              <w:pStyle w:val="TableText"/>
              <w:jc w:val="right"/>
              <w:rPr>
                <w:rFonts w:eastAsia="Calibri"/>
              </w:rPr>
            </w:pPr>
            <w:r w:rsidRPr="005F1F83">
              <w:rPr>
                <w:rFonts w:eastAsia="Calibri"/>
              </w:rPr>
              <w:t>30</w:t>
            </w:r>
          </w:p>
        </w:tc>
      </w:tr>
      <w:tr w:rsidR="008B666D" w:rsidRPr="005F1F83" w14:paraId="7AA74EF6" w14:textId="77777777" w:rsidTr="008B666D">
        <w:trPr>
          <w:trHeight w:val="20"/>
        </w:trPr>
        <w:tc>
          <w:tcPr>
            <w:tcW w:w="2972" w:type="dxa"/>
          </w:tcPr>
          <w:p w14:paraId="42252EE1" w14:textId="77777777" w:rsidR="008B666D" w:rsidRPr="005F1F83" w:rsidRDefault="008B666D" w:rsidP="008B666D">
            <w:pPr>
              <w:pStyle w:val="TableText"/>
              <w:rPr>
                <w:rFonts w:eastAsia="Calibri"/>
              </w:rPr>
            </w:pPr>
            <w:proofErr w:type="spellStart"/>
            <w:r w:rsidRPr="005F1F83">
              <w:rPr>
                <w:rFonts w:eastAsia="Calibri"/>
              </w:rPr>
              <w:t>Te</w:t>
            </w:r>
            <w:proofErr w:type="spellEnd"/>
            <w:r w:rsidRPr="005F1F83">
              <w:rPr>
                <w:rFonts w:eastAsia="Calibri"/>
              </w:rPr>
              <w:t xml:space="preserve"> Manawa Taki (Midland)</w:t>
            </w:r>
          </w:p>
        </w:tc>
        <w:tc>
          <w:tcPr>
            <w:tcW w:w="850" w:type="dxa"/>
          </w:tcPr>
          <w:p w14:paraId="27844C13" w14:textId="77777777" w:rsidR="008B666D" w:rsidRPr="005F1F83" w:rsidRDefault="008B666D" w:rsidP="008B666D">
            <w:pPr>
              <w:pStyle w:val="TableText"/>
              <w:jc w:val="right"/>
              <w:rPr>
                <w:rFonts w:eastAsia="Calibri"/>
              </w:rPr>
            </w:pPr>
            <w:r w:rsidRPr="005F1F83">
              <w:rPr>
                <w:rFonts w:eastAsia="Calibri"/>
              </w:rPr>
              <w:t>11</w:t>
            </w:r>
          </w:p>
        </w:tc>
        <w:tc>
          <w:tcPr>
            <w:tcW w:w="851" w:type="dxa"/>
          </w:tcPr>
          <w:p w14:paraId="196742AE" w14:textId="77777777" w:rsidR="008B666D" w:rsidRPr="005F1F83" w:rsidRDefault="008B666D" w:rsidP="008B666D">
            <w:pPr>
              <w:pStyle w:val="TableText"/>
              <w:jc w:val="right"/>
              <w:rPr>
                <w:rFonts w:eastAsia="Calibri"/>
              </w:rPr>
            </w:pPr>
            <w:r w:rsidRPr="005F1F83">
              <w:rPr>
                <w:rFonts w:eastAsia="Calibri"/>
              </w:rPr>
              <w:t>28</w:t>
            </w:r>
          </w:p>
        </w:tc>
        <w:tc>
          <w:tcPr>
            <w:tcW w:w="850" w:type="dxa"/>
          </w:tcPr>
          <w:p w14:paraId="2975D585" w14:textId="77777777" w:rsidR="008B666D" w:rsidRPr="005F1F83" w:rsidRDefault="008B666D" w:rsidP="008B666D">
            <w:pPr>
              <w:pStyle w:val="TableText"/>
              <w:jc w:val="right"/>
              <w:rPr>
                <w:rFonts w:eastAsia="Calibri"/>
              </w:rPr>
            </w:pPr>
            <w:r w:rsidRPr="005F1F83">
              <w:rPr>
                <w:rFonts w:eastAsia="Calibri"/>
              </w:rPr>
              <w:t>13</w:t>
            </w:r>
          </w:p>
        </w:tc>
        <w:tc>
          <w:tcPr>
            <w:tcW w:w="851" w:type="dxa"/>
          </w:tcPr>
          <w:p w14:paraId="288D0DA9" w14:textId="77777777" w:rsidR="008B666D" w:rsidRPr="005F1F83" w:rsidRDefault="008B666D" w:rsidP="008B666D">
            <w:pPr>
              <w:pStyle w:val="TableText"/>
              <w:jc w:val="right"/>
              <w:rPr>
                <w:rFonts w:eastAsia="Calibri"/>
              </w:rPr>
            </w:pPr>
            <w:r w:rsidRPr="005F1F83">
              <w:rPr>
                <w:rFonts w:eastAsia="Calibri"/>
              </w:rPr>
              <w:t>42</w:t>
            </w:r>
          </w:p>
        </w:tc>
        <w:tc>
          <w:tcPr>
            <w:tcW w:w="850" w:type="dxa"/>
          </w:tcPr>
          <w:p w14:paraId="4651C4AA" w14:textId="77777777" w:rsidR="008B666D" w:rsidRPr="005F1F83" w:rsidRDefault="008B666D" w:rsidP="008B666D">
            <w:pPr>
              <w:pStyle w:val="TableText"/>
              <w:jc w:val="right"/>
              <w:rPr>
                <w:rFonts w:eastAsia="Calibri"/>
              </w:rPr>
            </w:pPr>
            <w:r w:rsidRPr="005F1F83">
              <w:rPr>
                <w:rFonts w:eastAsia="Calibri"/>
              </w:rPr>
              <w:t>2</w:t>
            </w:r>
          </w:p>
        </w:tc>
        <w:tc>
          <w:tcPr>
            <w:tcW w:w="851" w:type="dxa"/>
          </w:tcPr>
          <w:p w14:paraId="49F29768" w14:textId="77777777" w:rsidR="008B666D" w:rsidRPr="005F1F83" w:rsidRDefault="008B666D" w:rsidP="008B666D">
            <w:pPr>
              <w:pStyle w:val="TableText"/>
              <w:jc w:val="right"/>
              <w:rPr>
                <w:rFonts w:eastAsia="Calibri"/>
              </w:rPr>
            </w:pPr>
            <w:r w:rsidRPr="005F1F83">
              <w:rPr>
                <w:rFonts w:eastAsia="Calibri"/>
              </w:rPr>
              <w:t>4</w:t>
            </w:r>
          </w:p>
        </w:tc>
      </w:tr>
      <w:tr w:rsidR="008B666D" w:rsidRPr="005F1F83" w14:paraId="37F02DAD" w14:textId="77777777" w:rsidTr="008B666D">
        <w:trPr>
          <w:trHeight w:val="20"/>
        </w:trPr>
        <w:tc>
          <w:tcPr>
            <w:tcW w:w="2972" w:type="dxa"/>
          </w:tcPr>
          <w:p w14:paraId="7F8D3FEE" w14:textId="77777777" w:rsidR="008B666D" w:rsidRPr="005F1F83" w:rsidRDefault="008B666D" w:rsidP="008B666D">
            <w:pPr>
              <w:pStyle w:val="TableText"/>
              <w:rPr>
                <w:rFonts w:eastAsia="Calibri"/>
              </w:rPr>
            </w:pPr>
            <w:proofErr w:type="spellStart"/>
            <w:r w:rsidRPr="005F1F83">
              <w:rPr>
                <w:rFonts w:eastAsia="Calibri"/>
              </w:rPr>
              <w:t>Te</w:t>
            </w:r>
            <w:proofErr w:type="spellEnd"/>
            <w:r w:rsidRPr="005F1F83">
              <w:rPr>
                <w:rFonts w:eastAsia="Calibri"/>
              </w:rPr>
              <w:t xml:space="preserve"> Waipounamu (Southern)</w:t>
            </w:r>
          </w:p>
        </w:tc>
        <w:tc>
          <w:tcPr>
            <w:tcW w:w="850" w:type="dxa"/>
          </w:tcPr>
          <w:p w14:paraId="68DA845F" w14:textId="77777777" w:rsidR="008B666D" w:rsidRPr="005F1F83" w:rsidRDefault="008B666D" w:rsidP="008B666D">
            <w:pPr>
              <w:pStyle w:val="TableText"/>
              <w:jc w:val="right"/>
              <w:rPr>
                <w:rFonts w:eastAsia="Calibri"/>
              </w:rPr>
            </w:pPr>
            <w:r w:rsidRPr="005F1F83">
              <w:rPr>
                <w:rFonts w:eastAsia="Calibri"/>
              </w:rPr>
              <w:t>14</w:t>
            </w:r>
          </w:p>
        </w:tc>
        <w:tc>
          <w:tcPr>
            <w:tcW w:w="851" w:type="dxa"/>
          </w:tcPr>
          <w:p w14:paraId="2215148B" w14:textId="77777777" w:rsidR="008B666D" w:rsidRPr="005F1F83" w:rsidRDefault="008B666D" w:rsidP="008B666D">
            <w:pPr>
              <w:pStyle w:val="TableText"/>
              <w:jc w:val="right"/>
              <w:rPr>
                <w:rFonts w:eastAsia="Calibri"/>
              </w:rPr>
            </w:pPr>
            <w:r w:rsidRPr="005F1F83">
              <w:rPr>
                <w:rFonts w:eastAsia="Calibri"/>
              </w:rPr>
              <w:t>26</w:t>
            </w:r>
          </w:p>
        </w:tc>
        <w:tc>
          <w:tcPr>
            <w:tcW w:w="850" w:type="dxa"/>
          </w:tcPr>
          <w:p w14:paraId="1DC1DEC8" w14:textId="77777777" w:rsidR="008B666D" w:rsidRPr="005F1F83" w:rsidRDefault="008B666D" w:rsidP="008B666D">
            <w:pPr>
              <w:pStyle w:val="TableText"/>
              <w:jc w:val="right"/>
              <w:rPr>
                <w:rFonts w:eastAsia="Calibri"/>
              </w:rPr>
            </w:pPr>
            <w:r w:rsidRPr="005F1F83">
              <w:rPr>
                <w:rFonts w:eastAsia="Calibri"/>
              </w:rPr>
              <w:t>9</w:t>
            </w:r>
          </w:p>
        </w:tc>
        <w:tc>
          <w:tcPr>
            <w:tcW w:w="851" w:type="dxa"/>
          </w:tcPr>
          <w:p w14:paraId="318C60AB" w14:textId="77777777" w:rsidR="008B666D" w:rsidRPr="005F1F83" w:rsidRDefault="008B666D" w:rsidP="008B666D">
            <w:pPr>
              <w:pStyle w:val="TableText"/>
              <w:jc w:val="right"/>
              <w:rPr>
                <w:rFonts w:eastAsia="Calibri"/>
              </w:rPr>
            </w:pPr>
            <w:r w:rsidRPr="005F1F83">
              <w:rPr>
                <w:rFonts w:eastAsia="Calibri"/>
              </w:rPr>
              <w:t>44</w:t>
            </w:r>
          </w:p>
        </w:tc>
        <w:tc>
          <w:tcPr>
            <w:tcW w:w="850" w:type="dxa"/>
          </w:tcPr>
          <w:p w14:paraId="71655AEE" w14:textId="77777777" w:rsidR="008B666D" w:rsidRPr="005F1F83" w:rsidRDefault="008B666D" w:rsidP="008B666D">
            <w:pPr>
              <w:pStyle w:val="TableText"/>
              <w:jc w:val="right"/>
              <w:rPr>
                <w:rFonts w:eastAsia="Calibri"/>
              </w:rPr>
            </w:pPr>
            <w:r w:rsidRPr="005F1F83">
              <w:rPr>
                <w:rFonts w:eastAsia="Calibri"/>
              </w:rPr>
              <w:t>0</w:t>
            </w:r>
          </w:p>
        </w:tc>
        <w:tc>
          <w:tcPr>
            <w:tcW w:w="851" w:type="dxa"/>
          </w:tcPr>
          <w:p w14:paraId="585E625B" w14:textId="77777777" w:rsidR="008B666D" w:rsidRPr="005F1F83" w:rsidRDefault="008B666D" w:rsidP="008B666D">
            <w:pPr>
              <w:pStyle w:val="TableText"/>
              <w:jc w:val="right"/>
              <w:rPr>
                <w:rFonts w:eastAsia="Calibri"/>
              </w:rPr>
            </w:pPr>
            <w:r w:rsidRPr="005F1F83">
              <w:rPr>
                <w:rFonts w:eastAsia="Calibri"/>
              </w:rPr>
              <w:t>0</w:t>
            </w:r>
          </w:p>
        </w:tc>
      </w:tr>
      <w:tr w:rsidR="008B666D" w:rsidRPr="005F1F83" w14:paraId="6DA21D9C" w14:textId="77777777" w:rsidTr="008B666D">
        <w:trPr>
          <w:trHeight w:val="20"/>
        </w:trPr>
        <w:tc>
          <w:tcPr>
            <w:tcW w:w="2972" w:type="dxa"/>
          </w:tcPr>
          <w:p w14:paraId="14151FEA" w14:textId="26801725" w:rsidR="008B666D" w:rsidRPr="00CD6572" w:rsidRDefault="008B666D" w:rsidP="008B666D">
            <w:pPr>
              <w:pStyle w:val="TableText"/>
              <w:rPr>
                <w:rFonts w:eastAsia="Calibri"/>
                <w:vertAlign w:val="superscript"/>
              </w:rPr>
            </w:pPr>
            <w:r w:rsidRPr="005F1F83">
              <w:rPr>
                <w:rFonts w:eastAsia="Calibri"/>
              </w:rPr>
              <w:t>National</w:t>
            </w:r>
            <w:r w:rsidRPr="005F1F83">
              <w:rPr>
                <w:rFonts w:eastAsia="Calibri"/>
                <w:vertAlign w:val="superscript"/>
              </w:rPr>
              <w:t>1</w:t>
            </w:r>
          </w:p>
        </w:tc>
        <w:tc>
          <w:tcPr>
            <w:tcW w:w="850" w:type="dxa"/>
          </w:tcPr>
          <w:p w14:paraId="0976143A" w14:textId="77777777" w:rsidR="008B666D" w:rsidRPr="005F1F83" w:rsidRDefault="008B666D" w:rsidP="008B666D">
            <w:pPr>
              <w:pStyle w:val="TableText"/>
              <w:jc w:val="right"/>
              <w:rPr>
                <w:rFonts w:eastAsia="Calibri"/>
              </w:rPr>
            </w:pPr>
          </w:p>
        </w:tc>
        <w:tc>
          <w:tcPr>
            <w:tcW w:w="851" w:type="dxa"/>
          </w:tcPr>
          <w:p w14:paraId="11F29BBD" w14:textId="77777777" w:rsidR="008B666D" w:rsidRPr="005F1F83" w:rsidRDefault="008B666D" w:rsidP="008B666D">
            <w:pPr>
              <w:pStyle w:val="TableText"/>
              <w:jc w:val="right"/>
              <w:rPr>
                <w:rFonts w:eastAsia="Calibri"/>
              </w:rPr>
            </w:pPr>
            <w:r w:rsidRPr="005F1F83">
              <w:rPr>
                <w:rFonts w:eastAsia="Calibri"/>
              </w:rPr>
              <w:t>4</w:t>
            </w:r>
          </w:p>
        </w:tc>
        <w:tc>
          <w:tcPr>
            <w:tcW w:w="850" w:type="dxa"/>
          </w:tcPr>
          <w:p w14:paraId="234D4AA6" w14:textId="77777777" w:rsidR="008B666D" w:rsidRPr="005F1F83" w:rsidRDefault="008B666D" w:rsidP="008B666D">
            <w:pPr>
              <w:pStyle w:val="TableText"/>
              <w:jc w:val="right"/>
              <w:rPr>
                <w:rFonts w:eastAsia="Calibri"/>
              </w:rPr>
            </w:pPr>
          </w:p>
        </w:tc>
        <w:tc>
          <w:tcPr>
            <w:tcW w:w="851" w:type="dxa"/>
          </w:tcPr>
          <w:p w14:paraId="6735837E" w14:textId="77777777" w:rsidR="008B666D" w:rsidRPr="005F1F83" w:rsidRDefault="008B666D" w:rsidP="008B666D">
            <w:pPr>
              <w:pStyle w:val="TableText"/>
              <w:jc w:val="right"/>
              <w:rPr>
                <w:rFonts w:eastAsia="Calibri"/>
              </w:rPr>
            </w:pPr>
            <w:r w:rsidRPr="005F1F83">
              <w:rPr>
                <w:rFonts w:eastAsia="Calibri"/>
              </w:rPr>
              <w:t>21</w:t>
            </w:r>
          </w:p>
        </w:tc>
        <w:tc>
          <w:tcPr>
            <w:tcW w:w="850" w:type="dxa"/>
          </w:tcPr>
          <w:p w14:paraId="0B0253AA" w14:textId="77777777" w:rsidR="008B666D" w:rsidRPr="005F1F83" w:rsidRDefault="008B666D" w:rsidP="008B666D">
            <w:pPr>
              <w:pStyle w:val="TableText"/>
              <w:jc w:val="right"/>
              <w:rPr>
                <w:rFonts w:eastAsia="Calibri"/>
              </w:rPr>
            </w:pPr>
          </w:p>
        </w:tc>
        <w:tc>
          <w:tcPr>
            <w:tcW w:w="851" w:type="dxa"/>
          </w:tcPr>
          <w:p w14:paraId="735060E5" w14:textId="77777777" w:rsidR="008B666D" w:rsidRPr="005F1F83" w:rsidRDefault="008B666D" w:rsidP="008B666D">
            <w:pPr>
              <w:pStyle w:val="TableText"/>
              <w:jc w:val="right"/>
              <w:rPr>
                <w:rFonts w:eastAsia="Calibri"/>
              </w:rPr>
            </w:pPr>
            <w:r w:rsidRPr="005F1F83">
              <w:rPr>
                <w:rFonts w:eastAsia="Calibri"/>
              </w:rPr>
              <w:t>0</w:t>
            </w:r>
          </w:p>
        </w:tc>
      </w:tr>
    </w:tbl>
    <w:p w14:paraId="7F56E394" w14:textId="2905F527" w:rsidR="008B666D" w:rsidRPr="005F1F83" w:rsidRDefault="008B666D" w:rsidP="00693B34">
      <w:pPr>
        <w:pStyle w:val="Note"/>
        <w:rPr>
          <w:rFonts w:eastAsia="Calibri"/>
          <w:lang w:eastAsia="en-US"/>
        </w:rPr>
      </w:pPr>
      <w:r w:rsidRPr="005F1F83">
        <w:rPr>
          <w:rFonts w:eastAsia="Calibri"/>
          <w:lang w:eastAsia="en-US"/>
        </w:rPr>
        <w:t xml:space="preserve">Note: </w:t>
      </w:r>
      <w:r w:rsidRPr="00CD6572">
        <w:rPr>
          <w:rFonts w:eastAsia="Calibri"/>
          <w:vertAlign w:val="superscript"/>
          <w:lang w:eastAsia="en-US"/>
        </w:rPr>
        <w:t>1</w:t>
      </w:r>
      <w:r w:rsidRPr="005F1F83">
        <w:rPr>
          <w:rFonts w:eastAsia="Calibri"/>
          <w:lang w:eastAsia="en-US"/>
        </w:rPr>
        <w:t xml:space="preserve"> ‘National’ refers to the national </w:t>
      </w:r>
      <w:r>
        <w:rPr>
          <w:rFonts w:eastAsia="Calibri"/>
          <w:lang w:eastAsia="en-US"/>
        </w:rPr>
        <w:t xml:space="preserve">abortion </w:t>
      </w:r>
      <w:r w:rsidRPr="005F1F83">
        <w:rPr>
          <w:rFonts w:eastAsia="Calibri"/>
          <w:lang w:eastAsia="en-US"/>
        </w:rPr>
        <w:t>telehealth service, DECIDE.</w:t>
      </w:r>
    </w:p>
    <w:p w14:paraId="7EB15BCB" w14:textId="77777777" w:rsidR="008B666D" w:rsidRPr="008B666D" w:rsidRDefault="008B666D" w:rsidP="008B666D"/>
    <w:p w14:paraId="34442E8E" w14:textId="6F2F484C" w:rsidR="002A6BB1" w:rsidRPr="005F1F83" w:rsidRDefault="002A6BB1" w:rsidP="002A6BB1">
      <w:pPr>
        <w:rPr>
          <w:rFonts w:eastAsia="Calibri"/>
          <w:lang w:eastAsia="en-US"/>
        </w:rPr>
      </w:pPr>
      <w:r w:rsidRPr="005F1F83">
        <w:rPr>
          <w:rFonts w:eastAsia="Calibri"/>
          <w:lang w:eastAsia="en-US"/>
        </w:rPr>
        <w:t xml:space="preserve">The availability of different types of facilities offering services has also increased following the changes to the </w:t>
      </w:r>
      <w:r>
        <w:rPr>
          <w:rFonts w:eastAsia="Calibri"/>
          <w:lang w:eastAsia="en-US"/>
        </w:rPr>
        <w:t xml:space="preserve">CSA </w:t>
      </w:r>
      <w:r w:rsidRPr="005F1F83">
        <w:rPr>
          <w:rFonts w:eastAsia="Calibri"/>
          <w:lang w:eastAsia="en-US"/>
        </w:rPr>
        <w:t>Act. Specifically, fewer abortions were provided in hospital settings across all regions, with an observed increase in community-based provision (</w:t>
      </w:r>
      <w:r>
        <w:rPr>
          <w:rFonts w:eastAsia="Calibri"/>
          <w:lang w:eastAsia="en-US"/>
        </w:rPr>
        <w:fldChar w:fldCharType="begin"/>
      </w:r>
      <w:r>
        <w:rPr>
          <w:rFonts w:eastAsia="Calibri"/>
          <w:lang w:eastAsia="en-US"/>
        </w:rPr>
        <w:instrText xml:space="preserve"> REF _Ref192338089 \h  \* MERGEFORMAT </w:instrText>
      </w:r>
      <w:r>
        <w:rPr>
          <w:rFonts w:eastAsia="Calibri"/>
          <w:lang w:eastAsia="en-US"/>
        </w:rPr>
      </w:r>
      <w:r>
        <w:rPr>
          <w:rFonts w:eastAsia="Calibri"/>
          <w:lang w:eastAsia="en-US"/>
        </w:rPr>
        <w:fldChar w:fldCharType="separate"/>
      </w:r>
      <w:r w:rsidR="00974F51" w:rsidRPr="005F1F83">
        <w:rPr>
          <w:rFonts w:eastAsia="Calibri"/>
          <w:lang w:eastAsia="en-US"/>
        </w:rPr>
        <w:t xml:space="preserve">Table </w:t>
      </w:r>
      <w:r w:rsidR="00974F51">
        <w:rPr>
          <w:rFonts w:eastAsia="Calibri"/>
          <w:lang w:eastAsia="en-US"/>
        </w:rPr>
        <w:t>5</w:t>
      </w:r>
      <w:r>
        <w:rPr>
          <w:rFonts w:eastAsia="Calibri"/>
          <w:lang w:eastAsia="en-US"/>
        </w:rPr>
        <w:fldChar w:fldCharType="end"/>
      </w:r>
      <w:r w:rsidRPr="005F1F83">
        <w:rPr>
          <w:rFonts w:eastAsia="Calibri"/>
          <w:lang w:eastAsia="en-US"/>
        </w:rPr>
        <w:t>). The increases in the</w:t>
      </w:r>
      <w:r>
        <w:rPr>
          <w:rFonts w:eastAsia="Calibri"/>
          <w:lang w:eastAsia="en-US"/>
        </w:rPr>
        <w:t xml:space="preserve"> size of the</w:t>
      </w:r>
      <w:r w:rsidRPr="005F1F83">
        <w:rPr>
          <w:rFonts w:eastAsia="Calibri"/>
          <w:lang w:eastAsia="en-US"/>
        </w:rPr>
        <w:t xml:space="preserve"> abortion workforce, community-based in-person services, and the availability of national and regional telehealth EMA services demonstrate how services have become more accessible. This greater accessibility is likely to have contributed to the increase in abortions each year following law reform, as well as the decrease in duration of gestation at the time of abortion. </w:t>
      </w:r>
    </w:p>
    <w:p w14:paraId="7AE64373" w14:textId="6EB689D6" w:rsidR="00654552" w:rsidRDefault="00654552" w:rsidP="00CC19AA"/>
    <w:p w14:paraId="26544190" w14:textId="081080B9" w:rsidR="00654552" w:rsidRPr="005F1F83" w:rsidRDefault="00654552" w:rsidP="00CD6572">
      <w:pPr>
        <w:pStyle w:val="Table"/>
        <w:rPr>
          <w:rFonts w:eastAsia="Calibri"/>
          <w:lang w:eastAsia="en-US"/>
        </w:rPr>
      </w:pPr>
      <w:bookmarkStart w:id="63" w:name="_Ref192338089"/>
      <w:bookmarkStart w:id="64" w:name="_Toc192349327"/>
      <w:bookmarkStart w:id="65" w:name="_Toc195016598"/>
      <w:r w:rsidRPr="005F1F83">
        <w:rPr>
          <w:rFonts w:eastAsia="Calibri"/>
          <w:lang w:eastAsia="en-US"/>
        </w:rPr>
        <w:t xml:space="preserve">Table </w:t>
      </w:r>
      <w:r w:rsidRPr="005F1F83">
        <w:rPr>
          <w:rFonts w:eastAsia="Calibri"/>
          <w:lang w:eastAsia="en-US"/>
        </w:rPr>
        <w:fldChar w:fldCharType="begin"/>
      </w:r>
      <w:r w:rsidRPr="005F1F83">
        <w:rPr>
          <w:rFonts w:eastAsia="Calibri"/>
          <w:lang w:eastAsia="en-US"/>
        </w:rPr>
        <w:instrText xml:space="preserve"> SEQ Table \* ARABIC </w:instrText>
      </w:r>
      <w:r w:rsidRPr="005F1F83">
        <w:rPr>
          <w:rFonts w:eastAsia="Calibri"/>
          <w:lang w:eastAsia="en-US"/>
        </w:rPr>
        <w:fldChar w:fldCharType="separate"/>
      </w:r>
      <w:r w:rsidR="00974F51">
        <w:rPr>
          <w:rFonts w:eastAsia="Calibri"/>
          <w:noProof/>
          <w:lang w:eastAsia="en-US"/>
        </w:rPr>
        <w:t>5</w:t>
      </w:r>
      <w:r w:rsidRPr="005F1F83">
        <w:rPr>
          <w:rFonts w:eastAsia="Calibri"/>
          <w:lang w:eastAsia="en-US"/>
        </w:rPr>
        <w:fldChar w:fldCharType="end"/>
      </w:r>
      <w:bookmarkEnd w:id="63"/>
      <w:r w:rsidRPr="005F1F83">
        <w:rPr>
          <w:rFonts w:eastAsia="Calibri"/>
          <w:lang w:eastAsia="en-US"/>
        </w:rPr>
        <w:t>: Number of abortions by provider type and region of service, 2020 and 2024</w:t>
      </w:r>
      <w:bookmarkEnd w:id="64"/>
      <w:bookmarkEnd w:id="65"/>
      <w:r w:rsidRPr="005F1F83">
        <w:rPr>
          <w:rFonts w:eastAsia="Calibri"/>
          <w:lang w:eastAsia="en-US"/>
        </w:rPr>
        <w:t xml:space="preserve"> </w:t>
      </w:r>
    </w:p>
    <w:tbl>
      <w:tblPr>
        <w:tblStyle w:val="TableGrid"/>
        <w:tblW w:w="8369"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2127"/>
        <w:gridCol w:w="669"/>
        <w:gridCol w:w="669"/>
        <w:gridCol w:w="760"/>
        <w:gridCol w:w="760"/>
        <w:gridCol w:w="696"/>
        <w:gridCol w:w="982"/>
        <w:gridCol w:w="709"/>
        <w:gridCol w:w="997"/>
      </w:tblGrid>
      <w:tr w:rsidR="00693B34" w:rsidRPr="005F1F83" w14:paraId="03365905" w14:textId="77777777" w:rsidTr="00693B34">
        <w:tc>
          <w:tcPr>
            <w:tcW w:w="2127" w:type="dxa"/>
            <w:vMerge w:val="restart"/>
            <w:tcBorders>
              <w:top w:val="nil"/>
              <w:bottom w:val="nil"/>
            </w:tcBorders>
            <w:shd w:val="clear" w:color="auto" w:fill="D9D9D9" w:themeFill="background1" w:themeFillShade="D9"/>
          </w:tcPr>
          <w:p w14:paraId="09640A42" w14:textId="77777777" w:rsidR="00654552" w:rsidRPr="00693B34" w:rsidRDefault="00654552" w:rsidP="00654552">
            <w:pPr>
              <w:pStyle w:val="TableText"/>
              <w:rPr>
                <w:rFonts w:eastAsia="Calibri"/>
                <w:b/>
                <w:bCs/>
                <w:lang w:eastAsia="en-US"/>
              </w:rPr>
            </w:pPr>
            <w:r w:rsidRPr="00693B34">
              <w:rPr>
                <w:rFonts w:eastAsia="Calibri"/>
                <w:b/>
                <w:bCs/>
                <w:lang w:eastAsia="en-US"/>
              </w:rPr>
              <w:t>Provider type</w:t>
            </w:r>
            <w:r w:rsidRPr="00693B34">
              <w:rPr>
                <w:rFonts w:asciiTheme="minorHAnsi" w:hAnsiTheme="minorHAnsi" w:cstheme="minorHAnsi"/>
                <w:b/>
                <w:bCs/>
                <w:sz w:val="22"/>
                <w:szCs w:val="22"/>
                <w:vertAlign w:val="superscript"/>
              </w:rPr>
              <w:t>1</w:t>
            </w:r>
          </w:p>
        </w:tc>
        <w:tc>
          <w:tcPr>
            <w:tcW w:w="0" w:type="auto"/>
            <w:gridSpan w:val="2"/>
            <w:tcBorders>
              <w:top w:val="nil"/>
              <w:bottom w:val="nil"/>
            </w:tcBorders>
            <w:shd w:val="clear" w:color="auto" w:fill="D9D9D9" w:themeFill="background1" w:themeFillShade="D9"/>
          </w:tcPr>
          <w:p w14:paraId="7B6922CE" w14:textId="6A9B5B39" w:rsidR="00654552" w:rsidRPr="00693B34" w:rsidRDefault="00654552" w:rsidP="00693B34">
            <w:pPr>
              <w:pStyle w:val="TableText"/>
              <w:jc w:val="center"/>
              <w:rPr>
                <w:rFonts w:eastAsia="Calibri"/>
                <w:b/>
                <w:bCs/>
              </w:rPr>
            </w:pPr>
            <w:proofErr w:type="spellStart"/>
            <w:r w:rsidRPr="00693B34">
              <w:rPr>
                <w:rFonts w:eastAsia="Calibri"/>
                <w:b/>
                <w:bCs/>
              </w:rPr>
              <w:t>Te</w:t>
            </w:r>
            <w:proofErr w:type="spellEnd"/>
            <w:r w:rsidRPr="00693B34">
              <w:rPr>
                <w:rFonts w:eastAsia="Calibri"/>
                <w:b/>
                <w:bCs/>
              </w:rPr>
              <w:t xml:space="preserve"> </w:t>
            </w:r>
            <w:proofErr w:type="spellStart"/>
            <w:r w:rsidRPr="00693B34">
              <w:rPr>
                <w:rFonts w:eastAsia="Calibri"/>
                <w:b/>
                <w:bCs/>
              </w:rPr>
              <w:t>Ikaroa</w:t>
            </w:r>
            <w:proofErr w:type="spellEnd"/>
            <w:r w:rsidRPr="00693B34">
              <w:rPr>
                <w:rFonts w:eastAsia="Calibri"/>
                <w:b/>
                <w:bCs/>
              </w:rPr>
              <w:br/>
              <w:t>(Central)</w:t>
            </w:r>
          </w:p>
        </w:tc>
        <w:tc>
          <w:tcPr>
            <w:tcW w:w="0" w:type="auto"/>
            <w:gridSpan w:val="2"/>
            <w:tcBorders>
              <w:top w:val="nil"/>
              <w:bottom w:val="nil"/>
            </w:tcBorders>
            <w:shd w:val="clear" w:color="auto" w:fill="D9D9D9" w:themeFill="background1" w:themeFillShade="D9"/>
          </w:tcPr>
          <w:p w14:paraId="5C54021C" w14:textId="65078839" w:rsidR="00654552" w:rsidRPr="00693B34" w:rsidRDefault="00654552" w:rsidP="00693B34">
            <w:pPr>
              <w:pStyle w:val="TableText"/>
              <w:jc w:val="center"/>
              <w:rPr>
                <w:rFonts w:eastAsia="Calibri"/>
                <w:b/>
                <w:bCs/>
              </w:rPr>
            </w:pPr>
            <w:proofErr w:type="spellStart"/>
            <w:r w:rsidRPr="00693B34">
              <w:rPr>
                <w:rFonts w:eastAsia="Calibri"/>
                <w:b/>
                <w:bCs/>
              </w:rPr>
              <w:t>Te</w:t>
            </w:r>
            <w:proofErr w:type="spellEnd"/>
            <w:r w:rsidRPr="00693B34">
              <w:rPr>
                <w:rFonts w:eastAsia="Calibri"/>
                <w:b/>
                <w:bCs/>
              </w:rPr>
              <w:t xml:space="preserve"> Tai </w:t>
            </w:r>
            <w:proofErr w:type="spellStart"/>
            <w:r w:rsidRPr="00693B34">
              <w:rPr>
                <w:rFonts w:eastAsia="Calibri"/>
                <w:b/>
                <w:bCs/>
              </w:rPr>
              <w:t>Tokerau</w:t>
            </w:r>
            <w:proofErr w:type="spellEnd"/>
            <w:r w:rsidRPr="00693B34">
              <w:rPr>
                <w:rFonts w:eastAsia="Calibri"/>
                <w:b/>
                <w:bCs/>
              </w:rPr>
              <w:br/>
              <w:t>(Northern)</w:t>
            </w:r>
          </w:p>
        </w:tc>
        <w:tc>
          <w:tcPr>
            <w:tcW w:w="1652" w:type="dxa"/>
            <w:gridSpan w:val="2"/>
            <w:tcBorders>
              <w:top w:val="nil"/>
              <w:bottom w:val="nil"/>
            </w:tcBorders>
            <w:shd w:val="clear" w:color="auto" w:fill="D9D9D9" w:themeFill="background1" w:themeFillShade="D9"/>
          </w:tcPr>
          <w:p w14:paraId="79F1CD33" w14:textId="6D01EFD6" w:rsidR="00654552" w:rsidRPr="00693B34" w:rsidRDefault="00654552" w:rsidP="00693B34">
            <w:pPr>
              <w:pStyle w:val="TableText"/>
              <w:jc w:val="center"/>
              <w:rPr>
                <w:rFonts w:eastAsia="Calibri"/>
                <w:b/>
                <w:bCs/>
              </w:rPr>
            </w:pPr>
            <w:proofErr w:type="spellStart"/>
            <w:r w:rsidRPr="00693B34">
              <w:rPr>
                <w:rFonts w:eastAsia="Calibri"/>
                <w:b/>
                <w:bCs/>
              </w:rPr>
              <w:t>Te</w:t>
            </w:r>
            <w:proofErr w:type="spellEnd"/>
            <w:r w:rsidRPr="00693B34">
              <w:rPr>
                <w:rFonts w:eastAsia="Calibri"/>
                <w:b/>
                <w:bCs/>
              </w:rPr>
              <w:t xml:space="preserve"> Manawa Taki</w:t>
            </w:r>
            <w:r w:rsidRPr="00693B34">
              <w:rPr>
                <w:rFonts w:eastAsia="Calibri"/>
                <w:b/>
                <w:bCs/>
              </w:rPr>
              <w:br/>
              <w:t>(Midland)</w:t>
            </w:r>
          </w:p>
        </w:tc>
        <w:tc>
          <w:tcPr>
            <w:tcW w:w="1706" w:type="dxa"/>
            <w:gridSpan w:val="2"/>
            <w:tcBorders>
              <w:top w:val="nil"/>
              <w:bottom w:val="nil"/>
            </w:tcBorders>
            <w:shd w:val="clear" w:color="auto" w:fill="D9D9D9" w:themeFill="background1" w:themeFillShade="D9"/>
          </w:tcPr>
          <w:p w14:paraId="3492EA61" w14:textId="7E5ACB9E" w:rsidR="00654552" w:rsidRPr="00693B34" w:rsidRDefault="00654552" w:rsidP="00693B34">
            <w:pPr>
              <w:pStyle w:val="TableText"/>
              <w:jc w:val="center"/>
              <w:rPr>
                <w:rFonts w:eastAsia="Calibri"/>
                <w:b/>
                <w:bCs/>
              </w:rPr>
            </w:pPr>
            <w:proofErr w:type="spellStart"/>
            <w:r w:rsidRPr="00693B34">
              <w:rPr>
                <w:rFonts w:eastAsia="Calibri"/>
                <w:b/>
                <w:bCs/>
              </w:rPr>
              <w:t>Te</w:t>
            </w:r>
            <w:proofErr w:type="spellEnd"/>
            <w:r w:rsidRPr="00693B34">
              <w:rPr>
                <w:rFonts w:eastAsia="Calibri"/>
                <w:b/>
                <w:bCs/>
              </w:rPr>
              <w:t xml:space="preserve"> Waipounamu</w:t>
            </w:r>
            <w:r w:rsidRPr="00693B34">
              <w:rPr>
                <w:rFonts w:eastAsia="Calibri"/>
                <w:b/>
                <w:bCs/>
              </w:rPr>
              <w:br/>
              <w:t>(Southern)</w:t>
            </w:r>
          </w:p>
        </w:tc>
      </w:tr>
      <w:tr w:rsidR="00693B34" w:rsidRPr="005F1F83" w14:paraId="726FA1E6" w14:textId="77777777" w:rsidTr="00693B34">
        <w:trPr>
          <w:trHeight w:val="272"/>
        </w:trPr>
        <w:tc>
          <w:tcPr>
            <w:tcW w:w="2127" w:type="dxa"/>
            <w:vMerge/>
            <w:tcBorders>
              <w:top w:val="nil"/>
              <w:bottom w:val="nil"/>
            </w:tcBorders>
            <w:shd w:val="clear" w:color="auto" w:fill="D9D9D9" w:themeFill="background1" w:themeFillShade="D9"/>
          </w:tcPr>
          <w:p w14:paraId="5701B6C2" w14:textId="77777777" w:rsidR="00654552" w:rsidRPr="00693B34" w:rsidRDefault="00654552" w:rsidP="00654552">
            <w:pPr>
              <w:pStyle w:val="TableText"/>
              <w:rPr>
                <w:rFonts w:asciiTheme="minorHAnsi" w:eastAsia="Calibri" w:hAnsiTheme="minorHAnsi" w:cstheme="minorHAnsi"/>
                <w:b/>
                <w:bCs/>
                <w:sz w:val="22"/>
                <w:szCs w:val="22"/>
                <w:lang w:eastAsia="en-US"/>
              </w:rPr>
            </w:pPr>
          </w:p>
        </w:tc>
        <w:tc>
          <w:tcPr>
            <w:tcW w:w="0" w:type="auto"/>
            <w:tcBorders>
              <w:top w:val="nil"/>
              <w:bottom w:val="nil"/>
            </w:tcBorders>
            <w:shd w:val="clear" w:color="auto" w:fill="D9D9D9" w:themeFill="background1" w:themeFillShade="D9"/>
          </w:tcPr>
          <w:p w14:paraId="77CD152E" w14:textId="77777777" w:rsidR="00654552" w:rsidRPr="00693B34" w:rsidRDefault="00654552" w:rsidP="00693B34">
            <w:pPr>
              <w:pStyle w:val="TableText"/>
              <w:jc w:val="center"/>
              <w:rPr>
                <w:rFonts w:eastAsia="Calibri"/>
                <w:b/>
                <w:bCs/>
              </w:rPr>
            </w:pPr>
            <w:r w:rsidRPr="00693B34">
              <w:rPr>
                <w:rFonts w:eastAsia="Calibri"/>
                <w:b/>
                <w:bCs/>
              </w:rPr>
              <w:t>2020</w:t>
            </w:r>
          </w:p>
        </w:tc>
        <w:tc>
          <w:tcPr>
            <w:tcW w:w="0" w:type="auto"/>
            <w:tcBorders>
              <w:top w:val="nil"/>
              <w:bottom w:val="nil"/>
            </w:tcBorders>
            <w:shd w:val="clear" w:color="auto" w:fill="D9D9D9" w:themeFill="background1" w:themeFillShade="D9"/>
          </w:tcPr>
          <w:p w14:paraId="11B27B5A" w14:textId="77777777" w:rsidR="00654552" w:rsidRPr="00693B34" w:rsidRDefault="00654552" w:rsidP="00693B34">
            <w:pPr>
              <w:pStyle w:val="TableText"/>
              <w:jc w:val="center"/>
              <w:rPr>
                <w:rFonts w:eastAsia="Calibri"/>
                <w:b/>
                <w:bCs/>
              </w:rPr>
            </w:pPr>
            <w:r w:rsidRPr="00693B34">
              <w:rPr>
                <w:rFonts w:eastAsia="Calibri"/>
                <w:b/>
                <w:bCs/>
              </w:rPr>
              <w:t>2024</w:t>
            </w:r>
          </w:p>
        </w:tc>
        <w:tc>
          <w:tcPr>
            <w:tcW w:w="0" w:type="auto"/>
            <w:tcBorders>
              <w:top w:val="nil"/>
              <w:bottom w:val="nil"/>
            </w:tcBorders>
            <w:shd w:val="clear" w:color="auto" w:fill="D9D9D9" w:themeFill="background1" w:themeFillShade="D9"/>
          </w:tcPr>
          <w:p w14:paraId="0732E611" w14:textId="77777777" w:rsidR="00654552" w:rsidRPr="00693B34" w:rsidRDefault="00654552" w:rsidP="00693B34">
            <w:pPr>
              <w:pStyle w:val="TableText"/>
              <w:jc w:val="center"/>
              <w:rPr>
                <w:rFonts w:eastAsia="Calibri"/>
                <w:b/>
                <w:bCs/>
              </w:rPr>
            </w:pPr>
            <w:r w:rsidRPr="00693B34">
              <w:rPr>
                <w:rFonts w:eastAsia="Calibri"/>
                <w:b/>
                <w:bCs/>
              </w:rPr>
              <w:t>2020</w:t>
            </w:r>
          </w:p>
        </w:tc>
        <w:tc>
          <w:tcPr>
            <w:tcW w:w="0" w:type="auto"/>
            <w:tcBorders>
              <w:top w:val="nil"/>
              <w:bottom w:val="nil"/>
            </w:tcBorders>
            <w:shd w:val="clear" w:color="auto" w:fill="D9D9D9" w:themeFill="background1" w:themeFillShade="D9"/>
          </w:tcPr>
          <w:p w14:paraId="46B0E0C2" w14:textId="77777777" w:rsidR="00654552" w:rsidRPr="00693B34" w:rsidRDefault="00654552" w:rsidP="00693B34">
            <w:pPr>
              <w:pStyle w:val="TableText"/>
              <w:jc w:val="center"/>
              <w:rPr>
                <w:rFonts w:eastAsia="Calibri"/>
                <w:b/>
                <w:bCs/>
              </w:rPr>
            </w:pPr>
            <w:r w:rsidRPr="00693B34">
              <w:rPr>
                <w:rFonts w:eastAsia="Calibri"/>
                <w:b/>
                <w:bCs/>
              </w:rPr>
              <w:t>2024</w:t>
            </w:r>
          </w:p>
        </w:tc>
        <w:tc>
          <w:tcPr>
            <w:tcW w:w="0" w:type="auto"/>
            <w:tcBorders>
              <w:top w:val="nil"/>
              <w:bottom w:val="nil"/>
            </w:tcBorders>
            <w:shd w:val="clear" w:color="auto" w:fill="D9D9D9" w:themeFill="background1" w:themeFillShade="D9"/>
          </w:tcPr>
          <w:p w14:paraId="0AAB505E" w14:textId="77777777" w:rsidR="00654552" w:rsidRPr="00693B34" w:rsidRDefault="00654552" w:rsidP="00693B34">
            <w:pPr>
              <w:pStyle w:val="TableText"/>
              <w:jc w:val="center"/>
              <w:rPr>
                <w:rFonts w:eastAsia="Calibri"/>
                <w:b/>
                <w:bCs/>
              </w:rPr>
            </w:pPr>
            <w:r w:rsidRPr="00693B34">
              <w:rPr>
                <w:rFonts w:eastAsia="Calibri"/>
                <w:b/>
                <w:bCs/>
              </w:rPr>
              <w:t>2020</w:t>
            </w:r>
          </w:p>
        </w:tc>
        <w:tc>
          <w:tcPr>
            <w:tcW w:w="943" w:type="dxa"/>
            <w:tcBorders>
              <w:top w:val="nil"/>
              <w:bottom w:val="nil"/>
            </w:tcBorders>
            <w:shd w:val="clear" w:color="auto" w:fill="D9D9D9" w:themeFill="background1" w:themeFillShade="D9"/>
          </w:tcPr>
          <w:p w14:paraId="6936CA1D" w14:textId="77777777" w:rsidR="00654552" w:rsidRPr="00693B34" w:rsidRDefault="00654552" w:rsidP="00693B34">
            <w:pPr>
              <w:pStyle w:val="TableText"/>
              <w:jc w:val="center"/>
              <w:rPr>
                <w:rFonts w:eastAsia="Calibri"/>
                <w:b/>
                <w:bCs/>
              </w:rPr>
            </w:pPr>
            <w:r w:rsidRPr="00693B34">
              <w:rPr>
                <w:rFonts w:eastAsia="Calibri"/>
                <w:b/>
                <w:bCs/>
              </w:rPr>
              <w:t>2024</w:t>
            </w:r>
          </w:p>
        </w:tc>
        <w:tc>
          <w:tcPr>
            <w:tcW w:w="709" w:type="dxa"/>
            <w:tcBorders>
              <w:top w:val="nil"/>
              <w:bottom w:val="nil"/>
            </w:tcBorders>
            <w:shd w:val="clear" w:color="auto" w:fill="D9D9D9" w:themeFill="background1" w:themeFillShade="D9"/>
          </w:tcPr>
          <w:p w14:paraId="75F49B90" w14:textId="77777777" w:rsidR="00654552" w:rsidRPr="00693B34" w:rsidRDefault="00654552" w:rsidP="00693B34">
            <w:pPr>
              <w:pStyle w:val="TableText"/>
              <w:jc w:val="center"/>
              <w:rPr>
                <w:rFonts w:eastAsia="Calibri"/>
                <w:b/>
                <w:bCs/>
              </w:rPr>
            </w:pPr>
            <w:r w:rsidRPr="00693B34">
              <w:rPr>
                <w:rFonts w:eastAsia="Calibri"/>
                <w:b/>
                <w:bCs/>
              </w:rPr>
              <w:t>2020</w:t>
            </w:r>
          </w:p>
        </w:tc>
        <w:tc>
          <w:tcPr>
            <w:tcW w:w="997" w:type="dxa"/>
            <w:tcBorders>
              <w:top w:val="nil"/>
              <w:bottom w:val="nil"/>
            </w:tcBorders>
            <w:shd w:val="clear" w:color="auto" w:fill="D9D9D9" w:themeFill="background1" w:themeFillShade="D9"/>
          </w:tcPr>
          <w:p w14:paraId="4400EC22" w14:textId="77777777" w:rsidR="00654552" w:rsidRPr="00693B34" w:rsidRDefault="00654552" w:rsidP="00693B34">
            <w:pPr>
              <w:pStyle w:val="TableText"/>
              <w:jc w:val="center"/>
              <w:rPr>
                <w:rFonts w:eastAsia="Calibri"/>
                <w:b/>
                <w:bCs/>
              </w:rPr>
            </w:pPr>
            <w:r w:rsidRPr="00693B34">
              <w:rPr>
                <w:rFonts w:eastAsia="Calibri"/>
                <w:b/>
                <w:bCs/>
              </w:rPr>
              <w:t>2024</w:t>
            </w:r>
          </w:p>
        </w:tc>
      </w:tr>
      <w:tr w:rsidR="00693B34" w:rsidRPr="005F1F83" w14:paraId="56B70686" w14:textId="77777777" w:rsidTr="00693B34">
        <w:trPr>
          <w:trHeight w:val="211"/>
        </w:trPr>
        <w:tc>
          <w:tcPr>
            <w:tcW w:w="2127" w:type="dxa"/>
            <w:tcBorders>
              <w:top w:val="nil"/>
            </w:tcBorders>
          </w:tcPr>
          <w:p w14:paraId="3FA2F4AF" w14:textId="77777777" w:rsidR="00654552" w:rsidRPr="005F1F83" w:rsidRDefault="00654552" w:rsidP="00654552">
            <w:pPr>
              <w:pStyle w:val="TableText"/>
              <w:rPr>
                <w:rFonts w:eastAsia="Calibri"/>
              </w:rPr>
            </w:pPr>
            <w:r w:rsidRPr="005F1F83">
              <w:t>Hospital</w:t>
            </w:r>
          </w:p>
        </w:tc>
        <w:tc>
          <w:tcPr>
            <w:tcW w:w="0" w:type="auto"/>
            <w:tcBorders>
              <w:top w:val="nil"/>
            </w:tcBorders>
          </w:tcPr>
          <w:p w14:paraId="6991A86D" w14:textId="77777777" w:rsidR="00654552" w:rsidRPr="005F1F83" w:rsidRDefault="00654552" w:rsidP="00693B34">
            <w:pPr>
              <w:pStyle w:val="TableText"/>
              <w:jc w:val="center"/>
              <w:rPr>
                <w:rFonts w:eastAsia="Calibri"/>
              </w:rPr>
            </w:pPr>
            <w:r w:rsidRPr="005F1F83">
              <w:rPr>
                <w:rFonts w:eastAsia="Calibri"/>
              </w:rPr>
              <w:t>1,683</w:t>
            </w:r>
          </w:p>
        </w:tc>
        <w:tc>
          <w:tcPr>
            <w:tcW w:w="0" w:type="auto"/>
            <w:tcBorders>
              <w:top w:val="nil"/>
            </w:tcBorders>
          </w:tcPr>
          <w:p w14:paraId="13F7490C" w14:textId="77777777" w:rsidR="00654552" w:rsidRPr="005F1F83" w:rsidRDefault="00654552" w:rsidP="00693B34">
            <w:pPr>
              <w:pStyle w:val="TableText"/>
              <w:jc w:val="center"/>
              <w:rPr>
                <w:rFonts w:eastAsia="Calibri"/>
              </w:rPr>
            </w:pPr>
            <w:r w:rsidRPr="005F1F83">
              <w:t>1,354</w:t>
            </w:r>
          </w:p>
        </w:tc>
        <w:tc>
          <w:tcPr>
            <w:tcW w:w="0" w:type="auto"/>
            <w:tcBorders>
              <w:top w:val="nil"/>
            </w:tcBorders>
          </w:tcPr>
          <w:p w14:paraId="10BA16F9" w14:textId="77777777" w:rsidR="00654552" w:rsidRPr="005F1F83" w:rsidRDefault="00654552" w:rsidP="00693B34">
            <w:pPr>
              <w:pStyle w:val="TableText"/>
              <w:jc w:val="center"/>
              <w:rPr>
                <w:rFonts w:eastAsia="Calibri"/>
              </w:rPr>
            </w:pPr>
            <w:r w:rsidRPr="005F1F83">
              <w:rPr>
                <w:rFonts w:eastAsia="Calibri"/>
              </w:rPr>
              <w:t>4,511</w:t>
            </w:r>
          </w:p>
        </w:tc>
        <w:tc>
          <w:tcPr>
            <w:tcW w:w="0" w:type="auto"/>
            <w:tcBorders>
              <w:top w:val="nil"/>
            </w:tcBorders>
          </w:tcPr>
          <w:p w14:paraId="4E0FF81E" w14:textId="77777777" w:rsidR="00654552" w:rsidRPr="005F1F83" w:rsidRDefault="00654552" w:rsidP="00693B34">
            <w:pPr>
              <w:pStyle w:val="TableText"/>
              <w:jc w:val="center"/>
              <w:rPr>
                <w:rFonts w:eastAsia="Calibri"/>
              </w:rPr>
            </w:pPr>
            <w:r w:rsidRPr="005F1F83">
              <w:t>3,275</w:t>
            </w:r>
          </w:p>
        </w:tc>
        <w:tc>
          <w:tcPr>
            <w:tcW w:w="0" w:type="auto"/>
            <w:tcBorders>
              <w:top w:val="nil"/>
            </w:tcBorders>
          </w:tcPr>
          <w:p w14:paraId="55AE7070" w14:textId="77777777" w:rsidR="00654552" w:rsidRPr="005F1F83" w:rsidRDefault="00654552" w:rsidP="00693B34">
            <w:pPr>
              <w:pStyle w:val="TableText"/>
              <w:jc w:val="center"/>
              <w:rPr>
                <w:rFonts w:eastAsia="Calibri"/>
              </w:rPr>
            </w:pPr>
            <w:r w:rsidRPr="005F1F83">
              <w:rPr>
                <w:rFonts w:eastAsia="Calibri"/>
              </w:rPr>
              <w:t>1,849</w:t>
            </w:r>
          </w:p>
        </w:tc>
        <w:tc>
          <w:tcPr>
            <w:tcW w:w="943" w:type="dxa"/>
            <w:tcBorders>
              <w:top w:val="nil"/>
            </w:tcBorders>
          </w:tcPr>
          <w:p w14:paraId="201C54DA" w14:textId="77777777" w:rsidR="00654552" w:rsidRPr="005F1F83" w:rsidRDefault="00654552" w:rsidP="00693B34">
            <w:pPr>
              <w:pStyle w:val="TableText"/>
              <w:jc w:val="center"/>
              <w:rPr>
                <w:rFonts w:eastAsia="Calibri"/>
              </w:rPr>
            </w:pPr>
            <w:r w:rsidRPr="005F1F83">
              <w:t>1,314</w:t>
            </w:r>
          </w:p>
        </w:tc>
        <w:tc>
          <w:tcPr>
            <w:tcW w:w="709" w:type="dxa"/>
            <w:tcBorders>
              <w:top w:val="nil"/>
            </w:tcBorders>
          </w:tcPr>
          <w:p w14:paraId="79EFF2B4" w14:textId="77777777" w:rsidR="00654552" w:rsidRPr="005F1F83" w:rsidRDefault="00654552" w:rsidP="00693B34">
            <w:pPr>
              <w:pStyle w:val="TableText"/>
              <w:jc w:val="center"/>
              <w:rPr>
                <w:rFonts w:eastAsia="Calibri"/>
              </w:rPr>
            </w:pPr>
            <w:r w:rsidRPr="005F1F83">
              <w:rPr>
                <w:rFonts w:eastAsia="Calibri"/>
              </w:rPr>
              <w:t>2,584</w:t>
            </w:r>
          </w:p>
        </w:tc>
        <w:tc>
          <w:tcPr>
            <w:tcW w:w="997" w:type="dxa"/>
            <w:tcBorders>
              <w:top w:val="nil"/>
            </w:tcBorders>
          </w:tcPr>
          <w:p w14:paraId="053ED67C" w14:textId="77777777" w:rsidR="00654552" w:rsidRPr="005F1F83" w:rsidRDefault="00654552" w:rsidP="00693B34">
            <w:pPr>
              <w:pStyle w:val="TableText"/>
              <w:jc w:val="center"/>
              <w:rPr>
                <w:rFonts w:eastAsia="Calibri"/>
              </w:rPr>
            </w:pPr>
            <w:r w:rsidRPr="005F1F83">
              <w:t>1,936</w:t>
            </w:r>
          </w:p>
        </w:tc>
      </w:tr>
      <w:tr w:rsidR="00693B34" w:rsidRPr="005F1F83" w14:paraId="031EB4F2" w14:textId="77777777" w:rsidTr="00693B34">
        <w:trPr>
          <w:trHeight w:val="301"/>
        </w:trPr>
        <w:tc>
          <w:tcPr>
            <w:tcW w:w="2127" w:type="dxa"/>
          </w:tcPr>
          <w:p w14:paraId="4682145A" w14:textId="7C42555F" w:rsidR="00654552" w:rsidRPr="005F1F83" w:rsidRDefault="00654552" w:rsidP="00654552">
            <w:pPr>
              <w:pStyle w:val="TableText"/>
              <w:rPr>
                <w:rFonts w:asciiTheme="minorHAnsi" w:eastAsia="Calibri" w:hAnsiTheme="minorHAnsi" w:cstheme="minorHAnsi"/>
                <w:sz w:val="22"/>
                <w:szCs w:val="22"/>
                <w:lang w:eastAsia="en-US"/>
              </w:rPr>
            </w:pPr>
            <w:r w:rsidRPr="005F1F83">
              <w:t>Community specialist</w:t>
            </w:r>
            <w:r w:rsidRPr="005F1F83">
              <w:rPr>
                <w:rFonts w:asciiTheme="minorHAnsi" w:hAnsiTheme="minorHAnsi" w:cstheme="minorHAnsi"/>
                <w:sz w:val="22"/>
                <w:szCs w:val="22"/>
                <w:vertAlign w:val="superscript"/>
              </w:rPr>
              <w:t>2</w:t>
            </w:r>
          </w:p>
        </w:tc>
        <w:tc>
          <w:tcPr>
            <w:tcW w:w="0" w:type="auto"/>
          </w:tcPr>
          <w:p w14:paraId="07539A17" w14:textId="77777777" w:rsidR="00654552" w:rsidRPr="005F1F83" w:rsidRDefault="00654552" w:rsidP="00693B34">
            <w:pPr>
              <w:pStyle w:val="TableText"/>
              <w:jc w:val="center"/>
              <w:rPr>
                <w:rFonts w:eastAsia="Calibri"/>
              </w:rPr>
            </w:pPr>
            <w:r w:rsidRPr="005F1F83">
              <w:rPr>
                <w:rFonts w:eastAsia="Calibri"/>
              </w:rPr>
              <w:t>901</w:t>
            </w:r>
          </w:p>
        </w:tc>
        <w:tc>
          <w:tcPr>
            <w:tcW w:w="0" w:type="auto"/>
          </w:tcPr>
          <w:p w14:paraId="2D4B0C38" w14:textId="77777777" w:rsidR="00654552" w:rsidRPr="005F1F83" w:rsidRDefault="00654552" w:rsidP="00693B34">
            <w:pPr>
              <w:pStyle w:val="TableText"/>
              <w:jc w:val="center"/>
              <w:rPr>
                <w:rFonts w:eastAsia="Calibri"/>
              </w:rPr>
            </w:pPr>
            <w:r w:rsidRPr="005F1F83">
              <w:t>1,584</w:t>
            </w:r>
          </w:p>
        </w:tc>
        <w:tc>
          <w:tcPr>
            <w:tcW w:w="0" w:type="auto"/>
          </w:tcPr>
          <w:p w14:paraId="33208C19" w14:textId="77777777" w:rsidR="00654552" w:rsidRPr="005F1F83" w:rsidRDefault="00654552" w:rsidP="00693B34">
            <w:pPr>
              <w:pStyle w:val="TableText"/>
              <w:jc w:val="center"/>
              <w:rPr>
                <w:rFonts w:eastAsia="Calibri"/>
              </w:rPr>
            </w:pPr>
            <w:r w:rsidRPr="005F1F83">
              <w:rPr>
                <w:rFonts w:eastAsia="Calibri"/>
              </w:rPr>
              <w:t>655</w:t>
            </w:r>
          </w:p>
        </w:tc>
        <w:tc>
          <w:tcPr>
            <w:tcW w:w="0" w:type="auto"/>
          </w:tcPr>
          <w:p w14:paraId="02AB6710" w14:textId="77777777" w:rsidR="00654552" w:rsidRPr="005F1F83" w:rsidRDefault="00654552" w:rsidP="00693B34">
            <w:pPr>
              <w:pStyle w:val="TableText"/>
              <w:jc w:val="center"/>
              <w:rPr>
                <w:rFonts w:eastAsia="Calibri"/>
              </w:rPr>
            </w:pPr>
            <w:r w:rsidRPr="005F1F83">
              <w:t>1,247</w:t>
            </w:r>
          </w:p>
        </w:tc>
        <w:tc>
          <w:tcPr>
            <w:tcW w:w="0" w:type="auto"/>
          </w:tcPr>
          <w:p w14:paraId="049D8B56" w14:textId="77777777" w:rsidR="00654552" w:rsidRPr="005F1F83" w:rsidRDefault="00654552" w:rsidP="00693B34">
            <w:pPr>
              <w:pStyle w:val="TableText"/>
              <w:jc w:val="center"/>
              <w:rPr>
                <w:rFonts w:eastAsia="Calibri"/>
              </w:rPr>
            </w:pPr>
            <w:r w:rsidRPr="005F1F83">
              <w:rPr>
                <w:rFonts w:eastAsia="Calibri"/>
              </w:rPr>
              <w:t>663</w:t>
            </w:r>
          </w:p>
        </w:tc>
        <w:tc>
          <w:tcPr>
            <w:tcW w:w="943" w:type="dxa"/>
          </w:tcPr>
          <w:p w14:paraId="2AF71067" w14:textId="77777777" w:rsidR="00654552" w:rsidRPr="005F1F83" w:rsidRDefault="00654552" w:rsidP="00693B34">
            <w:pPr>
              <w:pStyle w:val="TableText"/>
              <w:jc w:val="center"/>
              <w:rPr>
                <w:rFonts w:eastAsia="Calibri"/>
              </w:rPr>
            </w:pPr>
            <w:r w:rsidRPr="005F1F83">
              <w:t>586</w:t>
            </w:r>
          </w:p>
        </w:tc>
        <w:tc>
          <w:tcPr>
            <w:tcW w:w="709" w:type="dxa"/>
          </w:tcPr>
          <w:p w14:paraId="633D05B1" w14:textId="77777777" w:rsidR="00654552" w:rsidRPr="005F1F83" w:rsidRDefault="00654552" w:rsidP="00693B34">
            <w:pPr>
              <w:pStyle w:val="TableText"/>
              <w:jc w:val="center"/>
              <w:rPr>
                <w:rFonts w:eastAsia="Calibri"/>
              </w:rPr>
            </w:pPr>
            <w:r w:rsidRPr="005F1F83">
              <w:rPr>
                <w:rFonts w:eastAsia="Calibri"/>
              </w:rPr>
              <w:t>400</w:t>
            </w:r>
          </w:p>
        </w:tc>
        <w:tc>
          <w:tcPr>
            <w:tcW w:w="997" w:type="dxa"/>
          </w:tcPr>
          <w:p w14:paraId="3710306E" w14:textId="77777777" w:rsidR="00654552" w:rsidRPr="005F1F83" w:rsidRDefault="00654552" w:rsidP="00693B34">
            <w:pPr>
              <w:pStyle w:val="TableText"/>
              <w:jc w:val="center"/>
              <w:rPr>
                <w:rFonts w:eastAsia="Calibri"/>
              </w:rPr>
            </w:pPr>
            <w:r w:rsidRPr="005F1F83">
              <w:t>135</w:t>
            </w:r>
          </w:p>
        </w:tc>
      </w:tr>
      <w:tr w:rsidR="00693B34" w:rsidRPr="005F1F83" w14:paraId="69B37821" w14:textId="77777777" w:rsidTr="00693B34">
        <w:trPr>
          <w:trHeight w:val="207"/>
        </w:trPr>
        <w:tc>
          <w:tcPr>
            <w:tcW w:w="2127" w:type="dxa"/>
          </w:tcPr>
          <w:p w14:paraId="4C10583E" w14:textId="5D22CCBA" w:rsidR="00654552" w:rsidRPr="005F1F83" w:rsidRDefault="002A6BB1" w:rsidP="00654552">
            <w:pPr>
              <w:pStyle w:val="TableText"/>
              <w:rPr>
                <w:rFonts w:eastAsia="Calibri"/>
              </w:rPr>
            </w:pPr>
            <w:r w:rsidRPr="002A6BB1">
              <w:t>Enrolling general practice</w:t>
            </w:r>
          </w:p>
        </w:tc>
        <w:tc>
          <w:tcPr>
            <w:tcW w:w="0" w:type="auto"/>
          </w:tcPr>
          <w:p w14:paraId="2A162270" w14:textId="17D209C9" w:rsidR="00654552" w:rsidRPr="005F1F83" w:rsidRDefault="00654552" w:rsidP="00693B34">
            <w:pPr>
              <w:pStyle w:val="TableText"/>
              <w:jc w:val="center"/>
              <w:rPr>
                <w:rFonts w:eastAsia="Calibri"/>
              </w:rPr>
            </w:pPr>
            <w:r w:rsidRPr="005F1F83">
              <w:rPr>
                <w:rFonts w:eastAsia="Calibri"/>
              </w:rPr>
              <w:t>–</w:t>
            </w:r>
          </w:p>
        </w:tc>
        <w:tc>
          <w:tcPr>
            <w:tcW w:w="0" w:type="auto"/>
          </w:tcPr>
          <w:p w14:paraId="2E33D9FC" w14:textId="77777777" w:rsidR="00654552" w:rsidRPr="005F1F83" w:rsidRDefault="00654552" w:rsidP="00693B34">
            <w:pPr>
              <w:pStyle w:val="TableText"/>
              <w:jc w:val="center"/>
              <w:rPr>
                <w:rFonts w:eastAsia="Calibri"/>
              </w:rPr>
            </w:pPr>
            <w:r w:rsidRPr="005F1F83">
              <w:t>8</w:t>
            </w:r>
          </w:p>
        </w:tc>
        <w:tc>
          <w:tcPr>
            <w:tcW w:w="0" w:type="auto"/>
          </w:tcPr>
          <w:p w14:paraId="163E7456" w14:textId="6FCE29A0" w:rsidR="00654552" w:rsidRPr="005F1F83" w:rsidRDefault="00654552" w:rsidP="00693B34">
            <w:pPr>
              <w:pStyle w:val="TableText"/>
              <w:jc w:val="center"/>
              <w:rPr>
                <w:rFonts w:eastAsia="Calibri"/>
              </w:rPr>
            </w:pPr>
            <w:r w:rsidRPr="005F1F83">
              <w:rPr>
                <w:rFonts w:eastAsia="Calibri"/>
              </w:rPr>
              <w:t>–</w:t>
            </w:r>
          </w:p>
        </w:tc>
        <w:tc>
          <w:tcPr>
            <w:tcW w:w="0" w:type="auto"/>
          </w:tcPr>
          <w:p w14:paraId="7501CE45" w14:textId="77777777" w:rsidR="00654552" w:rsidRPr="005F1F83" w:rsidRDefault="00654552" w:rsidP="00693B34">
            <w:pPr>
              <w:pStyle w:val="TableText"/>
              <w:jc w:val="center"/>
              <w:rPr>
                <w:rFonts w:eastAsia="Calibri"/>
              </w:rPr>
            </w:pPr>
            <w:r w:rsidRPr="005F1F83">
              <w:t>51</w:t>
            </w:r>
          </w:p>
        </w:tc>
        <w:tc>
          <w:tcPr>
            <w:tcW w:w="0" w:type="auto"/>
          </w:tcPr>
          <w:p w14:paraId="615334C3" w14:textId="531FD583" w:rsidR="00654552" w:rsidRPr="005F1F83" w:rsidRDefault="00654552" w:rsidP="00693B34">
            <w:pPr>
              <w:pStyle w:val="TableText"/>
              <w:jc w:val="center"/>
              <w:rPr>
                <w:rFonts w:eastAsia="Calibri"/>
              </w:rPr>
            </w:pPr>
            <w:r w:rsidRPr="005F1F83">
              <w:rPr>
                <w:rFonts w:eastAsia="Calibri"/>
              </w:rPr>
              <w:t>–</w:t>
            </w:r>
          </w:p>
        </w:tc>
        <w:tc>
          <w:tcPr>
            <w:tcW w:w="943" w:type="dxa"/>
          </w:tcPr>
          <w:p w14:paraId="501BF4E1" w14:textId="77777777" w:rsidR="00654552" w:rsidRPr="005F1F83" w:rsidRDefault="00654552" w:rsidP="00693B34">
            <w:pPr>
              <w:pStyle w:val="TableText"/>
              <w:jc w:val="center"/>
              <w:rPr>
                <w:rFonts w:eastAsia="Calibri"/>
              </w:rPr>
            </w:pPr>
            <w:r w:rsidRPr="005F1F83">
              <w:t>2</w:t>
            </w:r>
          </w:p>
        </w:tc>
        <w:tc>
          <w:tcPr>
            <w:tcW w:w="709" w:type="dxa"/>
          </w:tcPr>
          <w:p w14:paraId="5B8E45FC" w14:textId="074EDC22" w:rsidR="00654552" w:rsidRPr="005F1F83" w:rsidRDefault="00654552" w:rsidP="00693B34">
            <w:pPr>
              <w:pStyle w:val="TableText"/>
              <w:jc w:val="center"/>
              <w:rPr>
                <w:rFonts w:eastAsia="Calibri"/>
              </w:rPr>
            </w:pPr>
            <w:r w:rsidRPr="005F1F83">
              <w:rPr>
                <w:rFonts w:eastAsia="Calibri"/>
              </w:rPr>
              <w:t>–</w:t>
            </w:r>
          </w:p>
        </w:tc>
        <w:tc>
          <w:tcPr>
            <w:tcW w:w="997" w:type="dxa"/>
          </w:tcPr>
          <w:p w14:paraId="7C1FC41D" w14:textId="77777777" w:rsidR="00654552" w:rsidRPr="005F1F83" w:rsidRDefault="00654552" w:rsidP="00693B34">
            <w:pPr>
              <w:pStyle w:val="TableText"/>
              <w:jc w:val="center"/>
              <w:rPr>
                <w:rFonts w:eastAsia="Calibri"/>
              </w:rPr>
            </w:pPr>
            <w:r w:rsidRPr="005F1F83">
              <w:t>22</w:t>
            </w:r>
          </w:p>
        </w:tc>
      </w:tr>
      <w:tr w:rsidR="00693B34" w:rsidRPr="005F1F83" w14:paraId="3B8D2ED1" w14:textId="77777777" w:rsidTr="00693B34">
        <w:trPr>
          <w:trHeight w:val="221"/>
        </w:trPr>
        <w:tc>
          <w:tcPr>
            <w:tcW w:w="2127" w:type="dxa"/>
          </w:tcPr>
          <w:p w14:paraId="251483E6" w14:textId="77777777" w:rsidR="00654552" w:rsidRPr="005F1F83" w:rsidRDefault="00654552" w:rsidP="00654552">
            <w:pPr>
              <w:pStyle w:val="TableText"/>
              <w:rPr>
                <w:rFonts w:asciiTheme="minorHAnsi" w:eastAsia="Calibri" w:hAnsiTheme="minorHAnsi" w:cstheme="minorHAnsi"/>
                <w:sz w:val="22"/>
                <w:szCs w:val="22"/>
                <w:lang w:eastAsia="en-US"/>
              </w:rPr>
            </w:pPr>
            <w:r w:rsidRPr="005F1F83">
              <w:t>Community midwife</w:t>
            </w:r>
          </w:p>
        </w:tc>
        <w:tc>
          <w:tcPr>
            <w:tcW w:w="0" w:type="auto"/>
          </w:tcPr>
          <w:p w14:paraId="1F14D657" w14:textId="775FBA26" w:rsidR="00654552" w:rsidRPr="005F1F83" w:rsidRDefault="00654552" w:rsidP="00693B34">
            <w:pPr>
              <w:pStyle w:val="TableText"/>
              <w:jc w:val="center"/>
              <w:rPr>
                <w:rFonts w:eastAsia="Calibri"/>
              </w:rPr>
            </w:pPr>
            <w:r w:rsidRPr="005F1F83">
              <w:rPr>
                <w:rFonts w:eastAsia="Calibri"/>
              </w:rPr>
              <w:t>–</w:t>
            </w:r>
          </w:p>
        </w:tc>
        <w:tc>
          <w:tcPr>
            <w:tcW w:w="0" w:type="auto"/>
          </w:tcPr>
          <w:p w14:paraId="7D6F7B87" w14:textId="77777777" w:rsidR="00654552" w:rsidRPr="005F1F83" w:rsidRDefault="00654552" w:rsidP="00693B34">
            <w:pPr>
              <w:pStyle w:val="TableText"/>
              <w:jc w:val="center"/>
              <w:rPr>
                <w:rFonts w:eastAsia="Calibri"/>
              </w:rPr>
            </w:pPr>
            <w:r w:rsidRPr="005F1F83">
              <w:t>1</w:t>
            </w:r>
          </w:p>
        </w:tc>
        <w:tc>
          <w:tcPr>
            <w:tcW w:w="0" w:type="auto"/>
          </w:tcPr>
          <w:p w14:paraId="38E2E587" w14:textId="2E752DAE" w:rsidR="00654552" w:rsidRPr="005F1F83" w:rsidRDefault="00654552" w:rsidP="00693B34">
            <w:pPr>
              <w:pStyle w:val="TableText"/>
              <w:jc w:val="center"/>
              <w:rPr>
                <w:rFonts w:eastAsia="Calibri"/>
              </w:rPr>
            </w:pPr>
            <w:r w:rsidRPr="005F1F83">
              <w:rPr>
                <w:rFonts w:eastAsia="Calibri"/>
              </w:rPr>
              <w:t>–</w:t>
            </w:r>
          </w:p>
        </w:tc>
        <w:tc>
          <w:tcPr>
            <w:tcW w:w="0" w:type="auto"/>
          </w:tcPr>
          <w:p w14:paraId="738C2CB4" w14:textId="77777777" w:rsidR="00654552" w:rsidRPr="005F1F83" w:rsidRDefault="00654552" w:rsidP="00693B34">
            <w:pPr>
              <w:pStyle w:val="TableText"/>
              <w:jc w:val="center"/>
              <w:rPr>
                <w:rFonts w:eastAsia="Calibri"/>
              </w:rPr>
            </w:pPr>
            <w:r w:rsidRPr="005F1F83">
              <w:t>91</w:t>
            </w:r>
          </w:p>
        </w:tc>
        <w:tc>
          <w:tcPr>
            <w:tcW w:w="0" w:type="auto"/>
          </w:tcPr>
          <w:p w14:paraId="639BEC3A" w14:textId="60663903" w:rsidR="00654552" w:rsidRPr="005F1F83" w:rsidRDefault="00654552" w:rsidP="00693B34">
            <w:pPr>
              <w:pStyle w:val="TableText"/>
              <w:jc w:val="center"/>
              <w:rPr>
                <w:rFonts w:eastAsia="Calibri"/>
              </w:rPr>
            </w:pPr>
            <w:r w:rsidRPr="005F1F83">
              <w:rPr>
                <w:rFonts w:eastAsia="Calibri"/>
              </w:rPr>
              <w:t>–</w:t>
            </w:r>
          </w:p>
        </w:tc>
        <w:tc>
          <w:tcPr>
            <w:tcW w:w="943" w:type="dxa"/>
          </w:tcPr>
          <w:p w14:paraId="6FC24A34" w14:textId="4CA608E6" w:rsidR="00654552" w:rsidRPr="005F1F83" w:rsidRDefault="00654552" w:rsidP="00693B34">
            <w:pPr>
              <w:pStyle w:val="TableText"/>
              <w:jc w:val="center"/>
              <w:rPr>
                <w:rFonts w:eastAsia="Calibri"/>
              </w:rPr>
            </w:pPr>
            <w:r w:rsidRPr="005F1F83">
              <w:rPr>
                <w:rFonts w:eastAsia="Calibri"/>
              </w:rPr>
              <w:t>–</w:t>
            </w:r>
          </w:p>
        </w:tc>
        <w:tc>
          <w:tcPr>
            <w:tcW w:w="709" w:type="dxa"/>
          </w:tcPr>
          <w:p w14:paraId="0BA5A4A1" w14:textId="18B02D1C" w:rsidR="00654552" w:rsidRPr="005F1F83" w:rsidRDefault="00654552" w:rsidP="00693B34">
            <w:pPr>
              <w:pStyle w:val="TableText"/>
              <w:jc w:val="center"/>
              <w:rPr>
                <w:rFonts w:eastAsia="Calibri"/>
              </w:rPr>
            </w:pPr>
            <w:r w:rsidRPr="005F1F83">
              <w:rPr>
                <w:rFonts w:eastAsia="Calibri"/>
              </w:rPr>
              <w:t>–</w:t>
            </w:r>
          </w:p>
        </w:tc>
        <w:tc>
          <w:tcPr>
            <w:tcW w:w="997" w:type="dxa"/>
          </w:tcPr>
          <w:p w14:paraId="6CA97227" w14:textId="77777777" w:rsidR="00654552" w:rsidRPr="005F1F83" w:rsidRDefault="00654552" w:rsidP="00693B34">
            <w:pPr>
              <w:pStyle w:val="TableText"/>
              <w:jc w:val="center"/>
              <w:rPr>
                <w:rFonts w:eastAsia="Calibri"/>
              </w:rPr>
            </w:pPr>
            <w:r w:rsidRPr="005F1F83">
              <w:t>370</w:t>
            </w:r>
          </w:p>
        </w:tc>
      </w:tr>
      <w:tr w:rsidR="00693B34" w:rsidRPr="005F1F83" w14:paraId="01598B27" w14:textId="77777777" w:rsidTr="00693B34">
        <w:trPr>
          <w:trHeight w:val="272"/>
        </w:trPr>
        <w:tc>
          <w:tcPr>
            <w:tcW w:w="2127" w:type="dxa"/>
          </w:tcPr>
          <w:p w14:paraId="3249CA17" w14:textId="39BF3E93" w:rsidR="00654552" w:rsidRPr="005F1F83" w:rsidRDefault="00654552" w:rsidP="00654552">
            <w:pPr>
              <w:pStyle w:val="TableText"/>
              <w:rPr>
                <w:rFonts w:asciiTheme="minorHAnsi" w:eastAsia="Calibri" w:hAnsiTheme="minorHAnsi" w:cstheme="minorHAnsi"/>
                <w:sz w:val="22"/>
                <w:szCs w:val="22"/>
                <w:lang w:eastAsia="en-US"/>
              </w:rPr>
            </w:pPr>
            <w:r w:rsidRPr="005F1F83">
              <w:t>Māori health provider</w:t>
            </w:r>
            <w:r w:rsidRPr="005F1F83">
              <w:rPr>
                <w:rFonts w:asciiTheme="minorHAnsi" w:hAnsiTheme="minorHAnsi" w:cstheme="minorHAnsi"/>
                <w:sz w:val="22"/>
                <w:szCs w:val="22"/>
                <w:vertAlign w:val="superscript"/>
              </w:rPr>
              <w:t>3</w:t>
            </w:r>
          </w:p>
        </w:tc>
        <w:tc>
          <w:tcPr>
            <w:tcW w:w="0" w:type="auto"/>
          </w:tcPr>
          <w:p w14:paraId="53DA96BE" w14:textId="78D0581A" w:rsidR="00654552" w:rsidRPr="005F1F83" w:rsidRDefault="00654552" w:rsidP="00693B34">
            <w:pPr>
              <w:pStyle w:val="TableText"/>
              <w:jc w:val="center"/>
              <w:rPr>
                <w:rFonts w:eastAsia="Calibri"/>
              </w:rPr>
            </w:pPr>
            <w:r w:rsidRPr="005F1F83">
              <w:rPr>
                <w:rFonts w:eastAsia="Calibri"/>
              </w:rPr>
              <w:t>–</w:t>
            </w:r>
          </w:p>
        </w:tc>
        <w:tc>
          <w:tcPr>
            <w:tcW w:w="0" w:type="auto"/>
          </w:tcPr>
          <w:p w14:paraId="03D5CE52" w14:textId="77777777" w:rsidR="00654552" w:rsidRPr="005F1F83" w:rsidRDefault="00654552" w:rsidP="00693B34">
            <w:pPr>
              <w:pStyle w:val="TableText"/>
              <w:jc w:val="center"/>
              <w:rPr>
                <w:rFonts w:eastAsia="Calibri"/>
              </w:rPr>
            </w:pPr>
            <w:r w:rsidRPr="005F1F83">
              <w:t>39</w:t>
            </w:r>
          </w:p>
        </w:tc>
        <w:tc>
          <w:tcPr>
            <w:tcW w:w="0" w:type="auto"/>
          </w:tcPr>
          <w:p w14:paraId="3C58C45B" w14:textId="6BD0E151" w:rsidR="00654552" w:rsidRPr="005F1F83" w:rsidRDefault="00654552" w:rsidP="00693B34">
            <w:pPr>
              <w:pStyle w:val="TableText"/>
              <w:jc w:val="center"/>
              <w:rPr>
                <w:rFonts w:eastAsia="Calibri"/>
              </w:rPr>
            </w:pPr>
            <w:r w:rsidRPr="005F1F83">
              <w:rPr>
                <w:rFonts w:eastAsia="Calibri"/>
              </w:rPr>
              <w:t>–</w:t>
            </w:r>
          </w:p>
        </w:tc>
        <w:tc>
          <w:tcPr>
            <w:tcW w:w="0" w:type="auto"/>
          </w:tcPr>
          <w:p w14:paraId="3471A31D" w14:textId="4760D4A4" w:rsidR="00654552" w:rsidRPr="005F1F83" w:rsidRDefault="00654552" w:rsidP="00693B34">
            <w:pPr>
              <w:pStyle w:val="TableText"/>
              <w:jc w:val="center"/>
              <w:rPr>
                <w:rFonts w:eastAsia="Calibri"/>
              </w:rPr>
            </w:pPr>
            <w:r w:rsidRPr="005F1F83">
              <w:rPr>
                <w:rFonts w:eastAsia="Calibri"/>
              </w:rPr>
              <w:t>–</w:t>
            </w:r>
          </w:p>
        </w:tc>
        <w:tc>
          <w:tcPr>
            <w:tcW w:w="0" w:type="auto"/>
          </w:tcPr>
          <w:p w14:paraId="068B5107" w14:textId="68CA66ED" w:rsidR="00654552" w:rsidRPr="005F1F83" w:rsidRDefault="00654552" w:rsidP="00693B34">
            <w:pPr>
              <w:pStyle w:val="TableText"/>
              <w:jc w:val="center"/>
              <w:rPr>
                <w:rFonts w:eastAsia="Calibri"/>
              </w:rPr>
            </w:pPr>
            <w:r w:rsidRPr="005F1F83">
              <w:rPr>
                <w:rFonts w:eastAsia="Calibri"/>
              </w:rPr>
              <w:t>–</w:t>
            </w:r>
          </w:p>
        </w:tc>
        <w:tc>
          <w:tcPr>
            <w:tcW w:w="943" w:type="dxa"/>
          </w:tcPr>
          <w:p w14:paraId="29B02394" w14:textId="37DB79A6" w:rsidR="00654552" w:rsidRPr="005F1F83" w:rsidRDefault="00654552" w:rsidP="00693B34">
            <w:pPr>
              <w:pStyle w:val="TableText"/>
              <w:jc w:val="center"/>
              <w:rPr>
                <w:rFonts w:eastAsia="Calibri"/>
              </w:rPr>
            </w:pPr>
            <w:r w:rsidRPr="005F1F83">
              <w:rPr>
                <w:rFonts w:eastAsia="Calibri"/>
              </w:rPr>
              <w:t>–</w:t>
            </w:r>
          </w:p>
        </w:tc>
        <w:tc>
          <w:tcPr>
            <w:tcW w:w="709" w:type="dxa"/>
          </w:tcPr>
          <w:p w14:paraId="6551BAC8" w14:textId="79D6B031" w:rsidR="00654552" w:rsidRPr="005F1F83" w:rsidRDefault="00654552" w:rsidP="00693B34">
            <w:pPr>
              <w:pStyle w:val="TableText"/>
              <w:jc w:val="center"/>
              <w:rPr>
                <w:rFonts w:eastAsia="Calibri"/>
              </w:rPr>
            </w:pPr>
            <w:r w:rsidRPr="005F1F83">
              <w:rPr>
                <w:rFonts w:eastAsia="Calibri"/>
              </w:rPr>
              <w:t>–</w:t>
            </w:r>
          </w:p>
        </w:tc>
        <w:tc>
          <w:tcPr>
            <w:tcW w:w="997" w:type="dxa"/>
          </w:tcPr>
          <w:p w14:paraId="0B777894" w14:textId="3C322E4E" w:rsidR="00654552" w:rsidRPr="005F1F83" w:rsidRDefault="00654552" w:rsidP="00693B34">
            <w:pPr>
              <w:pStyle w:val="TableText"/>
              <w:jc w:val="center"/>
              <w:rPr>
                <w:rFonts w:eastAsia="Calibri"/>
              </w:rPr>
            </w:pPr>
            <w:r w:rsidRPr="005F1F83">
              <w:rPr>
                <w:rFonts w:eastAsia="Calibri"/>
              </w:rPr>
              <w:t>–</w:t>
            </w:r>
          </w:p>
        </w:tc>
      </w:tr>
    </w:tbl>
    <w:p w14:paraId="7F124607" w14:textId="77777777" w:rsidR="002A6BB1" w:rsidRPr="002A6BB1" w:rsidRDefault="00654552" w:rsidP="002A6BB1">
      <w:pPr>
        <w:pStyle w:val="Note"/>
        <w:rPr>
          <w:rStyle w:val="NoteChar"/>
          <w:rFonts w:eastAsia="Calibri"/>
        </w:rPr>
      </w:pPr>
      <w:r w:rsidRPr="00693B34">
        <w:rPr>
          <w:rFonts w:eastAsia="Calibri"/>
        </w:rPr>
        <w:t xml:space="preserve">Note: </w:t>
      </w:r>
      <w:r w:rsidRPr="00CD6572">
        <w:rPr>
          <w:rFonts w:ascii="Calibri" w:eastAsia="Calibri" w:hAnsi="Calibri" w:cs="Arial"/>
          <w:kern w:val="2"/>
          <w:sz w:val="16"/>
          <w:szCs w:val="16"/>
          <w:vertAlign w:val="superscript"/>
          <w:lang w:eastAsia="en-US"/>
          <w14:ligatures w14:val="standardContextual"/>
        </w:rPr>
        <w:t xml:space="preserve">1 </w:t>
      </w:r>
      <w:r w:rsidR="002A6BB1" w:rsidRPr="002A6BB1">
        <w:rPr>
          <w:rStyle w:val="NoteChar"/>
          <w:rFonts w:eastAsia="Calibri"/>
        </w:rPr>
        <w:t>The national abortion telehealth service, DECIDE, also provided 5,108 early medical abortions in 2024.</w:t>
      </w:r>
    </w:p>
    <w:p w14:paraId="7B1583F5" w14:textId="77777777" w:rsidR="002A6BB1" w:rsidRPr="002A6BB1" w:rsidRDefault="002A6BB1" w:rsidP="002A6BB1">
      <w:pPr>
        <w:pStyle w:val="Note"/>
        <w:rPr>
          <w:rStyle w:val="NoteChar"/>
          <w:rFonts w:eastAsia="Calibri"/>
        </w:rPr>
      </w:pPr>
      <w:r w:rsidRPr="002A6BB1">
        <w:rPr>
          <w:rFonts w:ascii="Calibri" w:hAnsi="Calibri" w:cs="Arial"/>
          <w:kern w:val="2"/>
          <w:sz w:val="16"/>
          <w:szCs w:val="16"/>
          <w:vertAlign w:val="superscript"/>
          <w:lang w:eastAsia="en-US"/>
          <w14:ligatures w14:val="standardContextual"/>
        </w:rPr>
        <w:t>2</w:t>
      </w:r>
      <w:r w:rsidRPr="002A6BB1">
        <w:rPr>
          <w:rStyle w:val="NoteChar"/>
          <w:rFonts w:eastAsia="Calibri"/>
        </w:rPr>
        <w:t xml:space="preserve"> Community specialists are community-based facilities, such as community-based obstetricians and sexual health clinics, that do not fall under the categories of an enrolling GP practice, or community midwife.</w:t>
      </w:r>
    </w:p>
    <w:p w14:paraId="6BD2C8B5" w14:textId="0374534E" w:rsidR="00654552" w:rsidRDefault="002A6BB1" w:rsidP="002A6BB1">
      <w:pPr>
        <w:pStyle w:val="Note"/>
      </w:pPr>
      <w:r w:rsidRPr="002A6BB1">
        <w:rPr>
          <w:rFonts w:ascii="Calibri" w:hAnsi="Calibri" w:cs="Arial"/>
          <w:kern w:val="2"/>
          <w:sz w:val="16"/>
          <w:szCs w:val="16"/>
          <w:vertAlign w:val="superscript"/>
          <w:lang w:eastAsia="en-US"/>
          <w14:ligatures w14:val="standardContextual"/>
        </w:rPr>
        <w:t>3</w:t>
      </w:r>
      <w:r w:rsidRPr="002A6BB1">
        <w:rPr>
          <w:rStyle w:val="NoteChar"/>
          <w:rFonts w:eastAsia="Calibri"/>
        </w:rPr>
        <w:t xml:space="preserve"> The category of Māori health provider represents general practices that have chosen to identify as providing a whānau-focused health care service.</w:t>
      </w:r>
    </w:p>
    <w:p w14:paraId="0BC2B89F" w14:textId="48316276" w:rsidR="00F52619" w:rsidRDefault="00F52619" w:rsidP="00CC19AA"/>
    <w:p w14:paraId="423EC49F" w14:textId="4F19E8F8" w:rsidR="002A6BB1" w:rsidRPr="005F1F83" w:rsidRDefault="002A6BB1" w:rsidP="002A6BB1">
      <w:pPr>
        <w:rPr>
          <w:rFonts w:eastAsia="Calibri"/>
          <w:lang w:eastAsia="en-US"/>
        </w:rPr>
      </w:pPr>
      <w:r w:rsidRPr="005F1F83">
        <w:rPr>
          <w:rFonts w:eastAsia="Calibri"/>
          <w:lang w:eastAsia="en-US"/>
        </w:rPr>
        <w:t xml:space="preserve">The increased availability of different types of abortion facilities has increased both the volume and range of non-hospital access. As </w:t>
      </w:r>
      <w:r w:rsidRPr="005F1F83">
        <w:rPr>
          <w:rFonts w:eastAsia="Calibri"/>
          <w:lang w:eastAsia="en-US"/>
        </w:rPr>
        <w:fldChar w:fldCharType="begin"/>
      </w:r>
      <w:r w:rsidRPr="005F1F83">
        <w:rPr>
          <w:rFonts w:eastAsia="Calibri"/>
          <w:lang w:eastAsia="en-US"/>
        </w:rPr>
        <w:instrText xml:space="preserve"> REF _Ref192169228 \h </w:instrText>
      </w:r>
      <w:r w:rsidRPr="005F1F83">
        <w:rPr>
          <w:rFonts w:eastAsia="Calibri"/>
          <w:lang w:eastAsia="en-US"/>
        </w:rPr>
      </w:r>
      <w:r w:rsidRPr="005F1F83">
        <w:rPr>
          <w:rFonts w:eastAsia="Calibri"/>
          <w:lang w:eastAsia="en-US"/>
        </w:rPr>
        <w:fldChar w:fldCharType="separate"/>
      </w:r>
      <w:r w:rsidR="00974F51" w:rsidRPr="005F1F83">
        <w:rPr>
          <w:rFonts w:eastAsia="Calibri"/>
          <w:lang w:eastAsia="en-US"/>
        </w:rPr>
        <w:t xml:space="preserve">Figure </w:t>
      </w:r>
      <w:r w:rsidR="00974F51">
        <w:rPr>
          <w:rFonts w:eastAsia="Calibri"/>
          <w:noProof/>
          <w:lang w:eastAsia="en-US"/>
        </w:rPr>
        <w:t>3</w:t>
      </w:r>
      <w:r w:rsidRPr="005F1F83">
        <w:rPr>
          <w:rFonts w:eastAsia="Calibri"/>
          <w:lang w:eastAsia="en-US"/>
        </w:rPr>
        <w:fldChar w:fldCharType="end"/>
      </w:r>
      <w:r w:rsidRPr="005F1F83">
        <w:rPr>
          <w:rFonts w:eastAsia="Calibri"/>
          <w:lang w:eastAsia="en-US"/>
        </w:rPr>
        <w:t xml:space="preserve"> shows, </w:t>
      </w:r>
      <w:r w:rsidR="00A124A0">
        <w:rPr>
          <w:rFonts w:eastAsia="Calibri"/>
        </w:rPr>
        <w:t>women</w:t>
      </w:r>
      <w:r w:rsidRPr="005F1F83">
        <w:rPr>
          <w:rFonts w:eastAsia="Calibri"/>
          <w:lang w:eastAsia="en-US"/>
        </w:rPr>
        <w:t xml:space="preserve"> have accessed medical abortions less frequently within hospital settings following the 2020 law reform. On the other hand, they are accessing medical abortions more frequently within community settings and through the national </w:t>
      </w:r>
      <w:r>
        <w:rPr>
          <w:rFonts w:eastAsia="Calibri"/>
          <w:lang w:eastAsia="en-US"/>
        </w:rPr>
        <w:t xml:space="preserve">abortion </w:t>
      </w:r>
      <w:r w:rsidRPr="005F1F83">
        <w:rPr>
          <w:rFonts w:eastAsia="Calibri"/>
          <w:lang w:eastAsia="en-US"/>
        </w:rPr>
        <w:t xml:space="preserve">telehealth service, DECIDE. Specifically, while 73% of all medical abortions were accessed within hospital settings in 2020, and 63% in 2022, this percentage has dropped to 31% in 2024. This trend gives hospitals the opportunity to upskill and concentrate on abortion service provision at 10 weeks’ gestation or higher (for both medical and surgical procedures). </w:t>
      </w:r>
    </w:p>
    <w:p w14:paraId="299B1346" w14:textId="4918C75D" w:rsidR="00F52619" w:rsidRDefault="00F52619" w:rsidP="00CC19AA"/>
    <w:p w14:paraId="041CA31F" w14:textId="45680719" w:rsidR="00F52619" w:rsidRDefault="00F52619" w:rsidP="00F52619">
      <w:pPr>
        <w:pStyle w:val="Figure"/>
        <w:rPr>
          <w:rFonts w:eastAsia="Calibri"/>
          <w:lang w:eastAsia="en-US"/>
        </w:rPr>
      </w:pPr>
      <w:bookmarkStart w:id="66" w:name="_Ref192169228"/>
      <w:bookmarkStart w:id="67" w:name="_Toc192349314"/>
      <w:bookmarkStart w:id="68" w:name="_Toc195016587"/>
      <w:r w:rsidRPr="005F1F83">
        <w:rPr>
          <w:rFonts w:eastAsia="Calibri"/>
          <w:lang w:eastAsia="en-US"/>
        </w:rPr>
        <w:t xml:space="preserve">Figure </w:t>
      </w:r>
      <w:r w:rsidRPr="005F1F83">
        <w:rPr>
          <w:rFonts w:eastAsia="Calibri"/>
          <w:lang w:eastAsia="en-US"/>
        </w:rPr>
        <w:fldChar w:fldCharType="begin"/>
      </w:r>
      <w:r w:rsidRPr="005F1F83">
        <w:rPr>
          <w:rFonts w:eastAsia="Calibri"/>
          <w:lang w:eastAsia="en-US"/>
        </w:rPr>
        <w:instrText xml:space="preserve"> SEQ Figure \* ARABIC </w:instrText>
      </w:r>
      <w:r w:rsidRPr="005F1F83">
        <w:rPr>
          <w:rFonts w:eastAsia="Calibri"/>
          <w:lang w:eastAsia="en-US"/>
        </w:rPr>
        <w:fldChar w:fldCharType="separate"/>
      </w:r>
      <w:r w:rsidR="00974F51">
        <w:rPr>
          <w:rFonts w:eastAsia="Calibri"/>
          <w:noProof/>
          <w:lang w:eastAsia="en-US"/>
        </w:rPr>
        <w:t>3</w:t>
      </w:r>
      <w:r w:rsidRPr="005F1F83">
        <w:rPr>
          <w:rFonts w:eastAsia="Calibri"/>
          <w:lang w:eastAsia="en-US"/>
        </w:rPr>
        <w:fldChar w:fldCharType="end"/>
      </w:r>
      <w:bookmarkEnd w:id="66"/>
      <w:r w:rsidRPr="005F1F83">
        <w:rPr>
          <w:rFonts w:eastAsia="Calibri"/>
          <w:lang w:eastAsia="en-US"/>
        </w:rPr>
        <w:t xml:space="preserve">: Number of medical abortions, by gestation and profession, 2020, 2022 and </w:t>
      </w:r>
      <w:proofErr w:type="gramStart"/>
      <w:r w:rsidRPr="005F1F83">
        <w:rPr>
          <w:rFonts w:eastAsia="Calibri"/>
          <w:lang w:eastAsia="en-US"/>
        </w:rPr>
        <w:t>2024</w:t>
      </w:r>
      <w:bookmarkEnd w:id="67"/>
      <w:bookmarkEnd w:id="68"/>
      <w:proofErr w:type="gramEnd"/>
    </w:p>
    <w:p w14:paraId="28270AE0" w14:textId="21B46119" w:rsidR="002A6BB1" w:rsidRPr="002A6BB1" w:rsidRDefault="002A6BB1" w:rsidP="002A6BB1">
      <w:pPr>
        <w:rPr>
          <w:rFonts w:eastAsia="Calibri"/>
          <w:lang w:eastAsia="en-US"/>
        </w:rPr>
      </w:pPr>
      <w:r>
        <w:rPr>
          <w:rFonts w:eastAsia="Calibri"/>
          <w:noProof/>
          <w:lang w:eastAsia="en-US"/>
        </w:rPr>
        <w:drawing>
          <wp:inline distT="0" distB="0" distL="0" distR="0" wp14:anchorId="41913320" wp14:editId="3C3ABF5B">
            <wp:extent cx="5133340" cy="3889375"/>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133340" cy="3889375"/>
                    </a:xfrm>
                    <a:prstGeom prst="rect">
                      <a:avLst/>
                    </a:prstGeom>
                    <a:noFill/>
                  </pic:spPr>
                </pic:pic>
              </a:graphicData>
            </a:graphic>
          </wp:inline>
        </w:drawing>
      </w:r>
    </w:p>
    <w:p w14:paraId="02D89C71" w14:textId="4ED2FF52" w:rsidR="00F52619" w:rsidRDefault="00F52619" w:rsidP="00CC19AA"/>
    <w:p w14:paraId="2252F173" w14:textId="1850F2A8" w:rsidR="002A6BB1" w:rsidRDefault="002A6BB1" w:rsidP="002A6BB1">
      <w:pPr>
        <w:rPr>
          <w:rFonts w:eastAsia="Calibri"/>
          <w:lang w:eastAsia="en-US"/>
        </w:rPr>
      </w:pPr>
      <w:r w:rsidRPr="005F1F83">
        <w:rPr>
          <w:rFonts w:eastAsia="Calibri"/>
          <w:lang w:eastAsia="en-US"/>
        </w:rPr>
        <w:t>In contrast, while the number of surgical abortions has decreased since 2022 (</w:t>
      </w:r>
      <w:r>
        <w:rPr>
          <w:rFonts w:eastAsia="Calibri"/>
          <w:lang w:eastAsia="en-US"/>
        </w:rPr>
        <w:fldChar w:fldCharType="begin"/>
      </w:r>
      <w:r>
        <w:rPr>
          <w:rFonts w:eastAsia="Calibri"/>
          <w:lang w:eastAsia="en-US"/>
        </w:rPr>
        <w:instrText xml:space="preserve"> REF _Ref192171385 \h </w:instrText>
      </w:r>
      <w:r>
        <w:rPr>
          <w:rFonts w:eastAsia="Calibri"/>
          <w:lang w:eastAsia="en-US"/>
        </w:rPr>
      </w:r>
      <w:r>
        <w:rPr>
          <w:rFonts w:eastAsia="Calibri"/>
          <w:lang w:eastAsia="en-US"/>
        </w:rPr>
        <w:fldChar w:fldCharType="separate"/>
      </w:r>
      <w:r w:rsidR="00974F51" w:rsidRPr="005F1F83">
        <w:rPr>
          <w:rFonts w:eastAsia="Calibri"/>
          <w:lang w:eastAsia="en-US"/>
        </w:rPr>
        <w:t>Figure</w:t>
      </w:r>
      <w:r w:rsidR="00974F51">
        <w:rPr>
          <w:rFonts w:eastAsia="Calibri"/>
          <w:lang w:eastAsia="en-US"/>
        </w:rPr>
        <w:t xml:space="preserve"> </w:t>
      </w:r>
      <w:r w:rsidR="00974F51">
        <w:rPr>
          <w:rFonts w:eastAsia="Calibri"/>
          <w:noProof/>
          <w:lang w:eastAsia="en-US"/>
        </w:rPr>
        <w:t>4</w:t>
      </w:r>
      <w:r>
        <w:rPr>
          <w:rFonts w:eastAsia="Calibri"/>
          <w:lang w:eastAsia="en-US"/>
        </w:rPr>
        <w:fldChar w:fldCharType="end"/>
      </w:r>
      <w:r w:rsidRPr="005F1F83">
        <w:rPr>
          <w:rFonts w:eastAsia="Calibri"/>
          <w:lang w:eastAsia="en-US"/>
        </w:rPr>
        <w:t xml:space="preserve">), the percentage of surgical abortions performed within hospital settings has remained relatively stable across 2020 (85%), 2022 (81%) and 2024 (84%). Surgical abortions are also, to a lesser extent, accessed from community specialists at early gestations. </w:t>
      </w:r>
    </w:p>
    <w:p w14:paraId="5F20BFDC" w14:textId="77777777" w:rsidR="002A6BB1" w:rsidRPr="005F1F83" w:rsidRDefault="002A6BB1" w:rsidP="002A6BB1">
      <w:pPr>
        <w:rPr>
          <w:rFonts w:eastAsia="Calibri"/>
          <w:lang w:eastAsia="en-US"/>
        </w:rPr>
      </w:pPr>
    </w:p>
    <w:p w14:paraId="63059D5F" w14:textId="62E8FAE5" w:rsidR="002A6BB1" w:rsidRPr="005F1F83" w:rsidRDefault="002A6BB1" w:rsidP="002A6BB1">
      <w:pPr>
        <w:rPr>
          <w:rFonts w:eastAsia="Calibri"/>
          <w:lang w:eastAsia="en-US"/>
        </w:rPr>
      </w:pPr>
      <w:r w:rsidRPr="005F1F83">
        <w:rPr>
          <w:rFonts w:eastAsia="Calibri"/>
          <w:lang w:eastAsia="en-US"/>
        </w:rPr>
        <w:t xml:space="preserve">However, surgical abortions occurring at greater than 15 weeks’ gestation were performed almost exclusively in hospitals. This is particularly important to note when considering equitable access to abortion services, as 83% of abortions at greater than 9 weeks’ gestation continue to be provided surgically. Barriers to accessing a hospital or community specialist that is able to provide a surgical abortion near where </w:t>
      </w:r>
      <w:r>
        <w:rPr>
          <w:rFonts w:eastAsia="Calibri"/>
          <w:lang w:eastAsia="en-US"/>
        </w:rPr>
        <w:t xml:space="preserve">a </w:t>
      </w:r>
      <w:r w:rsidR="005733A5">
        <w:rPr>
          <w:rFonts w:eastAsia="Calibri"/>
          <w:lang w:eastAsia="en-US"/>
        </w:rPr>
        <w:t>woman</w:t>
      </w:r>
      <w:r w:rsidR="005733A5" w:rsidRPr="005F1F83">
        <w:rPr>
          <w:rFonts w:eastAsia="Calibri"/>
          <w:lang w:eastAsia="en-US"/>
        </w:rPr>
        <w:t xml:space="preserve"> </w:t>
      </w:r>
      <w:r w:rsidRPr="005F1F83">
        <w:rPr>
          <w:rFonts w:eastAsia="Calibri"/>
          <w:lang w:eastAsia="en-US"/>
        </w:rPr>
        <w:t>live</w:t>
      </w:r>
      <w:r>
        <w:rPr>
          <w:rFonts w:eastAsia="Calibri"/>
          <w:lang w:eastAsia="en-US"/>
        </w:rPr>
        <w:t>s</w:t>
      </w:r>
      <w:r w:rsidRPr="005F1F83">
        <w:rPr>
          <w:rFonts w:eastAsia="Calibri"/>
          <w:lang w:eastAsia="en-US"/>
        </w:rPr>
        <w:t xml:space="preserve"> may therefore cause delays in accessing these services.</w:t>
      </w:r>
    </w:p>
    <w:p w14:paraId="0F99C97B" w14:textId="19D31B40" w:rsidR="00F52619" w:rsidRDefault="00F52619" w:rsidP="00CC19AA"/>
    <w:p w14:paraId="29A18B14" w14:textId="77777777" w:rsidR="002A6BB1" w:rsidRDefault="002A6BB1" w:rsidP="00CD6572">
      <w:pPr>
        <w:pStyle w:val="Table"/>
        <w:rPr>
          <w:rFonts w:eastAsia="Calibri"/>
          <w:lang w:eastAsia="en-US"/>
        </w:rPr>
        <w:sectPr w:rsidR="002A6BB1" w:rsidSect="00CC19AA">
          <w:pgSz w:w="11907" w:h="16834" w:code="9"/>
          <w:pgMar w:top="1418" w:right="1701" w:bottom="1134" w:left="1843" w:header="284" w:footer="425" w:gutter="284"/>
          <w:cols w:space="720"/>
        </w:sectPr>
      </w:pPr>
      <w:bookmarkStart w:id="69" w:name="_Ref192173076"/>
      <w:bookmarkStart w:id="70" w:name="_Toc192349328"/>
    </w:p>
    <w:p w14:paraId="60329DF8" w14:textId="27227F91" w:rsidR="002A6BB1" w:rsidRPr="005F1F83" w:rsidRDefault="002A6BB1" w:rsidP="002A6BB1">
      <w:pPr>
        <w:pStyle w:val="Figure"/>
        <w:rPr>
          <w:rFonts w:eastAsia="Calibri"/>
          <w:lang w:eastAsia="en-US"/>
        </w:rPr>
      </w:pPr>
      <w:bookmarkStart w:id="71" w:name="_Ref192171385"/>
      <w:bookmarkStart w:id="72" w:name="_Toc192349315"/>
      <w:bookmarkStart w:id="73" w:name="_Toc195016588"/>
      <w:r w:rsidRPr="005F1F83">
        <w:rPr>
          <w:rFonts w:eastAsia="Calibri"/>
          <w:lang w:eastAsia="en-US"/>
        </w:rPr>
        <w:t>Figure</w:t>
      </w:r>
      <w:r>
        <w:rPr>
          <w:rFonts w:eastAsia="Calibri"/>
          <w:lang w:eastAsia="en-US"/>
        </w:rPr>
        <w:t xml:space="preserve"> </w:t>
      </w:r>
      <w:r>
        <w:rPr>
          <w:rFonts w:eastAsia="Calibri"/>
          <w:lang w:eastAsia="en-US"/>
        </w:rPr>
        <w:fldChar w:fldCharType="begin"/>
      </w:r>
      <w:r>
        <w:rPr>
          <w:rFonts w:eastAsia="Calibri"/>
          <w:lang w:eastAsia="en-US"/>
        </w:rPr>
        <w:instrText xml:space="preserve"> SEQ Figure \* ARABIC </w:instrText>
      </w:r>
      <w:r>
        <w:rPr>
          <w:rFonts w:eastAsia="Calibri"/>
          <w:lang w:eastAsia="en-US"/>
        </w:rPr>
        <w:fldChar w:fldCharType="separate"/>
      </w:r>
      <w:r w:rsidR="00974F51">
        <w:rPr>
          <w:rFonts w:eastAsia="Calibri"/>
          <w:noProof/>
          <w:lang w:eastAsia="en-US"/>
        </w:rPr>
        <w:t>4</w:t>
      </w:r>
      <w:r>
        <w:rPr>
          <w:rFonts w:eastAsia="Calibri"/>
          <w:lang w:eastAsia="en-US"/>
        </w:rPr>
        <w:fldChar w:fldCharType="end"/>
      </w:r>
      <w:bookmarkEnd w:id="71"/>
      <w:r w:rsidRPr="005F1F83">
        <w:rPr>
          <w:rFonts w:eastAsia="Calibri"/>
          <w:lang w:eastAsia="en-US"/>
        </w:rPr>
        <w:t>: Number of surgical abortions, by</w:t>
      </w:r>
      <w:r>
        <w:rPr>
          <w:rFonts w:eastAsia="Calibri"/>
          <w:lang w:eastAsia="en-US"/>
        </w:rPr>
        <w:t xml:space="preserve"> week’s</w:t>
      </w:r>
      <w:r w:rsidRPr="005F1F83">
        <w:rPr>
          <w:rFonts w:eastAsia="Calibri"/>
          <w:lang w:eastAsia="en-US"/>
        </w:rPr>
        <w:t xml:space="preserve"> gestation and profession, 2020, 2022 and </w:t>
      </w:r>
      <w:proofErr w:type="gramStart"/>
      <w:r w:rsidRPr="005F1F83">
        <w:rPr>
          <w:rFonts w:eastAsia="Calibri"/>
          <w:lang w:eastAsia="en-US"/>
        </w:rPr>
        <w:t>2024</w:t>
      </w:r>
      <w:bookmarkEnd w:id="72"/>
      <w:bookmarkEnd w:id="73"/>
      <w:proofErr w:type="gramEnd"/>
    </w:p>
    <w:p w14:paraId="6FEE72F7" w14:textId="696B5F6F" w:rsidR="002A6BB1" w:rsidRDefault="002A6BB1" w:rsidP="00897435">
      <w:pPr>
        <w:rPr>
          <w:rFonts w:eastAsia="Calibri"/>
          <w:lang w:eastAsia="en-US"/>
        </w:rPr>
      </w:pPr>
      <w:r>
        <w:rPr>
          <w:rFonts w:eastAsia="Calibri"/>
          <w:noProof/>
          <w:lang w:eastAsia="en-US"/>
        </w:rPr>
        <w:drawing>
          <wp:inline distT="0" distB="0" distL="0" distR="0" wp14:anchorId="6C319DF2" wp14:editId="34CBD27D">
            <wp:extent cx="5120701" cy="3759200"/>
            <wp:effectExtent l="0" t="0" r="3810"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123325" cy="3761126"/>
                    </a:xfrm>
                    <a:prstGeom prst="rect">
                      <a:avLst/>
                    </a:prstGeom>
                    <a:noFill/>
                  </pic:spPr>
                </pic:pic>
              </a:graphicData>
            </a:graphic>
          </wp:inline>
        </w:drawing>
      </w:r>
    </w:p>
    <w:p w14:paraId="57392394" w14:textId="3FD3E844" w:rsidR="002A6BB1" w:rsidRDefault="002A6BB1" w:rsidP="002A6BB1">
      <w:pPr>
        <w:pStyle w:val="Note"/>
        <w:rPr>
          <w:rFonts w:eastAsia="Calibri"/>
          <w:lang w:eastAsia="en-US"/>
        </w:rPr>
      </w:pPr>
      <w:r w:rsidRPr="002A6BB1">
        <w:rPr>
          <w:rFonts w:eastAsia="Calibri"/>
          <w:lang w:eastAsia="en-US"/>
        </w:rPr>
        <w:t>Note: Across these years, 5 early surgical abortions were performed by either an enrolling general practitioner (3) or a community midwife (2).</w:t>
      </w:r>
    </w:p>
    <w:p w14:paraId="6B6661DB" w14:textId="77777777" w:rsidR="002A6BB1" w:rsidRPr="005F1F83" w:rsidRDefault="002A6BB1" w:rsidP="002A6BB1">
      <w:pPr>
        <w:pStyle w:val="Heading2"/>
        <w:rPr>
          <w:rFonts w:eastAsia="Calibri"/>
          <w:lang w:eastAsia="en-US"/>
        </w:rPr>
      </w:pPr>
      <w:bookmarkStart w:id="74" w:name="_Toc192348809"/>
      <w:bookmarkStart w:id="75" w:name="_Toc195016567"/>
      <w:r w:rsidRPr="005F1F83">
        <w:rPr>
          <w:rFonts w:eastAsia="Calibri"/>
          <w:lang w:eastAsia="en-US"/>
        </w:rPr>
        <w:t xml:space="preserve">Continued barriers to in-person services, based on </w:t>
      </w:r>
      <w:r w:rsidRPr="00832CD8">
        <w:rPr>
          <w:rFonts w:eastAsia="Calibri"/>
          <w:lang w:eastAsia="en-US"/>
        </w:rPr>
        <w:t>district</w:t>
      </w:r>
      <w:r w:rsidRPr="005F1F83">
        <w:rPr>
          <w:rFonts w:eastAsia="Calibri"/>
          <w:lang w:eastAsia="en-US"/>
        </w:rPr>
        <w:t xml:space="preserve"> of </w:t>
      </w:r>
      <w:proofErr w:type="gramStart"/>
      <w:r w:rsidRPr="005F1F83">
        <w:rPr>
          <w:rFonts w:eastAsia="Calibri"/>
          <w:lang w:eastAsia="en-US"/>
        </w:rPr>
        <w:t>domicile</w:t>
      </w:r>
      <w:bookmarkEnd w:id="74"/>
      <w:bookmarkEnd w:id="75"/>
      <w:proofErr w:type="gramEnd"/>
    </w:p>
    <w:p w14:paraId="51C50B2A" w14:textId="07E13066" w:rsidR="002A6BB1" w:rsidRDefault="002A6BB1" w:rsidP="002A6BB1">
      <w:pPr>
        <w:rPr>
          <w:rFonts w:eastAsia="Calibri"/>
        </w:rPr>
      </w:pPr>
      <w:r w:rsidRPr="005F1F83">
        <w:rPr>
          <w:rFonts w:eastAsia="Calibri"/>
          <w:lang w:eastAsia="en-US"/>
        </w:rPr>
        <w:t>As we noted in the previous section, while the increase in providers and access through community-based facilities is encouraging, gaps in service provision remain</w:t>
      </w:r>
      <w:r w:rsidRPr="005F1F83">
        <w:rPr>
          <w:rFonts w:eastAsia="Calibri"/>
        </w:rPr>
        <w:t xml:space="preserve">. As the report for the 2023 calendar year recorded (Ministry of Health 2024a), the majority of in-person services are based within, or near, main urban centres. We therefore considered the impact of living in an urban area (urbanicity) compared with living in a rural area (rurality) on average drive time to an in-person service. </w:t>
      </w:r>
    </w:p>
    <w:p w14:paraId="650A7033" w14:textId="77777777" w:rsidR="002A6BB1" w:rsidRPr="005F1F83" w:rsidRDefault="002A6BB1" w:rsidP="002A6BB1">
      <w:pPr>
        <w:rPr>
          <w:rFonts w:eastAsia="Calibri"/>
        </w:rPr>
      </w:pPr>
    </w:p>
    <w:p w14:paraId="0F4A26CC" w14:textId="5C7F48BD" w:rsidR="002A6BB1" w:rsidRDefault="002A6BB1" w:rsidP="002A6BB1">
      <w:pPr>
        <w:rPr>
          <w:rFonts w:asciiTheme="minorHAnsi" w:eastAsia="Calibri" w:hAnsiTheme="minorHAnsi" w:cstheme="minorBidi"/>
          <w:lang w:eastAsia="en-US"/>
        </w:rPr>
      </w:pPr>
      <w:r w:rsidRPr="005F1F83">
        <w:rPr>
          <w:rFonts w:eastAsia="Calibri"/>
        </w:rPr>
        <w:t xml:space="preserve">We measure urbanicity/rurality using </w:t>
      </w:r>
      <w:r>
        <w:rPr>
          <w:rFonts w:eastAsia="Calibri"/>
        </w:rPr>
        <w:t xml:space="preserve">the </w:t>
      </w:r>
      <w:r w:rsidRPr="005F1F83">
        <w:rPr>
          <w:rFonts w:eastAsia="Calibri"/>
        </w:rPr>
        <w:t>Geographical Classification for Health (GCH). The GCH includes two urban categories (Urban 1 and Urban 2) and three rural categories (Rural 1 to Rural 3). To view a map of these classification areas, please visit the Rural Research Network’s ‘Maps’ webpage</w:t>
      </w:r>
      <w:r w:rsidRPr="005F1F83">
        <w:rPr>
          <w:rFonts w:asciiTheme="minorHAnsi" w:eastAsia="Calibri" w:hAnsiTheme="minorHAnsi" w:cstheme="minorBidi"/>
          <w:lang w:eastAsia="en-US"/>
        </w:rPr>
        <w:t xml:space="preserve"> (</w:t>
      </w:r>
      <w:hyperlink r:id="rId36" w:history="1">
        <w:r w:rsidRPr="005F1F83">
          <w:rPr>
            <w:rStyle w:val="Hyperlink"/>
            <w:rFonts w:asciiTheme="minorHAnsi" w:eastAsia="Calibri" w:hAnsiTheme="minorHAnsi" w:cstheme="minorBidi"/>
            <w:kern w:val="2"/>
            <w:sz w:val="22"/>
            <w:szCs w:val="22"/>
            <w:lang w:eastAsia="en-US"/>
            <w14:ligatures w14:val="standardContextual"/>
          </w:rPr>
          <w:t>https://rhrn.nz/gch/maps</w:t>
        </w:r>
      </w:hyperlink>
      <w:r w:rsidRPr="005F1F83">
        <w:rPr>
          <w:rFonts w:eastAsia="Calibri"/>
        </w:rPr>
        <w:t>)</w:t>
      </w:r>
      <w:r w:rsidRPr="005F1F83">
        <w:rPr>
          <w:rFonts w:asciiTheme="minorHAnsi" w:eastAsia="Calibri" w:hAnsiTheme="minorHAnsi" w:cstheme="minorBidi"/>
          <w:lang w:eastAsia="en-US"/>
        </w:rPr>
        <w:t xml:space="preserve">. </w:t>
      </w:r>
    </w:p>
    <w:p w14:paraId="1A16704D" w14:textId="77777777" w:rsidR="002A6BB1" w:rsidRPr="005F1F83" w:rsidRDefault="002A6BB1" w:rsidP="002A6BB1">
      <w:pPr>
        <w:rPr>
          <w:rFonts w:eastAsia="Calibri"/>
          <w:lang w:eastAsia="en-US"/>
        </w:rPr>
      </w:pPr>
    </w:p>
    <w:p w14:paraId="2ABF201A" w14:textId="7DBD9856" w:rsidR="002A6BB1" w:rsidRPr="00893280" w:rsidRDefault="002A6BB1" w:rsidP="002A6BB1">
      <w:pPr>
        <w:rPr>
          <w:rFonts w:eastAsia="Calibri"/>
          <w:lang w:eastAsia="en-US"/>
        </w:rPr>
      </w:pPr>
      <w:r w:rsidRPr="00893280">
        <w:rPr>
          <w:rFonts w:eastAsia="Calibri"/>
          <w:lang w:eastAsia="en-US"/>
        </w:rPr>
        <w:t xml:space="preserve">As </w:t>
      </w:r>
      <w:r w:rsidRPr="00893280">
        <w:rPr>
          <w:rFonts w:eastAsia="Calibri"/>
          <w:lang w:eastAsia="en-US"/>
        </w:rPr>
        <w:fldChar w:fldCharType="begin"/>
      </w:r>
      <w:r w:rsidRPr="00893280">
        <w:rPr>
          <w:rFonts w:eastAsia="Calibri"/>
          <w:lang w:eastAsia="en-US"/>
        </w:rPr>
        <w:instrText xml:space="preserve"> REF _Ref192172195 \h  \* MERGEFORMAT </w:instrText>
      </w:r>
      <w:r w:rsidRPr="00893280">
        <w:rPr>
          <w:rFonts w:eastAsia="Calibri"/>
          <w:lang w:eastAsia="en-US"/>
        </w:rPr>
      </w:r>
      <w:r w:rsidRPr="00893280">
        <w:rPr>
          <w:rFonts w:eastAsia="Calibri"/>
          <w:lang w:eastAsia="en-US"/>
        </w:rPr>
        <w:fldChar w:fldCharType="separate"/>
      </w:r>
      <w:r w:rsidR="00974F51" w:rsidRPr="00307017">
        <w:t xml:space="preserve">Figure </w:t>
      </w:r>
      <w:r w:rsidR="00974F51">
        <w:t>5</w:t>
      </w:r>
      <w:r w:rsidRPr="00893280">
        <w:rPr>
          <w:rFonts w:eastAsia="Calibri"/>
          <w:lang w:eastAsia="en-US"/>
        </w:rPr>
        <w:fldChar w:fldCharType="end"/>
      </w:r>
      <w:r w:rsidRPr="00893280">
        <w:rPr>
          <w:rFonts w:eastAsia="Calibri"/>
          <w:lang w:eastAsia="en-US"/>
        </w:rPr>
        <w:t xml:space="preserve"> shows, average drive time to in-person services </w:t>
      </w:r>
      <w:proofErr w:type="gramStart"/>
      <w:r w:rsidRPr="00893280">
        <w:rPr>
          <w:rFonts w:eastAsia="Calibri"/>
          <w:lang w:eastAsia="en-US"/>
        </w:rPr>
        <w:t>was</w:t>
      </w:r>
      <w:proofErr w:type="gramEnd"/>
      <w:r w:rsidRPr="00893280">
        <w:rPr>
          <w:rFonts w:eastAsia="Calibri"/>
          <w:lang w:eastAsia="en-US"/>
        </w:rPr>
        <w:t xml:space="preserve"> greatest for those living rurally, particularly for those living within the most rural areas (Rural 2 and 3). Additionally, for those living most rurally, average drive-time increased as socioeconomic deprivation increased.</w:t>
      </w:r>
    </w:p>
    <w:p w14:paraId="013F3D92" w14:textId="389C06ED" w:rsidR="002A6BB1" w:rsidRDefault="002A6BB1" w:rsidP="002A6BB1">
      <w:pPr>
        <w:pStyle w:val="Figure"/>
      </w:pPr>
      <w:bookmarkStart w:id="76" w:name="_Ref192172195"/>
      <w:bookmarkStart w:id="77" w:name="_Toc192349316"/>
      <w:bookmarkStart w:id="78" w:name="_Toc195016589"/>
      <w:r w:rsidRPr="00307017">
        <w:t xml:space="preserve">Figure </w:t>
      </w:r>
      <w:r>
        <w:fldChar w:fldCharType="begin"/>
      </w:r>
      <w:r>
        <w:instrText xml:space="preserve"> SEQ Figure \* ARABIC </w:instrText>
      </w:r>
      <w:r>
        <w:fldChar w:fldCharType="separate"/>
      </w:r>
      <w:r w:rsidR="00974F51">
        <w:rPr>
          <w:noProof/>
        </w:rPr>
        <w:t>5</w:t>
      </w:r>
      <w:r>
        <w:rPr>
          <w:noProof/>
        </w:rPr>
        <w:fldChar w:fldCharType="end"/>
      </w:r>
      <w:bookmarkEnd w:id="76"/>
      <w:r w:rsidRPr="00307017">
        <w:t xml:space="preserve">: Average drive time (in minutes) for females aged 15–44 years to nearest in-person abortion provider, by level of socioeconomic deprivation and GCH urban–rural index, </w:t>
      </w:r>
      <w:proofErr w:type="gramStart"/>
      <w:r w:rsidRPr="00307017">
        <w:t>2023</w:t>
      </w:r>
      <w:bookmarkEnd w:id="77"/>
      <w:bookmarkEnd w:id="78"/>
      <w:proofErr w:type="gramEnd"/>
    </w:p>
    <w:p w14:paraId="294ADAD0" w14:textId="6784A5EA" w:rsidR="002A6BB1" w:rsidRDefault="002A6BB1" w:rsidP="002A6BB1">
      <w:pPr>
        <w:pStyle w:val="Note"/>
        <w:rPr>
          <w:rFonts w:eastAsia="Calibri"/>
        </w:rPr>
      </w:pPr>
      <w:r>
        <w:rPr>
          <w:rFonts w:eastAsia="Calibri"/>
          <w:noProof/>
        </w:rPr>
        <w:drawing>
          <wp:inline distT="0" distB="0" distL="0" distR="0" wp14:anchorId="6DEB3E9E" wp14:editId="0A56C361">
            <wp:extent cx="5130165" cy="2307939"/>
            <wp:effectExtent l="0" t="0" r="0" b="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130165" cy="2307939"/>
                    </a:xfrm>
                    <a:prstGeom prst="rect">
                      <a:avLst/>
                    </a:prstGeom>
                    <a:noFill/>
                  </pic:spPr>
                </pic:pic>
              </a:graphicData>
            </a:graphic>
          </wp:inline>
        </w:drawing>
      </w:r>
    </w:p>
    <w:p w14:paraId="2829792A" w14:textId="6D04523C" w:rsidR="002A6BB1" w:rsidRDefault="002A6BB1" w:rsidP="002A6BB1">
      <w:pPr>
        <w:pStyle w:val="Note"/>
        <w:rPr>
          <w:rFonts w:eastAsia="Calibri"/>
          <w:lang w:eastAsia="en-US"/>
        </w:rPr>
      </w:pPr>
      <w:r w:rsidRPr="005F1F83">
        <w:rPr>
          <w:rFonts w:eastAsia="Calibri"/>
          <w:lang w:eastAsia="en-US"/>
        </w:rPr>
        <w:t>Note: ‘Females aged 15-44 years’ refers to self-reported population-level trends retrieved from national databases. Socioeconomic deciles are measured using the New Zealand Index of Deprivation. Population-level drive time data is not yet available for 2024.</w:t>
      </w:r>
    </w:p>
    <w:p w14:paraId="59D3B019" w14:textId="77777777" w:rsidR="002A6BB1" w:rsidRPr="002A6BB1" w:rsidRDefault="002A6BB1" w:rsidP="002A6BB1">
      <w:pPr>
        <w:rPr>
          <w:rFonts w:eastAsia="Calibri"/>
          <w:lang w:eastAsia="en-US"/>
        </w:rPr>
      </w:pPr>
    </w:p>
    <w:p w14:paraId="5A1A18AC" w14:textId="3B7325A8" w:rsidR="002A6BB1" w:rsidRPr="005F1F83" w:rsidRDefault="002A6BB1" w:rsidP="002A6BB1">
      <w:pPr>
        <w:rPr>
          <w:rFonts w:eastAsia="Calibri"/>
          <w:lang w:eastAsia="en-US"/>
        </w:rPr>
      </w:pPr>
      <w:r w:rsidRPr="005F1F83">
        <w:rPr>
          <w:rFonts w:eastAsia="Calibri"/>
          <w:lang w:eastAsia="en-US"/>
        </w:rPr>
        <w:t xml:space="preserve">A </w:t>
      </w:r>
      <w:r w:rsidR="00752368">
        <w:rPr>
          <w:rFonts w:eastAsia="Calibri"/>
          <w:lang w:eastAsia="en-US"/>
        </w:rPr>
        <w:t>woman</w:t>
      </w:r>
      <w:r w:rsidR="00752368" w:rsidRPr="005F1F83">
        <w:rPr>
          <w:rFonts w:eastAsia="Calibri"/>
          <w:lang w:eastAsia="en-US"/>
        </w:rPr>
        <w:t xml:space="preserve">’s </w:t>
      </w:r>
      <w:r w:rsidRPr="005F1F83">
        <w:rPr>
          <w:rFonts w:eastAsia="Calibri"/>
          <w:lang w:eastAsia="en-US"/>
        </w:rPr>
        <w:t>district of domicile impacts average drive</w:t>
      </w:r>
      <w:r>
        <w:rPr>
          <w:rFonts w:eastAsia="Calibri"/>
          <w:lang w:eastAsia="en-US"/>
        </w:rPr>
        <w:t xml:space="preserve"> </w:t>
      </w:r>
      <w:r w:rsidRPr="005F1F83">
        <w:rPr>
          <w:rFonts w:eastAsia="Calibri"/>
          <w:lang w:eastAsia="en-US"/>
        </w:rPr>
        <w:t>time to an in-person facility. Measures of rurality/urbanicity compound these effects (</w:t>
      </w:r>
      <w:r w:rsidR="005C268D">
        <w:rPr>
          <w:rFonts w:eastAsia="Calibri"/>
          <w:lang w:eastAsia="en-US"/>
        </w:rPr>
        <w:fldChar w:fldCharType="begin"/>
      </w:r>
      <w:r w:rsidR="005C268D">
        <w:rPr>
          <w:rFonts w:eastAsia="Calibri"/>
          <w:lang w:eastAsia="en-US"/>
        </w:rPr>
        <w:instrText xml:space="preserve"> REF _Ref192758497 \h </w:instrText>
      </w:r>
      <w:r w:rsidR="005C268D">
        <w:rPr>
          <w:rFonts w:eastAsia="Calibri"/>
          <w:lang w:eastAsia="en-US"/>
        </w:rPr>
      </w:r>
      <w:r w:rsidR="005C268D">
        <w:rPr>
          <w:rFonts w:eastAsia="Calibri"/>
          <w:lang w:eastAsia="en-US"/>
        </w:rPr>
        <w:fldChar w:fldCharType="separate"/>
      </w:r>
      <w:r w:rsidR="00974F51" w:rsidRPr="005F1F83">
        <w:t xml:space="preserve">Figure </w:t>
      </w:r>
      <w:r w:rsidR="00974F51">
        <w:rPr>
          <w:noProof/>
        </w:rPr>
        <w:t>6</w:t>
      </w:r>
      <w:r w:rsidR="005C268D">
        <w:rPr>
          <w:rFonts w:eastAsia="Calibri"/>
          <w:lang w:eastAsia="en-US"/>
        </w:rPr>
        <w:fldChar w:fldCharType="end"/>
      </w:r>
      <w:r w:rsidRPr="005F1F83">
        <w:rPr>
          <w:rFonts w:eastAsia="Calibri"/>
          <w:lang w:eastAsia="en-US"/>
        </w:rPr>
        <w:t xml:space="preserve">). For instance, while </w:t>
      </w:r>
      <w:r w:rsidR="00CA50FC">
        <w:t>women</w:t>
      </w:r>
      <w:r w:rsidRPr="005F1F83">
        <w:rPr>
          <w:rFonts w:eastAsia="Calibri"/>
          <w:lang w:eastAsia="en-US"/>
        </w:rPr>
        <w:t xml:space="preserve"> living in rural areas typically have a longer average drive time to an in-person service, this impact is most pronounced in Auckland. </w:t>
      </w:r>
      <w:r>
        <w:rPr>
          <w:rFonts w:eastAsia="Calibri"/>
          <w:lang w:eastAsia="en-US"/>
        </w:rPr>
        <w:t>Yet</w:t>
      </w:r>
      <w:r w:rsidRPr="005F1F83">
        <w:rPr>
          <w:rFonts w:eastAsia="Calibri"/>
          <w:lang w:eastAsia="en-US"/>
        </w:rPr>
        <w:t xml:space="preserve"> in areas such as Whanganui and Wairarapa, average drive times to an in-person service provider are </w:t>
      </w:r>
      <w:r>
        <w:rPr>
          <w:rFonts w:eastAsia="Calibri"/>
          <w:lang w:eastAsia="en-US"/>
        </w:rPr>
        <w:t>about the same across the different</w:t>
      </w:r>
      <w:r w:rsidRPr="005F1F83">
        <w:rPr>
          <w:rFonts w:eastAsia="Calibri"/>
          <w:lang w:eastAsia="en-US"/>
        </w:rPr>
        <w:t xml:space="preserve"> measures of urbanicity/rurality. These differences reflect inequitable access to services, depending on a </w:t>
      </w:r>
      <w:r w:rsidR="00752368">
        <w:rPr>
          <w:rFonts w:eastAsia="Calibri"/>
          <w:lang w:eastAsia="en-US"/>
        </w:rPr>
        <w:t>woman</w:t>
      </w:r>
      <w:r w:rsidRPr="005F1F83">
        <w:rPr>
          <w:rFonts w:eastAsia="Calibri"/>
          <w:lang w:eastAsia="en-US"/>
        </w:rPr>
        <w:t xml:space="preserve">’s district of domicile </w:t>
      </w:r>
      <w:r>
        <w:rPr>
          <w:rFonts w:eastAsia="Calibri"/>
          <w:lang w:eastAsia="en-US"/>
        </w:rPr>
        <w:t>as well as</w:t>
      </w:r>
      <w:r w:rsidRPr="005F1F83">
        <w:rPr>
          <w:rFonts w:eastAsia="Calibri"/>
          <w:lang w:eastAsia="en-US"/>
        </w:rPr>
        <w:t xml:space="preserve"> rurality/urbanicity.</w:t>
      </w:r>
    </w:p>
    <w:p w14:paraId="66DDFDF0" w14:textId="0606A1C2" w:rsidR="002A6BB1" w:rsidRDefault="002A6BB1" w:rsidP="002A6BB1">
      <w:pPr>
        <w:pStyle w:val="Note"/>
        <w:rPr>
          <w:rFonts w:eastAsia="Calibri"/>
        </w:rPr>
      </w:pPr>
    </w:p>
    <w:p w14:paraId="64721546" w14:textId="77777777" w:rsidR="002A6BB1" w:rsidRDefault="002A6BB1" w:rsidP="002A6BB1">
      <w:pPr>
        <w:pStyle w:val="Figure"/>
        <w:sectPr w:rsidR="002A6BB1" w:rsidSect="00CC19AA">
          <w:pgSz w:w="11907" w:h="16834" w:code="9"/>
          <w:pgMar w:top="1418" w:right="1701" w:bottom="1134" w:left="1843" w:header="284" w:footer="425" w:gutter="284"/>
          <w:cols w:space="720"/>
        </w:sectPr>
      </w:pPr>
      <w:bookmarkStart w:id="79" w:name="_Ref192172604"/>
      <w:bookmarkStart w:id="80" w:name="_Toc192349317"/>
    </w:p>
    <w:p w14:paraId="45DEBDDA" w14:textId="45F75C59" w:rsidR="002A6BB1" w:rsidRPr="005F1F83" w:rsidRDefault="002A6BB1" w:rsidP="002A6BB1">
      <w:pPr>
        <w:pStyle w:val="Figure"/>
        <w:rPr>
          <w:rFonts w:eastAsia="Calibri"/>
          <w:kern w:val="2"/>
          <w:lang w:eastAsia="en-US"/>
          <w14:ligatures w14:val="standardContextual"/>
        </w:rPr>
      </w:pPr>
      <w:bookmarkStart w:id="81" w:name="_Ref192758497"/>
      <w:bookmarkStart w:id="82" w:name="_Toc195016590"/>
      <w:r w:rsidRPr="005F1F83">
        <w:t xml:space="preserve">Figure </w:t>
      </w:r>
      <w:r>
        <w:fldChar w:fldCharType="begin"/>
      </w:r>
      <w:r>
        <w:instrText xml:space="preserve"> SEQ Figure \* ARABIC </w:instrText>
      </w:r>
      <w:r>
        <w:fldChar w:fldCharType="separate"/>
      </w:r>
      <w:r w:rsidR="00974F51">
        <w:rPr>
          <w:noProof/>
        </w:rPr>
        <w:t>6</w:t>
      </w:r>
      <w:r>
        <w:rPr>
          <w:noProof/>
        </w:rPr>
        <w:fldChar w:fldCharType="end"/>
      </w:r>
      <w:bookmarkEnd w:id="79"/>
      <w:bookmarkEnd w:id="81"/>
      <w:r w:rsidRPr="005F1F83">
        <w:t xml:space="preserve">: Average drive time (in minutes) for females aged 15–44 years to nearest in-person abortion provider, by district of domicile and GCH urban-rural index, </w:t>
      </w:r>
      <w:proofErr w:type="gramStart"/>
      <w:r w:rsidRPr="005F1F83">
        <w:t>2023</w:t>
      </w:r>
      <w:bookmarkEnd w:id="80"/>
      <w:bookmarkEnd w:id="82"/>
      <w:proofErr w:type="gramEnd"/>
    </w:p>
    <w:p w14:paraId="477832EB" w14:textId="5651B7E0" w:rsidR="002A6BB1" w:rsidRPr="002A6BB1" w:rsidRDefault="002A6BB1" w:rsidP="002A6BB1">
      <w:pPr>
        <w:rPr>
          <w:rFonts w:eastAsia="Calibri"/>
        </w:rPr>
      </w:pPr>
      <w:r>
        <w:rPr>
          <w:rFonts w:eastAsia="Calibri"/>
          <w:noProof/>
        </w:rPr>
        <w:drawing>
          <wp:inline distT="0" distB="0" distL="0" distR="0" wp14:anchorId="466F9129" wp14:editId="3D921C08">
            <wp:extent cx="5035550" cy="3133725"/>
            <wp:effectExtent l="0" t="0" r="0" b="9525"/>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035550" cy="3133725"/>
                    </a:xfrm>
                    <a:prstGeom prst="rect">
                      <a:avLst/>
                    </a:prstGeom>
                    <a:noFill/>
                  </pic:spPr>
                </pic:pic>
              </a:graphicData>
            </a:graphic>
          </wp:inline>
        </w:drawing>
      </w:r>
    </w:p>
    <w:p w14:paraId="52927DA8" w14:textId="6FE0CA27" w:rsidR="002A6BB1" w:rsidRDefault="002A6BB1" w:rsidP="002A6BB1">
      <w:pPr>
        <w:pStyle w:val="Note"/>
        <w:rPr>
          <w:rFonts w:eastAsia="Calibri"/>
          <w:lang w:eastAsia="en-US"/>
        </w:rPr>
      </w:pPr>
      <w:r w:rsidRPr="005F1F83">
        <w:rPr>
          <w:rFonts w:eastAsia="Calibri"/>
          <w:lang w:eastAsia="en-US"/>
        </w:rPr>
        <w:t xml:space="preserve">Note: The entire Hutt Valley district is classified as urban, and the entire West Coast district is classified as rural. ‘Females aged 15–44 years’ refers to self-reported population-level trends retrieved from national </w:t>
      </w:r>
      <w:r w:rsidRPr="00307017">
        <w:rPr>
          <w:rFonts w:eastAsia="Calibri"/>
          <w:lang w:eastAsia="en-US"/>
        </w:rPr>
        <w:t>databases.</w:t>
      </w:r>
    </w:p>
    <w:p w14:paraId="1DB8302F" w14:textId="77777777" w:rsidR="002A6BB1" w:rsidRPr="002A6BB1" w:rsidRDefault="002A6BB1" w:rsidP="002A6BB1">
      <w:pPr>
        <w:rPr>
          <w:rFonts w:eastAsia="Calibri"/>
          <w:lang w:eastAsia="en-US"/>
        </w:rPr>
      </w:pPr>
    </w:p>
    <w:p w14:paraId="58EB77AA" w14:textId="385BCFB1" w:rsidR="002A6BB1" w:rsidRDefault="002A6BB1" w:rsidP="002A6BB1">
      <w:pPr>
        <w:rPr>
          <w:rFonts w:eastAsia="Calibri"/>
          <w:kern w:val="2"/>
          <w:lang w:eastAsia="en-US"/>
          <w14:ligatures w14:val="standardContextual"/>
        </w:rPr>
      </w:pPr>
      <w:r w:rsidRPr="00307017">
        <w:rPr>
          <w:rFonts w:eastAsia="Calibri"/>
          <w:lang w:eastAsia="en-US"/>
        </w:rPr>
        <w:t xml:space="preserve">Importantly, these regional variations are most likely to have their largest impact on access to surgical abortions. As reported above, 83% of abortions at later than 9 weeks’ gestation are performed surgically. </w:t>
      </w:r>
      <w:r w:rsidRPr="00307017">
        <w:rPr>
          <w:rFonts w:eastAsia="Calibri"/>
          <w:kern w:val="2"/>
          <w:lang w:eastAsia="en-US"/>
          <w14:ligatures w14:val="standardContextual"/>
        </w:rPr>
        <w:t xml:space="preserve">This presents an additional burden for </w:t>
      </w:r>
      <w:r w:rsidR="00CA50FC">
        <w:t>women</w:t>
      </w:r>
      <w:r w:rsidRPr="00307017">
        <w:rPr>
          <w:rFonts w:eastAsia="Calibri"/>
          <w:kern w:val="2"/>
          <w:lang w:eastAsia="en-US"/>
          <w14:ligatures w14:val="standardContextual"/>
        </w:rPr>
        <w:t xml:space="preserve">, particularly those in rural communities, who may not live near a hospital or community specialist that is able to provide a surgical abortion. In 2024, 43% of </w:t>
      </w:r>
      <w:r w:rsidR="00A124A0">
        <w:rPr>
          <w:rFonts w:eastAsia="Calibri"/>
        </w:rPr>
        <w:t>women</w:t>
      </w:r>
      <w:r w:rsidRPr="00307017">
        <w:rPr>
          <w:rFonts w:eastAsia="Calibri"/>
          <w:kern w:val="2"/>
          <w:lang w:eastAsia="en-US"/>
          <w14:ligatures w14:val="standardContextual"/>
        </w:rPr>
        <w:t xml:space="preserve"> accessing a surgical abortion had to travel out of their district of domicile for service. As </w:t>
      </w:r>
      <w:r w:rsidR="00007DDE">
        <w:rPr>
          <w:rFonts w:eastAsia="Calibri"/>
          <w:kern w:val="2"/>
          <w:lang w:eastAsia="en-US"/>
          <w14:ligatures w14:val="standardContextual"/>
        </w:rPr>
        <w:fldChar w:fldCharType="begin"/>
      </w:r>
      <w:r w:rsidR="00007DDE">
        <w:rPr>
          <w:rFonts w:eastAsia="Calibri"/>
          <w:kern w:val="2"/>
          <w:lang w:eastAsia="en-US"/>
          <w14:ligatures w14:val="standardContextual"/>
        </w:rPr>
        <w:instrText xml:space="preserve"> REF _Ref192758576 \h </w:instrText>
      </w:r>
      <w:r w:rsidR="00007DDE">
        <w:rPr>
          <w:rFonts w:eastAsia="Calibri"/>
          <w:kern w:val="2"/>
          <w:lang w:eastAsia="en-US"/>
          <w14:ligatures w14:val="standardContextual"/>
        </w:rPr>
      </w:r>
      <w:r w:rsidR="00007DDE">
        <w:rPr>
          <w:rFonts w:eastAsia="Calibri"/>
          <w:kern w:val="2"/>
          <w:lang w:eastAsia="en-US"/>
          <w14:ligatures w14:val="standardContextual"/>
        </w:rPr>
        <w:fldChar w:fldCharType="separate"/>
      </w:r>
      <w:r w:rsidR="00974F51" w:rsidRPr="005F1F83">
        <w:rPr>
          <w:rFonts w:eastAsia="Calibri"/>
          <w:lang w:eastAsia="en-US"/>
        </w:rPr>
        <w:t xml:space="preserve">Table </w:t>
      </w:r>
      <w:r w:rsidR="00974F51">
        <w:rPr>
          <w:rFonts w:eastAsia="Calibri"/>
          <w:noProof/>
          <w:lang w:eastAsia="en-US"/>
        </w:rPr>
        <w:t>6</w:t>
      </w:r>
      <w:r w:rsidR="00007DDE">
        <w:rPr>
          <w:rFonts w:eastAsia="Calibri"/>
          <w:kern w:val="2"/>
          <w:lang w:eastAsia="en-US"/>
          <w14:ligatures w14:val="standardContextual"/>
        </w:rPr>
        <w:fldChar w:fldCharType="end"/>
      </w:r>
      <w:r w:rsidR="00007DDE">
        <w:rPr>
          <w:rFonts w:eastAsia="Calibri"/>
          <w:kern w:val="2"/>
          <w:lang w:eastAsia="en-US"/>
          <w14:ligatures w14:val="standardContextual"/>
        </w:rPr>
        <w:t xml:space="preserve"> </w:t>
      </w:r>
      <w:r w:rsidRPr="00307017">
        <w:rPr>
          <w:rFonts w:eastAsia="Calibri"/>
          <w:kern w:val="2"/>
          <w:lang w:eastAsia="en-US"/>
          <w14:ligatures w14:val="standardContextual"/>
        </w:rPr>
        <w:t xml:space="preserve">shows, the percentage of </w:t>
      </w:r>
      <w:r w:rsidR="00CA50FC">
        <w:t>women</w:t>
      </w:r>
      <w:r w:rsidRPr="00307017">
        <w:rPr>
          <w:rFonts w:eastAsia="Calibri"/>
          <w:kern w:val="2"/>
          <w:lang w:eastAsia="en-US"/>
          <w14:ligatures w14:val="standardContextual"/>
        </w:rPr>
        <w:t xml:space="preserve"> who have to travel out of their district increases as gestation increases.</w:t>
      </w:r>
      <w:r w:rsidRPr="005F1F83">
        <w:rPr>
          <w:rFonts w:eastAsia="Calibri"/>
          <w:kern w:val="2"/>
          <w:lang w:eastAsia="en-US"/>
          <w14:ligatures w14:val="standardContextual"/>
        </w:rPr>
        <w:t xml:space="preserve"> </w:t>
      </w:r>
    </w:p>
    <w:p w14:paraId="010E2335" w14:textId="77777777" w:rsidR="002A6BB1" w:rsidRPr="005F1F83" w:rsidRDefault="002A6BB1" w:rsidP="002A6BB1">
      <w:pPr>
        <w:rPr>
          <w:rFonts w:eastAsia="Calibri"/>
          <w:kern w:val="2"/>
          <w:lang w:eastAsia="en-US"/>
          <w14:ligatures w14:val="standardContextual"/>
        </w:rPr>
      </w:pPr>
    </w:p>
    <w:p w14:paraId="5C5A8DB2" w14:textId="7D06E56F" w:rsidR="002A6BB1" w:rsidRPr="005F1F83" w:rsidRDefault="002A6BB1" w:rsidP="002A6BB1">
      <w:pPr>
        <w:rPr>
          <w:rFonts w:eastAsia="Calibri"/>
          <w:lang w:eastAsia="en-US"/>
        </w:rPr>
      </w:pPr>
      <w:r w:rsidRPr="005F1F83">
        <w:rPr>
          <w:rFonts w:eastAsia="Calibri"/>
          <w:lang w:eastAsia="en-US"/>
        </w:rPr>
        <w:t xml:space="preserve">Notably, these figures likely do not account for the full burden of travelling for abortion. </w:t>
      </w:r>
      <w:r w:rsidR="00CA50FC">
        <w:t>Women</w:t>
      </w:r>
      <w:r w:rsidRPr="005F1F83">
        <w:rPr>
          <w:rFonts w:eastAsia="Calibri"/>
          <w:lang w:eastAsia="en-US"/>
        </w:rPr>
        <w:t xml:space="preserve"> may face additional barriers related to travelling when they would otherwise elect to have a surgical abortion, or an abortion at greater than 10 weeks’ gestation. For instance, </w:t>
      </w:r>
      <w:r w:rsidR="007F2FC3">
        <w:t>women</w:t>
      </w:r>
      <w:r w:rsidRPr="005F1F83">
        <w:rPr>
          <w:rFonts w:eastAsia="Calibri"/>
          <w:lang w:eastAsia="en-US"/>
        </w:rPr>
        <w:t xml:space="preserve"> with cognitive or physical disabilities may be disadvantaged in accessing timely and affordable transport, particularly if they live rurally or depend on caregivers’ support for arranging travel. </w:t>
      </w:r>
    </w:p>
    <w:p w14:paraId="732F7749" w14:textId="7F001BE9" w:rsidR="002A6BB1" w:rsidRDefault="002A6BB1" w:rsidP="002A6BB1">
      <w:pPr>
        <w:rPr>
          <w:rFonts w:eastAsia="Calibri"/>
          <w:lang w:eastAsia="en-US"/>
        </w:rPr>
      </w:pPr>
    </w:p>
    <w:p w14:paraId="423BA52B" w14:textId="053C2F47" w:rsidR="002A6BB1" w:rsidRDefault="002A6BB1" w:rsidP="002A6BB1">
      <w:pPr>
        <w:rPr>
          <w:rFonts w:eastAsia="Calibri"/>
          <w:lang w:eastAsia="en-US"/>
        </w:rPr>
      </w:pPr>
    </w:p>
    <w:p w14:paraId="70EE634C" w14:textId="77777777" w:rsidR="002A6BB1" w:rsidRPr="002A6BB1" w:rsidRDefault="002A6BB1" w:rsidP="002A6BB1">
      <w:pPr>
        <w:rPr>
          <w:rFonts w:eastAsia="Calibri"/>
          <w:lang w:eastAsia="en-US"/>
        </w:rPr>
      </w:pPr>
    </w:p>
    <w:p w14:paraId="30B2559C" w14:textId="77777777" w:rsidR="002A6BB1" w:rsidRDefault="002A6BB1" w:rsidP="00CD6572">
      <w:pPr>
        <w:pStyle w:val="Table"/>
        <w:rPr>
          <w:rFonts w:eastAsia="Calibri"/>
          <w:lang w:eastAsia="en-US"/>
        </w:rPr>
        <w:sectPr w:rsidR="002A6BB1" w:rsidSect="00CC19AA">
          <w:pgSz w:w="11907" w:h="16834" w:code="9"/>
          <w:pgMar w:top="1418" w:right="1701" w:bottom="1134" w:left="1843" w:header="284" w:footer="425" w:gutter="284"/>
          <w:cols w:space="720"/>
        </w:sectPr>
      </w:pPr>
    </w:p>
    <w:p w14:paraId="53D35389" w14:textId="3B2C0BC4" w:rsidR="00F52619" w:rsidRPr="005F1F83" w:rsidRDefault="00F52619" w:rsidP="00CD6572">
      <w:pPr>
        <w:pStyle w:val="Table"/>
        <w:rPr>
          <w:rFonts w:eastAsia="Calibri"/>
          <w:kern w:val="2"/>
          <w:lang w:eastAsia="en-US"/>
          <w14:ligatures w14:val="standardContextual"/>
        </w:rPr>
      </w:pPr>
      <w:bookmarkStart w:id="83" w:name="_Ref192758576"/>
      <w:bookmarkStart w:id="84" w:name="_Toc195016599"/>
      <w:r w:rsidRPr="005F1F83">
        <w:rPr>
          <w:rFonts w:eastAsia="Calibri"/>
          <w:lang w:eastAsia="en-US"/>
        </w:rPr>
        <w:t xml:space="preserve">Table </w:t>
      </w:r>
      <w:r w:rsidRPr="005F1F83">
        <w:rPr>
          <w:rFonts w:eastAsia="Calibri"/>
          <w:lang w:eastAsia="en-US"/>
        </w:rPr>
        <w:fldChar w:fldCharType="begin"/>
      </w:r>
      <w:r w:rsidRPr="005F1F83">
        <w:rPr>
          <w:rFonts w:eastAsia="Calibri"/>
          <w:lang w:eastAsia="en-US"/>
        </w:rPr>
        <w:instrText xml:space="preserve"> SEQ Table \* ARABIC </w:instrText>
      </w:r>
      <w:r w:rsidRPr="005F1F83">
        <w:rPr>
          <w:rFonts w:eastAsia="Calibri"/>
          <w:lang w:eastAsia="en-US"/>
        </w:rPr>
        <w:fldChar w:fldCharType="separate"/>
      </w:r>
      <w:r w:rsidR="00974F51">
        <w:rPr>
          <w:rFonts w:eastAsia="Calibri"/>
          <w:noProof/>
          <w:lang w:eastAsia="en-US"/>
        </w:rPr>
        <w:t>6</w:t>
      </w:r>
      <w:r w:rsidRPr="005F1F83">
        <w:rPr>
          <w:rFonts w:eastAsia="Calibri"/>
          <w:lang w:eastAsia="en-US"/>
        </w:rPr>
        <w:fldChar w:fldCharType="end"/>
      </w:r>
      <w:bookmarkEnd w:id="69"/>
      <w:bookmarkEnd w:id="83"/>
      <w:r w:rsidRPr="005F1F83">
        <w:rPr>
          <w:rFonts w:eastAsia="Calibri"/>
          <w:lang w:eastAsia="en-US"/>
        </w:rPr>
        <w:t xml:space="preserve">: Number and percentage of surgical abortions occurring outside of district of domicile, by gestation, 2020, 2022 and </w:t>
      </w:r>
      <w:proofErr w:type="gramStart"/>
      <w:r w:rsidRPr="005F1F83">
        <w:rPr>
          <w:rFonts w:eastAsia="Calibri"/>
          <w:lang w:eastAsia="en-US"/>
        </w:rPr>
        <w:t>2024</w:t>
      </w:r>
      <w:bookmarkEnd w:id="70"/>
      <w:bookmarkEnd w:id="84"/>
      <w:proofErr w:type="gramEnd"/>
    </w:p>
    <w:tbl>
      <w:tblPr>
        <w:tblW w:w="5000" w:type="pct"/>
        <w:tblBorders>
          <w:top w:val="single" w:sz="4" w:space="0" w:color="A6A6A6" w:themeColor="background1" w:themeShade="A6"/>
          <w:bottom w:val="single" w:sz="4" w:space="0" w:color="A6A6A6" w:themeColor="background1" w:themeShade="A6"/>
          <w:insideH w:val="single" w:sz="6" w:space="0" w:color="A6A6A6" w:themeColor="background1" w:themeShade="A6"/>
        </w:tblBorders>
        <w:tblLook w:val="04A0" w:firstRow="1" w:lastRow="0" w:firstColumn="1" w:lastColumn="0" w:noHBand="0" w:noVBand="1"/>
      </w:tblPr>
      <w:tblGrid>
        <w:gridCol w:w="2019"/>
        <w:gridCol w:w="2020"/>
        <w:gridCol w:w="2020"/>
        <w:gridCol w:w="2020"/>
      </w:tblGrid>
      <w:tr w:rsidR="00F52619" w:rsidRPr="00F52619" w14:paraId="477F2E03" w14:textId="77777777" w:rsidTr="00F52619">
        <w:trPr>
          <w:trHeight w:val="295"/>
        </w:trPr>
        <w:tc>
          <w:tcPr>
            <w:tcW w:w="1250" w:type="pct"/>
            <w:tcBorders>
              <w:top w:val="nil"/>
              <w:bottom w:val="nil"/>
            </w:tcBorders>
            <w:shd w:val="clear" w:color="auto" w:fill="D9D9D9" w:themeFill="background1" w:themeFillShade="D9"/>
            <w:vAlign w:val="bottom"/>
            <w:hideMark/>
          </w:tcPr>
          <w:p w14:paraId="6D389F62" w14:textId="77777777" w:rsidR="00F52619" w:rsidRPr="00F52619" w:rsidRDefault="00F52619" w:rsidP="00F52619">
            <w:pPr>
              <w:pStyle w:val="TableText"/>
              <w:rPr>
                <w:b/>
                <w:bCs/>
              </w:rPr>
            </w:pPr>
            <w:r w:rsidRPr="00F52619">
              <w:rPr>
                <w:b/>
                <w:bCs/>
              </w:rPr>
              <w:t>Duration of gestation (weeks)</w:t>
            </w:r>
          </w:p>
        </w:tc>
        <w:tc>
          <w:tcPr>
            <w:tcW w:w="1250" w:type="pct"/>
            <w:tcBorders>
              <w:top w:val="nil"/>
              <w:bottom w:val="nil"/>
            </w:tcBorders>
            <w:shd w:val="clear" w:color="auto" w:fill="D9D9D9" w:themeFill="background1" w:themeFillShade="D9"/>
            <w:vAlign w:val="bottom"/>
            <w:hideMark/>
          </w:tcPr>
          <w:p w14:paraId="30477308" w14:textId="77777777" w:rsidR="00F52619" w:rsidRPr="00F52619" w:rsidRDefault="00F52619" w:rsidP="00F52619">
            <w:pPr>
              <w:pStyle w:val="TableText"/>
              <w:jc w:val="right"/>
              <w:rPr>
                <w:rFonts w:eastAsia="Calibri"/>
                <w:b/>
                <w:bCs/>
              </w:rPr>
            </w:pPr>
            <w:r w:rsidRPr="00F52619">
              <w:rPr>
                <w:rFonts w:eastAsia="Calibri"/>
                <w:b/>
                <w:bCs/>
              </w:rPr>
              <w:t>2020</w:t>
            </w:r>
          </w:p>
        </w:tc>
        <w:tc>
          <w:tcPr>
            <w:tcW w:w="1250" w:type="pct"/>
            <w:tcBorders>
              <w:top w:val="nil"/>
              <w:bottom w:val="nil"/>
            </w:tcBorders>
            <w:shd w:val="clear" w:color="auto" w:fill="D9D9D9" w:themeFill="background1" w:themeFillShade="D9"/>
            <w:vAlign w:val="bottom"/>
            <w:hideMark/>
          </w:tcPr>
          <w:p w14:paraId="4014BA45" w14:textId="77777777" w:rsidR="00F52619" w:rsidRPr="00F52619" w:rsidRDefault="00F52619" w:rsidP="00F52619">
            <w:pPr>
              <w:pStyle w:val="TableText"/>
              <w:jc w:val="right"/>
              <w:rPr>
                <w:rFonts w:eastAsia="Calibri"/>
                <w:b/>
                <w:bCs/>
              </w:rPr>
            </w:pPr>
            <w:r w:rsidRPr="00F52619">
              <w:rPr>
                <w:rFonts w:eastAsia="Calibri"/>
                <w:b/>
                <w:bCs/>
              </w:rPr>
              <w:t>2022</w:t>
            </w:r>
          </w:p>
        </w:tc>
        <w:tc>
          <w:tcPr>
            <w:tcW w:w="1250" w:type="pct"/>
            <w:tcBorders>
              <w:top w:val="nil"/>
              <w:bottom w:val="nil"/>
            </w:tcBorders>
            <w:shd w:val="clear" w:color="auto" w:fill="D9D9D9" w:themeFill="background1" w:themeFillShade="D9"/>
            <w:vAlign w:val="bottom"/>
            <w:hideMark/>
          </w:tcPr>
          <w:p w14:paraId="763AC407" w14:textId="77777777" w:rsidR="00F52619" w:rsidRPr="00F52619" w:rsidRDefault="00F52619" w:rsidP="00F52619">
            <w:pPr>
              <w:pStyle w:val="TableText"/>
              <w:jc w:val="right"/>
              <w:rPr>
                <w:rFonts w:eastAsia="Calibri"/>
                <w:b/>
                <w:bCs/>
              </w:rPr>
            </w:pPr>
            <w:r w:rsidRPr="00F52619">
              <w:rPr>
                <w:rFonts w:eastAsia="Calibri"/>
                <w:b/>
                <w:bCs/>
              </w:rPr>
              <w:t>2024</w:t>
            </w:r>
          </w:p>
        </w:tc>
      </w:tr>
      <w:tr w:rsidR="00F52619" w:rsidRPr="005F1F83" w14:paraId="554CAA96" w14:textId="77777777" w:rsidTr="00F52619">
        <w:trPr>
          <w:trHeight w:val="295"/>
        </w:trPr>
        <w:tc>
          <w:tcPr>
            <w:tcW w:w="1250" w:type="pct"/>
            <w:tcBorders>
              <w:top w:val="nil"/>
            </w:tcBorders>
            <w:vAlign w:val="bottom"/>
            <w:hideMark/>
          </w:tcPr>
          <w:p w14:paraId="75151176" w14:textId="344792F4" w:rsidR="00F52619" w:rsidRPr="005F1F83" w:rsidRDefault="00F52619" w:rsidP="00F52619">
            <w:pPr>
              <w:pStyle w:val="TableText"/>
              <w:rPr>
                <w:rFonts w:eastAsia="Calibri"/>
              </w:rPr>
            </w:pPr>
            <w:r w:rsidRPr="005F1F83">
              <w:rPr>
                <w:rFonts w:eastAsia="Calibri"/>
              </w:rPr>
              <w:t>0–5</w:t>
            </w:r>
          </w:p>
        </w:tc>
        <w:tc>
          <w:tcPr>
            <w:tcW w:w="1250" w:type="pct"/>
            <w:tcBorders>
              <w:top w:val="nil"/>
            </w:tcBorders>
            <w:vAlign w:val="bottom"/>
            <w:hideMark/>
          </w:tcPr>
          <w:p w14:paraId="444BDD0B" w14:textId="77777777" w:rsidR="00F52619" w:rsidRPr="005F1F83" w:rsidRDefault="00F52619" w:rsidP="00F52619">
            <w:pPr>
              <w:pStyle w:val="TableText"/>
              <w:jc w:val="right"/>
              <w:rPr>
                <w:rFonts w:eastAsia="Calibri"/>
              </w:rPr>
            </w:pPr>
            <w:r w:rsidRPr="005F1F83">
              <w:rPr>
                <w:rFonts w:eastAsia="Calibri"/>
              </w:rPr>
              <w:t>87 (45%)</w:t>
            </w:r>
          </w:p>
        </w:tc>
        <w:tc>
          <w:tcPr>
            <w:tcW w:w="1250" w:type="pct"/>
            <w:tcBorders>
              <w:top w:val="nil"/>
            </w:tcBorders>
            <w:vAlign w:val="bottom"/>
            <w:hideMark/>
          </w:tcPr>
          <w:p w14:paraId="2D6BCE88" w14:textId="77777777" w:rsidR="00F52619" w:rsidRPr="005F1F83" w:rsidRDefault="00F52619" w:rsidP="00F52619">
            <w:pPr>
              <w:pStyle w:val="TableText"/>
              <w:jc w:val="right"/>
              <w:rPr>
                <w:rFonts w:eastAsia="Calibri"/>
              </w:rPr>
            </w:pPr>
            <w:r w:rsidRPr="005F1F83">
              <w:rPr>
                <w:rFonts w:eastAsia="Calibri"/>
              </w:rPr>
              <w:t>13 (22%)</w:t>
            </w:r>
          </w:p>
        </w:tc>
        <w:tc>
          <w:tcPr>
            <w:tcW w:w="1250" w:type="pct"/>
            <w:tcBorders>
              <w:top w:val="nil"/>
            </w:tcBorders>
            <w:vAlign w:val="bottom"/>
            <w:hideMark/>
          </w:tcPr>
          <w:p w14:paraId="1BDF0196" w14:textId="77777777" w:rsidR="00F52619" w:rsidRPr="005F1F83" w:rsidRDefault="00F52619" w:rsidP="00F52619">
            <w:pPr>
              <w:pStyle w:val="TableText"/>
              <w:jc w:val="right"/>
              <w:rPr>
                <w:rFonts w:eastAsia="Calibri"/>
              </w:rPr>
            </w:pPr>
            <w:r w:rsidRPr="005F1F83">
              <w:rPr>
                <w:rFonts w:eastAsia="Calibri"/>
              </w:rPr>
              <w:t>16 (25%)</w:t>
            </w:r>
          </w:p>
        </w:tc>
      </w:tr>
      <w:tr w:rsidR="00F52619" w:rsidRPr="005F1F83" w14:paraId="3EAF7102" w14:textId="77777777" w:rsidTr="00F52619">
        <w:trPr>
          <w:trHeight w:val="295"/>
        </w:trPr>
        <w:tc>
          <w:tcPr>
            <w:tcW w:w="1250" w:type="pct"/>
            <w:vAlign w:val="bottom"/>
            <w:hideMark/>
          </w:tcPr>
          <w:p w14:paraId="79392730" w14:textId="38DD5A7B" w:rsidR="00F52619" w:rsidRPr="005F1F83" w:rsidRDefault="00F52619" w:rsidP="00F52619">
            <w:pPr>
              <w:pStyle w:val="TableText"/>
            </w:pPr>
            <w:r w:rsidRPr="005F1F83">
              <w:t>&gt;5–10</w:t>
            </w:r>
          </w:p>
        </w:tc>
        <w:tc>
          <w:tcPr>
            <w:tcW w:w="1250" w:type="pct"/>
            <w:vAlign w:val="bottom"/>
            <w:hideMark/>
          </w:tcPr>
          <w:p w14:paraId="20A14F74" w14:textId="77777777" w:rsidR="00F52619" w:rsidRPr="005F1F83" w:rsidRDefault="00F52619" w:rsidP="00F52619">
            <w:pPr>
              <w:pStyle w:val="TableText"/>
              <w:jc w:val="right"/>
            </w:pPr>
            <w:r w:rsidRPr="005F1F83">
              <w:t>2,083 (38%)</w:t>
            </w:r>
          </w:p>
        </w:tc>
        <w:tc>
          <w:tcPr>
            <w:tcW w:w="1250" w:type="pct"/>
            <w:vAlign w:val="bottom"/>
            <w:hideMark/>
          </w:tcPr>
          <w:p w14:paraId="6771E816" w14:textId="77777777" w:rsidR="00F52619" w:rsidRPr="005F1F83" w:rsidRDefault="00F52619" w:rsidP="00F52619">
            <w:pPr>
              <w:pStyle w:val="TableText"/>
              <w:jc w:val="right"/>
            </w:pPr>
            <w:r w:rsidRPr="005F1F83">
              <w:rPr>
                <w:rFonts w:eastAsia="Calibri"/>
              </w:rPr>
              <w:t>1,594 (38%)</w:t>
            </w:r>
          </w:p>
        </w:tc>
        <w:tc>
          <w:tcPr>
            <w:tcW w:w="1250" w:type="pct"/>
            <w:vAlign w:val="bottom"/>
            <w:hideMark/>
          </w:tcPr>
          <w:p w14:paraId="17E170C2" w14:textId="77777777" w:rsidR="00F52619" w:rsidRPr="005F1F83" w:rsidRDefault="00F52619" w:rsidP="00F52619">
            <w:pPr>
              <w:pStyle w:val="TableText"/>
              <w:jc w:val="right"/>
            </w:pPr>
            <w:r w:rsidRPr="005F1F83">
              <w:rPr>
                <w:rFonts w:eastAsia="Calibri"/>
              </w:rPr>
              <w:t>1,282 (38%)</w:t>
            </w:r>
          </w:p>
        </w:tc>
      </w:tr>
      <w:tr w:rsidR="00F52619" w:rsidRPr="005F1F83" w14:paraId="242F61E9" w14:textId="77777777" w:rsidTr="00F52619">
        <w:trPr>
          <w:trHeight w:val="295"/>
        </w:trPr>
        <w:tc>
          <w:tcPr>
            <w:tcW w:w="1250" w:type="pct"/>
            <w:vAlign w:val="bottom"/>
            <w:hideMark/>
          </w:tcPr>
          <w:p w14:paraId="6B8F2BD8" w14:textId="1EE4F13C" w:rsidR="00F52619" w:rsidRPr="005F1F83" w:rsidRDefault="00F52619" w:rsidP="00F52619">
            <w:pPr>
              <w:pStyle w:val="TableText"/>
            </w:pPr>
            <w:r w:rsidRPr="005F1F83">
              <w:rPr>
                <w:rFonts w:eastAsia="Calibri"/>
              </w:rPr>
              <w:t>&gt;10–15</w:t>
            </w:r>
          </w:p>
        </w:tc>
        <w:tc>
          <w:tcPr>
            <w:tcW w:w="1250" w:type="pct"/>
            <w:vAlign w:val="bottom"/>
            <w:hideMark/>
          </w:tcPr>
          <w:p w14:paraId="6E9200AA" w14:textId="77777777" w:rsidR="00F52619" w:rsidRPr="005F1F83" w:rsidRDefault="00F52619" w:rsidP="00F52619">
            <w:pPr>
              <w:pStyle w:val="TableText"/>
              <w:jc w:val="right"/>
              <w:rPr>
                <w:rFonts w:eastAsia="Calibri"/>
              </w:rPr>
            </w:pPr>
            <w:r w:rsidRPr="005F1F83">
              <w:rPr>
                <w:rFonts w:eastAsia="Calibri"/>
              </w:rPr>
              <w:t>784 (45%)</w:t>
            </w:r>
          </w:p>
        </w:tc>
        <w:tc>
          <w:tcPr>
            <w:tcW w:w="1250" w:type="pct"/>
            <w:vAlign w:val="bottom"/>
            <w:hideMark/>
          </w:tcPr>
          <w:p w14:paraId="72307C0E" w14:textId="77777777" w:rsidR="00F52619" w:rsidRPr="005F1F83" w:rsidRDefault="00F52619" w:rsidP="00F52619">
            <w:pPr>
              <w:pStyle w:val="TableText"/>
              <w:jc w:val="right"/>
              <w:rPr>
                <w:rFonts w:eastAsia="Calibri"/>
              </w:rPr>
            </w:pPr>
            <w:r w:rsidRPr="005F1F83">
              <w:rPr>
                <w:rFonts w:eastAsia="Calibri"/>
              </w:rPr>
              <w:t>898 (41%)</w:t>
            </w:r>
          </w:p>
        </w:tc>
        <w:tc>
          <w:tcPr>
            <w:tcW w:w="1250" w:type="pct"/>
            <w:vAlign w:val="bottom"/>
            <w:hideMark/>
          </w:tcPr>
          <w:p w14:paraId="4914207E" w14:textId="77777777" w:rsidR="00F52619" w:rsidRPr="005F1F83" w:rsidRDefault="00F52619" w:rsidP="00F52619">
            <w:pPr>
              <w:pStyle w:val="TableText"/>
              <w:jc w:val="right"/>
              <w:rPr>
                <w:rFonts w:eastAsia="Calibri"/>
              </w:rPr>
            </w:pPr>
            <w:r w:rsidRPr="005F1F83">
              <w:rPr>
                <w:rFonts w:eastAsia="Calibri"/>
              </w:rPr>
              <w:t>710 (41%)</w:t>
            </w:r>
          </w:p>
        </w:tc>
      </w:tr>
      <w:tr w:rsidR="00F52619" w:rsidRPr="005F1F83" w14:paraId="07BF0592" w14:textId="77777777" w:rsidTr="00F52619">
        <w:trPr>
          <w:trHeight w:val="295"/>
        </w:trPr>
        <w:tc>
          <w:tcPr>
            <w:tcW w:w="1250" w:type="pct"/>
            <w:vAlign w:val="bottom"/>
            <w:hideMark/>
          </w:tcPr>
          <w:p w14:paraId="48CBDCD8" w14:textId="50074863" w:rsidR="00F52619" w:rsidRPr="005F1F83" w:rsidRDefault="00F52619" w:rsidP="00F52619">
            <w:pPr>
              <w:pStyle w:val="TableText"/>
            </w:pPr>
            <w:r w:rsidRPr="005F1F83">
              <w:rPr>
                <w:rFonts w:eastAsia="Calibri"/>
              </w:rPr>
              <w:t>&gt;15–20</w:t>
            </w:r>
          </w:p>
        </w:tc>
        <w:tc>
          <w:tcPr>
            <w:tcW w:w="1250" w:type="pct"/>
            <w:vAlign w:val="bottom"/>
            <w:hideMark/>
          </w:tcPr>
          <w:p w14:paraId="4FE422F5" w14:textId="77777777" w:rsidR="00F52619" w:rsidRPr="005F1F83" w:rsidRDefault="00F52619" w:rsidP="00F52619">
            <w:pPr>
              <w:pStyle w:val="TableText"/>
              <w:jc w:val="right"/>
              <w:rPr>
                <w:rFonts w:eastAsia="Calibri"/>
              </w:rPr>
            </w:pPr>
            <w:r w:rsidRPr="005F1F83">
              <w:rPr>
                <w:rFonts w:eastAsia="Calibri"/>
              </w:rPr>
              <w:t>140 (70%)</w:t>
            </w:r>
          </w:p>
        </w:tc>
        <w:tc>
          <w:tcPr>
            <w:tcW w:w="1250" w:type="pct"/>
            <w:vAlign w:val="bottom"/>
            <w:hideMark/>
          </w:tcPr>
          <w:p w14:paraId="7E1DFEB2" w14:textId="77777777" w:rsidR="00F52619" w:rsidRPr="005F1F83" w:rsidRDefault="00F52619" w:rsidP="00F52619">
            <w:pPr>
              <w:pStyle w:val="TableText"/>
              <w:jc w:val="right"/>
              <w:rPr>
                <w:rFonts w:eastAsia="Calibri"/>
              </w:rPr>
            </w:pPr>
            <w:r w:rsidRPr="005F1F83">
              <w:rPr>
                <w:rFonts w:eastAsia="Calibri"/>
              </w:rPr>
              <w:t>189 (67%)</w:t>
            </w:r>
          </w:p>
        </w:tc>
        <w:tc>
          <w:tcPr>
            <w:tcW w:w="1250" w:type="pct"/>
            <w:vAlign w:val="bottom"/>
            <w:hideMark/>
          </w:tcPr>
          <w:p w14:paraId="5FC0EFDE" w14:textId="77777777" w:rsidR="00F52619" w:rsidRPr="005F1F83" w:rsidRDefault="00F52619" w:rsidP="00F52619">
            <w:pPr>
              <w:pStyle w:val="TableText"/>
              <w:jc w:val="right"/>
              <w:rPr>
                <w:rFonts w:eastAsia="Calibri"/>
              </w:rPr>
            </w:pPr>
            <w:r w:rsidRPr="005F1F83">
              <w:rPr>
                <w:rFonts w:eastAsia="Calibri"/>
              </w:rPr>
              <w:t>210 (69%)</w:t>
            </w:r>
          </w:p>
        </w:tc>
      </w:tr>
      <w:tr w:rsidR="00F52619" w:rsidRPr="005F1F83" w14:paraId="6D7D5CA7" w14:textId="77777777" w:rsidTr="00F52619">
        <w:trPr>
          <w:trHeight w:val="295"/>
        </w:trPr>
        <w:tc>
          <w:tcPr>
            <w:tcW w:w="1250" w:type="pct"/>
            <w:vAlign w:val="bottom"/>
            <w:hideMark/>
          </w:tcPr>
          <w:p w14:paraId="4645776C" w14:textId="77777777" w:rsidR="00F52619" w:rsidRPr="005F1F83" w:rsidRDefault="00F52619" w:rsidP="00F52619">
            <w:pPr>
              <w:pStyle w:val="TableText"/>
            </w:pPr>
            <w:r w:rsidRPr="005F1F83">
              <w:rPr>
                <w:rFonts w:eastAsia="Calibri"/>
              </w:rPr>
              <w:t>&gt;20</w:t>
            </w:r>
          </w:p>
        </w:tc>
        <w:tc>
          <w:tcPr>
            <w:tcW w:w="1250" w:type="pct"/>
            <w:vAlign w:val="bottom"/>
            <w:hideMark/>
          </w:tcPr>
          <w:p w14:paraId="72034BB7" w14:textId="77777777" w:rsidR="00F52619" w:rsidRPr="005F1F83" w:rsidRDefault="00F52619" w:rsidP="00F52619">
            <w:pPr>
              <w:pStyle w:val="TableText"/>
              <w:jc w:val="right"/>
              <w:rPr>
                <w:rFonts w:eastAsia="Calibri"/>
              </w:rPr>
            </w:pPr>
            <w:r w:rsidRPr="005F1F83">
              <w:rPr>
                <w:rFonts w:eastAsia="Calibri"/>
              </w:rPr>
              <w:t>0 (0%)</w:t>
            </w:r>
          </w:p>
        </w:tc>
        <w:tc>
          <w:tcPr>
            <w:tcW w:w="1250" w:type="pct"/>
            <w:vAlign w:val="bottom"/>
            <w:hideMark/>
          </w:tcPr>
          <w:p w14:paraId="037C9163" w14:textId="77777777" w:rsidR="00F52619" w:rsidRPr="005F1F83" w:rsidRDefault="00F52619" w:rsidP="00F52619">
            <w:pPr>
              <w:pStyle w:val="TableText"/>
              <w:jc w:val="right"/>
              <w:rPr>
                <w:rFonts w:eastAsia="Calibri"/>
              </w:rPr>
            </w:pPr>
            <w:r w:rsidRPr="005F1F83">
              <w:rPr>
                <w:rFonts w:eastAsia="Calibri"/>
              </w:rPr>
              <w:t>0 (0%)</w:t>
            </w:r>
          </w:p>
        </w:tc>
        <w:tc>
          <w:tcPr>
            <w:tcW w:w="1250" w:type="pct"/>
            <w:vAlign w:val="bottom"/>
            <w:hideMark/>
          </w:tcPr>
          <w:p w14:paraId="5CE237A3" w14:textId="77777777" w:rsidR="00F52619" w:rsidRPr="005F1F83" w:rsidRDefault="00F52619" w:rsidP="00F52619">
            <w:pPr>
              <w:pStyle w:val="TableText"/>
              <w:jc w:val="right"/>
              <w:rPr>
                <w:rFonts w:eastAsia="Calibri"/>
              </w:rPr>
            </w:pPr>
            <w:r w:rsidRPr="005F1F83">
              <w:rPr>
                <w:rFonts w:eastAsia="Calibri"/>
              </w:rPr>
              <w:t>9 (82%)</w:t>
            </w:r>
          </w:p>
        </w:tc>
      </w:tr>
    </w:tbl>
    <w:p w14:paraId="52C91621" w14:textId="512F3000" w:rsidR="00F52619" w:rsidRDefault="00F52619" w:rsidP="00F52619">
      <w:pPr>
        <w:pStyle w:val="Heading2"/>
      </w:pPr>
      <w:bookmarkStart w:id="85" w:name="_Toc195016568"/>
      <w:r w:rsidRPr="00F52619">
        <w:t>Early medical abortion</w:t>
      </w:r>
      <w:bookmarkEnd w:id="85"/>
    </w:p>
    <w:p w14:paraId="3A10A2CA" w14:textId="7D1C0E61" w:rsidR="002A6BB1" w:rsidRDefault="002A6BB1" w:rsidP="002A6BB1">
      <w:pPr>
        <w:rPr>
          <w:rFonts w:eastAsia="Calibri"/>
          <w:lang w:eastAsia="en-US"/>
        </w:rPr>
      </w:pPr>
      <w:r w:rsidRPr="005F1F83">
        <w:rPr>
          <w:rFonts w:eastAsia="Calibri"/>
          <w:lang w:eastAsia="en-US"/>
        </w:rPr>
        <w:t xml:space="preserve">Gestation is an important indicator of access to abortion services. Earlier gestation at the time of abortion indicates </w:t>
      </w:r>
      <w:r w:rsidR="00A124A0">
        <w:rPr>
          <w:rFonts w:eastAsia="Calibri"/>
        </w:rPr>
        <w:t>women</w:t>
      </w:r>
      <w:r w:rsidRPr="005F1F83">
        <w:rPr>
          <w:rFonts w:eastAsia="Calibri"/>
          <w:lang w:eastAsia="en-US"/>
        </w:rPr>
        <w:t xml:space="preserve"> have fewer barriers to accessing the services. It is also associated with better health outcomes for </w:t>
      </w:r>
      <w:r w:rsidR="00A124A0">
        <w:rPr>
          <w:rFonts w:eastAsia="Calibri"/>
        </w:rPr>
        <w:t>women</w:t>
      </w:r>
      <w:r w:rsidRPr="005F1F83">
        <w:rPr>
          <w:rFonts w:eastAsia="Calibri"/>
          <w:lang w:eastAsia="en-US"/>
        </w:rPr>
        <w:t xml:space="preserve"> accessing these services. </w:t>
      </w:r>
    </w:p>
    <w:p w14:paraId="13852E8A" w14:textId="77777777" w:rsidR="002A6BB1" w:rsidRPr="005F1F83" w:rsidRDefault="002A6BB1" w:rsidP="002A6BB1">
      <w:pPr>
        <w:rPr>
          <w:rFonts w:eastAsia="Calibri"/>
          <w:highlight w:val="yellow"/>
          <w:lang w:eastAsia="en-US"/>
        </w:rPr>
      </w:pPr>
    </w:p>
    <w:p w14:paraId="2B41E4C5" w14:textId="2AF88FCA" w:rsidR="002A6BB1" w:rsidRDefault="002A6BB1" w:rsidP="002A6BB1">
      <w:pPr>
        <w:rPr>
          <w:rFonts w:eastAsia="Calibri"/>
          <w:lang w:eastAsia="en-US"/>
        </w:rPr>
      </w:pPr>
      <w:r w:rsidRPr="005F1F83">
        <w:rPr>
          <w:rFonts w:eastAsia="Calibri"/>
          <w:lang w:eastAsia="en-US"/>
        </w:rPr>
        <w:t>Since the changes to the legislation, duration of gestation at the time of abortion has decreased across all ethnic groups and socioeconomic deciles. This corresponds to the increase in access to EMA. When the Ministry started collecting data on abortion in 2020, 36% of all abortions provided were EMA. The available figures for abortions accessed in 2024 show 66% of abortions provided were EMA (</w:t>
      </w:r>
      <w:r w:rsidRPr="005F1F83">
        <w:rPr>
          <w:rFonts w:eastAsia="Calibri"/>
          <w:lang w:eastAsia="en-US"/>
        </w:rPr>
        <w:fldChar w:fldCharType="begin"/>
      </w:r>
      <w:r w:rsidRPr="005F1F83">
        <w:rPr>
          <w:rFonts w:eastAsia="Calibri"/>
          <w:lang w:eastAsia="en-US"/>
        </w:rPr>
        <w:instrText xml:space="preserve"> REF _Ref192173892 \h </w:instrText>
      </w:r>
      <w:r w:rsidRPr="005F1F83">
        <w:rPr>
          <w:rFonts w:eastAsia="Calibri"/>
          <w:lang w:eastAsia="en-US"/>
        </w:rPr>
      </w:r>
      <w:r w:rsidRPr="005F1F83">
        <w:rPr>
          <w:rFonts w:eastAsia="Calibri"/>
          <w:lang w:eastAsia="en-US"/>
        </w:rPr>
        <w:fldChar w:fldCharType="separate"/>
      </w:r>
      <w:r w:rsidR="00974F51" w:rsidRPr="005F1F83">
        <w:t xml:space="preserve">Figure </w:t>
      </w:r>
      <w:r w:rsidR="00974F51">
        <w:rPr>
          <w:noProof/>
        </w:rPr>
        <w:t>7</w:t>
      </w:r>
      <w:r w:rsidRPr="005F1F83">
        <w:rPr>
          <w:rFonts w:eastAsia="Calibri"/>
          <w:lang w:eastAsia="en-US"/>
        </w:rPr>
        <w:fldChar w:fldCharType="end"/>
      </w:r>
      <w:r w:rsidRPr="005F1F83">
        <w:rPr>
          <w:rFonts w:eastAsia="Calibri"/>
          <w:lang w:eastAsia="en-US"/>
        </w:rPr>
        <w:t xml:space="preserve">). </w:t>
      </w:r>
    </w:p>
    <w:p w14:paraId="643161D5" w14:textId="77777777" w:rsidR="002A6BB1" w:rsidRPr="005F1F83" w:rsidRDefault="002A6BB1" w:rsidP="002A6BB1">
      <w:pPr>
        <w:rPr>
          <w:rFonts w:eastAsia="Calibri"/>
          <w:lang w:eastAsia="en-US"/>
        </w:rPr>
      </w:pPr>
    </w:p>
    <w:p w14:paraId="19F214B0" w14:textId="558312B3" w:rsidR="002A6BB1" w:rsidRDefault="002A6BB1" w:rsidP="002A6BB1">
      <w:pPr>
        <w:rPr>
          <w:rFonts w:eastAsia="Calibri"/>
          <w:lang w:eastAsia="en-US"/>
        </w:rPr>
      </w:pPr>
      <w:r w:rsidRPr="005F1F83">
        <w:rPr>
          <w:rFonts w:eastAsia="Calibri"/>
          <w:lang w:eastAsia="en-US"/>
        </w:rPr>
        <w:t>In both 2023 and 2024, 86% of all abortions (surgical and medical) were provided at 10 weeks’ gestation or</w:t>
      </w:r>
      <w:r w:rsidRPr="005F1F83" w:rsidDel="00743458">
        <w:rPr>
          <w:rFonts w:eastAsia="Calibri"/>
          <w:lang w:eastAsia="en-US"/>
        </w:rPr>
        <w:t xml:space="preserve"> </w:t>
      </w:r>
      <w:r w:rsidRPr="005F1F83">
        <w:rPr>
          <w:rFonts w:eastAsia="Calibri"/>
          <w:lang w:eastAsia="en-US"/>
        </w:rPr>
        <w:t>earlier, which is an increase of approximately 5% compared with recorded figures in 2020. Together, these figures demonstrate access to abortion care earlier in gestation is increasing, as is accessing early medical, rather than surgical, procedures.</w:t>
      </w:r>
    </w:p>
    <w:p w14:paraId="20715391" w14:textId="77777777" w:rsidR="002A6BB1" w:rsidRPr="005F1F83" w:rsidRDefault="002A6BB1" w:rsidP="002A6BB1">
      <w:pPr>
        <w:rPr>
          <w:rFonts w:eastAsia="Calibri"/>
          <w:lang w:eastAsia="en-US"/>
        </w:rPr>
      </w:pPr>
    </w:p>
    <w:p w14:paraId="77106379" w14:textId="76ECCDFC" w:rsidR="002A6BB1" w:rsidRPr="005F1F83" w:rsidRDefault="002A6BB1" w:rsidP="002A6BB1">
      <w:pPr>
        <w:pStyle w:val="Figure"/>
        <w:rPr>
          <w:rFonts w:eastAsia="Calibri"/>
          <w:kern w:val="2"/>
          <w:lang w:eastAsia="en-US"/>
          <w14:ligatures w14:val="standardContextual"/>
        </w:rPr>
      </w:pPr>
      <w:bookmarkStart w:id="86" w:name="_Ref192173892"/>
      <w:bookmarkStart w:id="87" w:name="_Toc192349318"/>
      <w:bookmarkStart w:id="88" w:name="_Toc195016591"/>
      <w:r w:rsidRPr="005F1F83">
        <w:t xml:space="preserve">Figure </w:t>
      </w:r>
      <w:r>
        <w:fldChar w:fldCharType="begin"/>
      </w:r>
      <w:r>
        <w:instrText xml:space="preserve"> SEQ Figure \* ARABIC </w:instrText>
      </w:r>
      <w:r>
        <w:fldChar w:fldCharType="separate"/>
      </w:r>
      <w:r w:rsidR="00974F51">
        <w:rPr>
          <w:noProof/>
        </w:rPr>
        <w:t>7</w:t>
      </w:r>
      <w:r>
        <w:rPr>
          <w:noProof/>
        </w:rPr>
        <w:fldChar w:fldCharType="end"/>
      </w:r>
      <w:bookmarkEnd w:id="86"/>
      <w:r w:rsidRPr="005F1F83">
        <w:t>: Number of abortion procedures</w:t>
      </w:r>
      <w:r>
        <w:t>,</w:t>
      </w:r>
      <w:r w:rsidRPr="005F1F83">
        <w:t xml:space="preserve"> by procedure type, 2017–</w:t>
      </w:r>
      <w:proofErr w:type="gramStart"/>
      <w:r w:rsidRPr="005F1F83">
        <w:t>2024</w:t>
      </w:r>
      <w:bookmarkEnd w:id="87"/>
      <w:bookmarkEnd w:id="88"/>
      <w:proofErr w:type="gramEnd"/>
    </w:p>
    <w:p w14:paraId="1A514D70" w14:textId="5E02DCEC" w:rsidR="00F52619" w:rsidRDefault="002A6BB1" w:rsidP="00F52619">
      <w:r>
        <w:rPr>
          <w:noProof/>
        </w:rPr>
        <w:drawing>
          <wp:inline distT="0" distB="0" distL="0" distR="0" wp14:anchorId="61DEC4C7" wp14:editId="294A36CD">
            <wp:extent cx="5099925" cy="3101340"/>
            <wp:effectExtent l="0" t="0" r="5715" b="381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100307" cy="3101572"/>
                    </a:xfrm>
                    <a:prstGeom prst="rect">
                      <a:avLst/>
                    </a:prstGeom>
                    <a:noFill/>
                  </pic:spPr>
                </pic:pic>
              </a:graphicData>
            </a:graphic>
          </wp:inline>
        </w:drawing>
      </w:r>
    </w:p>
    <w:p w14:paraId="0B8A60BB" w14:textId="386098D9" w:rsidR="002A6BB1" w:rsidRDefault="002A6BB1" w:rsidP="002A6BB1">
      <w:pPr>
        <w:rPr>
          <w:rFonts w:eastAsia="Calibri"/>
          <w:lang w:eastAsia="en-US"/>
        </w:rPr>
      </w:pPr>
      <w:r w:rsidRPr="005F1F83">
        <w:rPr>
          <w:rFonts w:eastAsia="Calibri"/>
          <w:lang w:eastAsia="en-US"/>
        </w:rPr>
        <w:t xml:space="preserve">This increase in earlier access has a variety of causes. They relate to an increase in the size of the workforce, an increase in the number of services available, the introduction of the national abortion telehealth service and, importantly, the ability for </w:t>
      </w:r>
      <w:r w:rsidR="00A124A0">
        <w:rPr>
          <w:rFonts w:eastAsia="Calibri"/>
        </w:rPr>
        <w:t>women</w:t>
      </w:r>
      <w:r w:rsidRPr="005F1F83">
        <w:rPr>
          <w:rFonts w:eastAsia="Calibri"/>
          <w:lang w:eastAsia="en-US"/>
        </w:rPr>
        <w:t xml:space="preserve"> to self-refer </w:t>
      </w:r>
      <w:r>
        <w:rPr>
          <w:rFonts w:eastAsia="Calibri"/>
          <w:lang w:eastAsia="en-US"/>
        </w:rPr>
        <w:t>to</w:t>
      </w:r>
      <w:r w:rsidRPr="005F1F83">
        <w:rPr>
          <w:rFonts w:eastAsia="Calibri"/>
          <w:lang w:eastAsia="en-US"/>
        </w:rPr>
        <w:t xml:space="preserve"> an abortion service.</w:t>
      </w:r>
    </w:p>
    <w:p w14:paraId="1CF8366C" w14:textId="77777777" w:rsidR="002A6BB1" w:rsidRPr="005F1F83" w:rsidRDefault="002A6BB1" w:rsidP="002A6BB1">
      <w:pPr>
        <w:rPr>
          <w:rFonts w:eastAsia="Calibri"/>
          <w:lang w:eastAsia="en-US"/>
        </w:rPr>
      </w:pPr>
    </w:p>
    <w:p w14:paraId="56AD8BC5" w14:textId="794C9AC8" w:rsidR="002A6BB1" w:rsidRDefault="002A6BB1" w:rsidP="002A6BB1">
      <w:pPr>
        <w:rPr>
          <w:rFonts w:eastAsia="Calibri"/>
          <w:lang w:eastAsia="en-US"/>
        </w:rPr>
      </w:pPr>
      <w:r w:rsidRPr="005F1F83">
        <w:rPr>
          <w:rFonts w:eastAsia="Calibri"/>
          <w:lang w:eastAsia="en-US"/>
        </w:rPr>
        <w:t xml:space="preserve">In 2021, to improve timely and equitable access to abortion services, the Ministry tendered for a national abortion telehealth service. The outcome of the tender and procurement process was the establishment of DECIDE, a national telehealth service run jointly by Magma Healthcare and Sexual Wellbeing Aotearoa.  </w:t>
      </w:r>
    </w:p>
    <w:p w14:paraId="0ADAEACA" w14:textId="77777777" w:rsidR="002A6BB1" w:rsidRPr="005F1F83" w:rsidRDefault="002A6BB1" w:rsidP="002A6BB1">
      <w:pPr>
        <w:rPr>
          <w:rFonts w:eastAsia="Calibri"/>
          <w:lang w:eastAsia="en-US"/>
        </w:rPr>
      </w:pPr>
    </w:p>
    <w:p w14:paraId="5AD7FA5A" w14:textId="0B6DEBE0" w:rsidR="002A6BB1" w:rsidRDefault="002A6BB1" w:rsidP="002A6BB1">
      <w:pPr>
        <w:rPr>
          <w:rFonts w:eastAsia="Calibri"/>
          <w:lang w:eastAsia="en-US"/>
        </w:rPr>
      </w:pPr>
      <w:r w:rsidRPr="005F1F83">
        <w:rPr>
          <w:rFonts w:eastAsia="Calibri"/>
          <w:lang w:eastAsia="en-US"/>
        </w:rPr>
        <w:t>The DECIDE service provides information about abortion services that are available across the country and has an 0800 number staffed by trained health practitioners. It provides information, support, referrals, abortion-related counselling, telemedicine consultations and provision of EMA (including by prescribing medicines). It also provides follow-up services, such as providing contraception or referring someone for contraception if their choice is a contraceptive device.</w:t>
      </w:r>
    </w:p>
    <w:p w14:paraId="12FEB576" w14:textId="77777777" w:rsidR="002A6BB1" w:rsidRPr="005F1F83" w:rsidRDefault="002A6BB1" w:rsidP="002A6BB1">
      <w:pPr>
        <w:rPr>
          <w:rFonts w:eastAsia="Calibri"/>
          <w:lang w:eastAsia="en-US"/>
        </w:rPr>
      </w:pPr>
    </w:p>
    <w:p w14:paraId="2AAC3D37" w14:textId="5084357A" w:rsidR="002A6BB1" w:rsidRDefault="002A6BB1" w:rsidP="002A6BB1">
      <w:pPr>
        <w:rPr>
          <w:rFonts w:eastAsia="Calibri"/>
          <w:lang w:eastAsia="en-US"/>
        </w:rPr>
      </w:pPr>
      <w:r w:rsidRPr="005F1F83">
        <w:rPr>
          <w:rFonts w:eastAsia="Calibri"/>
          <w:lang w:eastAsia="en-US"/>
        </w:rPr>
        <w:t>The service is now funded by Health New Zealand.</w:t>
      </w:r>
    </w:p>
    <w:p w14:paraId="7B045957" w14:textId="77777777" w:rsidR="002A6BB1" w:rsidRPr="005F1F83" w:rsidRDefault="002A6BB1" w:rsidP="002A6BB1">
      <w:pPr>
        <w:rPr>
          <w:rFonts w:eastAsia="Calibri"/>
          <w:lang w:eastAsia="en-US"/>
        </w:rPr>
      </w:pPr>
    </w:p>
    <w:p w14:paraId="2CB53DC0" w14:textId="70E45E81" w:rsidR="002A6BB1" w:rsidRDefault="002A6BB1" w:rsidP="002A6BB1">
      <w:pPr>
        <w:rPr>
          <w:rFonts w:eastAsia="Calibri"/>
          <w:lang w:eastAsia="en-US"/>
        </w:rPr>
      </w:pPr>
      <w:r w:rsidRPr="005F1F83">
        <w:rPr>
          <w:rFonts w:eastAsia="Calibri"/>
          <w:lang w:eastAsia="en-US"/>
        </w:rPr>
        <w:t xml:space="preserve">DECIDE supports providers in primary care by offering after-hours care and access to </w:t>
      </w:r>
      <w:r w:rsidRPr="008D5D58">
        <w:rPr>
          <w:rFonts w:eastAsia="Calibri"/>
          <w:lang w:eastAsia="en-US"/>
        </w:rPr>
        <w:t xml:space="preserve">counselling. It complements other abortion services and does not replace in-person abortion care. </w:t>
      </w:r>
    </w:p>
    <w:p w14:paraId="040A7D78" w14:textId="77777777" w:rsidR="002A6BB1" w:rsidRPr="008D5D58" w:rsidRDefault="002A6BB1" w:rsidP="002A6BB1">
      <w:pPr>
        <w:rPr>
          <w:rFonts w:eastAsia="Calibri"/>
          <w:lang w:eastAsia="en-US"/>
        </w:rPr>
      </w:pPr>
    </w:p>
    <w:p w14:paraId="400EAF43" w14:textId="6ECE7900" w:rsidR="002A6BB1" w:rsidRDefault="002A6BB1" w:rsidP="002A6BB1">
      <w:pPr>
        <w:rPr>
          <w:rFonts w:eastAsia="Calibri"/>
          <w:lang w:eastAsia="en-US"/>
        </w:rPr>
      </w:pPr>
      <w:r w:rsidRPr="008D5D58">
        <w:rPr>
          <w:rFonts w:eastAsia="Calibri"/>
          <w:lang w:eastAsia="en-US"/>
        </w:rPr>
        <w:t xml:space="preserve">In 2023, among </w:t>
      </w:r>
      <w:r w:rsidR="00982B8D">
        <w:rPr>
          <w:rFonts w:eastAsia="Calibri"/>
        </w:rPr>
        <w:t>women</w:t>
      </w:r>
      <w:r w:rsidRPr="008D5D58">
        <w:rPr>
          <w:rFonts w:eastAsia="Calibri"/>
          <w:lang w:eastAsia="en-US"/>
        </w:rPr>
        <w:t xml:space="preserve"> who used DECIDE services, the rates of use across age groups were comparable with the rates of those using </w:t>
      </w:r>
      <w:r w:rsidRPr="008D5D58">
        <w:t>in-person and regional telehealth services. All ethn</w:t>
      </w:r>
      <w:r w:rsidRPr="008D5D58">
        <w:rPr>
          <w:rFonts w:eastAsia="Calibri"/>
        </w:rPr>
        <w:t>ic groups accessed the service</w:t>
      </w:r>
      <w:r w:rsidRPr="008D5D58">
        <w:rPr>
          <w:rFonts w:eastAsia="Calibri"/>
          <w:lang w:eastAsia="en-US"/>
        </w:rPr>
        <w:t>. Notably, those living in rural areas accessed DECIDE at a higher rate than the other ser</w:t>
      </w:r>
      <w:r w:rsidRPr="005F1F83">
        <w:rPr>
          <w:rFonts w:eastAsia="Calibri"/>
          <w:lang w:eastAsia="en-US"/>
        </w:rPr>
        <w:t>vices, which corresponds to their longer drive</w:t>
      </w:r>
      <w:r>
        <w:rPr>
          <w:rFonts w:eastAsia="Calibri"/>
          <w:lang w:eastAsia="en-US"/>
        </w:rPr>
        <w:t xml:space="preserve"> </w:t>
      </w:r>
      <w:r w:rsidRPr="005F1F83">
        <w:rPr>
          <w:rFonts w:eastAsia="Calibri"/>
          <w:lang w:eastAsia="en-US"/>
        </w:rPr>
        <w:t xml:space="preserve">time to in-person support. This suggests that DECIDE is enabling support for </w:t>
      </w:r>
      <w:r w:rsidR="00982B8D">
        <w:rPr>
          <w:rFonts w:eastAsia="Calibri"/>
        </w:rPr>
        <w:t>women</w:t>
      </w:r>
      <w:r w:rsidRPr="005F1F83">
        <w:rPr>
          <w:rFonts w:eastAsia="Calibri"/>
          <w:lang w:eastAsia="en-US"/>
        </w:rPr>
        <w:t xml:space="preserve"> who may find it difficult to access abortion services in</w:t>
      </w:r>
      <w:r w:rsidR="00752368">
        <w:rPr>
          <w:rFonts w:eastAsia="Calibri"/>
          <w:lang w:eastAsia="en-US"/>
        </w:rPr>
        <w:t>-</w:t>
      </w:r>
      <w:r w:rsidRPr="005F1F83">
        <w:rPr>
          <w:rFonts w:eastAsia="Calibri"/>
          <w:lang w:eastAsia="en-US"/>
        </w:rPr>
        <w:t xml:space="preserve">person. </w:t>
      </w:r>
    </w:p>
    <w:p w14:paraId="7E2CD486" w14:textId="77777777" w:rsidR="00982B8D" w:rsidRPr="005F1F83" w:rsidRDefault="00982B8D" w:rsidP="002A6BB1">
      <w:pPr>
        <w:rPr>
          <w:rFonts w:eastAsia="Calibri"/>
          <w:lang w:eastAsia="en-US"/>
        </w:rPr>
      </w:pPr>
    </w:p>
    <w:p w14:paraId="0E66863E" w14:textId="77777777" w:rsidR="002A6BB1" w:rsidRPr="005F1F83" w:rsidRDefault="002A6BB1" w:rsidP="002A6BB1">
      <w:pPr>
        <w:rPr>
          <w:rFonts w:eastAsia="Calibri"/>
          <w:lang w:eastAsia="en-US"/>
        </w:rPr>
      </w:pPr>
      <w:r w:rsidRPr="005F1F83">
        <w:rPr>
          <w:rFonts w:eastAsia="Calibri"/>
          <w:lang w:eastAsia="en-US"/>
        </w:rPr>
        <w:t>During 2024, DECIDE</w:t>
      </w:r>
      <w:r w:rsidRPr="005F1F83" w:rsidDel="000132B5">
        <w:rPr>
          <w:rFonts w:eastAsia="Calibri"/>
          <w:lang w:eastAsia="en-US"/>
        </w:rPr>
        <w:t xml:space="preserve"> </w:t>
      </w:r>
      <w:r w:rsidRPr="005F1F83">
        <w:rPr>
          <w:rFonts w:eastAsia="Calibri"/>
          <w:lang w:eastAsia="en-US"/>
        </w:rPr>
        <w:t xml:space="preserve">accounted for approximately 30% of all abortions, and 45% of all EMA. </w:t>
      </w:r>
    </w:p>
    <w:p w14:paraId="39502F98" w14:textId="0E2105F0" w:rsidR="00F52619" w:rsidRDefault="00F52619" w:rsidP="00F52619">
      <w:pPr>
        <w:pStyle w:val="Heading2"/>
      </w:pPr>
      <w:bookmarkStart w:id="89" w:name="_Toc195016569"/>
      <w:r w:rsidRPr="00F52619">
        <w:t>Early surgical abortion</w:t>
      </w:r>
      <w:bookmarkEnd w:id="89"/>
    </w:p>
    <w:p w14:paraId="5767941E" w14:textId="178D95E0" w:rsidR="002A6BB1" w:rsidRDefault="002A6BB1" w:rsidP="002A6BB1">
      <w:pPr>
        <w:rPr>
          <w:rFonts w:eastAsia="Calibri"/>
          <w:lang w:eastAsia="en-US"/>
        </w:rPr>
      </w:pPr>
      <w:r w:rsidRPr="008A5BE4">
        <w:rPr>
          <w:rFonts w:eastAsia="Calibri"/>
          <w:lang w:eastAsia="en-US"/>
        </w:rPr>
        <w:t>Early surgical abortion (ESA) is an option for abortion during the first 13 to 15 weeks’ gestation. However,</w:t>
      </w:r>
      <w:r w:rsidRPr="008A5BE4" w:rsidDel="00330002">
        <w:rPr>
          <w:rFonts w:eastAsia="Calibri"/>
          <w:lang w:eastAsia="en-US"/>
        </w:rPr>
        <w:t xml:space="preserve"> </w:t>
      </w:r>
      <w:r w:rsidRPr="008A5BE4">
        <w:rPr>
          <w:rFonts w:eastAsia="Calibri"/>
          <w:lang w:eastAsia="en-US"/>
        </w:rPr>
        <w:t>the gestation at which it is available depends on the provider. Many practitioners who offer ESA do not offer this service at later than 13 weeks’ gestation.</w:t>
      </w:r>
      <w:r w:rsidRPr="005F1F83">
        <w:rPr>
          <w:rFonts w:eastAsia="Calibri"/>
          <w:lang w:eastAsia="en-US"/>
        </w:rPr>
        <w:t xml:space="preserve"> </w:t>
      </w:r>
    </w:p>
    <w:p w14:paraId="2DBB7763" w14:textId="77777777" w:rsidR="002A6BB1" w:rsidRPr="005F1F83" w:rsidRDefault="002A6BB1" w:rsidP="002A6BB1">
      <w:pPr>
        <w:rPr>
          <w:rFonts w:eastAsia="Calibri"/>
          <w:lang w:eastAsia="en-US"/>
        </w:rPr>
      </w:pPr>
    </w:p>
    <w:p w14:paraId="3BAA24D5" w14:textId="22FF9AF5" w:rsidR="002A6BB1" w:rsidRDefault="00C36232" w:rsidP="002A6BB1">
      <w:pPr>
        <w:rPr>
          <w:rFonts w:eastAsia="Calibri"/>
          <w:lang w:eastAsia="en-US"/>
        </w:rPr>
      </w:pPr>
      <w:r>
        <w:rPr>
          <w:rFonts w:eastAsia="Calibri"/>
          <w:lang w:eastAsia="en-US"/>
        </w:rPr>
        <w:fldChar w:fldCharType="begin"/>
      </w:r>
      <w:r>
        <w:rPr>
          <w:rFonts w:eastAsia="Calibri"/>
          <w:lang w:eastAsia="en-US"/>
        </w:rPr>
        <w:instrText xml:space="preserve"> REF _Ref192758653 \h </w:instrText>
      </w:r>
      <w:r>
        <w:rPr>
          <w:rFonts w:eastAsia="Calibri"/>
          <w:lang w:eastAsia="en-US"/>
        </w:rPr>
      </w:r>
      <w:r>
        <w:rPr>
          <w:rFonts w:eastAsia="Calibri"/>
          <w:lang w:eastAsia="en-US"/>
        </w:rPr>
        <w:fldChar w:fldCharType="separate"/>
      </w:r>
      <w:r w:rsidR="00974F51" w:rsidRPr="005F1F83">
        <w:rPr>
          <w:rFonts w:eastAsia="Calibri"/>
          <w:lang w:eastAsia="en-US"/>
        </w:rPr>
        <w:t xml:space="preserve">Table </w:t>
      </w:r>
      <w:r w:rsidR="00974F51">
        <w:rPr>
          <w:rFonts w:eastAsia="Calibri"/>
          <w:noProof/>
          <w:lang w:eastAsia="en-US"/>
        </w:rPr>
        <w:t>7</w:t>
      </w:r>
      <w:r>
        <w:rPr>
          <w:rFonts w:eastAsia="Calibri"/>
          <w:lang w:eastAsia="en-US"/>
        </w:rPr>
        <w:fldChar w:fldCharType="end"/>
      </w:r>
      <w:r>
        <w:rPr>
          <w:rFonts w:eastAsia="Calibri"/>
          <w:lang w:eastAsia="en-US"/>
        </w:rPr>
        <w:t xml:space="preserve"> </w:t>
      </w:r>
      <w:r w:rsidR="002A6BB1" w:rsidRPr="005F1F83">
        <w:rPr>
          <w:rFonts w:eastAsia="Calibri"/>
          <w:lang w:eastAsia="en-US"/>
        </w:rPr>
        <w:t xml:space="preserve">outlines the number of abortions provided within each district of service occurring at under 13 weeks’ gestation (at or below 12 weeks and 6 days: surgical and total). It also includes the </w:t>
      </w:r>
      <w:bookmarkStart w:id="90" w:name="_Hlk189639126"/>
      <w:r w:rsidR="002A6BB1" w:rsidRPr="005F1F83">
        <w:rPr>
          <w:rFonts w:eastAsia="Calibri"/>
          <w:lang w:eastAsia="en-US"/>
        </w:rPr>
        <w:t xml:space="preserve">percentage of the total number of abortions provided within </w:t>
      </w:r>
      <w:bookmarkEnd w:id="90"/>
      <w:r w:rsidR="002A6BB1" w:rsidRPr="005F1F83">
        <w:rPr>
          <w:rFonts w:eastAsia="Calibri"/>
          <w:lang w:eastAsia="en-US"/>
        </w:rPr>
        <w:t>each district that these figures represent. These figures demonstrate that, across</w:t>
      </w:r>
      <w:r w:rsidR="002A6BB1" w:rsidRPr="005F1F83" w:rsidDel="005D7E30">
        <w:rPr>
          <w:rFonts w:eastAsia="Calibri"/>
          <w:lang w:eastAsia="en-US"/>
        </w:rPr>
        <w:t xml:space="preserve"> all </w:t>
      </w:r>
      <w:r w:rsidR="002A6BB1" w:rsidRPr="005F1F83">
        <w:rPr>
          <w:rFonts w:eastAsia="Calibri"/>
          <w:lang w:eastAsia="en-US"/>
        </w:rPr>
        <w:t>districts, the majority of all abortions provided occur at under 13 weeks’ gestation. However, consistent with the observed increase in EMA since the law change, there has been a decrease in ESA across almost all districts.</w:t>
      </w:r>
    </w:p>
    <w:p w14:paraId="242C4175" w14:textId="77777777" w:rsidR="002A6BB1" w:rsidRPr="005F1F83" w:rsidRDefault="002A6BB1" w:rsidP="002A6BB1">
      <w:pPr>
        <w:rPr>
          <w:rFonts w:eastAsia="Calibri"/>
          <w:lang w:eastAsia="en-US"/>
        </w:rPr>
      </w:pPr>
    </w:p>
    <w:p w14:paraId="0953C25E" w14:textId="50D7D84E" w:rsidR="002A6BB1" w:rsidRDefault="002A6BB1" w:rsidP="002A6BB1">
      <w:pPr>
        <w:rPr>
          <w:rFonts w:eastAsia="Calibri"/>
          <w:lang w:eastAsia="en-US"/>
        </w:rPr>
      </w:pPr>
      <w:r w:rsidRPr="005F1F83">
        <w:rPr>
          <w:rFonts w:eastAsia="Calibri"/>
          <w:lang w:eastAsia="en-US"/>
        </w:rPr>
        <w:t>Notably, the proportion of abortions</w:t>
      </w:r>
      <w:r w:rsidRPr="005F1F83" w:rsidDel="00273775">
        <w:rPr>
          <w:rFonts w:eastAsia="Calibri"/>
          <w:lang w:eastAsia="en-US"/>
        </w:rPr>
        <w:t xml:space="preserve"> </w:t>
      </w:r>
      <w:r w:rsidRPr="005F1F83">
        <w:rPr>
          <w:rFonts w:eastAsia="Calibri"/>
          <w:lang w:eastAsia="en-US"/>
        </w:rPr>
        <w:t>provided as surgical abortions under 13 weeks’ gestation varies widely across regions, with higher proportions typically observed in districts with more urban or densely populated areas. As reported above, the propor</w:t>
      </w:r>
      <w:r>
        <w:rPr>
          <w:rFonts w:eastAsia="Calibri"/>
          <w:lang w:eastAsia="en-US"/>
        </w:rPr>
        <w:t>t</w:t>
      </w:r>
      <w:r w:rsidRPr="005F1F83">
        <w:rPr>
          <w:rFonts w:eastAsia="Calibri"/>
          <w:lang w:eastAsia="en-US"/>
        </w:rPr>
        <w:t xml:space="preserve">ion of ESA is also impacted by the availability of local facilities providing surgical abortion services, which have been almost exclusively provided within hospitals and, to a lesser extent, by community specialists. So, while the law change has enabled more timely and equitable access to EMA, there are still large disparities in surgical provision even at early gestations. </w:t>
      </w:r>
    </w:p>
    <w:p w14:paraId="03920806" w14:textId="77777777" w:rsidR="002A6BB1" w:rsidRPr="005F1F83" w:rsidRDefault="002A6BB1" w:rsidP="002A6BB1">
      <w:pPr>
        <w:rPr>
          <w:rFonts w:eastAsia="Calibri"/>
          <w:lang w:eastAsia="en-US"/>
        </w:rPr>
      </w:pPr>
    </w:p>
    <w:p w14:paraId="41584BA3" w14:textId="2405F8CE" w:rsidR="00F52619" w:rsidRPr="005F1F83" w:rsidRDefault="002A6BB1" w:rsidP="00CD6572">
      <w:pPr>
        <w:pStyle w:val="Table"/>
        <w:rPr>
          <w:rFonts w:eastAsia="Calibri"/>
          <w:lang w:eastAsia="en-US"/>
        </w:rPr>
      </w:pPr>
      <w:bookmarkStart w:id="91" w:name="_Ref192758653"/>
      <w:bookmarkStart w:id="92" w:name="_Toc195016600"/>
      <w:r w:rsidRPr="005F1F83">
        <w:rPr>
          <w:rFonts w:eastAsia="Calibri"/>
          <w:lang w:eastAsia="en-US"/>
        </w:rPr>
        <w:t xml:space="preserve">Table </w:t>
      </w:r>
      <w:r w:rsidRPr="005F1F83">
        <w:rPr>
          <w:rFonts w:eastAsia="Calibri"/>
          <w:lang w:eastAsia="en-US"/>
        </w:rPr>
        <w:fldChar w:fldCharType="begin"/>
      </w:r>
      <w:r w:rsidRPr="005F1F83">
        <w:rPr>
          <w:rFonts w:eastAsia="Calibri"/>
          <w:lang w:eastAsia="en-US"/>
        </w:rPr>
        <w:instrText xml:space="preserve"> SEQ Table \* ARABIC </w:instrText>
      </w:r>
      <w:r w:rsidRPr="005F1F83">
        <w:rPr>
          <w:rFonts w:eastAsia="Calibri"/>
          <w:lang w:eastAsia="en-US"/>
        </w:rPr>
        <w:fldChar w:fldCharType="separate"/>
      </w:r>
      <w:r w:rsidR="00974F51">
        <w:rPr>
          <w:rFonts w:eastAsia="Calibri"/>
          <w:noProof/>
          <w:lang w:eastAsia="en-US"/>
        </w:rPr>
        <w:t>7</w:t>
      </w:r>
      <w:r w:rsidRPr="005F1F83">
        <w:rPr>
          <w:rFonts w:eastAsia="Calibri"/>
          <w:lang w:eastAsia="en-US"/>
        </w:rPr>
        <w:fldChar w:fldCharType="end"/>
      </w:r>
      <w:bookmarkEnd w:id="91"/>
      <w:r w:rsidRPr="005F1F83">
        <w:rPr>
          <w:rFonts w:eastAsia="Calibri"/>
          <w:lang w:eastAsia="en-US"/>
        </w:rPr>
        <w:t xml:space="preserve">: </w:t>
      </w:r>
      <w:r w:rsidR="00412821" w:rsidRPr="00412821">
        <w:rPr>
          <w:rFonts w:eastAsia="Calibri"/>
          <w:lang w:eastAsia="en-US"/>
        </w:rPr>
        <w:t xml:space="preserve">Number and percentage of surgical and total abortions provided at earlier than 13 weeks’ gestation, by district of service, 2020, 2022 and </w:t>
      </w:r>
      <w:proofErr w:type="gramStart"/>
      <w:r w:rsidR="00412821" w:rsidRPr="00412821">
        <w:rPr>
          <w:rFonts w:eastAsia="Calibri"/>
          <w:lang w:eastAsia="en-US"/>
        </w:rPr>
        <w:t>2024</w:t>
      </w:r>
      <w:bookmarkEnd w:id="92"/>
      <w:proofErr w:type="gramEnd"/>
    </w:p>
    <w:tbl>
      <w:tblPr>
        <w:tblW w:w="8926" w:type="dxa"/>
        <w:tblBorders>
          <w:top w:val="single" w:sz="4" w:space="0" w:color="A6A6A6" w:themeColor="background1" w:themeShade="A6"/>
          <w:bottom w:val="single" w:sz="4" w:space="0" w:color="A6A6A6" w:themeColor="background1" w:themeShade="A6"/>
          <w:insideH w:val="single" w:sz="4" w:space="0" w:color="A6A6A6" w:themeColor="background1" w:themeShade="A6"/>
        </w:tblBorders>
        <w:tblLayout w:type="fixed"/>
        <w:tblLook w:val="04A0" w:firstRow="1" w:lastRow="0" w:firstColumn="1" w:lastColumn="0" w:noHBand="0" w:noVBand="1"/>
      </w:tblPr>
      <w:tblGrid>
        <w:gridCol w:w="1591"/>
        <w:gridCol w:w="1239"/>
        <w:gridCol w:w="1134"/>
        <w:gridCol w:w="1276"/>
        <w:gridCol w:w="1276"/>
        <w:gridCol w:w="1276"/>
        <w:gridCol w:w="1134"/>
      </w:tblGrid>
      <w:tr w:rsidR="00F52619" w:rsidRPr="005F1F83" w14:paraId="2025F839" w14:textId="77777777" w:rsidTr="006A5099">
        <w:trPr>
          <w:trHeight w:val="570"/>
        </w:trPr>
        <w:tc>
          <w:tcPr>
            <w:tcW w:w="1591" w:type="dxa"/>
            <w:vMerge w:val="restart"/>
            <w:tcBorders>
              <w:top w:val="nil"/>
              <w:bottom w:val="nil"/>
            </w:tcBorders>
            <w:shd w:val="clear" w:color="auto" w:fill="D9D9D9" w:themeFill="background1" w:themeFillShade="D9"/>
            <w:noWrap/>
            <w:vAlign w:val="center"/>
            <w:hideMark/>
          </w:tcPr>
          <w:p w14:paraId="735A79EA" w14:textId="5ADDE2BC" w:rsidR="00F52619" w:rsidRPr="006A5099" w:rsidRDefault="00F52619" w:rsidP="00F52619">
            <w:pPr>
              <w:pStyle w:val="TableText"/>
              <w:rPr>
                <w:b/>
                <w:bCs/>
              </w:rPr>
            </w:pPr>
            <w:r w:rsidRPr="006A5099">
              <w:rPr>
                <w:b/>
                <w:bCs/>
              </w:rPr>
              <w:t>District of service</w:t>
            </w:r>
          </w:p>
        </w:tc>
        <w:tc>
          <w:tcPr>
            <w:tcW w:w="2373" w:type="dxa"/>
            <w:gridSpan w:val="2"/>
            <w:tcBorders>
              <w:top w:val="nil"/>
              <w:bottom w:val="nil"/>
            </w:tcBorders>
            <w:shd w:val="clear" w:color="auto" w:fill="D9D9D9" w:themeFill="background1" w:themeFillShade="D9"/>
            <w:vAlign w:val="center"/>
          </w:tcPr>
          <w:p w14:paraId="7103EDB5" w14:textId="77777777" w:rsidR="00F52619" w:rsidRPr="006A5099" w:rsidRDefault="00F52619" w:rsidP="00F52619">
            <w:pPr>
              <w:pStyle w:val="TableText"/>
              <w:jc w:val="center"/>
              <w:rPr>
                <w:b/>
                <w:bCs/>
              </w:rPr>
            </w:pPr>
            <w:r w:rsidRPr="006A5099">
              <w:rPr>
                <w:b/>
                <w:bCs/>
              </w:rPr>
              <w:t>2020</w:t>
            </w:r>
          </w:p>
        </w:tc>
        <w:tc>
          <w:tcPr>
            <w:tcW w:w="2552" w:type="dxa"/>
            <w:gridSpan w:val="2"/>
            <w:tcBorders>
              <w:top w:val="nil"/>
              <w:bottom w:val="nil"/>
            </w:tcBorders>
            <w:shd w:val="clear" w:color="auto" w:fill="D9D9D9" w:themeFill="background1" w:themeFillShade="D9"/>
            <w:noWrap/>
            <w:vAlign w:val="center"/>
          </w:tcPr>
          <w:p w14:paraId="3EC32194" w14:textId="77777777" w:rsidR="00F52619" w:rsidRPr="006A5099" w:rsidRDefault="00F52619" w:rsidP="00F52619">
            <w:pPr>
              <w:pStyle w:val="TableText"/>
              <w:jc w:val="center"/>
              <w:rPr>
                <w:b/>
                <w:bCs/>
              </w:rPr>
            </w:pPr>
            <w:r w:rsidRPr="006A5099">
              <w:rPr>
                <w:b/>
                <w:bCs/>
              </w:rPr>
              <w:t>2022</w:t>
            </w:r>
          </w:p>
        </w:tc>
        <w:tc>
          <w:tcPr>
            <w:tcW w:w="2410" w:type="dxa"/>
            <w:gridSpan w:val="2"/>
            <w:tcBorders>
              <w:top w:val="nil"/>
              <w:bottom w:val="nil"/>
            </w:tcBorders>
            <w:shd w:val="clear" w:color="auto" w:fill="D9D9D9" w:themeFill="background1" w:themeFillShade="D9"/>
            <w:vAlign w:val="center"/>
          </w:tcPr>
          <w:p w14:paraId="5EEC0919" w14:textId="77777777" w:rsidR="00F52619" w:rsidRPr="006A5099" w:rsidRDefault="00F52619" w:rsidP="00F52619">
            <w:pPr>
              <w:pStyle w:val="TableText"/>
              <w:jc w:val="center"/>
              <w:rPr>
                <w:b/>
                <w:bCs/>
              </w:rPr>
            </w:pPr>
            <w:r w:rsidRPr="006A5099">
              <w:rPr>
                <w:b/>
                <w:bCs/>
              </w:rPr>
              <w:t>2024</w:t>
            </w:r>
          </w:p>
        </w:tc>
      </w:tr>
      <w:tr w:rsidR="006A5099" w:rsidRPr="005F1F83" w14:paraId="3B8588E2" w14:textId="77777777" w:rsidTr="006A5099">
        <w:trPr>
          <w:trHeight w:val="305"/>
        </w:trPr>
        <w:tc>
          <w:tcPr>
            <w:tcW w:w="1591" w:type="dxa"/>
            <w:vMerge/>
            <w:tcBorders>
              <w:top w:val="nil"/>
              <w:bottom w:val="nil"/>
            </w:tcBorders>
            <w:shd w:val="clear" w:color="auto" w:fill="D9D9D9" w:themeFill="background1" w:themeFillShade="D9"/>
            <w:noWrap/>
            <w:vAlign w:val="center"/>
          </w:tcPr>
          <w:p w14:paraId="6BB06B03" w14:textId="77777777" w:rsidR="00F52619" w:rsidRPr="006A5099" w:rsidRDefault="00F52619" w:rsidP="00F52619">
            <w:pPr>
              <w:pStyle w:val="TableText"/>
              <w:rPr>
                <w:b/>
                <w:bCs/>
              </w:rPr>
            </w:pPr>
          </w:p>
        </w:tc>
        <w:tc>
          <w:tcPr>
            <w:tcW w:w="1239" w:type="dxa"/>
            <w:tcBorders>
              <w:top w:val="nil"/>
              <w:bottom w:val="nil"/>
            </w:tcBorders>
            <w:shd w:val="clear" w:color="auto" w:fill="D9D9D9" w:themeFill="background1" w:themeFillShade="D9"/>
          </w:tcPr>
          <w:p w14:paraId="6A0636CB" w14:textId="77777777" w:rsidR="00F52619" w:rsidRPr="006A5099" w:rsidRDefault="00F52619" w:rsidP="00F52619">
            <w:pPr>
              <w:pStyle w:val="TableText"/>
              <w:jc w:val="center"/>
              <w:rPr>
                <w:rFonts w:eastAsia="Calibri"/>
                <w:b/>
                <w:bCs/>
              </w:rPr>
            </w:pPr>
            <w:r w:rsidRPr="006A5099">
              <w:rPr>
                <w:rFonts w:eastAsia="Calibri"/>
                <w:b/>
                <w:bCs/>
              </w:rPr>
              <w:t>Surgical (%)</w:t>
            </w:r>
          </w:p>
        </w:tc>
        <w:tc>
          <w:tcPr>
            <w:tcW w:w="1134" w:type="dxa"/>
            <w:tcBorders>
              <w:top w:val="nil"/>
              <w:bottom w:val="nil"/>
            </w:tcBorders>
            <w:shd w:val="clear" w:color="auto" w:fill="D9D9D9" w:themeFill="background1" w:themeFillShade="D9"/>
          </w:tcPr>
          <w:p w14:paraId="0B70E862" w14:textId="77777777" w:rsidR="00F52619" w:rsidRPr="006A5099" w:rsidRDefault="00F52619" w:rsidP="00F52619">
            <w:pPr>
              <w:pStyle w:val="TableText"/>
              <w:jc w:val="center"/>
              <w:rPr>
                <w:rFonts w:eastAsia="Calibri"/>
                <w:b/>
                <w:bCs/>
              </w:rPr>
            </w:pPr>
            <w:r w:rsidRPr="006A5099">
              <w:rPr>
                <w:b/>
                <w:bCs/>
              </w:rPr>
              <w:t>Total (%)</w:t>
            </w:r>
          </w:p>
        </w:tc>
        <w:tc>
          <w:tcPr>
            <w:tcW w:w="1276" w:type="dxa"/>
            <w:tcBorders>
              <w:top w:val="nil"/>
              <w:bottom w:val="nil"/>
            </w:tcBorders>
            <w:shd w:val="clear" w:color="auto" w:fill="D9D9D9" w:themeFill="background1" w:themeFillShade="D9"/>
            <w:noWrap/>
          </w:tcPr>
          <w:p w14:paraId="058FBAE4" w14:textId="77777777" w:rsidR="00F52619" w:rsidRPr="006A5099" w:rsidRDefault="00F52619" w:rsidP="00F52619">
            <w:pPr>
              <w:pStyle w:val="TableText"/>
              <w:jc w:val="center"/>
              <w:rPr>
                <w:b/>
                <w:bCs/>
              </w:rPr>
            </w:pPr>
            <w:r w:rsidRPr="006A5099">
              <w:rPr>
                <w:rFonts w:eastAsia="Calibri"/>
                <w:b/>
                <w:bCs/>
              </w:rPr>
              <w:t>Surgical (%)</w:t>
            </w:r>
          </w:p>
        </w:tc>
        <w:tc>
          <w:tcPr>
            <w:tcW w:w="1276" w:type="dxa"/>
            <w:tcBorders>
              <w:top w:val="nil"/>
              <w:bottom w:val="nil"/>
            </w:tcBorders>
            <w:shd w:val="clear" w:color="auto" w:fill="D9D9D9" w:themeFill="background1" w:themeFillShade="D9"/>
          </w:tcPr>
          <w:p w14:paraId="760174A6" w14:textId="77777777" w:rsidR="00F52619" w:rsidRPr="006A5099" w:rsidRDefault="00F52619" w:rsidP="00F52619">
            <w:pPr>
              <w:pStyle w:val="TableText"/>
              <w:jc w:val="center"/>
              <w:rPr>
                <w:b/>
                <w:bCs/>
              </w:rPr>
            </w:pPr>
            <w:r w:rsidRPr="006A5099">
              <w:rPr>
                <w:b/>
                <w:bCs/>
              </w:rPr>
              <w:t>Total (%)</w:t>
            </w:r>
          </w:p>
        </w:tc>
        <w:tc>
          <w:tcPr>
            <w:tcW w:w="1276" w:type="dxa"/>
            <w:tcBorders>
              <w:top w:val="nil"/>
              <w:bottom w:val="nil"/>
            </w:tcBorders>
            <w:shd w:val="clear" w:color="auto" w:fill="D9D9D9" w:themeFill="background1" w:themeFillShade="D9"/>
          </w:tcPr>
          <w:p w14:paraId="30E4EA82" w14:textId="77777777" w:rsidR="00F52619" w:rsidRPr="006A5099" w:rsidRDefault="00F52619" w:rsidP="00F52619">
            <w:pPr>
              <w:pStyle w:val="TableText"/>
              <w:jc w:val="center"/>
              <w:rPr>
                <w:b/>
                <w:bCs/>
              </w:rPr>
            </w:pPr>
            <w:r w:rsidRPr="006A5099">
              <w:rPr>
                <w:b/>
                <w:bCs/>
              </w:rPr>
              <w:t>Surgical (%)</w:t>
            </w:r>
          </w:p>
        </w:tc>
        <w:tc>
          <w:tcPr>
            <w:tcW w:w="1134" w:type="dxa"/>
            <w:tcBorders>
              <w:top w:val="nil"/>
              <w:bottom w:val="nil"/>
            </w:tcBorders>
            <w:shd w:val="clear" w:color="auto" w:fill="D9D9D9" w:themeFill="background1" w:themeFillShade="D9"/>
          </w:tcPr>
          <w:p w14:paraId="59054DC6" w14:textId="240B0E85" w:rsidR="00F52619" w:rsidRPr="006A5099" w:rsidRDefault="00F52619" w:rsidP="00F52619">
            <w:pPr>
              <w:pStyle w:val="TableText"/>
              <w:jc w:val="center"/>
              <w:rPr>
                <w:b/>
                <w:bCs/>
              </w:rPr>
            </w:pPr>
            <w:r w:rsidRPr="006A5099">
              <w:rPr>
                <w:b/>
                <w:bCs/>
              </w:rPr>
              <w:t>Total (%)</w:t>
            </w:r>
          </w:p>
        </w:tc>
      </w:tr>
      <w:tr w:rsidR="00E026D6" w:rsidRPr="005F1F83" w14:paraId="466FE507" w14:textId="77777777" w:rsidTr="006A5099">
        <w:trPr>
          <w:trHeight w:val="305"/>
        </w:trPr>
        <w:tc>
          <w:tcPr>
            <w:tcW w:w="1591" w:type="dxa"/>
            <w:tcBorders>
              <w:top w:val="nil"/>
            </w:tcBorders>
            <w:shd w:val="clear" w:color="auto" w:fill="auto"/>
            <w:noWrap/>
          </w:tcPr>
          <w:p w14:paraId="0CE12BC8" w14:textId="77777777" w:rsidR="00E026D6" w:rsidRPr="00F52619" w:rsidRDefault="00E026D6" w:rsidP="00E026D6">
            <w:pPr>
              <w:pStyle w:val="TableText"/>
            </w:pPr>
            <w:r w:rsidRPr="00F52619">
              <w:t>Auckland</w:t>
            </w:r>
          </w:p>
        </w:tc>
        <w:tc>
          <w:tcPr>
            <w:tcW w:w="1239" w:type="dxa"/>
            <w:tcBorders>
              <w:top w:val="nil"/>
            </w:tcBorders>
            <w:vAlign w:val="center"/>
          </w:tcPr>
          <w:p w14:paraId="35595DCA" w14:textId="2EDAB831" w:rsidR="00E026D6" w:rsidRPr="00F52619" w:rsidRDefault="00E026D6" w:rsidP="00E026D6">
            <w:pPr>
              <w:pStyle w:val="TableText"/>
              <w:jc w:val="right"/>
            </w:pPr>
            <w:r w:rsidRPr="005F1F83">
              <w:t>2,497 (53.6)</w:t>
            </w:r>
          </w:p>
        </w:tc>
        <w:tc>
          <w:tcPr>
            <w:tcW w:w="1134" w:type="dxa"/>
            <w:tcBorders>
              <w:top w:val="nil"/>
            </w:tcBorders>
            <w:vAlign w:val="center"/>
          </w:tcPr>
          <w:p w14:paraId="406FE8D2" w14:textId="78293A3A" w:rsidR="00E026D6" w:rsidRPr="00F52619" w:rsidRDefault="00E026D6" w:rsidP="00E026D6">
            <w:pPr>
              <w:pStyle w:val="TableText"/>
              <w:jc w:val="right"/>
            </w:pPr>
            <w:r w:rsidRPr="005F1F83">
              <w:rPr>
                <w:rFonts w:cstheme="minorHAnsi"/>
                <w:color w:val="000000"/>
              </w:rPr>
              <w:t>4,071 (87.5)</w:t>
            </w:r>
          </w:p>
        </w:tc>
        <w:tc>
          <w:tcPr>
            <w:tcW w:w="1276" w:type="dxa"/>
            <w:tcBorders>
              <w:top w:val="nil"/>
            </w:tcBorders>
            <w:shd w:val="clear" w:color="auto" w:fill="auto"/>
            <w:noWrap/>
            <w:vAlign w:val="center"/>
          </w:tcPr>
          <w:p w14:paraId="2043A359" w14:textId="378650BA" w:rsidR="00E026D6" w:rsidRPr="00F52619" w:rsidRDefault="00E026D6" w:rsidP="00E026D6">
            <w:pPr>
              <w:pStyle w:val="TableText"/>
              <w:jc w:val="right"/>
            </w:pPr>
            <w:r w:rsidRPr="005F1F83">
              <w:rPr>
                <w:rFonts w:cstheme="minorHAnsi"/>
                <w:color w:val="000000"/>
              </w:rPr>
              <w:t>2,076 (44.2)</w:t>
            </w:r>
          </w:p>
        </w:tc>
        <w:tc>
          <w:tcPr>
            <w:tcW w:w="1276" w:type="dxa"/>
            <w:tcBorders>
              <w:top w:val="nil"/>
            </w:tcBorders>
            <w:vAlign w:val="center"/>
          </w:tcPr>
          <w:p w14:paraId="5DDE45C0" w14:textId="76302F52" w:rsidR="00E026D6" w:rsidRPr="00F52619" w:rsidRDefault="00E026D6" w:rsidP="00E026D6">
            <w:pPr>
              <w:pStyle w:val="TableText"/>
              <w:jc w:val="right"/>
            </w:pPr>
            <w:r w:rsidRPr="005F1F83">
              <w:rPr>
                <w:rFonts w:cstheme="minorHAnsi"/>
                <w:color w:val="000000"/>
              </w:rPr>
              <w:t>4,324 (92)</w:t>
            </w:r>
          </w:p>
        </w:tc>
        <w:tc>
          <w:tcPr>
            <w:tcW w:w="1276" w:type="dxa"/>
            <w:tcBorders>
              <w:top w:val="nil"/>
            </w:tcBorders>
            <w:vAlign w:val="center"/>
          </w:tcPr>
          <w:p w14:paraId="3326CE56" w14:textId="2441A821" w:rsidR="00E026D6" w:rsidRPr="00F52619" w:rsidRDefault="00E026D6" w:rsidP="00E026D6">
            <w:pPr>
              <w:pStyle w:val="TableText"/>
              <w:jc w:val="right"/>
            </w:pPr>
            <w:r w:rsidRPr="005F1F83">
              <w:rPr>
                <w:rFonts w:cstheme="minorHAnsi"/>
                <w:color w:val="000000"/>
              </w:rPr>
              <w:t>1,754 (43.9)</w:t>
            </w:r>
          </w:p>
        </w:tc>
        <w:tc>
          <w:tcPr>
            <w:tcW w:w="1134" w:type="dxa"/>
            <w:tcBorders>
              <w:top w:val="nil"/>
            </w:tcBorders>
            <w:vAlign w:val="center"/>
          </w:tcPr>
          <w:p w14:paraId="72C68F2F" w14:textId="587D95AF" w:rsidR="00E026D6" w:rsidRPr="00F52619" w:rsidRDefault="00E026D6" w:rsidP="00E026D6">
            <w:pPr>
              <w:pStyle w:val="TableText"/>
              <w:jc w:val="right"/>
            </w:pPr>
            <w:r w:rsidRPr="005F1F83">
              <w:rPr>
                <w:rFonts w:cstheme="minorHAnsi"/>
                <w:color w:val="000000"/>
              </w:rPr>
              <w:t>3,577 (89.6)</w:t>
            </w:r>
          </w:p>
        </w:tc>
      </w:tr>
      <w:tr w:rsidR="00E026D6" w:rsidRPr="005F1F83" w14:paraId="3C8F2ECC" w14:textId="77777777" w:rsidTr="006A5099">
        <w:trPr>
          <w:trHeight w:val="305"/>
        </w:trPr>
        <w:tc>
          <w:tcPr>
            <w:tcW w:w="1591" w:type="dxa"/>
            <w:shd w:val="clear" w:color="auto" w:fill="auto"/>
            <w:noWrap/>
            <w:hideMark/>
          </w:tcPr>
          <w:p w14:paraId="4DB20732" w14:textId="0D502C0E" w:rsidR="00E026D6" w:rsidRPr="00F52619" w:rsidRDefault="00E026D6" w:rsidP="00E026D6">
            <w:pPr>
              <w:pStyle w:val="TableText"/>
            </w:pPr>
            <w:r w:rsidRPr="00F52619">
              <w:t>Bay of Plenty</w:t>
            </w:r>
          </w:p>
        </w:tc>
        <w:tc>
          <w:tcPr>
            <w:tcW w:w="1239" w:type="dxa"/>
            <w:vAlign w:val="center"/>
          </w:tcPr>
          <w:p w14:paraId="41CAF835" w14:textId="249E56F2" w:rsidR="00E026D6" w:rsidRPr="00F52619" w:rsidRDefault="00E026D6" w:rsidP="00E026D6">
            <w:pPr>
              <w:pStyle w:val="TableText"/>
              <w:jc w:val="right"/>
            </w:pPr>
            <w:r w:rsidRPr="005F1F83">
              <w:rPr>
                <w:rFonts w:cstheme="minorHAnsi"/>
                <w:color w:val="000000"/>
              </w:rPr>
              <w:t>–</w:t>
            </w:r>
          </w:p>
        </w:tc>
        <w:tc>
          <w:tcPr>
            <w:tcW w:w="1134" w:type="dxa"/>
            <w:vAlign w:val="center"/>
          </w:tcPr>
          <w:p w14:paraId="22A0EA70" w14:textId="128F95C9" w:rsidR="00E026D6" w:rsidRPr="00F52619" w:rsidRDefault="00E026D6" w:rsidP="00E026D6">
            <w:pPr>
              <w:pStyle w:val="TableText"/>
              <w:jc w:val="right"/>
            </w:pPr>
            <w:r w:rsidRPr="005F1F83">
              <w:rPr>
                <w:rFonts w:cstheme="minorHAnsi"/>
                <w:color w:val="000000"/>
              </w:rPr>
              <w:t>246 (100)</w:t>
            </w:r>
          </w:p>
        </w:tc>
        <w:tc>
          <w:tcPr>
            <w:tcW w:w="1276" w:type="dxa"/>
            <w:shd w:val="clear" w:color="auto" w:fill="auto"/>
            <w:noWrap/>
            <w:vAlign w:val="center"/>
          </w:tcPr>
          <w:p w14:paraId="124E94B8" w14:textId="13D37E19" w:rsidR="00E026D6" w:rsidRPr="00F52619" w:rsidRDefault="00E026D6" w:rsidP="00E026D6">
            <w:pPr>
              <w:pStyle w:val="TableText"/>
              <w:jc w:val="right"/>
            </w:pPr>
            <w:r w:rsidRPr="005F1F83">
              <w:rPr>
                <w:rFonts w:cstheme="minorHAnsi"/>
                <w:color w:val="000000"/>
              </w:rPr>
              <w:t>2 (0.5)</w:t>
            </w:r>
          </w:p>
        </w:tc>
        <w:tc>
          <w:tcPr>
            <w:tcW w:w="1276" w:type="dxa"/>
            <w:vAlign w:val="center"/>
          </w:tcPr>
          <w:p w14:paraId="6BAC1C00" w14:textId="1691C957" w:rsidR="00E026D6" w:rsidRPr="00F52619" w:rsidRDefault="00E026D6" w:rsidP="00E026D6">
            <w:pPr>
              <w:pStyle w:val="TableText"/>
              <w:jc w:val="right"/>
            </w:pPr>
            <w:r w:rsidRPr="005F1F83">
              <w:rPr>
                <w:rFonts w:cstheme="minorHAnsi"/>
                <w:color w:val="000000"/>
              </w:rPr>
              <w:t>373 (100)</w:t>
            </w:r>
          </w:p>
        </w:tc>
        <w:tc>
          <w:tcPr>
            <w:tcW w:w="1276" w:type="dxa"/>
            <w:vAlign w:val="center"/>
          </w:tcPr>
          <w:p w14:paraId="44BB1EF1" w14:textId="1A61229E" w:rsidR="00E026D6" w:rsidRPr="00F52619" w:rsidRDefault="00E026D6" w:rsidP="00E026D6">
            <w:pPr>
              <w:pStyle w:val="TableText"/>
              <w:jc w:val="right"/>
            </w:pPr>
            <w:r w:rsidRPr="005F1F83">
              <w:rPr>
                <w:rFonts w:cstheme="minorHAnsi"/>
                <w:color w:val="000000"/>
              </w:rPr>
              <w:t>1 (0.4)</w:t>
            </w:r>
          </w:p>
        </w:tc>
        <w:tc>
          <w:tcPr>
            <w:tcW w:w="1134" w:type="dxa"/>
            <w:vAlign w:val="center"/>
          </w:tcPr>
          <w:p w14:paraId="599ECF9A" w14:textId="29396715" w:rsidR="00E026D6" w:rsidRPr="00F52619" w:rsidRDefault="00E026D6" w:rsidP="00E026D6">
            <w:pPr>
              <w:pStyle w:val="TableText"/>
              <w:jc w:val="right"/>
            </w:pPr>
            <w:r w:rsidRPr="005F1F83">
              <w:rPr>
                <w:rFonts w:cstheme="minorHAnsi"/>
                <w:color w:val="000000"/>
              </w:rPr>
              <w:t>238 (100)</w:t>
            </w:r>
          </w:p>
        </w:tc>
      </w:tr>
      <w:tr w:rsidR="00E026D6" w:rsidRPr="005F1F83" w14:paraId="5715AE65" w14:textId="77777777" w:rsidTr="006A5099">
        <w:trPr>
          <w:trHeight w:val="305"/>
        </w:trPr>
        <w:tc>
          <w:tcPr>
            <w:tcW w:w="1591" w:type="dxa"/>
            <w:shd w:val="clear" w:color="auto" w:fill="auto"/>
            <w:noWrap/>
            <w:hideMark/>
          </w:tcPr>
          <w:p w14:paraId="5C031882" w14:textId="77777777" w:rsidR="00E026D6" w:rsidRPr="00F52619" w:rsidRDefault="00E026D6" w:rsidP="00E026D6">
            <w:pPr>
              <w:pStyle w:val="TableText"/>
            </w:pPr>
            <w:r w:rsidRPr="00F52619">
              <w:t>Canterbury</w:t>
            </w:r>
          </w:p>
        </w:tc>
        <w:tc>
          <w:tcPr>
            <w:tcW w:w="1239" w:type="dxa"/>
            <w:vAlign w:val="center"/>
          </w:tcPr>
          <w:p w14:paraId="7DD0093E" w14:textId="645EB7DF" w:rsidR="00E026D6" w:rsidRPr="00F52619" w:rsidRDefault="00E026D6" w:rsidP="00E026D6">
            <w:pPr>
              <w:pStyle w:val="TableText"/>
              <w:jc w:val="right"/>
            </w:pPr>
            <w:r w:rsidRPr="005F1F83">
              <w:rPr>
                <w:rFonts w:cstheme="minorHAnsi"/>
                <w:color w:val="000000"/>
              </w:rPr>
              <w:t>886 (54.9)</w:t>
            </w:r>
          </w:p>
        </w:tc>
        <w:tc>
          <w:tcPr>
            <w:tcW w:w="1134" w:type="dxa"/>
            <w:vAlign w:val="center"/>
          </w:tcPr>
          <w:p w14:paraId="30FF7D72" w14:textId="21AEB047" w:rsidR="00E026D6" w:rsidRPr="00F52619" w:rsidRDefault="00E026D6" w:rsidP="00E026D6">
            <w:pPr>
              <w:pStyle w:val="TableText"/>
              <w:jc w:val="right"/>
            </w:pPr>
            <w:r w:rsidRPr="005F1F83">
              <w:rPr>
                <w:rFonts w:cstheme="minorHAnsi"/>
                <w:color w:val="000000"/>
              </w:rPr>
              <w:t>1,528 (94.7)</w:t>
            </w:r>
          </w:p>
        </w:tc>
        <w:tc>
          <w:tcPr>
            <w:tcW w:w="1276" w:type="dxa"/>
            <w:shd w:val="clear" w:color="auto" w:fill="auto"/>
            <w:noWrap/>
            <w:vAlign w:val="center"/>
          </w:tcPr>
          <w:p w14:paraId="547C43DF" w14:textId="2634957A" w:rsidR="00E026D6" w:rsidRPr="00F52619" w:rsidRDefault="00E026D6" w:rsidP="00E026D6">
            <w:pPr>
              <w:pStyle w:val="TableText"/>
              <w:jc w:val="right"/>
            </w:pPr>
            <w:r w:rsidRPr="005F1F83">
              <w:rPr>
                <w:rFonts w:cstheme="minorHAnsi"/>
                <w:color w:val="000000"/>
              </w:rPr>
              <w:t>581 (38.3)</w:t>
            </w:r>
          </w:p>
        </w:tc>
        <w:tc>
          <w:tcPr>
            <w:tcW w:w="1276" w:type="dxa"/>
            <w:vAlign w:val="center"/>
          </w:tcPr>
          <w:p w14:paraId="3E44AA76" w14:textId="0FDDD766" w:rsidR="00E026D6" w:rsidRPr="00F52619" w:rsidRDefault="00E026D6" w:rsidP="00E026D6">
            <w:pPr>
              <w:pStyle w:val="TableText"/>
              <w:jc w:val="right"/>
            </w:pPr>
            <w:r w:rsidRPr="005F1F83">
              <w:rPr>
                <w:rFonts w:cstheme="minorHAnsi"/>
                <w:color w:val="000000"/>
              </w:rPr>
              <w:t>1,466 (96.8)</w:t>
            </w:r>
          </w:p>
        </w:tc>
        <w:tc>
          <w:tcPr>
            <w:tcW w:w="1276" w:type="dxa"/>
            <w:vAlign w:val="center"/>
          </w:tcPr>
          <w:p w14:paraId="6B4C52A5" w14:textId="427CC3FE" w:rsidR="00E026D6" w:rsidRPr="00F52619" w:rsidRDefault="00E026D6" w:rsidP="00E026D6">
            <w:pPr>
              <w:pStyle w:val="TableText"/>
              <w:jc w:val="right"/>
            </w:pPr>
            <w:r w:rsidRPr="005F1F83">
              <w:rPr>
                <w:rFonts w:cstheme="minorHAnsi"/>
                <w:color w:val="000000"/>
              </w:rPr>
              <w:t>437 (29.6)</w:t>
            </w:r>
          </w:p>
        </w:tc>
        <w:tc>
          <w:tcPr>
            <w:tcW w:w="1134" w:type="dxa"/>
            <w:vAlign w:val="center"/>
          </w:tcPr>
          <w:p w14:paraId="6A0B85B7" w14:textId="55F96112" w:rsidR="00E026D6" w:rsidRPr="00F52619" w:rsidRDefault="00E026D6" w:rsidP="00E026D6">
            <w:pPr>
              <w:pStyle w:val="TableText"/>
              <w:jc w:val="right"/>
            </w:pPr>
            <w:r w:rsidRPr="005F1F83">
              <w:rPr>
                <w:rFonts w:cstheme="minorHAnsi"/>
                <w:color w:val="000000"/>
              </w:rPr>
              <w:t>1,351 (91.6)</w:t>
            </w:r>
          </w:p>
        </w:tc>
      </w:tr>
      <w:tr w:rsidR="00E026D6" w:rsidRPr="005F1F83" w14:paraId="0BF8DBA3" w14:textId="77777777" w:rsidTr="006A5099">
        <w:trPr>
          <w:trHeight w:val="305"/>
        </w:trPr>
        <w:tc>
          <w:tcPr>
            <w:tcW w:w="1591" w:type="dxa"/>
            <w:shd w:val="clear" w:color="auto" w:fill="auto"/>
            <w:noWrap/>
            <w:hideMark/>
          </w:tcPr>
          <w:p w14:paraId="75D04EA0" w14:textId="185063F9" w:rsidR="00E026D6" w:rsidRPr="00F52619" w:rsidRDefault="00E026D6" w:rsidP="00E026D6">
            <w:pPr>
              <w:pStyle w:val="TableText"/>
            </w:pPr>
            <w:r w:rsidRPr="00F52619">
              <w:t>Capital &amp; Coast</w:t>
            </w:r>
          </w:p>
        </w:tc>
        <w:tc>
          <w:tcPr>
            <w:tcW w:w="1239" w:type="dxa"/>
            <w:vAlign w:val="center"/>
          </w:tcPr>
          <w:p w14:paraId="53654C94" w14:textId="3DAB009D" w:rsidR="00E026D6" w:rsidRPr="00F52619" w:rsidRDefault="00E026D6" w:rsidP="00E026D6">
            <w:pPr>
              <w:pStyle w:val="TableText"/>
              <w:jc w:val="right"/>
            </w:pPr>
            <w:r w:rsidRPr="005F1F83">
              <w:rPr>
                <w:rFonts w:cstheme="minorHAnsi"/>
                <w:color w:val="000000"/>
              </w:rPr>
              <w:t>855 (67.9)</w:t>
            </w:r>
          </w:p>
        </w:tc>
        <w:tc>
          <w:tcPr>
            <w:tcW w:w="1134" w:type="dxa"/>
            <w:vAlign w:val="center"/>
          </w:tcPr>
          <w:p w14:paraId="7037BEBA" w14:textId="07DCC391" w:rsidR="00E026D6" w:rsidRPr="00F52619" w:rsidRDefault="00E026D6" w:rsidP="00E026D6">
            <w:pPr>
              <w:pStyle w:val="TableText"/>
              <w:jc w:val="right"/>
            </w:pPr>
            <w:r w:rsidRPr="005F1F83">
              <w:rPr>
                <w:rFonts w:cstheme="minorHAnsi"/>
                <w:color w:val="000000"/>
              </w:rPr>
              <w:t>1,100 (87.4)</w:t>
            </w:r>
          </w:p>
        </w:tc>
        <w:tc>
          <w:tcPr>
            <w:tcW w:w="1276" w:type="dxa"/>
            <w:shd w:val="clear" w:color="auto" w:fill="auto"/>
            <w:noWrap/>
            <w:vAlign w:val="center"/>
          </w:tcPr>
          <w:p w14:paraId="259CD42B" w14:textId="3A9BDF2A" w:rsidR="00E026D6" w:rsidRPr="00F52619" w:rsidRDefault="00E026D6" w:rsidP="00E026D6">
            <w:pPr>
              <w:pStyle w:val="TableText"/>
              <w:jc w:val="right"/>
            </w:pPr>
            <w:r w:rsidRPr="005F1F83">
              <w:rPr>
                <w:rFonts w:cstheme="minorHAnsi"/>
                <w:color w:val="000000"/>
              </w:rPr>
              <w:t>797 (59.3)</w:t>
            </w:r>
          </w:p>
        </w:tc>
        <w:tc>
          <w:tcPr>
            <w:tcW w:w="1276" w:type="dxa"/>
            <w:vAlign w:val="center"/>
          </w:tcPr>
          <w:p w14:paraId="0C842CFF" w14:textId="418818C1" w:rsidR="00E026D6" w:rsidRPr="00F52619" w:rsidRDefault="00E026D6" w:rsidP="00E026D6">
            <w:pPr>
              <w:pStyle w:val="TableText"/>
              <w:jc w:val="right"/>
            </w:pPr>
            <w:r w:rsidRPr="005F1F83">
              <w:rPr>
                <w:rFonts w:cstheme="minorHAnsi"/>
                <w:color w:val="000000"/>
              </w:rPr>
              <w:t>1,186 (88.2)</w:t>
            </w:r>
          </w:p>
        </w:tc>
        <w:tc>
          <w:tcPr>
            <w:tcW w:w="1276" w:type="dxa"/>
            <w:vAlign w:val="center"/>
          </w:tcPr>
          <w:p w14:paraId="45BEEF07" w14:textId="021D8C18" w:rsidR="00E026D6" w:rsidRPr="00F52619" w:rsidRDefault="00E026D6" w:rsidP="00E026D6">
            <w:pPr>
              <w:pStyle w:val="TableText"/>
              <w:jc w:val="right"/>
            </w:pPr>
            <w:r w:rsidRPr="005F1F83">
              <w:rPr>
                <w:rFonts w:cstheme="minorHAnsi"/>
                <w:color w:val="000000"/>
              </w:rPr>
              <w:t>515 (53.9)</w:t>
            </w:r>
          </w:p>
        </w:tc>
        <w:tc>
          <w:tcPr>
            <w:tcW w:w="1134" w:type="dxa"/>
            <w:vAlign w:val="center"/>
          </w:tcPr>
          <w:p w14:paraId="48E4C8D1" w14:textId="46BA7027" w:rsidR="00E026D6" w:rsidRPr="00F52619" w:rsidRDefault="00E026D6" w:rsidP="00E026D6">
            <w:pPr>
              <w:pStyle w:val="TableText"/>
              <w:jc w:val="right"/>
            </w:pPr>
            <w:r w:rsidRPr="005F1F83">
              <w:rPr>
                <w:rFonts w:cstheme="minorHAnsi"/>
                <w:color w:val="000000"/>
              </w:rPr>
              <w:t>786 (82.3)</w:t>
            </w:r>
          </w:p>
        </w:tc>
      </w:tr>
      <w:tr w:rsidR="00E026D6" w:rsidRPr="005F1F83" w14:paraId="52533C34" w14:textId="77777777" w:rsidTr="006A5099">
        <w:trPr>
          <w:trHeight w:val="305"/>
        </w:trPr>
        <w:tc>
          <w:tcPr>
            <w:tcW w:w="1591" w:type="dxa"/>
            <w:shd w:val="clear" w:color="auto" w:fill="auto"/>
            <w:noWrap/>
            <w:hideMark/>
          </w:tcPr>
          <w:p w14:paraId="7EA7F448" w14:textId="5F180486" w:rsidR="00E026D6" w:rsidRPr="00F52619" w:rsidRDefault="00E026D6" w:rsidP="00E026D6">
            <w:pPr>
              <w:pStyle w:val="TableText"/>
            </w:pPr>
            <w:r w:rsidRPr="00F52619">
              <w:t>Counties Manukau</w:t>
            </w:r>
          </w:p>
        </w:tc>
        <w:tc>
          <w:tcPr>
            <w:tcW w:w="1239" w:type="dxa"/>
            <w:vAlign w:val="center"/>
          </w:tcPr>
          <w:p w14:paraId="0C5363B9" w14:textId="7316A6C0" w:rsidR="00E026D6" w:rsidRPr="00F52619" w:rsidRDefault="00E026D6" w:rsidP="00E026D6">
            <w:pPr>
              <w:pStyle w:val="TableText"/>
              <w:jc w:val="right"/>
            </w:pPr>
            <w:r w:rsidRPr="005F1F83">
              <w:rPr>
                <w:rFonts w:cstheme="minorHAnsi"/>
                <w:color w:val="000000"/>
              </w:rPr>
              <w:t>–</w:t>
            </w:r>
          </w:p>
        </w:tc>
        <w:tc>
          <w:tcPr>
            <w:tcW w:w="1134" w:type="dxa"/>
            <w:vAlign w:val="center"/>
          </w:tcPr>
          <w:p w14:paraId="76256388" w14:textId="1B73CF15" w:rsidR="00E026D6" w:rsidRPr="00F52619" w:rsidRDefault="00E026D6" w:rsidP="00E026D6">
            <w:pPr>
              <w:pStyle w:val="TableText"/>
              <w:jc w:val="right"/>
            </w:pPr>
            <w:r w:rsidRPr="005F1F83">
              <w:rPr>
                <w:rFonts w:cstheme="minorHAnsi"/>
                <w:color w:val="000000"/>
              </w:rPr>
              <w:t>–</w:t>
            </w:r>
          </w:p>
        </w:tc>
        <w:tc>
          <w:tcPr>
            <w:tcW w:w="1276" w:type="dxa"/>
            <w:shd w:val="clear" w:color="auto" w:fill="auto"/>
            <w:noWrap/>
            <w:vAlign w:val="center"/>
          </w:tcPr>
          <w:p w14:paraId="13684282" w14:textId="4830E056" w:rsidR="00E026D6" w:rsidRPr="00F52619" w:rsidRDefault="00E026D6" w:rsidP="00E026D6">
            <w:pPr>
              <w:pStyle w:val="TableText"/>
              <w:jc w:val="right"/>
            </w:pPr>
            <w:r w:rsidRPr="005F1F83">
              <w:rPr>
                <w:rFonts w:cstheme="minorHAnsi"/>
                <w:color w:val="000000"/>
              </w:rPr>
              <w:t>–</w:t>
            </w:r>
          </w:p>
        </w:tc>
        <w:tc>
          <w:tcPr>
            <w:tcW w:w="1276" w:type="dxa"/>
            <w:vAlign w:val="center"/>
          </w:tcPr>
          <w:p w14:paraId="21CC307F" w14:textId="2762F562" w:rsidR="00E026D6" w:rsidRPr="00F52619" w:rsidRDefault="00E026D6" w:rsidP="00E026D6">
            <w:pPr>
              <w:pStyle w:val="TableText"/>
              <w:jc w:val="right"/>
            </w:pPr>
            <w:r w:rsidRPr="005F1F83">
              <w:rPr>
                <w:rFonts w:cstheme="minorHAnsi"/>
                <w:color w:val="000000"/>
              </w:rPr>
              <w:t>–</w:t>
            </w:r>
          </w:p>
        </w:tc>
        <w:tc>
          <w:tcPr>
            <w:tcW w:w="1276" w:type="dxa"/>
            <w:vAlign w:val="center"/>
          </w:tcPr>
          <w:p w14:paraId="316D459D" w14:textId="4E2523F5" w:rsidR="00E026D6" w:rsidRPr="00F52619" w:rsidRDefault="00E026D6" w:rsidP="00E026D6">
            <w:pPr>
              <w:pStyle w:val="TableText"/>
              <w:jc w:val="right"/>
            </w:pPr>
            <w:r w:rsidRPr="005F1F83">
              <w:rPr>
                <w:rFonts w:cstheme="minorHAnsi"/>
                <w:color w:val="000000"/>
              </w:rPr>
              <w:t>–</w:t>
            </w:r>
          </w:p>
        </w:tc>
        <w:tc>
          <w:tcPr>
            <w:tcW w:w="1134" w:type="dxa"/>
            <w:vAlign w:val="center"/>
          </w:tcPr>
          <w:p w14:paraId="48146AD5" w14:textId="3DFAB3B2" w:rsidR="00E026D6" w:rsidRPr="00F52619" w:rsidRDefault="00E026D6" w:rsidP="00E026D6">
            <w:pPr>
              <w:pStyle w:val="TableText"/>
              <w:jc w:val="right"/>
            </w:pPr>
            <w:r w:rsidRPr="005F1F83">
              <w:rPr>
                <w:rFonts w:cstheme="minorHAnsi"/>
                <w:color w:val="000000"/>
              </w:rPr>
              <w:t>62 (62)</w:t>
            </w:r>
          </w:p>
        </w:tc>
      </w:tr>
      <w:tr w:rsidR="00E026D6" w:rsidRPr="005F1F83" w14:paraId="05A1DA5E" w14:textId="77777777" w:rsidTr="006A5099">
        <w:trPr>
          <w:trHeight w:val="305"/>
        </w:trPr>
        <w:tc>
          <w:tcPr>
            <w:tcW w:w="1591" w:type="dxa"/>
            <w:shd w:val="clear" w:color="auto" w:fill="auto"/>
            <w:noWrap/>
            <w:hideMark/>
          </w:tcPr>
          <w:p w14:paraId="5E397406" w14:textId="77777777" w:rsidR="00E026D6" w:rsidRPr="00F52619" w:rsidRDefault="00E026D6" w:rsidP="00E026D6">
            <w:pPr>
              <w:pStyle w:val="TableText"/>
            </w:pPr>
            <w:r w:rsidRPr="00F52619">
              <w:t>Hawke’s Bay</w:t>
            </w:r>
          </w:p>
        </w:tc>
        <w:tc>
          <w:tcPr>
            <w:tcW w:w="1239" w:type="dxa"/>
            <w:vAlign w:val="center"/>
          </w:tcPr>
          <w:p w14:paraId="5D2501EA" w14:textId="24A807AB" w:rsidR="00E026D6" w:rsidRPr="00F52619" w:rsidRDefault="00E026D6" w:rsidP="00E026D6">
            <w:pPr>
              <w:pStyle w:val="TableText"/>
              <w:jc w:val="right"/>
            </w:pPr>
            <w:r w:rsidRPr="005F1F83">
              <w:rPr>
                <w:rFonts w:cstheme="minorHAnsi"/>
                <w:color w:val="000000"/>
              </w:rPr>
              <w:t>261 (62.1)</w:t>
            </w:r>
          </w:p>
        </w:tc>
        <w:tc>
          <w:tcPr>
            <w:tcW w:w="1134" w:type="dxa"/>
            <w:vAlign w:val="center"/>
          </w:tcPr>
          <w:p w14:paraId="6FC751E2" w14:textId="38C4CADF" w:rsidR="00E026D6" w:rsidRPr="00F52619" w:rsidRDefault="00E026D6" w:rsidP="00E026D6">
            <w:pPr>
              <w:pStyle w:val="TableText"/>
              <w:jc w:val="right"/>
            </w:pPr>
            <w:r w:rsidRPr="005F1F83">
              <w:rPr>
                <w:rFonts w:cstheme="minorHAnsi"/>
                <w:color w:val="000000"/>
              </w:rPr>
              <w:t>398 (94.8)</w:t>
            </w:r>
          </w:p>
        </w:tc>
        <w:tc>
          <w:tcPr>
            <w:tcW w:w="1276" w:type="dxa"/>
            <w:shd w:val="clear" w:color="auto" w:fill="auto"/>
            <w:noWrap/>
            <w:vAlign w:val="center"/>
          </w:tcPr>
          <w:p w14:paraId="4C9D502C" w14:textId="6B2605F3" w:rsidR="00E026D6" w:rsidRPr="00F52619" w:rsidRDefault="00E026D6" w:rsidP="00E026D6">
            <w:pPr>
              <w:pStyle w:val="TableText"/>
              <w:jc w:val="right"/>
            </w:pPr>
            <w:r w:rsidRPr="005F1F83">
              <w:rPr>
                <w:rFonts w:cstheme="minorHAnsi"/>
                <w:color w:val="000000"/>
              </w:rPr>
              <w:t>241 (52.5)</w:t>
            </w:r>
          </w:p>
        </w:tc>
        <w:tc>
          <w:tcPr>
            <w:tcW w:w="1276" w:type="dxa"/>
            <w:vAlign w:val="center"/>
          </w:tcPr>
          <w:p w14:paraId="4A19989A" w14:textId="3ECFB5A3" w:rsidR="00E026D6" w:rsidRPr="00F52619" w:rsidRDefault="00E026D6" w:rsidP="00E026D6">
            <w:pPr>
              <w:pStyle w:val="TableText"/>
              <w:jc w:val="right"/>
            </w:pPr>
            <w:r w:rsidRPr="005F1F83">
              <w:rPr>
                <w:rFonts w:cstheme="minorHAnsi"/>
                <w:color w:val="000000"/>
              </w:rPr>
              <w:t>443 (96.5)</w:t>
            </w:r>
          </w:p>
        </w:tc>
        <w:tc>
          <w:tcPr>
            <w:tcW w:w="1276" w:type="dxa"/>
            <w:vAlign w:val="center"/>
          </w:tcPr>
          <w:p w14:paraId="53002602" w14:textId="36B9DD29" w:rsidR="00E026D6" w:rsidRPr="00F52619" w:rsidRDefault="00E026D6" w:rsidP="00E026D6">
            <w:pPr>
              <w:pStyle w:val="TableText"/>
              <w:jc w:val="right"/>
            </w:pPr>
            <w:r w:rsidRPr="005F1F83">
              <w:rPr>
                <w:rFonts w:cstheme="minorHAnsi"/>
                <w:color w:val="000000"/>
              </w:rPr>
              <w:t>225 (52.6)</w:t>
            </w:r>
          </w:p>
        </w:tc>
        <w:tc>
          <w:tcPr>
            <w:tcW w:w="1134" w:type="dxa"/>
            <w:vAlign w:val="center"/>
          </w:tcPr>
          <w:p w14:paraId="47BF014E" w14:textId="5622A5BC" w:rsidR="00E026D6" w:rsidRPr="00F52619" w:rsidRDefault="00E026D6" w:rsidP="00E026D6">
            <w:pPr>
              <w:pStyle w:val="TableText"/>
              <w:jc w:val="right"/>
            </w:pPr>
            <w:r w:rsidRPr="005F1F83">
              <w:rPr>
                <w:rFonts w:cstheme="minorHAnsi"/>
                <w:color w:val="000000"/>
              </w:rPr>
              <w:t>407 (95.1)</w:t>
            </w:r>
          </w:p>
        </w:tc>
      </w:tr>
      <w:tr w:rsidR="00E026D6" w:rsidRPr="005F1F83" w14:paraId="262377D1" w14:textId="77777777" w:rsidTr="006A5099">
        <w:trPr>
          <w:trHeight w:val="305"/>
        </w:trPr>
        <w:tc>
          <w:tcPr>
            <w:tcW w:w="1591" w:type="dxa"/>
            <w:shd w:val="clear" w:color="auto" w:fill="auto"/>
            <w:noWrap/>
            <w:hideMark/>
          </w:tcPr>
          <w:p w14:paraId="2D42F123" w14:textId="77777777" w:rsidR="00E026D6" w:rsidRPr="00F52619" w:rsidRDefault="00E026D6" w:rsidP="00E026D6">
            <w:pPr>
              <w:pStyle w:val="TableText"/>
            </w:pPr>
            <w:r w:rsidRPr="00F52619">
              <w:t>Hutt Valley</w:t>
            </w:r>
          </w:p>
        </w:tc>
        <w:tc>
          <w:tcPr>
            <w:tcW w:w="1239" w:type="dxa"/>
            <w:vAlign w:val="center"/>
          </w:tcPr>
          <w:p w14:paraId="7C298CE6" w14:textId="619F5757" w:rsidR="00E026D6" w:rsidRPr="00F52619" w:rsidRDefault="00E026D6" w:rsidP="00E026D6">
            <w:pPr>
              <w:pStyle w:val="TableText"/>
              <w:jc w:val="right"/>
            </w:pPr>
            <w:r w:rsidRPr="005F1F83">
              <w:rPr>
                <w:rFonts w:cstheme="minorHAnsi"/>
                <w:color w:val="000000"/>
              </w:rPr>
              <w:t>0 (0)</w:t>
            </w:r>
          </w:p>
        </w:tc>
        <w:tc>
          <w:tcPr>
            <w:tcW w:w="1134" w:type="dxa"/>
            <w:vAlign w:val="center"/>
          </w:tcPr>
          <w:p w14:paraId="610F54CE" w14:textId="7F7EF6B5" w:rsidR="00E026D6" w:rsidRPr="00F52619" w:rsidRDefault="00E026D6" w:rsidP="00E026D6">
            <w:pPr>
              <w:pStyle w:val="TableText"/>
              <w:jc w:val="right"/>
            </w:pPr>
            <w:r w:rsidRPr="005F1F83">
              <w:rPr>
                <w:rFonts w:cstheme="minorHAnsi"/>
                <w:color w:val="000000"/>
              </w:rPr>
              <w:t>0 (0)</w:t>
            </w:r>
          </w:p>
        </w:tc>
        <w:tc>
          <w:tcPr>
            <w:tcW w:w="1276" w:type="dxa"/>
            <w:shd w:val="clear" w:color="auto" w:fill="auto"/>
            <w:noWrap/>
            <w:vAlign w:val="center"/>
          </w:tcPr>
          <w:p w14:paraId="2435496A" w14:textId="4FFEF70E" w:rsidR="00E026D6" w:rsidRPr="00F52619" w:rsidRDefault="00E026D6" w:rsidP="00E026D6">
            <w:pPr>
              <w:pStyle w:val="TableText"/>
              <w:jc w:val="right"/>
            </w:pPr>
            <w:r w:rsidRPr="005F1F83">
              <w:rPr>
                <w:rFonts w:cstheme="minorHAnsi"/>
                <w:color w:val="000000"/>
              </w:rPr>
              <w:t>–</w:t>
            </w:r>
          </w:p>
        </w:tc>
        <w:tc>
          <w:tcPr>
            <w:tcW w:w="1276" w:type="dxa"/>
            <w:vAlign w:val="center"/>
          </w:tcPr>
          <w:p w14:paraId="2B4E3489" w14:textId="7CBEC723" w:rsidR="00E026D6" w:rsidRPr="00F52619" w:rsidRDefault="00E026D6" w:rsidP="00E026D6">
            <w:pPr>
              <w:pStyle w:val="TableText"/>
              <w:jc w:val="right"/>
            </w:pPr>
            <w:r w:rsidRPr="005F1F83">
              <w:rPr>
                <w:rFonts w:cstheme="minorHAnsi"/>
                <w:color w:val="000000"/>
              </w:rPr>
              <w:t>–</w:t>
            </w:r>
          </w:p>
        </w:tc>
        <w:tc>
          <w:tcPr>
            <w:tcW w:w="1276" w:type="dxa"/>
            <w:vAlign w:val="center"/>
          </w:tcPr>
          <w:p w14:paraId="72423B1E" w14:textId="67B74531" w:rsidR="00E026D6" w:rsidRPr="00F52619" w:rsidRDefault="00E026D6" w:rsidP="00E026D6">
            <w:pPr>
              <w:pStyle w:val="TableText"/>
              <w:jc w:val="right"/>
            </w:pPr>
            <w:r w:rsidRPr="005F1F83">
              <w:rPr>
                <w:rFonts w:cstheme="minorHAnsi"/>
                <w:color w:val="000000"/>
              </w:rPr>
              <w:t>–</w:t>
            </w:r>
          </w:p>
        </w:tc>
        <w:tc>
          <w:tcPr>
            <w:tcW w:w="1134" w:type="dxa"/>
            <w:vAlign w:val="center"/>
          </w:tcPr>
          <w:p w14:paraId="71E2D572" w14:textId="29D670E5" w:rsidR="00E026D6" w:rsidRPr="00F52619" w:rsidRDefault="00E026D6" w:rsidP="00E026D6">
            <w:pPr>
              <w:pStyle w:val="TableText"/>
              <w:jc w:val="right"/>
            </w:pPr>
            <w:r w:rsidRPr="005F1F83">
              <w:rPr>
                <w:rFonts w:cstheme="minorHAnsi"/>
                <w:color w:val="000000"/>
              </w:rPr>
              <w:t>8 (88.9)</w:t>
            </w:r>
          </w:p>
        </w:tc>
      </w:tr>
      <w:tr w:rsidR="00E026D6" w:rsidRPr="005F1F83" w14:paraId="0CDAA5DB" w14:textId="77777777" w:rsidTr="006A5099">
        <w:trPr>
          <w:trHeight w:val="305"/>
        </w:trPr>
        <w:tc>
          <w:tcPr>
            <w:tcW w:w="1591" w:type="dxa"/>
            <w:shd w:val="clear" w:color="auto" w:fill="auto"/>
            <w:noWrap/>
            <w:hideMark/>
          </w:tcPr>
          <w:p w14:paraId="39B85B14" w14:textId="77777777" w:rsidR="00E026D6" w:rsidRPr="00F52619" w:rsidRDefault="00E026D6" w:rsidP="00E026D6">
            <w:pPr>
              <w:pStyle w:val="TableText"/>
            </w:pPr>
            <w:r w:rsidRPr="00F52619">
              <w:t>Lakes</w:t>
            </w:r>
          </w:p>
        </w:tc>
        <w:tc>
          <w:tcPr>
            <w:tcW w:w="1239" w:type="dxa"/>
            <w:vAlign w:val="center"/>
          </w:tcPr>
          <w:p w14:paraId="708AD30C" w14:textId="36024F2F" w:rsidR="00E026D6" w:rsidRPr="00F52619" w:rsidRDefault="00E026D6" w:rsidP="00E026D6">
            <w:pPr>
              <w:pStyle w:val="TableText"/>
              <w:jc w:val="right"/>
            </w:pPr>
            <w:r w:rsidRPr="005F1F83">
              <w:rPr>
                <w:rFonts w:cstheme="minorHAnsi"/>
                <w:color w:val="000000"/>
              </w:rPr>
              <w:t>462 (58.2)</w:t>
            </w:r>
          </w:p>
        </w:tc>
        <w:tc>
          <w:tcPr>
            <w:tcW w:w="1134" w:type="dxa"/>
            <w:vAlign w:val="center"/>
          </w:tcPr>
          <w:p w14:paraId="18CF69D3" w14:textId="6E9369A6" w:rsidR="00E026D6" w:rsidRPr="00F52619" w:rsidRDefault="00E026D6" w:rsidP="00E026D6">
            <w:pPr>
              <w:pStyle w:val="TableText"/>
              <w:jc w:val="right"/>
            </w:pPr>
            <w:r w:rsidRPr="005F1F83">
              <w:rPr>
                <w:rFonts w:cstheme="minorHAnsi"/>
                <w:color w:val="000000"/>
              </w:rPr>
              <w:t>738 (92.9)</w:t>
            </w:r>
          </w:p>
        </w:tc>
        <w:tc>
          <w:tcPr>
            <w:tcW w:w="1276" w:type="dxa"/>
            <w:shd w:val="clear" w:color="auto" w:fill="auto"/>
            <w:noWrap/>
            <w:vAlign w:val="center"/>
          </w:tcPr>
          <w:p w14:paraId="681B7DDF" w14:textId="11967E4F" w:rsidR="00E026D6" w:rsidRPr="00F52619" w:rsidRDefault="00E026D6" w:rsidP="00E026D6">
            <w:pPr>
              <w:pStyle w:val="TableText"/>
              <w:jc w:val="right"/>
            </w:pPr>
            <w:r w:rsidRPr="005F1F83">
              <w:rPr>
                <w:rFonts w:cstheme="minorHAnsi"/>
                <w:color w:val="000000"/>
              </w:rPr>
              <w:t>506 (65.3)</w:t>
            </w:r>
          </w:p>
        </w:tc>
        <w:tc>
          <w:tcPr>
            <w:tcW w:w="1276" w:type="dxa"/>
            <w:vAlign w:val="center"/>
          </w:tcPr>
          <w:p w14:paraId="01B8B306" w14:textId="03CDFE58" w:rsidR="00E026D6" w:rsidRPr="00F52619" w:rsidRDefault="00E026D6" w:rsidP="00E026D6">
            <w:pPr>
              <w:pStyle w:val="TableText"/>
              <w:jc w:val="right"/>
            </w:pPr>
            <w:r w:rsidRPr="005F1F83">
              <w:rPr>
                <w:rFonts w:cstheme="minorHAnsi"/>
                <w:color w:val="000000"/>
              </w:rPr>
              <w:t>712 (91.9)</w:t>
            </w:r>
          </w:p>
        </w:tc>
        <w:tc>
          <w:tcPr>
            <w:tcW w:w="1276" w:type="dxa"/>
            <w:vAlign w:val="center"/>
          </w:tcPr>
          <w:p w14:paraId="25B8ACF2" w14:textId="5C21071D" w:rsidR="00E026D6" w:rsidRPr="00F52619" w:rsidRDefault="00E026D6" w:rsidP="00E026D6">
            <w:pPr>
              <w:pStyle w:val="TableText"/>
              <w:jc w:val="right"/>
            </w:pPr>
            <w:r w:rsidRPr="005F1F83">
              <w:rPr>
                <w:rFonts w:cstheme="minorHAnsi"/>
                <w:color w:val="000000"/>
              </w:rPr>
              <w:t>373 (64.6)</w:t>
            </w:r>
          </w:p>
        </w:tc>
        <w:tc>
          <w:tcPr>
            <w:tcW w:w="1134" w:type="dxa"/>
            <w:vAlign w:val="center"/>
          </w:tcPr>
          <w:p w14:paraId="38CF897F" w14:textId="7166A072" w:rsidR="00E026D6" w:rsidRPr="00F52619" w:rsidRDefault="00E026D6" w:rsidP="00E026D6">
            <w:pPr>
              <w:pStyle w:val="TableText"/>
              <w:jc w:val="right"/>
            </w:pPr>
            <w:r w:rsidRPr="005F1F83">
              <w:rPr>
                <w:rFonts w:cstheme="minorHAnsi"/>
                <w:color w:val="000000"/>
              </w:rPr>
              <w:t>540 (93.6)</w:t>
            </w:r>
          </w:p>
        </w:tc>
      </w:tr>
      <w:tr w:rsidR="00E026D6" w:rsidRPr="005F1F83" w14:paraId="67A27CDE" w14:textId="77777777" w:rsidTr="006A5099">
        <w:trPr>
          <w:trHeight w:val="305"/>
        </w:trPr>
        <w:tc>
          <w:tcPr>
            <w:tcW w:w="1591" w:type="dxa"/>
            <w:shd w:val="clear" w:color="auto" w:fill="auto"/>
            <w:noWrap/>
            <w:hideMark/>
          </w:tcPr>
          <w:p w14:paraId="3B19786F" w14:textId="77777777" w:rsidR="00E026D6" w:rsidRPr="00F52619" w:rsidRDefault="00E026D6" w:rsidP="00E026D6">
            <w:pPr>
              <w:pStyle w:val="TableText"/>
            </w:pPr>
            <w:proofErr w:type="spellStart"/>
            <w:r w:rsidRPr="00F52619">
              <w:t>MidCentral</w:t>
            </w:r>
            <w:proofErr w:type="spellEnd"/>
          </w:p>
        </w:tc>
        <w:tc>
          <w:tcPr>
            <w:tcW w:w="1239" w:type="dxa"/>
            <w:vAlign w:val="center"/>
          </w:tcPr>
          <w:p w14:paraId="5B2E04CD" w14:textId="18DB4C0C" w:rsidR="00E026D6" w:rsidRPr="00F52619" w:rsidRDefault="00E026D6" w:rsidP="00E026D6">
            <w:pPr>
              <w:pStyle w:val="TableText"/>
              <w:jc w:val="right"/>
            </w:pPr>
            <w:r w:rsidRPr="005F1F83">
              <w:rPr>
                <w:rFonts w:cstheme="minorHAnsi"/>
                <w:color w:val="000000"/>
              </w:rPr>
              <w:t>415 (46)</w:t>
            </w:r>
          </w:p>
        </w:tc>
        <w:tc>
          <w:tcPr>
            <w:tcW w:w="1134" w:type="dxa"/>
            <w:vAlign w:val="center"/>
          </w:tcPr>
          <w:p w14:paraId="0F7B1B72" w14:textId="35E34EEC" w:rsidR="00E026D6" w:rsidRPr="00F52619" w:rsidRDefault="00E026D6" w:rsidP="00E026D6">
            <w:pPr>
              <w:pStyle w:val="TableText"/>
              <w:jc w:val="right"/>
            </w:pPr>
            <w:r w:rsidRPr="005F1F83">
              <w:rPr>
                <w:rFonts w:cstheme="minorHAnsi"/>
                <w:color w:val="000000"/>
              </w:rPr>
              <w:t>869 (96.3)</w:t>
            </w:r>
          </w:p>
        </w:tc>
        <w:tc>
          <w:tcPr>
            <w:tcW w:w="1276" w:type="dxa"/>
            <w:shd w:val="clear" w:color="auto" w:fill="auto"/>
            <w:noWrap/>
            <w:vAlign w:val="center"/>
          </w:tcPr>
          <w:p w14:paraId="00D89845" w14:textId="76606C40" w:rsidR="00E026D6" w:rsidRPr="00F52619" w:rsidRDefault="00E026D6" w:rsidP="00E026D6">
            <w:pPr>
              <w:pStyle w:val="TableText"/>
              <w:jc w:val="right"/>
            </w:pPr>
            <w:r w:rsidRPr="005F1F83">
              <w:rPr>
                <w:rFonts w:cstheme="minorHAnsi"/>
                <w:color w:val="000000"/>
              </w:rPr>
              <w:t>357 (34.4)</w:t>
            </w:r>
          </w:p>
        </w:tc>
        <w:tc>
          <w:tcPr>
            <w:tcW w:w="1276" w:type="dxa"/>
            <w:vAlign w:val="center"/>
          </w:tcPr>
          <w:p w14:paraId="105636DB" w14:textId="0313D08C" w:rsidR="00E026D6" w:rsidRPr="00F52619" w:rsidRDefault="00E026D6" w:rsidP="00E026D6">
            <w:pPr>
              <w:pStyle w:val="TableText"/>
              <w:jc w:val="right"/>
            </w:pPr>
            <w:r w:rsidRPr="005F1F83">
              <w:rPr>
                <w:rFonts w:cstheme="minorHAnsi"/>
                <w:color w:val="000000"/>
              </w:rPr>
              <w:t>997 (96.1)</w:t>
            </w:r>
          </w:p>
        </w:tc>
        <w:tc>
          <w:tcPr>
            <w:tcW w:w="1276" w:type="dxa"/>
            <w:vAlign w:val="center"/>
          </w:tcPr>
          <w:p w14:paraId="56833458" w14:textId="2EDB56DA" w:rsidR="00E026D6" w:rsidRPr="00F52619" w:rsidRDefault="00E026D6" w:rsidP="00E026D6">
            <w:pPr>
              <w:pStyle w:val="TableText"/>
              <w:jc w:val="right"/>
            </w:pPr>
            <w:r w:rsidRPr="005F1F83">
              <w:rPr>
                <w:rFonts w:cstheme="minorHAnsi"/>
                <w:color w:val="000000"/>
              </w:rPr>
              <w:t>282 (17.7)</w:t>
            </w:r>
          </w:p>
        </w:tc>
        <w:tc>
          <w:tcPr>
            <w:tcW w:w="1134" w:type="dxa"/>
            <w:vAlign w:val="center"/>
          </w:tcPr>
          <w:p w14:paraId="027BEF93" w14:textId="1DD66FC8" w:rsidR="00E026D6" w:rsidRPr="00F52619" w:rsidRDefault="00E026D6" w:rsidP="00E026D6">
            <w:pPr>
              <w:pStyle w:val="TableText"/>
              <w:jc w:val="right"/>
            </w:pPr>
            <w:r w:rsidRPr="005F1F83">
              <w:rPr>
                <w:rFonts w:cstheme="minorHAnsi"/>
                <w:color w:val="000000"/>
              </w:rPr>
              <w:t>1,539 (96.6)</w:t>
            </w:r>
          </w:p>
        </w:tc>
      </w:tr>
      <w:tr w:rsidR="00E026D6" w:rsidRPr="005F1F83" w14:paraId="27665688" w14:textId="77777777" w:rsidTr="006A5099">
        <w:trPr>
          <w:trHeight w:val="305"/>
        </w:trPr>
        <w:tc>
          <w:tcPr>
            <w:tcW w:w="1591" w:type="dxa"/>
            <w:shd w:val="clear" w:color="auto" w:fill="auto"/>
            <w:noWrap/>
            <w:hideMark/>
          </w:tcPr>
          <w:p w14:paraId="2EA4415C" w14:textId="6F1C0A85" w:rsidR="00E026D6" w:rsidRPr="00F52619" w:rsidRDefault="00E026D6" w:rsidP="00E026D6">
            <w:pPr>
              <w:pStyle w:val="TableText"/>
            </w:pPr>
            <w:r w:rsidRPr="00F52619">
              <w:t>Nelson Marlborough</w:t>
            </w:r>
          </w:p>
        </w:tc>
        <w:tc>
          <w:tcPr>
            <w:tcW w:w="1239" w:type="dxa"/>
            <w:vAlign w:val="center"/>
          </w:tcPr>
          <w:p w14:paraId="6E6C2343" w14:textId="60308D14" w:rsidR="00E026D6" w:rsidRPr="00F52619" w:rsidRDefault="00E026D6" w:rsidP="00E026D6">
            <w:pPr>
              <w:pStyle w:val="TableText"/>
              <w:jc w:val="right"/>
            </w:pPr>
            <w:r w:rsidRPr="005F1F83">
              <w:rPr>
                <w:rFonts w:cstheme="minorHAnsi"/>
                <w:color w:val="000000"/>
              </w:rPr>
              <w:t>154 (47)</w:t>
            </w:r>
          </w:p>
        </w:tc>
        <w:tc>
          <w:tcPr>
            <w:tcW w:w="1134" w:type="dxa"/>
            <w:vAlign w:val="center"/>
          </w:tcPr>
          <w:p w14:paraId="4591AE10" w14:textId="5DDE2959" w:rsidR="00E026D6" w:rsidRPr="00F52619" w:rsidRDefault="00E026D6" w:rsidP="00E026D6">
            <w:pPr>
              <w:pStyle w:val="TableText"/>
              <w:jc w:val="right"/>
            </w:pPr>
            <w:r w:rsidRPr="005F1F83">
              <w:rPr>
                <w:rFonts w:cstheme="minorHAnsi"/>
                <w:color w:val="000000"/>
              </w:rPr>
              <w:t>321 (97.9)</w:t>
            </w:r>
          </w:p>
        </w:tc>
        <w:tc>
          <w:tcPr>
            <w:tcW w:w="1276" w:type="dxa"/>
            <w:shd w:val="clear" w:color="auto" w:fill="auto"/>
            <w:noWrap/>
            <w:vAlign w:val="center"/>
          </w:tcPr>
          <w:p w14:paraId="00CF64DF" w14:textId="252DAD60" w:rsidR="00E026D6" w:rsidRPr="00F52619" w:rsidRDefault="00E026D6" w:rsidP="00E026D6">
            <w:pPr>
              <w:pStyle w:val="TableText"/>
              <w:jc w:val="right"/>
            </w:pPr>
            <w:r w:rsidRPr="005F1F83">
              <w:rPr>
                <w:rFonts w:cstheme="minorHAnsi"/>
                <w:color w:val="000000"/>
              </w:rPr>
              <w:t>159 (48.3)</w:t>
            </w:r>
          </w:p>
        </w:tc>
        <w:tc>
          <w:tcPr>
            <w:tcW w:w="1276" w:type="dxa"/>
            <w:vAlign w:val="center"/>
          </w:tcPr>
          <w:p w14:paraId="2F5D764F" w14:textId="77327133" w:rsidR="00E026D6" w:rsidRPr="00F52619" w:rsidRDefault="00E026D6" w:rsidP="00E026D6">
            <w:pPr>
              <w:pStyle w:val="TableText"/>
              <w:jc w:val="right"/>
            </w:pPr>
            <w:r w:rsidRPr="005F1F83">
              <w:rPr>
                <w:rFonts w:cstheme="minorHAnsi"/>
                <w:color w:val="000000"/>
              </w:rPr>
              <w:t>321 (97.6)</w:t>
            </w:r>
          </w:p>
        </w:tc>
        <w:tc>
          <w:tcPr>
            <w:tcW w:w="1276" w:type="dxa"/>
            <w:vAlign w:val="center"/>
          </w:tcPr>
          <w:p w14:paraId="2F90907D" w14:textId="228161DB" w:rsidR="00E026D6" w:rsidRPr="00F52619" w:rsidRDefault="00E026D6" w:rsidP="00E026D6">
            <w:pPr>
              <w:pStyle w:val="TableText"/>
              <w:jc w:val="right"/>
            </w:pPr>
            <w:r w:rsidRPr="005F1F83">
              <w:rPr>
                <w:rFonts w:cstheme="minorHAnsi"/>
                <w:color w:val="000000"/>
              </w:rPr>
              <w:t>146 (46.5)</w:t>
            </w:r>
          </w:p>
        </w:tc>
        <w:tc>
          <w:tcPr>
            <w:tcW w:w="1134" w:type="dxa"/>
            <w:vAlign w:val="center"/>
          </w:tcPr>
          <w:p w14:paraId="5803DDF1" w14:textId="3A872269" w:rsidR="00E026D6" w:rsidRPr="00F52619" w:rsidRDefault="00E026D6" w:rsidP="00E026D6">
            <w:pPr>
              <w:pStyle w:val="TableText"/>
              <w:jc w:val="right"/>
            </w:pPr>
            <w:r w:rsidRPr="005F1F83">
              <w:rPr>
                <w:rFonts w:cstheme="minorHAnsi"/>
                <w:color w:val="000000"/>
              </w:rPr>
              <w:t>292 (93)</w:t>
            </w:r>
          </w:p>
        </w:tc>
      </w:tr>
      <w:tr w:rsidR="00E026D6" w:rsidRPr="005F1F83" w14:paraId="7F34BB2E" w14:textId="77777777" w:rsidTr="006A5099">
        <w:trPr>
          <w:trHeight w:val="305"/>
        </w:trPr>
        <w:tc>
          <w:tcPr>
            <w:tcW w:w="1591" w:type="dxa"/>
            <w:shd w:val="clear" w:color="auto" w:fill="auto"/>
            <w:noWrap/>
            <w:hideMark/>
          </w:tcPr>
          <w:p w14:paraId="1C1277D3" w14:textId="77777777" w:rsidR="00E026D6" w:rsidRPr="00F52619" w:rsidRDefault="00E026D6" w:rsidP="00E026D6">
            <w:pPr>
              <w:pStyle w:val="TableText"/>
            </w:pPr>
            <w:r w:rsidRPr="00F52619">
              <w:t>Northland</w:t>
            </w:r>
          </w:p>
        </w:tc>
        <w:tc>
          <w:tcPr>
            <w:tcW w:w="1239" w:type="dxa"/>
            <w:vAlign w:val="center"/>
          </w:tcPr>
          <w:p w14:paraId="0B8B9A05" w14:textId="4AA9B3EA" w:rsidR="00E026D6" w:rsidRPr="00F52619" w:rsidRDefault="00E026D6" w:rsidP="00E026D6">
            <w:pPr>
              <w:pStyle w:val="TableText"/>
              <w:jc w:val="right"/>
            </w:pPr>
            <w:r w:rsidRPr="005F1F83">
              <w:rPr>
                <w:rFonts w:cstheme="minorHAnsi"/>
                <w:color w:val="000000"/>
              </w:rPr>
              <w:t>210 (50.8)</w:t>
            </w:r>
          </w:p>
        </w:tc>
        <w:tc>
          <w:tcPr>
            <w:tcW w:w="1134" w:type="dxa"/>
            <w:vAlign w:val="center"/>
          </w:tcPr>
          <w:p w14:paraId="05A0666C" w14:textId="0E6DDB3B" w:rsidR="00E026D6" w:rsidRPr="00F52619" w:rsidRDefault="00E026D6" w:rsidP="00E026D6">
            <w:pPr>
              <w:pStyle w:val="TableText"/>
              <w:jc w:val="right"/>
            </w:pPr>
            <w:r w:rsidRPr="005F1F83">
              <w:rPr>
                <w:rFonts w:cstheme="minorHAnsi"/>
                <w:color w:val="000000"/>
              </w:rPr>
              <w:t>389 (94.2)</w:t>
            </w:r>
          </w:p>
        </w:tc>
        <w:tc>
          <w:tcPr>
            <w:tcW w:w="1276" w:type="dxa"/>
            <w:shd w:val="clear" w:color="auto" w:fill="auto"/>
            <w:noWrap/>
            <w:vAlign w:val="center"/>
          </w:tcPr>
          <w:p w14:paraId="7585DDFA" w14:textId="791B498E" w:rsidR="00E026D6" w:rsidRPr="00F52619" w:rsidRDefault="00E026D6" w:rsidP="00E026D6">
            <w:pPr>
              <w:pStyle w:val="TableText"/>
              <w:jc w:val="right"/>
            </w:pPr>
            <w:r w:rsidRPr="005F1F83">
              <w:rPr>
                <w:rFonts w:cstheme="minorHAnsi"/>
                <w:color w:val="000000"/>
              </w:rPr>
              <w:t>150 (29.8)</w:t>
            </w:r>
          </w:p>
        </w:tc>
        <w:tc>
          <w:tcPr>
            <w:tcW w:w="1276" w:type="dxa"/>
            <w:vAlign w:val="center"/>
          </w:tcPr>
          <w:p w14:paraId="2BA1A81F" w14:textId="3CD99164" w:rsidR="00E026D6" w:rsidRPr="00F52619" w:rsidRDefault="00E026D6" w:rsidP="00E026D6">
            <w:pPr>
              <w:pStyle w:val="TableText"/>
              <w:jc w:val="right"/>
            </w:pPr>
            <w:r w:rsidRPr="005F1F83">
              <w:rPr>
                <w:rFonts w:cstheme="minorHAnsi"/>
                <w:color w:val="000000"/>
              </w:rPr>
              <w:t>470 (93.4)</w:t>
            </w:r>
          </w:p>
        </w:tc>
        <w:tc>
          <w:tcPr>
            <w:tcW w:w="1276" w:type="dxa"/>
            <w:vAlign w:val="center"/>
          </w:tcPr>
          <w:p w14:paraId="73BB811B" w14:textId="2D9725FD" w:rsidR="00E026D6" w:rsidRPr="00F52619" w:rsidRDefault="00E026D6" w:rsidP="00E026D6">
            <w:pPr>
              <w:pStyle w:val="TableText"/>
              <w:jc w:val="right"/>
            </w:pPr>
            <w:r w:rsidRPr="005F1F83">
              <w:rPr>
                <w:rFonts w:cstheme="minorHAnsi"/>
                <w:color w:val="000000"/>
              </w:rPr>
              <w:t>134 (33.8)</w:t>
            </w:r>
          </w:p>
        </w:tc>
        <w:tc>
          <w:tcPr>
            <w:tcW w:w="1134" w:type="dxa"/>
            <w:vAlign w:val="center"/>
          </w:tcPr>
          <w:p w14:paraId="7B54CC76" w14:textId="033EAA48" w:rsidR="00E026D6" w:rsidRPr="00F52619" w:rsidRDefault="00E026D6" w:rsidP="00E026D6">
            <w:pPr>
              <w:pStyle w:val="TableText"/>
              <w:jc w:val="right"/>
            </w:pPr>
            <w:r w:rsidRPr="005F1F83">
              <w:rPr>
                <w:rFonts w:cstheme="minorHAnsi"/>
                <w:color w:val="000000"/>
              </w:rPr>
              <w:t>389 (98)</w:t>
            </w:r>
          </w:p>
        </w:tc>
      </w:tr>
      <w:tr w:rsidR="00E026D6" w:rsidRPr="005F1F83" w14:paraId="64C641C4" w14:textId="77777777" w:rsidTr="006A5099">
        <w:trPr>
          <w:trHeight w:val="305"/>
        </w:trPr>
        <w:tc>
          <w:tcPr>
            <w:tcW w:w="1591" w:type="dxa"/>
            <w:shd w:val="clear" w:color="auto" w:fill="auto"/>
            <w:noWrap/>
            <w:hideMark/>
          </w:tcPr>
          <w:p w14:paraId="3A557722" w14:textId="21CC9398" w:rsidR="00E026D6" w:rsidRPr="00F52619" w:rsidRDefault="00E026D6" w:rsidP="00E026D6">
            <w:pPr>
              <w:pStyle w:val="TableText"/>
            </w:pPr>
            <w:r w:rsidRPr="00F52619">
              <w:t>South Canterbury</w:t>
            </w:r>
          </w:p>
        </w:tc>
        <w:tc>
          <w:tcPr>
            <w:tcW w:w="1239" w:type="dxa"/>
            <w:vAlign w:val="center"/>
          </w:tcPr>
          <w:p w14:paraId="7BC821B9" w14:textId="14D9FC90" w:rsidR="00E026D6" w:rsidRPr="00F52619" w:rsidRDefault="00E026D6" w:rsidP="00E026D6">
            <w:pPr>
              <w:pStyle w:val="TableText"/>
              <w:jc w:val="right"/>
            </w:pPr>
            <w:r w:rsidRPr="005F1F83">
              <w:rPr>
                <w:rFonts w:cstheme="minorHAnsi"/>
                <w:color w:val="000000"/>
              </w:rPr>
              <w:t>4 (7.3)</w:t>
            </w:r>
          </w:p>
        </w:tc>
        <w:tc>
          <w:tcPr>
            <w:tcW w:w="1134" w:type="dxa"/>
            <w:vAlign w:val="center"/>
          </w:tcPr>
          <w:p w14:paraId="47C2B642" w14:textId="61EE0070" w:rsidR="00E026D6" w:rsidRPr="00F52619" w:rsidRDefault="00E026D6" w:rsidP="00E026D6">
            <w:pPr>
              <w:pStyle w:val="TableText"/>
              <w:jc w:val="right"/>
            </w:pPr>
            <w:r w:rsidRPr="005F1F83">
              <w:rPr>
                <w:rFonts w:cstheme="minorHAnsi"/>
                <w:color w:val="000000"/>
              </w:rPr>
              <w:t>55 (100)</w:t>
            </w:r>
          </w:p>
        </w:tc>
        <w:tc>
          <w:tcPr>
            <w:tcW w:w="1276" w:type="dxa"/>
            <w:shd w:val="clear" w:color="auto" w:fill="auto"/>
            <w:noWrap/>
            <w:vAlign w:val="center"/>
          </w:tcPr>
          <w:p w14:paraId="13D6EC27" w14:textId="770AECFA" w:rsidR="00E026D6" w:rsidRPr="00F52619" w:rsidRDefault="00E026D6" w:rsidP="00E026D6">
            <w:pPr>
              <w:pStyle w:val="TableText"/>
              <w:jc w:val="right"/>
            </w:pPr>
            <w:r w:rsidRPr="005F1F83">
              <w:rPr>
                <w:rFonts w:cstheme="minorHAnsi"/>
                <w:color w:val="000000"/>
              </w:rPr>
              <w:t>7 (6.4)</w:t>
            </w:r>
          </w:p>
        </w:tc>
        <w:tc>
          <w:tcPr>
            <w:tcW w:w="1276" w:type="dxa"/>
            <w:vAlign w:val="center"/>
          </w:tcPr>
          <w:p w14:paraId="372E5668" w14:textId="13A04FAB" w:rsidR="00E026D6" w:rsidRPr="00F52619" w:rsidRDefault="00E026D6" w:rsidP="00E026D6">
            <w:pPr>
              <w:pStyle w:val="TableText"/>
              <w:jc w:val="right"/>
            </w:pPr>
            <w:r w:rsidRPr="005F1F83">
              <w:rPr>
                <w:rFonts w:cstheme="minorHAnsi"/>
                <w:color w:val="000000"/>
              </w:rPr>
              <w:t>110 (100)</w:t>
            </w:r>
          </w:p>
        </w:tc>
        <w:tc>
          <w:tcPr>
            <w:tcW w:w="1276" w:type="dxa"/>
            <w:vAlign w:val="center"/>
          </w:tcPr>
          <w:p w14:paraId="07B59D24" w14:textId="5E5ED88F" w:rsidR="00E026D6" w:rsidRPr="00F52619" w:rsidRDefault="00E026D6" w:rsidP="00E026D6">
            <w:pPr>
              <w:pStyle w:val="TableText"/>
              <w:jc w:val="right"/>
            </w:pPr>
            <w:r w:rsidRPr="005F1F83">
              <w:rPr>
                <w:rFonts w:cstheme="minorHAnsi"/>
                <w:color w:val="000000"/>
              </w:rPr>
              <w:t>21 (22.8)</w:t>
            </w:r>
          </w:p>
        </w:tc>
        <w:tc>
          <w:tcPr>
            <w:tcW w:w="1134" w:type="dxa"/>
            <w:vAlign w:val="center"/>
          </w:tcPr>
          <w:p w14:paraId="5D5A1AE2" w14:textId="57B30508" w:rsidR="00E026D6" w:rsidRPr="00F52619" w:rsidRDefault="00E026D6" w:rsidP="00E026D6">
            <w:pPr>
              <w:pStyle w:val="TableText"/>
              <w:jc w:val="right"/>
            </w:pPr>
            <w:r w:rsidRPr="005F1F83">
              <w:rPr>
                <w:rFonts w:cstheme="minorHAnsi"/>
                <w:color w:val="000000"/>
              </w:rPr>
              <w:t>89 (96.7)</w:t>
            </w:r>
          </w:p>
        </w:tc>
      </w:tr>
      <w:tr w:rsidR="00E026D6" w:rsidRPr="005F1F83" w14:paraId="093CF0B4" w14:textId="77777777" w:rsidTr="006A5099">
        <w:trPr>
          <w:trHeight w:val="305"/>
        </w:trPr>
        <w:tc>
          <w:tcPr>
            <w:tcW w:w="1591" w:type="dxa"/>
            <w:shd w:val="clear" w:color="auto" w:fill="auto"/>
            <w:noWrap/>
            <w:hideMark/>
          </w:tcPr>
          <w:p w14:paraId="24D5EB19" w14:textId="77777777" w:rsidR="00E026D6" w:rsidRPr="00F52619" w:rsidRDefault="00E026D6" w:rsidP="00E026D6">
            <w:pPr>
              <w:pStyle w:val="TableText"/>
            </w:pPr>
            <w:r w:rsidRPr="00F52619">
              <w:t>Southern</w:t>
            </w:r>
          </w:p>
        </w:tc>
        <w:tc>
          <w:tcPr>
            <w:tcW w:w="1239" w:type="dxa"/>
            <w:vAlign w:val="center"/>
          </w:tcPr>
          <w:p w14:paraId="3DA8F154" w14:textId="45FB3DAE" w:rsidR="00E026D6" w:rsidRPr="00F52619" w:rsidRDefault="00E026D6" w:rsidP="00E026D6">
            <w:pPr>
              <w:pStyle w:val="TableText"/>
              <w:jc w:val="right"/>
            </w:pPr>
            <w:r w:rsidRPr="005F1F83">
              <w:rPr>
                <w:rFonts w:cstheme="minorHAnsi"/>
                <w:color w:val="000000"/>
              </w:rPr>
              <w:t>329 (33.3)</w:t>
            </w:r>
          </w:p>
        </w:tc>
        <w:tc>
          <w:tcPr>
            <w:tcW w:w="1134" w:type="dxa"/>
            <w:vAlign w:val="center"/>
          </w:tcPr>
          <w:p w14:paraId="153EF5CA" w14:textId="30A702A8" w:rsidR="00E026D6" w:rsidRPr="00F52619" w:rsidRDefault="00E026D6" w:rsidP="00E026D6">
            <w:pPr>
              <w:pStyle w:val="TableText"/>
              <w:jc w:val="right"/>
            </w:pPr>
            <w:r w:rsidRPr="005F1F83">
              <w:rPr>
                <w:rFonts w:cstheme="minorHAnsi"/>
                <w:color w:val="000000"/>
              </w:rPr>
              <w:t>914 (92.6)</w:t>
            </w:r>
          </w:p>
        </w:tc>
        <w:tc>
          <w:tcPr>
            <w:tcW w:w="1276" w:type="dxa"/>
            <w:shd w:val="clear" w:color="auto" w:fill="auto"/>
            <w:noWrap/>
            <w:vAlign w:val="center"/>
          </w:tcPr>
          <w:p w14:paraId="2B680ACB" w14:textId="15E83174" w:rsidR="00E026D6" w:rsidRPr="00F52619" w:rsidRDefault="00E026D6" w:rsidP="00E026D6">
            <w:pPr>
              <w:pStyle w:val="TableText"/>
              <w:jc w:val="right"/>
            </w:pPr>
            <w:r w:rsidRPr="005F1F83">
              <w:rPr>
                <w:rFonts w:cstheme="minorHAnsi"/>
                <w:color w:val="000000"/>
              </w:rPr>
              <w:t>304 (35.5)</w:t>
            </w:r>
          </w:p>
        </w:tc>
        <w:tc>
          <w:tcPr>
            <w:tcW w:w="1276" w:type="dxa"/>
            <w:vAlign w:val="center"/>
          </w:tcPr>
          <w:p w14:paraId="5172E15E" w14:textId="199D653B" w:rsidR="00E026D6" w:rsidRPr="00F52619" w:rsidRDefault="00E026D6" w:rsidP="00E026D6">
            <w:pPr>
              <w:pStyle w:val="TableText"/>
              <w:jc w:val="right"/>
            </w:pPr>
            <w:r w:rsidRPr="005F1F83">
              <w:rPr>
                <w:rFonts w:cstheme="minorHAnsi"/>
                <w:color w:val="000000"/>
              </w:rPr>
              <w:t>800 (93.3)</w:t>
            </w:r>
          </w:p>
        </w:tc>
        <w:tc>
          <w:tcPr>
            <w:tcW w:w="1276" w:type="dxa"/>
            <w:vAlign w:val="center"/>
          </w:tcPr>
          <w:p w14:paraId="3F3CA1E6" w14:textId="5022A5A0" w:rsidR="00E026D6" w:rsidRPr="00F52619" w:rsidRDefault="00E026D6" w:rsidP="00E026D6">
            <w:pPr>
              <w:pStyle w:val="TableText"/>
              <w:jc w:val="right"/>
            </w:pPr>
            <w:r w:rsidRPr="005F1F83">
              <w:rPr>
                <w:rFonts w:cstheme="minorHAnsi"/>
                <w:color w:val="000000"/>
              </w:rPr>
              <w:t>267 (47.1)</w:t>
            </w:r>
          </w:p>
        </w:tc>
        <w:tc>
          <w:tcPr>
            <w:tcW w:w="1134" w:type="dxa"/>
            <w:vAlign w:val="center"/>
          </w:tcPr>
          <w:p w14:paraId="141BCABA" w14:textId="0A6A3814" w:rsidR="00E026D6" w:rsidRPr="00F52619" w:rsidRDefault="00E026D6" w:rsidP="00E026D6">
            <w:pPr>
              <w:pStyle w:val="TableText"/>
              <w:jc w:val="right"/>
            </w:pPr>
            <w:r w:rsidRPr="005F1F83">
              <w:rPr>
                <w:rFonts w:cstheme="minorHAnsi"/>
                <w:color w:val="000000"/>
              </w:rPr>
              <w:t>512 (90.3)</w:t>
            </w:r>
          </w:p>
        </w:tc>
      </w:tr>
      <w:tr w:rsidR="00E026D6" w:rsidRPr="005F1F83" w14:paraId="2D6BA0DF" w14:textId="77777777" w:rsidTr="006A5099">
        <w:trPr>
          <w:trHeight w:val="305"/>
        </w:trPr>
        <w:tc>
          <w:tcPr>
            <w:tcW w:w="1591" w:type="dxa"/>
            <w:shd w:val="clear" w:color="auto" w:fill="auto"/>
            <w:noWrap/>
            <w:hideMark/>
          </w:tcPr>
          <w:p w14:paraId="01EAE689" w14:textId="4046EAB0" w:rsidR="00E026D6" w:rsidRPr="00F52619" w:rsidRDefault="00E026D6" w:rsidP="00E026D6">
            <w:pPr>
              <w:pStyle w:val="TableText"/>
            </w:pPr>
            <w:proofErr w:type="spellStart"/>
            <w:r w:rsidRPr="00F52619">
              <w:t>Tairāwhiti</w:t>
            </w:r>
            <w:proofErr w:type="spellEnd"/>
          </w:p>
        </w:tc>
        <w:tc>
          <w:tcPr>
            <w:tcW w:w="1239" w:type="dxa"/>
            <w:vAlign w:val="center"/>
          </w:tcPr>
          <w:p w14:paraId="2B9AD1A4" w14:textId="22B10799" w:rsidR="00E026D6" w:rsidRPr="00F52619" w:rsidRDefault="00E026D6" w:rsidP="00E026D6">
            <w:pPr>
              <w:pStyle w:val="TableText"/>
              <w:jc w:val="right"/>
            </w:pPr>
            <w:r w:rsidRPr="005F1F83">
              <w:rPr>
                <w:rFonts w:cstheme="minorHAnsi"/>
                <w:color w:val="000000"/>
              </w:rPr>
              <w:t>42 (24.4)</w:t>
            </w:r>
          </w:p>
        </w:tc>
        <w:tc>
          <w:tcPr>
            <w:tcW w:w="1134" w:type="dxa"/>
            <w:vAlign w:val="center"/>
          </w:tcPr>
          <w:p w14:paraId="6D693913" w14:textId="6AF8B722" w:rsidR="00E026D6" w:rsidRPr="00F52619" w:rsidRDefault="00E026D6" w:rsidP="00E026D6">
            <w:pPr>
              <w:pStyle w:val="TableText"/>
              <w:jc w:val="right"/>
            </w:pPr>
            <w:r w:rsidRPr="005F1F83">
              <w:rPr>
                <w:rFonts w:cstheme="minorHAnsi"/>
                <w:color w:val="000000"/>
              </w:rPr>
              <w:t>170 (98.8)</w:t>
            </w:r>
          </w:p>
        </w:tc>
        <w:tc>
          <w:tcPr>
            <w:tcW w:w="1276" w:type="dxa"/>
            <w:shd w:val="clear" w:color="auto" w:fill="auto"/>
            <w:noWrap/>
            <w:vAlign w:val="center"/>
          </w:tcPr>
          <w:p w14:paraId="78BF7D18" w14:textId="44151270" w:rsidR="00E026D6" w:rsidRPr="00F52619" w:rsidRDefault="00E026D6" w:rsidP="00E026D6">
            <w:pPr>
              <w:pStyle w:val="TableText"/>
              <w:jc w:val="right"/>
            </w:pPr>
            <w:r w:rsidRPr="005F1F83">
              <w:rPr>
                <w:rFonts w:cstheme="minorHAnsi"/>
                <w:color w:val="000000"/>
              </w:rPr>
              <w:t>38 (17.8)</w:t>
            </w:r>
          </w:p>
        </w:tc>
        <w:tc>
          <w:tcPr>
            <w:tcW w:w="1276" w:type="dxa"/>
            <w:vAlign w:val="center"/>
          </w:tcPr>
          <w:p w14:paraId="652EF0D6" w14:textId="4CF99AE0" w:rsidR="00E026D6" w:rsidRPr="00F52619" w:rsidRDefault="00E026D6" w:rsidP="00E026D6">
            <w:pPr>
              <w:pStyle w:val="TableText"/>
              <w:jc w:val="right"/>
            </w:pPr>
            <w:r w:rsidRPr="005F1F83">
              <w:rPr>
                <w:rFonts w:cstheme="minorHAnsi"/>
                <w:color w:val="000000"/>
              </w:rPr>
              <w:t>210 (99.1)</w:t>
            </w:r>
          </w:p>
        </w:tc>
        <w:tc>
          <w:tcPr>
            <w:tcW w:w="1276" w:type="dxa"/>
            <w:vAlign w:val="center"/>
          </w:tcPr>
          <w:p w14:paraId="54DA29F7" w14:textId="7E59F7CD" w:rsidR="00E026D6" w:rsidRPr="00F52619" w:rsidRDefault="00E026D6" w:rsidP="00E026D6">
            <w:pPr>
              <w:pStyle w:val="TableText"/>
              <w:jc w:val="right"/>
            </w:pPr>
            <w:r w:rsidRPr="005F1F83">
              <w:rPr>
                <w:rFonts w:cstheme="minorHAnsi"/>
                <w:color w:val="000000"/>
              </w:rPr>
              <w:t>14 (7.2)</w:t>
            </w:r>
          </w:p>
        </w:tc>
        <w:tc>
          <w:tcPr>
            <w:tcW w:w="1134" w:type="dxa"/>
            <w:vAlign w:val="center"/>
          </w:tcPr>
          <w:p w14:paraId="5088DBF8" w14:textId="5EA19940" w:rsidR="00E026D6" w:rsidRPr="00F52619" w:rsidRDefault="00E026D6" w:rsidP="00E026D6">
            <w:pPr>
              <w:pStyle w:val="TableText"/>
              <w:jc w:val="right"/>
            </w:pPr>
            <w:r w:rsidRPr="005F1F83">
              <w:rPr>
                <w:rFonts w:cstheme="minorHAnsi"/>
                <w:color w:val="000000"/>
              </w:rPr>
              <w:t>184 (94.8)</w:t>
            </w:r>
          </w:p>
        </w:tc>
      </w:tr>
      <w:tr w:rsidR="00E026D6" w:rsidRPr="005F1F83" w14:paraId="7F8E1B54" w14:textId="77777777" w:rsidTr="006A5099">
        <w:trPr>
          <w:trHeight w:val="305"/>
        </w:trPr>
        <w:tc>
          <w:tcPr>
            <w:tcW w:w="1591" w:type="dxa"/>
            <w:shd w:val="clear" w:color="auto" w:fill="auto"/>
            <w:noWrap/>
            <w:hideMark/>
          </w:tcPr>
          <w:p w14:paraId="15075472" w14:textId="77777777" w:rsidR="00E026D6" w:rsidRPr="00F52619" w:rsidRDefault="00E026D6" w:rsidP="00E026D6">
            <w:pPr>
              <w:pStyle w:val="TableText"/>
            </w:pPr>
            <w:r w:rsidRPr="00F52619">
              <w:t>Taranaki</w:t>
            </w:r>
          </w:p>
        </w:tc>
        <w:tc>
          <w:tcPr>
            <w:tcW w:w="1239" w:type="dxa"/>
            <w:vAlign w:val="center"/>
          </w:tcPr>
          <w:p w14:paraId="553F4D30" w14:textId="0BB0710E" w:rsidR="00E026D6" w:rsidRPr="00F52619" w:rsidRDefault="00E026D6" w:rsidP="00E026D6">
            <w:pPr>
              <w:pStyle w:val="TableText"/>
              <w:jc w:val="right"/>
            </w:pPr>
            <w:r w:rsidRPr="005F1F83">
              <w:rPr>
                <w:rFonts w:cstheme="minorHAnsi"/>
                <w:color w:val="000000"/>
              </w:rPr>
              <w:t>38 (12.5)</w:t>
            </w:r>
          </w:p>
        </w:tc>
        <w:tc>
          <w:tcPr>
            <w:tcW w:w="1134" w:type="dxa"/>
            <w:vAlign w:val="center"/>
          </w:tcPr>
          <w:p w14:paraId="788117FB" w14:textId="5F7015A0" w:rsidR="00E026D6" w:rsidRPr="00F52619" w:rsidRDefault="00E026D6" w:rsidP="00E026D6">
            <w:pPr>
              <w:pStyle w:val="TableText"/>
              <w:jc w:val="right"/>
            </w:pPr>
            <w:r w:rsidRPr="005F1F83">
              <w:rPr>
                <w:rFonts w:cstheme="minorHAnsi"/>
                <w:color w:val="000000"/>
              </w:rPr>
              <w:t>286 (94.1)</w:t>
            </w:r>
          </w:p>
        </w:tc>
        <w:tc>
          <w:tcPr>
            <w:tcW w:w="1276" w:type="dxa"/>
            <w:shd w:val="clear" w:color="auto" w:fill="auto"/>
            <w:noWrap/>
            <w:vAlign w:val="center"/>
          </w:tcPr>
          <w:p w14:paraId="0B81E775" w14:textId="491271A4" w:rsidR="00E026D6" w:rsidRPr="00F52619" w:rsidRDefault="00E026D6" w:rsidP="00E026D6">
            <w:pPr>
              <w:pStyle w:val="TableText"/>
              <w:jc w:val="right"/>
            </w:pPr>
            <w:r w:rsidRPr="005F1F83">
              <w:rPr>
                <w:rFonts w:cstheme="minorHAnsi"/>
                <w:color w:val="000000"/>
              </w:rPr>
              <w:t>39 (11.9)</w:t>
            </w:r>
          </w:p>
        </w:tc>
        <w:tc>
          <w:tcPr>
            <w:tcW w:w="1276" w:type="dxa"/>
            <w:vAlign w:val="center"/>
          </w:tcPr>
          <w:p w14:paraId="11991CF1" w14:textId="54EA4897" w:rsidR="00E026D6" w:rsidRPr="00F52619" w:rsidRDefault="00E026D6" w:rsidP="00E026D6">
            <w:pPr>
              <w:pStyle w:val="TableText"/>
              <w:jc w:val="right"/>
            </w:pPr>
            <w:r w:rsidRPr="005F1F83">
              <w:rPr>
                <w:rFonts w:cstheme="minorHAnsi"/>
                <w:color w:val="000000"/>
              </w:rPr>
              <w:t>319 (99.4)</w:t>
            </w:r>
          </w:p>
        </w:tc>
        <w:tc>
          <w:tcPr>
            <w:tcW w:w="1276" w:type="dxa"/>
            <w:vAlign w:val="center"/>
          </w:tcPr>
          <w:p w14:paraId="39F80E30" w14:textId="16F95010" w:rsidR="00E026D6" w:rsidRPr="00F52619" w:rsidRDefault="00E026D6" w:rsidP="00E026D6">
            <w:pPr>
              <w:pStyle w:val="TableText"/>
              <w:jc w:val="right"/>
            </w:pPr>
            <w:r w:rsidRPr="005F1F83">
              <w:rPr>
                <w:rFonts w:cstheme="minorHAnsi"/>
              </w:rPr>
              <w:t>56 (24.9)</w:t>
            </w:r>
          </w:p>
        </w:tc>
        <w:tc>
          <w:tcPr>
            <w:tcW w:w="1134" w:type="dxa"/>
            <w:vAlign w:val="center"/>
          </w:tcPr>
          <w:p w14:paraId="7C450999" w14:textId="77C0860D" w:rsidR="00E026D6" w:rsidRPr="00F52619" w:rsidRDefault="00E026D6" w:rsidP="00E026D6">
            <w:pPr>
              <w:pStyle w:val="TableText"/>
              <w:jc w:val="right"/>
            </w:pPr>
            <w:r w:rsidRPr="005F1F83">
              <w:rPr>
                <w:rFonts w:cstheme="minorHAnsi"/>
              </w:rPr>
              <w:t>221 (98.2)</w:t>
            </w:r>
          </w:p>
        </w:tc>
      </w:tr>
      <w:tr w:rsidR="00E026D6" w:rsidRPr="005F1F83" w14:paraId="7516FEB8" w14:textId="77777777" w:rsidTr="006A5099">
        <w:trPr>
          <w:trHeight w:val="305"/>
        </w:trPr>
        <w:tc>
          <w:tcPr>
            <w:tcW w:w="1591" w:type="dxa"/>
            <w:shd w:val="clear" w:color="auto" w:fill="auto"/>
            <w:noWrap/>
            <w:hideMark/>
          </w:tcPr>
          <w:p w14:paraId="09BB6353" w14:textId="77777777" w:rsidR="00E026D6" w:rsidRPr="00F52619" w:rsidRDefault="00E026D6" w:rsidP="00E026D6">
            <w:pPr>
              <w:pStyle w:val="TableText"/>
            </w:pPr>
            <w:r w:rsidRPr="00F52619">
              <w:t>Waikato</w:t>
            </w:r>
          </w:p>
        </w:tc>
        <w:tc>
          <w:tcPr>
            <w:tcW w:w="1239" w:type="dxa"/>
            <w:vAlign w:val="center"/>
          </w:tcPr>
          <w:p w14:paraId="74DE19BA" w14:textId="493D05E1" w:rsidR="00E026D6" w:rsidRPr="00F52619" w:rsidRDefault="00E026D6" w:rsidP="00E026D6">
            <w:pPr>
              <w:pStyle w:val="TableText"/>
              <w:jc w:val="right"/>
            </w:pPr>
            <w:r w:rsidRPr="005F1F83">
              <w:rPr>
                <w:rFonts w:cstheme="minorHAnsi"/>
                <w:color w:val="000000"/>
              </w:rPr>
              <w:t>806 (80.9)</w:t>
            </w:r>
          </w:p>
        </w:tc>
        <w:tc>
          <w:tcPr>
            <w:tcW w:w="1134" w:type="dxa"/>
            <w:vAlign w:val="center"/>
          </w:tcPr>
          <w:p w14:paraId="078DE5B7" w14:textId="2FFF18FA" w:rsidR="00E026D6" w:rsidRPr="00F52619" w:rsidRDefault="00E026D6" w:rsidP="00E026D6">
            <w:pPr>
              <w:pStyle w:val="TableText"/>
              <w:jc w:val="right"/>
            </w:pPr>
            <w:r w:rsidRPr="005F1F83">
              <w:rPr>
                <w:rFonts w:cstheme="minorHAnsi"/>
                <w:color w:val="000000"/>
              </w:rPr>
              <w:t>969 (97.3)</w:t>
            </w:r>
          </w:p>
        </w:tc>
        <w:tc>
          <w:tcPr>
            <w:tcW w:w="1276" w:type="dxa"/>
            <w:shd w:val="clear" w:color="auto" w:fill="auto"/>
            <w:noWrap/>
            <w:vAlign w:val="center"/>
          </w:tcPr>
          <w:p w14:paraId="69B25BBE" w14:textId="60746B62" w:rsidR="00E026D6" w:rsidRPr="00F52619" w:rsidRDefault="00E026D6" w:rsidP="00E026D6">
            <w:pPr>
              <w:pStyle w:val="TableText"/>
              <w:jc w:val="right"/>
            </w:pPr>
            <w:r w:rsidRPr="005F1F83">
              <w:rPr>
                <w:rFonts w:cstheme="minorHAnsi"/>
                <w:color w:val="000000"/>
              </w:rPr>
              <w:t>769 (78.9)</w:t>
            </w:r>
          </w:p>
        </w:tc>
        <w:tc>
          <w:tcPr>
            <w:tcW w:w="1276" w:type="dxa"/>
            <w:vAlign w:val="center"/>
          </w:tcPr>
          <w:p w14:paraId="7A76860D" w14:textId="1142818A" w:rsidR="00E026D6" w:rsidRPr="00F52619" w:rsidRDefault="00E026D6" w:rsidP="00E026D6">
            <w:pPr>
              <w:pStyle w:val="TableText"/>
              <w:jc w:val="right"/>
            </w:pPr>
            <w:r w:rsidRPr="005F1F83">
              <w:rPr>
                <w:rFonts w:cstheme="minorHAnsi"/>
                <w:color w:val="000000"/>
              </w:rPr>
              <w:t>969 (16.3)</w:t>
            </w:r>
          </w:p>
        </w:tc>
        <w:tc>
          <w:tcPr>
            <w:tcW w:w="1276" w:type="dxa"/>
            <w:vAlign w:val="center"/>
          </w:tcPr>
          <w:p w14:paraId="30018E7E" w14:textId="52A85B1E" w:rsidR="00E026D6" w:rsidRPr="00F52619" w:rsidRDefault="00E026D6" w:rsidP="00E026D6">
            <w:pPr>
              <w:pStyle w:val="TableText"/>
              <w:jc w:val="right"/>
            </w:pPr>
            <w:r w:rsidRPr="005F1F83">
              <w:rPr>
                <w:rFonts w:cstheme="minorHAnsi"/>
                <w:color w:val="000000"/>
              </w:rPr>
              <w:t>521 (78)</w:t>
            </w:r>
          </w:p>
        </w:tc>
        <w:tc>
          <w:tcPr>
            <w:tcW w:w="1134" w:type="dxa"/>
            <w:vAlign w:val="center"/>
          </w:tcPr>
          <w:p w14:paraId="46C455A9" w14:textId="183B227A" w:rsidR="00E026D6" w:rsidRPr="00F52619" w:rsidRDefault="00E026D6" w:rsidP="00E026D6">
            <w:pPr>
              <w:pStyle w:val="TableText"/>
              <w:jc w:val="right"/>
            </w:pPr>
            <w:r w:rsidRPr="005F1F83">
              <w:rPr>
                <w:rFonts w:cstheme="minorHAnsi"/>
                <w:color w:val="000000"/>
              </w:rPr>
              <w:t>658 (98.5)</w:t>
            </w:r>
          </w:p>
        </w:tc>
      </w:tr>
      <w:tr w:rsidR="00E026D6" w:rsidRPr="005F1F83" w14:paraId="0460482B" w14:textId="77777777" w:rsidTr="006A5099">
        <w:trPr>
          <w:trHeight w:val="305"/>
        </w:trPr>
        <w:tc>
          <w:tcPr>
            <w:tcW w:w="1591" w:type="dxa"/>
            <w:shd w:val="clear" w:color="auto" w:fill="auto"/>
            <w:noWrap/>
          </w:tcPr>
          <w:p w14:paraId="0E36E03E" w14:textId="77777777" w:rsidR="00E026D6" w:rsidRPr="00F52619" w:rsidRDefault="00E026D6" w:rsidP="00E026D6">
            <w:pPr>
              <w:pStyle w:val="TableText"/>
            </w:pPr>
            <w:r w:rsidRPr="00F52619">
              <w:t>Wairarapa</w:t>
            </w:r>
          </w:p>
        </w:tc>
        <w:tc>
          <w:tcPr>
            <w:tcW w:w="1239" w:type="dxa"/>
            <w:vAlign w:val="center"/>
          </w:tcPr>
          <w:p w14:paraId="6A4566B0" w14:textId="1A8F8C49" w:rsidR="00E026D6" w:rsidRPr="00F52619" w:rsidRDefault="00E026D6" w:rsidP="00E026D6">
            <w:pPr>
              <w:pStyle w:val="TableText"/>
              <w:jc w:val="right"/>
            </w:pPr>
            <w:r w:rsidRPr="005F1F83">
              <w:rPr>
                <w:rFonts w:cstheme="minorHAnsi"/>
                <w:color w:val="000000"/>
              </w:rPr>
              <w:t>–</w:t>
            </w:r>
          </w:p>
        </w:tc>
        <w:tc>
          <w:tcPr>
            <w:tcW w:w="1134" w:type="dxa"/>
            <w:vAlign w:val="center"/>
          </w:tcPr>
          <w:p w14:paraId="038168AD" w14:textId="3F4E1CD3" w:rsidR="00E026D6" w:rsidRPr="00F52619" w:rsidRDefault="00E026D6" w:rsidP="00E026D6">
            <w:pPr>
              <w:pStyle w:val="TableText"/>
              <w:jc w:val="right"/>
            </w:pPr>
            <w:r w:rsidRPr="005F1F83">
              <w:rPr>
                <w:rFonts w:cstheme="minorHAnsi"/>
                <w:color w:val="000000"/>
              </w:rPr>
              <w:t>–</w:t>
            </w:r>
          </w:p>
        </w:tc>
        <w:tc>
          <w:tcPr>
            <w:tcW w:w="1276" w:type="dxa"/>
            <w:shd w:val="clear" w:color="auto" w:fill="auto"/>
            <w:noWrap/>
            <w:vAlign w:val="center"/>
          </w:tcPr>
          <w:p w14:paraId="16995632" w14:textId="56D80A4A" w:rsidR="00E026D6" w:rsidRPr="00F52619" w:rsidRDefault="00E026D6" w:rsidP="00E026D6">
            <w:pPr>
              <w:pStyle w:val="TableText"/>
              <w:jc w:val="right"/>
            </w:pPr>
            <w:r w:rsidRPr="005F1F83">
              <w:rPr>
                <w:rFonts w:cstheme="minorHAnsi"/>
                <w:color w:val="000000"/>
              </w:rPr>
              <w:t>–</w:t>
            </w:r>
          </w:p>
        </w:tc>
        <w:tc>
          <w:tcPr>
            <w:tcW w:w="1276" w:type="dxa"/>
            <w:vAlign w:val="center"/>
          </w:tcPr>
          <w:p w14:paraId="138C6920" w14:textId="2781FD9A" w:rsidR="00E026D6" w:rsidRPr="00F52619" w:rsidRDefault="00E026D6" w:rsidP="00E026D6">
            <w:pPr>
              <w:pStyle w:val="TableText"/>
              <w:jc w:val="right"/>
            </w:pPr>
            <w:r w:rsidRPr="005F1F83">
              <w:rPr>
                <w:rFonts w:cstheme="minorHAnsi"/>
                <w:color w:val="000000"/>
              </w:rPr>
              <w:t>–</w:t>
            </w:r>
          </w:p>
        </w:tc>
        <w:tc>
          <w:tcPr>
            <w:tcW w:w="1276" w:type="dxa"/>
            <w:vAlign w:val="center"/>
          </w:tcPr>
          <w:p w14:paraId="0CA9A381" w14:textId="0A3F05B7" w:rsidR="00E026D6" w:rsidRPr="00F52619" w:rsidRDefault="00E026D6" w:rsidP="00E026D6">
            <w:pPr>
              <w:pStyle w:val="TableText"/>
              <w:jc w:val="right"/>
            </w:pPr>
            <w:r w:rsidRPr="005F1F83">
              <w:rPr>
                <w:rFonts w:cstheme="minorHAnsi"/>
                <w:color w:val="000000"/>
              </w:rPr>
              <w:t>–</w:t>
            </w:r>
          </w:p>
        </w:tc>
        <w:tc>
          <w:tcPr>
            <w:tcW w:w="1134" w:type="dxa"/>
            <w:vAlign w:val="center"/>
          </w:tcPr>
          <w:p w14:paraId="62F24C26" w14:textId="3B2BB16F" w:rsidR="00E026D6" w:rsidRPr="00F52619" w:rsidRDefault="00E026D6" w:rsidP="00E026D6">
            <w:pPr>
              <w:pStyle w:val="TableText"/>
              <w:jc w:val="right"/>
            </w:pPr>
            <w:r w:rsidRPr="005F1F83">
              <w:rPr>
                <w:rFonts w:cstheme="minorHAnsi"/>
                <w:color w:val="000000"/>
              </w:rPr>
              <w:t>–</w:t>
            </w:r>
          </w:p>
        </w:tc>
      </w:tr>
      <w:tr w:rsidR="00E026D6" w:rsidRPr="005F1F83" w14:paraId="23F7FF06" w14:textId="77777777" w:rsidTr="006A5099">
        <w:trPr>
          <w:trHeight w:val="305"/>
        </w:trPr>
        <w:tc>
          <w:tcPr>
            <w:tcW w:w="1591" w:type="dxa"/>
            <w:shd w:val="clear" w:color="auto" w:fill="auto"/>
            <w:noWrap/>
          </w:tcPr>
          <w:p w14:paraId="7CBD3E7C" w14:textId="10636506" w:rsidR="00E026D6" w:rsidRPr="00F52619" w:rsidRDefault="00E026D6" w:rsidP="00E026D6">
            <w:pPr>
              <w:pStyle w:val="TableText"/>
            </w:pPr>
            <w:proofErr w:type="spellStart"/>
            <w:r w:rsidRPr="00F52619">
              <w:t>Waitematā</w:t>
            </w:r>
            <w:proofErr w:type="spellEnd"/>
          </w:p>
        </w:tc>
        <w:tc>
          <w:tcPr>
            <w:tcW w:w="1239" w:type="dxa"/>
            <w:vAlign w:val="center"/>
          </w:tcPr>
          <w:p w14:paraId="031302FA" w14:textId="1B03E3BE" w:rsidR="00E026D6" w:rsidRPr="00F52619" w:rsidRDefault="00E026D6" w:rsidP="00E026D6">
            <w:pPr>
              <w:pStyle w:val="TableText"/>
              <w:jc w:val="right"/>
            </w:pPr>
            <w:r w:rsidRPr="005F1F83">
              <w:rPr>
                <w:rFonts w:cstheme="minorHAnsi"/>
                <w:color w:val="000000"/>
              </w:rPr>
              <w:t>–</w:t>
            </w:r>
          </w:p>
        </w:tc>
        <w:tc>
          <w:tcPr>
            <w:tcW w:w="1134" w:type="dxa"/>
            <w:vAlign w:val="center"/>
          </w:tcPr>
          <w:p w14:paraId="0B65E1E7" w14:textId="0A159696" w:rsidR="00E026D6" w:rsidRPr="00F52619" w:rsidRDefault="00E026D6" w:rsidP="00E026D6">
            <w:pPr>
              <w:pStyle w:val="TableText"/>
              <w:jc w:val="right"/>
            </w:pPr>
            <w:r w:rsidRPr="005F1F83">
              <w:rPr>
                <w:rFonts w:cstheme="minorHAnsi"/>
                <w:color w:val="000000"/>
              </w:rPr>
              <w:t>–</w:t>
            </w:r>
          </w:p>
        </w:tc>
        <w:tc>
          <w:tcPr>
            <w:tcW w:w="1276" w:type="dxa"/>
            <w:shd w:val="clear" w:color="auto" w:fill="auto"/>
            <w:noWrap/>
            <w:vAlign w:val="center"/>
          </w:tcPr>
          <w:p w14:paraId="5E980D6C" w14:textId="73E51FF0" w:rsidR="00E026D6" w:rsidRPr="00F52619" w:rsidRDefault="00E026D6" w:rsidP="00E026D6">
            <w:pPr>
              <w:pStyle w:val="TableText"/>
              <w:jc w:val="right"/>
            </w:pPr>
            <w:r w:rsidRPr="005F1F83">
              <w:rPr>
                <w:rFonts w:cstheme="minorHAnsi"/>
                <w:color w:val="000000"/>
              </w:rPr>
              <w:t>3 (3.8)</w:t>
            </w:r>
          </w:p>
        </w:tc>
        <w:tc>
          <w:tcPr>
            <w:tcW w:w="1276" w:type="dxa"/>
            <w:vAlign w:val="center"/>
          </w:tcPr>
          <w:p w14:paraId="0A47C30B" w14:textId="04418F27" w:rsidR="00E026D6" w:rsidRPr="00F52619" w:rsidRDefault="00E026D6" w:rsidP="00E026D6">
            <w:pPr>
              <w:pStyle w:val="TableText"/>
              <w:jc w:val="right"/>
            </w:pPr>
            <w:r w:rsidRPr="005F1F83">
              <w:rPr>
                <w:rFonts w:cstheme="minorHAnsi"/>
                <w:color w:val="000000"/>
              </w:rPr>
              <w:t>13 (16.3)</w:t>
            </w:r>
          </w:p>
        </w:tc>
        <w:tc>
          <w:tcPr>
            <w:tcW w:w="1276" w:type="dxa"/>
            <w:vAlign w:val="center"/>
          </w:tcPr>
          <w:p w14:paraId="7E1226E1" w14:textId="221FDFA4" w:rsidR="00E026D6" w:rsidRPr="00F52619" w:rsidRDefault="00E026D6" w:rsidP="00E026D6">
            <w:pPr>
              <w:pStyle w:val="TableText"/>
              <w:jc w:val="right"/>
            </w:pPr>
            <w:r w:rsidRPr="005F1F83">
              <w:rPr>
                <w:rFonts w:cstheme="minorHAnsi"/>
                <w:color w:val="000000"/>
              </w:rPr>
              <w:t>2 (1.1)</w:t>
            </w:r>
          </w:p>
        </w:tc>
        <w:tc>
          <w:tcPr>
            <w:tcW w:w="1134" w:type="dxa"/>
            <w:vAlign w:val="center"/>
          </w:tcPr>
          <w:p w14:paraId="196A742F" w14:textId="34202902" w:rsidR="00E026D6" w:rsidRPr="00F52619" w:rsidRDefault="00E026D6" w:rsidP="00E026D6">
            <w:pPr>
              <w:pStyle w:val="TableText"/>
              <w:jc w:val="right"/>
            </w:pPr>
            <w:r w:rsidRPr="005F1F83">
              <w:rPr>
                <w:rFonts w:cstheme="minorHAnsi"/>
                <w:color w:val="000000"/>
              </w:rPr>
              <w:t>99 (56.6)</w:t>
            </w:r>
          </w:p>
        </w:tc>
      </w:tr>
      <w:tr w:rsidR="00E026D6" w:rsidRPr="005F1F83" w14:paraId="7C67952E" w14:textId="77777777" w:rsidTr="006A5099">
        <w:trPr>
          <w:trHeight w:val="305"/>
        </w:trPr>
        <w:tc>
          <w:tcPr>
            <w:tcW w:w="1591" w:type="dxa"/>
            <w:shd w:val="clear" w:color="auto" w:fill="auto"/>
            <w:noWrap/>
          </w:tcPr>
          <w:p w14:paraId="7BFF5BBF" w14:textId="77777777" w:rsidR="00E026D6" w:rsidRPr="00F52619" w:rsidRDefault="00E026D6" w:rsidP="00E026D6">
            <w:pPr>
              <w:pStyle w:val="TableText"/>
            </w:pPr>
            <w:r w:rsidRPr="00F52619">
              <w:t>West Coast</w:t>
            </w:r>
          </w:p>
        </w:tc>
        <w:tc>
          <w:tcPr>
            <w:tcW w:w="1239" w:type="dxa"/>
            <w:vAlign w:val="center"/>
          </w:tcPr>
          <w:p w14:paraId="0E6FB509" w14:textId="2457B3C1" w:rsidR="00E026D6" w:rsidRPr="00F52619" w:rsidRDefault="00E026D6" w:rsidP="00E026D6">
            <w:pPr>
              <w:pStyle w:val="TableText"/>
              <w:jc w:val="right"/>
            </w:pPr>
            <w:r w:rsidRPr="005F1F83">
              <w:rPr>
                <w:rFonts w:cstheme="minorHAnsi"/>
                <w:color w:val="000000"/>
              </w:rPr>
              <w:t>–</w:t>
            </w:r>
          </w:p>
        </w:tc>
        <w:tc>
          <w:tcPr>
            <w:tcW w:w="1134" w:type="dxa"/>
            <w:vAlign w:val="center"/>
          </w:tcPr>
          <w:p w14:paraId="6E80DD7A" w14:textId="01736042" w:rsidR="00E026D6" w:rsidRPr="00F52619" w:rsidRDefault="00E026D6" w:rsidP="00E026D6">
            <w:pPr>
              <w:pStyle w:val="TableText"/>
              <w:jc w:val="right"/>
            </w:pPr>
            <w:r w:rsidRPr="005F1F83">
              <w:rPr>
                <w:rFonts w:cstheme="minorHAnsi"/>
                <w:color w:val="000000"/>
              </w:rPr>
              <w:t>–</w:t>
            </w:r>
          </w:p>
        </w:tc>
        <w:tc>
          <w:tcPr>
            <w:tcW w:w="1276" w:type="dxa"/>
            <w:shd w:val="clear" w:color="auto" w:fill="auto"/>
            <w:noWrap/>
            <w:vAlign w:val="center"/>
          </w:tcPr>
          <w:p w14:paraId="60BD8EE6" w14:textId="3BE62953" w:rsidR="00E026D6" w:rsidRPr="00F52619" w:rsidRDefault="00E026D6" w:rsidP="00E026D6">
            <w:pPr>
              <w:pStyle w:val="TableText"/>
              <w:jc w:val="right"/>
            </w:pPr>
            <w:r w:rsidRPr="005F1F83">
              <w:rPr>
                <w:rFonts w:cstheme="minorHAnsi"/>
                <w:color w:val="000000"/>
              </w:rPr>
              <w:t>17 (100)</w:t>
            </w:r>
          </w:p>
        </w:tc>
        <w:tc>
          <w:tcPr>
            <w:tcW w:w="1276" w:type="dxa"/>
            <w:vAlign w:val="center"/>
          </w:tcPr>
          <w:p w14:paraId="631FF7E0" w14:textId="40F9C383" w:rsidR="00E026D6" w:rsidRPr="00F52619" w:rsidRDefault="00E026D6" w:rsidP="00E026D6">
            <w:pPr>
              <w:pStyle w:val="TableText"/>
              <w:jc w:val="right"/>
            </w:pPr>
            <w:r w:rsidRPr="005F1F83">
              <w:rPr>
                <w:rFonts w:cstheme="minorHAnsi"/>
                <w:color w:val="000000"/>
              </w:rPr>
              <w:t>17 (100.0)</w:t>
            </w:r>
          </w:p>
        </w:tc>
        <w:tc>
          <w:tcPr>
            <w:tcW w:w="1276" w:type="dxa"/>
            <w:vAlign w:val="center"/>
          </w:tcPr>
          <w:p w14:paraId="5C7542E9" w14:textId="2E541699" w:rsidR="00E026D6" w:rsidRPr="00F52619" w:rsidRDefault="00E026D6" w:rsidP="00E026D6">
            <w:pPr>
              <w:pStyle w:val="TableText"/>
              <w:jc w:val="right"/>
            </w:pPr>
            <w:r w:rsidRPr="005F1F83">
              <w:rPr>
                <w:rFonts w:cstheme="minorHAnsi"/>
                <w:color w:val="000000"/>
              </w:rPr>
              <w:t>14 (100)</w:t>
            </w:r>
          </w:p>
        </w:tc>
        <w:tc>
          <w:tcPr>
            <w:tcW w:w="1134" w:type="dxa"/>
            <w:vAlign w:val="center"/>
          </w:tcPr>
          <w:p w14:paraId="1994CC20" w14:textId="25A7495F" w:rsidR="00E026D6" w:rsidRPr="00F52619" w:rsidRDefault="00E026D6" w:rsidP="00E026D6">
            <w:pPr>
              <w:pStyle w:val="TableText"/>
              <w:jc w:val="right"/>
            </w:pPr>
            <w:r w:rsidRPr="005F1F83">
              <w:rPr>
                <w:rFonts w:cstheme="minorHAnsi"/>
                <w:color w:val="000000"/>
              </w:rPr>
              <w:t>14 (100)</w:t>
            </w:r>
          </w:p>
        </w:tc>
      </w:tr>
      <w:tr w:rsidR="00E026D6" w:rsidRPr="005F1F83" w14:paraId="1E8515E7" w14:textId="77777777" w:rsidTr="006A5099">
        <w:trPr>
          <w:trHeight w:val="305"/>
        </w:trPr>
        <w:tc>
          <w:tcPr>
            <w:tcW w:w="1591" w:type="dxa"/>
            <w:shd w:val="clear" w:color="auto" w:fill="auto"/>
            <w:noWrap/>
          </w:tcPr>
          <w:p w14:paraId="2CD2F056" w14:textId="77777777" w:rsidR="00E026D6" w:rsidRPr="00F52619" w:rsidRDefault="00E026D6" w:rsidP="00E026D6">
            <w:pPr>
              <w:pStyle w:val="TableText"/>
            </w:pPr>
            <w:r w:rsidRPr="00F52619">
              <w:t>Whanganui</w:t>
            </w:r>
          </w:p>
        </w:tc>
        <w:tc>
          <w:tcPr>
            <w:tcW w:w="1239" w:type="dxa"/>
            <w:vAlign w:val="center"/>
          </w:tcPr>
          <w:p w14:paraId="335AD900" w14:textId="00DD2419" w:rsidR="00E026D6" w:rsidRPr="00F52619" w:rsidRDefault="00E026D6" w:rsidP="00E026D6">
            <w:pPr>
              <w:pStyle w:val="TableText"/>
              <w:jc w:val="right"/>
            </w:pPr>
            <w:r w:rsidRPr="005F1F83">
              <w:rPr>
                <w:rFonts w:cstheme="minorHAnsi"/>
                <w:color w:val="000000"/>
              </w:rPr>
              <w:t>–</w:t>
            </w:r>
          </w:p>
        </w:tc>
        <w:tc>
          <w:tcPr>
            <w:tcW w:w="1134" w:type="dxa"/>
            <w:vAlign w:val="center"/>
          </w:tcPr>
          <w:p w14:paraId="3F43B2F6" w14:textId="2BCA49D1" w:rsidR="00E026D6" w:rsidRPr="00F52619" w:rsidRDefault="00E026D6" w:rsidP="00E026D6">
            <w:pPr>
              <w:pStyle w:val="TableText"/>
              <w:jc w:val="right"/>
            </w:pPr>
            <w:r w:rsidRPr="005F1F83">
              <w:rPr>
                <w:rFonts w:cstheme="minorHAnsi"/>
                <w:color w:val="000000"/>
              </w:rPr>
              <w:t>–</w:t>
            </w:r>
          </w:p>
        </w:tc>
        <w:tc>
          <w:tcPr>
            <w:tcW w:w="1276" w:type="dxa"/>
            <w:shd w:val="clear" w:color="auto" w:fill="auto"/>
            <w:noWrap/>
            <w:vAlign w:val="center"/>
          </w:tcPr>
          <w:p w14:paraId="233558AB" w14:textId="379E1467" w:rsidR="00E026D6" w:rsidRPr="00F52619" w:rsidRDefault="00E026D6" w:rsidP="00E026D6">
            <w:pPr>
              <w:pStyle w:val="TableText"/>
              <w:jc w:val="right"/>
            </w:pPr>
            <w:r w:rsidRPr="005F1F83">
              <w:rPr>
                <w:rFonts w:cstheme="minorHAnsi"/>
                <w:color w:val="000000"/>
              </w:rPr>
              <w:t>–</w:t>
            </w:r>
          </w:p>
        </w:tc>
        <w:tc>
          <w:tcPr>
            <w:tcW w:w="1276" w:type="dxa"/>
            <w:vAlign w:val="center"/>
          </w:tcPr>
          <w:p w14:paraId="50974EAB" w14:textId="744880CF" w:rsidR="00E026D6" w:rsidRPr="00F52619" w:rsidRDefault="00E026D6" w:rsidP="00E026D6">
            <w:pPr>
              <w:pStyle w:val="TableText"/>
              <w:jc w:val="right"/>
            </w:pPr>
            <w:r w:rsidRPr="005F1F83">
              <w:rPr>
                <w:rFonts w:cstheme="minorHAnsi"/>
                <w:color w:val="000000"/>
              </w:rPr>
              <w:t>–</w:t>
            </w:r>
          </w:p>
        </w:tc>
        <w:tc>
          <w:tcPr>
            <w:tcW w:w="1276" w:type="dxa"/>
            <w:vAlign w:val="center"/>
          </w:tcPr>
          <w:p w14:paraId="57B1D8F3" w14:textId="535C1396" w:rsidR="00E026D6" w:rsidRPr="00F52619" w:rsidRDefault="00E026D6" w:rsidP="00E026D6">
            <w:pPr>
              <w:pStyle w:val="TableText"/>
              <w:jc w:val="right"/>
            </w:pPr>
            <w:r w:rsidRPr="005F1F83">
              <w:rPr>
                <w:rFonts w:cstheme="minorHAnsi"/>
                <w:color w:val="000000"/>
              </w:rPr>
              <w:t>–</w:t>
            </w:r>
          </w:p>
        </w:tc>
        <w:tc>
          <w:tcPr>
            <w:tcW w:w="1134" w:type="dxa"/>
            <w:vAlign w:val="center"/>
          </w:tcPr>
          <w:p w14:paraId="5CDCD285" w14:textId="4EA22A18" w:rsidR="00E026D6" w:rsidRPr="00F52619" w:rsidRDefault="00E026D6" w:rsidP="00E026D6">
            <w:pPr>
              <w:pStyle w:val="TableText"/>
              <w:jc w:val="right"/>
            </w:pPr>
            <w:r w:rsidRPr="005F1F83">
              <w:rPr>
                <w:rFonts w:cstheme="minorHAnsi"/>
                <w:color w:val="000000"/>
              </w:rPr>
              <w:t>–</w:t>
            </w:r>
          </w:p>
        </w:tc>
      </w:tr>
      <w:tr w:rsidR="00E026D6" w:rsidRPr="005F1F83" w14:paraId="64E6F255" w14:textId="77777777" w:rsidTr="006A5099">
        <w:trPr>
          <w:trHeight w:val="305"/>
        </w:trPr>
        <w:tc>
          <w:tcPr>
            <w:tcW w:w="1591" w:type="dxa"/>
            <w:shd w:val="clear" w:color="auto" w:fill="auto"/>
            <w:noWrap/>
          </w:tcPr>
          <w:p w14:paraId="685004D0" w14:textId="65D2B831" w:rsidR="00E026D6" w:rsidRPr="00F52619" w:rsidRDefault="00E026D6" w:rsidP="00E026D6">
            <w:pPr>
              <w:pStyle w:val="TableText"/>
            </w:pPr>
            <w:r w:rsidRPr="00F52619">
              <w:t>National (DECIDE)</w:t>
            </w:r>
          </w:p>
        </w:tc>
        <w:tc>
          <w:tcPr>
            <w:tcW w:w="1239" w:type="dxa"/>
            <w:vAlign w:val="center"/>
          </w:tcPr>
          <w:p w14:paraId="60D58098" w14:textId="2FB56898" w:rsidR="00E026D6" w:rsidRPr="00F52619" w:rsidRDefault="00E026D6" w:rsidP="00E026D6">
            <w:pPr>
              <w:pStyle w:val="TableText"/>
              <w:jc w:val="right"/>
            </w:pPr>
            <w:r w:rsidRPr="005F1F83">
              <w:rPr>
                <w:rFonts w:cstheme="minorHAnsi"/>
                <w:color w:val="000000"/>
              </w:rPr>
              <w:t>–</w:t>
            </w:r>
          </w:p>
        </w:tc>
        <w:tc>
          <w:tcPr>
            <w:tcW w:w="1134" w:type="dxa"/>
            <w:vAlign w:val="center"/>
          </w:tcPr>
          <w:p w14:paraId="79B329AC" w14:textId="3973F4C6" w:rsidR="00E026D6" w:rsidRPr="00F52619" w:rsidRDefault="00E026D6" w:rsidP="00E026D6">
            <w:pPr>
              <w:pStyle w:val="TableText"/>
              <w:jc w:val="right"/>
            </w:pPr>
            <w:r w:rsidRPr="005F1F83">
              <w:rPr>
                <w:rFonts w:cstheme="minorHAnsi"/>
                <w:color w:val="000000"/>
              </w:rPr>
              <w:t>–</w:t>
            </w:r>
          </w:p>
        </w:tc>
        <w:tc>
          <w:tcPr>
            <w:tcW w:w="1276" w:type="dxa"/>
            <w:shd w:val="clear" w:color="auto" w:fill="auto"/>
            <w:noWrap/>
            <w:vAlign w:val="center"/>
          </w:tcPr>
          <w:p w14:paraId="69529F3F" w14:textId="095BC0D7" w:rsidR="00E026D6" w:rsidRPr="00F52619" w:rsidRDefault="00E026D6" w:rsidP="00E026D6">
            <w:pPr>
              <w:pStyle w:val="TableText"/>
              <w:jc w:val="right"/>
            </w:pPr>
            <w:r w:rsidRPr="005F1F83">
              <w:rPr>
                <w:rFonts w:cstheme="minorHAnsi"/>
                <w:color w:val="000000"/>
              </w:rPr>
              <w:t>–</w:t>
            </w:r>
          </w:p>
        </w:tc>
        <w:tc>
          <w:tcPr>
            <w:tcW w:w="1276" w:type="dxa"/>
            <w:vAlign w:val="center"/>
          </w:tcPr>
          <w:p w14:paraId="21B42628" w14:textId="7D5C4B10" w:rsidR="00E026D6" w:rsidRPr="00F52619" w:rsidRDefault="00E026D6" w:rsidP="00E026D6">
            <w:pPr>
              <w:pStyle w:val="TableText"/>
              <w:jc w:val="right"/>
            </w:pPr>
            <w:r w:rsidRPr="005F1F83">
              <w:rPr>
                <w:rFonts w:cstheme="minorHAnsi"/>
                <w:color w:val="000000"/>
              </w:rPr>
              <w:t>515 (100)</w:t>
            </w:r>
          </w:p>
        </w:tc>
        <w:tc>
          <w:tcPr>
            <w:tcW w:w="1276" w:type="dxa"/>
            <w:vAlign w:val="center"/>
          </w:tcPr>
          <w:p w14:paraId="17288016" w14:textId="3C6355DD" w:rsidR="00E026D6" w:rsidRPr="00F52619" w:rsidRDefault="00E026D6" w:rsidP="00E026D6">
            <w:pPr>
              <w:pStyle w:val="TableText"/>
              <w:jc w:val="right"/>
            </w:pPr>
            <w:r w:rsidRPr="005F1F83">
              <w:rPr>
                <w:rFonts w:cstheme="minorHAnsi"/>
                <w:color w:val="000000"/>
              </w:rPr>
              <w:t>–</w:t>
            </w:r>
          </w:p>
        </w:tc>
        <w:tc>
          <w:tcPr>
            <w:tcW w:w="1134" w:type="dxa"/>
            <w:vAlign w:val="center"/>
          </w:tcPr>
          <w:p w14:paraId="07C67E46" w14:textId="74AD3C53" w:rsidR="00E026D6" w:rsidRPr="00F52619" w:rsidRDefault="00E026D6" w:rsidP="00E026D6">
            <w:pPr>
              <w:pStyle w:val="TableText"/>
              <w:jc w:val="right"/>
            </w:pPr>
            <w:r w:rsidRPr="005F1F83">
              <w:rPr>
                <w:rFonts w:cstheme="minorHAnsi"/>
                <w:color w:val="000000"/>
              </w:rPr>
              <w:t>5,108 (100)</w:t>
            </w:r>
          </w:p>
        </w:tc>
      </w:tr>
      <w:tr w:rsidR="00F52619" w:rsidRPr="005F1F83" w14:paraId="7F6346A8" w14:textId="77777777" w:rsidTr="006A5099">
        <w:trPr>
          <w:trHeight w:val="305"/>
        </w:trPr>
        <w:tc>
          <w:tcPr>
            <w:tcW w:w="1591" w:type="dxa"/>
            <w:shd w:val="clear" w:color="auto" w:fill="auto"/>
            <w:noWrap/>
            <w:vAlign w:val="center"/>
            <w:hideMark/>
          </w:tcPr>
          <w:p w14:paraId="0AEB9BD8" w14:textId="77777777" w:rsidR="00F52619" w:rsidRPr="006A5099" w:rsidRDefault="00F52619" w:rsidP="00F52619">
            <w:pPr>
              <w:pStyle w:val="TableText"/>
              <w:rPr>
                <w:b/>
                <w:bCs/>
              </w:rPr>
            </w:pPr>
            <w:r w:rsidRPr="006A5099">
              <w:rPr>
                <w:b/>
                <w:bCs/>
              </w:rPr>
              <w:t>Total</w:t>
            </w:r>
          </w:p>
        </w:tc>
        <w:tc>
          <w:tcPr>
            <w:tcW w:w="1239" w:type="dxa"/>
            <w:vAlign w:val="bottom"/>
          </w:tcPr>
          <w:p w14:paraId="0BC675B4" w14:textId="07F95DEF" w:rsidR="00F52619" w:rsidRPr="006A5099" w:rsidRDefault="00F52619" w:rsidP="00F52619">
            <w:pPr>
              <w:pStyle w:val="TableText"/>
              <w:jc w:val="right"/>
              <w:rPr>
                <w:b/>
                <w:bCs/>
              </w:rPr>
            </w:pPr>
            <w:r w:rsidRPr="006A5099">
              <w:rPr>
                <w:b/>
                <w:bCs/>
              </w:rPr>
              <w:t>6,959</w:t>
            </w:r>
            <w:r w:rsidR="006A5099" w:rsidRPr="006A5099">
              <w:rPr>
                <w:b/>
                <w:bCs/>
              </w:rPr>
              <w:br/>
            </w:r>
            <w:r w:rsidRPr="006A5099">
              <w:rPr>
                <w:b/>
                <w:bCs/>
              </w:rPr>
              <w:t xml:space="preserve"> (52.5)</w:t>
            </w:r>
          </w:p>
        </w:tc>
        <w:tc>
          <w:tcPr>
            <w:tcW w:w="1134" w:type="dxa"/>
            <w:vAlign w:val="bottom"/>
          </w:tcPr>
          <w:p w14:paraId="579E31C3" w14:textId="77777777" w:rsidR="00F52619" w:rsidRPr="006A5099" w:rsidRDefault="00F52619" w:rsidP="00F52619">
            <w:pPr>
              <w:pStyle w:val="TableText"/>
              <w:jc w:val="right"/>
              <w:rPr>
                <w:b/>
                <w:bCs/>
              </w:rPr>
            </w:pPr>
            <w:r w:rsidRPr="006A5099">
              <w:rPr>
                <w:b/>
                <w:bCs/>
              </w:rPr>
              <w:t>12,056 (91.0)</w:t>
            </w:r>
          </w:p>
        </w:tc>
        <w:tc>
          <w:tcPr>
            <w:tcW w:w="1276" w:type="dxa"/>
            <w:shd w:val="clear" w:color="auto" w:fill="auto"/>
            <w:noWrap/>
            <w:vAlign w:val="bottom"/>
          </w:tcPr>
          <w:p w14:paraId="5DD2F87E" w14:textId="5FF2328D" w:rsidR="00F52619" w:rsidRPr="006A5099" w:rsidRDefault="00F52619" w:rsidP="00F52619">
            <w:pPr>
              <w:pStyle w:val="TableText"/>
              <w:jc w:val="right"/>
              <w:rPr>
                <w:b/>
                <w:bCs/>
              </w:rPr>
            </w:pPr>
            <w:r w:rsidRPr="006A5099">
              <w:rPr>
                <w:b/>
                <w:bCs/>
              </w:rPr>
              <w:t xml:space="preserve">6,046 </w:t>
            </w:r>
            <w:r w:rsidRPr="006A5099">
              <w:rPr>
                <w:b/>
                <w:bCs/>
              </w:rPr>
              <w:br/>
              <w:t>(42.7)</w:t>
            </w:r>
          </w:p>
        </w:tc>
        <w:tc>
          <w:tcPr>
            <w:tcW w:w="1276" w:type="dxa"/>
            <w:vAlign w:val="bottom"/>
          </w:tcPr>
          <w:p w14:paraId="0193DB8F" w14:textId="694EF215" w:rsidR="00F52619" w:rsidRPr="006A5099" w:rsidRDefault="00F52619" w:rsidP="00F52619">
            <w:pPr>
              <w:pStyle w:val="TableText"/>
              <w:jc w:val="right"/>
              <w:rPr>
                <w:b/>
                <w:bCs/>
              </w:rPr>
            </w:pPr>
            <w:r w:rsidRPr="006A5099">
              <w:rPr>
                <w:b/>
                <w:bCs/>
              </w:rPr>
              <w:t>13,245</w:t>
            </w:r>
            <w:r w:rsidR="006A5099" w:rsidRPr="006A5099">
              <w:rPr>
                <w:b/>
                <w:bCs/>
              </w:rPr>
              <w:br/>
            </w:r>
            <w:r w:rsidRPr="006A5099">
              <w:rPr>
                <w:b/>
                <w:bCs/>
              </w:rPr>
              <w:t xml:space="preserve"> (93.5)</w:t>
            </w:r>
          </w:p>
        </w:tc>
        <w:tc>
          <w:tcPr>
            <w:tcW w:w="1276" w:type="dxa"/>
            <w:vAlign w:val="bottom"/>
          </w:tcPr>
          <w:p w14:paraId="205AB200" w14:textId="77777777" w:rsidR="00F52619" w:rsidRPr="006A5099" w:rsidRDefault="00F52619" w:rsidP="00F52619">
            <w:pPr>
              <w:pStyle w:val="TableText"/>
              <w:jc w:val="right"/>
              <w:rPr>
                <w:b/>
                <w:bCs/>
              </w:rPr>
            </w:pPr>
            <w:r w:rsidRPr="006A5099">
              <w:rPr>
                <w:b/>
                <w:bCs/>
              </w:rPr>
              <w:t xml:space="preserve">4,762 </w:t>
            </w:r>
            <w:r w:rsidRPr="006A5099">
              <w:rPr>
                <w:b/>
                <w:bCs/>
              </w:rPr>
              <w:br/>
              <w:t>(27.8)</w:t>
            </w:r>
          </w:p>
        </w:tc>
        <w:tc>
          <w:tcPr>
            <w:tcW w:w="1134" w:type="dxa"/>
            <w:vAlign w:val="bottom"/>
          </w:tcPr>
          <w:p w14:paraId="526B748E" w14:textId="77777777" w:rsidR="00F52619" w:rsidRPr="006A5099" w:rsidRDefault="00F52619" w:rsidP="00F52619">
            <w:pPr>
              <w:pStyle w:val="TableText"/>
              <w:jc w:val="right"/>
              <w:rPr>
                <w:b/>
                <w:bCs/>
              </w:rPr>
            </w:pPr>
            <w:r w:rsidRPr="006A5099">
              <w:rPr>
                <w:b/>
                <w:bCs/>
              </w:rPr>
              <w:t>16,074 (93.9)</w:t>
            </w:r>
          </w:p>
        </w:tc>
      </w:tr>
    </w:tbl>
    <w:p w14:paraId="1E9AA61A" w14:textId="4D03E310" w:rsidR="00F52619" w:rsidRPr="005F1F83" w:rsidRDefault="00F52619" w:rsidP="006A5099">
      <w:pPr>
        <w:pStyle w:val="Note"/>
        <w:rPr>
          <w:rFonts w:eastAsia="Calibri"/>
          <w:lang w:eastAsia="en-US"/>
        </w:rPr>
      </w:pPr>
      <w:r w:rsidRPr="005F1F83">
        <w:rPr>
          <w:rFonts w:eastAsia="Calibri"/>
          <w:lang w:eastAsia="en-US"/>
        </w:rPr>
        <w:t xml:space="preserve">Note: </w:t>
      </w:r>
      <w:r w:rsidR="00E026D6" w:rsidRPr="00E026D6">
        <w:rPr>
          <w:rFonts w:eastAsia="Calibri"/>
          <w:lang w:eastAsia="en-US"/>
        </w:rPr>
        <w:t>Figures in parentheses are the percentage of all abortions provided within each district for that year. Percentage reported is a function of total abortions accessed.</w:t>
      </w:r>
    </w:p>
    <w:p w14:paraId="025345C7" w14:textId="6B41944C" w:rsidR="00F52619" w:rsidRDefault="00F52619" w:rsidP="00F52619"/>
    <w:p w14:paraId="3B72249C" w14:textId="77777777" w:rsidR="00E026D6" w:rsidRPr="005F1F83" w:rsidRDefault="00E026D6" w:rsidP="00E026D6">
      <w:pPr>
        <w:rPr>
          <w:rFonts w:eastAsia="Calibri"/>
          <w:lang w:eastAsia="en-US"/>
        </w:rPr>
      </w:pPr>
      <w:r w:rsidRPr="005F1F83">
        <w:rPr>
          <w:rFonts w:eastAsia="Calibri"/>
          <w:lang w:eastAsia="en-US"/>
        </w:rPr>
        <w:t xml:space="preserve">Early surgical abortion services can be provided by an appropriately trained GP or midwife. The New Zealand College of Sexual and Reproductive Health (NZCSRH) reports that 44% of the 214 health practitioners who had completed their training (as </w:t>
      </w:r>
      <w:proofErr w:type="gramStart"/>
      <w:r w:rsidRPr="005F1F83">
        <w:rPr>
          <w:rFonts w:eastAsia="Calibri"/>
          <w:lang w:eastAsia="en-US"/>
        </w:rPr>
        <w:t>at</w:t>
      </w:r>
      <w:proofErr w:type="gramEnd"/>
      <w:r w:rsidRPr="005F1F83">
        <w:rPr>
          <w:rFonts w:eastAsia="Calibri"/>
          <w:lang w:eastAsia="en-US"/>
        </w:rPr>
        <w:t xml:space="preserve"> 30 October 2024) also completed the ESA module. However, the Ministry has not yet found evidence of an uptake outside of the traditional settings for ESA and recommends that Health New Zealand supports this practice within primary care settings.</w:t>
      </w:r>
    </w:p>
    <w:p w14:paraId="257F6F48" w14:textId="16DC3C8A" w:rsidR="006A5099" w:rsidRDefault="006A5099" w:rsidP="006A5099">
      <w:pPr>
        <w:pStyle w:val="Heading2"/>
      </w:pPr>
      <w:bookmarkStart w:id="93" w:name="_Toc195016570"/>
      <w:r w:rsidRPr="006A5099">
        <w:t>Later surgical abortion</w:t>
      </w:r>
      <w:bookmarkEnd w:id="93"/>
    </w:p>
    <w:p w14:paraId="7FF1564E" w14:textId="14A66870" w:rsidR="00E026D6" w:rsidRDefault="00E026D6" w:rsidP="007E5D11">
      <w:pPr>
        <w:rPr>
          <w:rFonts w:eastAsia="Calibri"/>
          <w:lang w:eastAsia="en-US"/>
        </w:rPr>
      </w:pPr>
      <w:r w:rsidRPr="005F1F83">
        <w:rPr>
          <w:rFonts w:eastAsia="Calibri"/>
          <w:lang w:eastAsia="en-US"/>
        </w:rPr>
        <w:t xml:space="preserve">Surgical abortion provision is critical to ensuring timely and accessible care, especially for later gestation abortion: 71% of all </w:t>
      </w:r>
      <w:proofErr w:type="gramStart"/>
      <w:r w:rsidRPr="005F1F83">
        <w:rPr>
          <w:rFonts w:eastAsia="Calibri"/>
          <w:lang w:eastAsia="en-US"/>
        </w:rPr>
        <w:t>second-trimester</w:t>
      </w:r>
      <w:proofErr w:type="gramEnd"/>
      <w:r w:rsidRPr="005F1F83">
        <w:rPr>
          <w:rFonts w:eastAsia="Calibri"/>
          <w:lang w:eastAsia="en-US"/>
        </w:rPr>
        <w:t xml:space="preserve"> (here referred to as 13 to 26 weeks) abortions were provided surgically in 2024. The current workforce is small and dedicated to ensuring provision. However, it does not have the support it would gain from a nationally consistent approach and direction, </w:t>
      </w:r>
      <w:r>
        <w:rPr>
          <w:rFonts w:eastAsia="Calibri"/>
          <w:lang w:eastAsia="en-US"/>
        </w:rPr>
        <w:t>along with</w:t>
      </w:r>
      <w:r w:rsidRPr="005F1F83">
        <w:rPr>
          <w:rFonts w:eastAsia="Calibri"/>
          <w:lang w:eastAsia="en-US"/>
        </w:rPr>
        <w:t xml:space="preserve"> a clear training pathway.</w:t>
      </w:r>
    </w:p>
    <w:p w14:paraId="4F014669" w14:textId="77777777" w:rsidR="00E026D6" w:rsidRPr="005F1F83" w:rsidRDefault="00E026D6" w:rsidP="007E5D11">
      <w:pPr>
        <w:rPr>
          <w:rFonts w:eastAsia="Calibri"/>
          <w:lang w:eastAsia="en-US"/>
        </w:rPr>
      </w:pPr>
    </w:p>
    <w:p w14:paraId="6888E9E4" w14:textId="7EF70D0C" w:rsidR="00E026D6" w:rsidRDefault="00E026D6" w:rsidP="007E5D11">
      <w:pPr>
        <w:rPr>
          <w:rFonts w:eastAsia="Calibri"/>
          <w:lang w:eastAsia="en-US"/>
        </w:rPr>
      </w:pPr>
      <w:r w:rsidRPr="005F1F83">
        <w:rPr>
          <w:rFonts w:eastAsia="Calibri"/>
          <w:lang w:eastAsia="en-US"/>
        </w:rPr>
        <w:t>Health practitioners who offer later gestation surgical abortions are located at some of the main facilities providing abortion care. However, the Ministry is aware of some hospitals declining to provide this service even though willing practitioners are reportedly available.</w:t>
      </w:r>
    </w:p>
    <w:p w14:paraId="66BC7C91" w14:textId="77777777" w:rsidR="00E026D6" w:rsidRPr="005F1F83" w:rsidRDefault="00E026D6" w:rsidP="007E5D11">
      <w:pPr>
        <w:rPr>
          <w:rFonts w:eastAsia="Calibri"/>
          <w:lang w:eastAsia="en-US"/>
        </w:rPr>
      </w:pPr>
    </w:p>
    <w:p w14:paraId="6781BDE5" w14:textId="27531FC3" w:rsidR="00E026D6" w:rsidRDefault="00E026D6" w:rsidP="007E5D11">
      <w:pPr>
        <w:rPr>
          <w:rFonts w:eastAsia="Calibri"/>
          <w:lang w:eastAsia="en-US"/>
        </w:rPr>
      </w:pPr>
      <w:r w:rsidRPr="005F1F83">
        <w:rPr>
          <w:rFonts w:eastAsia="Calibri"/>
          <w:lang w:eastAsia="en-US"/>
        </w:rPr>
        <w:t>While the percentage of second-trimester surgical abortions has declined across most ethnic groups since 2020, the number of all second-trimester abortions has increased, and the number of second-trimester surgical abortions ha</w:t>
      </w:r>
      <w:r>
        <w:rPr>
          <w:rFonts w:eastAsia="Calibri"/>
          <w:lang w:eastAsia="en-US"/>
        </w:rPr>
        <w:t>s</w:t>
      </w:r>
      <w:r w:rsidRPr="005F1F83">
        <w:rPr>
          <w:rFonts w:eastAsia="Calibri"/>
          <w:lang w:eastAsia="en-US"/>
        </w:rPr>
        <w:t xml:space="preserve"> remained generally stable. </w:t>
      </w:r>
      <w:r w:rsidRPr="005F1F83">
        <w:rPr>
          <w:rFonts w:eastAsia="Calibri"/>
          <w:lang w:eastAsia="en-US"/>
        </w:rPr>
        <w:fldChar w:fldCharType="begin"/>
      </w:r>
      <w:r w:rsidRPr="005F1F83">
        <w:rPr>
          <w:rFonts w:eastAsia="Calibri"/>
          <w:lang w:eastAsia="en-US"/>
        </w:rPr>
        <w:instrText xml:space="preserve"> REF _Ref192232437 \h </w:instrText>
      </w:r>
      <w:r w:rsidRPr="005F1F83">
        <w:rPr>
          <w:rFonts w:eastAsia="Calibri"/>
          <w:lang w:eastAsia="en-US"/>
        </w:rPr>
      </w:r>
      <w:r w:rsidRPr="005F1F83">
        <w:rPr>
          <w:rFonts w:eastAsia="Calibri"/>
          <w:lang w:eastAsia="en-US"/>
        </w:rPr>
        <w:fldChar w:fldCharType="separate"/>
      </w:r>
      <w:r w:rsidR="00974F51" w:rsidRPr="005F1F83">
        <w:rPr>
          <w:rFonts w:eastAsia="Calibri"/>
          <w:lang w:eastAsia="en-US"/>
        </w:rPr>
        <w:t xml:space="preserve">Table </w:t>
      </w:r>
      <w:r w:rsidR="00974F51">
        <w:rPr>
          <w:rFonts w:eastAsia="Calibri"/>
          <w:noProof/>
          <w:lang w:eastAsia="en-US"/>
        </w:rPr>
        <w:t>8</w:t>
      </w:r>
      <w:r w:rsidRPr="005F1F83">
        <w:rPr>
          <w:rFonts w:eastAsia="Calibri"/>
          <w:lang w:eastAsia="en-US"/>
        </w:rPr>
        <w:fldChar w:fldCharType="end"/>
      </w:r>
      <w:r w:rsidRPr="005F1F83">
        <w:rPr>
          <w:rFonts w:eastAsia="Calibri"/>
          <w:lang w:eastAsia="en-US"/>
        </w:rPr>
        <w:t xml:space="preserve"> outlines the number of abortions provided at 13 to 26 weeks’ gestation (surgical and total) by prioritised ethnicity, along with the percentage of the total number of abortions that these figures represent within each ethnic group. </w:t>
      </w:r>
    </w:p>
    <w:p w14:paraId="73E5F7ED" w14:textId="77777777" w:rsidR="00E026D6" w:rsidRPr="005F1F83" w:rsidRDefault="00E026D6" w:rsidP="007E5D11">
      <w:pPr>
        <w:rPr>
          <w:rFonts w:eastAsia="Calibri"/>
          <w:lang w:eastAsia="en-US"/>
        </w:rPr>
      </w:pPr>
    </w:p>
    <w:p w14:paraId="775EF3DF" w14:textId="0C1FB633" w:rsidR="00E026D6" w:rsidRDefault="00E026D6" w:rsidP="007E5D11">
      <w:pPr>
        <w:rPr>
          <w:rFonts w:eastAsia="Calibri"/>
          <w:lang w:eastAsia="en-US"/>
        </w:rPr>
      </w:pPr>
      <w:r w:rsidRPr="005F1F83">
        <w:rPr>
          <w:rFonts w:eastAsia="Calibri"/>
          <w:lang w:eastAsia="en-US"/>
        </w:rPr>
        <w:t xml:space="preserve">Additionally, the proportion of all </w:t>
      </w:r>
      <w:proofErr w:type="gramStart"/>
      <w:r w:rsidRPr="005F1F83">
        <w:rPr>
          <w:rFonts w:eastAsia="Calibri"/>
          <w:lang w:eastAsia="en-US"/>
        </w:rPr>
        <w:t>second-trimester</w:t>
      </w:r>
      <w:proofErr w:type="gramEnd"/>
      <w:r w:rsidRPr="005F1F83">
        <w:rPr>
          <w:rFonts w:eastAsia="Calibri"/>
          <w:lang w:eastAsia="en-US"/>
        </w:rPr>
        <w:t xml:space="preserve"> (total and surgical) abortions varies widely across districts and to some extent between regions. These services are entirely absent in </w:t>
      </w:r>
      <w:r w:rsidRPr="00DA7F44">
        <w:rPr>
          <w:rFonts w:eastAsia="Calibri"/>
          <w:lang w:eastAsia="en-US"/>
        </w:rPr>
        <w:t>some districts (</w:t>
      </w:r>
      <w:r w:rsidRPr="00DA7F44">
        <w:rPr>
          <w:rFonts w:eastAsia="Calibri"/>
          <w:lang w:eastAsia="en-US"/>
        </w:rPr>
        <w:fldChar w:fldCharType="begin"/>
      </w:r>
      <w:r w:rsidRPr="00DA7F44">
        <w:rPr>
          <w:rFonts w:eastAsia="Calibri"/>
          <w:lang w:eastAsia="en-US"/>
        </w:rPr>
        <w:instrText xml:space="preserve"> REF _Ref192339892 \h  \* MERGEFORMAT </w:instrText>
      </w:r>
      <w:r w:rsidRPr="00DA7F44">
        <w:rPr>
          <w:rFonts w:eastAsia="Calibri"/>
          <w:lang w:eastAsia="en-US"/>
        </w:rPr>
      </w:r>
      <w:r w:rsidRPr="00DA7F44">
        <w:rPr>
          <w:rFonts w:eastAsia="Calibri"/>
          <w:lang w:eastAsia="en-US"/>
        </w:rPr>
        <w:fldChar w:fldCharType="separate"/>
      </w:r>
      <w:r w:rsidR="00974F51" w:rsidRPr="005F1F83">
        <w:rPr>
          <w:rFonts w:eastAsia="Calibri"/>
          <w:lang w:eastAsia="en-US"/>
        </w:rPr>
        <w:t xml:space="preserve">Table </w:t>
      </w:r>
      <w:r w:rsidR="00974F51">
        <w:rPr>
          <w:rFonts w:eastAsia="Calibri"/>
          <w:lang w:eastAsia="en-US"/>
        </w:rPr>
        <w:t>9</w:t>
      </w:r>
      <w:r w:rsidRPr="00DA7F44">
        <w:rPr>
          <w:rFonts w:eastAsia="Calibri"/>
          <w:lang w:eastAsia="en-US"/>
        </w:rPr>
        <w:fldChar w:fldCharType="end"/>
      </w:r>
      <w:r w:rsidRPr="00DA7F44">
        <w:rPr>
          <w:rFonts w:eastAsia="Calibri"/>
          <w:lang w:eastAsia="en-US"/>
        </w:rPr>
        <w:t>). This</w:t>
      </w:r>
      <w:r w:rsidRPr="005F1F83">
        <w:rPr>
          <w:rFonts w:eastAsia="Calibri"/>
          <w:lang w:eastAsia="en-US"/>
        </w:rPr>
        <w:t xml:space="preserve"> creates a high burden both on </w:t>
      </w:r>
      <w:r w:rsidR="00E66B2F">
        <w:t>women</w:t>
      </w:r>
      <w:r w:rsidR="00E66B2F" w:rsidRPr="005F1F83" w:rsidDel="007F2FC3">
        <w:rPr>
          <w:rFonts w:eastAsia="Calibri"/>
          <w:lang w:eastAsia="en-US"/>
        </w:rPr>
        <w:t xml:space="preserve"> </w:t>
      </w:r>
      <w:r w:rsidR="00E66B2F" w:rsidRPr="005F1F83">
        <w:rPr>
          <w:rFonts w:eastAsia="Calibri"/>
          <w:lang w:eastAsia="en-US"/>
        </w:rPr>
        <w:t>who</w:t>
      </w:r>
      <w:r w:rsidRPr="005F1F83">
        <w:rPr>
          <w:rFonts w:eastAsia="Calibri"/>
          <w:lang w:eastAsia="en-US"/>
        </w:rPr>
        <w:t xml:space="preserve"> must travel long distances to access services, and on the limited workforce providing second-trimester abortion services to the</w:t>
      </w:r>
      <w:r w:rsidR="007F2FC3">
        <w:rPr>
          <w:rFonts w:eastAsia="Calibri"/>
          <w:lang w:eastAsia="en-US"/>
        </w:rPr>
        <w:t>m</w:t>
      </w:r>
      <w:r w:rsidRPr="005F1F83">
        <w:rPr>
          <w:rFonts w:eastAsia="Calibri"/>
          <w:lang w:eastAsia="en-US"/>
        </w:rPr>
        <w:t>.</w:t>
      </w:r>
    </w:p>
    <w:p w14:paraId="3BE1A542" w14:textId="77777777" w:rsidR="00E026D6" w:rsidRPr="005F1F83" w:rsidRDefault="00E026D6" w:rsidP="007E5D11">
      <w:pPr>
        <w:rPr>
          <w:rFonts w:eastAsia="Calibri"/>
          <w:lang w:eastAsia="en-US"/>
        </w:rPr>
      </w:pPr>
    </w:p>
    <w:p w14:paraId="10BEB19E" w14:textId="70797712" w:rsidR="00E026D6" w:rsidRPr="005F1F83" w:rsidRDefault="00E026D6" w:rsidP="00745103">
      <w:pPr>
        <w:pStyle w:val="Table"/>
        <w:spacing w:before="0"/>
        <w:rPr>
          <w:rFonts w:eastAsia="Calibri"/>
          <w:lang w:eastAsia="en-US"/>
        </w:rPr>
      </w:pPr>
      <w:bookmarkStart w:id="94" w:name="_Ref192232437"/>
      <w:bookmarkStart w:id="95" w:name="_Toc192349330"/>
      <w:bookmarkStart w:id="96" w:name="_Toc195016601"/>
      <w:r w:rsidRPr="005F1F83">
        <w:rPr>
          <w:rFonts w:eastAsia="Calibri"/>
          <w:lang w:eastAsia="en-US"/>
        </w:rPr>
        <w:t xml:space="preserve">Table </w:t>
      </w:r>
      <w:r w:rsidRPr="005F1F83">
        <w:rPr>
          <w:rFonts w:eastAsia="Calibri"/>
          <w:lang w:eastAsia="en-US"/>
        </w:rPr>
        <w:fldChar w:fldCharType="begin"/>
      </w:r>
      <w:r w:rsidRPr="005F1F83">
        <w:rPr>
          <w:rFonts w:eastAsia="Calibri"/>
          <w:lang w:eastAsia="en-US"/>
        </w:rPr>
        <w:instrText xml:space="preserve"> SEQ Table \* ARABIC </w:instrText>
      </w:r>
      <w:r w:rsidRPr="005F1F83">
        <w:rPr>
          <w:rFonts w:eastAsia="Calibri"/>
          <w:lang w:eastAsia="en-US"/>
        </w:rPr>
        <w:fldChar w:fldCharType="separate"/>
      </w:r>
      <w:r w:rsidR="00974F51">
        <w:rPr>
          <w:rFonts w:eastAsia="Calibri"/>
          <w:noProof/>
          <w:lang w:eastAsia="en-US"/>
        </w:rPr>
        <w:t>8</w:t>
      </w:r>
      <w:r w:rsidRPr="005F1F83">
        <w:rPr>
          <w:rFonts w:eastAsia="Calibri"/>
          <w:lang w:eastAsia="en-US"/>
        </w:rPr>
        <w:fldChar w:fldCharType="end"/>
      </w:r>
      <w:bookmarkEnd w:id="94"/>
      <w:r w:rsidRPr="005F1F83">
        <w:rPr>
          <w:rFonts w:eastAsia="Calibri"/>
          <w:lang w:eastAsia="en-US"/>
        </w:rPr>
        <w:t xml:space="preserve">: Number and percentage of surgical and total abortions provided at 13 to 26 weeks’ gestation by prioritised ethnicity, 2020 and </w:t>
      </w:r>
      <w:proofErr w:type="gramStart"/>
      <w:r w:rsidRPr="005F1F83">
        <w:rPr>
          <w:rFonts w:eastAsia="Calibri"/>
          <w:lang w:eastAsia="en-US"/>
        </w:rPr>
        <w:t>2024</w:t>
      </w:r>
      <w:bookmarkEnd w:id="95"/>
      <w:bookmarkEnd w:id="96"/>
      <w:proofErr w:type="gramEnd"/>
    </w:p>
    <w:tbl>
      <w:tblPr>
        <w:tblStyle w:val="TableGrid"/>
        <w:tblW w:w="8217"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1413"/>
        <w:gridCol w:w="1701"/>
        <w:gridCol w:w="1701"/>
        <w:gridCol w:w="1701"/>
        <w:gridCol w:w="1701"/>
      </w:tblGrid>
      <w:tr w:rsidR="006A5099" w:rsidRPr="006A5099" w14:paraId="32B8B248" w14:textId="77777777" w:rsidTr="006A5099">
        <w:tc>
          <w:tcPr>
            <w:tcW w:w="1413" w:type="dxa"/>
            <w:vMerge w:val="restart"/>
            <w:tcBorders>
              <w:top w:val="nil"/>
              <w:bottom w:val="nil"/>
            </w:tcBorders>
            <w:shd w:val="clear" w:color="auto" w:fill="D9D9D9" w:themeFill="background1" w:themeFillShade="D9"/>
          </w:tcPr>
          <w:p w14:paraId="2E98EDA1" w14:textId="77777777" w:rsidR="006A5099" w:rsidRPr="006A5099" w:rsidRDefault="006A5099" w:rsidP="006A5099">
            <w:pPr>
              <w:pStyle w:val="TableText"/>
              <w:rPr>
                <w:rFonts w:eastAsia="Calibri"/>
                <w:b/>
                <w:bCs/>
              </w:rPr>
            </w:pPr>
            <w:r w:rsidRPr="006A5099">
              <w:rPr>
                <w:rFonts w:eastAsia="Calibri"/>
                <w:b/>
                <w:bCs/>
              </w:rPr>
              <w:t>Ethnicity</w:t>
            </w:r>
          </w:p>
        </w:tc>
        <w:tc>
          <w:tcPr>
            <w:tcW w:w="3402" w:type="dxa"/>
            <w:gridSpan w:val="2"/>
            <w:tcBorders>
              <w:top w:val="nil"/>
              <w:bottom w:val="nil"/>
            </w:tcBorders>
            <w:shd w:val="clear" w:color="auto" w:fill="D9D9D9" w:themeFill="background1" w:themeFillShade="D9"/>
          </w:tcPr>
          <w:p w14:paraId="3BE0F79B" w14:textId="77777777" w:rsidR="006A5099" w:rsidRPr="006A5099" w:rsidRDefault="006A5099" w:rsidP="00E026D6">
            <w:pPr>
              <w:pStyle w:val="TableText"/>
              <w:jc w:val="center"/>
              <w:rPr>
                <w:rFonts w:eastAsia="Calibri"/>
                <w:b/>
                <w:bCs/>
              </w:rPr>
            </w:pPr>
            <w:r w:rsidRPr="006A5099">
              <w:rPr>
                <w:rFonts w:eastAsia="Calibri"/>
                <w:b/>
                <w:bCs/>
              </w:rPr>
              <w:t>2020</w:t>
            </w:r>
          </w:p>
        </w:tc>
        <w:tc>
          <w:tcPr>
            <w:tcW w:w="3402" w:type="dxa"/>
            <w:gridSpan w:val="2"/>
            <w:tcBorders>
              <w:top w:val="nil"/>
              <w:bottom w:val="nil"/>
            </w:tcBorders>
            <w:shd w:val="clear" w:color="auto" w:fill="D9D9D9" w:themeFill="background1" w:themeFillShade="D9"/>
          </w:tcPr>
          <w:p w14:paraId="4087BF0A" w14:textId="77777777" w:rsidR="006A5099" w:rsidRPr="006A5099" w:rsidRDefault="006A5099" w:rsidP="00E026D6">
            <w:pPr>
              <w:pStyle w:val="TableText"/>
              <w:jc w:val="center"/>
              <w:rPr>
                <w:rFonts w:eastAsia="Calibri"/>
                <w:b/>
                <w:bCs/>
              </w:rPr>
            </w:pPr>
            <w:r w:rsidRPr="006A5099">
              <w:rPr>
                <w:rFonts w:eastAsia="Calibri"/>
                <w:b/>
                <w:bCs/>
              </w:rPr>
              <w:t>2024</w:t>
            </w:r>
          </w:p>
        </w:tc>
      </w:tr>
      <w:tr w:rsidR="006A5099" w:rsidRPr="006A5099" w14:paraId="1E696527" w14:textId="77777777" w:rsidTr="006A5099">
        <w:tc>
          <w:tcPr>
            <w:tcW w:w="1413" w:type="dxa"/>
            <w:vMerge/>
            <w:tcBorders>
              <w:top w:val="nil"/>
              <w:bottom w:val="nil"/>
            </w:tcBorders>
            <w:shd w:val="clear" w:color="auto" w:fill="D9D9D9" w:themeFill="background1" w:themeFillShade="D9"/>
          </w:tcPr>
          <w:p w14:paraId="729C5137" w14:textId="77777777" w:rsidR="006A5099" w:rsidRPr="006A5099" w:rsidRDefault="006A5099" w:rsidP="006A5099">
            <w:pPr>
              <w:pStyle w:val="TableText"/>
              <w:rPr>
                <w:rFonts w:eastAsia="Calibri"/>
                <w:b/>
                <w:bCs/>
              </w:rPr>
            </w:pPr>
          </w:p>
        </w:tc>
        <w:tc>
          <w:tcPr>
            <w:tcW w:w="1701" w:type="dxa"/>
            <w:tcBorders>
              <w:top w:val="nil"/>
              <w:bottom w:val="nil"/>
            </w:tcBorders>
            <w:shd w:val="clear" w:color="auto" w:fill="D9D9D9" w:themeFill="background1" w:themeFillShade="D9"/>
          </w:tcPr>
          <w:p w14:paraId="71E49BBF" w14:textId="77777777" w:rsidR="006A5099" w:rsidRPr="006A5099" w:rsidRDefault="006A5099" w:rsidP="00E026D6">
            <w:pPr>
              <w:pStyle w:val="TableText"/>
              <w:jc w:val="right"/>
              <w:rPr>
                <w:rFonts w:eastAsia="Calibri"/>
                <w:b/>
                <w:bCs/>
              </w:rPr>
            </w:pPr>
            <w:r w:rsidRPr="006A5099">
              <w:rPr>
                <w:rFonts w:eastAsia="Calibri"/>
                <w:b/>
                <w:bCs/>
              </w:rPr>
              <w:t>Surgical (%)</w:t>
            </w:r>
          </w:p>
        </w:tc>
        <w:tc>
          <w:tcPr>
            <w:tcW w:w="1701" w:type="dxa"/>
            <w:tcBorders>
              <w:top w:val="nil"/>
              <w:bottom w:val="nil"/>
            </w:tcBorders>
            <w:shd w:val="clear" w:color="auto" w:fill="D9D9D9" w:themeFill="background1" w:themeFillShade="D9"/>
          </w:tcPr>
          <w:p w14:paraId="6A37D676" w14:textId="45B6CB70" w:rsidR="006A5099" w:rsidRPr="006A5099" w:rsidRDefault="006A5099" w:rsidP="00E026D6">
            <w:pPr>
              <w:pStyle w:val="TableText"/>
              <w:jc w:val="right"/>
              <w:rPr>
                <w:rFonts w:eastAsia="Calibri"/>
                <w:b/>
                <w:bCs/>
              </w:rPr>
            </w:pPr>
            <w:r w:rsidRPr="006A5099">
              <w:rPr>
                <w:rFonts w:eastAsia="Calibri"/>
                <w:b/>
                <w:bCs/>
              </w:rPr>
              <w:t>Total (%)</w:t>
            </w:r>
          </w:p>
        </w:tc>
        <w:tc>
          <w:tcPr>
            <w:tcW w:w="1701" w:type="dxa"/>
            <w:tcBorders>
              <w:top w:val="nil"/>
              <w:bottom w:val="nil"/>
            </w:tcBorders>
            <w:shd w:val="clear" w:color="auto" w:fill="D9D9D9" w:themeFill="background1" w:themeFillShade="D9"/>
          </w:tcPr>
          <w:p w14:paraId="7B2B523E" w14:textId="77777777" w:rsidR="006A5099" w:rsidRPr="006A5099" w:rsidRDefault="006A5099" w:rsidP="00E026D6">
            <w:pPr>
              <w:pStyle w:val="TableText"/>
              <w:jc w:val="right"/>
              <w:rPr>
                <w:rFonts w:eastAsia="Calibri"/>
                <w:b/>
                <w:bCs/>
              </w:rPr>
            </w:pPr>
            <w:r w:rsidRPr="006A5099">
              <w:rPr>
                <w:rFonts w:eastAsia="Calibri"/>
                <w:b/>
                <w:bCs/>
              </w:rPr>
              <w:t>Surgical (%)</w:t>
            </w:r>
          </w:p>
        </w:tc>
        <w:tc>
          <w:tcPr>
            <w:tcW w:w="1701" w:type="dxa"/>
            <w:tcBorders>
              <w:top w:val="nil"/>
              <w:bottom w:val="nil"/>
            </w:tcBorders>
            <w:shd w:val="clear" w:color="auto" w:fill="D9D9D9" w:themeFill="background1" w:themeFillShade="D9"/>
          </w:tcPr>
          <w:p w14:paraId="47FF0B82" w14:textId="10A763DA" w:rsidR="006A5099" w:rsidRPr="006A5099" w:rsidRDefault="006A5099" w:rsidP="00E026D6">
            <w:pPr>
              <w:pStyle w:val="TableText"/>
              <w:jc w:val="right"/>
              <w:rPr>
                <w:rFonts w:eastAsia="Calibri"/>
                <w:b/>
                <w:bCs/>
              </w:rPr>
            </w:pPr>
            <w:r w:rsidRPr="006A5099">
              <w:rPr>
                <w:rFonts w:eastAsia="Calibri"/>
                <w:b/>
                <w:bCs/>
              </w:rPr>
              <w:t>Total (%)</w:t>
            </w:r>
          </w:p>
        </w:tc>
      </w:tr>
      <w:tr w:rsidR="006A5099" w:rsidRPr="006A5099" w14:paraId="0FBA3120" w14:textId="77777777" w:rsidTr="006A5099">
        <w:tc>
          <w:tcPr>
            <w:tcW w:w="1413" w:type="dxa"/>
            <w:tcBorders>
              <w:top w:val="nil"/>
            </w:tcBorders>
          </w:tcPr>
          <w:p w14:paraId="4C5A445C" w14:textId="77777777" w:rsidR="006A5099" w:rsidRPr="006A5099" w:rsidRDefault="006A5099" w:rsidP="006A5099">
            <w:pPr>
              <w:pStyle w:val="TableText"/>
              <w:rPr>
                <w:rFonts w:eastAsia="Calibri"/>
              </w:rPr>
            </w:pPr>
            <w:r w:rsidRPr="006A5099">
              <w:rPr>
                <w:rFonts w:eastAsia="Calibri"/>
              </w:rPr>
              <w:t>Māori</w:t>
            </w:r>
          </w:p>
        </w:tc>
        <w:tc>
          <w:tcPr>
            <w:tcW w:w="1701" w:type="dxa"/>
            <w:tcBorders>
              <w:top w:val="nil"/>
            </w:tcBorders>
            <w:vAlign w:val="bottom"/>
          </w:tcPr>
          <w:p w14:paraId="3DFD6A4B" w14:textId="77777777" w:rsidR="006A5099" w:rsidRPr="006A5099" w:rsidRDefault="006A5099" w:rsidP="00E026D6">
            <w:pPr>
              <w:pStyle w:val="TableText"/>
              <w:jc w:val="right"/>
              <w:rPr>
                <w:rFonts w:eastAsia="Calibri"/>
              </w:rPr>
            </w:pPr>
            <w:r w:rsidRPr="006A5099">
              <w:t>253 (8.8)</w:t>
            </w:r>
          </w:p>
        </w:tc>
        <w:tc>
          <w:tcPr>
            <w:tcW w:w="1701" w:type="dxa"/>
            <w:tcBorders>
              <w:top w:val="nil"/>
            </w:tcBorders>
          </w:tcPr>
          <w:p w14:paraId="3DE3962A" w14:textId="77777777" w:rsidR="006A5099" w:rsidRPr="006A5099" w:rsidRDefault="006A5099" w:rsidP="00E026D6">
            <w:pPr>
              <w:pStyle w:val="TableText"/>
              <w:jc w:val="right"/>
              <w:rPr>
                <w:rFonts w:eastAsia="Calibri"/>
              </w:rPr>
            </w:pPr>
            <w:r w:rsidRPr="006A5099">
              <w:rPr>
                <w:rFonts w:eastAsia="Calibri"/>
              </w:rPr>
              <w:t>286 (9.9)</w:t>
            </w:r>
          </w:p>
        </w:tc>
        <w:tc>
          <w:tcPr>
            <w:tcW w:w="1701" w:type="dxa"/>
            <w:tcBorders>
              <w:top w:val="nil"/>
            </w:tcBorders>
          </w:tcPr>
          <w:p w14:paraId="5F0497B5" w14:textId="77777777" w:rsidR="006A5099" w:rsidRPr="006A5099" w:rsidRDefault="006A5099" w:rsidP="00E026D6">
            <w:pPr>
              <w:pStyle w:val="TableText"/>
              <w:jc w:val="right"/>
              <w:rPr>
                <w:rFonts w:eastAsia="Calibri"/>
              </w:rPr>
            </w:pPr>
            <w:r w:rsidRPr="006A5099">
              <w:t>255 (5.6%)</w:t>
            </w:r>
          </w:p>
        </w:tc>
        <w:tc>
          <w:tcPr>
            <w:tcW w:w="1701" w:type="dxa"/>
            <w:tcBorders>
              <w:top w:val="nil"/>
            </w:tcBorders>
          </w:tcPr>
          <w:p w14:paraId="4E3CDB69" w14:textId="77777777" w:rsidR="006A5099" w:rsidRPr="006A5099" w:rsidRDefault="006A5099" w:rsidP="00E026D6">
            <w:pPr>
              <w:pStyle w:val="TableText"/>
              <w:jc w:val="right"/>
              <w:rPr>
                <w:rFonts w:eastAsia="Calibri"/>
              </w:rPr>
            </w:pPr>
            <w:r w:rsidRPr="006A5099">
              <w:rPr>
                <w:rFonts w:eastAsia="Calibri"/>
              </w:rPr>
              <w:t>299 (6.6)</w:t>
            </w:r>
          </w:p>
        </w:tc>
      </w:tr>
      <w:tr w:rsidR="006A5099" w:rsidRPr="006A5099" w14:paraId="606D0DD2" w14:textId="77777777" w:rsidTr="006A5099">
        <w:tc>
          <w:tcPr>
            <w:tcW w:w="1413" w:type="dxa"/>
          </w:tcPr>
          <w:p w14:paraId="74FB5444" w14:textId="77777777" w:rsidR="006A5099" w:rsidRPr="006A5099" w:rsidRDefault="006A5099" w:rsidP="006A5099">
            <w:pPr>
              <w:pStyle w:val="TableText"/>
              <w:rPr>
                <w:rFonts w:eastAsia="Calibri"/>
              </w:rPr>
            </w:pPr>
            <w:r w:rsidRPr="006A5099">
              <w:rPr>
                <w:rFonts w:eastAsia="Calibri"/>
              </w:rPr>
              <w:t>Pacific</w:t>
            </w:r>
          </w:p>
        </w:tc>
        <w:tc>
          <w:tcPr>
            <w:tcW w:w="1701" w:type="dxa"/>
            <w:vAlign w:val="bottom"/>
          </w:tcPr>
          <w:p w14:paraId="68DCA505" w14:textId="77777777" w:rsidR="006A5099" w:rsidRPr="006A5099" w:rsidRDefault="006A5099" w:rsidP="00E026D6">
            <w:pPr>
              <w:pStyle w:val="TableText"/>
              <w:jc w:val="right"/>
              <w:rPr>
                <w:rFonts w:eastAsia="Calibri"/>
              </w:rPr>
            </w:pPr>
            <w:r w:rsidRPr="006A5099">
              <w:t>90 (9.5)</w:t>
            </w:r>
          </w:p>
        </w:tc>
        <w:tc>
          <w:tcPr>
            <w:tcW w:w="1701" w:type="dxa"/>
          </w:tcPr>
          <w:p w14:paraId="73B39571" w14:textId="77777777" w:rsidR="006A5099" w:rsidRPr="006A5099" w:rsidRDefault="006A5099" w:rsidP="00E026D6">
            <w:pPr>
              <w:pStyle w:val="TableText"/>
              <w:jc w:val="right"/>
              <w:rPr>
                <w:rFonts w:eastAsia="Calibri"/>
              </w:rPr>
            </w:pPr>
            <w:r w:rsidRPr="006A5099">
              <w:rPr>
                <w:rFonts w:eastAsia="Calibri"/>
              </w:rPr>
              <w:t>105 (11.1)</w:t>
            </w:r>
          </w:p>
        </w:tc>
        <w:tc>
          <w:tcPr>
            <w:tcW w:w="1701" w:type="dxa"/>
          </w:tcPr>
          <w:p w14:paraId="4B790E14" w14:textId="77777777" w:rsidR="006A5099" w:rsidRPr="006A5099" w:rsidRDefault="006A5099" w:rsidP="00E026D6">
            <w:pPr>
              <w:pStyle w:val="TableText"/>
              <w:jc w:val="right"/>
              <w:rPr>
                <w:rFonts w:eastAsia="Calibri"/>
              </w:rPr>
            </w:pPr>
            <w:r w:rsidRPr="006A5099">
              <w:t>99 (6.3%)</w:t>
            </w:r>
          </w:p>
        </w:tc>
        <w:tc>
          <w:tcPr>
            <w:tcW w:w="1701" w:type="dxa"/>
          </w:tcPr>
          <w:p w14:paraId="7E1E032F" w14:textId="77777777" w:rsidR="006A5099" w:rsidRPr="006A5099" w:rsidRDefault="006A5099" w:rsidP="00E026D6">
            <w:pPr>
              <w:pStyle w:val="TableText"/>
              <w:jc w:val="right"/>
              <w:rPr>
                <w:rFonts w:eastAsia="Calibri"/>
              </w:rPr>
            </w:pPr>
            <w:r w:rsidRPr="006A5099">
              <w:rPr>
                <w:rFonts w:eastAsia="Calibri"/>
              </w:rPr>
              <w:t>121 (7.7)</w:t>
            </w:r>
          </w:p>
        </w:tc>
      </w:tr>
      <w:tr w:rsidR="006A5099" w:rsidRPr="006A5099" w14:paraId="632A16B7" w14:textId="77777777" w:rsidTr="006A5099">
        <w:tc>
          <w:tcPr>
            <w:tcW w:w="1413" w:type="dxa"/>
          </w:tcPr>
          <w:p w14:paraId="52B812EB" w14:textId="77777777" w:rsidR="006A5099" w:rsidRPr="006A5099" w:rsidRDefault="006A5099" w:rsidP="006A5099">
            <w:pPr>
              <w:pStyle w:val="TableText"/>
              <w:rPr>
                <w:rFonts w:eastAsia="Calibri"/>
              </w:rPr>
            </w:pPr>
            <w:r w:rsidRPr="006A5099">
              <w:rPr>
                <w:rFonts w:eastAsia="Calibri"/>
              </w:rPr>
              <w:t>Asian</w:t>
            </w:r>
          </w:p>
        </w:tc>
        <w:tc>
          <w:tcPr>
            <w:tcW w:w="1701" w:type="dxa"/>
            <w:vAlign w:val="bottom"/>
          </w:tcPr>
          <w:p w14:paraId="7ABAB535" w14:textId="77777777" w:rsidR="006A5099" w:rsidRPr="006A5099" w:rsidRDefault="006A5099" w:rsidP="00E026D6">
            <w:pPr>
              <w:pStyle w:val="TableText"/>
              <w:jc w:val="right"/>
              <w:rPr>
                <w:rFonts w:eastAsia="Calibri"/>
              </w:rPr>
            </w:pPr>
            <w:r w:rsidRPr="006A5099">
              <w:t>79 (2.8)</w:t>
            </w:r>
          </w:p>
        </w:tc>
        <w:tc>
          <w:tcPr>
            <w:tcW w:w="1701" w:type="dxa"/>
          </w:tcPr>
          <w:p w14:paraId="67C6AB69" w14:textId="77777777" w:rsidR="006A5099" w:rsidRPr="006A5099" w:rsidRDefault="006A5099" w:rsidP="00E026D6">
            <w:pPr>
              <w:pStyle w:val="TableText"/>
              <w:jc w:val="right"/>
              <w:rPr>
                <w:rFonts w:eastAsia="Calibri"/>
              </w:rPr>
            </w:pPr>
            <w:r w:rsidRPr="006A5099">
              <w:rPr>
                <w:rFonts w:eastAsia="Calibri"/>
              </w:rPr>
              <w:t>156 (5.6)</w:t>
            </w:r>
          </w:p>
        </w:tc>
        <w:tc>
          <w:tcPr>
            <w:tcW w:w="1701" w:type="dxa"/>
          </w:tcPr>
          <w:p w14:paraId="4BAAD068" w14:textId="77777777" w:rsidR="006A5099" w:rsidRPr="006A5099" w:rsidRDefault="006A5099" w:rsidP="00E026D6">
            <w:pPr>
              <w:pStyle w:val="TableText"/>
              <w:jc w:val="right"/>
              <w:rPr>
                <w:rFonts w:eastAsia="Calibri"/>
              </w:rPr>
            </w:pPr>
            <w:r w:rsidRPr="006A5099">
              <w:t>121 (3.2%)</w:t>
            </w:r>
          </w:p>
        </w:tc>
        <w:tc>
          <w:tcPr>
            <w:tcW w:w="1701" w:type="dxa"/>
          </w:tcPr>
          <w:p w14:paraId="730A09E2" w14:textId="77777777" w:rsidR="006A5099" w:rsidRPr="006A5099" w:rsidRDefault="006A5099" w:rsidP="00E026D6">
            <w:pPr>
              <w:pStyle w:val="TableText"/>
              <w:jc w:val="right"/>
              <w:rPr>
                <w:rFonts w:eastAsia="Calibri"/>
              </w:rPr>
            </w:pPr>
            <w:r w:rsidRPr="006A5099">
              <w:rPr>
                <w:rFonts w:eastAsia="Calibri"/>
              </w:rPr>
              <w:t>209 (5.6)</w:t>
            </w:r>
          </w:p>
        </w:tc>
      </w:tr>
      <w:tr w:rsidR="006A5099" w:rsidRPr="006A5099" w14:paraId="19EE03D3" w14:textId="77777777" w:rsidTr="006A5099">
        <w:tc>
          <w:tcPr>
            <w:tcW w:w="1413" w:type="dxa"/>
          </w:tcPr>
          <w:p w14:paraId="60B64ECF" w14:textId="77777777" w:rsidR="006A5099" w:rsidRPr="006A5099" w:rsidRDefault="006A5099" w:rsidP="006A5099">
            <w:pPr>
              <w:pStyle w:val="TableText"/>
              <w:rPr>
                <w:rFonts w:eastAsia="Calibri"/>
              </w:rPr>
            </w:pPr>
            <w:r w:rsidRPr="006A5099">
              <w:rPr>
                <w:rFonts w:eastAsia="Calibri"/>
              </w:rPr>
              <w:t>Other</w:t>
            </w:r>
          </w:p>
        </w:tc>
        <w:tc>
          <w:tcPr>
            <w:tcW w:w="1701" w:type="dxa"/>
            <w:vAlign w:val="bottom"/>
          </w:tcPr>
          <w:p w14:paraId="4CFA3D5B" w14:textId="77777777" w:rsidR="006A5099" w:rsidRPr="006A5099" w:rsidRDefault="006A5099" w:rsidP="00E026D6">
            <w:pPr>
              <w:pStyle w:val="TableText"/>
              <w:jc w:val="right"/>
              <w:rPr>
                <w:rFonts w:eastAsia="Calibri"/>
              </w:rPr>
            </w:pPr>
            <w:r w:rsidRPr="006A5099">
              <w:t>308 (4.7)</w:t>
            </w:r>
          </w:p>
        </w:tc>
        <w:tc>
          <w:tcPr>
            <w:tcW w:w="1701" w:type="dxa"/>
          </w:tcPr>
          <w:p w14:paraId="3710A3F3" w14:textId="77777777" w:rsidR="006A5099" w:rsidRPr="006A5099" w:rsidRDefault="006A5099" w:rsidP="00E026D6">
            <w:pPr>
              <w:pStyle w:val="TableText"/>
              <w:jc w:val="right"/>
              <w:rPr>
                <w:rFonts w:eastAsia="Calibri"/>
              </w:rPr>
            </w:pPr>
            <w:r w:rsidRPr="006A5099">
              <w:rPr>
                <w:rFonts w:eastAsia="Calibri"/>
              </w:rPr>
              <w:t>439 (6.7)</w:t>
            </w:r>
          </w:p>
        </w:tc>
        <w:tc>
          <w:tcPr>
            <w:tcW w:w="1701" w:type="dxa"/>
          </w:tcPr>
          <w:p w14:paraId="146E7D98" w14:textId="77777777" w:rsidR="006A5099" w:rsidRPr="006A5099" w:rsidRDefault="006A5099" w:rsidP="00E026D6">
            <w:pPr>
              <w:pStyle w:val="TableText"/>
              <w:jc w:val="right"/>
              <w:rPr>
                <w:rFonts w:eastAsia="Calibri"/>
              </w:rPr>
            </w:pPr>
            <w:r w:rsidRPr="006A5099">
              <w:t>246 (3.4%)</w:t>
            </w:r>
          </w:p>
        </w:tc>
        <w:tc>
          <w:tcPr>
            <w:tcW w:w="1701" w:type="dxa"/>
          </w:tcPr>
          <w:p w14:paraId="6DD4DB4D" w14:textId="77777777" w:rsidR="006A5099" w:rsidRPr="006A5099" w:rsidRDefault="006A5099" w:rsidP="00E026D6">
            <w:pPr>
              <w:pStyle w:val="TableText"/>
              <w:jc w:val="right"/>
              <w:rPr>
                <w:rFonts w:eastAsia="Calibri"/>
              </w:rPr>
            </w:pPr>
            <w:r w:rsidRPr="006A5099">
              <w:rPr>
                <w:rFonts w:eastAsia="Calibri"/>
              </w:rPr>
              <w:t>389 (5.4)</w:t>
            </w:r>
          </w:p>
        </w:tc>
      </w:tr>
    </w:tbl>
    <w:p w14:paraId="5B156A07" w14:textId="69DD959B" w:rsidR="006A5099" w:rsidRDefault="006A5099" w:rsidP="006A5099">
      <w:pPr>
        <w:pStyle w:val="Note"/>
        <w:rPr>
          <w:rFonts w:eastAsia="Calibri"/>
          <w:lang w:eastAsia="en-US"/>
        </w:rPr>
      </w:pPr>
      <w:r w:rsidRPr="005F1F83">
        <w:rPr>
          <w:rFonts w:eastAsia="Calibri"/>
          <w:lang w:eastAsia="en-US"/>
        </w:rPr>
        <w:t xml:space="preserve">Note: </w:t>
      </w:r>
      <w:r w:rsidR="00E026D6" w:rsidRPr="00E026D6">
        <w:rPr>
          <w:rFonts w:eastAsia="Calibri"/>
          <w:lang w:eastAsia="en-US"/>
        </w:rPr>
        <w:t>Cases with missing ethnicity data are not included. Figures in parentheses are the percentage of all abortions provided in that year by prioritised ethnicity. Percentage reported is a function of total abortions accessed.</w:t>
      </w:r>
    </w:p>
    <w:p w14:paraId="3F9FE9EE" w14:textId="77777777" w:rsidR="006A5099" w:rsidRDefault="006A5099" w:rsidP="006A5099">
      <w:pPr>
        <w:rPr>
          <w:rFonts w:eastAsia="Calibri"/>
          <w:lang w:eastAsia="en-US"/>
        </w:rPr>
        <w:sectPr w:rsidR="006A5099" w:rsidSect="00CC19AA">
          <w:pgSz w:w="11907" w:h="16834" w:code="9"/>
          <w:pgMar w:top="1418" w:right="1701" w:bottom="1134" w:left="1843" w:header="284" w:footer="425" w:gutter="284"/>
          <w:cols w:space="720"/>
        </w:sectPr>
      </w:pPr>
    </w:p>
    <w:p w14:paraId="30460B8C" w14:textId="7D993505" w:rsidR="006A5099" w:rsidRPr="005F1F83" w:rsidRDefault="006A5099" w:rsidP="00CD6572">
      <w:pPr>
        <w:pStyle w:val="Table"/>
        <w:rPr>
          <w:rFonts w:eastAsia="Calibri"/>
          <w:lang w:eastAsia="en-US"/>
        </w:rPr>
      </w:pPr>
      <w:bookmarkStart w:id="97" w:name="_Ref192339892"/>
      <w:bookmarkStart w:id="98" w:name="_Toc192349331"/>
      <w:bookmarkStart w:id="99" w:name="_Toc195016602"/>
      <w:r w:rsidRPr="005F1F83">
        <w:rPr>
          <w:rFonts w:eastAsia="Calibri"/>
          <w:lang w:eastAsia="en-US"/>
        </w:rPr>
        <w:t xml:space="preserve">Table </w:t>
      </w:r>
      <w:r w:rsidRPr="005F1F83">
        <w:rPr>
          <w:rFonts w:eastAsia="Calibri"/>
          <w:lang w:eastAsia="en-US"/>
        </w:rPr>
        <w:fldChar w:fldCharType="begin"/>
      </w:r>
      <w:r w:rsidRPr="005F1F83">
        <w:rPr>
          <w:rFonts w:eastAsia="Calibri"/>
          <w:lang w:eastAsia="en-US"/>
        </w:rPr>
        <w:instrText xml:space="preserve"> SEQ Table \* ARABIC </w:instrText>
      </w:r>
      <w:r w:rsidRPr="005F1F83">
        <w:rPr>
          <w:rFonts w:eastAsia="Calibri"/>
          <w:lang w:eastAsia="en-US"/>
        </w:rPr>
        <w:fldChar w:fldCharType="separate"/>
      </w:r>
      <w:r w:rsidR="00974F51">
        <w:rPr>
          <w:rFonts w:eastAsia="Calibri"/>
          <w:noProof/>
          <w:lang w:eastAsia="en-US"/>
        </w:rPr>
        <w:t>9</w:t>
      </w:r>
      <w:r w:rsidRPr="005F1F83">
        <w:rPr>
          <w:rFonts w:eastAsia="Calibri"/>
          <w:lang w:eastAsia="en-US"/>
        </w:rPr>
        <w:fldChar w:fldCharType="end"/>
      </w:r>
      <w:bookmarkEnd w:id="97"/>
      <w:r w:rsidRPr="005F1F83">
        <w:rPr>
          <w:rFonts w:eastAsia="Calibri"/>
          <w:lang w:eastAsia="en-US"/>
        </w:rPr>
        <w:t xml:space="preserve">: </w:t>
      </w:r>
      <w:bookmarkEnd w:id="98"/>
      <w:r w:rsidR="00E026D6" w:rsidRPr="00E026D6">
        <w:rPr>
          <w:rFonts w:eastAsia="Calibri"/>
          <w:lang w:eastAsia="en-US"/>
        </w:rPr>
        <w:t xml:space="preserve">Number and percentage of surgical and total abortions provided during the second trimester (at 13 to 26 weeks’ gestation) by district of service, 2020, 2022 and </w:t>
      </w:r>
      <w:proofErr w:type="gramStart"/>
      <w:r w:rsidR="00E026D6" w:rsidRPr="00E026D6">
        <w:rPr>
          <w:rFonts w:eastAsia="Calibri"/>
          <w:lang w:eastAsia="en-US"/>
        </w:rPr>
        <w:t>2024</w:t>
      </w:r>
      <w:bookmarkEnd w:id="99"/>
      <w:proofErr w:type="gramEnd"/>
    </w:p>
    <w:tbl>
      <w:tblPr>
        <w:tblW w:w="8080" w:type="dxa"/>
        <w:tblBorders>
          <w:top w:val="single" w:sz="4" w:space="0" w:color="A6A6A6" w:themeColor="background1" w:themeShade="A6"/>
          <w:bottom w:val="single" w:sz="4" w:space="0" w:color="A6A6A6" w:themeColor="background1" w:themeShade="A6"/>
          <w:insideH w:val="single" w:sz="4" w:space="0" w:color="A6A6A6" w:themeColor="background1" w:themeShade="A6"/>
        </w:tblBorders>
        <w:tblLook w:val="04A0" w:firstRow="1" w:lastRow="0" w:firstColumn="1" w:lastColumn="0" w:noHBand="0" w:noVBand="1"/>
      </w:tblPr>
      <w:tblGrid>
        <w:gridCol w:w="1560"/>
        <w:gridCol w:w="1134"/>
        <w:gridCol w:w="992"/>
        <w:gridCol w:w="1134"/>
        <w:gridCol w:w="992"/>
        <w:gridCol w:w="1134"/>
        <w:gridCol w:w="1134"/>
      </w:tblGrid>
      <w:tr w:rsidR="006A5099" w:rsidRPr="005F1F83" w14:paraId="62A9086D" w14:textId="77777777" w:rsidTr="006A5099">
        <w:trPr>
          <w:trHeight w:val="291"/>
        </w:trPr>
        <w:tc>
          <w:tcPr>
            <w:tcW w:w="1560" w:type="dxa"/>
            <w:vMerge w:val="restart"/>
            <w:tcBorders>
              <w:top w:val="nil"/>
              <w:bottom w:val="nil"/>
            </w:tcBorders>
            <w:shd w:val="clear" w:color="auto" w:fill="D9D9D9" w:themeFill="background1" w:themeFillShade="D9"/>
            <w:noWrap/>
            <w:vAlign w:val="center"/>
            <w:hideMark/>
          </w:tcPr>
          <w:p w14:paraId="0A35D5A6" w14:textId="77777777" w:rsidR="006A5099" w:rsidRPr="006A5099" w:rsidRDefault="006A5099" w:rsidP="006A5099">
            <w:pPr>
              <w:pStyle w:val="TableText"/>
              <w:rPr>
                <w:b/>
                <w:bCs/>
              </w:rPr>
            </w:pPr>
            <w:r w:rsidRPr="006A5099">
              <w:rPr>
                <w:b/>
                <w:bCs/>
              </w:rPr>
              <w:t>District of service</w:t>
            </w:r>
          </w:p>
        </w:tc>
        <w:tc>
          <w:tcPr>
            <w:tcW w:w="2126" w:type="dxa"/>
            <w:gridSpan w:val="2"/>
            <w:tcBorders>
              <w:top w:val="nil"/>
              <w:bottom w:val="nil"/>
            </w:tcBorders>
            <w:shd w:val="clear" w:color="auto" w:fill="D9D9D9" w:themeFill="background1" w:themeFillShade="D9"/>
          </w:tcPr>
          <w:p w14:paraId="4E520856" w14:textId="77777777" w:rsidR="006A5099" w:rsidRPr="006A5099" w:rsidRDefault="006A5099" w:rsidP="006A5099">
            <w:pPr>
              <w:pStyle w:val="TableText"/>
              <w:jc w:val="center"/>
              <w:rPr>
                <w:b/>
                <w:bCs/>
              </w:rPr>
            </w:pPr>
            <w:r w:rsidRPr="006A5099">
              <w:rPr>
                <w:b/>
                <w:bCs/>
              </w:rPr>
              <w:t>2020</w:t>
            </w:r>
          </w:p>
        </w:tc>
        <w:tc>
          <w:tcPr>
            <w:tcW w:w="2126" w:type="dxa"/>
            <w:gridSpan w:val="2"/>
            <w:tcBorders>
              <w:top w:val="nil"/>
              <w:bottom w:val="nil"/>
            </w:tcBorders>
            <w:shd w:val="clear" w:color="auto" w:fill="D9D9D9" w:themeFill="background1" w:themeFillShade="D9"/>
            <w:noWrap/>
            <w:vAlign w:val="center"/>
          </w:tcPr>
          <w:p w14:paraId="3C16AC93" w14:textId="77777777" w:rsidR="006A5099" w:rsidRPr="006A5099" w:rsidRDefault="006A5099" w:rsidP="006A5099">
            <w:pPr>
              <w:pStyle w:val="TableText"/>
              <w:jc w:val="center"/>
              <w:rPr>
                <w:b/>
                <w:bCs/>
              </w:rPr>
            </w:pPr>
            <w:r w:rsidRPr="006A5099">
              <w:rPr>
                <w:b/>
                <w:bCs/>
              </w:rPr>
              <w:t>2022</w:t>
            </w:r>
          </w:p>
        </w:tc>
        <w:tc>
          <w:tcPr>
            <w:tcW w:w="2268" w:type="dxa"/>
            <w:gridSpan w:val="2"/>
            <w:tcBorders>
              <w:top w:val="nil"/>
              <w:bottom w:val="nil"/>
            </w:tcBorders>
            <w:shd w:val="clear" w:color="auto" w:fill="D9D9D9" w:themeFill="background1" w:themeFillShade="D9"/>
          </w:tcPr>
          <w:p w14:paraId="4CE75B5E" w14:textId="77777777" w:rsidR="006A5099" w:rsidRPr="006A5099" w:rsidRDefault="006A5099" w:rsidP="006A5099">
            <w:pPr>
              <w:pStyle w:val="TableText"/>
              <w:jc w:val="center"/>
              <w:rPr>
                <w:b/>
                <w:bCs/>
              </w:rPr>
            </w:pPr>
            <w:r w:rsidRPr="006A5099">
              <w:rPr>
                <w:b/>
                <w:bCs/>
              </w:rPr>
              <w:t>2024</w:t>
            </w:r>
          </w:p>
        </w:tc>
      </w:tr>
      <w:tr w:rsidR="006A5099" w:rsidRPr="005F1F83" w14:paraId="5B730444" w14:textId="77777777" w:rsidTr="006A5099">
        <w:trPr>
          <w:trHeight w:val="291"/>
        </w:trPr>
        <w:tc>
          <w:tcPr>
            <w:tcW w:w="1560" w:type="dxa"/>
            <w:vMerge/>
            <w:tcBorders>
              <w:top w:val="nil"/>
              <w:bottom w:val="nil"/>
            </w:tcBorders>
            <w:shd w:val="clear" w:color="auto" w:fill="D9D9D9" w:themeFill="background1" w:themeFillShade="D9"/>
            <w:noWrap/>
          </w:tcPr>
          <w:p w14:paraId="09B5314A" w14:textId="77777777" w:rsidR="006A5099" w:rsidRPr="006A5099" w:rsidRDefault="006A5099" w:rsidP="006A5099">
            <w:pPr>
              <w:pStyle w:val="TableText"/>
              <w:rPr>
                <w:b/>
                <w:bCs/>
              </w:rPr>
            </w:pPr>
          </w:p>
        </w:tc>
        <w:tc>
          <w:tcPr>
            <w:tcW w:w="1134" w:type="dxa"/>
            <w:tcBorders>
              <w:top w:val="nil"/>
              <w:bottom w:val="nil"/>
            </w:tcBorders>
            <w:shd w:val="clear" w:color="auto" w:fill="D9D9D9" w:themeFill="background1" w:themeFillShade="D9"/>
          </w:tcPr>
          <w:p w14:paraId="0730A8BF" w14:textId="22E294E0" w:rsidR="006A5099" w:rsidRPr="006A5099" w:rsidRDefault="006A5099" w:rsidP="006A5099">
            <w:pPr>
              <w:pStyle w:val="TableText"/>
              <w:jc w:val="right"/>
              <w:rPr>
                <w:rFonts w:eastAsia="Calibri"/>
                <w:b/>
                <w:bCs/>
              </w:rPr>
            </w:pPr>
            <w:r w:rsidRPr="006A5099">
              <w:rPr>
                <w:rFonts w:eastAsia="Calibri"/>
                <w:b/>
                <w:bCs/>
              </w:rPr>
              <w:t xml:space="preserve">Surgical </w:t>
            </w:r>
            <w:r>
              <w:rPr>
                <w:rFonts w:eastAsia="Calibri"/>
                <w:b/>
                <w:bCs/>
              </w:rPr>
              <w:br/>
            </w:r>
            <w:r w:rsidRPr="006A5099">
              <w:rPr>
                <w:rFonts w:eastAsia="Calibri"/>
                <w:b/>
                <w:bCs/>
              </w:rPr>
              <w:t>(%)</w:t>
            </w:r>
          </w:p>
        </w:tc>
        <w:tc>
          <w:tcPr>
            <w:tcW w:w="992" w:type="dxa"/>
            <w:tcBorders>
              <w:top w:val="nil"/>
              <w:bottom w:val="nil"/>
            </w:tcBorders>
            <w:shd w:val="clear" w:color="auto" w:fill="D9D9D9" w:themeFill="background1" w:themeFillShade="D9"/>
          </w:tcPr>
          <w:p w14:paraId="70C65816" w14:textId="038BCBFB" w:rsidR="006A5099" w:rsidRPr="006A5099" w:rsidRDefault="006A5099" w:rsidP="006A5099">
            <w:pPr>
              <w:pStyle w:val="TableText"/>
              <w:jc w:val="right"/>
              <w:rPr>
                <w:rFonts w:eastAsia="Calibri"/>
                <w:b/>
                <w:bCs/>
              </w:rPr>
            </w:pPr>
            <w:r w:rsidRPr="006A5099">
              <w:rPr>
                <w:rFonts w:eastAsia="Calibri"/>
                <w:b/>
                <w:bCs/>
              </w:rPr>
              <w:t xml:space="preserve">Total </w:t>
            </w:r>
            <w:r>
              <w:rPr>
                <w:rFonts w:eastAsia="Calibri"/>
                <w:b/>
                <w:bCs/>
              </w:rPr>
              <w:br/>
            </w:r>
            <w:r w:rsidRPr="006A5099">
              <w:rPr>
                <w:rFonts w:eastAsia="Calibri"/>
                <w:b/>
                <w:bCs/>
              </w:rPr>
              <w:t>(%)</w:t>
            </w:r>
          </w:p>
        </w:tc>
        <w:tc>
          <w:tcPr>
            <w:tcW w:w="1134" w:type="dxa"/>
            <w:tcBorders>
              <w:top w:val="nil"/>
              <w:bottom w:val="nil"/>
            </w:tcBorders>
            <w:shd w:val="clear" w:color="auto" w:fill="D9D9D9" w:themeFill="background1" w:themeFillShade="D9"/>
            <w:noWrap/>
          </w:tcPr>
          <w:p w14:paraId="042E46BF" w14:textId="757148FD" w:rsidR="006A5099" w:rsidRPr="006A5099" w:rsidRDefault="006A5099" w:rsidP="006A5099">
            <w:pPr>
              <w:pStyle w:val="TableText"/>
              <w:jc w:val="right"/>
              <w:rPr>
                <w:b/>
                <w:bCs/>
              </w:rPr>
            </w:pPr>
            <w:r w:rsidRPr="006A5099">
              <w:rPr>
                <w:rFonts w:eastAsia="Calibri"/>
                <w:b/>
                <w:bCs/>
              </w:rPr>
              <w:t xml:space="preserve">Surgical </w:t>
            </w:r>
            <w:r>
              <w:rPr>
                <w:rFonts w:eastAsia="Calibri"/>
                <w:b/>
                <w:bCs/>
              </w:rPr>
              <w:br/>
            </w:r>
            <w:r w:rsidRPr="006A5099">
              <w:rPr>
                <w:rFonts w:eastAsia="Calibri"/>
                <w:b/>
                <w:bCs/>
              </w:rPr>
              <w:t>(%)</w:t>
            </w:r>
          </w:p>
        </w:tc>
        <w:tc>
          <w:tcPr>
            <w:tcW w:w="992" w:type="dxa"/>
            <w:tcBorders>
              <w:top w:val="nil"/>
              <w:bottom w:val="nil"/>
            </w:tcBorders>
            <w:shd w:val="clear" w:color="auto" w:fill="D9D9D9" w:themeFill="background1" w:themeFillShade="D9"/>
          </w:tcPr>
          <w:p w14:paraId="7E5CBF83" w14:textId="251D0672" w:rsidR="006A5099" w:rsidRPr="006A5099" w:rsidRDefault="006A5099" w:rsidP="006A5099">
            <w:pPr>
              <w:pStyle w:val="TableText"/>
              <w:jc w:val="right"/>
              <w:rPr>
                <w:b/>
                <w:bCs/>
              </w:rPr>
            </w:pPr>
            <w:r w:rsidRPr="006A5099">
              <w:rPr>
                <w:rFonts w:eastAsia="Calibri"/>
                <w:b/>
                <w:bCs/>
              </w:rPr>
              <w:t xml:space="preserve">Total </w:t>
            </w:r>
            <w:r>
              <w:rPr>
                <w:rFonts w:eastAsia="Calibri"/>
                <w:b/>
                <w:bCs/>
              </w:rPr>
              <w:br/>
            </w:r>
            <w:r w:rsidRPr="006A5099">
              <w:rPr>
                <w:rFonts w:eastAsia="Calibri"/>
                <w:b/>
                <w:bCs/>
              </w:rPr>
              <w:t>(%)</w:t>
            </w:r>
          </w:p>
        </w:tc>
        <w:tc>
          <w:tcPr>
            <w:tcW w:w="1134" w:type="dxa"/>
            <w:tcBorders>
              <w:top w:val="nil"/>
              <w:bottom w:val="nil"/>
            </w:tcBorders>
            <w:shd w:val="clear" w:color="auto" w:fill="D9D9D9" w:themeFill="background1" w:themeFillShade="D9"/>
          </w:tcPr>
          <w:p w14:paraId="472BF249" w14:textId="1718C5BE" w:rsidR="006A5099" w:rsidRPr="006A5099" w:rsidRDefault="006A5099" w:rsidP="006A5099">
            <w:pPr>
              <w:pStyle w:val="TableText"/>
              <w:jc w:val="right"/>
              <w:rPr>
                <w:b/>
                <w:bCs/>
              </w:rPr>
            </w:pPr>
            <w:r w:rsidRPr="006A5099">
              <w:rPr>
                <w:rFonts w:eastAsia="Calibri"/>
                <w:b/>
                <w:bCs/>
              </w:rPr>
              <w:t xml:space="preserve">Surgical </w:t>
            </w:r>
            <w:r>
              <w:rPr>
                <w:rFonts w:eastAsia="Calibri"/>
                <w:b/>
                <w:bCs/>
              </w:rPr>
              <w:br/>
            </w:r>
            <w:r w:rsidRPr="006A5099">
              <w:rPr>
                <w:rFonts w:eastAsia="Calibri"/>
                <w:b/>
                <w:bCs/>
              </w:rPr>
              <w:t>(%)</w:t>
            </w:r>
          </w:p>
        </w:tc>
        <w:tc>
          <w:tcPr>
            <w:tcW w:w="1134" w:type="dxa"/>
            <w:tcBorders>
              <w:top w:val="nil"/>
              <w:bottom w:val="nil"/>
            </w:tcBorders>
            <w:shd w:val="clear" w:color="auto" w:fill="D9D9D9" w:themeFill="background1" w:themeFillShade="D9"/>
          </w:tcPr>
          <w:p w14:paraId="7BFAB15C" w14:textId="658D07F9" w:rsidR="006A5099" w:rsidRPr="006A5099" w:rsidRDefault="006A5099" w:rsidP="006A5099">
            <w:pPr>
              <w:pStyle w:val="TableText"/>
              <w:jc w:val="right"/>
              <w:rPr>
                <w:b/>
                <w:bCs/>
              </w:rPr>
            </w:pPr>
            <w:r w:rsidRPr="006A5099">
              <w:rPr>
                <w:rFonts w:eastAsia="Calibri"/>
                <w:b/>
                <w:bCs/>
              </w:rPr>
              <w:t xml:space="preserve">Total </w:t>
            </w:r>
            <w:r>
              <w:rPr>
                <w:rFonts w:eastAsia="Calibri"/>
                <w:b/>
                <w:bCs/>
              </w:rPr>
              <w:br/>
            </w:r>
            <w:r w:rsidRPr="006A5099">
              <w:rPr>
                <w:rFonts w:eastAsia="Calibri"/>
                <w:b/>
                <w:bCs/>
              </w:rPr>
              <w:t>(%)</w:t>
            </w:r>
          </w:p>
        </w:tc>
      </w:tr>
      <w:tr w:rsidR="006A5099" w:rsidRPr="005F1F83" w14:paraId="0F5A6C6E" w14:textId="77777777" w:rsidTr="006A5099">
        <w:trPr>
          <w:trHeight w:val="291"/>
        </w:trPr>
        <w:tc>
          <w:tcPr>
            <w:tcW w:w="1560" w:type="dxa"/>
            <w:tcBorders>
              <w:top w:val="nil"/>
            </w:tcBorders>
            <w:shd w:val="clear" w:color="auto" w:fill="auto"/>
            <w:noWrap/>
          </w:tcPr>
          <w:p w14:paraId="667789A1" w14:textId="77777777" w:rsidR="006A5099" w:rsidRPr="006A5099" w:rsidRDefault="006A5099" w:rsidP="006A5099">
            <w:pPr>
              <w:pStyle w:val="TableText"/>
            </w:pPr>
            <w:r w:rsidRPr="006A5099">
              <w:t>Auckland</w:t>
            </w:r>
          </w:p>
        </w:tc>
        <w:tc>
          <w:tcPr>
            <w:tcW w:w="1134" w:type="dxa"/>
            <w:tcBorders>
              <w:top w:val="nil"/>
            </w:tcBorders>
          </w:tcPr>
          <w:p w14:paraId="12E7D908" w14:textId="77777777" w:rsidR="006A5099" w:rsidRPr="006A5099" w:rsidRDefault="006A5099" w:rsidP="006A5099">
            <w:pPr>
              <w:pStyle w:val="TableText"/>
              <w:jc w:val="right"/>
            </w:pPr>
            <w:r w:rsidRPr="006A5099">
              <w:t>332 (7.1)</w:t>
            </w:r>
          </w:p>
        </w:tc>
        <w:tc>
          <w:tcPr>
            <w:tcW w:w="992" w:type="dxa"/>
            <w:tcBorders>
              <w:top w:val="nil"/>
            </w:tcBorders>
            <w:vAlign w:val="bottom"/>
          </w:tcPr>
          <w:p w14:paraId="637DBED4" w14:textId="77777777" w:rsidR="006A5099" w:rsidRPr="006A5099" w:rsidRDefault="006A5099" w:rsidP="006A5099">
            <w:pPr>
              <w:pStyle w:val="TableText"/>
              <w:jc w:val="right"/>
            </w:pPr>
            <w:r w:rsidRPr="006A5099">
              <w:t>399 (8.6)</w:t>
            </w:r>
          </w:p>
        </w:tc>
        <w:tc>
          <w:tcPr>
            <w:tcW w:w="1134" w:type="dxa"/>
            <w:tcBorders>
              <w:top w:val="nil"/>
            </w:tcBorders>
            <w:shd w:val="clear" w:color="auto" w:fill="auto"/>
            <w:noWrap/>
            <w:vAlign w:val="center"/>
          </w:tcPr>
          <w:p w14:paraId="6A0EAA52" w14:textId="77777777" w:rsidR="006A5099" w:rsidRPr="006A5099" w:rsidRDefault="006A5099" w:rsidP="006A5099">
            <w:pPr>
              <w:pStyle w:val="TableText"/>
              <w:jc w:val="right"/>
              <w:rPr>
                <w:rFonts w:eastAsia="Calibri"/>
              </w:rPr>
            </w:pPr>
            <w:r w:rsidRPr="006A5099">
              <w:t>346 (7.4)</w:t>
            </w:r>
          </w:p>
        </w:tc>
        <w:tc>
          <w:tcPr>
            <w:tcW w:w="992" w:type="dxa"/>
            <w:tcBorders>
              <w:top w:val="nil"/>
            </w:tcBorders>
            <w:vAlign w:val="center"/>
          </w:tcPr>
          <w:p w14:paraId="4FA90DCA" w14:textId="77777777" w:rsidR="006A5099" w:rsidRPr="006A5099" w:rsidRDefault="006A5099" w:rsidP="006A5099">
            <w:pPr>
              <w:pStyle w:val="TableText"/>
              <w:jc w:val="right"/>
              <w:rPr>
                <w:rFonts w:eastAsia="Calibri"/>
              </w:rPr>
            </w:pPr>
            <w:r w:rsidRPr="006A5099">
              <w:t>378 (8)</w:t>
            </w:r>
          </w:p>
        </w:tc>
        <w:tc>
          <w:tcPr>
            <w:tcW w:w="1134" w:type="dxa"/>
            <w:tcBorders>
              <w:top w:val="nil"/>
            </w:tcBorders>
            <w:vAlign w:val="center"/>
          </w:tcPr>
          <w:p w14:paraId="2382DDD8" w14:textId="77777777" w:rsidR="006A5099" w:rsidRPr="006A5099" w:rsidRDefault="006A5099" w:rsidP="006A5099">
            <w:pPr>
              <w:pStyle w:val="TableText"/>
              <w:jc w:val="right"/>
              <w:rPr>
                <w:rFonts w:eastAsia="Calibri"/>
              </w:rPr>
            </w:pPr>
            <w:r w:rsidRPr="006A5099">
              <w:t>353 (8.8)</w:t>
            </w:r>
          </w:p>
        </w:tc>
        <w:tc>
          <w:tcPr>
            <w:tcW w:w="1134" w:type="dxa"/>
            <w:tcBorders>
              <w:top w:val="nil"/>
            </w:tcBorders>
            <w:vAlign w:val="center"/>
          </w:tcPr>
          <w:p w14:paraId="6E856AAD" w14:textId="77777777" w:rsidR="006A5099" w:rsidRPr="006A5099" w:rsidRDefault="006A5099" w:rsidP="006A5099">
            <w:pPr>
              <w:pStyle w:val="TableText"/>
              <w:jc w:val="right"/>
              <w:rPr>
                <w:rFonts w:eastAsia="Calibri"/>
              </w:rPr>
            </w:pPr>
            <w:r w:rsidRPr="006A5099">
              <w:t>408 (10.2)</w:t>
            </w:r>
          </w:p>
        </w:tc>
      </w:tr>
      <w:tr w:rsidR="006A5099" w:rsidRPr="005F1F83" w14:paraId="3D6F28AD" w14:textId="77777777" w:rsidTr="006A5099">
        <w:trPr>
          <w:trHeight w:val="291"/>
        </w:trPr>
        <w:tc>
          <w:tcPr>
            <w:tcW w:w="1560" w:type="dxa"/>
            <w:shd w:val="clear" w:color="auto" w:fill="auto"/>
            <w:noWrap/>
            <w:hideMark/>
          </w:tcPr>
          <w:p w14:paraId="1AFE7BEC" w14:textId="6E77BD03" w:rsidR="006A5099" w:rsidRPr="006A5099" w:rsidRDefault="006A5099" w:rsidP="006A5099">
            <w:pPr>
              <w:pStyle w:val="TableText"/>
            </w:pPr>
            <w:r w:rsidRPr="006A5099">
              <w:t>Bay of Plenty</w:t>
            </w:r>
          </w:p>
        </w:tc>
        <w:tc>
          <w:tcPr>
            <w:tcW w:w="1134" w:type="dxa"/>
          </w:tcPr>
          <w:p w14:paraId="2FE4DCE9" w14:textId="029B08F7" w:rsidR="006A5099" w:rsidRPr="006A5099" w:rsidRDefault="006A5099" w:rsidP="006A5099">
            <w:pPr>
              <w:pStyle w:val="TableText"/>
              <w:jc w:val="right"/>
            </w:pPr>
            <w:r w:rsidRPr="006A5099">
              <w:t>–</w:t>
            </w:r>
          </w:p>
        </w:tc>
        <w:tc>
          <w:tcPr>
            <w:tcW w:w="992" w:type="dxa"/>
            <w:vAlign w:val="bottom"/>
          </w:tcPr>
          <w:p w14:paraId="79FB97C1" w14:textId="10B39C5D" w:rsidR="006A5099" w:rsidRPr="006A5099" w:rsidRDefault="006A5099" w:rsidP="006A5099">
            <w:pPr>
              <w:pStyle w:val="TableText"/>
              <w:jc w:val="right"/>
            </w:pPr>
            <w:r w:rsidRPr="006A5099">
              <w:t>–</w:t>
            </w:r>
          </w:p>
        </w:tc>
        <w:tc>
          <w:tcPr>
            <w:tcW w:w="1134" w:type="dxa"/>
            <w:shd w:val="clear" w:color="auto" w:fill="auto"/>
            <w:noWrap/>
            <w:vAlign w:val="center"/>
          </w:tcPr>
          <w:p w14:paraId="43F9C165" w14:textId="55824AD7" w:rsidR="006A5099" w:rsidRPr="006A5099" w:rsidRDefault="006A5099" w:rsidP="006A5099">
            <w:pPr>
              <w:pStyle w:val="TableText"/>
              <w:jc w:val="right"/>
            </w:pPr>
            <w:r w:rsidRPr="006A5099">
              <w:t>–</w:t>
            </w:r>
          </w:p>
        </w:tc>
        <w:tc>
          <w:tcPr>
            <w:tcW w:w="992" w:type="dxa"/>
          </w:tcPr>
          <w:p w14:paraId="5F7D2A50" w14:textId="027E0DA6" w:rsidR="006A5099" w:rsidRPr="006A5099" w:rsidRDefault="006A5099" w:rsidP="006A5099">
            <w:pPr>
              <w:pStyle w:val="TableText"/>
              <w:jc w:val="right"/>
            </w:pPr>
            <w:r w:rsidRPr="006A5099">
              <w:t>–</w:t>
            </w:r>
          </w:p>
        </w:tc>
        <w:tc>
          <w:tcPr>
            <w:tcW w:w="1134" w:type="dxa"/>
          </w:tcPr>
          <w:p w14:paraId="5FCD2B1C" w14:textId="38DE503A" w:rsidR="006A5099" w:rsidRPr="006A5099" w:rsidRDefault="006A5099" w:rsidP="006A5099">
            <w:pPr>
              <w:pStyle w:val="TableText"/>
              <w:jc w:val="right"/>
            </w:pPr>
            <w:r w:rsidRPr="006A5099">
              <w:t>–</w:t>
            </w:r>
          </w:p>
        </w:tc>
        <w:tc>
          <w:tcPr>
            <w:tcW w:w="1134" w:type="dxa"/>
            <w:vAlign w:val="center"/>
          </w:tcPr>
          <w:p w14:paraId="5CFBA82A" w14:textId="43B8A062" w:rsidR="006A5099" w:rsidRPr="006A5099" w:rsidRDefault="006A5099" w:rsidP="006A5099">
            <w:pPr>
              <w:pStyle w:val="TableText"/>
              <w:jc w:val="right"/>
            </w:pPr>
            <w:r w:rsidRPr="006A5099">
              <w:t>–</w:t>
            </w:r>
          </w:p>
        </w:tc>
      </w:tr>
      <w:tr w:rsidR="006A5099" w:rsidRPr="005F1F83" w14:paraId="0DB0694D" w14:textId="77777777" w:rsidTr="006A5099">
        <w:trPr>
          <w:trHeight w:val="291"/>
        </w:trPr>
        <w:tc>
          <w:tcPr>
            <w:tcW w:w="1560" w:type="dxa"/>
            <w:shd w:val="clear" w:color="auto" w:fill="auto"/>
            <w:noWrap/>
            <w:hideMark/>
          </w:tcPr>
          <w:p w14:paraId="6C785162" w14:textId="77777777" w:rsidR="006A5099" w:rsidRPr="006A5099" w:rsidRDefault="006A5099" w:rsidP="006A5099">
            <w:pPr>
              <w:pStyle w:val="TableText"/>
            </w:pPr>
            <w:r w:rsidRPr="006A5099">
              <w:t>Canterbury</w:t>
            </w:r>
          </w:p>
        </w:tc>
        <w:tc>
          <w:tcPr>
            <w:tcW w:w="1134" w:type="dxa"/>
          </w:tcPr>
          <w:p w14:paraId="5ED702F4" w14:textId="77777777" w:rsidR="006A5099" w:rsidRPr="006A5099" w:rsidRDefault="006A5099" w:rsidP="006A5099">
            <w:pPr>
              <w:pStyle w:val="TableText"/>
              <w:jc w:val="right"/>
            </w:pPr>
            <w:r w:rsidRPr="006A5099">
              <w:t>36 (2.2)</w:t>
            </w:r>
          </w:p>
        </w:tc>
        <w:tc>
          <w:tcPr>
            <w:tcW w:w="992" w:type="dxa"/>
            <w:vAlign w:val="bottom"/>
          </w:tcPr>
          <w:p w14:paraId="79992946" w14:textId="77777777" w:rsidR="006A5099" w:rsidRPr="006A5099" w:rsidRDefault="006A5099" w:rsidP="006A5099">
            <w:pPr>
              <w:pStyle w:val="TableText"/>
              <w:jc w:val="right"/>
            </w:pPr>
            <w:r w:rsidRPr="006A5099">
              <w:t>84 (5.2)</w:t>
            </w:r>
          </w:p>
        </w:tc>
        <w:tc>
          <w:tcPr>
            <w:tcW w:w="1134" w:type="dxa"/>
            <w:shd w:val="clear" w:color="auto" w:fill="auto"/>
            <w:noWrap/>
            <w:vAlign w:val="center"/>
          </w:tcPr>
          <w:p w14:paraId="03D14C15" w14:textId="77777777" w:rsidR="006A5099" w:rsidRPr="006A5099" w:rsidRDefault="006A5099" w:rsidP="006A5099">
            <w:pPr>
              <w:pStyle w:val="TableText"/>
              <w:jc w:val="right"/>
            </w:pPr>
            <w:r w:rsidRPr="006A5099">
              <w:t>21 (1.4)</w:t>
            </w:r>
          </w:p>
        </w:tc>
        <w:tc>
          <w:tcPr>
            <w:tcW w:w="992" w:type="dxa"/>
            <w:vAlign w:val="center"/>
          </w:tcPr>
          <w:p w14:paraId="0F60799B" w14:textId="77777777" w:rsidR="006A5099" w:rsidRPr="006A5099" w:rsidRDefault="006A5099" w:rsidP="006A5099">
            <w:pPr>
              <w:pStyle w:val="TableText"/>
              <w:jc w:val="right"/>
            </w:pPr>
            <w:r w:rsidRPr="006A5099">
              <w:t>48 (3.2)</w:t>
            </w:r>
          </w:p>
        </w:tc>
        <w:tc>
          <w:tcPr>
            <w:tcW w:w="1134" w:type="dxa"/>
            <w:vAlign w:val="center"/>
          </w:tcPr>
          <w:p w14:paraId="0325D6BA" w14:textId="77777777" w:rsidR="006A5099" w:rsidRPr="006A5099" w:rsidRDefault="006A5099" w:rsidP="006A5099">
            <w:pPr>
              <w:pStyle w:val="TableText"/>
              <w:jc w:val="right"/>
            </w:pPr>
            <w:r w:rsidRPr="006A5099">
              <w:t>22 (1.5)</w:t>
            </w:r>
          </w:p>
        </w:tc>
        <w:tc>
          <w:tcPr>
            <w:tcW w:w="1134" w:type="dxa"/>
            <w:vAlign w:val="center"/>
          </w:tcPr>
          <w:p w14:paraId="5DAB3F83" w14:textId="77777777" w:rsidR="006A5099" w:rsidRPr="006A5099" w:rsidRDefault="006A5099" w:rsidP="006A5099">
            <w:pPr>
              <w:pStyle w:val="TableText"/>
              <w:jc w:val="right"/>
            </w:pPr>
            <w:r w:rsidRPr="006A5099">
              <w:t>120 (8.1)</w:t>
            </w:r>
          </w:p>
        </w:tc>
      </w:tr>
      <w:tr w:rsidR="006A5099" w:rsidRPr="005F1F83" w14:paraId="5397CFE2" w14:textId="77777777" w:rsidTr="006A5099">
        <w:trPr>
          <w:trHeight w:val="291"/>
        </w:trPr>
        <w:tc>
          <w:tcPr>
            <w:tcW w:w="1560" w:type="dxa"/>
            <w:shd w:val="clear" w:color="auto" w:fill="auto"/>
            <w:noWrap/>
            <w:hideMark/>
          </w:tcPr>
          <w:p w14:paraId="43C457E2" w14:textId="1CED9BE2" w:rsidR="006A5099" w:rsidRPr="006A5099" w:rsidRDefault="006A5099" w:rsidP="006A5099">
            <w:pPr>
              <w:pStyle w:val="TableText"/>
            </w:pPr>
            <w:r w:rsidRPr="006A5099">
              <w:t>Capital &amp; Coast</w:t>
            </w:r>
          </w:p>
        </w:tc>
        <w:tc>
          <w:tcPr>
            <w:tcW w:w="1134" w:type="dxa"/>
          </w:tcPr>
          <w:p w14:paraId="5E6C59AF" w14:textId="77777777" w:rsidR="006A5099" w:rsidRPr="006A5099" w:rsidRDefault="006A5099" w:rsidP="006A5099">
            <w:pPr>
              <w:pStyle w:val="TableText"/>
              <w:jc w:val="right"/>
            </w:pPr>
            <w:r w:rsidRPr="006A5099">
              <w:t>138 (11.0)</w:t>
            </w:r>
          </w:p>
        </w:tc>
        <w:tc>
          <w:tcPr>
            <w:tcW w:w="992" w:type="dxa"/>
            <w:vAlign w:val="bottom"/>
          </w:tcPr>
          <w:p w14:paraId="7DB96D94" w14:textId="77777777" w:rsidR="006A5099" w:rsidRPr="006A5099" w:rsidRDefault="006A5099" w:rsidP="006A5099">
            <w:pPr>
              <w:pStyle w:val="TableText"/>
              <w:jc w:val="right"/>
            </w:pPr>
            <w:r w:rsidRPr="006A5099">
              <w:t>157 (12.5)</w:t>
            </w:r>
          </w:p>
        </w:tc>
        <w:tc>
          <w:tcPr>
            <w:tcW w:w="1134" w:type="dxa"/>
            <w:shd w:val="clear" w:color="auto" w:fill="auto"/>
            <w:noWrap/>
            <w:vAlign w:val="center"/>
          </w:tcPr>
          <w:p w14:paraId="4DADD341" w14:textId="77777777" w:rsidR="006A5099" w:rsidRPr="006A5099" w:rsidRDefault="006A5099" w:rsidP="006A5099">
            <w:pPr>
              <w:pStyle w:val="TableText"/>
              <w:jc w:val="right"/>
            </w:pPr>
            <w:r w:rsidRPr="006A5099">
              <w:t>142 (10.6)</w:t>
            </w:r>
          </w:p>
        </w:tc>
        <w:tc>
          <w:tcPr>
            <w:tcW w:w="992" w:type="dxa"/>
            <w:vAlign w:val="center"/>
          </w:tcPr>
          <w:p w14:paraId="208E54A2" w14:textId="77777777" w:rsidR="006A5099" w:rsidRPr="006A5099" w:rsidRDefault="006A5099" w:rsidP="006A5099">
            <w:pPr>
              <w:pStyle w:val="TableText"/>
              <w:jc w:val="right"/>
            </w:pPr>
            <w:r w:rsidRPr="006A5099">
              <w:t>157 (11.7)</w:t>
            </w:r>
          </w:p>
        </w:tc>
        <w:tc>
          <w:tcPr>
            <w:tcW w:w="1134" w:type="dxa"/>
            <w:vAlign w:val="center"/>
          </w:tcPr>
          <w:p w14:paraId="0F519389" w14:textId="77777777" w:rsidR="006A5099" w:rsidRPr="006A5099" w:rsidRDefault="006A5099" w:rsidP="006A5099">
            <w:pPr>
              <w:pStyle w:val="TableText"/>
              <w:jc w:val="right"/>
            </w:pPr>
            <w:r w:rsidRPr="006A5099">
              <w:t>147 (15.4)</w:t>
            </w:r>
          </w:p>
        </w:tc>
        <w:tc>
          <w:tcPr>
            <w:tcW w:w="1134" w:type="dxa"/>
            <w:vAlign w:val="center"/>
          </w:tcPr>
          <w:p w14:paraId="4795A997" w14:textId="77777777" w:rsidR="006A5099" w:rsidRPr="006A5099" w:rsidRDefault="006A5099" w:rsidP="006A5099">
            <w:pPr>
              <w:pStyle w:val="TableText"/>
              <w:jc w:val="right"/>
            </w:pPr>
            <w:r w:rsidRPr="006A5099">
              <w:t>162 (17.0)</w:t>
            </w:r>
          </w:p>
        </w:tc>
      </w:tr>
      <w:tr w:rsidR="006A5099" w:rsidRPr="005F1F83" w14:paraId="59F1FA9B" w14:textId="77777777" w:rsidTr="006A5099">
        <w:trPr>
          <w:trHeight w:val="291"/>
        </w:trPr>
        <w:tc>
          <w:tcPr>
            <w:tcW w:w="1560" w:type="dxa"/>
            <w:shd w:val="clear" w:color="auto" w:fill="auto"/>
            <w:noWrap/>
            <w:hideMark/>
          </w:tcPr>
          <w:p w14:paraId="020EFCA1" w14:textId="77777777" w:rsidR="006A5099" w:rsidRPr="006A5099" w:rsidRDefault="006A5099" w:rsidP="006A5099">
            <w:pPr>
              <w:pStyle w:val="TableText"/>
            </w:pPr>
            <w:r w:rsidRPr="006A5099">
              <w:t>Counties Manukau</w:t>
            </w:r>
          </w:p>
        </w:tc>
        <w:tc>
          <w:tcPr>
            <w:tcW w:w="1134" w:type="dxa"/>
          </w:tcPr>
          <w:p w14:paraId="13FE52B4" w14:textId="6281DD21" w:rsidR="006A5099" w:rsidRPr="006A5099" w:rsidRDefault="006A5099" w:rsidP="006A5099">
            <w:pPr>
              <w:pStyle w:val="TableText"/>
              <w:jc w:val="right"/>
            </w:pPr>
            <w:r w:rsidRPr="006A5099">
              <w:t>–</w:t>
            </w:r>
          </w:p>
        </w:tc>
        <w:tc>
          <w:tcPr>
            <w:tcW w:w="992" w:type="dxa"/>
            <w:vAlign w:val="bottom"/>
          </w:tcPr>
          <w:p w14:paraId="1EB78F4C" w14:textId="77777777" w:rsidR="006A5099" w:rsidRPr="006A5099" w:rsidRDefault="006A5099" w:rsidP="006A5099">
            <w:pPr>
              <w:pStyle w:val="TableText"/>
              <w:jc w:val="right"/>
            </w:pPr>
            <w:r w:rsidRPr="006A5099">
              <w:t>47 (88.7)</w:t>
            </w:r>
          </w:p>
        </w:tc>
        <w:tc>
          <w:tcPr>
            <w:tcW w:w="1134" w:type="dxa"/>
            <w:shd w:val="clear" w:color="auto" w:fill="auto"/>
            <w:noWrap/>
            <w:vAlign w:val="center"/>
          </w:tcPr>
          <w:p w14:paraId="0301212B" w14:textId="2B0D2563" w:rsidR="006A5099" w:rsidRPr="006A5099" w:rsidRDefault="006A5099" w:rsidP="006A5099">
            <w:pPr>
              <w:pStyle w:val="TableText"/>
              <w:jc w:val="right"/>
            </w:pPr>
            <w:r w:rsidRPr="006A5099">
              <w:t>–</w:t>
            </w:r>
          </w:p>
        </w:tc>
        <w:tc>
          <w:tcPr>
            <w:tcW w:w="992" w:type="dxa"/>
            <w:vAlign w:val="center"/>
          </w:tcPr>
          <w:p w14:paraId="5D6217D5" w14:textId="77777777" w:rsidR="006A5099" w:rsidRPr="006A5099" w:rsidRDefault="006A5099" w:rsidP="006A5099">
            <w:pPr>
              <w:pStyle w:val="TableText"/>
              <w:jc w:val="right"/>
            </w:pPr>
            <w:r w:rsidRPr="006A5099">
              <w:t>27 (90)</w:t>
            </w:r>
          </w:p>
        </w:tc>
        <w:tc>
          <w:tcPr>
            <w:tcW w:w="1134" w:type="dxa"/>
            <w:vAlign w:val="center"/>
          </w:tcPr>
          <w:p w14:paraId="17391C7A" w14:textId="77777777" w:rsidR="006A5099" w:rsidRPr="006A5099" w:rsidRDefault="006A5099" w:rsidP="006A5099">
            <w:pPr>
              <w:pStyle w:val="TableText"/>
              <w:jc w:val="right"/>
            </w:pPr>
            <w:r w:rsidRPr="006A5099">
              <w:t>1 (1.0)</w:t>
            </w:r>
          </w:p>
        </w:tc>
        <w:tc>
          <w:tcPr>
            <w:tcW w:w="1134" w:type="dxa"/>
            <w:vAlign w:val="center"/>
          </w:tcPr>
          <w:p w14:paraId="0506337D" w14:textId="77777777" w:rsidR="006A5099" w:rsidRPr="006A5099" w:rsidRDefault="006A5099" w:rsidP="006A5099">
            <w:pPr>
              <w:pStyle w:val="TableText"/>
              <w:jc w:val="right"/>
            </w:pPr>
            <w:r w:rsidRPr="006A5099">
              <w:t>34 (34.0)</w:t>
            </w:r>
          </w:p>
        </w:tc>
      </w:tr>
      <w:tr w:rsidR="006A5099" w:rsidRPr="005F1F83" w14:paraId="209D64B2" w14:textId="77777777" w:rsidTr="006A5099">
        <w:trPr>
          <w:trHeight w:val="291"/>
        </w:trPr>
        <w:tc>
          <w:tcPr>
            <w:tcW w:w="1560" w:type="dxa"/>
            <w:shd w:val="clear" w:color="auto" w:fill="auto"/>
            <w:noWrap/>
            <w:hideMark/>
          </w:tcPr>
          <w:p w14:paraId="3327EEFE" w14:textId="77777777" w:rsidR="006A5099" w:rsidRPr="006A5099" w:rsidRDefault="006A5099" w:rsidP="006A5099">
            <w:pPr>
              <w:pStyle w:val="TableText"/>
            </w:pPr>
            <w:r w:rsidRPr="006A5099">
              <w:t>Hawke’s Bay</w:t>
            </w:r>
          </w:p>
        </w:tc>
        <w:tc>
          <w:tcPr>
            <w:tcW w:w="1134" w:type="dxa"/>
          </w:tcPr>
          <w:p w14:paraId="1E084238" w14:textId="77777777" w:rsidR="006A5099" w:rsidRPr="006A5099" w:rsidRDefault="006A5099" w:rsidP="006A5099">
            <w:pPr>
              <w:pStyle w:val="TableText"/>
              <w:jc w:val="right"/>
            </w:pPr>
            <w:r w:rsidRPr="006A5099">
              <w:t>18 (4.3)</w:t>
            </w:r>
          </w:p>
        </w:tc>
        <w:tc>
          <w:tcPr>
            <w:tcW w:w="992" w:type="dxa"/>
            <w:vAlign w:val="bottom"/>
          </w:tcPr>
          <w:p w14:paraId="3DE11DCF" w14:textId="77777777" w:rsidR="006A5099" w:rsidRPr="006A5099" w:rsidRDefault="006A5099" w:rsidP="006A5099">
            <w:pPr>
              <w:pStyle w:val="TableText"/>
              <w:jc w:val="right"/>
            </w:pPr>
            <w:r w:rsidRPr="006A5099">
              <w:t>22 (5.2)</w:t>
            </w:r>
          </w:p>
        </w:tc>
        <w:tc>
          <w:tcPr>
            <w:tcW w:w="1134" w:type="dxa"/>
            <w:shd w:val="clear" w:color="auto" w:fill="auto"/>
            <w:noWrap/>
            <w:vAlign w:val="center"/>
          </w:tcPr>
          <w:p w14:paraId="00416246" w14:textId="77777777" w:rsidR="006A5099" w:rsidRPr="006A5099" w:rsidRDefault="006A5099" w:rsidP="006A5099">
            <w:pPr>
              <w:pStyle w:val="TableText"/>
              <w:jc w:val="right"/>
            </w:pPr>
            <w:r w:rsidRPr="006A5099">
              <w:t>13 (2.8)</w:t>
            </w:r>
          </w:p>
        </w:tc>
        <w:tc>
          <w:tcPr>
            <w:tcW w:w="992" w:type="dxa"/>
            <w:vAlign w:val="center"/>
          </w:tcPr>
          <w:p w14:paraId="6763C343" w14:textId="77777777" w:rsidR="006A5099" w:rsidRPr="006A5099" w:rsidRDefault="006A5099" w:rsidP="006A5099">
            <w:pPr>
              <w:pStyle w:val="TableText"/>
              <w:jc w:val="right"/>
            </w:pPr>
            <w:r w:rsidRPr="006A5099">
              <w:t>16 (3.5)</w:t>
            </w:r>
          </w:p>
        </w:tc>
        <w:tc>
          <w:tcPr>
            <w:tcW w:w="1134" w:type="dxa"/>
            <w:vAlign w:val="center"/>
          </w:tcPr>
          <w:p w14:paraId="7946C525" w14:textId="77777777" w:rsidR="006A5099" w:rsidRPr="006A5099" w:rsidRDefault="006A5099" w:rsidP="006A5099">
            <w:pPr>
              <w:pStyle w:val="TableText"/>
              <w:jc w:val="right"/>
            </w:pPr>
            <w:r w:rsidRPr="006A5099">
              <w:t>20 (4.9)</w:t>
            </w:r>
          </w:p>
        </w:tc>
        <w:tc>
          <w:tcPr>
            <w:tcW w:w="1134" w:type="dxa"/>
            <w:vAlign w:val="center"/>
          </w:tcPr>
          <w:p w14:paraId="2B060292" w14:textId="77777777" w:rsidR="006A5099" w:rsidRPr="006A5099" w:rsidRDefault="006A5099" w:rsidP="006A5099">
            <w:pPr>
              <w:pStyle w:val="TableText"/>
              <w:jc w:val="right"/>
            </w:pPr>
            <w:r w:rsidRPr="006A5099">
              <w:t>21 (4.9)</w:t>
            </w:r>
          </w:p>
        </w:tc>
      </w:tr>
      <w:tr w:rsidR="006A5099" w:rsidRPr="005F1F83" w14:paraId="1E863999" w14:textId="77777777" w:rsidTr="006A5099">
        <w:trPr>
          <w:trHeight w:val="291"/>
        </w:trPr>
        <w:tc>
          <w:tcPr>
            <w:tcW w:w="1560" w:type="dxa"/>
            <w:shd w:val="clear" w:color="auto" w:fill="auto"/>
            <w:noWrap/>
            <w:hideMark/>
          </w:tcPr>
          <w:p w14:paraId="512CC958" w14:textId="77777777" w:rsidR="006A5099" w:rsidRPr="006A5099" w:rsidRDefault="006A5099" w:rsidP="006A5099">
            <w:pPr>
              <w:pStyle w:val="TableText"/>
            </w:pPr>
            <w:r w:rsidRPr="006A5099">
              <w:t>Hutt Valley</w:t>
            </w:r>
          </w:p>
        </w:tc>
        <w:tc>
          <w:tcPr>
            <w:tcW w:w="1134" w:type="dxa"/>
          </w:tcPr>
          <w:p w14:paraId="3E351627" w14:textId="32601E1C" w:rsidR="006A5099" w:rsidRPr="006A5099" w:rsidRDefault="006A5099" w:rsidP="006A5099">
            <w:pPr>
              <w:pStyle w:val="TableText"/>
              <w:jc w:val="right"/>
            </w:pPr>
            <w:r w:rsidRPr="006A5099">
              <w:t>–</w:t>
            </w:r>
          </w:p>
        </w:tc>
        <w:tc>
          <w:tcPr>
            <w:tcW w:w="992" w:type="dxa"/>
            <w:vAlign w:val="bottom"/>
          </w:tcPr>
          <w:p w14:paraId="159FA033" w14:textId="77777777" w:rsidR="006A5099" w:rsidRPr="006A5099" w:rsidRDefault="006A5099" w:rsidP="006A5099">
            <w:pPr>
              <w:pStyle w:val="TableText"/>
              <w:jc w:val="right"/>
            </w:pPr>
            <w:r w:rsidRPr="006A5099">
              <w:t>3 (100)</w:t>
            </w:r>
          </w:p>
        </w:tc>
        <w:tc>
          <w:tcPr>
            <w:tcW w:w="1134" w:type="dxa"/>
            <w:shd w:val="clear" w:color="auto" w:fill="auto"/>
            <w:noWrap/>
            <w:vAlign w:val="center"/>
          </w:tcPr>
          <w:p w14:paraId="27D189B0" w14:textId="2C6FD52A" w:rsidR="006A5099" w:rsidRPr="006A5099" w:rsidRDefault="006A5099" w:rsidP="006A5099">
            <w:pPr>
              <w:pStyle w:val="TableText"/>
              <w:jc w:val="right"/>
            </w:pPr>
            <w:r w:rsidRPr="006A5099">
              <w:t>–</w:t>
            </w:r>
          </w:p>
        </w:tc>
        <w:tc>
          <w:tcPr>
            <w:tcW w:w="992" w:type="dxa"/>
            <w:vAlign w:val="center"/>
          </w:tcPr>
          <w:p w14:paraId="2C9BF184" w14:textId="77777777" w:rsidR="006A5099" w:rsidRPr="006A5099" w:rsidRDefault="006A5099" w:rsidP="006A5099">
            <w:pPr>
              <w:pStyle w:val="TableText"/>
              <w:jc w:val="right"/>
            </w:pPr>
            <w:r w:rsidRPr="006A5099">
              <w:t>1 (100)</w:t>
            </w:r>
          </w:p>
        </w:tc>
        <w:tc>
          <w:tcPr>
            <w:tcW w:w="1134" w:type="dxa"/>
            <w:vAlign w:val="center"/>
          </w:tcPr>
          <w:p w14:paraId="758D20DA" w14:textId="77777777" w:rsidR="006A5099" w:rsidRPr="006A5099" w:rsidRDefault="006A5099" w:rsidP="006A5099">
            <w:pPr>
              <w:pStyle w:val="TableText"/>
              <w:jc w:val="right"/>
            </w:pPr>
            <w:r w:rsidRPr="006A5099">
              <w:t>1 (11.1)</w:t>
            </w:r>
          </w:p>
        </w:tc>
        <w:tc>
          <w:tcPr>
            <w:tcW w:w="1134" w:type="dxa"/>
            <w:vAlign w:val="center"/>
          </w:tcPr>
          <w:p w14:paraId="42324B79" w14:textId="77777777" w:rsidR="006A5099" w:rsidRPr="006A5099" w:rsidRDefault="006A5099" w:rsidP="006A5099">
            <w:pPr>
              <w:pStyle w:val="TableText"/>
              <w:jc w:val="right"/>
            </w:pPr>
            <w:r w:rsidRPr="006A5099">
              <w:t>1 (11.1)</w:t>
            </w:r>
          </w:p>
        </w:tc>
      </w:tr>
      <w:tr w:rsidR="006A5099" w:rsidRPr="005F1F83" w14:paraId="04A1FA42" w14:textId="77777777" w:rsidTr="006A5099">
        <w:trPr>
          <w:trHeight w:val="291"/>
        </w:trPr>
        <w:tc>
          <w:tcPr>
            <w:tcW w:w="1560" w:type="dxa"/>
            <w:shd w:val="clear" w:color="auto" w:fill="auto"/>
            <w:noWrap/>
            <w:hideMark/>
          </w:tcPr>
          <w:p w14:paraId="1E5C77DA" w14:textId="77777777" w:rsidR="006A5099" w:rsidRPr="006A5099" w:rsidRDefault="006A5099" w:rsidP="006A5099">
            <w:pPr>
              <w:pStyle w:val="TableText"/>
            </w:pPr>
            <w:r w:rsidRPr="006A5099">
              <w:t>Lakes</w:t>
            </w:r>
          </w:p>
        </w:tc>
        <w:tc>
          <w:tcPr>
            <w:tcW w:w="1134" w:type="dxa"/>
          </w:tcPr>
          <w:p w14:paraId="5C6EB4CB" w14:textId="77777777" w:rsidR="006A5099" w:rsidRPr="006A5099" w:rsidRDefault="006A5099" w:rsidP="006A5099">
            <w:pPr>
              <w:pStyle w:val="TableText"/>
              <w:jc w:val="right"/>
            </w:pPr>
            <w:r w:rsidRPr="006A5099">
              <w:t>55 (6.9)</w:t>
            </w:r>
          </w:p>
        </w:tc>
        <w:tc>
          <w:tcPr>
            <w:tcW w:w="992" w:type="dxa"/>
            <w:vAlign w:val="bottom"/>
          </w:tcPr>
          <w:p w14:paraId="1E1ABE58" w14:textId="77777777" w:rsidR="006A5099" w:rsidRPr="006A5099" w:rsidRDefault="006A5099" w:rsidP="006A5099">
            <w:pPr>
              <w:pStyle w:val="TableText"/>
              <w:jc w:val="right"/>
            </w:pPr>
            <w:r w:rsidRPr="006A5099">
              <w:t>56 (7.1)</w:t>
            </w:r>
          </w:p>
        </w:tc>
        <w:tc>
          <w:tcPr>
            <w:tcW w:w="1134" w:type="dxa"/>
            <w:shd w:val="clear" w:color="auto" w:fill="auto"/>
            <w:noWrap/>
            <w:vAlign w:val="center"/>
          </w:tcPr>
          <w:p w14:paraId="0304ED58" w14:textId="77777777" w:rsidR="006A5099" w:rsidRPr="006A5099" w:rsidRDefault="006A5099" w:rsidP="006A5099">
            <w:pPr>
              <w:pStyle w:val="TableText"/>
              <w:jc w:val="right"/>
            </w:pPr>
            <w:r w:rsidRPr="006A5099">
              <w:t>60 (7.7)</w:t>
            </w:r>
          </w:p>
        </w:tc>
        <w:tc>
          <w:tcPr>
            <w:tcW w:w="992" w:type="dxa"/>
            <w:vAlign w:val="center"/>
          </w:tcPr>
          <w:p w14:paraId="6F12055C" w14:textId="77777777" w:rsidR="006A5099" w:rsidRPr="006A5099" w:rsidRDefault="006A5099" w:rsidP="006A5099">
            <w:pPr>
              <w:pStyle w:val="TableText"/>
              <w:jc w:val="right"/>
            </w:pPr>
            <w:r w:rsidRPr="006A5099">
              <w:t>63 (8.1)</w:t>
            </w:r>
          </w:p>
        </w:tc>
        <w:tc>
          <w:tcPr>
            <w:tcW w:w="1134" w:type="dxa"/>
            <w:vAlign w:val="center"/>
          </w:tcPr>
          <w:p w14:paraId="216483B3" w14:textId="77777777" w:rsidR="006A5099" w:rsidRPr="006A5099" w:rsidRDefault="006A5099" w:rsidP="006A5099">
            <w:pPr>
              <w:pStyle w:val="TableText"/>
              <w:jc w:val="right"/>
            </w:pPr>
            <w:r w:rsidRPr="006A5099">
              <w:t>33 (5.7)</w:t>
            </w:r>
          </w:p>
        </w:tc>
        <w:tc>
          <w:tcPr>
            <w:tcW w:w="1134" w:type="dxa"/>
            <w:vAlign w:val="center"/>
          </w:tcPr>
          <w:p w14:paraId="281D3C60" w14:textId="77777777" w:rsidR="006A5099" w:rsidRPr="006A5099" w:rsidRDefault="006A5099" w:rsidP="006A5099">
            <w:pPr>
              <w:pStyle w:val="TableText"/>
              <w:jc w:val="right"/>
            </w:pPr>
            <w:r w:rsidRPr="006A5099">
              <w:t>37 (6.4)</w:t>
            </w:r>
          </w:p>
        </w:tc>
      </w:tr>
      <w:tr w:rsidR="006A5099" w:rsidRPr="005F1F83" w14:paraId="61E26888" w14:textId="77777777" w:rsidTr="006A5099">
        <w:trPr>
          <w:trHeight w:val="291"/>
        </w:trPr>
        <w:tc>
          <w:tcPr>
            <w:tcW w:w="1560" w:type="dxa"/>
            <w:shd w:val="clear" w:color="auto" w:fill="auto"/>
            <w:noWrap/>
            <w:hideMark/>
          </w:tcPr>
          <w:p w14:paraId="550A5F1C" w14:textId="77777777" w:rsidR="006A5099" w:rsidRPr="006A5099" w:rsidRDefault="006A5099" w:rsidP="006A5099">
            <w:pPr>
              <w:pStyle w:val="TableText"/>
            </w:pPr>
            <w:proofErr w:type="spellStart"/>
            <w:r w:rsidRPr="006A5099">
              <w:t>MidCentral</w:t>
            </w:r>
            <w:proofErr w:type="spellEnd"/>
          </w:p>
        </w:tc>
        <w:tc>
          <w:tcPr>
            <w:tcW w:w="1134" w:type="dxa"/>
          </w:tcPr>
          <w:p w14:paraId="09EFAAAA" w14:textId="77777777" w:rsidR="006A5099" w:rsidRPr="006A5099" w:rsidRDefault="006A5099" w:rsidP="006A5099">
            <w:pPr>
              <w:pStyle w:val="TableText"/>
              <w:jc w:val="right"/>
            </w:pPr>
            <w:r w:rsidRPr="006A5099">
              <w:t>32 (3.5)</w:t>
            </w:r>
          </w:p>
        </w:tc>
        <w:tc>
          <w:tcPr>
            <w:tcW w:w="992" w:type="dxa"/>
            <w:vAlign w:val="bottom"/>
          </w:tcPr>
          <w:p w14:paraId="4A72E80A" w14:textId="77777777" w:rsidR="006A5099" w:rsidRPr="006A5099" w:rsidRDefault="006A5099" w:rsidP="006A5099">
            <w:pPr>
              <w:pStyle w:val="TableText"/>
              <w:jc w:val="right"/>
            </w:pPr>
            <w:r w:rsidRPr="006A5099">
              <w:t>33 (3.7)</w:t>
            </w:r>
          </w:p>
        </w:tc>
        <w:tc>
          <w:tcPr>
            <w:tcW w:w="1134" w:type="dxa"/>
            <w:shd w:val="clear" w:color="auto" w:fill="auto"/>
            <w:noWrap/>
            <w:vAlign w:val="center"/>
          </w:tcPr>
          <w:p w14:paraId="353CAEE3" w14:textId="77777777" w:rsidR="006A5099" w:rsidRPr="006A5099" w:rsidRDefault="006A5099" w:rsidP="006A5099">
            <w:pPr>
              <w:pStyle w:val="TableText"/>
              <w:jc w:val="right"/>
            </w:pPr>
            <w:r w:rsidRPr="006A5099">
              <w:t>37 (3.6)</w:t>
            </w:r>
          </w:p>
        </w:tc>
        <w:tc>
          <w:tcPr>
            <w:tcW w:w="992" w:type="dxa"/>
            <w:vAlign w:val="center"/>
          </w:tcPr>
          <w:p w14:paraId="740DF97A" w14:textId="77777777" w:rsidR="006A5099" w:rsidRPr="006A5099" w:rsidRDefault="006A5099" w:rsidP="006A5099">
            <w:pPr>
              <w:pStyle w:val="TableText"/>
              <w:jc w:val="right"/>
            </w:pPr>
            <w:r w:rsidRPr="006A5099">
              <w:t>41 (3.9)</w:t>
            </w:r>
          </w:p>
        </w:tc>
        <w:tc>
          <w:tcPr>
            <w:tcW w:w="1134" w:type="dxa"/>
            <w:vAlign w:val="center"/>
          </w:tcPr>
          <w:p w14:paraId="5728B44E" w14:textId="77777777" w:rsidR="006A5099" w:rsidRPr="006A5099" w:rsidRDefault="006A5099" w:rsidP="006A5099">
            <w:pPr>
              <w:pStyle w:val="TableText"/>
              <w:jc w:val="right"/>
            </w:pPr>
            <w:r w:rsidRPr="006A5099">
              <w:t>42 (2.6)</w:t>
            </w:r>
          </w:p>
        </w:tc>
        <w:tc>
          <w:tcPr>
            <w:tcW w:w="1134" w:type="dxa"/>
            <w:vAlign w:val="center"/>
          </w:tcPr>
          <w:p w14:paraId="4F99FF42" w14:textId="77777777" w:rsidR="006A5099" w:rsidRPr="006A5099" w:rsidRDefault="006A5099" w:rsidP="006A5099">
            <w:pPr>
              <w:pStyle w:val="TableText"/>
              <w:jc w:val="right"/>
            </w:pPr>
            <w:r w:rsidRPr="006A5099">
              <w:t>54 (3.4)</w:t>
            </w:r>
          </w:p>
        </w:tc>
      </w:tr>
      <w:tr w:rsidR="006A5099" w:rsidRPr="005F1F83" w14:paraId="3588C11D" w14:textId="77777777" w:rsidTr="006A5099">
        <w:trPr>
          <w:trHeight w:val="291"/>
        </w:trPr>
        <w:tc>
          <w:tcPr>
            <w:tcW w:w="1560" w:type="dxa"/>
            <w:shd w:val="clear" w:color="auto" w:fill="auto"/>
            <w:noWrap/>
            <w:hideMark/>
          </w:tcPr>
          <w:p w14:paraId="45D11647" w14:textId="77777777" w:rsidR="006A5099" w:rsidRPr="006A5099" w:rsidRDefault="006A5099" w:rsidP="006A5099">
            <w:pPr>
              <w:pStyle w:val="TableText"/>
            </w:pPr>
            <w:r w:rsidRPr="006A5099">
              <w:t>Nelson Marlborough</w:t>
            </w:r>
          </w:p>
        </w:tc>
        <w:tc>
          <w:tcPr>
            <w:tcW w:w="1134" w:type="dxa"/>
          </w:tcPr>
          <w:p w14:paraId="015078B7" w14:textId="77777777" w:rsidR="006A5099" w:rsidRPr="006A5099" w:rsidRDefault="006A5099" w:rsidP="006A5099">
            <w:pPr>
              <w:pStyle w:val="TableText"/>
              <w:jc w:val="right"/>
            </w:pPr>
            <w:r w:rsidRPr="006A5099">
              <w:t>4 (1.2)</w:t>
            </w:r>
          </w:p>
        </w:tc>
        <w:tc>
          <w:tcPr>
            <w:tcW w:w="992" w:type="dxa"/>
            <w:vAlign w:val="bottom"/>
          </w:tcPr>
          <w:p w14:paraId="0733AC92" w14:textId="77777777" w:rsidR="006A5099" w:rsidRPr="006A5099" w:rsidRDefault="006A5099" w:rsidP="006A5099">
            <w:pPr>
              <w:pStyle w:val="TableText"/>
              <w:jc w:val="right"/>
            </w:pPr>
            <w:r w:rsidRPr="006A5099">
              <w:t>4 (1.2)</w:t>
            </w:r>
          </w:p>
        </w:tc>
        <w:tc>
          <w:tcPr>
            <w:tcW w:w="1134" w:type="dxa"/>
            <w:shd w:val="clear" w:color="auto" w:fill="auto"/>
            <w:noWrap/>
            <w:vAlign w:val="center"/>
          </w:tcPr>
          <w:p w14:paraId="64701755" w14:textId="77777777" w:rsidR="006A5099" w:rsidRPr="006A5099" w:rsidRDefault="006A5099" w:rsidP="006A5099">
            <w:pPr>
              <w:pStyle w:val="TableText"/>
              <w:jc w:val="right"/>
            </w:pPr>
            <w:r w:rsidRPr="006A5099">
              <w:t>5 (1.5)</w:t>
            </w:r>
          </w:p>
        </w:tc>
        <w:tc>
          <w:tcPr>
            <w:tcW w:w="992" w:type="dxa"/>
            <w:vAlign w:val="center"/>
          </w:tcPr>
          <w:p w14:paraId="3B3C095C" w14:textId="77777777" w:rsidR="006A5099" w:rsidRPr="006A5099" w:rsidRDefault="006A5099" w:rsidP="006A5099">
            <w:pPr>
              <w:pStyle w:val="TableText"/>
              <w:jc w:val="right"/>
            </w:pPr>
            <w:r w:rsidRPr="006A5099">
              <w:t>8 (2.4)</w:t>
            </w:r>
          </w:p>
        </w:tc>
        <w:tc>
          <w:tcPr>
            <w:tcW w:w="1134" w:type="dxa"/>
            <w:vAlign w:val="center"/>
          </w:tcPr>
          <w:p w14:paraId="093FD8C1" w14:textId="77777777" w:rsidR="006A5099" w:rsidRPr="006A5099" w:rsidRDefault="006A5099" w:rsidP="006A5099">
            <w:pPr>
              <w:pStyle w:val="TableText"/>
              <w:jc w:val="right"/>
            </w:pPr>
            <w:r w:rsidRPr="006A5099">
              <w:t>18 (5.7)</w:t>
            </w:r>
          </w:p>
        </w:tc>
        <w:tc>
          <w:tcPr>
            <w:tcW w:w="1134" w:type="dxa"/>
            <w:vAlign w:val="center"/>
          </w:tcPr>
          <w:p w14:paraId="716B1EC8" w14:textId="77777777" w:rsidR="006A5099" w:rsidRPr="006A5099" w:rsidRDefault="006A5099" w:rsidP="006A5099">
            <w:pPr>
              <w:pStyle w:val="TableText"/>
              <w:jc w:val="right"/>
            </w:pPr>
            <w:r w:rsidRPr="006A5099">
              <w:t>22 (7.0)</w:t>
            </w:r>
          </w:p>
        </w:tc>
      </w:tr>
      <w:tr w:rsidR="006A5099" w:rsidRPr="005F1F83" w14:paraId="08546044" w14:textId="77777777" w:rsidTr="006A5099">
        <w:trPr>
          <w:trHeight w:val="291"/>
        </w:trPr>
        <w:tc>
          <w:tcPr>
            <w:tcW w:w="1560" w:type="dxa"/>
            <w:shd w:val="clear" w:color="auto" w:fill="auto"/>
            <w:noWrap/>
            <w:hideMark/>
          </w:tcPr>
          <w:p w14:paraId="5A654316" w14:textId="77777777" w:rsidR="006A5099" w:rsidRPr="006A5099" w:rsidRDefault="006A5099" w:rsidP="006A5099">
            <w:pPr>
              <w:pStyle w:val="TableText"/>
            </w:pPr>
            <w:r w:rsidRPr="006A5099">
              <w:t>Northland</w:t>
            </w:r>
          </w:p>
        </w:tc>
        <w:tc>
          <w:tcPr>
            <w:tcW w:w="1134" w:type="dxa"/>
          </w:tcPr>
          <w:p w14:paraId="79CB7CC1" w14:textId="77777777" w:rsidR="006A5099" w:rsidRPr="006A5099" w:rsidRDefault="006A5099" w:rsidP="006A5099">
            <w:pPr>
              <w:pStyle w:val="TableText"/>
              <w:jc w:val="right"/>
            </w:pPr>
            <w:r w:rsidRPr="006A5099">
              <w:t>19 (4.6)</w:t>
            </w:r>
          </w:p>
        </w:tc>
        <w:tc>
          <w:tcPr>
            <w:tcW w:w="992" w:type="dxa"/>
            <w:vAlign w:val="bottom"/>
          </w:tcPr>
          <w:p w14:paraId="0E7DE92F" w14:textId="77777777" w:rsidR="006A5099" w:rsidRPr="006A5099" w:rsidRDefault="006A5099" w:rsidP="006A5099">
            <w:pPr>
              <w:pStyle w:val="TableText"/>
              <w:jc w:val="right"/>
            </w:pPr>
            <w:r w:rsidRPr="006A5099">
              <w:t>24 (5.8)</w:t>
            </w:r>
          </w:p>
        </w:tc>
        <w:tc>
          <w:tcPr>
            <w:tcW w:w="1134" w:type="dxa"/>
            <w:shd w:val="clear" w:color="auto" w:fill="auto"/>
            <w:noWrap/>
            <w:vAlign w:val="center"/>
          </w:tcPr>
          <w:p w14:paraId="0F67674D" w14:textId="77777777" w:rsidR="006A5099" w:rsidRPr="006A5099" w:rsidRDefault="006A5099" w:rsidP="006A5099">
            <w:pPr>
              <w:pStyle w:val="TableText"/>
              <w:jc w:val="right"/>
            </w:pPr>
            <w:r w:rsidRPr="006A5099">
              <w:t>22 (4.4)</w:t>
            </w:r>
          </w:p>
        </w:tc>
        <w:tc>
          <w:tcPr>
            <w:tcW w:w="992" w:type="dxa"/>
            <w:vAlign w:val="center"/>
          </w:tcPr>
          <w:p w14:paraId="0CF2A36F" w14:textId="77777777" w:rsidR="006A5099" w:rsidRPr="006A5099" w:rsidRDefault="006A5099" w:rsidP="006A5099">
            <w:pPr>
              <w:pStyle w:val="TableText"/>
              <w:jc w:val="right"/>
            </w:pPr>
            <w:r w:rsidRPr="006A5099">
              <w:t>33 (6.6)</w:t>
            </w:r>
          </w:p>
        </w:tc>
        <w:tc>
          <w:tcPr>
            <w:tcW w:w="1134" w:type="dxa"/>
            <w:vAlign w:val="center"/>
          </w:tcPr>
          <w:p w14:paraId="53747E1D" w14:textId="77777777" w:rsidR="006A5099" w:rsidRPr="006A5099" w:rsidRDefault="006A5099" w:rsidP="006A5099">
            <w:pPr>
              <w:pStyle w:val="TableText"/>
              <w:jc w:val="right"/>
            </w:pPr>
            <w:r w:rsidRPr="006A5099">
              <w:t>8 (2)</w:t>
            </w:r>
          </w:p>
        </w:tc>
        <w:tc>
          <w:tcPr>
            <w:tcW w:w="1134" w:type="dxa"/>
            <w:vAlign w:val="center"/>
          </w:tcPr>
          <w:p w14:paraId="3716FF7E" w14:textId="77777777" w:rsidR="006A5099" w:rsidRPr="006A5099" w:rsidRDefault="006A5099" w:rsidP="006A5099">
            <w:pPr>
              <w:pStyle w:val="TableText"/>
              <w:jc w:val="right"/>
            </w:pPr>
            <w:r w:rsidRPr="006A5099">
              <w:t>8 (2.0)</w:t>
            </w:r>
          </w:p>
        </w:tc>
      </w:tr>
      <w:tr w:rsidR="006A5099" w:rsidRPr="005F1F83" w14:paraId="5A825C96" w14:textId="77777777" w:rsidTr="006A5099">
        <w:trPr>
          <w:trHeight w:val="291"/>
        </w:trPr>
        <w:tc>
          <w:tcPr>
            <w:tcW w:w="1560" w:type="dxa"/>
            <w:shd w:val="clear" w:color="auto" w:fill="auto"/>
            <w:noWrap/>
            <w:hideMark/>
          </w:tcPr>
          <w:p w14:paraId="27FDBBDD" w14:textId="77777777" w:rsidR="006A5099" w:rsidRPr="006A5099" w:rsidRDefault="006A5099" w:rsidP="006A5099">
            <w:pPr>
              <w:pStyle w:val="TableText"/>
            </w:pPr>
            <w:r w:rsidRPr="006A5099">
              <w:t>South Canterbury</w:t>
            </w:r>
          </w:p>
        </w:tc>
        <w:tc>
          <w:tcPr>
            <w:tcW w:w="1134" w:type="dxa"/>
          </w:tcPr>
          <w:p w14:paraId="4C1CD8BD" w14:textId="5951808D" w:rsidR="006A5099" w:rsidRPr="006A5099" w:rsidRDefault="006A5099" w:rsidP="006A5099">
            <w:pPr>
              <w:pStyle w:val="TableText"/>
              <w:jc w:val="right"/>
            </w:pPr>
            <w:r w:rsidRPr="006A5099">
              <w:t>–</w:t>
            </w:r>
          </w:p>
        </w:tc>
        <w:tc>
          <w:tcPr>
            <w:tcW w:w="992" w:type="dxa"/>
          </w:tcPr>
          <w:p w14:paraId="09B3A122" w14:textId="26BD8853" w:rsidR="006A5099" w:rsidRPr="006A5099" w:rsidRDefault="006A5099" w:rsidP="006A5099">
            <w:pPr>
              <w:pStyle w:val="TableText"/>
              <w:jc w:val="right"/>
            </w:pPr>
            <w:r w:rsidRPr="006A5099">
              <w:t>–</w:t>
            </w:r>
          </w:p>
        </w:tc>
        <w:tc>
          <w:tcPr>
            <w:tcW w:w="1134" w:type="dxa"/>
            <w:shd w:val="clear" w:color="auto" w:fill="auto"/>
            <w:noWrap/>
            <w:vAlign w:val="center"/>
          </w:tcPr>
          <w:p w14:paraId="4B3939FE" w14:textId="5023AF98" w:rsidR="006A5099" w:rsidRPr="006A5099" w:rsidRDefault="006A5099" w:rsidP="006A5099">
            <w:pPr>
              <w:pStyle w:val="TableText"/>
              <w:jc w:val="right"/>
            </w:pPr>
            <w:r w:rsidRPr="006A5099">
              <w:t>–</w:t>
            </w:r>
          </w:p>
        </w:tc>
        <w:tc>
          <w:tcPr>
            <w:tcW w:w="992" w:type="dxa"/>
            <w:vAlign w:val="center"/>
          </w:tcPr>
          <w:p w14:paraId="6D72984B" w14:textId="04143316" w:rsidR="006A5099" w:rsidRPr="006A5099" w:rsidRDefault="006A5099" w:rsidP="006A5099">
            <w:pPr>
              <w:pStyle w:val="TableText"/>
              <w:jc w:val="right"/>
            </w:pPr>
            <w:r w:rsidRPr="006A5099">
              <w:t>–</w:t>
            </w:r>
          </w:p>
        </w:tc>
        <w:tc>
          <w:tcPr>
            <w:tcW w:w="1134" w:type="dxa"/>
            <w:vAlign w:val="center"/>
          </w:tcPr>
          <w:p w14:paraId="604958F9" w14:textId="77777777" w:rsidR="006A5099" w:rsidRPr="006A5099" w:rsidRDefault="006A5099" w:rsidP="006A5099">
            <w:pPr>
              <w:pStyle w:val="TableText"/>
              <w:jc w:val="right"/>
            </w:pPr>
            <w:r w:rsidRPr="006A5099">
              <w:t>1 (1.1)</w:t>
            </w:r>
          </w:p>
        </w:tc>
        <w:tc>
          <w:tcPr>
            <w:tcW w:w="1134" w:type="dxa"/>
            <w:vAlign w:val="center"/>
          </w:tcPr>
          <w:p w14:paraId="78E73FAA" w14:textId="77777777" w:rsidR="006A5099" w:rsidRPr="006A5099" w:rsidRDefault="006A5099" w:rsidP="006A5099">
            <w:pPr>
              <w:pStyle w:val="TableText"/>
              <w:jc w:val="right"/>
            </w:pPr>
            <w:r w:rsidRPr="006A5099">
              <w:t>3 (3.3)</w:t>
            </w:r>
          </w:p>
        </w:tc>
      </w:tr>
      <w:tr w:rsidR="006A5099" w:rsidRPr="005F1F83" w14:paraId="104BA812" w14:textId="77777777" w:rsidTr="006A5099">
        <w:trPr>
          <w:trHeight w:val="291"/>
        </w:trPr>
        <w:tc>
          <w:tcPr>
            <w:tcW w:w="1560" w:type="dxa"/>
            <w:shd w:val="clear" w:color="auto" w:fill="auto"/>
            <w:noWrap/>
            <w:hideMark/>
          </w:tcPr>
          <w:p w14:paraId="5626BBD6" w14:textId="77777777" w:rsidR="006A5099" w:rsidRPr="006A5099" w:rsidRDefault="006A5099" w:rsidP="006A5099">
            <w:pPr>
              <w:pStyle w:val="TableText"/>
            </w:pPr>
            <w:r w:rsidRPr="006A5099">
              <w:t>Southern</w:t>
            </w:r>
          </w:p>
        </w:tc>
        <w:tc>
          <w:tcPr>
            <w:tcW w:w="1134" w:type="dxa"/>
          </w:tcPr>
          <w:p w14:paraId="2700D650" w14:textId="77777777" w:rsidR="006A5099" w:rsidRPr="006A5099" w:rsidRDefault="006A5099" w:rsidP="006A5099">
            <w:pPr>
              <w:pStyle w:val="TableText"/>
              <w:jc w:val="right"/>
            </w:pPr>
            <w:r w:rsidRPr="006A5099">
              <w:t>70 (7.1)</w:t>
            </w:r>
          </w:p>
        </w:tc>
        <w:tc>
          <w:tcPr>
            <w:tcW w:w="992" w:type="dxa"/>
            <w:vAlign w:val="bottom"/>
          </w:tcPr>
          <w:p w14:paraId="662A7F2C" w14:textId="77777777" w:rsidR="006A5099" w:rsidRPr="006A5099" w:rsidRDefault="006A5099" w:rsidP="006A5099">
            <w:pPr>
              <w:pStyle w:val="TableText"/>
              <w:jc w:val="right"/>
            </w:pPr>
            <w:r w:rsidRPr="006A5099">
              <w:t>73 (7.4)</w:t>
            </w:r>
          </w:p>
        </w:tc>
        <w:tc>
          <w:tcPr>
            <w:tcW w:w="1134" w:type="dxa"/>
            <w:shd w:val="clear" w:color="auto" w:fill="auto"/>
            <w:noWrap/>
            <w:vAlign w:val="center"/>
          </w:tcPr>
          <w:p w14:paraId="075D9919" w14:textId="77777777" w:rsidR="006A5099" w:rsidRPr="006A5099" w:rsidRDefault="006A5099" w:rsidP="006A5099">
            <w:pPr>
              <w:pStyle w:val="TableText"/>
              <w:jc w:val="right"/>
            </w:pPr>
            <w:r w:rsidRPr="006A5099">
              <w:t>55 (6.4)</w:t>
            </w:r>
          </w:p>
        </w:tc>
        <w:tc>
          <w:tcPr>
            <w:tcW w:w="992" w:type="dxa"/>
            <w:vAlign w:val="center"/>
          </w:tcPr>
          <w:p w14:paraId="2CC70CF4" w14:textId="77777777" w:rsidR="006A5099" w:rsidRPr="006A5099" w:rsidRDefault="006A5099" w:rsidP="006A5099">
            <w:pPr>
              <w:pStyle w:val="TableText"/>
              <w:jc w:val="right"/>
            </w:pPr>
            <w:r w:rsidRPr="006A5099">
              <w:t>56 (6.5)</w:t>
            </w:r>
          </w:p>
        </w:tc>
        <w:tc>
          <w:tcPr>
            <w:tcW w:w="1134" w:type="dxa"/>
            <w:vAlign w:val="center"/>
          </w:tcPr>
          <w:p w14:paraId="6B48C14F" w14:textId="77777777" w:rsidR="006A5099" w:rsidRPr="006A5099" w:rsidRDefault="006A5099" w:rsidP="006A5099">
            <w:pPr>
              <w:pStyle w:val="TableText"/>
              <w:jc w:val="right"/>
            </w:pPr>
            <w:r w:rsidRPr="006A5099">
              <w:t>42 (7.4)</w:t>
            </w:r>
          </w:p>
        </w:tc>
        <w:tc>
          <w:tcPr>
            <w:tcW w:w="1134" w:type="dxa"/>
            <w:vAlign w:val="center"/>
          </w:tcPr>
          <w:p w14:paraId="612CD747" w14:textId="77777777" w:rsidR="006A5099" w:rsidRPr="006A5099" w:rsidRDefault="006A5099" w:rsidP="006A5099">
            <w:pPr>
              <w:pStyle w:val="TableText"/>
              <w:jc w:val="right"/>
            </w:pPr>
            <w:r w:rsidRPr="006A5099">
              <w:t>54 (9.5)</w:t>
            </w:r>
          </w:p>
        </w:tc>
      </w:tr>
      <w:tr w:rsidR="006A5099" w:rsidRPr="005F1F83" w14:paraId="3F715CA9" w14:textId="77777777" w:rsidTr="006A5099">
        <w:trPr>
          <w:trHeight w:val="291"/>
        </w:trPr>
        <w:tc>
          <w:tcPr>
            <w:tcW w:w="1560" w:type="dxa"/>
            <w:shd w:val="clear" w:color="auto" w:fill="auto"/>
            <w:noWrap/>
            <w:hideMark/>
          </w:tcPr>
          <w:p w14:paraId="417B75E2" w14:textId="15F896CE" w:rsidR="006A5099" w:rsidRPr="006A5099" w:rsidRDefault="006A5099" w:rsidP="006A5099">
            <w:pPr>
              <w:pStyle w:val="TableText"/>
            </w:pPr>
            <w:proofErr w:type="spellStart"/>
            <w:r w:rsidRPr="006A5099">
              <w:t>Tairāwhiti</w:t>
            </w:r>
            <w:proofErr w:type="spellEnd"/>
          </w:p>
        </w:tc>
        <w:tc>
          <w:tcPr>
            <w:tcW w:w="1134" w:type="dxa"/>
          </w:tcPr>
          <w:p w14:paraId="3866338C" w14:textId="77777777" w:rsidR="006A5099" w:rsidRPr="006A5099" w:rsidRDefault="006A5099" w:rsidP="006A5099">
            <w:pPr>
              <w:pStyle w:val="TableText"/>
              <w:jc w:val="right"/>
            </w:pPr>
            <w:r w:rsidRPr="006A5099">
              <w:t>1 (0.6)</w:t>
            </w:r>
          </w:p>
        </w:tc>
        <w:tc>
          <w:tcPr>
            <w:tcW w:w="992" w:type="dxa"/>
            <w:vAlign w:val="bottom"/>
          </w:tcPr>
          <w:p w14:paraId="43D45089" w14:textId="77777777" w:rsidR="006A5099" w:rsidRPr="006A5099" w:rsidRDefault="006A5099" w:rsidP="006A5099">
            <w:pPr>
              <w:pStyle w:val="TableText"/>
              <w:jc w:val="right"/>
            </w:pPr>
            <w:r w:rsidRPr="006A5099">
              <w:t>1 (0.6)</w:t>
            </w:r>
          </w:p>
        </w:tc>
        <w:tc>
          <w:tcPr>
            <w:tcW w:w="1134" w:type="dxa"/>
            <w:shd w:val="clear" w:color="auto" w:fill="auto"/>
            <w:noWrap/>
            <w:vAlign w:val="center"/>
          </w:tcPr>
          <w:p w14:paraId="432266F8" w14:textId="77777777" w:rsidR="006A5099" w:rsidRPr="006A5099" w:rsidRDefault="006A5099" w:rsidP="006A5099">
            <w:pPr>
              <w:pStyle w:val="TableText"/>
              <w:jc w:val="right"/>
            </w:pPr>
            <w:r w:rsidRPr="006A5099">
              <w:t>3 (1.4)</w:t>
            </w:r>
          </w:p>
        </w:tc>
        <w:tc>
          <w:tcPr>
            <w:tcW w:w="992" w:type="dxa"/>
            <w:vAlign w:val="center"/>
          </w:tcPr>
          <w:p w14:paraId="19D511B6" w14:textId="77777777" w:rsidR="006A5099" w:rsidRPr="006A5099" w:rsidRDefault="006A5099" w:rsidP="006A5099">
            <w:pPr>
              <w:pStyle w:val="TableText"/>
              <w:jc w:val="right"/>
            </w:pPr>
            <w:r w:rsidRPr="006A5099">
              <w:t>3 (1.4)</w:t>
            </w:r>
          </w:p>
        </w:tc>
        <w:tc>
          <w:tcPr>
            <w:tcW w:w="1134" w:type="dxa"/>
            <w:vAlign w:val="center"/>
          </w:tcPr>
          <w:p w14:paraId="1E152FE3" w14:textId="77777777" w:rsidR="006A5099" w:rsidRPr="006A5099" w:rsidRDefault="006A5099" w:rsidP="006A5099">
            <w:pPr>
              <w:pStyle w:val="TableText"/>
              <w:jc w:val="right"/>
            </w:pPr>
            <w:r w:rsidRPr="006A5099">
              <w:t>7 (3.6)</w:t>
            </w:r>
          </w:p>
        </w:tc>
        <w:tc>
          <w:tcPr>
            <w:tcW w:w="1134" w:type="dxa"/>
            <w:vAlign w:val="center"/>
          </w:tcPr>
          <w:p w14:paraId="2DDAD6DB" w14:textId="77777777" w:rsidR="006A5099" w:rsidRPr="006A5099" w:rsidRDefault="006A5099" w:rsidP="006A5099">
            <w:pPr>
              <w:pStyle w:val="TableText"/>
              <w:jc w:val="right"/>
            </w:pPr>
            <w:r w:rsidRPr="006A5099">
              <w:t>10 (5.2)</w:t>
            </w:r>
          </w:p>
        </w:tc>
      </w:tr>
      <w:tr w:rsidR="006A5099" w:rsidRPr="005F1F83" w14:paraId="1E77C6DA" w14:textId="77777777" w:rsidTr="006A5099">
        <w:trPr>
          <w:trHeight w:val="291"/>
        </w:trPr>
        <w:tc>
          <w:tcPr>
            <w:tcW w:w="1560" w:type="dxa"/>
            <w:shd w:val="clear" w:color="auto" w:fill="auto"/>
            <w:noWrap/>
            <w:hideMark/>
          </w:tcPr>
          <w:p w14:paraId="7AFC95B5" w14:textId="77777777" w:rsidR="006A5099" w:rsidRPr="006A5099" w:rsidRDefault="006A5099" w:rsidP="006A5099">
            <w:pPr>
              <w:pStyle w:val="TableText"/>
            </w:pPr>
            <w:r w:rsidRPr="006A5099">
              <w:t>Taranaki</w:t>
            </w:r>
          </w:p>
        </w:tc>
        <w:tc>
          <w:tcPr>
            <w:tcW w:w="1134" w:type="dxa"/>
          </w:tcPr>
          <w:p w14:paraId="47084A8C" w14:textId="77777777" w:rsidR="006A5099" w:rsidRPr="006A5099" w:rsidRDefault="006A5099" w:rsidP="006A5099">
            <w:pPr>
              <w:pStyle w:val="TableText"/>
              <w:jc w:val="right"/>
            </w:pPr>
            <w:r w:rsidRPr="006A5099">
              <w:t>12 (3.9)</w:t>
            </w:r>
          </w:p>
        </w:tc>
        <w:tc>
          <w:tcPr>
            <w:tcW w:w="992" w:type="dxa"/>
            <w:vAlign w:val="bottom"/>
          </w:tcPr>
          <w:p w14:paraId="2420B833" w14:textId="77777777" w:rsidR="006A5099" w:rsidRPr="006A5099" w:rsidRDefault="006A5099" w:rsidP="006A5099">
            <w:pPr>
              <w:pStyle w:val="TableText"/>
              <w:jc w:val="right"/>
            </w:pPr>
            <w:r w:rsidRPr="006A5099">
              <w:t>18 (5.9)</w:t>
            </w:r>
          </w:p>
        </w:tc>
        <w:tc>
          <w:tcPr>
            <w:tcW w:w="1134" w:type="dxa"/>
            <w:shd w:val="clear" w:color="auto" w:fill="auto"/>
            <w:noWrap/>
            <w:vAlign w:val="center"/>
          </w:tcPr>
          <w:p w14:paraId="1647401E" w14:textId="77777777" w:rsidR="006A5099" w:rsidRPr="006A5099" w:rsidRDefault="006A5099" w:rsidP="006A5099">
            <w:pPr>
              <w:pStyle w:val="TableText"/>
              <w:jc w:val="right"/>
            </w:pPr>
            <w:r w:rsidRPr="006A5099">
              <w:t>4 (1.2)</w:t>
            </w:r>
          </w:p>
        </w:tc>
        <w:tc>
          <w:tcPr>
            <w:tcW w:w="992" w:type="dxa"/>
            <w:vAlign w:val="center"/>
          </w:tcPr>
          <w:p w14:paraId="46736C3B" w14:textId="77777777" w:rsidR="006A5099" w:rsidRPr="006A5099" w:rsidRDefault="006A5099" w:rsidP="006A5099">
            <w:pPr>
              <w:pStyle w:val="TableText"/>
              <w:jc w:val="right"/>
            </w:pPr>
            <w:r w:rsidRPr="006A5099">
              <w:t>8 (2.4)</w:t>
            </w:r>
          </w:p>
        </w:tc>
        <w:tc>
          <w:tcPr>
            <w:tcW w:w="1134" w:type="dxa"/>
            <w:vAlign w:val="center"/>
          </w:tcPr>
          <w:p w14:paraId="550BE927" w14:textId="77777777" w:rsidR="006A5099" w:rsidRPr="006A5099" w:rsidRDefault="006A5099" w:rsidP="006A5099">
            <w:pPr>
              <w:pStyle w:val="TableText"/>
              <w:jc w:val="right"/>
            </w:pPr>
            <w:r w:rsidRPr="006A5099">
              <w:t>3 (1.3)</w:t>
            </w:r>
          </w:p>
        </w:tc>
        <w:tc>
          <w:tcPr>
            <w:tcW w:w="1134" w:type="dxa"/>
            <w:vAlign w:val="center"/>
          </w:tcPr>
          <w:p w14:paraId="44FC4F37" w14:textId="77777777" w:rsidR="006A5099" w:rsidRPr="006A5099" w:rsidRDefault="006A5099" w:rsidP="006A5099">
            <w:pPr>
              <w:pStyle w:val="TableText"/>
              <w:jc w:val="right"/>
            </w:pPr>
            <w:r w:rsidRPr="006A5099">
              <w:t>4 (1.8)</w:t>
            </w:r>
          </w:p>
        </w:tc>
      </w:tr>
      <w:tr w:rsidR="006A5099" w:rsidRPr="005F1F83" w14:paraId="1048EF37" w14:textId="77777777" w:rsidTr="006A5099">
        <w:trPr>
          <w:trHeight w:val="291"/>
        </w:trPr>
        <w:tc>
          <w:tcPr>
            <w:tcW w:w="1560" w:type="dxa"/>
            <w:shd w:val="clear" w:color="auto" w:fill="auto"/>
            <w:noWrap/>
            <w:hideMark/>
          </w:tcPr>
          <w:p w14:paraId="741452D0" w14:textId="77777777" w:rsidR="006A5099" w:rsidRPr="006A5099" w:rsidRDefault="006A5099" w:rsidP="006A5099">
            <w:pPr>
              <w:pStyle w:val="TableText"/>
            </w:pPr>
            <w:r w:rsidRPr="006A5099">
              <w:t>Waikato</w:t>
            </w:r>
          </w:p>
        </w:tc>
        <w:tc>
          <w:tcPr>
            <w:tcW w:w="1134" w:type="dxa"/>
          </w:tcPr>
          <w:p w14:paraId="4AB9E98D" w14:textId="7CBE1F12" w:rsidR="006A5099" w:rsidRPr="006A5099" w:rsidRDefault="006A5099" w:rsidP="00CD6572">
            <w:pPr>
              <w:pStyle w:val="TableText"/>
              <w:jc w:val="right"/>
            </w:pPr>
            <w:r w:rsidRPr="006A5099">
              <w:t>17 (1.7)</w:t>
            </w:r>
          </w:p>
        </w:tc>
        <w:tc>
          <w:tcPr>
            <w:tcW w:w="992" w:type="dxa"/>
            <w:vAlign w:val="bottom"/>
          </w:tcPr>
          <w:p w14:paraId="5941A6F4" w14:textId="77777777" w:rsidR="006A5099" w:rsidRPr="006A5099" w:rsidRDefault="006A5099" w:rsidP="006A5099">
            <w:pPr>
              <w:pStyle w:val="TableText"/>
              <w:jc w:val="right"/>
            </w:pPr>
            <w:r w:rsidRPr="006A5099">
              <w:t>27 (2.7)</w:t>
            </w:r>
          </w:p>
        </w:tc>
        <w:tc>
          <w:tcPr>
            <w:tcW w:w="1134" w:type="dxa"/>
            <w:shd w:val="clear" w:color="auto" w:fill="auto"/>
            <w:noWrap/>
            <w:vAlign w:val="center"/>
          </w:tcPr>
          <w:p w14:paraId="46AECB96" w14:textId="77777777" w:rsidR="006A5099" w:rsidRPr="006A5099" w:rsidRDefault="006A5099" w:rsidP="006A5099">
            <w:pPr>
              <w:pStyle w:val="TableText"/>
              <w:jc w:val="right"/>
            </w:pPr>
            <w:r w:rsidRPr="006A5099">
              <w:t>3 (0.3)</w:t>
            </w:r>
          </w:p>
        </w:tc>
        <w:tc>
          <w:tcPr>
            <w:tcW w:w="992" w:type="dxa"/>
            <w:vAlign w:val="center"/>
          </w:tcPr>
          <w:p w14:paraId="3AC51761" w14:textId="77777777" w:rsidR="006A5099" w:rsidRPr="006A5099" w:rsidRDefault="006A5099" w:rsidP="006A5099">
            <w:pPr>
              <w:pStyle w:val="TableText"/>
              <w:jc w:val="right"/>
            </w:pPr>
            <w:r w:rsidRPr="006A5099">
              <w:t>6 (0.6)</w:t>
            </w:r>
          </w:p>
        </w:tc>
        <w:tc>
          <w:tcPr>
            <w:tcW w:w="1134" w:type="dxa"/>
            <w:vAlign w:val="center"/>
          </w:tcPr>
          <w:p w14:paraId="361EAE91" w14:textId="77777777" w:rsidR="006A5099" w:rsidRPr="006A5099" w:rsidRDefault="006A5099" w:rsidP="006A5099">
            <w:pPr>
              <w:pStyle w:val="TableText"/>
              <w:jc w:val="right"/>
            </w:pPr>
            <w:r w:rsidRPr="006A5099">
              <w:t>8 (1.2)</w:t>
            </w:r>
          </w:p>
        </w:tc>
        <w:tc>
          <w:tcPr>
            <w:tcW w:w="1134" w:type="dxa"/>
            <w:vAlign w:val="center"/>
          </w:tcPr>
          <w:p w14:paraId="521BD1B5" w14:textId="77777777" w:rsidR="006A5099" w:rsidRPr="006A5099" w:rsidRDefault="006A5099" w:rsidP="006A5099">
            <w:pPr>
              <w:pStyle w:val="TableText"/>
              <w:jc w:val="right"/>
            </w:pPr>
            <w:r w:rsidRPr="006A5099">
              <w:t>10 (1.5)</w:t>
            </w:r>
          </w:p>
        </w:tc>
      </w:tr>
      <w:tr w:rsidR="006A5099" w:rsidRPr="005F1F83" w14:paraId="39A81C23" w14:textId="77777777" w:rsidTr="006A5099">
        <w:trPr>
          <w:trHeight w:val="291"/>
        </w:trPr>
        <w:tc>
          <w:tcPr>
            <w:tcW w:w="1560" w:type="dxa"/>
            <w:shd w:val="clear" w:color="auto" w:fill="auto"/>
            <w:noWrap/>
          </w:tcPr>
          <w:p w14:paraId="590DB804" w14:textId="77777777" w:rsidR="006A5099" w:rsidRPr="006A5099" w:rsidRDefault="006A5099" w:rsidP="006A5099">
            <w:pPr>
              <w:pStyle w:val="TableText"/>
            </w:pPr>
            <w:r w:rsidRPr="006A5099">
              <w:t>Wairarapa</w:t>
            </w:r>
          </w:p>
        </w:tc>
        <w:tc>
          <w:tcPr>
            <w:tcW w:w="1134" w:type="dxa"/>
          </w:tcPr>
          <w:p w14:paraId="7E5963A4" w14:textId="24BAE542" w:rsidR="006A5099" w:rsidRPr="006A5099" w:rsidRDefault="006A5099" w:rsidP="006A5099">
            <w:pPr>
              <w:pStyle w:val="TableText"/>
              <w:jc w:val="right"/>
            </w:pPr>
            <w:r w:rsidRPr="006A5099">
              <w:t>–</w:t>
            </w:r>
          </w:p>
        </w:tc>
        <w:tc>
          <w:tcPr>
            <w:tcW w:w="992" w:type="dxa"/>
            <w:vAlign w:val="bottom"/>
          </w:tcPr>
          <w:p w14:paraId="465083E3" w14:textId="30F9E839" w:rsidR="006A5099" w:rsidRPr="006A5099" w:rsidRDefault="006A5099" w:rsidP="006A5099">
            <w:pPr>
              <w:pStyle w:val="TableText"/>
              <w:jc w:val="right"/>
            </w:pPr>
            <w:r w:rsidRPr="006A5099">
              <w:t>–</w:t>
            </w:r>
          </w:p>
        </w:tc>
        <w:tc>
          <w:tcPr>
            <w:tcW w:w="1134" w:type="dxa"/>
            <w:shd w:val="clear" w:color="auto" w:fill="auto"/>
            <w:noWrap/>
          </w:tcPr>
          <w:p w14:paraId="19E0784E" w14:textId="7E4EA4FA" w:rsidR="006A5099" w:rsidRPr="006A5099" w:rsidRDefault="006A5099" w:rsidP="006A5099">
            <w:pPr>
              <w:pStyle w:val="TableText"/>
              <w:jc w:val="right"/>
            </w:pPr>
            <w:r w:rsidRPr="006A5099">
              <w:t>–</w:t>
            </w:r>
          </w:p>
        </w:tc>
        <w:tc>
          <w:tcPr>
            <w:tcW w:w="992" w:type="dxa"/>
          </w:tcPr>
          <w:p w14:paraId="5373FDD5" w14:textId="2A1BF598" w:rsidR="006A5099" w:rsidRPr="006A5099" w:rsidRDefault="006A5099" w:rsidP="006A5099">
            <w:pPr>
              <w:pStyle w:val="TableText"/>
              <w:jc w:val="right"/>
            </w:pPr>
            <w:r w:rsidRPr="006A5099">
              <w:t>–</w:t>
            </w:r>
          </w:p>
        </w:tc>
        <w:tc>
          <w:tcPr>
            <w:tcW w:w="1134" w:type="dxa"/>
            <w:vAlign w:val="center"/>
          </w:tcPr>
          <w:p w14:paraId="23DDC8BF" w14:textId="77777777" w:rsidR="006A5099" w:rsidRPr="006A5099" w:rsidRDefault="006A5099" w:rsidP="006A5099">
            <w:pPr>
              <w:pStyle w:val="TableText"/>
              <w:jc w:val="right"/>
            </w:pPr>
            <w:r w:rsidRPr="006A5099">
              <w:t>1 (100)</w:t>
            </w:r>
          </w:p>
        </w:tc>
        <w:tc>
          <w:tcPr>
            <w:tcW w:w="1134" w:type="dxa"/>
            <w:vAlign w:val="center"/>
          </w:tcPr>
          <w:p w14:paraId="0E6AFE3D" w14:textId="77777777" w:rsidR="006A5099" w:rsidRPr="006A5099" w:rsidRDefault="006A5099" w:rsidP="006A5099">
            <w:pPr>
              <w:pStyle w:val="TableText"/>
              <w:jc w:val="right"/>
            </w:pPr>
            <w:r w:rsidRPr="006A5099">
              <w:t>1 (100)</w:t>
            </w:r>
          </w:p>
        </w:tc>
      </w:tr>
      <w:tr w:rsidR="006A5099" w:rsidRPr="005F1F83" w14:paraId="2350B383" w14:textId="77777777" w:rsidTr="006A5099">
        <w:trPr>
          <w:trHeight w:val="291"/>
        </w:trPr>
        <w:tc>
          <w:tcPr>
            <w:tcW w:w="1560" w:type="dxa"/>
            <w:shd w:val="clear" w:color="auto" w:fill="auto"/>
            <w:noWrap/>
          </w:tcPr>
          <w:p w14:paraId="014C4A7A" w14:textId="0DA99BEB" w:rsidR="006A5099" w:rsidRPr="006A5099" w:rsidRDefault="006A5099" w:rsidP="006A5099">
            <w:pPr>
              <w:pStyle w:val="TableText"/>
            </w:pPr>
            <w:proofErr w:type="spellStart"/>
            <w:r w:rsidRPr="006A5099">
              <w:t>Waitematā</w:t>
            </w:r>
            <w:proofErr w:type="spellEnd"/>
          </w:p>
        </w:tc>
        <w:tc>
          <w:tcPr>
            <w:tcW w:w="1134" w:type="dxa"/>
          </w:tcPr>
          <w:p w14:paraId="66D1E30A" w14:textId="3ECF35BA" w:rsidR="006A5099" w:rsidRPr="006A5099" w:rsidRDefault="006A5099" w:rsidP="006A5099">
            <w:pPr>
              <w:pStyle w:val="TableText"/>
              <w:jc w:val="right"/>
            </w:pPr>
            <w:r w:rsidRPr="006A5099">
              <w:t>–</w:t>
            </w:r>
          </w:p>
        </w:tc>
        <w:tc>
          <w:tcPr>
            <w:tcW w:w="992" w:type="dxa"/>
            <w:vAlign w:val="bottom"/>
          </w:tcPr>
          <w:p w14:paraId="1CFFE3BB" w14:textId="77777777" w:rsidR="006A5099" w:rsidRPr="006A5099" w:rsidRDefault="006A5099" w:rsidP="006A5099">
            <w:pPr>
              <w:pStyle w:val="TableText"/>
              <w:jc w:val="right"/>
            </w:pPr>
            <w:r w:rsidRPr="006A5099">
              <w:t>44 (97.8)</w:t>
            </w:r>
          </w:p>
        </w:tc>
        <w:tc>
          <w:tcPr>
            <w:tcW w:w="1134" w:type="dxa"/>
            <w:shd w:val="clear" w:color="auto" w:fill="auto"/>
            <w:noWrap/>
            <w:vAlign w:val="center"/>
          </w:tcPr>
          <w:p w14:paraId="1FD04DDC" w14:textId="77777777" w:rsidR="006A5099" w:rsidRPr="006A5099" w:rsidRDefault="006A5099" w:rsidP="006A5099">
            <w:pPr>
              <w:pStyle w:val="TableText"/>
              <w:jc w:val="right"/>
            </w:pPr>
            <w:r w:rsidRPr="006A5099">
              <w:t>7 (8.8)</w:t>
            </w:r>
          </w:p>
        </w:tc>
        <w:tc>
          <w:tcPr>
            <w:tcW w:w="992" w:type="dxa"/>
            <w:vAlign w:val="center"/>
          </w:tcPr>
          <w:p w14:paraId="1547AAFF" w14:textId="77777777" w:rsidR="006A5099" w:rsidRPr="006A5099" w:rsidRDefault="006A5099" w:rsidP="006A5099">
            <w:pPr>
              <w:pStyle w:val="TableText"/>
              <w:jc w:val="right"/>
            </w:pPr>
            <w:r w:rsidRPr="006A5099">
              <w:t>64 (80)</w:t>
            </w:r>
          </w:p>
        </w:tc>
        <w:tc>
          <w:tcPr>
            <w:tcW w:w="1134" w:type="dxa"/>
            <w:vAlign w:val="center"/>
          </w:tcPr>
          <w:p w14:paraId="7977A358" w14:textId="77777777" w:rsidR="006A5099" w:rsidRPr="006A5099" w:rsidRDefault="006A5099" w:rsidP="006A5099">
            <w:pPr>
              <w:pStyle w:val="TableText"/>
              <w:jc w:val="right"/>
            </w:pPr>
            <w:r w:rsidRPr="006A5099">
              <w:t>14 (8)</w:t>
            </w:r>
          </w:p>
        </w:tc>
        <w:tc>
          <w:tcPr>
            <w:tcW w:w="1134" w:type="dxa"/>
            <w:vAlign w:val="center"/>
          </w:tcPr>
          <w:p w14:paraId="7DC25556" w14:textId="77777777" w:rsidR="006A5099" w:rsidRPr="006A5099" w:rsidRDefault="006A5099" w:rsidP="006A5099">
            <w:pPr>
              <w:pStyle w:val="TableText"/>
              <w:jc w:val="right"/>
            </w:pPr>
            <w:r w:rsidRPr="006A5099">
              <w:t>68 (38.9)</w:t>
            </w:r>
          </w:p>
        </w:tc>
      </w:tr>
      <w:tr w:rsidR="006A5099" w:rsidRPr="005F1F83" w14:paraId="2C454EBC" w14:textId="77777777" w:rsidTr="006A5099">
        <w:trPr>
          <w:trHeight w:val="291"/>
        </w:trPr>
        <w:tc>
          <w:tcPr>
            <w:tcW w:w="1560" w:type="dxa"/>
            <w:shd w:val="clear" w:color="auto" w:fill="auto"/>
            <w:noWrap/>
          </w:tcPr>
          <w:p w14:paraId="6A037863" w14:textId="77777777" w:rsidR="006A5099" w:rsidRPr="006A5099" w:rsidRDefault="006A5099" w:rsidP="006A5099">
            <w:pPr>
              <w:pStyle w:val="TableText"/>
            </w:pPr>
            <w:r w:rsidRPr="006A5099">
              <w:t>West Coast</w:t>
            </w:r>
          </w:p>
        </w:tc>
        <w:tc>
          <w:tcPr>
            <w:tcW w:w="1134" w:type="dxa"/>
          </w:tcPr>
          <w:p w14:paraId="222E58F7" w14:textId="2E4CF29E" w:rsidR="006A5099" w:rsidRPr="006A5099" w:rsidRDefault="006A5099" w:rsidP="006A5099">
            <w:pPr>
              <w:pStyle w:val="TableText"/>
              <w:jc w:val="right"/>
            </w:pPr>
            <w:r w:rsidRPr="006A5099">
              <w:t>–</w:t>
            </w:r>
          </w:p>
        </w:tc>
        <w:tc>
          <w:tcPr>
            <w:tcW w:w="992" w:type="dxa"/>
          </w:tcPr>
          <w:p w14:paraId="6717BDE4" w14:textId="59046D44" w:rsidR="006A5099" w:rsidRPr="006A5099" w:rsidRDefault="006A5099" w:rsidP="006A5099">
            <w:pPr>
              <w:pStyle w:val="TableText"/>
              <w:jc w:val="right"/>
            </w:pPr>
            <w:r w:rsidRPr="006A5099">
              <w:t>–</w:t>
            </w:r>
          </w:p>
        </w:tc>
        <w:tc>
          <w:tcPr>
            <w:tcW w:w="1134" w:type="dxa"/>
            <w:shd w:val="clear" w:color="auto" w:fill="auto"/>
            <w:noWrap/>
          </w:tcPr>
          <w:p w14:paraId="14DCBC95" w14:textId="19E0A9B0" w:rsidR="006A5099" w:rsidRPr="006A5099" w:rsidRDefault="006A5099" w:rsidP="006A5099">
            <w:pPr>
              <w:pStyle w:val="TableText"/>
              <w:jc w:val="right"/>
            </w:pPr>
            <w:r w:rsidRPr="006A5099">
              <w:t>–</w:t>
            </w:r>
          </w:p>
        </w:tc>
        <w:tc>
          <w:tcPr>
            <w:tcW w:w="992" w:type="dxa"/>
          </w:tcPr>
          <w:p w14:paraId="733B510E" w14:textId="5ADA9290" w:rsidR="006A5099" w:rsidRPr="006A5099" w:rsidRDefault="006A5099" w:rsidP="006A5099">
            <w:pPr>
              <w:pStyle w:val="TableText"/>
              <w:jc w:val="right"/>
            </w:pPr>
            <w:r w:rsidRPr="006A5099">
              <w:t>–</w:t>
            </w:r>
          </w:p>
        </w:tc>
        <w:tc>
          <w:tcPr>
            <w:tcW w:w="1134" w:type="dxa"/>
            <w:vAlign w:val="center"/>
          </w:tcPr>
          <w:p w14:paraId="45A17761" w14:textId="0E357F0C" w:rsidR="006A5099" w:rsidRPr="006A5099" w:rsidRDefault="006A5099" w:rsidP="006A5099">
            <w:pPr>
              <w:pStyle w:val="TableText"/>
              <w:jc w:val="right"/>
            </w:pPr>
            <w:r w:rsidRPr="006A5099">
              <w:t>–</w:t>
            </w:r>
          </w:p>
        </w:tc>
        <w:tc>
          <w:tcPr>
            <w:tcW w:w="1134" w:type="dxa"/>
            <w:vAlign w:val="center"/>
          </w:tcPr>
          <w:p w14:paraId="5E6D904A" w14:textId="3557B5F1" w:rsidR="006A5099" w:rsidRPr="006A5099" w:rsidRDefault="006A5099" w:rsidP="006A5099">
            <w:pPr>
              <w:pStyle w:val="TableText"/>
              <w:jc w:val="right"/>
            </w:pPr>
            <w:r w:rsidRPr="006A5099">
              <w:t>–</w:t>
            </w:r>
          </w:p>
        </w:tc>
      </w:tr>
      <w:tr w:rsidR="006A5099" w:rsidRPr="005F1F83" w14:paraId="67616CF7" w14:textId="77777777" w:rsidTr="006A5099">
        <w:trPr>
          <w:trHeight w:val="291"/>
        </w:trPr>
        <w:tc>
          <w:tcPr>
            <w:tcW w:w="1560" w:type="dxa"/>
            <w:shd w:val="clear" w:color="auto" w:fill="auto"/>
            <w:noWrap/>
          </w:tcPr>
          <w:p w14:paraId="79EA52B1" w14:textId="77777777" w:rsidR="006A5099" w:rsidRPr="006A5099" w:rsidRDefault="006A5099" w:rsidP="006A5099">
            <w:pPr>
              <w:pStyle w:val="TableText"/>
            </w:pPr>
            <w:r w:rsidRPr="006A5099">
              <w:t>Whanganui</w:t>
            </w:r>
          </w:p>
        </w:tc>
        <w:tc>
          <w:tcPr>
            <w:tcW w:w="1134" w:type="dxa"/>
          </w:tcPr>
          <w:p w14:paraId="2D734CAF" w14:textId="00EBBC71" w:rsidR="006A5099" w:rsidRPr="006A5099" w:rsidRDefault="006A5099" w:rsidP="006A5099">
            <w:pPr>
              <w:pStyle w:val="TableText"/>
              <w:jc w:val="right"/>
            </w:pPr>
            <w:r w:rsidRPr="006A5099">
              <w:t>–</w:t>
            </w:r>
          </w:p>
        </w:tc>
        <w:tc>
          <w:tcPr>
            <w:tcW w:w="992" w:type="dxa"/>
          </w:tcPr>
          <w:p w14:paraId="3B519D22" w14:textId="6EA8DF04" w:rsidR="006A5099" w:rsidRPr="006A5099" w:rsidRDefault="006A5099" w:rsidP="006A5099">
            <w:pPr>
              <w:pStyle w:val="TableText"/>
              <w:jc w:val="right"/>
            </w:pPr>
            <w:r w:rsidRPr="006A5099">
              <w:t>–</w:t>
            </w:r>
          </w:p>
        </w:tc>
        <w:tc>
          <w:tcPr>
            <w:tcW w:w="1134" w:type="dxa"/>
            <w:shd w:val="clear" w:color="auto" w:fill="auto"/>
            <w:noWrap/>
            <w:vAlign w:val="center"/>
          </w:tcPr>
          <w:p w14:paraId="4505E6BC" w14:textId="5F807D7C" w:rsidR="006A5099" w:rsidRPr="006A5099" w:rsidRDefault="006A5099" w:rsidP="006A5099">
            <w:pPr>
              <w:pStyle w:val="TableText"/>
              <w:jc w:val="right"/>
            </w:pPr>
            <w:r w:rsidRPr="006A5099">
              <w:t>–</w:t>
            </w:r>
          </w:p>
        </w:tc>
        <w:tc>
          <w:tcPr>
            <w:tcW w:w="992" w:type="dxa"/>
            <w:vAlign w:val="center"/>
          </w:tcPr>
          <w:p w14:paraId="0E719BC8" w14:textId="5F5AEC1D" w:rsidR="006A5099" w:rsidRPr="006A5099" w:rsidRDefault="006A5099" w:rsidP="006A5099">
            <w:pPr>
              <w:pStyle w:val="TableText"/>
              <w:jc w:val="right"/>
            </w:pPr>
            <w:r w:rsidRPr="006A5099">
              <w:t>–</w:t>
            </w:r>
          </w:p>
        </w:tc>
        <w:tc>
          <w:tcPr>
            <w:tcW w:w="1134" w:type="dxa"/>
            <w:vAlign w:val="center"/>
          </w:tcPr>
          <w:p w14:paraId="37720732" w14:textId="3E210E38" w:rsidR="006A5099" w:rsidRPr="006A5099" w:rsidRDefault="006A5099" w:rsidP="006A5099">
            <w:pPr>
              <w:pStyle w:val="TableText"/>
              <w:jc w:val="right"/>
            </w:pPr>
            <w:r w:rsidRPr="006A5099">
              <w:t>–</w:t>
            </w:r>
          </w:p>
        </w:tc>
        <w:tc>
          <w:tcPr>
            <w:tcW w:w="1134" w:type="dxa"/>
            <w:vAlign w:val="center"/>
          </w:tcPr>
          <w:p w14:paraId="2C8AE434" w14:textId="152B5396" w:rsidR="006A5099" w:rsidRPr="006A5099" w:rsidRDefault="006A5099" w:rsidP="006A5099">
            <w:pPr>
              <w:pStyle w:val="TableText"/>
              <w:jc w:val="right"/>
            </w:pPr>
            <w:r w:rsidRPr="006A5099">
              <w:t>–</w:t>
            </w:r>
          </w:p>
        </w:tc>
      </w:tr>
      <w:tr w:rsidR="006A5099" w:rsidRPr="005F1F83" w14:paraId="72935E31" w14:textId="77777777" w:rsidTr="006A5099">
        <w:trPr>
          <w:trHeight w:val="291"/>
        </w:trPr>
        <w:tc>
          <w:tcPr>
            <w:tcW w:w="1560" w:type="dxa"/>
            <w:shd w:val="clear" w:color="auto" w:fill="auto"/>
            <w:noWrap/>
          </w:tcPr>
          <w:p w14:paraId="1F6E9C63" w14:textId="5FB104D5" w:rsidR="006A5099" w:rsidRPr="006A5099" w:rsidRDefault="006A5099" w:rsidP="006A5099">
            <w:pPr>
              <w:pStyle w:val="TableText"/>
            </w:pPr>
            <w:r w:rsidRPr="006A5099">
              <w:rPr>
                <w:b/>
                <w:bCs/>
              </w:rPr>
              <w:t>Total</w:t>
            </w:r>
          </w:p>
        </w:tc>
        <w:tc>
          <w:tcPr>
            <w:tcW w:w="1134" w:type="dxa"/>
          </w:tcPr>
          <w:p w14:paraId="71723297" w14:textId="5DA1B832" w:rsidR="006A5099" w:rsidRPr="006A5099" w:rsidRDefault="006A5099" w:rsidP="006A5099">
            <w:pPr>
              <w:pStyle w:val="TableText"/>
              <w:jc w:val="right"/>
              <w:rPr>
                <w:b/>
                <w:bCs/>
              </w:rPr>
            </w:pPr>
            <w:r w:rsidRPr="006A5099">
              <w:rPr>
                <w:b/>
                <w:bCs/>
              </w:rPr>
              <w:t>734 (5.5)</w:t>
            </w:r>
          </w:p>
        </w:tc>
        <w:tc>
          <w:tcPr>
            <w:tcW w:w="992" w:type="dxa"/>
          </w:tcPr>
          <w:p w14:paraId="450BC6A3" w14:textId="20245120" w:rsidR="006A5099" w:rsidRPr="006A5099" w:rsidRDefault="006A5099" w:rsidP="006A5099">
            <w:pPr>
              <w:pStyle w:val="TableText"/>
              <w:jc w:val="right"/>
              <w:rPr>
                <w:b/>
                <w:bCs/>
              </w:rPr>
            </w:pPr>
            <w:r w:rsidRPr="006A5099">
              <w:rPr>
                <w:b/>
                <w:bCs/>
              </w:rPr>
              <w:t>992 (7.5)</w:t>
            </w:r>
          </w:p>
        </w:tc>
        <w:tc>
          <w:tcPr>
            <w:tcW w:w="1134" w:type="dxa"/>
            <w:shd w:val="clear" w:color="auto" w:fill="auto"/>
            <w:noWrap/>
          </w:tcPr>
          <w:p w14:paraId="6FD037C0" w14:textId="2C48EEE0" w:rsidR="006A5099" w:rsidRPr="006A5099" w:rsidRDefault="006A5099" w:rsidP="006A5099">
            <w:pPr>
              <w:pStyle w:val="TableText"/>
              <w:jc w:val="right"/>
              <w:rPr>
                <w:b/>
                <w:bCs/>
              </w:rPr>
            </w:pPr>
            <w:r w:rsidRPr="006A5099">
              <w:rPr>
                <w:b/>
                <w:bCs/>
              </w:rPr>
              <w:t>718 (5.1)</w:t>
            </w:r>
          </w:p>
        </w:tc>
        <w:tc>
          <w:tcPr>
            <w:tcW w:w="992" w:type="dxa"/>
          </w:tcPr>
          <w:p w14:paraId="21F7A71B" w14:textId="0500CE56" w:rsidR="006A5099" w:rsidRPr="006A5099" w:rsidRDefault="006A5099" w:rsidP="006A5099">
            <w:pPr>
              <w:pStyle w:val="TableText"/>
              <w:jc w:val="right"/>
              <w:rPr>
                <w:b/>
                <w:bCs/>
              </w:rPr>
            </w:pPr>
            <w:r w:rsidRPr="006A5099">
              <w:rPr>
                <w:b/>
                <w:bCs/>
              </w:rPr>
              <w:t>909 (6.4)</w:t>
            </w:r>
          </w:p>
        </w:tc>
        <w:tc>
          <w:tcPr>
            <w:tcW w:w="1134" w:type="dxa"/>
          </w:tcPr>
          <w:p w14:paraId="34D26F15" w14:textId="0AF86D3F" w:rsidR="006A5099" w:rsidRPr="006A5099" w:rsidRDefault="006A5099" w:rsidP="006A5099">
            <w:pPr>
              <w:pStyle w:val="TableText"/>
              <w:jc w:val="right"/>
              <w:rPr>
                <w:b/>
                <w:bCs/>
              </w:rPr>
            </w:pPr>
            <w:r w:rsidRPr="006A5099">
              <w:rPr>
                <w:b/>
                <w:bCs/>
              </w:rPr>
              <w:t>721 (4.2)</w:t>
            </w:r>
          </w:p>
        </w:tc>
        <w:tc>
          <w:tcPr>
            <w:tcW w:w="1134" w:type="dxa"/>
          </w:tcPr>
          <w:p w14:paraId="07FC3BEB" w14:textId="7783BF9B" w:rsidR="006A5099" w:rsidRPr="006A5099" w:rsidRDefault="006A5099" w:rsidP="006A5099">
            <w:pPr>
              <w:pStyle w:val="TableText"/>
              <w:jc w:val="right"/>
              <w:rPr>
                <w:b/>
                <w:bCs/>
              </w:rPr>
            </w:pPr>
            <w:r w:rsidRPr="006A5099">
              <w:rPr>
                <w:b/>
                <w:bCs/>
              </w:rPr>
              <w:t>1,017 (5.9)</w:t>
            </w:r>
          </w:p>
        </w:tc>
      </w:tr>
    </w:tbl>
    <w:p w14:paraId="711A238E" w14:textId="3FABDD55" w:rsidR="006A5099" w:rsidRDefault="006A5099" w:rsidP="00E026D6">
      <w:pPr>
        <w:pStyle w:val="Note"/>
        <w:rPr>
          <w:rFonts w:eastAsia="Calibri"/>
          <w:lang w:eastAsia="en-US"/>
        </w:rPr>
      </w:pPr>
      <w:r w:rsidRPr="005F1F83">
        <w:rPr>
          <w:rFonts w:eastAsia="Calibri"/>
          <w:lang w:eastAsia="en-US"/>
        </w:rPr>
        <w:t xml:space="preserve">Note. </w:t>
      </w:r>
      <w:r w:rsidR="00E026D6" w:rsidRPr="00E026D6">
        <w:rPr>
          <w:rFonts w:eastAsia="Calibri"/>
          <w:lang w:eastAsia="en-US"/>
        </w:rPr>
        <w:t>Cases with missing district data are not included. Figures in parentheses are the percentage of all abortions provided within these districts in that year. Percentage reported is a function of total abortions accessed.</w:t>
      </w:r>
    </w:p>
    <w:p w14:paraId="3F56D647" w14:textId="41C6C4E2" w:rsidR="00E026D6" w:rsidRDefault="00E026D6" w:rsidP="00E026D6">
      <w:pPr>
        <w:rPr>
          <w:rFonts w:eastAsia="Calibri"/>
          <w:lang w:eastAsia="en-US"/>
        </w:rPr>
      </w:pPr>
    </w:p>
    <w:p w14:paraId="07DB47F6" w14:textId="77777777" w:rsidR="00E026D6" w:rsidRPr="005F1F83" w:rsidRDefault="00E026D6" w:rsidP="00E026D6">
      <w:pPr>
        <w:rPr>
          <w:rFonts w:eastAsia="Calibri"/>
          <w:lang w:eastAsia="en-US"/>
        </w:rPr>
      </w:pPr>
      <w:r w:rsidRPr="005F1F83">
        <w:rPr>
          <w:rFonts w:eastAsia="Calibri"/>
          <w:lang w:eastAsia="en-US"/>
        </w:rPr>
        <w:t xml:space="preserve">The Ministry worked with Health New Zealand in 2022 to develop an approach to </w:t>
      </w:r>
      <w:proofErr w:type="gramStart"/>
      <w:r w:rsidRPr="005F1F83">
        <w:rPr>
          <w:rFonts w:eastAsia="Calibri"/>
          <w:lang w:eastAsia="en-US"/>
        </w:rPr>
        <w:t>second-trimester</w:t>
      </w:r>
      <w:proofErr w:type="gramEnd"/>
      <w:r w:rsidRPr="005F1F83">
        <w:rPr>
          <w:rFonts w:eastAsia="Calibri"/>
          <w:lang w:eastAsia="en-US"/>
        </w:rPr>
        <w:t xml:space="preserve"> and post 20-week abortion care. This included considering the importance of timely and equitable access to second-trimester care and post 20-week care, the workforce, funding and a national pathway.</w:t>
      </w:r>
    </w:p>
    <w:p w14:paraId="017BDD09" w14:textId="77777777" w:rsidR="00E026D6" w:rsidRPr="00E026D6" w:rsidRDefault="00E026D6" w:rsidP="00E026D6">
      <w:pPr>
        <w:rPr>
          <w:rFonts w:eastAsia="Calibri"/>
          <w:lang w:eastAsia="en-US"/>
        </w:rPr>
      </w:pPr>
    </w:p>
    <w:p w14:paraId="2FDB60E5" w14:textId="2CF9A5AA" w:rsidR="00F52619" w:rsidRDefault="00E70985" w:rsidP="00E70985">
      <w:pPr>
        <w:pStyle w:val="Heading2"/>
      </w:pPr>
      <w:bookmarkStart w:id="100" w:name="_Toc195016571"/>
      <w:r w:rsidRPr="00E70985">
        <w:t>Post 20-week abortion care</w:t>
      </w:r>
      <w:bookmarkEnd w:id="100"/>
    </w:p>
    <w:p w14:paraId="5D745375" w14:textId="40FA5A88" w:rsidR="00E026D6" w:rsidRDefault="00E026D6" w:rsidP="00E026D6">
      <w:pPr>
        <w:rPr>
          <w:rFonts w:eastAsia="Calibri"/>
          <w:lang w:eastAsia="en-US"/>
        </w:rPr>
      </w:pPr>
      <w:r w:rsidRPr="005F1F83">
        <w:rPr>
          <w:rFonts w:eastAsia="Calibri"/>
          <w:lang w:eastAsia="en-US"/>
        </w:rPr>
        <w:t>Across 2020 to 2024, fewer than 1% of all abortions were provided at 20 weeks’ gestation or later within each year. Of these procedures,</w:t>
      </w:r>
      <w:r w:rsidRPr="005F1F83">
        <w:rPr>
          <w:rFonts w:eastAsia="Calibri"/>
        </w:rPr>
        <w:t xml:space="preserve"> 90%</w:t>
      </w:r>
      <w:r w:rsidRPr="005F1F83">
        <w:rPr>
          <w:rFonts w:eastAsia="Calibri"/>
          <w:lang w:eastAsia="en-US"/>
        </w:rPr>
        <w:t xml:space="preserve"> were provided across only five districts.</w:t>
      </w:r>
    </w:p>
    <w:p w14:paraId="5F6FE992" w14:textId="77777777" w:rsidR="00E026D6" w:rsidRPr="005F1F83" w:rsidRDefault="00E026D6" w:rsidP="00E026D6">
      <w:pPr>
        <w:rPr>
          <w:rFonts w:eastAsia="Calibri"/>
          <w:lang w:eastAsia="en-US"/>
        </w:rPr>
      </w:pPr>
    </w:p>
    <w:p w14:paraId="52B296E7" w14:textId="636081E5" w:rsidR="00E026D6" w:rsidRDefault="00E026D6" w:rsidP="00E026D6">
      <w:pPr>
        <w:rPr>
          <w:rFonts w:eastAsia="Calibri"/>
          <w:kern w:val="2"/>
          <w:lang w:eastAsia="en-US"/>
          <w14:ligatures w14:val="standardContextual"/>
        </w:rPr>
      </w:pPr>
      <w:r w:rsidRPr="005F1F83">
        <w:rPr>
          <w:rFonts w:eastAsia="Calibri"/>
          <w:lang w:eastAsia="en-US"/>
        </w:rPr>
        <w:t xml:space="preserve">Services across the country vary in how they understand and manage post </w:t>
      </w:r>
      <w:r w:rsidRPr="005F1F83">
        <w:rPr>
          <w:rFonts w:eastAsia="Calibri"/>
          <w:kern w:val="2"/>
          <w:lang w:eastAsia="en-US"/>
          <w14:ligatures w14:val="standardContextual"/>
        </w:rPr>
        <w:t>20-week</w:t>
      </w:r>
      <w:r w:rsidRPr="005F1F83">
        <w:rPr>
          <w:rFonts w:eastAsia="Calibri"/>
          <w:lang w:eastAsia="en-US"/>
        </w:rPr>
        <w:t xml:space="preserve"> abortion care. There is </w:t>
      </w:r>
      <w:r>
        <w:rPr>
          <w:rFonts w:eastAsia="Calibri"/>
          <w:lang w:eastAsia="en-US"/>
        </w:rPr>
        <w:t>uncertainty</w:t>
      </w:r>
      <w:r w:rsidRPr="005F1F83">
        <w:rPr>
          <w:rFonts w:eastAsia="Calibri"/>
          <w:lang w:eastAsia="en-US"/>
        </w:rPr>
        <w:t xml:space="preserve"> about when to include specialist care and what care can be managed where. This leads to </w:t>
      </w:r>
      <w:r w:rsidRPr="005F1F83">
        <w:rPr>
          <w:lang w:eastAsia="en-NZ"/>
        </w:rPr>
        <w:t>confusion and strained resources, and patients become geographically separated from whānau support.</w:t>
      </w:r>
      <w:r w:rsidRPr="005F1F83">
        <w:rPr>
          <w:rFonts w:eastAsia="Calibri"/>
          <w:kern w:val="2"/>
          <w:lang w:eastAsia="en-US"/>
          <w14:ligatures w14:val="standardContextual"/>
        </w:rPr>
        <w:t xml:space="preserve"> </w:t>
      </w:r>
    </w:p>
    <w:p w14:paraId="086411B3" w14:textId="77777777" w:rsidR="00E026D6" w:rsidRPr="005F1F83" w:rsidRDefault="00E026D6" w:rsidP="00E026D6">
      <w:pPr>
        <w:rPr>
          <w:rFonts w:eastAsia="Calibri"/>
          <w:kern w:val="2"/>
          <w:lang w:eastAsia="en-US"/>
          <w14:ligatures w14:val="standardContextual"/>
        </w:rPr>
      </w:pPr>
    </w:p>
    <w:p w14:paraId="28540F3C" w14:textId="0207BBE6" w:rsidR="00E026D6" w:rsidRDefault="00E026D6" w:rsidP="00E026D6">
      <w:pPr>
        <w:rPr>
          <w:rFonts w:eastAsia="Calibri"/>
          <w:lang w:eastAsia="en-US"/>
        </w:rPr>
      </w:pPr>
      <w:r w:rsidRPr="005F1F83">
        <w:rPr>
          <w:rFonts w:eastAsia="Calibri"/>
          <w:lang w:eastAsia="en-NZ"/>
        </w:rPr>
        <w:t xml:space="preserve">Access to abortion care specifically after 22 weeks’ gestation remains a significant challenge in New Zealand because of the medical specialties that are involved (and their availability) as part of service provision at this gestation or later. </w:t>
      </w:r>
      <w:r w:rsidRPr="005F1F83">
        <w:rPr>
          <w:rFonts w:eastAsia="Calibri"/>
          <w:lang w:eastAsia="en-US"/>
        </w:rPr>
        <w:t>Since 2020, abortions at 22 weeks’ gestation or later have continued to be a small minority of abortions, representing 0.4% to 0.6% of all abortion procedures in each year from 2020 to 2024.</w:t>
      </w:r>
    </w:p>
    <w:p w14:paraId="7DC01F0C" w14:textId="77777777" w:rsidR="00E026D6" w:rsidRPr="005F1F83" w:rsidRDefault="00E026D6" w:rsidP="00E026D6">
      <w:pPr>
        <w:rPr>
          <w:rFonts w:eastAsia="Calibri"/>
          <w:lang w:eastAsia="en-US"/>
        </w:rPr>
      </w:pPr>
    </w:p>
    <w:p w14:paraId="3BD9392E" w14:textId="4E740DEA" w:rsidR="00E026D6" w:rsidRDefault="00E026D6" w:rsidP="00E026D6">
      <w:pPr>
        <w:rPr>
          <w:rFonts w:eastAsia="Calibri"/>
          <w:lang w:eastAsia="en-NZ"/>
        </w:rPr>
      </w:pPr>
      <w:r w:rsidRPr="005F1F83">
        <w:rPr>
          <w:rFonts w:eastAsia="Calibri"/>
          <w:lang w:eastAsia="en-US"/>
        </w:rPr>
        <w:t xml:space="preserve">In practice, this means that most regions that agree to provide post 20-week abortion care have an informal practitioner group to consider requests for abortion at later gestations. The clinical guidelines around post </w:t>
      </w:r>
      <w:r w:rsidRPr="005F1F83" w:rsidDel="00D35371">
        <w:rPr>
          <w:rFonts w:eastAsia="Calibri"/>
          <w:lang w:eastAsia="en-US"/>
        </w:rPr>
        <w:t>20</w:t>
      </w:r>
      <w:r w:rsidRPr="005F1F83">
        <w:rPr>
          <w:rFonts w:eastAsia="Calibri"/>
          <w:lang w:eastAsia="en-US"/>
        </w:rPr>
        <w:t xml:space="preserve">-week care should be updated, strengthened and clarified to support national consistency. The revised guidelines should cover </w:t>
      </w:r>
      <w:r w:rsidRPr="005F1F83">
        <w:rPr>
          <w:rFonts w:eastAsia="Calibri"/>
          <w:lang w:eastAsia="en-NZ"/>
        </w:rPr>
        <w:t>robust infrastructure, funding and support to ensure that all patients can access these critical services in a timely and efficient manner.</w:t>
      </w:r>
    </w:p>
    <w:p w14:paraId="5546B2D5" w14:textId="77777777" w:rsidR="00E026D6" w:rsidRPr="005F1F83" w:rsidRDefault="00E026D6" w:rsidP="00E026D6">
      <w:pPr>
        <w:rPr>
          <w:rFonts w:eastAsia="Calibri"/>
          <w:lang w:eastAsia="en-US"/>
        </w:rPr>
      </w:pPr>
    </w:p>
    <w:p w14:paraId="17735F06" w14:textId="144773A4" w:rsidR="00E026D6" w:rsidRDefault="00E026D6" w:rsidP="00E026D6">
      <w:pPr>
        <w:rPr>
          <w:rFonts w:eastAsia="Calibri"/>
          <w:lang w:eastAsia="en-NZ"/>
        </w:rPr>
      </w:pPr>
      <w:r w:rsidRPr="005F1F83">
        <w:rPr>
          <w:rFonts w:eastAsia="Calibri"/>
          <w:lang w:eastAsia="en-NZ"/>
        </w:rPr>
        <w:t xml:space="preserve">Given the small number of procedures undertaken at later gestations, the number of appropriately trained health practitioners in New Zealand is low and it may take longer to meet training requirements because training opportunities are so limited. </w:t>
      </w:r>
      <w:r w:rsidRPr="005F1F83">
        <w:rPr>
          <w:rFonts w:eastAsia="Calibri"/>
          <w:lang w:eastAsia="en-US"/>
        </w:rPr>
        <w:t>Although a mentorship model is available,</w:t>
      </w:r>
      <w:r w:rsidRPr="005F1F83">
        <w:rPr>
          <w:rFonts w:eastAsia="Calibri"/>
          <w:lang w:eastAsia="en-NZ"/>
        </w:rPr>
        <w:t xml:space="preserve"> access to training is further limited by geographic distance and lack of funding for mentoring and training. </w:t>
      </w:r>
    </w:p>
    <w:p w14:paraId="142C2163" w14:textId="77777777" w:rsidR="00E026D6" w:rsidRPr="005F1F83" w:rsidRDefault="00E026D6" w:rsidP="00E026D6">
      <w:pPr>
        <w:rPr>
          <w:rFonts w:eastAsia="Calibri"/>
          <w:lang w:eastAsia="en-NZ"/>
        </w:rPr>
      </w:pPr>
    </w:p>
    <w:p w14:paraId="40111D55" w14:textId="7C099F63" w:rsidR="00E026D6" w:rsidRDefault="00E026D6" w:rsidP="00E026D6">
      <w:pPr>
        <w:rPr>
          <w:rFonts w:eastAsia="Calibri"/>
          <w:lang w:eastAsia="en-NZ"/>
        </w:rPr>
      </w:pPr>
      <w:r w:rsidRPr="005F1F83">
        <w:rPr>
          <w:rFonts w:eastAsia="Calibri"/>
          <w:lang w:eastAsia="en-NZ"/>
        </w:rPr>
        <w:t xml:space="preserve">As a result of these workforce issues, some patients have to travel significant distances to access care and experience delay in receiving the service, greatly </w:t>
      </w:r>
      <w:r>
        <w:rPr>
          <w:rFonts w:eastAsia="Calibri"/>
          <w:lang w:eastAsia="en-NZ"/>
        </w:rPr>
        <w:t>reducing</w:t>
      </w:r>
      <w:r w:rsidRPr="005F1F83">
        <w:rPr>
          <w:rFonts w:eastAsia="Calibri"/>
          <w:lang w:eastAsia="en-NZ"/>
        </w:rPr>
        <w:t xml:space="preserve"> its accessibility. </w:t>
      </w:r>
    </w:p>
    <w:p w14:paraId="1834A3A9" w14:textId="77777777" w:rsidR="00E026D6" w:rsidRPr="005F1F83" w:rsidRDefault="00E026D6" w:rsidP="00E026D6">
      <w:pPr>
        <w:rPr>
          <w:rFonts w:eastAsia="Calibri"/>
          <w:lang w:eastAsia="en-NZ"/>
        </w:rPr>
      </w:pPr>
    </w:p>
    <w:p w14:paraId="6B9F0989" w14:textId="77777777" w:rsidR="00E026D6" w:rsidRPr="005F1F83" w:rsidRDefault="00E026D6" w:rsidP="00E026D6">
      <w:pPr>
        <w:rPr>
          <w:rFonts w:eastAsia="Calibri"/>
          <w:lang w:eastAsia="en-US"/>
        </w:rPr>
      </w:pPr>
      <w:r w:rsidRPr="005F1F83">
        <w:rPr>
          <w:rFonts w:eastAsia="Calibri"/>
          <w:lang w:eastAsia="en-US"/>
        </w:rPr>
        <w:t xml:space="preserve">To increase the workforce and therefore the availability of services around the country for all second-trimester abortion care, </w:t>
      </w:r>
      <w:r>
        <w:rPr>
          <w:rFonts w:eastAsia="Calibri"/>
          <w:lang w:eastAsia="en-US"/>
        </w:rPr>
        <w:t>hospitals could</w:t>
      </w:r>
      <w:r w:rsidRPr="005F1F83">
        <w:rPr>
          <w:rFonts w:eastAsia="Calibri"/>
          <w:lang w:eastAsia="en-US"/>
        </w:rPr>
        <w:t>:</w:t>
      </w:r>
    </w:p>
    <w:p w14:paraId="4F3DCDCC" w14:textId="77777777" w:rsidR="00E026D6" w:rsidRPr="005F1F83" w:rsidRDefault="00E026D6" w:rsidP="00E026D6">
      <w:pPr>
        <w:pStyle w:val="Bullet"/>
        <w:rPr>
          <w:rFonts w:eastAsia="Calibri"/>
          <w:lang w:eastAsia="en-US"/>
        </w:rPr>
      </w:pPr>
      <w:r w:rsidRPr="005F1F83">
        <w:rPr>
          <w:rFonts w:eastAsia="Calibri"/>
          <w:lang w:eastAsia="en-US"/>
        </w:rPr>
        <w:t xml:space="preserve">manage conscientious objection at an organisational level to ensure that it does not impede timely and equitable access to post 20-week abortion health </w:t>
      </w:r>
      <w:proofErr w:type="gramStart"/>
      <w:r w:rsidRPr="005F1F83">
        <w:rPr>
          <w:rFonts w:eastAsia="Calibri"/>
          <w:lang w:eastAsia="en-US"/>
        </w:rPr>
        <w:t>care</w:t>
      </w:r>
      <w:proofErr w:type="gramEnd"/>
    </w:p>
    <w:p w14:paraId="110CDCDC" w14:textId="77777777" w:rsidR="00E026D6" w:rsidRPr="005F1F83" w:rsidRDefault="00E026D6" w:rsidP="00E026D6">
      <w:pPr>
        <w:pStyle w:val="Bullet"/>
        <w:rPr>
          <w:rFonts w:eastAsia="Calibri"/>
          <w:lang w:eastAsia="en-US"/>
        </w:rPr>
      </w:pPr>
      <w:r w:rsidRPr="005F1F83">
        <w:rPr>
          <w:rFonts w:eastAsia="Calibri"/>
          <w:lang w:eastAsia="en-US"/>
        </w:rPr>
        <w:t xml:space="preserve">increase access to training and </w:t>
      </w:r>
      <w:proofErr w:type="gramStart"/>
      <w:r w:rsidRPr="005F1F83">
        <w:rPr>
          <w:rFonts w:eastAsia="Calibri"/>
          <w:lang w:eastAsia="en-US"/>
        </w:rPr>
        <w:t>mentorship</w:t>
      </w:r>
      <w:proofErr w:type="gramEnd"/>
    </w:p>
    <w:p w14:paraId="35819DEB" w14:textId="77777777" w:rsidR="00E026D6" w:rsidRPr="005F1F83" w:rsidRDefault="00E026D6" w:rsidP="00E026D6">
      <w:pPr>
        <w:pStyle w:val="Bullet"/>
        <w:rPr>
          <w:rFonts w:eastAsia="Calibri"/>
          <w:lang w:eastAsia="en-US"/>
        </w:rPr>
      </w:pPr>
      <w:r w:rsidRPr="005F1F83">
        <w:rPr>
          <w:rFonts w:eastAsia="Calibri"/>
          <w:lang w:eastAsia="en-US"/>
        </w:rPr>
        <w:t xml:space="preserve">support service coordination and </w:t>
      </w:r>
      <w:proofErr w:type="gramStart"/>
      <w:r w:rsidRPr="005F1F83">
        <w:rPr>
          <w:rFonts w:eastAsia="Calibri"/>
          <w:lang w:eastAsia="en-US"/>
        </w:rPr>
        <w:t>infrastructure</w:t>
      </w:r>
      <w:proofErr w:type="gramEnd"/>
    </w:p>
    <w:p w14:paraId="48940A7A" w14:textId="77777777" w:rsidR="00E026D6" w:rsidRPr="005F1F83" w:rsidRDefault="00E026D6" w:rsidP="00E026D6">
      <w:pPr>
        <w:pStyle w:val="Bullet"/>
        <w:rPr>
          <w:rFonts w:eastAsia="Calibri"/>
          <w:lang w:eastAsia="en-US"/>
        </w:rPr>
      </w:pPr>
      <w:r w:rsidRPr="005F1F83">
        <w:rPr>
          <w:rFonts w:eastAsia="Calibri"/>
          <w:lang w:eastAsia="en-US"/>
        </w:rPr>
        <w:t xml:space="preserve">clarify and expand service </w:t>
      </w:r>
      <w:proofErr w:type="gramStart"/>
      <w:r w:rsidRPr="005F1F83">
        <w:rPr>
          <w:rFonts w:eastAsia="Calibri"/>
          <w:lang w:eastAsia="en-US"/>
        </w:rPr>
        <w:t>roles</w:t>
      </w:r>
      <w:proofErr w:type="gramEnd"/>
    </w:p>
    <w:p w14:paraId="7262B672" w14:textId="77777777" w:rsidR="00E026D6" w:rsidRPr="005F1F83" w:rsidRDefault="00E026D6" w:rsidP="00E026D6">
      <w:pPr>
        <w:pStyle w:val="Bullet"/>
        <w:rPr>
          <w:rFonts w:eastAsia="Calibri"/>
          <w:lang w:eastAsia="en-US"/>
        </w:rPr>
      </w:pPr>
      <w:r w:rsidRPr="005F1F83">
        <w:rPr>
          <w:rFonts w:eastAsia="Calibri"/>
          <w:lang w:eastAsia="en-US"/>
        </w:rPr>
        <w:t>incentivise workforce growth, such as through funding for training and support for professional development.</w:t>
      </w:r>
    </w:p>
    <w:p w14:paraId="18CF5734" w14:textId="77777777" w:rsidR="00E026D6" w:rsidRDefault="00E026D6" w:rsidP="00E026D6">
      <w:pPr>
        <w:rPr>
          <w:rFonts w:eastAsia="Calibri"/>
          <w:lang w:eastAsia="en-US"/>
        </w:rPr>
      </w:pPr>
    </w:p>
    <w:p w14:paraId="4FFE223B" w14:textId="6DCCEBF8" w:rsidR="00E026D6" w:rsidRDefault="00E026D6" w:rsidP="00E026D6">
      <w:pPr>
        <w:rPr>
          <w:rFonts w:eastAsia="Calibri"/>
          <w:lang w:eastAsia="en-US"/>
        </w:rPr>
      </w:pPr>
      <w:r w:rsidRPr="00235F0F">
        <w:rPr>
          <w:rFonts w:eastAsia="Calibri"/>
          <w:lang w:eastAsia="en-US"/>
        </w:rPr>
        <w:t>Monitoring Health New Zealand’s progress in improving access to post 20</w:t>
      </w:r>
      <w:r w:rsidR="00E573EF">
        <w:rPr>
          <w:rFonts w:eastAsia="Calibri"/>
          <w:lang w:eastAsia="en-US"/>
        </w:rPr>
        <w:t>-</w:t>
      </w:r>
      <w:r w:rsidRPr="00235F0F">
        <w:rPr>
          <w:rFonts w:eastAsia="Calibri"/>
          <w:lang w:eastAsia="en-US"/>
        </w:rPr>
        <w:t>week abortion care will continue to be a part of the Ministry’s work programme. Please refer to the recommendations chapter for more information.</w:t>
      </w:r>
    </w:p>
    <w:p w14:paraId="0458B4F5" w14:textId="3DE712A1" w:rsidR="00E70985" w:rsidRDefault="00E70985" w:rsidP="00E70985">
      <w:pPr>
        <w:pStyle w:val="Heading2"/>
      </w:pPr>
      <w:bookmarkStart w:id="101" w:name="_Toc195016572"/>
      <w:r w:rsidRPr="00E70985">
        <w:t>Self-referral</w:t>
      </w:r>
      <w:bookmarkEnd w:id="101"/>
    </w:p>
    <w:p w14:paraId="304A3C91" w14:textId="1065FFBF" w:rsidR="00E026D6" w:rsidRDefault="00E026D6" w:rsidP="00E026D6">
      <w:pPr>
        <w:rPr>
          <w:rFonts w:eastAsia="Calibri"/>
          <w:lang w:eastAsia="en-US"/>
        </w:rPr>
      </w:pPr>
      <w:r w:rsidRPr="005F1F83">
        <w:rPr>
          <w:rFonts w:eastAsia="Calibri"/>
          <w:lang w:eastAsia="en-US"/>
        </w:rPr>
        <w:t xml:space="preserve">The consumer research sought participants’ feedback about self-referral as well as their knowledge and experience of seeking abortion care. It identified that, overall, </w:t>
      </w:r>
      <w:r w:rsidR="00982B8D">
        <w:rPr>
          <w:rFonts w:eastAsia="Calibri"/>
        </w:rPr>
        <w:t>women</w:t>
      </w:r>
      <w:r w:rsidRPr="005F1F83">
        <w:rPr>
          <w:rFonts w:eastAsia="Calibri"/>
          <w:lang w:eastAsia="en-US"/>
        </w:rPr>
        <w:t xml:space="preserve"> seeking an abortion found the referral process quicker and easier after the legislation changes. However, some participants shared their frustration at not knowing (or not being told) that they could self-refer or at feeling that they had limited choice in which service they accessed due to their location. </w:t>
      </w:r>
    </w:p>
    <w:p w14:paraId="0846C9BD" w14:textId="1EB604D8" w:rsidR="00E026D6" w:rsidRDefault="00E026D6" w:rsidP="00E026D6">
      <w:pPr>
        <w:rPr>
          <w:rFonts w:eastAsia="Calibri"/>
          <w:lang w:eastAsia="en-US"/>
        </w:rPr>
      </w:pPr>
    </w:p>
    <w:p w14:paraId="47E49A40" w14:textId="53BC2820" w:rsidR="00E026D6" w:rsidRPr="005F1F83" w:rsidRDefault="00E026D6" w:rsidP="00E026D6">
      <w:pPr>
        <w:pStyle w:val="Shadedboxtext"/>
        <w:rPr>
          <w:lang w:eastAsia="en-US"/>
        </w:rPr>
      </w:pPr>
      <w:r w:rsidRPr="00E026D6">
        <w:rPr>
          <w:lang w:eastAsia="en-US"/>
        </w:rPr>
        <w:t>‘It was like more like instead of like back in 2012 of the waitlist that I had got given prior to 2012. I got seen quite straight away … and like I was a bit stunned because obviously prior to 2012, but it made a huge difference the fact that I could have access to the abortion clinic without going through a waitlist and checks.</w:t>
      </w:r>
      <w:r w:rsidR="00AF27FD">
        <w:rPr>
          <w:lang w:eastAsia="en-US"/>
        </w:rPr>
        <w:t>’</w:t>
      </w:r>
      <w:r w:rsidRPr="00E026D6">
        <w:rPr>
          <w:lang w:eastAsia="en-US"/>
        </w:rPr>
        <w:t xml:space="preserve"> Participant (Donald Beasley Institute 2025)</w:t>
      </w:r>
    </w:p>
    <w:p w14:paraId="64C278A3" w14:textId="79E80866" w:rsidR="00E70985" w:rsidRDefault="00E70985" w:rsidP="00E70985"/>
    <w:p w14:paraId="06EA9397" w14:textId="19A8737C" w:rsidR="00E026D6" w:rsidRDefault="00E026D6" w:rsidP="00E026D6">
      <w:r>
        <w:t>The Donald Beasley Institute (2025) notes that, overall, ‘participants reported positive experiences with the referral process post-legislation change, but there appears to be a lack of information about the ability to self-refer’.</w:t>
      </w:r>
    </w:p>
    <w:p w14:paraId="6E63154A" w14:textId="77777777" w:rsidR="00E026D6" w:rsidRDefault="00E026D6" w:rsidP="00E026D6"/>
    <w:p w14:paraId="5597274A" w14:textId="702CAB72" w:rsidR="00E026D6" w:rsidRDefault="00E026D6" w:rsidP="00E026D6">
      <w:r>
        <w:t>Similarly, National Centre for Women’s Health Research Aotearoa (2025) reports ‘some participants were unclear about the option of self-referral but noted that their first point of contact gave clear information’.</w:t>
      </w:r>
    </w:p>
    <w:p w14:paraId="3A03EFE2" w14:textId="49460FFC" w:rsidR="00E70985" w:rsidRDefault="00E70985" w:rsidP="00E70985"/>
    <w:p w14:paraId="29ABF7FF" w14:textId="3EDCEFFD" w:rsidR="000F0696" w:rsidRPr="00E70985" w:rsidRDefault="000F0696" w:rsidP="00A42BAE">
      <w:pPr>
        <w:pStyle w:val="Shadedboxtext"/>
        <w:spacing w:after="120"/>
      </w:pPr>
      <w:r w:rsidRPr="000F0696">
        <w:t xml:space="preserve">‘So, between when I found out, I didn’t even know that I could self-refer. That’s the part that </w:t>
      </w:r>
      <w:proofErr w:type="gramStart"/>
      <w:r w:rsidRPr="000F0696">
        <w:t>pissed me off</w:t>
      </w:r>
      <w:proofErr w:type="gramEnd"/>
      <w:r w:rsidRPr="000F0696">
        <w:t xml:space="preserve"> the most. I didn’t know I could just self-refer to the clinic and then they would have walked me through everything. This was beyond stupid. This was actually stupid.’ Participant (National Centre for Women’s Health Research Aotearoa 2025)</w:t>
      </w:r>
    </w:p>
    <w:p w14:paraId="1FE00693" w14:textId="1A92AB47" w:rsidR="000F0696" w:rsidRDefault="000F0696" w:rsidP="00E70985"/>
    <w:p w14:paraId="2818F63E" w14:textId="5464D51F" w:rsidR="00E026D6" w:rsidRDefault="00E026D6" w:rsidP="00E026D6">
      <w:pPr>
        <w:rPr>
          <w:rFonts w:eastAsia="Calibri"/>
          <w:lang w:eastAsia="en-US" w:bidi="en-US"/>
        </w:rPr>
      </w:pPr>
      <w:r w:rsidRPr="005F1F83">
        <w:rPr>
          <w:rFonts w:eastAsia="Calibri"/>
          <w:lang w:eastAsia="en-US" w:bidi="en-US"/>
        </w:rPr>
        <w:t>The researchers also note:</w:t>
      </w:r>
    </w:p>
    <w:p w14:paraId="3B50E3D9" w14:textId="77777777" w:rsidR="00E026D6" w:rsidRPr="005F1F83" w:rsidRDefault="00E026D6" w:rsidP="00E026D6">
      <w:pPr>
        <w:rPr>
          <w:rFonts w:eastAsia="Calibri"/>
          <w:lang w:eastAsia="en-US" w:bidi="en-US"/>
        </w:rPr>
      </w:pPr>
    </w:p>
    <w:p w14:paraId="60AB770C" w14:textId="2941D0A7" w:rsidR="00E026D6" w:rsidRDefault="00E026D6" w:rsidP="00412821">
      <w:pPr>
        <w:pStyle w:val="Quote"/>
        <w:spacing w:before="0"/>
        <w:ind w:left="567"/>
        <w:rPr>
          <w:rFonts w:eastAsia="Calibri"/>
          <w:lang w:eastAsia="en-US" w:bidi="en-US"/>
        </w:rPr>
      </w:pPr>
      <w:r w:rsidRPr="005F1F83">
        <w:rPr>
          <w:rFonts w:eastAsia="Calibri"/>
          <w:lang w:eastAsia="en-US" w:bidi="en-US"/>
        </w:rPr>
        <w:t xml:space="preserve">delivering abortion services in a range of ways, and protecting a choice of services, is most equitable, as </w:t>
      </w:r>
      <w:proofErr w:type="spellStart"/>
      <w:r w:rsidRPr="005F1F83">
        <w:rPr>
          <w:rFonts w:eastAsia="Calibri"/>
          <w:lang w:eastAsia="en-US" w:bidi="en-US"/>
        </w:rPr>
        <w:t>wāhine</w:t>
      </w:r>
      <w:proofErr w:type="spellEnd"/>
      <w:r w:rsidRPr="005F1F83">
        <w:rPr>
          <w:rFonts w:eastAsia="Calibri"/>
          <w:lang w:eastAsia="en-US" w:bidi="en-US"/>
        </w:rPr>
        <w:t xml:space="preserve"> within the same population have different preferences, and </w:t>
      </w:r>
      <w:proofErr w:type="spellStart"/>
      <w:r w:rsidRPr="005F1F83">
        <w:rPr>
          <w:rFonts w:eastAsia="Calibri"/>
          <w:lang w:eastAsia="en-US" w:bidi="en-US"/>
        </w:rPr>
        <w:t>wāhine</w:t>
      </w:r>
      <w:proofErr w:type="spellEnd"/>
      <w:r w:rsidRPr="005F1F83">
        <w:rPr>
          <w:rFonts w:eastAsia="Calibri"/>
          <w:lang w:eastAsia="en-US" w:bidi="en-US"/>
        </w:rPr>
        <w:t xml:space="preserve"> between populations have different preferences. Assumptions about which model of care is best for any group should not be made.</w:t>
      </w:r>
    </w:p>
    <w:p w14:paraId="5CEE61D2" w14:textId="77777777" w:rsidR="00E026D6" w:rsidRPr="00E026D6" w:rsidRDefault="00E026D6" w:rsidP="00E026D6">
      <w:pPr>
        <w:rPr>
          <w:rFonts w:eastAsia="Calibri"/>
          <w:lang w:eastAsia="en-US" w:bidi="en-US"/>
        </w:rPr>
      </w:pPr>
    </w:p>
    <w:p w14:paraId="2D02EEFD" w14:textId="402B963F" w:rsidR="00E026D6" w:rsidRDefault="00E026D6" w:rsidP="00E026D6">
      <w:pPr>
        <w:rPr>
          <w:rFonts w:eastAsia="Calibri"/>
          <w:lang w:eastAsia="en-US"/>
        </w:rPr>
      </w:pPr>
      <w:r w:rsidRPr="005F1F83">
        <w:rPr>
          <w:rFonts w:eastAsia="Calibri"/>
          <w:lang w:eastAsia="en-US"/>
        </w:rPr>
        <w:t xml:space="preserve">Some participants from the rainbow research expressed the view that </w:t>
      </w:r>
      <w:r>
        <w:rPr>
          <w:rFonts w:eastAsia="Calibri"/>
          <w:lang w:eastAsia="en-US"/>
        </w:rPr>
        <w:t xml:space="preserve">having </w:t>
      </w:r>
      <w:r w:rsidRPr="005F1F83">
        <w:rPr>
          <w:rFonts w:eastAsia="Calibri"/>
          <w:lang w:eastAsia="en-US"/>
        </w:rPr>
        <w:t xml:space="preserve">choice </w:t>
      </w:r>
      <w:r>
        <w:rPr>
          <w:rFonts w:eastAsia="Calibri"/>
          <w:lang w:eastAsia="en-US"/>
        </w:rPr>
        <w:t>over</w:t>
      </w:r>
      <w:r w:rsidRPr="005F1F83">
        <w:rPr>
          <w:rFonts w:eastAsia="Calibri"/>
          <w:lang w:eastAsia="en-US"/>
        </w:rPr>
        <w:t xml:space="preserve"> the method of their abortion</w:t>
      </w:r>
      <w:r>
        <w:rPr>
          <w:rFonts w:eastAsia="Calibri"/>
          <w:lang w:eastAsia="en-US"/>
        </w:rPr>
        <w:t xml:space="preserve"> was vital; what worried them was</w:t>
      </w:r>
      <w:r w:rsidRPr="005F1F83">
        <w:rPr>
          <w:rFonts w:eastAsia="Calibri"/>
          <w:lang w:eastAsia="en-US"/>
        </w:rPr>
        <w:t xml:space="preserve"> the unknown within the abortion process. </w:t>
      </w:r>
      <w:r>
        <w:rPr>
          <w:rFonts w:eastAsia="Calibri"/>
          <w:lang w:eastAsia="en-US"/>
        </w:rPr>
        <w:t>On this basis, Parker et al (2025) concluded ‘</w:t>
      </w:r>
      <w:r w:rsidRPr="005F1F83">
        <w:rPr>
          <w:rFonts w:eastAsia="Calibri"/>
          <w:lang w:eastAsia="en-US"/>
        </w:rPr>
        <w:t>people must be effectively informed about the different abortion methods to support their decision making’.</w:t>
      </w:r>
    </w:p>
    <w:p w14:paraId="632FCA5F" w14:textId="77777777" w:rsidR="00E026D6" w:rsidRPr="005F1F83" w:rsidRDefault="00E026D6" w:rsidP="00E026D6">
      <w:pPr>
        <w:rPr>
          <w:rFonts w:eastAsia="Calibri"/>
          <w:lang w:eastAsia="en-US"/>
        </w:rPr>
      </w:pPr>
    </w:p>
    <w:p w14:paraId="07C1925F" w14:textId="77777777" w:rsidR="00E026D6" w:rsidRDefault="00E026D6" w:rsidP="00E026D6"/>
    <w:p w14:paraId="0272724A" w14:textId="3E766925" w:rsidR="000F0696" w:rsidRDefault="000F0696" w:rsidP="00E70985"/>
    <w:p w14:paraId="3686B93E" w14:textId="75D43157" w:rsidR="00E026D6" w:rsidRDefault="00E026D6" w:rsidP="000F0696">
      <w:pPr>
        <w:pStyle w:val="Shadedboxtext"/>
        <w:spacing w:after="120"/>
        <w:rPr>
          <w:b/>
          <w:bCs/>
        </w:rPr>
      </w:pPr>
      <w:r w:rsidRPr="00E026D6">
        <w:rPr>
          <w:b/>
          <w:bCs/>
        </w:rPr>
        <w:t>Reflections on different abortion methods</w:t>
      </w:r>
    </w:p>
    <w:p w14:paraId="19943A34" w14:textId="6300F368" w:rsidR="000F0696" w:rsidRDefault="000F0696" w:rsidP="000F0696">
      <w:pPr>
        <w:pStyle w:val="Shadedboxtext"/>
        <w:spacing w:after="120"/>
      </w:pPr>
      <w:r w:rsidRPr="000F0696">
        <w:rPr>
          <w:b/>
          <w:bCs/>
        </w:rPr>
        <w:t>EMA</w:t>
      </w:r>
      <w:r>
        <w:t>: ‘I decided to do the medical abortion because I wanted to, obviously have this quite traumatic procedure, I wanted it to be in a place where I was comfortable, and so I chose to do the medical abortion so that I could do that process at home in a place I was comfortable with, surrounded by people I was comfortable [with].’</w:t>
      </w:r>
    </w:p>
    <w:p w14:paraId="66899370" w14:textId="77777777" w:rsidR="000F0696" w:rsidRDefault="000F0696" w:rsidP="000F0696">
      <w:pPr>
        <w:pStyle w:val="Shadedboxtext"/>
        <w:spacing w:after="120"/>
      </w:pPr>
      <w:r w:rsidRPr="000F0696">
        <w:rPr>
          <w:b/>
          <w:bCs/>
        </w:rPr>
        <w:t>EMA via telehealth</w:t>
      </w:r>
      <w:r>
        <w:t>: ‘I mean having the home one, really afforded a lot of privacy, which I really appreciated. I didn’t even have to go to the pharmacy to collect the medication, you know, it just got delivered to my door. That was quite important to me, the privacy aspect.’</w:t>
      </w:r>
    </w:p>
    <w:p w14:paraId="46EA1285" w14:textId="77777777" w:rsidR="000F0696" w:rsidRDefault="000F0696" w:rsidP="000F0696">
      <w:pPr>
        <w:pStyle w:val="Shadedboxtext"/>
        <w:spacing w:after="120"/>
      </w:pPr>
      <w:r w:rsidRPr="000F0696">
        <w:rPr>
          <w:b/>
          <w:bCs/>
        </w:rPr>
        <w:t>Surgical</w:t>
      </w:r>
      <w:r>
        <w:t xml:space="preserve">: ‘I chose [surgical] just because, it was like </w:t>
      </w:r>
      <w:proofErr w:type="spellStart"/>
      <w:proofErr w:type="gramStart"/>
      <w:r>
        <w:t>a</w:t>
      </w:r>
      <w:proofErr w:type="spellEnd"/>
      <w:proofErr w:type="gramEnd"/>
      <w:r>
        <w:t xml:space="preserve"> easy … once it’s done it’s done, and it was like a quick little procedure, I'd have to spend like about half a day at the hospital and then that was it. Whereas if I took the medication, she went through a lot of the side effects, and she said that there was also, not a standard timeframe for when it would pass, so it was different for a lot of </w:t>
      </w:r>
      <w:proofErr w:type="gramStart"/>
      <w:r>
        <w:t>people</w:t>
      </w:r>
      <w:proofErr w:type="gramEnd"/>
      <w:r>
        <w:t xml:space="preserve"> and she couldn’t exactly tell me exactly how it was </w:t>
      </w:r>
      <w:proofErr w:type="spellStart"/>
      <w:r>
        <w:t>gonna</w:t>
      </w:r>
      <w:proofErr w:type="spellEnd"/>
      <w:r>
        <w:t xml:space="preserve"> go but she </w:t>
      </w:r>
      <w:proofErr w:type="spellStart"/>
      <w:r>
        <w:t>kinda</w:t>
      </w:r>
      <w:proofErr w:type="spellEnd"/>
      <w:r>
        <w:t xml:space="preserve"> gave me an overall.’</w:t>
      </w:r>
    </w:p>
    <w:p w14:paraId="7050BB28" w14:textId="1CD54233" w:rsidR="000F0696" w:rsidRDefault="000F0696" w:rsidP="000F0696">
      <w:pPr>
        <w:pStyle w:val="Shadedboxtext"/>
        <w:spacing w:after="120"/>
      </w:pPr>
      <w:r>
        <w:t>Participants (Parker et al 2025)</w:t>
      </w:r>
    </w:p>
    <w:p w14:paraId="6E710EEC" w14:textId="7BC6A148" w:rsidR="000F0696" w:rsidRDefault="000F0696" w:rsidP="00E70985"/>
    <w:p w14:paraId="314AB095" w14:textId="5316D47C" w:rsidR="00E026D6" w:rsidRDefault="00E026D6" w:rsidP="00E026D6">
      <w:r>
        <w:t>Some participants felt that living rurally impacted their choice of service, despite being able to self-refer. In addition to travel-related barriers, they had concerns about privacy, decreased choice of services, and longer wait times due to service overload. The Donald Beasley Institute (2025) gives the example of one rural participant who, at a hospital appointment they went to as part of the abortion process:</w:t>
      </w:r>
    </w:p>
    <w:p w14:paraId="2DE28AF0" w14:textId="77777777" w:rsidR="00E026D6" w:rsidRDefault="00E026D6" w:rsidP="00E026D6"/>
    <w:p w14:paraId="0E26444A" w14:textId="19650252" w:rsidR="00A42BAE" w:rsidRDefault="00E026D6" w:rsidP="00412821">
      <w:pPr>
        <w:ind w:left="567"/>
      </w:pPr>
      <w:r>
        <w:t>was unexpectedly attended to by a family member working as a nurse in the facility. The participant described feeling both awkward and concerned for their privacy. Though the participant acknowledged they could have asked for a different nurse, this would have increased the time pressure they already felt under due to difficulties around travel.</w:t>
      </w:r>
    </w:p>
    <w:p w14:paraId="14F44A56" w14:textId="7AD47C03" w:rsidR="00A42BAE" w:rsidRDefault="00A42BAE" w:rsidP="00E70985"/>
    <w:p w14:paraId="59F2F7B6" w14:textId="6F3AD3D1" w:rsidR="00A42BAE" w:rsidRDefault="00A42BAE" w:rsidP="00A42BAE">
      <w:pPr>
        <w:pStyle w:val="Shadedboxtext"/>
        <w:spacing w:after="120"/>
      </w:pPr>
      <w:r w:rsidRPr="00A42BAE">
        <w:t xml:space="preserve">‘… it’s, it’s a different, it’s a different, very, very different experience to urban health services and the options that come with the many, you know, the many opportunities and options that come. And you can </w:t>
      </w:r>
      <w:proofErr w:type="gramStart"/>
      <w:r w:rsidRPr="00A42BAE">
        <w:t>select</w:t>
      </w:r>
      <w:proofErr w:type="gramEnd"/>
      <w:r w:rsidRPr="00A42BAE">
        <w:t xml:space="preserve"> and you know, you can choose if you don't like a part-, you know, you'd, but, whereas you've only got one … I think it’s really hard rurally, like, well, to get the services that you need.’ </w:t>
      </w:r>
      <w:r>
        <w:t xml:space="preserve"> </w:t>
      </w:r>
      <w:r w:rsidRPr="00A42BAE">
        <w:t>Participant (Donald Beasley Institute 2025)</w:t>
      </w:r>
    </w:p>
    <w:p w14:paraId="44A676D3" w14:textId="77777777" w:rsidR="00A42BAE" w:rsidRDefault="00A42BAE" w:rsidP="00E70985"/>
    <w:p w14:paraId="48741DE7" w14:textId="345F6495" w:rsidR="000F0696" w:rsidRDefault="00E026D6" w:rsidP="00A42BAE">
      <w:pPr>
        <w:pStyle w:val="Heading2"/>
      </w:pPr>
      <w:bookmarkStart w:id="102" w:name="_Toc195016573"/>
      <w:r w:rsidRPr="00E026D6">
        <w:t>Countering misinformation</w:t>
      </w:r>
      <w:bookmarkEnd w:id="102"/>
    </w:p>
    <w:p w14:paraId="19A9E896" w14:textId="2649B7AC" w:rsidR="00E026D6" w:rsidRDefault="00E026D6" w:rsidP="00E026D6">
      <w:pPr>
        <w:rPr>
          <w:rFonts w:eastAsia="Calibri"/>
          <w:lang w:eastAsia="en-US"/>
        </w:rPr>
      </w:pPr>
      <w:proofErr w:type="spellStart"/>
      <w:r w:rsidRPr="005F1F83">
        <w:rPr>
          <w:rFonts w:eastAsia="Calibri"/>
          <w:lang w:eastAsia="en-US"/>
        </w:rPr>
        <w:t>Pag</w:t>
      </w:r>
      <w:r>
        <w:rPr>
          <w:rFonts w:eastAsia="Calibri"/>
          <w:lang w:eastAsia="en-US"/>
        </w:rPr>
        <w:t>o</w:t>
      </w:r>
      <w:r w:rsidRPr="005F1F83">
        <w:rPr>
          <w:rFonts w:eastAsia="Calibri"/>
          <w:lang w:eastAsia="en-US"/>
        </w:rPr>
        <w:t>to</w:t>
      </w:r>
      <w:proofErr w:type="spellEnd"/>
      <w:r w:rsidRPr="005F1F83">
        <w:rPr>
          <w:rFonts w:eastAsia="Calibri"/>
          <w:lang w:eastAsia="en-US"/>
        </w:rPr>
        <w:t xml:space="preserve"> et al (2023) define</w:t>
      </w:r>
      <w:r w:rsidRPr="005F1F83" w:rsidDel="007B19B2">
        <w:rPr>
          <w:rFonts w:eastAsia="Calibri"/>
          <w:lang w:eastAsia="en-US"/>
        </w:rPr>
        <w:t xml:space="preserve"> </w:t>
      </w:r>
      <w:r w:rsidRPr="005F1F83">
        <w:rPr>
          <w:rFonts w:eastAsia="Calibri"/>
          <w:lang w:eastAsia="en-US"/>
        </w:rPr>
        <w:t xml:space="preserve">misinformation as ‘information that is false and being shared by someone who believes it to be true’. It is distinct from disinformation, where the false information is </w:t>
      </w:r>
      <w:r>
        <w:rPr>
          <w:rFonts w:eastAsia="Calibri"/>
          <w:lang w:eastAsia="en-US"/>
        </w:rPr>
        <w:t>‘</w:t>
      </w:r>
      <w:r w:rsidRPr="005F1F83">
        <w:rPr>
          <w:rFonts w:eastAsia="Calibri"/>
          <w:lang w:eastAsia="en-US"/>
        </w:rPr>
        <w:t xml:space="preserve">shared by someone who is aware that it is false but intends to deceive </w:t>
      </w:r>
      <w:proofErr w:type="gramStart"/>
      <w:r w:rsidRPr="005F1F83">
        <w:rPr>
          <w:rFonts w:eastAsia="Calibri"/>
          <w:lang w:eastAsia="en-US"/>
        </w:rPr>
        <w:t>others’</w:t>
      </w:r>
      <w:proofErr w:type="gramEnd"/>
      <w:r w:rsidRPr="005F1F83">
        <w:rPr>
          <w:rFonts w:eastAsia="Calibri"/>
          <w:lang w:eastAsia="en-US"/>
        </w:rPr>
        <w:t xml:space="preserve">.  </w:t>
      </w:r>
    </w:p>
    <w:p w14:paraId="75181913" w14:textId="77777777" w:rsidR="00E026D6" w:rsidRPr="005F1F83" w:rsidRDefault="00E026D6" w:rsidP="00E026D6">
      <w:pPr>
        <w:rPr>
          <w:rFonts w:eastAsia="Calibri"/>
          <w:lang w:eastAsia="en-US"/>
        </w:rPr>
      </w:pPr>
    </w:p>
    <w:p w14:paraId="264C731F" w14:textId="323D0E4C" w:rsidR="00E026D6" w:rsidRDefault="00E026D6" w:rsidP="00E026D6">
      <w:pPr>
        <w:rPr>
          <w:rFonts w:eastAsia="Calibri"/>
          <w:lang w:eastAsia="en-US"/>
        </w:rPr>
      </w:pPr>
      <w:r w:rsidRPr="005F1F83">
        <w:rPr>
          <w:rFonts w:eastAsia="Calibri"/>
          <w:lang w:eastAsia="en-US"/>
        </w:rPr>
        <w:t xml:space="preserve">Misinformation about accessing the abortion service, the procedure itself and how a </w:t>
      </w:r>
      <w:r w:rsidR="00752368">
        <w:rPr>
          <w:rFonts w:eastAsia="Calibri"/>
          <w:lang w:eastAsia="en-US"/>
        </w:rPr>
        <w:t>woman</w:t>
      </w:r>
      <w:r w:rsidRPr="005F1F83">
        <w:rPr>
          <w:rFonts w:eastAsia="Calibri"/>
          <w:lang w:eastAsia="en-US"/>
        </w:rPr>
        <w:t xml:space="preserve"> may feel afterwards may impact </w:t>
      </w:r>
      <w:r w:rsidR="00752368">
        <w:rPr>
          <w:rFonts w:eastAsia="Calibri"/>
          <w:lang w:eastAsia="en-US"/>
        </w:rPr>
        <w:t>their</w:t>
      </w:r>
      <w:r w:rsidRPr="005F1F83">
        <w:rPr>
          <w:rFonts w:eastAsia="Calibri"/>
          <w:lang w:eastAsia="en-US"/>
        </w:rPr>
        <w:t xml:space="preserve"> decision whether to access an abortion. It could also cause delays in accessing an abortion. </w:t>
      </w:r>
    </w:p>
    <w:p w14:paraId="279ADF53" w14:textId="77777777" w:rsidR="00E026D6" w:rsidRPr="005F1F83" w:rsidRDefault="00E026D6" w:rsidP="00E026D6">
      <w:pPr>
        <w:rPr>
          <w:rFonts w:eastAsia="Calibri"/>
          <w:lang w:eastAsia="en-US"/>
        </w:rPr>
      </w:pPr>
    </w:p>
    <w:p w14:paraId="5DE941AE" w14:textId="7B763623" w:rsidR="00E026D6" w:rsidRDefault="00E026D6" w:rsidP="00E026D6">
      <w:pPr>
        <w:rPr>
          <w:rFonts w:eastAsia="Calibri"/>
          <w:lang w:eastAsia="en-US"/>
        </w:rPr>
      </w:pPr>
      <w:r w:rsidRPr="005F1F83">
        <w:rPr>
          <w:rFonts w:eastAsia="Calibri"/>
          <w:lang w:eastAsia="en-US"/>
        </w:rPr>
        <w:t>The Ministry is aware of instances where some health practitioners, social workers and other hospital staff are not well informed about the law changes or the processes for an abortion in their local area, with the result that they accidentally spread misinformation. For example, they may perpetuate the belief that abortion counselling is ‘mandatory’ or that patients must go through their doctor for a referral to abortion services.</w:t>
      </w:r>
    </w:p>
    <w:p w14:paraId="0107C565" w14:textId="77777777" w:rsidR="00E026D6" w:rsidRPr="005F1F83" w:rsidRDefault="00E026D6" w:rsidP="00E026D6">
      <w:pPr>
        <w:rPr>
          <w:rFonts w:eastAsia="Calibri"/>
          <w:lang w:eastAsia="en-US"/>
        </w:rPr>
      </w:pPr>
    </w:p>
    <w:p w14:paraId="58898CBF" w14:textId="6B5A3506" w:rsidR="00E026D6" w:rsidRDefault="00E026D6" w:rsidP="00E026D6">
      <w:pPr>
        <w:rPr>
          <w:rFonts w:eastAsia="Calibri"/>
          <w:lang w:eastAsia="en-US"/>
        </w:rPr>
      </w:pPr>
      <w:r w:rsidRPr="005F1F83">
        <w:rPr>
          <w:rFonts w:eastAsia="Calibri"/>
          <w:lang w:eastAsia="en-US"/>
        </w:rPr>
        <w:t xml:space="preserve">It is essential that </w:t>
      </w:r>
      <w:r w:rsidR="00982B8D">
        <w:rPr>
          <w:rFonts w:eastAsia="Calibri"/>
        </w:rPr>
        <w:t>women</w:t>
      </w:r>
      <w:r w:rsidRPr="005F1F83">
        <w:rPr>
          <w:rFonts w:eastAsia="Calibri"/>
          <w:lang w:eastAsia="en-US"/>
        </w:rPr>
        <w:t xml:space="preserve"> considering an abortion have access to accurate information and supportive resources on all parts of the abortion process. This enables them to make more timely and informed decisions, and also to go into the procedure prepared, knowing what to expect and being more able to self-advocate. The availability of accessible and inclusive information facilitates equitable service provision.  </w:t>
      </w:r>
    </w:p>
    <w:p w14:paraId="43C6A907" w14:textId="77777777" w:rsidR="007E5D11" w:rsidRPr="005F1F83" w:rsidRDefault="007E5D11" w:rsidP="00E026D6">
      <w:pPr>
        <w:rPr>
          <w:rFonts w:eastAsia="Calibri"/>
          <w:lang w:eastAsia="en-US"/>
        </w:rPr>
      </w:pPr>
    </w:p>
    <w:p w14:paraId="2FE961BD" w14:textId="7EB128F4" w:rsidR="00E026D6" w:rsidRDefault="00E026D6" w:rsidP="00E026D6">
      <w:pPr>
        <w:rPr>
          <w:rFonts w:eastAsia="Calibri"/>
          <w:lang w:eastAsia="en-US"/>
        </w:rPr>
      </w:pPr>
      <w:r w:rsidRPr="005F1F83">
        <w:rPr>
          <w:rFonts w:eastAsia="Calibri"/>
          <w:lang w:eastAsia="en-US"/>
        </w:rPr>
        <w:t xml:space="preserve">In some cases, equitable provision means that additional support must be available to address unique barriers that </w:t>
      </w:r>
      <w:r w:rsidR="00982B8D">
        <w:rPr>
          <w:rFonts w:eastAsia="Calibri"/>
        </w:rPr>
        <w:t>women</w:t>
      </w:r>
      <w:r w:rsidRPr="005F1F83">
        <w:rPr>
          <w:rFonts w:eastAsia="Calibri"/>
          <w:lang w:eastAsia="en-US"/>
        </w:rPr>
        <w:t xml:space="preserve"> face. For instance, some disabled people have communication or decision-making impairments and require tailored support to meet their specific needs so they can come to an informed decision. As another example, language barriers may impede access to understandable information and can make services less equitable in locations </w:t>
      </w:r>
      <w:r>
        <w:rPr>
          <w:rFonts w:eastAsia="Calibri"/>
          <w:lang w:eastAsia="en-US"/>
        </w:rPr>
        <w:t>where</w:t>
      </w:r>
      <w:r w:rsidRPr="005F1F83">
        <w:rPr>
          <w:rFonts w:eastAsia="Calibri"/>
          <w:lang w:eastAsia="en-US"/>
        </w:rPr>
        <w:t xml:space="preserve"> translators</w:t>
      </w:r>
      <w:r>
        <w:rPr>
          <w:rFonts w:eastAsia="Calibri"/>
          <w:lang w:eastAsia="en-US"/>
        </w:rPr>
        <w:t xml:space="preserve"> are not available</w:t>
      </w:r>
      <w:r w:rsidRPr="005F1F83">
        <w:rPr>
          <w:rFonts w:eastAsia="Calibri"/>
          <w:lang w:eastAsia="en-US"/>
        </w:rPr>
        <w:t xml:space="preserve">. </w:t>
      </w:r>
    </w:p>
    <w:p w14:paraId="77314A19" w14:textId="77777777" w:rsidR="007E5D11" w:rsidRPr="005F1F83" w:rsidRDefault="007E5D11" w:rsidP="00E026D6">
      <w:pPr>
        <w:rPr>
          <w:rFonts w:eastAsia="Calibri"/>
          <w:lang w:eastAsia="en-US"/>
        </w:rPr>
      </w:pPr>
    </w:p>
    <w:p w14:paraId="27576E26" w14:textId="77777777" w:rsidR="00E026D6" w:rsidRPr="005F1F83" w:rsidRDefault="00E026D6" w:rsidP="00E026D6">
      <w:pPr>
        <w:rPr>
          <w:rFonts w:eastAsia="Calibri"/>
          <w:lang w:eastAsia="en-US"/>
        </w:rPr>
      </w:pPr>
      <w:r w:rsidRPr="005F1F83">
        <w:rPr>
          <w:rFonts w:eastAsia="Calibri"/>
          <w:lang w:eastAsia="en-US"/>
        </w:rPr>
        <w:t>Using inclusive language – such as culturally safe and rainbow-inclusive language – is another important part of providing equitable service, as it supports the safety and wellbeing of those accessing the service. This experience of safety reduces barriers to accessing supportive services.</w:t>
      </w:r>
    </w:p>
    <w:p w14:paraId="07ADF9FF" w14:textId="38A9443C" w:rsidR="00A42BAE" w:rsidRDefault="00A42BAE" w:rsidP="00A42BAE"/>
    <w:p w14:paraId="50AB96A6" w14:textId="3CEF8883" w:rsidR="00A42BAE" w:rsidRDefault="00A42BAE" w:rsidP="00A42BAE">
      <w:pPr>
        <w:pStyle w:val="Shadedboxtext"/>
      </w:pPr>
      <w:r w:rsidRPr="00A42BAE">
        <w:t xml:space="preserve">‘I think it gave me a sense of inclusivity. Like it made me feel as though, anyone was welcome there like … like it didn’t matter like what the circumstance was like they were </w:t>
      </w:r>
      <w:proofErr w:type="spellStart"/>
      <w:r w:rsidRPr="00A42BAE">
        <w:t>gonna</w:t>
      </w:r>
      <w:proofErr w:type="spellEnd"/>
      <w:r w:rsidRPr="00A42BAE">
        <w:t xml:space="preserve"> welcome you and make you feel as safe as possible which I think is really important especially for the LGBTQ+ community, like, it’s very important that there’s a safe space for them and like, it just made it feel like a very inclusive space.’ Participant, reflecting on why the invitation to be known in abortion care felt important (Parker et al 2025)</w:t>
      </w:r>
    </w:p>
    <w:p w14:paraId="4C54EDFE" w14:textId="713B1265" w:rsidR="00A42BAE" w:rsidRPr="00A42BAE" w:rsidRDefault="00A42BAE" w:rsidP="00A42BAE"/>
    <w:p w14:paraId="4B3361C6" w14:textId="12FC0D29" w:rsidR="007E5D11" w:rsidRDefault="007E5D11" w:rsidP="007E5D11">
      <w:pPr>
        <w:rPr>
          <w:rFonts w:eastAsia="Calibri"/>
          <w:lang w:eastAsia="en-US"/>
        </w:rPr>
      </w:pPr>
      <w:r w:rsidRPr="005F1F83">
        <w:rPr>
          <w:rFonts w:eastAsia="Yu Mincho"/>
          <w:lang w:eastAsia="en-US"/>
        </w:rPr>
        <w:t>The Donald Beasley Institute (2025) observes how a</w:t>
      </w:r>
      <w:r w:rsidRPr="005F1F83">
        <w:rPr>
          <w:rFonts w:eastAsia="Calibri"/>
          <w:lang w:eastAsia="en-US"/>
        </w:rPr>
        <w:t xml:space="preserve"> lack of access to timely and appropriate information created barriers for some participants, who felt they needed more information about the process. It describes a participant who:</w:t>
      </w:r>
    </w:p>
    <w:p w14:paraId="0D3AC83E" w14:textId="6C82E6B1" w:rsidR="007E5D11" w:rsidRDefault="007E5D11" w:rsidP="00412821">
      <w:pPr>
        <w:pStyle w:val="NormalIndent"/>
        <w:spacing w:after="0"/>
        <w:ind w:left="567"/>
        <w:rPr>
          <w:rFonts w:eastAsia="Calibri"/>
          <w:lang w:eastAsia="en-US"/>
        </w:rPr>
      </w:pPr>
      <w:r w:rsidRPr="005F1F83">
        <w:rPr>
          <w:rFonts w:eastAsia="Calibri"/>
          <w:lang w:eastAsia="en-US"/>
        </w:rPr>
        <w:t>said they did not realise the process would occur at multiple healthcare facilities, leading to confusion and frustration. Another participant emphasised the importance of understanding the full process, including what happens before, during, and after the abortion.</w:t>
      </w:r>
    </w:p>
    <w:p w14:paraId="74D90331" w14:textId="77777777" w:rsidR="007E5D11" w:rsidRPr="005F1F83" w:rsidRDefault="007E5D11" w:rsidP="00412821">
      <w:pPr>
        <w:rPr>
          <w:rFonts w:eastAsia="Yu Mincho"/>
          <w:lang w:eastAsia="en-US"/>
        </w:rPr>
      </w:pPr>
    </w:p>
    <w:p w14:paraId="023DA6D4" w14:textId="445C6869" w:rsidR="00A42BAE" w:rsidRPr="007E5D11" w:rsidRDefault="007E5D11" w:rsidP="007E5D11">
      <w:pPr>
        <w:spacing w:line="259" w:lineRule="auto"/>
        <w:rPr>
          <w:rFonts w:ascii="Calibri" w:eastAsia="Yu Mincho" w:hAnsi="Calibri" w:cs="Arial"/>
          <w:iCs/>
          <w:color w:val="7030A0"/>
          <w:kern w:val="2"/>
          <w:sz w:val="22"/>
          <w:szCs w:val="22"/>
          <w:lang w:eastAsia="en-US"/>
          <w14:ligatures w14:val="standardContextual"/>
        </w:rPr>
      </w:pPr>
      <w:r w:rsidRPr="005F1F83">
        <w:rPr>
          <w:rFonts w:eastAsia="Yu Mincho"/>
        </w:rPr>
        <w:t xml:space="preserve">Reporting on the experiences of </w:t>
      </w:r>
      <w:proofErr w:type="spellStart"/>
      <w:r w:rsidRPr="005F1F83">
        <w:rPr>
          <w:rFonts w:eastAsia="Yu Mincho"/>
        </w:rPr>
        <w:t>w</w:t>
      </w:r>
      <w:r w:rsidRPr="005F1F83">
        <w:rPr>
          <w:rFonts w:eastAsia="Yu Mincho" w:cs="Segoe UI"/>
        </w:rPr>
        <w:t>ā</w:t>
      </w:r>
      <w:r w:rsidRPr="005F1F83">
        <w:rPr>
          <w:rFonts w:eastAsia="Yu Mincho"/>
        </w:rPr>
        <w:t>hine</w:t>
      </w:r>
      <w:proofErr w:type="spellEnd"/>
      <w:r w:rsidRPr="005F1F83">
        <w:rPr>
          <w:rFonts w:eastAsia="Yu Mincho"/>
        </w:rPr>
        <w:t xml:space="preserve">, </w:t>
      </w:r>
      <w:r>
        <w:t>National Centre for Women’s Health Research Aotearoa</w:t>
      </w:r>
      <w:r w:rsidRPr="005F1F83">
        <w:t xml:space="preserve"> (2025)</w:t>
      </w:r>
      <w:r w:rsidRPr="005F1F83">
        <w:rPr>
          <w:rFonts w:ascii="Calibri" w:eastAsia="Calibri" w:hAnsi="Calibri" w:cs="Arial"/>
          <w:i/>
          <w:sz w:val="22"/>
          <w:szCs w:val="22"/>
          <w:lang w:eastAsia="en-US"/>
        </w:rPr>
        <w:t xml:space="preserve"> </w:t>
      </w:r>
      <w:r w:rsidRPr="005F1F83">
        <w:rPr>
          <w:rFonts w:eastAsia="Calibri"/>
        </w:rPr>
        <w:t xml:space="preserve">found that, overall, </w:t>
      </w:r>
      <w:proofErr w:type="spellStart"/>
      <w:r w:rsidRPr="005F1F83">
        <w:rPr>
          <w:rFonts w:eastAsia="Calibri"/>
        </w:rPr>
        <w:t>wāhine</w:t>
      </w:r>
      <w:proofErr w:type="spellEnd"/>
      <w:r w:rsidRPr="005F1F83">
        <w:rPr>
          <w:rFonts w:eastAsia="Calibri"/>
        </w:rPr>
        <w:t xml:space="preserve"> reported </w:t>
      </w:r>
      <w:r>
        <w:rPr>
          <w:rFonts w:eastAsia="Calibri"/>
        </w:rPr>
        <w:t xml:space="preserve">that they </w:t>
      </w:r>
      <w:r w:rsidRPr="005F1F83">
        <w:rPr>
          <w:rFonts w:eastAsia="Calibri"/>
        </w:rPr>
        <w:t>receiv</w:t>
      </w:r>
      <w:r>
        <w:rPr>
          <w:rFonts w:eastAsia="Calibri"/>
        </w:rPr>
        <w:t>ed</w:t>
      </w:r>
      <w:r w:rsidRPr="005F1F83">
        <w:rPr>
          <w:rFonts w:eastAsia="Calibri"/>
        </w:rPr>
        <w:t xml:space="preserve"> useful written and spoken information from abortion services.</w:t>
      </w:r>
    </w:p>
    <w:p w14:paraId="6AAF98F1" w14:textId="2458CAC6" w:rsidR="00A42BAE" w:rsidRDefault="00A42BAE" w:rsidP="00A42BAE">
      <w:pPr>
        <w:ind w:firstLine="567"/>
      </w:pPr>
    </w:p>
    <w:p w14:paraId="4D5942E3" w14:textId="77777777" w:rsidR="00A42BAE" w:rsidRDefault="00A42BAE" w:rsidP="00A42BAE">
      <w:pPr>
        <w:pStyle w:val="Shadedboxtext"/>
        <w:spacing w:after="120"/>
      </w:pPr>
      <w:r>
        <w:t xml:space="preserve">‘They had papers, they put out posters and information sheets. I remember walking away with a whole booklet of information sheets and papers. Yeah, it was good … they really wanted to make sure that I understood what was happening.’ Participant (National Centre for Women’s Health Research Aotearoa 2025) </w:t>
      </w:r>
    </w:p>
    <w:p w14:paraId="7D67C812" w14:textId="7A3412FE" w:rsidR="00A42BAE" w:rsidRDefault="00A42BAE" w:rsidP="00A42BAE">
      <w:pPr>
        <w:pStyle w:val="Shadedboxtext"/>
      </w:pPr>
      <w:r>
        <w:t xml:space="preserve">‘Surprisingly the booklet about aftercare and stuff made a really big difference. There </w:t>
      </w:r>
      <w:proofErr w:type="gramStart"/>
      <w:r>
        <w:t>was</w:t>
      </w:r>
      <w:proofErr w:type="gramEnd"/>
      <w:r>
        <w:t xml:space="preserve"> stories from people that had experienced situations worse than mine, but feeling the exact same way I felt. I think for me that was really important.’ Participant (National Centre for Women’s Health Research Aotearoa 2025)</w:t>
      </w:r>
    </w:p>
    <w:p w14:paraId="3AC98F50" w14:textId="618BBF69" w:rsidR="00A42BAE" w:rsidRPr="00A42BAE" w:rsidRDefault="00A42BAE" w:rsidP="00A42BAE"/>
    <w:p w14:paraId="372AF92B" w14:textId="09D30718" w:rsidR="007E5D11" w:rsidRDefault="007E5D11" w:rsidP="007E5D11">
      <w:pPr>
        <w:rPr>
          <w:rFonts w:eastAsia="Calibri"/>
          <w:lang w:eastAsia="en-US"/>
        </w:rPr>
      </w:pPr>
      <w:r w:rsidRPr="005F1F83">
        <w:rPr>
          <w:rFonts w:eastAsia="Calibri"/>
          <w:lang w:eastAsia="en-US"/>
        </w:rPr>
        <w:t xml:space="preserve">On the other hand, the researchers reported the experience of one </w:t>
      </w:r>
      <w:proofErr w:type="spellStart"/>
      <w:r w:rsidRPr="005F1F83">
        <w:rPr>
          <w:rFonts w:eastAsia="Calibri"/>
          <w:lang w:eastAsia="en-US"/>
        </w:rPr>
        <w:t>w</w:t>
      </w:r>
      <w:r>
        <w:rPr>
          <w:rFonts w:eastAsia="Calibri"/>
          <w:lang w:eastAsia="en-US"/>
        </w:rPr>
        <w:t>a</w:t>
      </w:r>
      <w:r w:rsidRPr="005F1F83">
        <w:rPr>
          <w:rFonts w:eastAsia="Calibri"/>
          <w:lang w:eastAsia="en-US"/>
        </w:rPr>
        <w:t>hine</w:t>
      </w:r>
      <w:proofErr w:type="spellEnd"/>
      <w:r w:rsidRPr="005F1F83">
        <w:rPr>
          <w:rFonts w:eastAsia="Calibri"/>
          <w:lang w:eastAsia="en-US"/>
        </w:rPr>
        <w:t xml:space="preserve"> whose pathway to abortion care took almost three weeks ‘from first search for information on the internet, to several phone calls, a GP appointment, an ultrasound appointment and a further GP appointment’. She finally got an appointment by contacting the abortion clinic directly.</w:t>
      </w:r>
    </w:p>
    <w:p w14:paraId="7FC3D997" w14:textId="77777777" w:rsidR="007E5D11" w:rsidRPr="005F1F83" w:rsidRDefault="007E5D11" w:rsidP="007E5D11">
      <w:pPr>
        <w:rPr>
          <w:rFonts w:eastAsia="Calibri"/>
          <w:lang w:eastAsia="en-US"/>
        </w:rPr>
      </w:pPr>
    </w:p>
    <w:p w14:paraId="06A5BEF7" w14:textId="177F66B3" w:rsidR="007E5D11" w:rsidRDefault="007E5D11" w:rsidP="00412821">
      <w:pPr>
        <w:pStyle w:val="NormalIndent"/>
        <w:spacing w:after="0"/>
        <w:ind w:left="567"/>
        <w:rPr>
          <w:rFonts w:eastAsia="Calibri"/>
          <w:lang w:eastAsia="en-US"/>
        </w:rPr>
      </w:pPr>
      <w:r w:rsidRPr="005F1F83">
        <w:rPr>
          <w:rFonts w:eastAsia="Calibri"/>
          <w:lang w:eastAsia="en-US"/>
        </w:rPr>
        <w:t xml:space="preserve">This </w:t>
      </w:r>
      <w:proofErr w:type="spellStart"/>
      <w:r w:rsidRPr="005F1F83">
        <w:rPr>
          <w:rFonts w:eastAsia="Calibri"/>
          <w:lang w:eastAsia="en-US"/>
        </w:rPr>
        <w:t>w</w:t>
      </w:r>
      <w:r>
        <w:rPr>
          <w:rFonts w:eastAsia="Calibri"/>
          <w:lang w:eastAsia="en-US"/>
        </w:rPr>
        <w:t>a</w:t>
      </w:r>
      <w:r w:rsidRPr="005F1F83">
        <w:rPr>
          <w:rFonts w:eastAsia="Calibri"/>
          <w:lang w:eastAsia="en-US"/>
        </w:rPr>
        <w:t>hine</w:t>
      </w:r>
      <w:proofErr w:type="spellEnd"/>
      <w:r w:rsidRPr="005F1F83">
        <w:rPr>
          <w:rFonts w:eastAsia="Calibri"/>
          <w:lang w:eastAsia="en-US"/>
        </w:rPr>
        <w:t xml:space="preserve"> shared her anxiety and anger at her long and unnecessary pathway to access abortion care. Not only were there multiple points where healthcare providers failed to give her the correct information but on reflection, it would seem at least one tried to block her from accessing the service. This led to a confusing and lengthy engagement with many services. (</w:t>
      </w:r>
      <w:r>
        <w:t>National Centre for Women’s Health Research Aotearoa</w:t>
      </w:r>
      <w:r w:rsidRPr="005F1F83">
        <w:t xml:space="preserve"> 2025</w:t>
      </w:r>
      <w:r w:rsidRPr="005F1F83">
        <w:rPr>
          <w:rFonts w:eastAsia="Calibri"/>
          <w:lang w:eastAsia="en-US"/>
        </w:rPr>
        <w:t>)</w:t>
      </w:r>
    </w:p>
    <w:p w14:paraId="0D93A9C9" w14:textId="77777777" w:rsidR="007E5D11" w:rsidRPr="005F1F83" w:rsidRDefault="007E5D11" w:rsidP="007E5D11">
      <w:pPr>
        <w:pStyle w:val="NormalIndent"/>
        <w:spacing w:after="0"/>
        <w:rPr>
          <w:rFonts w:eastAsia="Calibri" w:cs="Arial"/>
          <w:lang w:eastAsia="en-US"/>
        </w:rPr>
      </w:pPr>
    </w:p>
    <w:p w14:paraId="1F9BC321" w14:textId="77777777" w:rsidR="007E5D11" w:rsidRPr="005F1F83" w:rsidRDefault="007E5D11" w:rsidP="007E5D11">
      <w:pPr>
        <w:rPr>
          <w:rFonts w:eastAsia="Calibri"/>
          <w:b/>
          <w:bCs/>
          <w:lang w:eastAsia="en-US"/>
        </w:rPr>
      </w:pPr>
      <w:r w:rsidRPr="005F1F83">
        <w:rPr>
          <w:rFonts w:eastAsia="Calibri"/>
          <w:lang w:eastAsia="en-US"/>
        </w:rPr>
        <w:t>In 2024, following feedback from stakeholders, the Ministry published a position statement on abortion reversal. Manatū Hauora does not support or recognise the practice of ‘abortion reversal’ (Ministry of Health 2024b).</w:t>
      </w:r>
    </w:p>
    <w:p w14:paraId="1E20ECF6" w14:textId="74E545CE" w:rsidR="00A42BAE" w:rsidRDefault="00A42BAE" w:rsidP="00A42BAE">
      <w:pPr>
        <w:pStyle w:val="Heading2"/>
      </w:pPr>
      <w:bookmarkStart w:id="103" w:name="_Toc195016574"/>
      <w:r w:rsidRPr="00A42BAE">
        <w:t>Workforce</w:t>
      </w:r>
      <w:bookmarkEnd w:id="103"/>
    </w:p>
    <w:p w14:paraId="44D847A5" w14:textId="2A601172" w:rsidR="007E5D11" w:rsidRDefault="007E5D11" w:rsidP="007E5D11">
      <w:pPr>
        <w:rPr>
          <w:rFonts w:eastAsia="Calibri"/>
          <w:lang w:eastAsia="en-US"/>
        </w:rPr>
      </w:pPr>
      <w:r w:rsidRPr="005F1F83">
        <w:rPr>
          <w:rFonts w:eastAsia="Calibri"/>
          <w:lang w:eastAsia="en-US"/>
        </w:rPr>
        <w:t>Under the</w:t>
      </w:r>
      <w:r>
        <w:rPr>
          <w:rFonts w:eastAsia="Calibri"/>
          <w:lang w:eastAsia="en-US"/>
        </w:rPr>
        <w:t xml:space="preserve"> CSA</w:t>
      </w:r>
      <w:r w:rsidRPr="005F1F83">
        <w:rPr>
          <w:rFonts w:eastAsia="Calibri"/>
          <w:lang w:eastAsia="en-US"/>
        </w:rPr>
        <w:t xml:space="preserve"> Act, Health New Zealand must take reasonable steps to ensure that abortion services (and related services such as counselling) are available throughout New Zealand. </w:t>
      </w:r>
    </w:p>
    <w:p w14:paraId="4289FC55" w14:textId="77777777" w:rsidR="007E5D11" w:rsidRPr="005F1F83" w:rsidRDefault="007E5D11" w:rsidP="007E5D11">
      <w:pPr>
        <w:rPr>
          <w:rFonts w:eastAsia="Calibri"/>
          <w:lang w:eastAsia="en-US"/>
        </w:rPr>
      </w:pPr>
    </w:p>
    <w:p w14:paraId="38415E68" w14:textId="42A23261" w:rsidR="007E5D11" w:rsidRDefault="007E5D11" w:rsidP="007E5D11">
      <w:pPr>
        <w:rPr>
          <w:rFonts w:eastAsia="Calibri"/>
          <w:lang w:eastAsia="en-US"/>
        </w:rPr>
      </w:pPr>
      <w:r w:rsidRPr="005F1F83">
        <w:rPr>
          <w:rFonts w:eastAsia="Calibri"/>
          <w:lang w:eastAsia="en-US"/>
        </w:rPr>
        <w:t>The size of t</w:t>
      </w:r>
      <w:r>
        <w:rPr>
          <w:rFonts w:eastAsia="Calibri"/>
          <w:lang w:eastAsia="en-US"/>
        </w:rPr>
        <w:t>h</w:t>
      </w:r>
      <w:r w:rsidRPr="005F1F83">
        <w:rPr>
          <w:rFonts w:eastAsia="Calibri"/>
          <w:lang w:eastAsia="en-US"/>
        </w:rPr>
        <w:t xml:space="preserve">e abortion workforce has increased over the last five years. However, the number of practitioners providing abortion services is still a small proportion of the wider workforce of registered doctors, midwives and nurses. </w:t>
      </w:r>
    </w:p>
    <w:p w14:paraId="6373837C" w14:textId="77777777" w:rsidR="007E5D11" w:rsidRPr="005F1F83" w:rsidRDefault="007E5D11" w:rsidP="007E5D11">
      <w:pPr>
        <w:rPr>
          <w:rFonts w:eastAsia="Calibri"/>
          <w:lang w:eastAsia="en-US"/>
        </w:rPr>
      </w:pPr>
    </w:p>
    <w:p w14:paraId="3ECF90FA" w14:textId="77777777" w:rsidR="007E5D11" w:rsidRPr="005F1F83" w:rsidRDefault="007E5D11" w:rsidP="007E5D11">
      <w:pPr>
        <w:rPr>
          <w:rFonts w:eastAsia="Calibri"/>
          <w:lang w:eastAsia="en-US"/>
        </w:rPr>
      </w:pPr>
      <w:r w:rsidRPr="005F1F83">
        <w:rPr>
          <w:rFonts w:eastAsia="Calibri"/>
          <w:lang w:eastAsia="en-US"/>
        </w:rPr>
        <w:t>Among the many reasons why individual health practitioners do not provide abortion services are:</w:t>
      </w:r>
    </w:p>
    <w:p w14:paraId="3BF98E74" w14:textId="77777777" w:rsidR="007E5D11" w:rsidRPr="005F1F83" w:rsidRDefault="007E5D11" w:rsidP="007E5D11">
      <w:pPr>
        <w:pStyle w:val="Bullet"/>
        <w:rPr>
          <w:rFonts w:eastAsia="Calibri"/>
          <w:lang w:eastAsia="en-US"/>
        </w:rPr>
      </w:pPr>
      <w:r w:rsidRPr="005F1F83">
        <w:rPr>
          <w:rFonts w:eastAsia="Calibri"/>
          <w:lang w:eastAsia="en-US"/>
        </w:rPr>
        <w:t>practical reasons (</w:t>
      </w:r>
      <w:proofErr w:type="spellStart"/>
      <w:r w:rsidRPr="005F1F83">
        <w:rPr>
          <w:rFonts w:eastAsia="Calibri"/>
          <w:lang w:eastAsia="en-US"/>
        </w:rPr>
        <w:t>eg</w:t>
      </w:r>
      <w:proofErr w:type="spellEnd"/>
      <w:r w:rsidRPr="005F1F83">
        <w:rPr>
          <w:rFonts w:eastAsia="Calibri"/>
          <w:lang w:eastAsia="en-US"/>
        </w:rPr>
        <w:t>, lack of time or funding)</w:t>
      </w:r>
    </w:p>
    <w:p w14:paraId="6FDAC47D" w14:textId="77777777" w:rsidR="007E5D11" w:rsidRPr="005F1F83" w:rsidRDefault="007E5D11" w:rsidP="007E5D11">
      <w:pPr>
        <w:pStyle w:val="Bullet"/>
        <w:rPr>
          <w:rFonts w:eastAsia="Calibri"/>
          <w:lang w:eastAsia="en-US"/>
        </w:rPr>
      </w:pPr>
      <w:r w:rsidRPr="005F1F83">
        <w:rPr>
          <w:rFonts w:eastAsia="Calibri"/>
          <w:lang w:eastAsia="en-US"/>
        </w:rPr>
        <w:t>concerns about their competence (</w:t>
      </w:r>
      <w:proofErr w:type="spellStart"/>
      <w:r w:rsidRPr="005F1F83">
        <w:rPr>
          <w:rFonts w:eastAsia="Calibri"/>
          <w:lang w:eastAsia="en-US"/>
        </w:rPr>
        <w:t>eg</w:t>
      </w:r>
      <w:proofErr w:type="spellEnd"/>
      <w:r w:rsidRPr="005F1F83">
        <w:rPr>
          <w:rFonts w:eastAsia="Calibri"/>
          <w:lang w:eastAsia="en-US"/>
        </w:rPr>
        <w:t>, they feel they do not have the right skills to provide the service)</w:t>
      </w:r>
    </w:p>
    <w:p w14:paraId="36B0F323" w14:textId="77777777" w:rsidR="007E5D11" w:rsidRPr="005F1F83" w:rsidRDefault="007E5D11" w:rsidP="007E5D11">
      <w:pPr>
        <w:pStyle w:val="Bullet"/>
        <w:rPr>
          <w:rFonts w:eastAsia="Calibri"/>
          <w:lang w:eastAsia="en-US"/>
        </w:rPr>
      </w:pPr>
      <w:r w:rsidRPr="005F1F83">
        <w:rPr>
          <w:rFonts w:eastAsia="Calibri"/>
          <w:lang w:eastAsia="en-US"/>
        </w:rPr>
        <w:t>lack of knowledge (</w:t>
      </w:r>
      <w:proofErr w:type="spellStart"/>
      <w:r w:rsidRPr="005F1F83">
        <w:rPr>
          <w:rFonts w:eastAsia="Calibri"/>
          <w:lang w:eastAsia="en-US"/>
        </w:rPr>
        <w:t>eg</w:t>
      </w:r>
      <w:proofErr w:type="spellEnd"/>
      <w:r w:rsidRPr="005F1F83">
        <w:rPr>
          <w:rFonts w:eastAsia="Calibri"/>
          <w:lang w:eastAsia="en-US"/>
        </w:rPr>
        <w:t>, uncertainty about the law)</w:t>
      </w:r>
    </w:p>
    <w:p w14:paraId="3D6C45C7" w14:textId="77777777" w:rsidR="007E5D11" w:rsidRPr="005F1F83" w:rsidRDefault="007E5D11" w:rsidP="007E5D11">
      <w:pPr>
        <w:pStyle w:val="Bullet"/>
        <w:rPr>
          <w:rFonts w:eastAsia="Calibri"/>
          <w:lang w:eastAsia="en-US"/>
        </w:rPr>
      </w:pPr>
      <w:r w:rsidRPr="005F1F83">
        <w:rPr>
          <w:rFonts w:eastAsia="Calibri"/>
          <w:lang w:eastAsia="en-US"/>
        </w:rPr>
        <w:t>concerns about their reputation (</w:t>
      </w:r>
      <w:proofErr w:type="spellStart"/>
      <w:r w:rsidRPr="005F1F83">
        <w:rPr>
          <w:rFonts w:eastAsia="Calibri"/>
          <w:lang w:eastAsia="en-US"/>
        </w:rPr>
        <w:t>eg</w:t>
      </w:r>
      <w:proofErr w:type="spellEnd"/>
      <w:r w:rsidRPr="005F1F83">
        <w:rPr>
          <w:rFonts w:eastAsia="Calibri"/>
          <w:lang w:eastAsia="en-US"/>
        </w:rPr>
        <w:t>, fear of impacting their relationships with other patients or the reputation of their practice)</w:t>
      </w:r>
    </w:p>
    <w:p w14:paraId="7DBDC8BE" w14:textId="77777777" w:rsidR="007E5D11" w:rsidRPr="005F1F83" w:rsidRDefault="007E5D11" w:rsidP="007E5D11">
      <w:pPr>
        <w:pStyle w:val="Bullet"/>
        <w:rPr>
          <w:rFonts w:eastAsia="Calibri"/>
          <w:lang w:eastAsia="en-US"/>
        </w:rPr>
      </w:pPr>
      <w:r w:rsidRPr="005F1F83">
        <w:rPr>
          <w:rFonts w:eastAsia="Calibri"/>
          <w:lang w:eastAsia="en-US"/>
        </w:rPr>
        <w:t>personal reasons (</w:t>
      </w:r>
      <w:proofErr w:type="spellStart"/>
      <w:r w:rsidRPr="005F1F83">
        <w:rPr>
          <w:rFonts w:eastAsia="Calibri"/>
          <w:lang w:eastAsia="en-US"/>
        </w:rPr>
        <w:t>eg</w:t>
      </w:r>
      <w:proofErr w:type="spellEnd"/>
      <w:r w:rsidRPr="005F1F83">
        <w:rPr>
          <w:rFonts w:eastAsia="Calibri"/>
          <w:lang w:eastAsia="en-US"/>
        </w:rPr>
        <w:t>, the emotional impact that abortion might have on them)</w:t>
      </w:r>
    </w:p>
    <w:p w14:paraId="74CB1EFA" w14:textId="77777777" w:rsidR="007E5D11" w:rsidRPr="005F1F83" w:rsidRDefault="007E5D11" w:rsidP="007E5D11">
      <w:pPr>
        <w:pStyle w:val="Bullet"/>
        <w:rPr>
          <w:rFonts w:eastAsia="Calibri"/>
          <w:lang w:eastAsia="en-US"/>
        </w:rPr>
      </w:pPr>
      <w:r w:rsidRPr="005F1F83">
        <w:rPr>
          <w:rFonts w:eastAsia="Calibri"/>
          <w:lang w:eastAsia="en-US"/>
        </w:rPr>
        <w:t>conscientious objection</w:t>
      </w:r>
      <w:r w:rsidRPr="005F1F83">
        <w:rPr>
          <w:rStyle w:val="FootnoteReference"/>
          <w:rFonts w:ascii="Calibri" w:eastAsia="Calibri" w:hAnsi="Calibri" w:cs="Arial"/>
          <w:kern w:val="2"/>
          <w:sz w:val="22"/>
          <w:szCs w:val="22"/>
          <w:lang w:eastAsia="en-US"/>
          <w14:ligatures w14:val="standardContextual"/>
        </w:rPr>
        <w:footnoteReference w:id="11"/>
      </w:r>
      <w:r>
        <w:rPr>
          <w:rFonts w:eastAsia="Calibri"/>
          <w:lang w:eastAsia="en-US"/>
        </w:rPr>
        <w:t xml:space="preserve"> (see the next section)</w:t>
      </w:r>
    </w:p>
    <w:p w14:paraId="2F7043B3" w14:textId="77777777" w:rsidR="007E5D11" w:rsidRPr="005F1F83" w:rsidRDefault="007E5D11" w:rsidP="007E5D11">
      <w:pPr>
        <w:pStyle w:val="Bullet"/>
        <w:rPr>
          <w:rFonts w:eastAsia="Calibri"/>
          <w:lang w:eastAsia="en-US"/>
        </w:rPr>
      </w:pPr>
      <w:r w:rsidRPr="005F1F83">
        <w:rPr>
          <w:rFonts w:eastAsia="Calibri"/>
          <w:lang w:eastAsia="en-US"/>
        </w:rPr>
        <w:t xml:space="preserve">working in a facility that restricts abortion service </w:t>
      </w:r>
      <w:proofErr w:type="gramStart"/>
      <w:r w:rsidRPr="005F1F83">
        <w:rPr>
          <w:rFonts w:eastAsia="Calibri"/>
          <w:lang w:eastAsia="en-US"/>
        </w:rPr>
        <w:t>provision</w:t>
      </w:r>
      <w:proofErr w:type="gramEnd"/>
    </w:p>
    <w:p w14:paraId="00E1ECA5" w14:textId="77777777" w:rsidR="007E5D11" w:rsidRPr="005F1F83" w:rsidRDefault="007E5D11" w:rsidP="007E5D11">
      <w:pPr>
        <w:pStyle w:val="Bullet"/>
        <w:rPr>
          <w:rFonts w:eastAsia="Calibri"/>
          <w:lang w:eastAsia="en-US"/>
        </w:rPr>
      </w:pPr>
      <w:r w:rsidRPr="005F1F83">
        <w:rPr>
          <w:rFonts w:eastAsia="Calibri"/>
          <w:lang w:eastAsia="en-US"/>
        </w:rPr>
        <w:t xml:space="preserve">working in an area unrelated to sexual health, and where they would be unlikely to be asked to provide abortion services. </w:t>
      </w:r>
    </w:p>
    <w:p w14:paraId="16F0AE6C" w14:textId="77777777" w:rsidR="007E5D11" w:rsidRDefault="007E5D11" w:rsidP="007E5D11">
      <w:pPr>
        <w:rPr>
          <w:rFonts w:eastAsia="Calibri"/>
          <w:lang w:eastAsia="en-US"/>
        </w:rPr>
      </w:pPr>
    </w:p>
    <w:p w14:paraId="76401569" w14:textId="379980D8" w:rsidR="007E5D11" w:rsidRPr="005F1F83" w:rsidRDefault="007E5D11" w:rsidP="007E5D11">
      <w:pPr>
        <w:rPr>
          <w:rFonts w:eastAsia="Calibri"/>
          <w:lang w:eastAsia="en-US"/>
        </w:rPr>
      </w:pPr>
      <w:r w:rsidRPr="005F1F83">
        <w:rPr>
          <w:rFonts w:eastAsia="Calibri"/>
          <w:lang w:eastAsia="en-US"/>
        </w:rPr>
        <w:t xml:space="preserve">The workforce is particularly vulnerable in those areas outside of main centres where there may only be one or two health practitioners willing and able to provide abortion care or sustain an existing abortion service. </w:t>
      </w:r>
    </w:p>
    <w:p w14:paraId="1AB3DC1C" w14:textId="20C758C4" w:rsidR="007E5D11" w:rsidRDefault="007E5D11" w:rsidP="007E5D11"/>
    <w:p w14:paraId="4988FC05" w14:textId="77777777" w:rsidR="00FA0B81" w:rsidRPr="005F1F83" w:rsidRDefault="00FA0B81" w:rsidP="00FA0B81">
      <w:pPr>
        <w:rPr>
          <w:rFonts w:eastAsia="Calibri"/>
          <w:lang w:eastAsia="en-US"/>
        </w:rPr>
      </w:pPr>
      <w:r w:rsidRPr="005F1F83">
        <w:rPr>
          <w:rFonts w:eastAsia="Calibri"/>
          <w:lang w:eastAsia="en-US"/>
        </w:rPr>
        <w:t xml:space="preserve">To ensure that access to services is timely and equitable and that patients have freedom to choose the type of procedure they prefer, without having to travel out of their </w:t>
      </w:r>
      <w:r w:rsidRPr="00EE6BD4">
        <w:rPr>
          <w:rFonts w:eastAsia="Calibri"/>
          <w:lang w:eastAsia="en-US"/>
        </w:rPr>
        <w:t xml:space="preserve">district </w:t>
      </w:r>
      <w:r w:rsidRPr="00C678DD">
        <w:rPr>
          <w:rFonts w:eastAsia="Calibri"/>
          <w:lang w:eastAsia="en-US"/>
        </w:rPr>
        <w:t>of domicile</w:t>
      </w:r>
      <w:r w:rsidRPr="005F1F83">
        <w:rPr>
          <w:rFonts w:eastAsia="Calibri"/>
          <w:lang w:eastAsia="en-US"/>
        </w:rPr>
        <w:t>, it is critical that health practitioners are supported</w:t>
      </w:r>
      <w:r>
        <w:rPr>
          <w:rFonts w:eastAsia="Calibri"/>
          <w:lang w:eastAsia="en-US"/>
        </w:rPr>
        <w:t xml:space="preserve"> and </w:t>
      </w:r>
      <w:r w:rsidRPr="005F1F83">
        <w:rPr>
          <w:rFonts w:eastAsia="Calibri"/>
          <w:lang w:eastAsia="en-US"/>
        </w:rPr>
        <w:t xml:space="preserve">enabled to provide abortion health care services. </w:t>
      </w:r>
    </w:p>
    <w:p w14:paraId="2739244F" w14:textId="77777777" w:rsidR="00FA0B81" w:rsidRPr="005F1F83" w:rsidRDefault="00FA0B81" w:rsidP="00FA0B81">
      <w:pPr>
        <w:pStyle w:val="Heading3"/>
        <w:rPr>
          <w:rFonts w:eastAsia="Calibri"/>
          <w:lang w:eastAsia="en-US"/>
        </w:rPr>
      </w:pPr>
      <w:r w:rsidRPr="005F1F83">
        <w:rPr>
          <w:rFonts w:eastAsia="Calibri"/>
          <w:lang w:eastAsia="en-US"/>
        </w:rPr>
        <w:t>Training</w:t>
      </w:r>
    </w:p>
    <w:p w14:paraId="5632B208" w14:textId="1E06DDBE" w:rsidR="00FA0B81" w:rsidRDefault="00FA0B81" w:rsidP="00FA0B81">
      <w:pPr>
        <w:rPr>
          <w:rFonts w:eastAsia="Calibri"/>
          <w:lang w:eastAsia="en-US"/>
        </w:rPr>
      </w:pPr>
      <w:r w:rsidRPr="005F1F83">
        <w:rPr>
          <w:rFonts w:eastAsia="Calibri"/>
          <w:lang w:eastAsia="en-US"/>
        </w:rPr>
        <w:t xml:space="preserve">In 2021, the Ministry ran a procurement process to support practitioners in providing abortion in primary care. This included seeking workforce training following the law reform and resulted in a contract with the NZCSRH. This college developed </w:t>
      </w:r>
      <w:r>
        <w:rPr>
          <w:rFonts w:eastAsia="Calibri"/>
          <w:lang w:eastAsia="en-US"/>
        </w:rPr>
        <w:t xml:space="preserve">a </w:t>
      </w:r>
      <w:r w:rsidRPr="005F1F83">
        <w:rPr>
          <w:rFonts w:eastAsia="Calibri"/>
          <w:lang w:eastAsia="en-US"/>
        </w:rPr>
        <w:t xml:space="preserve">training </w:t>
      </w:r>
      <w:r>
        <w:rPr>
          <w:rFonts w:eastAsia="Calibri"/>
          <w:lang w:eastAsia="en-US"/>
        </w:rPr>
        <w:t>programme with the aim of increasing</w:t>
      </w:r>
      <w:r w:rsidRPr="005F1F83">
        <w:rPr>
          <w:rFonts w:eastAsia="Calibri"/>
          <w:lang w:eastAsia="en-US"/>
        </w:rPr>
        <w:t xml:space="preserve"> primary care provision of abortion services</w:t>
      </w:r>
      <w:r>
        <w:rPr>
          <w:rFonts w:eastAsia="Calibri"/>
          <w:lang w:eastAsia="en-US"/>
        </w:rPr>
        <w:t>. Areas it covered</w:t>
      </w:r>
      <w:r w:rsidRPr="005F1F83">
        <w:rPr>
          <w:rFonts w:eastAsia="Calibri"/>
          <w:lang w:eastAsia="en-US"/>
        </w:rPr>
        <w:t xml:space="preserve"> includ</w:t>
      </w:r>
      <w:r>
        <w:rPr>
          <w:rFonts w:eastAsia="Calibri"/>
          <w:lang w:eastAsia="en-US"/>
        </w:rPr>
        <w:t>ed</w:t>
      </w:r>
      <w:r w:rsidRPr="005F1F83">
        <w:rPr>
          <w:rFonts w:eastAsia="Calibri"/>
          <w:lang w:eastAsia="en-US"/>
        </w:rPr>
        <w:t xml:space="preserve"> consultation, early medical abortion, early surgical abortion and point</w:t>
      </w:r>
      <w:r>
        <w:rPr>
          <w:rFonts w:eastAsia="Calibri"/>
          <w:lang w:eastAsia="en-US"/>
        </w:rPr>
        <w:t>-</w:t>
      </w:r>
      <w:r w:rsidRPr="005F1F83">
        <w:rPr>
          <w:rFonts w:eastAsia="Calibri"/>
          <w:lang w:eastAsia="en-US"/>
        </w:rPr>
        <w:t>of</w:t>
      </w:r>
      <w:r>
        <w:rPr>
          <w:rFonts w:eastAsia="Calibri"/>
          <w:lang w:eastAsia="en-US"/>
        </w:rPr>
        <w:t>-</w:t>
      </w:r>
      <w:r w:rsidRPr="005F1F83">
        <w:rPr>
          <w:rFonts w:eastAsia="Calibri"/>
          <w:lang w:eastAsia="en-US"/>
        </w:rPr>
        <w:t xml:space="preserve">care ultrasound. </w:t>
      </w:r>
    </w:p>
    <w:p w14:paraId="0875738E" w14:textId="77777777" w:rsidR="00FA0B81" w:rsidRPr="005F1F83" w:rsidRDefault="00FA0B81" w:rsidP="00FA0B81">
      <w:pPr>
        <w:rPr>
          <w:rFonts w:eastAsia="Calibri"/>
          <w:lang w:eastAsia="en-US"/>
        </w:rPr>
      </w:pPr>
    </w:p>
    <w:p w14:paraId="71E4B3BF" w14:textId="1CDEC489" w:rsidR="00FA0B81" w:rsidRDefault="00FA0B81" w:rsidP="00FA0B81">
      <w:pPr>
        <w:rPr>
          <w:rFonts w:eastAsia="Calibri"/>
          <w:lang w:eastAsia="en-US"/>
        </w:rPr>
      </w:pPr>
      <w:r w:rsidRPr="005F1F83">
        <w:rPr>
          <w:rFonts w:eastAsia="Calibri"/>
          <w:lang w:eastAsia="en-US"/>
        </w:rPr>
        <w:t>Health New Zealand now manage</w:t>
      </w:r>
      <w:r>
        <w:rPr>
          <w:rFonts w:eastAsia="Calibri"/>
          <w:lang w:eastAsia="en-US"/>
        </w:rPr>
        <w:t>s</w:t>
      </w:r>
      <w:r w:rsidRPr="005F1F83">
        <w:rPr>
          <w:rFonts w:eastAsia="Calibri"/>
          <w:lang w:eastAsia="en-US"/>
        </w:rPr>
        <w:t xml:space="preserve"> and fund</w:t>
      </w:r>
      <w:r>
        <w:rPr>
          <w:rFonts w:eastAsia="Calibri"/>
          <w:lang w:eastAsia="en-US"/>
        </w:rPr>
        <w:t>s</w:t>
      </w:r>
      <w:r w:rsidRPr="005F1F83">
        <w:rPr>
          <w:rFonts w:eastAsia="Calibri"/>
          <w:lang w:eastAsia="en-US"/>
        </w:rPr>
        <w:t xml:space="preserve"> </w:t>
      </w:r>
      <w:r>
        <w:rPr>
          <w:rFonts w:eastAsia="Calibri"/>
          <w:lang w:eastAsia="en-US"/>
        </w:rPr>
        <w:t>t</w:t>
      </w:r>
      <w:r w:rsidRPr="005F1F83">
        <w:rPr>
          <w:rFonts w:eastAsia="Calibri"/>
          <w:lang w:eastAsia="en-US"/>
        </w:rPr>
        <w:t xml:space="preserve">his contract. </w:t>
      </w:r>
      <w:r>
        <w:rPr>
          <w:rFonts w:eastAsia="Calibri"/>
          <w:lang w:eastAsia="en-US"/>
        </w:rPr>
        <w:t xml:space="preserve">From </w:t>
      </w:r>
      <w:r w:rsidRPr="005F1F83">
        <w:rPr>
          <w:rFonts w:eastAsia="Calibri"/>
          <w:lang w:eastAsia="en-US"/>
        </w:rPr>
        <w:t xml:space="preserve">November 2022 </w:t>
      </w:r>
      <w:r>
        <w:rPr>
          <w:rFonts w:eastAsia="Calibri"/>
          <w:lang w:eastAsia="en-US"/>
        </w:rPr>
        <w:t xml:space="preserve">when training was launched until </w:t>
      </w:r>
      <w:r w:rsidRPr="005F1F83">
        <w:rPr>
          <w:rFonts w:eastAsia="Calibri"/>
          <w:lang w:eastAsia="en-US"/>
        </w:rPr>
        <w:t xml:space="preserve">30 October 2024, 214 health practitioners have completed the modules. The Ministry does not hold data </w:t>
      </w:r>
      <w:r>
        <w:rPr>
          <w:rFonts w:eastAsia="Calibri"/>
          <w:lang w:eastAsia="en-US"/>
        </w:rPr>
        <w:t>on how many of these</w:t>
      </w:r>
      <w:r w:rsidRPr="005F1F83">
        <w:rPr>
          <w:rFonts w:eastAsia="Calibri"/>
          <w:lang w:eastAsia="en-US"/>
        </w:rPr>
        <w:t xml:space="preserve"> practitioners have since provided abortion services. </w:t>
      </w:r>
    </w:p>
    <w:p w14:paraId="29268D38" w14:textId="77777777" w:rsidR="00FA0B81" w:rsidRPr="005F1F83" w:rsidRDefault="00FA0B81" w:rsidP="00FA0B81">
      <w:pPr>
        <w:rPr>
          <w:rFonts w:eastAsia="Calibri"/>
          <w:lang w:eastAsia="en-US"/>
        </w:rPr>
      </w:pPr>
    </w:p>
    <w:p w14:paraId="6DD0943B" w14:textId="594FF6B9" w:rsidR="00FA0B81" w:rsidRDefault="00FA0B81" w:rsidP="00FA0B81">
      <w:pPr>
        <w:rPr>
          <w:rFonts w:eastAsia="Calibri"/>
          <w:lang w:eastAsia="en-US"/>
        </w:rPr>
      </w:pPr>
      <w:r w:rsidRPr="005F1F83">
        <w:rPr>
          <w:rFonts w:eastAsia="Calibri"/>
          <w:lang w:eastAsia="en-US"/>
        </w:rPr>
        <w:t>Notably, Health New Zealand has reported a diverse range of professional groups accessing this training (</w:t>
      </w:r>
      <w:r>
        <w:rPr>
          <w:rFonts w:eastAsia="Calibri"/>
          <w:lang w:eastAsia="en-US"/>
        </w:rPr>
        <w:fldChar w:fldCharType="begin"/>
      </w:r>
      <w:r>
        <w:rPr>
          <w:rFonts w:eastAsia="Calibri"/>
          <w:lang w:eastAsia="en-US"/>
        </w:rPr>
        <w:instrText xml:space="preserve"> REF _Ref192246561 \h </w:instrText>
      </w:r>
      <w:r>
        <w:rPr>
          <w:rFonts w:eastAsia="Calibri"/>
          <w:lang w:eastAsia="en-US"/>
        </w:rPr>
      </w:r>
      <w:r>
        <w:rPr>
          <w:rFonts w:eastAsia="Calibri"/>
          <w:lang w:eastAsia="en-US"/>
        </w:rPr>
        <w:fldChar w:fldCharType="separate"/>
      </w:r>
      <w:r w:rsidR="00974F51" w:rsidRPr="005F1F83">
        <w:rPr>
          <w:rFonts w:eastAsia="Calibri"/>
          <w:lang w:eastAsia="en-US"/>
        </w:rPr>
        <w:t>Figure</w:t>
      </w:r>
      <w:r w:rsidR="00974F51">
        <w:rPr>
          <w:rFonts w:eastAsia="Calibri"/>
          <w:lang w:eastAsia="en-US"/>
        </w:rPr>
        <w:t xml:space="preserve"> </w:t>
      </w:r>
      <w:r w:rsidR="00974F51">
        <w:rPr>
          <w:rFonts w:eastAsia="Calibri"/>
          <w:noProof/>
          <w:lang w:eastAsia="en-US"/>
        </w:rPr>
        <w:t>8</w:t>
      </w:r>
      <w:r>
        <w:rPr>
          <w:rFonts w:eastAsia="Calibri"/>
          <w:lang w:eastAsia="en-US"/>
        </w:rPr>
        <w:fldChar w:fldCharType="end"/>
      </w:r>
      <w:r w:rsidRPr="005F1F83">
        <w:rPr>
          <w:rFonts w:eastAsia="Calibri"/>
          <w:lang w:eastAsia="en-US"/>
        </w:rPr>
        <w:t xml:space="preserve">). This trend, if fostered, can promote greater community access to this service, improving equity and accessibility. In addition, practitioners accessing this training </w:t>
      </w:r>
      <w:r>
        <w:rPr>
          <w:rFonts w:eastAsia="Calibri"/>
          <w:lang w:eastAsia="en-US"/>
        </w:rPr>
        <w:t>come from</w:t>
      </w:r>
      <w:r w:rsidRPr="005F1F83">
        <w:rPr>
          <w:rFonts w:eastAsia="Calibri"/>
          <w:lang w:eastAsia="en-US"/>
        </w:rPr>
        <w:t xml:space="preserve"> a diverse range of ethnic groups (</w:t>
      </w:r>
      <w:r>
        <w:rPr>
          <w:rFonts w:eastAsia="Calibri"/>
          <w:lang w:eastAsia="en-US"/>
        </w:rPr>
        <w:fldChar w:fldCharType="begin"/>
      </w:r>
      <w:r>
        <w:rPr>
          <w:rFonts w:eastAsia="Calibri"/>
          <w:lang w:eastAsia="en-US"/>
        </w:rPr>
        <w:instrText xml:space="preserve"> REF _Ref192247116 \h </w:instrText>
      </w:r>
      <w:r>
        <w:rPr>
          <w:rFonts w:eastAsia="Calibri"/>
          <w:lang w:eastAsia="en-US"/>
        </w:rPr>
      </w:r>
      <w:r>
        <w:rPr>
          <w:rFonts w:eastAsia="Calibri"/>
          <w:lang w:eastAsia="en-US"/>
        </w:rPr>
        <w:fldChar w:fldCharType="separate"/>
      </w:r>
      <w:r w:rsidR="00974F51" w:rsidRPr="005F1F83">
        <w:rPr>
          <w:rFonts w:eastAsia="Calibri"/>
          <w:lang w:eastAsia="en-US"/>
        </w:rPr>
        <w:t>Figure</w:t>
      </w:r>
      <w:r w:rsidR="00974F51">
        <w:rPr>
          <w:rFonts w:eastAsia="Calibri"/>
          <w:lang w:eastAsia="en-US"/>
        </w:rPr>
        <w:t xml:space="preserve"> </w:t>
      </w:r>
      <w:r w:rsidR="00974F51">
        <w:rPr>
          <w:rFonts w:eastAsia="Calibri"/>
          <w:noProof/>
          <w:lang w:eastAsia="en-US"/>
        </w:rPr>
        <w:t>9</w:t>
      </w:r>
      <w:r>
        <w:rPr>
          <w:rFonts w:eastAsia="Calibri"/>
          <w:lang w:eastAsia="en-US"/>
        </w:rPr>
        <w:fldChar w:fldCharType="end"/>
      </w:r>
      <w:r w:rsidRPr="005F1F83">
        <w:rPr>
          <w:rFonts w:eastAsia="Calibri"/>
          <w:lang w:eastAsia="en-US"/>
        </w:rPr>
        <w:t>). Developing a culturally diverse workforce promot</w:t>
      </w:r>
      <w:r>
        <w:rPr>
          <w:rFonts w:eastAsia="Calibri"/>
          <w:lang w:eastAsia="en-US"/>
        </w:rPr>
        <w:t>es</w:t>
      </w:r>
      <w:r w:rsidRPr="005F1F83">
        <w:rPr>
          <w:rFonts w:eastAsia="Calibri"/>
          <w:lang w:eastAsia="en-US"/>
        </w:rPr>
        <w:t xml:space="preserve"> equitable and culturally safe abortion health care. </w:t>
      </w:r>
    </w:p>
    <w:p w14:paraId="0E29DC9B" w14:textId="77777777" w:rsidR="00FA0B81" w:rsidRPr="005F1F83" w:rsidRDefault="00FA0B81" w:rsidP="00FA0B81">
      <w:pPr>
        <w:rPr>
          <w:rFonts w:eastAsia="Calibri"/>
          <w:lang w:eastAsia="en-US"/>
        </w:rPr>
      </w:pPr>
    </w:p>
    <w:p w14:paraId="75D3805C" w14:textId="60D09234" w:rsidR="00FA0B81" w:rsidRDefault="00FA0B81" w:rsidP="00FA0B81">
      <w:pPr>
        <w:pStyle w:val="Figure"/>
        <w:rPr>
          <w:rFonts w:eastAsia="Calibri"/>
          <w:lang w:eastAsia="en-US"/>
        </w:rPr>
      </w:pPr>
      <w:bookmarkStart w:id="104" w:name="_Ref192246561"/>
      <w:bookmarkStart w:id="105" w:name="_Toc192349319"/>
      <w:bookmarkStart w:id="106" w:name="_Toc195016592"/>
      <w:r w:rsidRPr="005F1F83">
        <w:rPr>
          <w:rFonts w:eastAsia="Calibri"/>
          <w:lang w:eastAsia="en-US"/>
        </w:rPr>
        <w:t>Figure</w:t>
      </w:r>
      <w:r>
        <w:rPr>
          <w:rFonts w:eastAsia="Calibri"/>
          <w:lang w:eastAsia="en-US"/>
        </w:rPr>
        <w:t xml:space="preserve"> </w:t>
      </w:r>
      <w:r>
        <w:rPr>
          <w:rFonts w:eastAsia="Calibri"/>
          <w:lang w:eastAsia="en-US"/>
        </w:rPr>
        <w:fldChar w:fldCharType="begin"/>
      </w:r>
      <w:r>
        <w:rPr>
          <w:rFonts w:eastAsia="Calibri"/>
          <w:lang w:eastAsia="en-US"/>
        </w:rPr>
        <w:instrText xml:space="preserve"> SEQ Figure \* ARABIC </w:instrText>
      </w:r>
      <w:r>
        <w:rPr>
          <w:rFonts w:eastAsia="Calibri"/>
          <w:lang w:eastAsia="en-US"/>
        </w:rPr>
        <w:fldChar w:fldCharType="separate"/>
      </w:r>
      <w:r w:rsidR="00974F51">
        <w:rPr>
          <w:rFonts w:eastAsia="Calibri"/>
          <w:noProof/>
          <w:lang w:eastAsia="en-US"/>
        </w:rPr>
        <w:t>8</w:t>
      </w:r>
      <w:r>
        <w:rPr>
          <w:rFonts w:eastAsia="Calibri"/>
          <w:lang w:eastAsia="en-US"/>
        </w:rPr>
        <w:fldChar w:fldCharType="end"/>
      </w:r>
      <w:bookmarkEnd w:id="104"/>
      <w:r>
        <w:rPr>
          <w:rFonts w:eastAsia="Calibri"/>
          <w:lang w:eastAsia="en-US"/>
        </w:rPr>
        <w:t>: P</w:t>
      </w:r>
      <w:r w:rsidRPr="005F1F83">
        <w:rPr>
          <w:rFonts w:eastAsia="Calibri"/>
          <w:lang w:eastAsia="en-US"/>
        </w:rPr>
        <w:t>ractitioners who have completed NZCSRH training as of 30 October 2024</w:t>
      </w:r>
      <w:r>
        <w:rPr>
          <w:rFonts w:eastAsia="Calibri"/>
          <w:lang w:eastAsia="en-US"/>
        </w:rPr>
        <w:t>, by professional group (percentage)</w:t>
      </w:r>
      <w:bookmarkEnd w:id="105"/>
      <w:bookmarkEnd w:id="106"/>
      <w:r w:rsidRPr="005F1F83">
        <w:rPr>
          <w:rFonts w:eastAsia="Calibri"/>
          <w:lang w:eastAsia="en-US"/>
        </w:rPr>
        <w:t xml:space="preserve"> </w:t>
      </w:r>
    </w:p>
    <w:p w14:paraId="7A27FDBA" w14:textId="125AE162" w:rsidR="00FA0B81" w:rsidRPr="00FA0B81" w:rsidRDefault="00FA0B81" w:rsidP="00FA0B81">
      <w:pPr>
        <w:rPr>
          <w:rFonts w:eastAsia="Calibri"/>
          <w:lang w:eastAsia="en-US"/>
        </w:rPr>
      </w:pPr>
      <w:r>
        <w:rPr>
          <w:rFonts w:eastAsia="Calibri"/>
          <w:noProof/>
          <w:lang w:eastAsia="en-US"/>
        </w:rPr>
        <w:drawing>
          <wp:inline distT="0" distB="0" distL="0" distR="0" wp14:anchorId="19835D85" wp14:editId="1F250C6C">
            <wp:extent cx="4237355" cy="2491740"/>
            <wp:effectExtent l="0" t="0" r="0" b="3810"/>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a:picLocks noChangeAspect="1" noChangeArrowheads="1"/>
                    </pic:cNvPicPr>
                  </pic:nvPicPr>
                  <pic:blipFill rotWithShape="1">
                    <a:blip r:embed="rId40">
                      <a:extLst>
                        <a:ext uri="{28A0092B-C50C-407E-A947-70E740481C1C}">
                          <a14:useLocalDpi xmlns:a14="http://schemas.microsoft.com/office/drawing/2010/main" val="0"/>
                        </a:ext>
                      </a:extLst>
                    </a:blip>
                    <a:srcRect b="8134"/>
                    <a:stretch/>
                  </pic:blipFill>
                  <pic:spPr bwMode="auto">
                    <a:xfrm>
                      <a:off x="0" y="0"/>
                      <a:ext cx="4247392" cy="2497642"/>
                    </a:xfrm>
                    <a:prstGeom prst="rect">
                      <a:avLst/>
                    </a:prstGeom>
                    <a:noFill/>
                    <a:ln>
                      <a:noFill/>
                    </a:ln>
                    <a:extLst>
                      <a:ext uri="{53640926-AAD7-44D8-BBD7-CCE9431645EC}">
                        <a14:shadowObscured xmlns:a14="http://schemas.microsoft.com/office/drawing/2010/main"/>
                      </a:ext>
                    </a:extLst>
                  </pic:spPr>
                </pic:pic>
              </a:graphicData>
            </a:graphic>
          </wp:inline>
        </w:drawing>
      </w:r>
    </w:p>
    <w:p w14:paraId="1AA510FA" w14:textId="77777777" w:rsidR="00FA0B81" w:rsidRPr="007E5D11" w:rsidRDefault="00FA0B81" w:rsidP="007E5D11"/>
    <w:p w14:paraId="1D7DE85E" w14:textId="5D5A9167" w:rsidR="00FA0B81" w:rsidRPr="005F1F83" w:rsidRDefault="00FA0B81" w:rsidP="00FA0B81">
      <w:pPr>
        <w:pStyle w:val="Figure"/>
        <w:rPr>
          <w:rFonts w:eastAsia="Calibri"/>
          <w:lang w:eastAsia="en-US"/>
        </w:rPr>
      </w:pPr>
      <w:bookmarkStart w:id="107" w:name="_Ref192247116"/>
      <w:bookmarkStart w:id="108" w:name="_Ref192246583"/>
      <w:bookmarkStart w:id="109" w:name="_Ref192246637"/>
      <w:bookmarkStart w:id="110" w:name="_Toc192349320"/>
      <w:bookmarkStart w:id="111" w:name="_Toc195016593"/>
      <w:r w:rsidRPr="005F1F83">
        <w:rPr>
          <w:rFonts w:eastAsia="Calibri"/>
          <w:lang w:eastAsia="en-US"/>
        </w:rPr>
        <w:t>Figure</w:t>
      </w:r>
      <w:r>
        <w:rPr>
          <w:rFonts w:eastAsia="Calibri"/>
          <w:lang w:eastAsia="en-US"/>
        </w:rPr>
        <w:t xml:space="preserve"> </w:t>
      </w:r>
      <w:r>
        <w:rPr>
          <w:rFonts w:eastAsia="Calibri"/>
          <w:lang w:eastAsia="en-US"/>
        </w:rPr>
        <w:fldChar w:fldCharType="begin"/>
      </w:r>
      <w:r>
        <w:rPr>
          <w:rFonts w:eastAsia="Calibri"/>
          <w:lang w:eastAsia="en-US"/>
        </w:rPr>
        <w:instrText xml:space="preserve"> SEQ Figure \* ARABIC </w:instrText>
      </w:r>
      <w:r>
        <w:rPr>
          <w:rFonts w:eastAsia="Calibri"/>
          <w:lang w:eastAsia="en-US"/>
        </w:rPr>
        <w:fldChar w:fldCharType="separate"/>
      </w:r>
      <w:r w:rsidR="00974F51">
        <w:rPr>
          <w:rFonts w:eastAsia="Calibri"/>
          <w:noProof/>
          <w:lang w:eastAsia="en-US"/>
        </w:rPr>
        <w:t>9</w:t>
      </w:r>
      <w:r>
        <w:rPr>
          <w:rFonts w:eastAsia="Calibri"/>
          <w:lang w:eastAsia="en-US"/>
        </w:rPr>
        <w:fldChar w:fldCharType="end"/>
      </w:r>
      <w:bookmarkEnd w:id="107"/>
      <w:r>
        <w:rPr>
          <w:rFonts w:eastAsia="Calibri"/>
          <w:lang w:eastAsia="en-US"/>
        </w:rPr>
        <w:t>:</w:t>
      </w:r>
      <w:bookmarkEnd w:id="108"/>
      <w:bookmarkEnd w:id="109"/>
      <w:r w:rsidRPr="005F1F83">
        <w:rPr>
          <w:rFonts w:eastAsia="Calibri"/>
          <w:lang w:eastAsia="en-US"/>
        </w:rPr>
        <w:t xml:space="preserve"> </w:t>
      </w:r>
      <w:r>
        <w:rPr>
          <w:rFonts w:eastAsia="Calibri"/>
          <w:lang w:eastAsia="en-US"/>
        </w:rPr>
        <w:t>P</w:t>
      </w:r>
      <w:r w:rsidRPr="005F1F83">
        <w:rPr>
          <w:rFonts w:eastAsia="Calibri"/>
          <w:lang w:eastAsia="en-US"/>
        </w:rPr>
        <w:t>ractitioners who have completed NZCSRH training as of 30 October 2024, by ethnicity</w:t>
      </w:r>
      <w:r w:rsidRPr="00F7112D">
        <w:rPr>
          <w:rFonts w:eastAsia="Calibri"/>
          <w:lang w:eastAsia="en-US"/>
        </w:rPr>
        <w:t xml:space="preserve"> </w:t>
      </w:r>
      <w:r>
        <w:rPr>
          <w:rFonts w:eastAsia="Calibri"/>
          <w:lang w:eastAsia="en-US"/>
        </w:rPr>
        <w:t>(</w:t>
      </w:r>
      <w:r w:rsidRPr="005F1F83">
        <w:rPr>
          <w:rFonts w:eastAsia="Calibri"/>
          <w:lang w:eastAsia="en-US"/>
        </w:rPr>
        <w:t>percentage</w:t>
      </w:r>
      <w:r>
        <w:rPr>
          <w:rFonts w:eastAsia="Calibri"/>
          <w:lang w:eastAsia="en-US"/>
        </w:rPr>
        <w:t>)</w:t>
      </w:r>
      <w:bookmarkEnd w:id="110"/>
      <w:bookmarkEnd w:id="111"/>
    </w:p>
    <w:p w14:paraId="02480E7B" w14:textId="7A7109F2" w:rsidR="00FA0B81" w:rsidRPr="005F1F83" w:rsidRDefault="00FA0B81" w:rsidP="00FA0B81">
      <w:pPr>
        <w:rPr>
          <w:rFonts w:eastAsia="Calibri"/>
          <w:lang w:eastAsia="en-US"/>
          <w14:ligatures w14:val="standardContextual"/>
        </w:rPr>
      </w:pPr>
      <w:r>
        <w:rPr>
          <w:rFonts w:eastAsia="Calibri"/>
          <w:noProof/>
          <w:lang w:eastAsia="en-US"/>
        </w:rPr>
        <w:drawing>
          <wp:inline distT="0" distB="0" distL="0" distR="0" wp14:anchorId="17DA2693" wp14:editId="6B5A5CAE">
            <wp:extent cx="4267835" cy="2514600"/>
            <wp:effectExtent l="0" t="0" r="0" b="0"/>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noChangeArrowheads="1"/>
                    </pic:cNvPicPr>
                  </pic:nvPicPr>
                  <pic:blipFill rotWithShape="1">
                    <a:blip r:embed="rId41">
                      <a:extLst>
                        <a:ext uri="{28A0092B-C50C-407E-A947-70E740481C1C}">
                          <a14:useLocalDpi xmlns:a14="http://schemas.microsoft.com/office/drawing/2010/main" val="0"/>
                        </a:ext>
                      </a:extLst>
                    </a:blip>
                    <a:srcRect l="-714" r="714" b="4620"/>
                    <a:stretch/>
                  </pic:blipFill>
                  <pic:spPr bwMode="auto">
                    <a:xfrm>
                      <a:off x="0" y="0"/>
                      <a:ext cx="4283829" cy="2524024"/>
                    </a:xfrm>
                    <a:prstGeom prst="rect">
                      <a:avLst/>
                    </a:prstGeom>
                    <a:noFill/>
                    <a:ln>
                      <a:noFill/>
                    </a:ln>
                    <a:extLst>
                      <a:ext uri="{53640926-AAD7-44D8-BBD7-CCE9431645EC}">
                        <a14:shadowObscured xmlns:a14="http://schemas.microsoft.com/office/drawing/2010/main"/>
                      </a:ext>
                    </a:extLst>
                  </pic:spPr>
                </pic:pic>
              </a:graphicData>
            </a:graphic>
          </wp:inline>
        </w:drawing>
      </w:r>
    </w:p>
    <w:p w14:paraId="21603E3B" w14:textId="77777777" w:rsidR="00FA0B81" w:rsidRPr="005F1F83" w:rsidRDefault="00FA0B81" w:rsidP="00FA0B81">
      <w:pPr>
        <w:rPr>
          <w:rFonts w:ascii="Calibri" w:eastAsia="Calibri" w:hAnsi="Calibri" w:cs="Arial"/>
          <w:sz w:val="22"/>
          <w:szCs w:val="22"/>
          <w:lang w:eastAsia="en-US"/>
        </w:rPr>
      </w:pPr>
    </w:p>
    <w:p w14:paraId="04402419" w14:textId="2ED27CEC" w:rsidR="00FA0B81" w:rsidRDefault="00FA0B81" w:rsidP="00FA0B81">
      <w:pPr>
        <w:rPr>
          <w:rFonts w:eastAsia="Calibri"/>
        </w:rPr>
      </w:pPr>
      <w:r w:rsidRPr="00D24FFE">
        <w:rPr>
          <w:rFonts w:eastAsia="Calibri"/>
        </w:rPr>
        <w:t>Alongside the NZCSRH training, the Midwifery Council has confirmed abortion care</w:t>
      </w:r>
      <w:r w:rsidRPr="00D24FFE" w:rsidDel="009D70B1">
        <w:rPr>
          <w:rFonts w:eastAsia="Calibri"/>
        </w:rPr>
        <w:t xml:space="preserve"> </w:t>
      </w:r>
      <w:r w:rsidRPr="00D24FFE">
        <w:rPr>
          <w:rFonts w:eastAsia="Calibri"/>
        </w:rPr>
        <w:t>has been included in the scope for midwives in July 2023</w:t>
      </w:r>
      <w:r>
        <w:rPr>
          <w:rFonts w:eastAsia="Calibri"/>
        </w:rPr>
        <w:t xml:space="preserve"> (Midwifery Council 2023)</w:t>
      </w:r>
      <w:r w:rsidRPr="00D24FFE">
        <w:rPr>
          <w:rFonts w:eastAsia="Calibri"/>
        </w:rPr>
        <w:t xml:space="preserve">. </w:t>
      </w:r>
      <w:r>
        <w:rPr>
          <w:rFonts w:eastAsia="Calibri"/>
        </w:rPr>
        <w:t>It</w:t>
      </w:r>
      <w:r w:rsidRPr="00D24FFE">
        <w:rPr>
          <w:rFonts w:eastAsia="Calibri"/>
        </w:rPr>
        <w:t xml:space="preserve"> ha</w:t>
      </w:r>
      <w:r>
        <w:rPr>
          <w:rFonts w:eastAsia="Calibri"/>
        </w:rPr>
        <w:t>s</w:t>
      </w:r>
      <w:r w:rsidRPr="00D24FFE">
        <w:rPr>
          <w:rFonts w:eastAsia="Calibri"/>
        </w:rPr>
        <w:t xml:space="preserve"> also confirmed that surgical abortion is within the midwifery scope but </w:t>
      </w:r>
      <w:r>
        <w:rPr>
          <w:rFonts w:eastAsia="Calibri"/>
        </w:rPr>
        <w:t>is</w:t>
      </w:r>
      <w:r w:rsidRPr="00D24FFE">
        <w:rPr>
          <w:rFonts w:eastAsia="Calibri"/>
        </w:rPr>
        <w:t xml:space="preserve"> yet to approve any education for midwives looking to provide this care. </w:t>
      </w:r>
    </w:p>
    <w:p w14:paraId="5C0F357C" w14:textId="77777777" w:rsidR="00FA0B81" w:rsidRPr="00D24FFE" w:rsidRDefault="00FA0B81" w:rsidP="00FA0B81">
      <w:pPr>
        <w:rPr>
          <w:rFonts w:eastAsia="Calibri"/>
        </w:rPr>
      </w:pPr>
    </w:p>
    <w:p w14:paraId="2BB58237" w14:textId="6D7D098E" w:rsidR="00FA0B81" w:rsidRDefault="00FA0B81" w:rsidP="00FA0B81">
      <w:pPr>
        <w:rPr>
          <w:rFonts w:eastAsia="Calibri"/>
          <w:lang w:eastAsia="en-US"/>
        </w:rPr>
      </w:pPr>
      <w:r>
        <w:rPr>
          <w:rFonts w:eastAsia="Calibri"/>
          <w:lang w:eastAsia="en-US"/>
        </w:rPr>
        <w:t>O</w:t>
      </w:r>
      <w:r w:rsidRPr="005F1F83">
        <w:rPr>
          <w:rFonts w:eastAsia="Calibri"/>
          <w:lang w:eastAsia="en-US"/>
        </w:rPr>
        <w:t>verall</w:t>
      </w:r>
      <w:r>
        <w:rPr>
          <w:rFonts w:eastAsia="Calibri"/>
          <w:lang w:eastAsia="en-US"/>
        </w:rPr>
        <w:t>,</w:t>
      </w:r>
      <w:r w:rsidRPr="005F1F83">
        <w:rPr>
          <w:rFonts w:eastAsia="Calibri"/>
          <w:lang w:eastAsia="en-US"/>
        </w:rPr>
        <w:t xml:space="preserve"> </w:t>
      </w:r>
      <w:r>
        <w:rPr>
          <w:rFonts w:eastAsia="Calibri"/>
          <w:lang w:eastAsia="en-US"/>
        </w:rPr>
        <w:t xml:space="preserve">both the number of </w:t>
      </w:r>
      <w:r w:rsidRPr="005F1F83">
        <w:rPr>
          <w:rFonts w:eastAsia="Calibri"/>
          <w:lang w:eastAsia="en-US"/>
        </w:rPr>
        <w:t xml:space="preserve">providers who are registered with the Director-General to provide abortion care and </w:t>
      </w:r>
      <w:r>
        <w:rPr>
          <w:rFonts w:eastAsia="Calibri"/>
          <w:lang w:eastAsia="en-US"/>
        </w:rPr>
        <w:t>the number of</w:t>
      </w:r>
      <w:r w:rsidRPr="005F1F83">
        <w:rPr>
          <w:rFonts w:eastAsia="Calibri"/>
          <w:lang w:eastAsia="en-US"/>
        </w:rPr>
        <w:t xml:space="preserve"> those providing abortion in primary care</w:t>
      </w:r>
      <w:r>
        <w:rPr>
          <w:rFonts w:eastAsia="Calibri"/>
          <w:lang w:eastAsia="en-US"/>
        </w:rPr>
        <w:t xml:space="preserve"> have increased</w:t>
      </w:r>
      <w:r w:rsidRPr="005F1F83">
        <w:rPr>
          <w:rFonts w:eastAsia="Calibri"/>
          <w:lang w:eastAsia="en-US"/>
        </w:rPr>
        <w:t>. Alongside the national telehealth abortion service</w:t>
      </w:r>
      <w:r>
        <w:rPr>
          <w:rFonts w:eastAsia="Calibri"/>
          <w:lang w:eastAsia="en-US"/>
        </w:rPr>
        <w:t>,</w:t>
      </w:r>
      <w:r w:rsidRPr="005F1F83">
        <w:rPr>
          <w:rFonts w:eastAsia="Calibri"/>
          <w:lang w:eastAsia="en-US"/>
        </w:rPr>
        <w:t xml:space="preserve"> DECIDE</w:t>
      </w:r>
      <w:r>
        <w:rPr>
          <w:rFonts w:eastAsia="Calibri"/>
          <w:lang w:eastAsia="en-US"/>
        </w:rPr>
        <w:t xml:space="preserve">, these changes are providing </w:t>
      </w:r>
      <w:r w:rsidRPr="005F1F83">
        <w:rPr>
          <w:rFonts w:eastAsia="Calibri"/>
          <w:lang w:eastAsia="en-US"/>
        </w:rPr>
        <w:t xml:space="preserve">more options for </w:t>
      </w:r>
      <w:r w:rsidR="00982B8D">
        <w:rPr>
          <w:rFonts w:eastAsia="Calibri"/>
        </w:rPr>
        <w:t>women</w:t>
      </w:r>
      <w:r>
        <w:rPr>
          <w:rFonts w:eastAsia="Calibri"/>
          <w:lang w:eastAsia="en-US"/>
        </w:rPr>
        <w:t xml:space="preserve"> seeking abortion care</w:t>
      </w:r>
      <w:r w:rsidRPr="005F1F83">
        <w:rPr>
          <w:rFonts w:eastAsia="Calibri"/>
          <w:lang w:eastAsia="en-US"/>
        </w:rPr>
        <w:t xml:space="preserve">, in particular early medical abortion care. </w:t>
      </w:r>
    </w:p>
    <w:p w14:paraId="30AB5ED9" w14:textId="77777777" w:rsidR="00FA0B81" w:rsidRPr="005F1F83" w:rsidRDefault="00FA0B81" w:rsidP="00FA0B81">
      <w:pPr>
        <w:rPr>
          <w:rFonts w:eastAsia="Calibri"/>
          <w:lang w:eastAsia="en-US"/>
        </w:rPr>
      </w:pPr>
    </w:p>
    <w:p w14:paraId="6D51351F" w14:textId="39627F5A" w:rsidR="00FA0B81" w:rsidRDefault="00FA0B81" w:rsidP="00FA0B81">
      <w:r w:rsidRPr="005F1F83">
        <w:t>RANZCOG ha</w:t>
      </w:r>
      <w:r>
        <w:t>s</w:t>
      </w:r>
      <w:r w:rsidRPr="005F1F83">
        <w:t xml:space="preserve"> established an </w:t>
      </w:r>
      <w:r>
        <w:t>a</w:t>
      </w:r>
      <w:r w:rsidRPr="005F1F83">
        <w:t xml:space="preserve">dvanced </w:t>
      </w:r>
      <w:r>
        <w:t>t</w:t>
      </w:r>
      <w:r w:rsidRPr="005F1F83">
        <w:t xml:space="preserve">raining </w:t>
      </w:r>
      <w:r>
        <w:t>m</w:t>
      </w:r>
      <w:r w:rsidRPr="005F1F83">
        <w:t xml:space="preserve">odule in </w:t>
      </w:r>
      <w:r>
        <w:t>s</w:t>
      </w:r>
      <w:r w:rsidRPr="005F1F83">
        <w:t xml:space="preserve">exual and </w:t>
      </w:r>
      <w:r>
        <w:t>r</w:t>
      </w:r>
      <w:r w:rsidRPr="005F1F83">
        <w:t xml:space="preserve">eproductive </w:t>
      </w:r>
      <w:r>
        <w:t>h</w:t>
      </w:r>
      <w:r w:rsidRPr="005F1F83">
        <w:t xml:space="preserve">ealth, which involves practical experience in abortion care, including second-trimester surgical procedures. The curriculum is designed to be undertaken in the final two years of </w:t>
      </w:r>
      <w:proofErr w:type="spellStart"/>
      <w:r w:rsidRPr="005F1F83">
        <w:t>obstetric</w:t>
      </w:r>
      <w:proofErr w:type="spellEnd"/>
      <w:r w:rsidRPr="005F1F83">
        <w:t xml:space="preserve"> and gynaecology specialist training, as a special interest. As yet</w:t>
      </w:r>
      <w:r>
        <w:t>,</w:t>
      </w:r>
      <w:r w:rsidRPr="005F1F83">
        <w:t xml:space="preserve"> no funded </w:t>
      </w:r>
      <w:r>
        <w:t>a</w:t>
      </w:r>
      <w:r w:rsidRPr="005F1F83">
        <w:t xml:space="preserve">dvanced </w:t>
      </w:r>
      <w:r>
        <w:t>t</w:t>
      </w:r>
      <w:r w:rsidRPr="005F1F83">
        <w:t xml:space="preserve">raining </w:t>
      </w:r>
      <w:r>
        <w:t>m</w:t>
      </w:r>
      <w:r w:rsidRPr="005F1F83">
        <w:t>odule</w:t>
      </w:r>
      <w:r w:rsidRPr="005F1F83" w:rsidDel="00CD7702">
        <w:t xml:space="preserve"> </w:t>
      </w:r>
      <w:r w:rsidRPr="005F1F83">
        <w:t>pathway is available at RANZCOG accredited specialist training sites in New Zealand.</w:t>
      </w:r>
    </w:p>
    <w:p w14:paraId="12BC7557" w14:textId="77777777" w:rsidR="00FA0B81" w:rsidRPr="005F1F83" w:rsidRDefault="00FA0B81" w:rsidP="00FA0B81">
      <w:pPr>
        <w:rPr>
          <w:rFonts w:ascii="Calibri" w:eastAsia="Calibri" w:hAnsi="Calibri" w:cs="Arial"/>
          <w:kern w:val="2"/>
          <w:lang w:eastAsia="en-US"/>
          <w14:ligatures w14:val="standardContextual"/>
        </w:rPr>
      </w:pPr>
    </w:p>
    <w:p w14:paraId="5F6FC87E" w14:textId="70E48298" w:rsidR="00FA0B81" w:rsidRDefault="00FA0B81" w:rsidP="00FA0B81">
      <w:pPr>
        <w:rPr>
          <w:rFonts w:eastAsia="Calibri"/>
        </w:rPr>
      </w:pPr>
      <w:r w:rsidRPr="005F1F83">
        <w:t xml:space="preserve">Two recent papers </w:t>
      </w:r>
      <w:r w:rsidRPr="005F1F83">
        <w:rPr>
          <w:rFonts w:eastAsia="Calibri"/>
        </w:rPr>
        <w:t>(</w:t>
      </w:r>
      <w:proofErr w:type="spellStart"/>
      <w:r w:rsidRPr="005F1F83">
        <w:rPr>
          <w:rFonts w:eastAsia="Calibri"/>
        </w:rPr>
        <w:t>Hudspith</w:t>
      </w:r>
      <w:proofErr w:type="spellEnd"/>
      <w:r w:rsidRPr="005F1F83">
        <w:rPr>
          <w:rFonts w:eastAsia="Calibri"/>
        </w:rPr>
        <w:t xml:space="preserve"> et al </w:t>
      </w:r>
      <w:r>
        <w:rPr>
          <w:rFonts w:eastAsia="Calibri"/>
        </w:rPr>
        <w:t>2022;</w:t>
      </w:r>
      <w:r w:rsidRPr="005F1F83">
        <w:rPr>
          <w:rFonts w:eastAsia="Calibri"/>
        </w:rPr>
        <w:t xml:space="preserve"> Whiting et al</w:t>
      </w:r>
      <w:r>
        <w:rPr>
          <w:rFonts w:eastAsia="Calibri"/>
        </w:rPr>
        <w:t xml:space="preserve"> 2022</w:t>
      </w:r>
      <w:r w:rsidRPr="005F1F83">
        <w:rPr>
          <w:rFonts w:eastAsia="Calibri"/>
        </w:rPr>
        <w:t>) published in the</w:t>
      </w:r>
      <w:r w:rsidRPr="001F7F8E">
        <w:rPr>
          <w:rFonts w:eastAsia="Calibri"/>
          <w:i/>
          <w:iCs/>
        </w:rPr>
        <w:t xml:space="preserve"> Australian and New Zealand Journal of Obstetrics and Gynaecology</w:t>
      </w:r>
      <w:r w:rsidRPr="005F1F83">
        <w:rPr>
          <w:rFonts w:eastAsia="Calibri"/>
        </w:rPr>
        <w:t xml:space="preserve"> </w:t>
      </w:r>
      <w:r w:rsidRPr="005F1F83">
        <w:t xml:space="preserve">highlight the challenges of providing safe and effective abortion care for </w:t>
      </w:r>
      <w:r w:rsidR="00982B8D">
        <w:rPr>
          <w:rFonts w:eastAsia="Calibri"/>
        </w:rPr>
        <w:t>women</w:t>
      </w:r>
      <w:r w:rsidRPr="005F1F83">
        <w:t xml:space="preserve"> whose pregnancies are beyond 22 weeks</w:t>
      </w:r>
      <w:r>
        <w:t>’</w:t>
      </w:r>
      <w:r w:rsidRPr="005F1F83">
        <w:t xml:space="preserve"> gestation</w:t>
      </w:r>
      <w:r>
        <w:t>. Challenges they identify</w:t>
      </w:r>
      <w:r w:rsidRPr="005F1F83">
        <w:t xml:space="preserve"> includ</w:t>
      </w:r>
      <w:r>
        <w:t>e</w:t>
      </w:r>
      <w:r w:rsidRPr="005F1F83">
        <w:t xml:space="preserve"> the limited number of specialists providing such care and the lack of a national referral system.</w:t>
      </w:r>
      <w:r w:rsidRPr="005F1F83">
        <w:rPr>
          <w:rFonts w:eastAsia="Calibri"/>
        </w:rPr>
        <w:t xml:space="preserve"> </w:t>
      </w:r>
    </w:p>
    <w:p w14:paraId="3F232FE1" w14:textId="2EB9F7AD" w:rsidR="00A42BAE" w:rsidRDefault="00A42BAE" w:rsidP="00A42BAE">
      <w:pPr>
        <w:pStyle w:val="Heading2"/>
      </w:pPr>
      <w:bookmarkStart w:id="112" w:name="_Toc195016575"/>
      <w:r w:rsidRPr="00A42BAE">
        <w:t>Conscientious objection</w:t>
      </w:r>
      <w:bookmarkEnd w:id="112"/>
    </w:p>
    <w:p w14:paraId="10E2FC39" w14:textId="611CAD74" w:rsidR="00FA0B81" w:rsidRDefault="00FA0B81" w:rsidP="00FA0B81">
      <w:pPr>
        <w:rPr>
          <w:rFonts w:eastAsia="Calibri"/>
          <w:lang w:eastAsia="en-US"/>
        </w:rPr>
      </w:pPr>
      <w:r w:rsidRPr="005F1F83">
        <w:rPr>
          <w:rFonts w:eastAsia="Calibri"/>
          <w:lang w:eastAsia="en-US"/>
        </w:rPr>
        <w:t xml:space="preserve">Sections 14 and 15 of the </w:t>
      </w:r>
      <w:r>
        <w:rPr>
          <w:rFonts w:eastAsia="Calibri"/>
          <w:lang w:eastAsia="en-US"/>
        </w:rPr>
        <w:t xml:space="preserve">CSA </w:t>
      </w:r>
      <w:r w:rsidRPr="005F1F83">
        <w:rPr>
          <w:rFonts w:eastAsia="Calibri"/>
          <w:lang w:eastAsia="en-US"/>
        </w:rPr>
        <w:t xml:space="preserve">Act allow </w:t>
      </w:r>
      <w:r>
        <w:rPr>
          <w:rFonts w:eastAsia="Calibri"/>
          <w:lang w:eastAsia="en-US"/>
        </w:rPr>
        <w:t>practitioners to</w:t>
      </w:r>
      <w:r w:rsidRPr="005F1F83">
        <w:rPr>
          <w:rFonts w:eastAsia="Calibri"/>
          <w:lang w:eastAsia="en-US"/>
        </w:rPr>
        <w:t xml:space="preserve"> conscientious</w:t>
      </w:r>
      <w:r>
        <w:rPr>
          <w:rFonts w:eastAsia="Calibri"/>
          <w:lang w:eastAsia="en-US"/>
        </w:rPr>
        <w:t>ly</w:t>
      </w:r>
      <w:r w:rsidRPr="005F1F83">
        <w:rPr>
          <w:rFonts w:eastAsia="Calibri"/>
          <w:lang w:eastAsia="en-US"/>
        </w:rPr>
        <w:t xml:space="preserve"> object to </w:t>
      </w:r>
      <w:r w:rsidRPr="00460BAE">
        <w:rPr>
          <w:rFonts w:eastAsia="Calibri"/>
          <w:lang w:eastAsia="en-US"/>
        </w:rPr>
        <w:t>providing contraception services, sterilisation services, abortion services and information or advisory services about whether to continue or terminate a pregnancy.</w:t>
      </w:r>
    </w:p>
    <w:p w14:paraId="2437253E" w14:textId="77777777" w:rsidR="00FA0B81" w:rsidRPr="00460BAE" w:rsidRDefault="00FA0B81" w:rsidP="00FA0B81">
      <w:pPr>
        <w:rPr>
          <w:rFonts w:eastAsia="Calibri"/>
          <w:lang w:eastAsia="en-US"/>
        </w:rPr>
      </w:pPr>
    </w:p>
    <w:p w14:paraId="6EF2DF63" w14:textId="729C76CA" w:rsidR="00FA0B81" w:rsidRDefault="00FA0B81" w:rsidP="00FA0B81">
      <w:pPr>
        <w:rPr>
          <w:rFonts w:eastAsia="Calibri"/>
          <w:lang w:eastAsia="en-US"/>
        </w:rPr>
      </w:pPr>
      <w:r w:rsidRPr="00460BAE">
        <w:rPr>
          <w:rFonts w:eastAsia="Calibri"/>
          <w:lang w:eastAsia="en-US"/>
        </w:rPr>
        <w:t xml:space="preserve">In essence, health practitioners who do not provide the service due to their personal beliefs must tell the person of their conscientious objection. They must also tell the person how to access the contact details of another health practitioner (refer to section 14(2) and 14(3) of the CSA Act for more information).  </w:t>
      </w:r>
    </w:p>
    <w:p w14:paraId="77861738" w14:textId="77777777" w:rsidR="00FA0B81" w:rsidRPr="00460BAE" w:rsidRDefault="00FA0B81" w:rsidP="00FA0B81">
      <w:pPr>
        <w:rPr>
          <w:rFonts w:eastAsia="Calibri"/>
          <w:lang w:eastAsia="en-US"/>
        </w:rPr>
      </w:pPr>
    </w:p>
    <w:p w14:paraId="7670BA25" w14:textId="6E35B8A6" w:rsidR="00FA0B81" w:rsidRDefault="00FA0B81" w:rsidP="00FA0B81">
      <w:pPr>
        <w:rPr>
          <w:rFonts w:eastAsia="Calibri"/>
          <w:lang w:eastAsia="en-US"/>
        </w:rPr>
      </w:pPr>
      <w:r w:rsidRPr="005F1F83">
        <w:rPr>
          <w:rFonts w:eastAsia="Calibri"/>
          <w:lang w:eastAsia="en-US"/>
        </w:rPr>
        <w:t xml:space="preserve">The provisions under the </w:t>
      </w:r>
      <w:r>
        <w:rPr>
          <w:rFonts w:eastAsia="Calibri"/>
          <w:lang w:eastAsia="en-US"/>
        </w:rPr>
        <w:t xml:space="preserve">CSA </w:t>
      </w:r>
      <w:r w:rsidRPr="005F1F83">
        <w:rPr>
          <w:rFonts w:eastAsia="Calibri"/>
          <w:lang w:eastAsia="en-US"/>
        </w:rPr>
        <w:t>Act do not override a health practitioner’s professional and legal duty to provide prompt and appropriate medical assistance to any person in a medical emergency.</w:t>
      </w:r>
    </w:p>
    <w:p w14:paraId="1DF9BB82" w14:textId="77777777" w:rsidR="00FA0B81" w:rsidRPr="005F1F83" w:rsidRDefault="00FA0B81" w:rsidP="00FA0B81">
      <w:pPr>
        <w:rPr>
          <w:rFonts w:eastAsia="Calibri"/>
          <w:lang w:eastAsia="en-US"/>
        </w:rPr>
      </w:pPr>
    </w:p>
    <w:p w14:paraId="5DA20DE8" w14:textId="77777777" w:rsidR="00FA0B81" w:rsidRPr="005F1F83" w:rsidRDefault="00FA0B81" w:rsidP="00FA0B81">
      <w:pPr>
        <w:rPr>
          <w:rFonts w:eastAsia="Calibri"/>
          <w:lang w:eastAsia="en-US"/>
        </w:rPr>
      </w:pPr>
      <w:r w:rsidRPr="005F1F83">
        <w:rPr>
          <w:rFonts w:eastAsia="Calibri"/>
          <w:lang w:eastAsia="en-US"/>
        </w:rPr>
        <w:t>The right to conscientiously object is upheld under section 13 of the New Zealand Bill of Rights Act 1990</w:t>
      </w:r>
      <w:r>
        <w:rPr>
          <w:rFonts w:eastAsia="Calibri"/>
          <w:lang w:eastAsia="en-US"/>
        </w:rPr>
        <w:t>. This section</w:t>
      </w:r>
      <w:r w:rsidRPr="005F1F83">
        <w:rPr>
          <w:rFonts w:eastAsia="Calibri"/>
          <w:lang w:eastAsia="en-US"/>
        </w:rPr>
        <w:t xml:space="preserve"> provides that everyone has the right to freedom of thought, conscience, religion and belief, including the right to adopt and to hold opinions without interference.</w:t>
      </w:r>
    </w:p>
    <w:p w14:paraId="2CFC6FD9" w14:textId="77777777" w:rsidR="00FA0B81" w:rsidRPr="005F1F83" w:rsidRDefault="00FA0B81" w:rsidP="00FA0B81">
      <w:pPr>
        <w:pStyle w:val="Heading3"/>
        <w:rPr>
          <w:rFonts w:eastAsia="Calibri"/>
          <w:lang w:eastAsia="en-US"/>
        </w:rPr>
      </w:pPr>
      <w:r w:rsidRPr="005F1F83">
        <w:rPr>
          <w:rFonts w:eastAsia="Calibri"/>
          <w:lang w:eastAsia="en-US"/>
        </w:rPr>
        <w:t>Conscientious objection at an individual level</w:t>
      </w:r>
    </w:p>
    <w:p w14:paraId="6B5BA741" w14:textId="097304B9" w:rsidR="00FA0B81" w:rsidRDefault="00FA0B81" w:rsidP="00FA0B81">
      <w:pPr>
        <w:rPr>
          <w:rFonts w:eastAsia="Calibri"/>
          <w:lang w:eastAsia="en-US"/>
        </w:rPr>
      </w:pPr>
      <w:r w:rsidRPr="005F1F83">
        <w:rPr>
          <w:rFonts w:eastAsia="Calibri"/>
          <w:lang w:eastAsia="en-US"/>
        </w:rPr>
        <w:t xml:space="preserve">Conscientious objection </w:t>
      </w:r>
      <w:r>
        <w:rPr>
          <w:rFonts w:eastAsia="Calibri"/>
          <w:lang w:eastAsia="en-US"/>
        </w:rPr>
        <w:t>exists</w:t>
      </w:r>
      <w:r w:rsidRPr="005F1F83">
        <w:rPr>
          <w:rFonts w:eastAsia="Calibri"/>
          <w:lang w:eastAsia="en-US"/>
        </w:rPr>
        <w:t xml:space="preserve"> on a spectrum</w:t>
      </w:r>
      <w:r>
        <w:rPr>
          <w:rFonts w:eastAsia="Calibri"/>
          <w:lang w:eastAsia="en-US"/>
        </w:rPr>
        <w:t>.</w:t>
      </w:r>
      <w:r w:rsidRPr="005F1F83">
        <w:rPr>
          <w:rFonts w:eastAsia="Calibri"/>
          <w:lang w:eastAsia="en-US"/>
        </w:rPr>
        <w:t xml:space="preserve"> </w:t>
      </w:r>
      <w:r>
        <w:rPr>
          <w:rFonts w:eastAsia="Calibri"/>
          <w:lang w:eastAsia="en-US"/>
        </w:rPr>
        <w:t xml:space="preserve">That means </w:t>
      </w:r>
      <w:r w:rsidR="002D0F60">
        <w:rPr>
          <w:rFonts w:eastAsia="Calibri"/>
          <w:lang w:eastAsia="en-US"/>
        </w:rPr>
        <w:t>health practitioner</w:t>
      </w:r>
      <w:r w:rsidR="002D0F60" w:rsidRPr="005F1F83">
        <w:rPr>
          <w:rFonts w:eastAsia="Calibri"/>
          <w:lang w:eastAsia="en-US"/>
        </w:rPr>
        <w:t xml:space="preserve">s </w:t>
      </w:r>
      <w:r w:rsidRPr="005F1F83">
        <w:rPr>
          <w:rFonts w:eastAsia="Calibri"/>
          <w:lang w:eastAsia="en-US"/>
        </w:rPr>
        <w:t>may have different thresholds for what they object to</w:t>
      </w:r>
      <w:r>
        <w:rPr>
          <w:rFonts w:eastAsia="Calibri"/>
          <w:lang w:eastAsia="en-US"/>
        </w:rPr>
        <w:t>,</w:t>
      </w:r>
      <w:r w:rsidRPr="005F1F83">
        <w:rPr>
          <w:rFonts w:eastAsia="Calibri"/>
          <w:lang w:eastAsia="en-US"/>
        </w:rPr>
        <w:t xml:space="preserve"> depend</w:t>
      </w:r>
      <w:r>
        <w:rPr>
          <w:rFonts w:eastAsia="Calibri"/>
          <w:lang w:eastAsia="en-US"/>
        </w:rPr>
        <w:t>ing</w:t>
      </w:r>
      <w:r w:rsidRPr="005F1F83">
        <w:rPr>
          <w:rFonts w:eastAsia="Calibri"/>
          <w:lang w:eastAsia="en-US"/>
        </w:rPr>
        <w:t xml:space="preserve"> on </w:t>
      </w:r>
      <w:r>
        <w:rPr>
          <w:rFonts w:eastAsia="Calibri"/>
          <w:lang w:eastAsia="en-US"/>
        </w:rPr>
        <w:t xml:space="preserve">their </w:t>
      </w:r>
      <w:r w:rsidRPr="005F1F83">
        <w:rPr>
          <w:rFonts w:eastAsia="Calibri"/>
          <w:lang w:eastAsia="en-US"/>
        </w:rPr>
        <w:t xml:space="preserve">moral, ethical, spiritual and personal views on the subject. </w:t>
      </w:r>
    </w:p>
    <w:p w14:paraId="2A1FD071" w14:textId="77777777" w:rsidR="00FA0B81" w:rsidRPr="005F1F83" w:rsidRDefault="00FA0B81" w:rsidP="00FA0B81">
      <w:pPr>
        <w:rPr>
          <w:rFonts w:eastAsia="Calibri"/>
          <w:lang w:eastAsia="en-US"/>
        </w:rPr>
      </w:pPr>
    </w:p>
    <w:p w14:paraId="362C5722" w14:textId="01961831" w:rsidR="00FA0B81" w:rsidRPr="005F1F83" w:rsidRDefault="00FA0B81" w:rsidP="00FA0B81">
      <w:pPr>
        <w:rPr>
          <w:rFonts w:eastAsia="Calibri"/>
          <w:lang w:eastAsia="en-US"/>
        </w:rPr>
      </w:pPr>
      <w:r w:rsidRPr="005F1F83">
        <w:rPr>
          <w:rFonts w:eastAsia="Calibri"/>
          <w:lang w:eastAsia="en-US"/>
        </w:rPr>
        <w:t xml:space="preserve">Some examples </w:t>
      </w:r>
      <w:r w:rsidR="006A5DA0" w:rsidRPr="005F1F83">
        <w:rPr>
          <w:rFonts w:eastAsia="Calibri"/>
          <w:lang w:eastAsia="en-US"/>
        </w:rPr>
        <w:t xml:space="preserve"> </w:t>
      </w:r>
      <w:r w:rsidRPr="005F1F83">
        <w:rPr>
          <w:rFonts w:eastAsia="Calibri"/>
          <w:lang w:eastAsia="en-US"/>
        </w:rPr>
        <w:t xml:space="preserve">the Ministry has observed are: </w:t>
      </w:r>
    </w:p>
    <w:p w14:paraId="5E178A31" w14:textId="77777777" w:rsidR="00FA0B81" w:rsidRPr="005F1F83" w:rsidRDefault="00FA0B81" w:rsidP="00FA0B81">
      <w:pPr>
        <w:pStyle w:val="Bullet"/>
        <w:rPr>
          <w:rFonts w:eastAsia="Calibri"/>
          <w:lang w:eastAsia="en-US"/>
        </w:rPr>
      </w:pPr>
      <w:r>
        <w:rPr>
          <w:rFonts w:eastAsia="Calibri"/>
          <w:lang w:eastAsia="en-US"/>
        </w:rPr>
        <w:t>o</w:t>
      </w:r>
      <w:r w:rsidRPr="005F1F83">
        <w:rPr>
          <w:rFonts w:eastAsia="Calibri"/>
          <w:lang w:eastAsia="en-US"/>
        </w:rPr>
        <w:t>nly providing abortion services up to a certain gestation (despite having the knowledge and skill</w:t>
      </w:r>
      <w:r>
        <w:rPr>
          <w:rFonts w:eastAsia="Calibri"/>
          <w:lang w:eastAsia="en-US"/>
        </w:rPr>
        <w:t xml:space="preserve"> </w:t>
      </w:r>
      <w:r w:rsidRPr="005F1F83">
        <w:rPr>
          <w:rFonts w:eastAsia="Calibri"/>
          <w:lang w:eastAsia="en-US"/>
        </w:rPr>
        <w:t xml:space="preserve">set to provide abortions at a higher gestation) </w:t>
      </w:r>
    </w:p>
    <w:p w14:paraId="481D67A5" w14:textId="77777777" w:rsidR="00FA0B81" w:rsidRPr="005F1F83" w:rsidRDefault="00FA0B81" w:rsidP="00FA0B81">
      <w:pPr>
        <w:pStyle w:val="Bullet"/>
        <w:rPr>
          <w:rFonts w:eastAsia="Calibri"/>
          <w:lang w:eastAsia="en-US"/>
        </w:rPr>
      </w:pPr>
      <w:r>
        <w:rPr>
          <w:rFonts w:eastAsia="Calibri"/>
          <w:lang w:eastAsia="en-US"/>
        </w:rPr>
        <w:t>o</w:t>
      </w:r>
      <w:r w:rsidRPr="005F1F83">
        <w:rPr>
          <w:rFonts w:eastAsia="Calibri"/>
          <w:lang w:eastAsia="en-US"/>
        </w:rPr>
        <w:t xml:space="preserve">nly offering abortion services in the case of </w:t>
      </w:r>
      <w:proofErr w:type="spellStart"/>
      <w:r w:rsidRPr="005F1F83">
        <w:rPr>
          <w:rFonts w:eastAsia="Calibri"/>
          <w:lang w:eastAsia="en-US"/>
        </w:rPr>
        <w:t>fetal</w:t>
      </w:r>
      <w:proofErr w:type="spellEnd"/>
      <w:r w:rsidRPr="005F1F83">
        <w:rPr>
          <w:rFonts w:eastAsia="Calibri"/>
          <w:lang w:eastAsia="en-US"/>
        </w:rPr>
        <w:t xml:space="preserve"> abnormality or death </w:t>
      </w:r>
    </w:p>
    <w:p w14:paraId="2B1E09B9" w14:textId="762AB51D" w:rsidR="00FA0B81" w:rsidRPr="005F1F83" w:rsidRDefault="00FA0B81" w:rsidP="00FA0B81">
      <w:pPr>
        <w:pStyle w:val="Bullet"/>
        <w:rPr>
          <w:rFonts w:eastAsia="Calibri"/>
          <w:lang w:eastAsia="en-US"/>
        </w:rPr>
      </w:pPr>
      <w:r>
        <w:rPr>
          <w:rFonts w:eastAsia="Calibri"/>
          <w:lang w:eastAsia="en-US"/>
        </w:rPr>
        <w:t>r</w:t>
      </w:r>
      <w:r w:rsidRPr="005F1F83">
        <w:rPr>
          <w:rFonts w:eastAsia="Calibri"/>
          <w:lang w:eastAsia="en-US"/>
        </w:rPr>
        <w:t xml:space="preserve">efusing to provide abortion services unless </w:t>
      </w:r>
      <w:r>
        <w:rPr>
          <w:rFonts w:eastAsia="Calibri"/>
          <w:lang w:eastAsia="en-US"/>
        </w:rPr>
        <w:t xml:space="preserve">the </w:t>
      </w:r>
      <w:r w:rsidR="00312A7B">
        <w:rPr>
          <w:rFonts w:eastAsia="Calibri"/>
          <w:lang w:eastAsia="en-US"/>
        </w:rPr>
        <w:t>woman</w:t>
      </w:r>
      <w:r>
        <w:rPr>
          <w:rFonts w:eastAsia="Calibri"/>
          <w:lang w:eastAsia="en-US"/>
        </w:rPr>
        <w:t xml:space="preserve"> first seeks </w:t>
      </w:r>
      <w:r w:rsidRPr="005F1F83">
        <w:rPr>
          <w:rFonts w:eastAsia="Calibri"/>
          <w:lang w:eastAsia="en-US"/>
        </w:rPr>
        <w:t xml:space="preserve">counselling. </w:t>
      </w:r>
    </w:p>
    <w:p w14:paraId="201E35CC" w14:textId="77777777" w:rsidR="00FA0B81" w:rsidRDefault="00FA0B81" w:rsidP="00FA0B81">
      <w:pPr>
        <w:rPr>
          <w:rFonts w:eastAsia="Calibri"/>
          <w:lang w:eastAsia="en-US"/>
        </w:rPr>
      </w:pPr>
    </w:p>
    <w:p w14:paraId="3A67BD72" w14:textId="420288FC" w:rsidR="00FA0B81" w:rsidRDefault="00FA0B81" w:rsidP="00FA0B81">
      <w:pPr>
        <w:rPr>
          <w:rFonts w:eastAsia="Calibri"/>
          <w:lang w:eastAsia="en-US"/>
        </w:rPr>
      </w:pPr>
      <w:r>
        <w:rPr>
          <w:rFonts w:eastAsia="Calibri"/>
          <w:lang w:eastAsia="en-US"/>
        </w:rPr>
        <w:t>F</w:t>
      </w:r>
      <w:r w:rsidRPr="005F1F83">
        <w:rPr>
          <w:rFonts w:eastAsia="Calibri"/>
          <w:lang w:eastAsia="en-US"/>
        </w:rPr>
        <w:t>indings from the consumer research</w:t>
      </w:r>
      <w:r>
        <w:rPr>
          <w:rFonts w:eastAsia="Calibri"/>
          <w:lang w:eastAsia="en-US"/>
        </w:rPr>
        <w:t xml:space="preserve"> support these observations</w:t>
      </w:r>
      <w:r w:rsidRPr="005F1F83">
        <w:rPr>
          <w:rFonts w:eastAsia="Calibri"/>
          <w:lang w:eastAsia="en-US"/>
        </w:rPr>
        <w:t>. We heard that</w:t>
      </w:r>
      <w:r>
        <w:rPr>
          <w:rFonts w:eastAsia="Calibri"/>
          <w:lang w:eastAsia="en-US"/>
        </w:rPr>
        <w:t>,</w:t>
      </w:r>
      <w:r w:rsidRPr="005F1F83">
        <w:rPr>
          <w:rFonts w:eastAsia="Calibri"/>
          <w:lang w:eastAsia="en-US"/>
        </w:rPr>
        <w:t xml:space="preserve"> overall, the ability to self-refer to services meant that patients were more likely to access the service in a timely manner as they </w:t>
      </w:r>
      <w:r>
        <w:rPr>
          <w:rFonts w:eastAsia="Calibri"/>
          <w:lang w:eastAsia="en-US"/>
        </w:rPr>
        <w:t>did not</w:t>
      </w:r>
      <w:r w:rsidRPr="005F1F83">
        <w:rPr>
          <w:rFonts w:eastAsia="Calibri"/>
          <w:lang w:eastAsia="en-US"/>
        </w:rPr>
        <w:t xml:space="preserve"> need to go through a health practitioner. </w:t>
      </w:r>
      <w:r>
        <w:rPr>
          <w:rFonts w:eastAsia="Calibri"/>
          <w:lang w:eastAsia="en-US"/>
        </w:rPr>
        <w:t xml:space="preserve">However, such constraints are not entirely removed (see the information section for the example of the </w:t>
      </w:r>
      <w:r w:rsidRPr="005F1F83">
        <w:rPr>
          <w:rFonts w:eastAsia="Calibri"/>
          <w:lang w:eastAsia="en-US"/>
        </w:rPr>
        <w:t>long and unnecessary pathway to access abortion care</w:t>
      </w:r>
      <w:r>
        <w:rPr>
          <w:rFonts w:eastAsia="Calibri"/>
          <w:lang w:eastAsia="en-US"/>
        </w:rPr>
        <w:t xml:space="preserve"> for one </w:t>
      </w:r>
      <w:proofErr w:type="spellStart"/>
      <w:r>
        <w:rPr>
          <w:rFonts w:eastAsia="Calibri"/>
          <w:lang w:eastAsia="en-US"/>
        </w:rPr>
        <w:t>wahine</w:t>
      </w:r>
      <w:proofErr w:type="spellEnd"/>
      <w:r>
        <w:rPr>
          <w:rFonts w:eastAsia="Calibri"/>
          <w:lang w:eastAsia="en-US"/>
        </w:rPr>
        <w:t>).</w:t>
      </w:r>
    </w:p>
    <w:p w14:paraId="764DF606" w14:textId="77777777" w:rsidR="00FA0B81" w:rsidRPr="005F1F83" w:rsidRDefault="00FA0B81" w:rsidP="00FA0B81">
      <w:pPr>
        <w:rPr>
          <w:rFonts w:eastAsia="Calibri"/>
          <w:lang w:eastAsia="en-US"/>
        </w:rPr>
      </w:pPr>
    </w:p>
    <w:p w14:paraId="38DBA3F1" w14:textId="5F7304E8" w:rsidR="00FA0B81" w:rsidRPr="005F1F83" w:rsidRDefault="00FA0B81" w:rsidP="00FA0B81">
      <w:pPr>
        <w:rPr>
          <w:rFonts w:eastAsia="Calibri"/>
          <w:lang w:eastAsia="en-US"/>
        </w:rPr>
      </w:pPr>
      <w:r w:rsidRPr="005F1F83">
        <w:rPr>
          <w:rFonts w:eastAsia="Calibri"/>
          <w:lang w:eastAsia="en-US"/>
        </w:rPr>
        <w:t xml:space="preserve">Individuals </w:t>
      </w:r>
      <w:r>
        <w:rPr>
          <w:rFonts w:eastAsia="Calibri"/>
          <w:lang w:eastAsia="en-US"/>
        </w:rPr>
        <w:t xml:space="preserve">other than health practitioners </w:t>
      </w:r>
      <w:r w:rsidRPr="005F1F83">
        <w:rPr>
          <w:rFonts w:eastAsia="Calibri"/>
          <w:lang w:eastAsia="en-US"/>
        </w:rPr>
        <w:t>who have a conscientious objection to abortion health care</w:t>
      </w:r>
      <w:r>
        <w:rPr>
          <w:rFonts w:eastAsia="Calibri"/>
          <w:lang w:eastAsia="en-US"/>
        </w:rPr>
        <w:t xml:space="preserve"> </w:t>
      </w:r>
      <w:r w:rsidRPr="005F1F83">
        <w:rPr>
          <w:rFonts w:eastAsia="Calibri"/>
          <w:lang w:eastAsia="en-US"/>
        </w:rPr>
        <w:t xml:space="preserve">may also impact on someone’s ability to access abortion health care services. For example, </w:t>
      </w:r>
      <w:r>
        <w:rPr>
          <w:rFonts w:eastAsia="Calibri"/>
          <w:lang w:eastAsia="en-US"/>
        </w:rPr>
        <w:t xml:space="preserve">some </w:t>
      </w:r>
      <w:r w:rsidRPr="005F1F83">
        <w:rPr>
          <w:rFonts w:eastAsia="Calibri"/>
          <w:lang w:eastAsia="en-US"/>
        </w:rPr>
        <w:t>administration staff within a health care facility</w:t>
      </w:r>
      <w:r>
        <w:rPr>
          <w:rFonts w:eastAsia="Calibri"/>
          <w:lang w:eastAsia="en-US"/>
        </w:rPr>
        <w:t xml:space="preserve"> may take this position</w:t>
      </w:r>
      <w:r w:rsidRPr="005F1F83">
        <w:rPr>
          <w:rFonts w:eastAsia="Calibri"/>
          <w:lang w:eastAsia="en-US"/>
        </w:rPr>
        <w:t xml:space="preserve">. </w:t>
      </w:r>
      <w:r>
        <w:rPr>
          <w:rFonts w:eastAsia="Calibri"/>
          <w:lang w:eastAsia="en-US"/>
        </w:rPr>
        <w:t>In contrast to the requirements it imposes on health practitioners, t</w:t>
      </w:r>
      <w:r w:rsidRPr="005F1F83">
        <w:rPr>
          <w:rFonts w:eastAsia="Calibri"/>
          <w:lang w:eastAsia="en-US"/>
        </w:rPr>
        <w:t>he</w:t>
      </w:r>
      <w:r>
        <w:rPr>
          <w:rFonts w:eastAsia="Calibri"/>
          <w:lang w:eastAsia="en-US"/>
        </w:rPr>
        <w:t xml:space="preserve"> CSA Act does not require individuals in such</w:t>
      </w:r>
      <w:r w:rsidRPr="005F1F83">
        <w:rPr>
          <w:rFonts w:eastAsia="Calibri"/>
          <w:lang w:eastAsia="en-US"/>
        </w:rPr>
        <w:t xml:space="preserve"> groups </w:t>
      </w:r>
      <w:r>
        <w:rPr>
          <w:rFonts w:eastAsia="Calibri"/>
          <w:lang w:eastAsia="en-US"/>
        </w:rPr>
        <w:t>to direct</w:t>
      </w:r>
      <w:r w:rsidRPr="005F1F83">
        <w:rPr>
          <w:rFonts w:eastAsia="Calibri"/>
          <w:lang w:eastAsia="en-US"/>
        </w:rPr>
        <w:t xml:space="preserve"> </w:t>
      </w:r>
      <w:r w:rsidR="00982B8D">
        <w:rPr>
          <w:rFonts w:eastAsia="Calibri"/>
        </w:rPr>
        <w:t xml:space="preserve">women </w:t>
      </w:r>
      <w:r w:rsidRPr="005F1F83">
        <w:rPr>
          <w:rFonts w:eastAsia="Calibri"/>
          <w:lang w:eastAsia="en-US"/>
        </w:rPr>
        <w:t>elsewhere</w:t>
      </w:r>
      <w:r>
        <w:rPr>
          <w:rFonts w:eastAsia="Calibri"/>
          <w:lang w:eastAsia="en-US"/>
        </w:rPr>
        <w:t xml:space="preserve"> for abortion services</w:t>
      </w:r>
      <w:r w:rsidRPr="005F1F83">
        <w:rPr>
          <w:rFonts w:eastAsia="Calibri"/>
          <w:lang w:eastAsia="en-US"/>
        </w:rPr>
        <w:t xml:space="preserve">. </w:t>
      </w:r>
    </w:p>
    <w:p w14:paraId="5D2D331C" w14:textId="77777777" w:rsidR="00FA0B81" w:rsidRPr="005F1F83" w:rsidRDefault="00FA0B81" w:rsidP="00FA0B81">
      <w:pPr>
        <w:pStyle w:val="Heading3"/>
        <w:rPr>
          <w:rFonts w:eastAsia="Calibri"/>
          <w:lang w:eastAsia="en-US"/>
        </w:rPr>
      </w:pPr>
      <w:r w:rsidRPr="005F1F83">
        <w:rPr>
          <w:rFonts w:eastAsia="Calibri"/>
          <w:lang w:eastAsia="en-US"/>
        </w:rPr>
        <w:t>Conscientious objection at an organisational level</w:t>
      </w:r>
    </w:p>
    <w:p w14:paraId="2A0E9BDB" w14:textId="27E43326" w:rsidR="00FA0B81" w:rsidRDefault="00FA0B81" w:rsidP="00FA0B81">
      <w:pPr>
        <w:rPr>
          <w:rFonts w:eastAsia="Calibri"/>
          <w:lang w:eastAsia="en-US"/>
        </w:rPr>
      </w:pPr>
      <w:r w:rsidRPr="005F1F83">
        <w:rPr>
          <w:rFonts w:eastAsia="Calibri"/>
          <w:lang w:eastAsia="en-US"/>
        </w:rPr>
        <w:t>The Ministry of Health is aware of some reports that conscientious objection plays a part in the decision by some health</w:t>
      </w:r>
      <w:r>
        <w:rPr>
          <w:rFonts w:eastAsia="Calibri"/>
          <w:lang w:eastAsia="en-US"/>
        </w:rPr>
        <w:t xml:space="preserve"> </w:t>
      </w:r>
      <w:r w:rsidRPr="005F1F83">
        <w:rPr>
          <w:rFonts w:eastAsia="Calibri"/>
          <w:lang w:eastAsia="en-US"/>
        </w:rPr>
        <w:t>care providers not to provide abortion care.</w:t>
      </w:r>
    </w:p>
    <w:p w14:paraId="788B1317" w14:textId="77777777" w:rsidR="00FA0B81" w:rsidRPr="005F1F83" w:rsidRDefault="00FA0B81" w:rsidP="00FA0B81">
      <w:pPr>
        <w:rPr>
          <w:rFonts w:eastAsia="Calibri"/>
          <w:lang w:eastAsia="en-US"/>
        </w:rPr>
      </w:pPr>
    </w:p>
    <w:p w14:paraId="0D7DDC81" w14:textId="77777777" w:rsidR="00FA0B81" w:rsidRPr="005F1F83" w:rsidRDefault="00FA0B81" w:rsidP="00FA0B81">
      <w:pPr>
        <w:rPr>
          <w:rFonts w:eastAsia="Calibri"/>
          <w:lang w:eastAsia="en-US"/>
        </w:rPr>
      </w:pPr>
      <w:r w:rsidRPr="005F1F83">
        <w:rPr>
          <w:rFonts w:eastAsia="Calibri"/>
          <w:lang w:eastAsia="en-US"/>
        </w:rPr>
        <w:t>The Ministry has engaged with Health New Zealand on these issues. While we acknowledge that the</w:t>
      </w:r>
      <w:r>
        <w:rPr>
          <w:rFonts w:eastAsia="Calibri"/>
          <w:lang w:eastAsia="en-US"/>
        </w:rPr>
        <w:t>y</w:t>
      </w:r>
      <w:r w:rsidRPr="005F1F83">
        <w:rPr>
          <w:rFonts w:eastAsia="Calibri"/>
          <w:lang w:eastAsia="en-US"/>
        </w:rPr>
        <w:t xml:space="preserve"> are not easily resolved, the Ministry continues to work with Health New Zealand on ways to resolve them. Failure to reduce the impact of conscientious objection on abortion service provision contributes towards the overall inequity in accessing abortion services around the country. </w:t>
      </w:r>
    </w:p>
    <w:p w14:paraId="30810054" w14:textId="77777777" w:rsidR="00FA0B81" w:rsidRPr="005F1F83" w:rsidRDefault="00FA0B81" w:rsidP="00FA0B81">
      <w:pPr>
        <w:pStyle w:val="Heading3"/>
        <w:rPr>
          <w:rFonts w:eastAsia="Calibri"/>
          <w:lang w:eastAsia="en-US"/>
        </w:rPr>
      </w:pPr>
      <w:r w:rsidRPr="005F1F83">
        <w:rPr>
          <w:rFonts w:eastAsia="Calibri"/>
          <w:lang w:eastAsia="en-US"/>
        </w:rPr>
        <w:t>Impact on timely and equitable care</w:t>
      </w:r>
    </w:p>
    <w:p w14:paraId="5FF66A95" w14:textId="0A6854D7" w:rsidR="00FA0B81" w:rsidRDefault="00FA0B81" w:rsidP="00FA0B81">
      <w:pPr>
        <w:rPr>
          <w:rFonts w:eastAsia="Calibri"/>
          <w:lang w:eastAsia="en-US"/>
        </w:rPr>
      </w:pPr>
      <w:r w:rsidRPr="005F1F83">
        <w:rPr>
          <w:rFonts w:eastAsia="Calibri"/>
          <w:lang w:eastAsia="en-US"/>
        </w:rPr>
        <w:t xml:space="preserve">The Ministry has received </w:t>
      </w:r>
      <w:r w:rsidRPr="00B51AA3">
        <w:rPr>
          <w:rFonts w:eastAsia="Calibri"/>
        </w:rPr>
        <w:t>some</w:t>
      </w:r>
      <w:r w:rsidRPr="005F1F83">
        <w:rPr>
          <w:rFonts w:eastAsia="Calibri"/>
          <w:i/>
          <w:iCs/>
          <w:lang w:eastAsia="en-US"/>
        </w:rPr>
        <w:t xml:space="preserve"> </w:t>
      </w:r>
      <w:r w:rsidRPr="00B51AA3">
        <w:rPr>
          <w:rFonts w:eastAsia="Calibri"/>
        </w:rPr>
        <w:t>limited</w:t>
      </w:r>
      <w:r>
        <w:rPr>
          <w:rFonts w:eastAsia="Calibri"/>
          <w:i/>
          <w:iCs/>
          <w:lang w:eastAsia="en-US"/>
        </w:rPr>
        <w:t xml:space="preserve"> </w:t>
      </w:r>
      <w:r w:rsidRPr="005F1F83">
        <w:rPr>
          <w:rFonts w:eastAsia="Calibri"/>
          <w:lang w:eastAsia="en-US"/>
        </w:rPr>
        <w:t>feedback</w:t>
      </w:r>
      <w:r w:rsidRPr="00402DC7">
        <w:rPr>
          <w:rFonts w:eastAsia="Calibri"/>
          <w:lang w:eastAsia="en-US"/>
        </w:rPr>
        <w:t xml:space="preserve"> </w:t>
      </w:r>
      <w:r>
        <w:rPr>
          <w:rFonts w:eastAsia="Calibri"/>
          <w:lang w:eastAsia="en-US"/>
        </w:rPr>
        <w:t>on</w:t>
      </w:r>
      <w:r w:rsidRPr="005F1F83">
        <w:rPr>
          <w:rFonts w:eastAsia="Calibri"/>
          <w:lang w:eastAsia="en-US"/>
        </w:rPr>
        <w:t xml:space="preserve"> conscientious objection through </w:t>
      </w:r>
      <w:r>
        <w:rPr>
          <w:rFonts w:eastAsia="Calibri"/>
          <w:lang w:eastAsia="en-US"/>
        </w:rPr>
        <w:t xml:space="preserve">a </w:t>
      </w:r>
      <w:r w:rsidRPr="005F1F83">
        <w:rPr>
          <w:rFonts w:eastAsia="Calibri"/>
          <w:lang w:eastAsia="en-US"/>
        </w:rPr>
        <w:t>survey</w:t>
      </w:r>
      <w:r>
        <w:rPr>
          <w:rFonts w:eastAsia="Calibri"/>
          <w:lang w:eastAsia="en-US"/>
        </w:rPr>
        <w:t xml:space="preserve"> of abortion service providers in the public system</w:t>
      </w:r>
      <w:r w:rsidRPr="005F1F83">
        <w:rPr>
          <w:rFonts w:eastAsia="Calibri"/>
          <w:lang w:eastAsia="en-US"/>
        </w:rPr>
        <w:t>, stakeholder engagement and consumer research</w:t>
      </w:r>
      <w:r>
        <w:rPr>
          <w:rFonts w:eastAsia="Calibri"/>
          <w:lang w:eastAsia="en-US"/>
        </w:rPr>
        <w:t>.</w:t>
      </w:r>
      <w:r w:rsidRPr="005F1F83">
        <w:rPr>
          <w:rFonts w:eastAsia="Calibri"/>
          <w:lang w:eastAsia="en-US"/>
        </w:rPr>
        <w:t xml:space="preserve"> </w:t>
      </w:r>
      <w:r>
        <w:rPr>
          <w:rFonts w:eastAsia="Calibri"/>
          <w:lang w:eastAsia="en-US"/>
        </w:rPr>
        <w:t>H</w:t>
      </w:r>
      <w:r w:rsidRPr="005F1F83">
        <w:rPr>
          <w:rFonts w:eastAsia="Calibri"/>
          <w:lang w:eastAsia="en-US"/>
        </w:rPr>
        <w:t>owever</w:t>
      </w:r>
      <w:r>
        <w:rPr>
          <w:rFonts w:eastAsia="Calibri"/>
          <w:lang w:eastAsia="en-US"/>
        </w:rPr>
        <w:t>,</w:t>
      </w:r>
      <w:r w:rsidRPr="005F1F83">
        <w:rPr>
          <w:rFonts w:eastAsia="Calibri"/>
          <w:lang w:eastAsia="en-US"/>
        </w:rPr>
        <w:t xml:space="preserve"> it is difficult to </w:t>
      </w:r>
      <w:r>
        <w:rPr>
          <w:rFonts w:eastAsia="Calibri"/>
          <w:lang w:eastAsia="en-US"/>
        </w:rPr>
        <w:t>assess</w:t>
      </w:r>
      <w:r w:rsidRPr="005F1F83">
        <w:rPr>
          <w:rFonts w:eastAsia="Calibri"/>
          <w:lang w:eastAsia="en-US"/>
        </w:rPr>
        <w:t xml:space="preserve"> the overall impact that individual or organisational conscientious objection has on timely and equitable access to abortion care. </w:t>
      </w:r>
    </w:p>
    <w:p w14:paraId="5F8B7CC4" w14:textId="77777777" w:rsidR="00FA0B81" w:rsidRPr="005F1F83" w:rsidRDefault="00FA0B81" w:rsidP="00FA0B81">
      <w:pPr>
        <w:rPr>
          <w:rFonts w:eastAsia="Calibri"/>
          <w:lang w:eastAsia="en-US"/>
        </w:rPr>
      </w:pPr>
    </w:p>
    <w:p w14:paraId="0B63CEB1" w14:textId="053E620B" w:rsidR="00FA0B81" w:rsidRDefault="00FA0B81" w:rsidP="00FA0B81">
      <w:pPr>
        <w:rPr>
          <w:rFonts w:eastAsia="Calibri"/>
        </w:rPr>
      </w:pPr>
      <w:r w:rsidRPr="005F1F83">
        <w:rPr>
          <w:rFonts w:eastAsia="Calibri"/>
          <w:lang w:eastAsia="en-US"/>
        </w:rPr>
        <w:t xml:space="preserve">Feedback from external stakeholders </w:t>
      </w:r>
      <w:r>
        <w:rPr>
          <w:rFonts w:eastAsia="Calibri"/>
          <w:lang w:eastAsia="en-US"/>
        </w:rPr>
        <w:t>on</w:t>
      </w:r>
      <w:r w:rsidRPr="005F1F83">
        <w:rPr>
          <w:rFonts w:eastAsia="Calibri"/>
          <w:lang w:eastAsia="en-US"/>
        </w:rPr>
        <w:t xml:space="preserve"> the prevalence of conscientious objection varie</w:t>
      </w:r>
      <w:r>
        <w:rPr>
          <w:rFonts w:eastAsia="Calibri"/>
          <w:lang w:eastAsia="en-US"/>
        </w:rPr>
        <w:t>s</w:t>
      </w:r>
      <w:r w:rsidRPr="005F1F83">
        <w:rPr>
          <w:rFonts w:eastAsia="Calibri"/>
          <w:lang w:eastAsia="en-US"/>
        </w:rPr>
        <w:t xml:space="preserve">. One </w:t>
      </w:r>
      <w:r>
        <w:rPr>
          <w:rFonts w:eastAsia="Calibri"/>
          <w:lang w:eastAsia="en-US"/>
        </w:rPr>
        <w:t xml:space="preserve">stakeholder </w:t>
      </w:r>
      <w:r w:rsidRPr="005F1F83">
        <w:rPr>
          <w:rFonts w:eastAsia="Calibri"/>
          <w:lang w:eastAsia="en-US"/>
        </w:rPr>
        <w:t>explained that</w:t>
      </w:r>
      <w:r>
        <w:rPr>
          <w:rFonts w:eastAsia="Calibri"/>
          <w:lang w:eastAsia="en-US"/>
        </w:rPr>
        <w:t>,</w:t>
      </w:r>
      <w:r w:rsidRPr="005F1F83">
        <w:rPr>
          <w:rFonts w:eastAsia="Calibri"/>
          <w:lang w:eastAsia="en-US"/>
        </w:rPr>
        <w:t xml:space="preserve"> while generally their members did not experience it in their place of work</w:t>
      </w:r>
      <w:r>
        <w:rPr>
          <w:rFonts w:eastAsia="Calibri"/>
          <w:lang w:eastAsia="en-US"/>
        </w:rPr>
        <w:t>,</w:t>
      </w:r>
      <w:r w:rsidRPr="005F1F83">
        <w:rPr>
          <w:rFonts w:eastAsia="Calibri"/>
          <w:lang w:eastAsia="en-US"/>
        </w:rPr>
        <w:t xml:space="preserve"> one member commented</w:t>
      </w:r>
      <w:r w:rsidRPr="00B51AA3">
        <w:rPr>
          <w:rFonts w:eastAsia="Calibri"/>
        </w:rPr>
        <w:t xml:space="preserve"> </w:t>
      </w:r>
      <w:r>
        <w:rPr>
          <w:rFonts w:eastAsia="Calibri"/>
        </w:rPr>
        <w:t>‘</w:t>
      </w:r>
      <w:r w:rsidRPr="00B51AA3">
        <w:rPr>
          <w:rFonts w:eastAsia="Calibri"/>
        </w:rPr>
        <w:t>entire hospitals have claimed to be conscientious objectors, leading to wide disparities in access to care</w:t>
      </w:r>
      <w:r>
        <w:rPr>
          <w:rFonts w:eastAsia="Calibri"/>
        </w:rPr>
        <w:t>’</w:t>
      </w:r>
      <w:r w:rsidRPr="00B51AA3">
        <w:rPr>
          <w:rFonts w:eastAsia="Calibri"/>
        </w:rPr>
        <w:t>.</w:t>
      </w:r>
    </w:p>
    <w:p w14:paraId="4543F69E" w14:textId="77777777" w:rsidR="00FA0B81" w:rsidRPr="00B51AA3" w:rsidRDefault="00FA0B81" w:rsidP="00FA0B81">
      <w:pPr>
        <w:rPr>
          <w:rFonts w:eastAsia="Calibri"/>
        </w:rPr>
      </w:pPr>
    </w:p>
    <w:p w14:paraId="0EFD19BF" w14:textId="77777777" w:rsidR="00FA0B81" w:rsidRDefault="00FA0B81" w:rsidP="00FA0B81">
      <w:pPr>
        <w:rPr>
          <w:rFonts w:eastAsia="Calibri"/>
          <w:lang w:eastAsia="en-US"/>
        </w:rPr>
      </w:pPr>
      <w:r>
        <w:rPr>
          <w:rFonts w:eastAsia="Calibri"/>
          <w:lang w:eastAsia="en-US"/>
        </w:rPr>
        <w:t>The following</w:t>
      </w:r>
      <w:r w:rsidRPr="005F1F83">
        <w:rPr>
          <w:rFonts w:eastAsia="Calibri"/>
          <w:lang w:eastAsia="en-US"/>
        </w:rPr>
        <w:t xml:space="preserve"> </w:t>
      </w:r>
      <w:r>
        <w:rPr>
          <w:rFonts w:eastAsia="Calibri"/>
          <w:lang w:eastAsia="en-US"/>
        </w:rPr>
        <w:t>feedback from stakeholders</w:t>
      </w:r>
      <w:r w:rsidRPr="005F1F83">
        <w:rPr>
          <w:rFonts w:eastAsia="Calibri"/>
          <w:lang w:eastAsia="en-US"/>
        </w:rPr>
        <w:t xml:space="preserve"> g</w:t>
      </w:r>
      <w:r>
        <w:rPr>
          <w:rFonts w:eastAsia="Calibri"/>
          <w:lang w:eastAsia="en-US"/>
        </w:rPr>
        <w:t>i</w:t>
      </w:r>
      <w:r w:rsidRPr="005F1F83">
        <w:rPr>
          <w:rFonts w:eastAsia="Calibri"/>
          <w:lang w:eastAsia="en-US"/>
        </w:rPr>
        <w:t>ve</w:t>
      </w:r>
      <w:r>
        <w:rPr>
          <w:rFonts w:eastAsia="Calibri"/>
          <w:lang w:eastAsia="en-US"/>
        </w:rPr>
        <w:t>s</w:t>
      </w:r>
      <w:r w:rsidRPr="005F1F83">
        <w:rPr>
          <w:rFonts w:eastAsia="Calibri"/>
          <w:lang w:eastAsia="en-US"/>
        </w:rPr>
        <w:t xml:space="preserve"> further insight into </w:t>
      </w:r>
      <w:r>
        <w:rPr>
          <w:rFonts w:eastAsia="Calibri"/>
          <w:lang w:eastAsia="en-US"/>
        </w:rPr>
        <w:t>how conscientious objection can</w:t>
      </w:r>
      <w:r w:rsidRPr="005F1F83">
        <w:rPr>
          <w:rFonts w:eastAsia="Calibri"/>
          <w:lang w:eastAsia="en-US"/>
        </w:rPr>
        <w:t xml:space="preserve"> impact on timely and equitable </w:t>
      </w:r>
      <w:r>
        <w:rPr>
          <w:rFonts w:eastAsia="Calibri"/>
          <w:lang w:eastAsia="en-US"/>
        </w:rPr>
        <w:t xml:space="preserve">abortion </w:t>
      </w:r>
      <w:r w:rsidRPr="005F1F83">
        <w:rPr>
          <w:rFonts w:eastAsia="Calibri"/>
          <w:lang w:eastAsia="en-US"/>
        </w:rPr>
        <w:t xml:space="preserve">care </w:t>
      </w:r>
      <w:r>
        <w:rPr>
          <w:rFonts w:eastAsia="Calibri"/>
          <w:lang w:eastAsia="en-US"/>
        </w:rPr>
        <w:t>and how these issues might be addressed.</w:t>
      </w:r>
    </w:p>
    <w:p w14:paraId="6D77ED71" w14:textId="77777777" w:rsidR="00FA0B81" w:rsidRDefault="00FA0B81" w:rsidP="00A42BAE">
      <w:pPr>
        <w:sectPr w:rsidR="00FA0B81" w:rsidSect="00CC19AA">
          <w:pgSz w:w="11907" w:h="16834" w:code="9"/>
          <w:pgMar w:top="1418" w:right="1701" w:bottom="1134" w:left="1843" w:header="284" w:footer="425" w:gutter="284"/>
          <w:cols w:space="720"/>
        </w:sectPr>
      </w:pPr>
    </w:p>
    <w:p w14:paraId="7413CB1A" w14:textId="677DD99E" w:rsidR="00A42BAE" w:rsidRDefault="00A42BAE" w:rsidP="00A42BAE">
      <w:pPr>
        <w:pStyle w:val="Shadedboxtext"/>
      </w:pPr>
      <w:r w:rsidRPr="00A42BAE">
        <w:t>‘We understand that conscientious objection can create significant challenges for those considering or seeking abortion services. Our clients have shared with us that it is not uncommon for GPs to refuse to accept appointments to discuss termination of pregnancy. Moreover, our clients also report that they are not provided with any additional information for an alternative way to access abortion services. We have also heard reports that a gynaecologist has denied a patient a first trimester abortion in a hospital which require</w:t>
      </w:r>
      <w:r w:rsidR="002C73B2">
        <w:t>d</w:t>
      </w:r>
      <w:r w:rsidRPr="00A42BAE">
        <w:t xml:space="preserve"> patients to travel to another city to seek care. While these are anecdotal reports, they indicate a significant barrier for women who are seeking abortion.’ </w:t>
      </w:r>
      <w:r w:rsidR="002C73B2">
        <w:t>Stakeholder feedback</w:t>
      </w:r>
    </w:p>
    <w:p w14:paraId="1C541599" w14:textId="60CD4667" w:rsidR="00A42BAE" w:rsidRDefault="00A42BAE" w:rsidP="00A42BAE">
      <w:pPr>
        <w:pStyle w:val="Shadedboxtext"/>
      </w:pPr>
    </w:p>
    <w:p w14:paraId="3E12C39F" w14:textId="621268F9" w:rsidR="00A42BAE" w:rsidRDefault="00A42BAE" w:rsidP="00A42BAE">
      <w:pPr>
        <w:pStyle w:val="Shadedboxtext"/>
      </w:pPr>
      <w:r w:rsidRPr="00A42BAE">
        <w:t xml:space="preserve">‘We acknowledge the importance of conscientious objection in allowing healthcare practitioners to act in line with their personal, ethical, and religious beliefs. However, it is essential that conscientious objection does not impede patient access to necessary services. The process of referral to a colleague or institution that can provide the required service should be timely and non-judgmental. We continue to have situations where conscientious objectors are referring patients to other primary healthcare facilities to then be referred on to abortion services rather than providing information that patients can self-refer, creating extra barriers to care. Better public &amp; professional awareness about the ability to self-refer to abortion services would be beneficial.’ </w:t>
      </w:r>
      <w:r w:rsidR="002C73B2">
        <w:t>Stakeholder feedback</w:t>
      </w:r>
    </w:p>
    <w:p w14:paraId="046145FB" w14:textId="5A34EA5F" w:rsidR="00A42BAE" w:rsidRDefault="00A42BAE" w:rsidP="00A42BAE">
      <w:pPr>
        <w:pStyle w:val="Heading2"/>
      </w:pPr>
      <w:bookmarkStart w:id="113" w:name="_Toc195016576"/>
      <w:r w:rsidRPr="00A42BAE">
        <w:t>Abortion stigma</w:t>
      </w:r>
      <w:bookmarkEnd w:id="113"/>
    </w:p>
    <w:p w14:paraId="559C0F09" w14:textId="50B0B2B6" w:rsidR="00FA0B81" w:rsidRDefault="00FA0B81" w:rsidP="00FA0B81">
      <w:pPr>
        <w:rPr>
          <w:rFonts w:eastAsia="Calibri"/>
          <w:lang w:eastAsia="en-US"/>
        </w:rPr>
      </w:pPr>
      <w:r>
        <w:rPr>
          <w:rFonts w:eastAsia="Calibri"/>
          <w:lang w:eastAsia="en-US"/>
        </w:rPr>
        <w:t>As noted in the legislation chapter, one of the c</w:t>
      </w:r>
      <w:r w:rsidRPr="005F1F83">
        <w:rPr>
          <w:rFonts w:eastAsia="Calibri"/>
          <w:lang w:eastAsia="en-US"/>
        </w:rPr>
        <w:t xml:space="preserve">hanges to abortion </w:t>
      </w:r>
      <w:r>
        <w:rPr>
          <w:rFonts w:eastAsia="Calibri"/>
          <w:lang w:eastAsia="en-US"/>
        </w:rPr>
        <w:t>law</w:t>
      </w:r>
      <w:r w:rsidRPr="005F1F83">
        <w:rPr>
          <w:rFonts w:eastAsia="Calibri"/>
          <w:lang w:eastAsia="en-US"/>
        </w:rPr>
        <w:t xml:space="preserve"> in 2020 was </w:t>
      </w:r>
      <w:r>
        <w:rPr>
          <w:rFonts w:eastAsia="Calibri"/>
          <w:lang w:eastAsia="en-US"/>
        </w:rPr>
        <w:t xml:space="preserve">to </w:t>
      </w:r>
      <w:r w:rsidRPr="005F1F83">
        <w:rPr>
          <w:rFonts w:eastAsia="Calibri"/>
          <w:lang w:eastAsia="en-US"/>
        </w:rPr>
        <w:t>remove</w:t>
      </w:r>
      <w:r>
        <w:rPr>
          <w:rFonts w:eastAsia="Calibri"/>
          <w:lang w:eastAsia="en-US"/>
        </w:rPr>
        <w:t xml:space="preserve"> abortion care</w:t>
      </w:r>
      <w:r w:rsidRPr="005F1F83">
        <w:rPr>
          <w:rFonts w:eastAsia="Calibri"/>
          <w:lang w:eastAsia="en-US"/>
        </w:rPr>
        <w:t xml:space="preserve"> from the Crimes Act </w:t>
      </w:r>
      <w:r>
        <w:rPr>
          <w:rFonts w:eastAsia="Calibri"/>
          <w:lang w:eastAsia="en-US"/>
        </w:rPr>
        <w:t xml:space="preserve">1961 </w:t>
      </w:r>
      <w:r w:rsidRPr="005F1F83">
        <w:rPr>
          <w:rFonts w:eastAsia="Calibri"/>
          <w:lang w:eastAsia="en-US"/>
        </w:rPr>
        <w:t>and recogni</w:t>
      </w:r>
      <w:r>
        <w:rPr>
          <w:rFonts w:eastAsia="Calibri"/>
          <w:lang w:eastAsia="en-US"/>
        </w:rPr>
        <w:t>s</w:t>
      </w:r>
      <w:r w:rsidRPr="005F1F83">
        <w:rPr>
          <w:rFonts w:eastAsia="Calibri"/>
          <w:lang w:eastAsia="en-US"/>
        </w:rPr>
        <w:t>e</w:t>
      </w:r>
      <w:r>
        <w:rPr>
          <w:rFonts w:eastAsia="Calibri"/>
          <w:lang w:eastAsia="en-US"/>
        </w:rPr>
        <w:t xml:space="preserve"> it</w:t>
      </w:r>
      <w:r w:rsidRPr="005F1F83">
        <w:rPr>
          <w:rFonts w:eastAsia="Calibri"/>
          <w:lang w:eastAsia="en-US"/>
        </w:rPr>
        <w:t xml:space="preserve"> instead as a health care service. From the consumer research we commissioned, it appears that while this </w:t>
      </w:r>
      <w:r>
        <w:rPr>
          <w:rFonts w:eastAsia="Calibri"/>
          <w:lang w:eastAsia="en-US"/>
        </w:rPr>
        <w:t xml:space="preserve">change </w:t>
      </w:r>
      <w:r w:rsidRPr="005F1F83">
        <w:rPr>
          <w:rFonts w:eastAsia="Calibri"/>
          <w:lang w:eastAsia="en-US"/>
        </w:rPr>
        <w:t xml:space="preserve">has helped to reframe how society views abortion health care, stigma surrounding abortion remains. For some patients, the stigma can still have an impact on </w:t>
      </w:r>
      <w:r>
        <w:rPr>
          <w:rFonts w:eastAsia="Calibri"/>
          <w:lang w:eastAsia="en-US"/>
        </w:rPr>
        <w:t xml:space="preserve">their </w:t>
      </w:r>
      <w:r w:rsidRPr="005F1F83">
        <w:rPr>
          <w:rFonts w:eastAsia="Calibri"/>
          <w:lang w:eastAsia="en-US"/>
        </w:rPr>
        <w:t>decision</w:t>
      </w:r>
      <w:r>
        <w:rPr>
          <w:rFonts w:eastAsia="Calibri"/>
          <w:lang w:eastAsia="en-US"/>
        </w:rPr>
        <w:t>-</w:t>
      </w:r>
      <w:r w:rsidRPr="005F1F83">
        <w:rPr>
          <w:rFonts w:eastAsia="Calibri"/>
          <w:lang w:eastAsia="en-US"/>
        </w:rPr>
        <w:t xml:space="preserve">making and </w:t>
      </w:r>
      <w:r>
        <w:rPr>
          <w:rFonts w:eastAsia="Calibri"/>
          <w:lang w:eastAsia="en-US"/>
        </w:rPr>
        <w:t xml:space="preserve">their </w:t>
      </w:r>
      <w:r w:rsidRPr="005F1F83">
        <w:rPr>
          <w:rFonts w:eastAsia="Calibri"/>
          <w:lang w:eastAsia="en-US"/>
        </w:rPr>
        <w:t xml:space="preserve">access to abortion care. </w:t>
      </w:r>
    </w:p>
    <w:p w14:paraId="25C4C2FD" w14:textId="77777777" w:rsidR="00FA0B81" w:rsidRPr="005F1F83" w:rsidRDefault="00FA0B81" w:rsidP="00FA0B81">
      <w:pPr>
        <w:rPr>
          <w:rFonts w:eastAsia="Calibri"/>
          <w:lang w:eastAsia="en-US"/>
        </w:rPr>
      </w:pPr>
    </w:p>
    <w:p w14:paraId="5EF9A715" w14:textId="087939B5" w:rsidR="00FA0B81" w:rsidRPr="005F1F83" w:rsidRDefault="00FA0B81" w:rsidP="00FA0B81">
      <w:pPr>
        <w:rPr>
          <w:rFonts w:ascii="Calibri Light" w:eastAsia="Yu Gothic Light" w:hAnsi="Calibri Light"/>
          <w:sz w:val="26"/>
          <w:szCs w:val="26"/>
          <w:lang w:eastAsia="en-US"/>
        </w:rPr>
      </w:pPr>
      <w:r w:rsidRPr="005F1F83">
        <w:rPr>
          <w:rFonts w:eastAsia="Calibri"/>
          <w:lang w:eastAsia="en-US"/>
        </w:rPr>
        <w:t xml:space="preserve">While society does seem to be changing and the subject of abortion is becoming less taboo, </w:t>
      </w:r>
      <w:r>
        <w:rPr>
          <w:rFonts w:eastAsia="Calibri"/>
          <w:lang w:eastAsia="en-US"/>
        </w:rPr>
        <w:t xml:space="preserve">Parker et al (2025) found that many </w:t>
      </w:r>
      <w:r w:rsidRPr="005F1F83">
        <w:rPr>
          <w:rFonts w:eastAsia="Calibri"/>
          <w:lang w:eastAsia="en-US"/>
        </w:rPr>
        <w:t xml:space="preserve">participants </w:t>
      </w:r>
      <w:r>
        <w:rPr>
          <w:rFonts w:eastAsia="Calibri"/>
          <w:lang w:eastAsia="en-US"/>
        </w:rPr>
        <w:t xml:space="preserve">found </w:t>
      </w:r>
      <w:r w:rsidRPr="005F1F83">
        <w:rPr>
          <w:rFonts w:eastAsia="Calibri"/>
          <w:lang w:eastAsia="en-US"/>
        </w:rPr>
        <w:t xml:space="preserve">abortion </w:t>
      </w:r>
      <w:r>
        <w:rPr>
          <w:rFonts w:eastAsia="Calibri"/>
          <w:lang w:eastAsia="en-US"/>
        </w:rPr>
        <w:t>w</w:t>
      </w:r>
      <w:r w:rsidRPr="005F1F83">
        <w:rPr>
          <w:rFonts w:eastAsia="Calibri"/>
          <w:lang w:eastAsia="en-US"/>
        </w:rPr>
        <w:t xml:space="preserve">as </w:t>
      </w:r>
      <w:r>
        <w:rPr>
          <w:rFonts w:eastAsia="Calibri"/>
          <w:lang w:eastAsia="en-US"/>
        </w:rPr>
        <w:t>‘</w:t>
      </w:r>
      <w:r w:rsidRPr="005F1F83">
        <w:rPr>
          <w:rFonts w:eastAsia="Calibri"/>
          <w:lang w:eastAsia="en-US"/>
        </w:rPr>
        <w:t>emotionally complex</w:t>
      </w:r>
      <w:r>
        <w:rPr>
          <w:rFonts w:eastAsia="Calibri"/>
          <w:lang w:eastAsia="en-US"/>
        </w:rPr>
        <w:t>’.</w:t>
      </w:r>
      <w:r w:rsidRPr="005F1F83">
        <w:rPr>
          <w:rFonts w:eastAsia="Calibri"/>
          <w:lang w:eastAsia="en-US"/>
        </w:rPr>
        <w:t xml:space="preserve"> </w:t>
      </w:r>
      <w:r>
        <w:rPr>
          <w:rFonts w:eastAsia="Calibri"/>
          <w:lang w:eastAsia="en-US"/>
        </w:rPr>
        <w:t>S</w:t>
      </w:r>
      <w:r w:rsidRPr="005F1F83">
        <w:rPr>
          <w:rFonts w:eastAsia="Calibri"/>
          <w:lang w:eastAsia="en-US"/>
        </w:rPr>
        <w:t xml:space="preserve">ome </w:t>
      </w:r>
      <w:r>
        <w:rPr>
          <w:rFonts w:eastAsia="Calibri"/>
          <w:lang w:eastAsia="en-US"/>
        </w:rPr>
        <w:t>felt</w:t>
      </w:r>
      <w:r w:rsidRPr="005F1F83">
        <w:rPr>
          <w:rFonts w:eastAsia="Calibri"/>
          <w:lang w:eastAsia="en-US"/>
        </w:rPr>
        <w:t xml:space="preserve"> that </w:t>
      </w:r>
      <w:r>
        <w:rPr>
          <w:rFonts w:eastAsia="Calibri"/>
          <w:lang w:eastAsia="en-US"/>
        </w:rPr>
        <w:t xml:space="preserve">in deciding to have an abortion </w:t>
      </w:r>
      <w:r w:rsidRPr="005F1F83">
        <w:rPr>
          <w:rFonts w:eastAsia="Calibri"/>
          <w:lang w:eastAsia="en-US"/>
        </w:rPr>
        <w:t xml:space="preserve">they were doing something wrong. </w:t>
      </w:r>
      <w:r>
        <w:rPr>
          <w:rFonts w:eastAsia="Calibri"/>
          <w:lang w:eastAsia="en-US"/>
        </w:rPr>
        <w:t>As a result, some preferred to self-refer to abortion services rather than</w:t>
      </w:r>
      <w:r w:rsidRPr="005F1F83">
        <w:rPr>
          <w:rFonts w:eastAsia="Calibri"/>
          <w:lang w:eastAsia="en-US"/>
        </w:rPr>
        <w:t xml:space="preserve"> seek a referral from a known health professional, fear</w:t>
      </w:r>
      <w:r>
        <w:rPr>
          <w:rFonts w:eastAsia="Calibri"/>
          <w:lang w:eastAsia="en-US"/>
        </w:rPr>
        <w:t>ing their response might be to</w:t>
      </w:r>
      <w:r w:rsidRPr="005F1F83">
        <w:rPr>
          <w:rFonts w:eastAsia="Calibri"/>
          <w:lang w:eastAsia="en-US"/>
        </w:rPr>
        <w:t xml:space="preserve"> judge</w:t>
      </w:r>
      <w:r>
        <w:rPr>
          <w:rFonts w:eastAsia="Calibri"/>
          <w:lang w:eastAsia="en-US"/>
        </w:rPr>
        <w:t xml:space="preserve"> them</w:t>
      </w:r>
      <w:r w:rsidRPr="005F1F83">
        <w:rPr>
          <w:rFonts w:eastAsia="Calibri"/>
          <w:lang w:eastAsia="en-US"/>
        </w:rPr>
        <w:t xml:space="preserve"> and/or refus</w:t>
      </w:r>
      <w:r>
        <w:rPr>
          <w:rFonts w:eastAsia="Calibri"/>
          <w:lang w:eastAsia="en-US"/>
        </w:rPr>
        <w:t>e</w:t>
      </w:r>
      <w:r w:rsidRPr="005F1F83">
        <w:rPr>
          <w:rFonts w:eastAsia="Calibri"/>
          <w:lang w:eastAsia="en-US"/>
        </w:rPr>
        <w:t xml:space="preserve"> care.</w:t>
      </w:r>
      <w:r>
        <w:rPr>
          <w:rFonts w:eastAsia="Calibri"/>
          <w:lang w:eastAsia="en-US"/>
        </w:rPr>
        <w:t xml:space="preserve"> </w:t>
      </w:r>
      <w:r w:rsidRPr="005F1F83">
        <w:rPr>
          <w:rFonts w:eastAsia="Calibri"/>
          <w:lang w:eastAsia="en-US"/>
        </w:rPr>
        <w:t xml:space="preserve">For some participants, </w:t>
      </w:r>
      <w:r>
        <w:rPr>
          <w:rFonts w:eastAsia="Calibri"/>
          <w:lang w:eastAsia="en-US"/>
        </w:rPr>
        <w:t xml:space="preserve">such </w:t>
      </w:r>
      <w:r w:rsidRPr="005F1F83">
        <w:rPr>
          <w:rFonts w:eastAsia="Calibri"/>
          <w:lang w:eastAsia="en-US"/>
        </w:rPr>
        <w:t>fear</w:t>
      </w:r>
      <w:r>
        <w:rPr>
          <w:rFonts w:eastAsia="Calibri"/>
          <w:lang w:eastAsia="en-US"/>
        </w:rPr>
        <w:t>s were based on</w:t>
      </w:r>
      <w:r w:rsidRPr="005F1F83">
        <w:rPr>
          <w:rFonts w:eastAsia="Calibri"/>
          <w:lang w:eastAsia="en-US"/>
        </w:rPr>
        <w:t xml:space="preserve"> previous negative experiences of sexual and reproductive health</w:t>
      </w:r>
      <w:r>
        <w:rPr>
          <w:rFonts w:eastAsia="Calibri"/>
          <w:lang w:eastAsia="en-US"/>
        </w:rPr>
        <w:t xml:space="preserve"> </w:t>
      </w:r>
      <w:r w:rsidRPr="005F1F83">
        <w:rPr>
          <w:rFonts w:eastAsia="Calibri"/>
          <w:lang w:eastAsia="en-US"/>
        </w:rPr>
        <w:t>care</w:t>
      </w:r>
      <w:r>
        <w:rPr>
          <w:rFonts w:eastAsia="Calibri"/>
          <w:lang w:eastAsia="en-US"/>
        </w:rPr>
        <w:t>.</w:t>
      </w:r>
    </w:p>
    <w:p w14:paraId="0F027288" w14:textId="77777777" w:rsidR="00FA0B81" w:rsidRDefault="00FA0B81" w:rsidP="00A42BAE">
      <w:pPr>
        <w:sectPr w:rsidR="00FA0B81" w:rsidSect="00CC19AA">
          <w:pgSz w:w="11907" w:h="16834" w:code="9"/>
          <w:pgMar w:top="1418" w:right="1701" w:bottom="1134" w:left="1843" w:header="284" w:footer="425" w:gutter="284"/>
          <w:cols w:space="720"/>
        </w:sectPr>
      </w:pPr>
    </w:p>
    <w:p w14:paraId="67347D61" w14:textId="3ED8C701" w:rsidR="00A42BAE" w:rsidRDefault="00A42BAE" w:rsidP="00A42BAE">
      <w:pPr>
        <w:pStyle w:val="Shadedboxtext"/>
      </w:pPr>
      <w:r w:rsidRPr="00A42BAE">
        <w:t>‘I have had a doctor refuse to give me emergency contraception before, on the grounds of his religious beliefs. This has for sure contributed to anxiety around medical practitioners and disclosing personal histories if I read them as being unsafe in some way.’ Participant (Parker et al 2025)</w:t>
      </w:r>
    </w:p>
    <w:p w14:paraId="0AC5D456" w14:textId="4E08E850" w:rsidR="00A42BAE" w:rsidRDefault="00A42BAE" w:rsidP="00A42BAE">
      <w:pPr>
        <w:pStyle w:val="Heading2"/>
      </w:pPr>
      <w:bookmarkStart w:id="114" w:name="_Toc195016577"/>
      <w:r>
        <w:t>Funding</w:t>
      </w:r>
      <w:bookmarkEnd w:id="114"/>
      <w:r>
        <w:t xml:space="preserve"> </w:t>
      </w:r>
    </w:p>
    <w:p w14:paraId="0A27D2E7" w14:textId="4D4C62B7" w:rsidR="00FA0B81" w:rsidRDefault="00FA0B81" w:rsidP="00FA0B81">
      <w:pPr>
        <w:rPr>
          <w:rFonts w:eastAsia="Calibri"/>
          <w:lang w:eastAsia="en-US"/>
        </w:rPr>
      </w:pPr>
      <w:bookmarkStart w:id="115" w:name="_Hlk192253843"/>
      <w:r w:rsidRPr="005F1F83">
        <w:rPr>
          <w:rFonts w:eastAsia="Calibri" w:cs="Calibri"/>
          <w:kern w:val="2"/>
          <w:lang w:eastAsia="en-US" w:bidi="en-US"/>
          <w14:ligatures w14:val="standardContextual"/>
        </w:rPr>
        <w:t xml:space="preserve">The Primary Maternity Services </w:t>
      </w:r>
      <w:r>
        <w:rPr>
          <w:rFonts w:eastAsia="Calibri" w:cs="Calibri"/>
          <w:kern w:val="2"/>
          <w:lang w:eastAsia="en-US" w:bidi="en-US"/>
          <w14:ligatures w14:val="standardContextual"/>
        </w:rPr>
        <w:t>N</w:t>
      </w:r>
      <w:r w:rsidRPr="005F1F83">
        <w:rPr>
          <w:rFonts w:eastAsia="Calibri" w:cs="Calibri"/>
          <w:kern w:val="2"/>
          <w:lang w:eastAsia="en-US" w:bidi="en-US"/>
          <w14:ligatures w14:val="standardContextual"/>
        </w:rPr>
        <w:t>otice outlines what lead maternity carers can claim for service provision.</w:t>
      </w:r>
      <w:r w:rsidRPr="005F1F83">
        <w:rPr>
          <w:rFonts w:eastAsia="Calibri"/>
          <w:lang w:eastAsia="en-US"/>
        </w:rPr>
        <w:t xml:space="preserve"> Feedback over time </w:t>
      </w:r>
      <w:r>
        <w:rPr>
          <w:rFonts w:eastAsia="Calibri"/>
          <w:lang w:eastAsia="en-US"/>
        </w:rPr>
        <w:t xml:space="preserve">indicates </w:t>
      </w:r>
      <w:r w:rsidRPr="005F1F83">
        <w:rPr>
          <w:rFonts w:eastAsia="Calibri"/>
          <w:lang w:eastAsia="en-US"/>
        </w:rPr>
        <w:t xml:space="preserve">that the notice is unclear about what </w:t>
      </w:r>
      <w:r>
        <w:rPr>
          <w:rFonts w:eastAsia="Calibri"/>
          <w:lang w:eastAsia="en-US"/>
        </w:rPr>
        <w:t>lead maternity carers can</w:t>
      </w:r>
      <w:r w:rsidRPr="005F1F83">
        <w:rPr>
          <w:rFonts w:eastAsia="Calibri"/>
          <w:lang w:eastAsia="en-US"/>
        </w:rPr>
        <w:t xml:space="preserve"> claim for termination of pregnancy services. </w:t>
      </w:r>
      <w:r>
        <w:rPr>
          <w:rFonts w:eastAsia="Calibri"/>
          <w:lang w:eastAsia="en-US"/>
        </w:rPr>
        <w:t>T</w:t>
      </w:r>
      <w:r w:rsidRPr="005F1F83">
        <w:rPr>
          <w:rFonts w:eastAsia="Calibri"/>
          <w:lang w:eastAsia="en-US"/>
        </w:rPr>
        <w:t xml:space="preserve">his uncertainty is likely </w:t>
      </w:r>
      <w:r>
        <w:rPr>
          <w:rFonts w:eastAsia="Calibri"/>
          <w:lang w:eastAsia="en-US"/>
        </w:rPr>
        <w:t xml:space="preserve">to have held back </w:t>
      </w:r>
      <w:r w:rsidRPr="005F1F83">
        <w:rPr>
          <w:rFonts w:eastAsia="Calibri"/>
          <w:lang w:eastAsia="en-US"/>
        </w:rPr>
        <w:t xml:space="preserve">the uptake </w:t>
      </w:r>
      <w:r>
        <w:rPr>
          <w:rFonts w:eastAsia="Calibri"/>
          <w:lang w:eastAsia="en-US"/>
        </w:rPr>
        <w:t xml:space="preserve">of </w:t>
      </w:r>
      <w:r w:rsidRPr="005F1F83">
        <w:rPr>
          <w:rFonts w:eastAsia="Calibri"/>
          <w:lang w:eastAsia="en-US"/>
        </w:rPr>
        <w:t xml:space="preserve">abortion provision </w:t>
      </w:r>
      <w:r>
        <w:rPr>
          <w:rFonts w:eastAsia="Calibri"/>
          <w:lang w:eastAsia="en-US"/>
        </w:rPr>
        <w:t xml:space="preserve">within </w:t>
      </w:r>
      <w:r w:rsidRPr="005F1F83">
        <w:rPr>
          <w:rFonts w:eastAsia="Calibri"/>
          <w:lang w:eastAsia="en-US"/>
        </w:rPr>
        <w:t>the primary care sector</w:t>
      </w:r>
      <w:r>
        <w:rPr>
          <w:rFonts w:eastAsia="Calibri"/>
          <w:lang w:eastAsia="en-US"/>
        </w:rPr>
        <w:t xml:space="preserve">. Further, </w:t>
      </w:r>
      <w:r w:rsidRPr="005F1F83">
        <w:rPr>
          <w:rFonts w:eastAsia="Calibri"/>
          <w:lang w:eastAsia="en-US"/>
        </w:rPr>
        <w:t xml:space="preserve">those that do provide services may be transferring costs to the patient seeking an abortion. </w:t>
      </w:r>
    </w:p>
    <w:p w14:paraId="0673D5D5" w14:textId="77777777" w:rsidR="00FA0B81" w:rsidRDefault="00FA0B81" w:rsidP="00FA0B81">
      <w:pPr>
        <w:rPr>
          <w:rFonts w:eastAsia="Calibri"/>
          <w:lang w:eastAsia="en-US"/>
        </w:rPr>
      </w:pPr>
    </w:p>
    <w:p w14:paraId="34D2B10D" w14:textId="24DF0D92" w:rsidR="00FA0B81" w:rsidRDefault="00FA0B81" w:rsidP="00FA0B81">
      <w:pPr>
        <w:rPr>
          <w:rFonts w:eastAsia="Calibri"/>
          <w:kern w:val="2"/>
          <w:lang w:eastAsia="en-US"/>
          <w14:ligatures w14:val="standardContextual"/>
        </w:rPr>
      </w:pPr>
      <w:r w:rsidRPr="005F1F83">
        <w:rPr>
          <w:rFonts w:eastAsia="Calibri"/>
          <w:lang w:eastAsia="en-US"/>
        </w:rPr>
        <w:t>To clari</w:t>
      </w:r>
      <w:r>
        <w:rPr>
          <w:rFonts w:eastAsia="Calibri"/>
          <w:lang w:eastAsia="en-US"/>
        </w:rPr>
        <w:t>f</w:t>
      </w:r>
      <w:r w:rsidRPr="005F1F83">
        <w:rPr>
          <w:rFonts w:eastAsia="Calibri"/>
          <w:lang w:eastAsia="en-US"/>
        </w:rPr>
        <w:t xml:space="preserve">y </w:t>
      </w:r>
      <w:r>
        <w:rPr>
          <w:rFonts w:eastAsia="Calibri"/>
          <w:lang w:eastAsia="en-US"/>
        </w:rPr>
        <w:t xml:space="preserve">the situation </w:t>
      </w:r>
      <w:r w:rsidRPr="005F1F83">
        <w:rPr>
          <w:rFonts w:eastAsia="Calibri"/>
          <w:lang w:eastAsia="en-US"/>
        </w:rPr>
        <w:t>for claimants, Health New Zealand ha</w:t>
      </w:r>
      <w:r>
        <w:rPr>
          <w:rFonts w:eastAsia="Calibri"/>
          <w:lang w:eastAsia="en-US"/>
        </w:rPr>
        <w:t>s</w:t>
      </w:r>
      <w:r w:rsidRPr="005F1F83">
        <w:rPr>
          <w:rFonts w:eastAsia="Calibri"/>
          <w:lang w:eastAsia="en-US"/>
        </w:rPr>
        <w:t xml:space="preserve"> recently provided</w:t>
      </w:r>
      <w:r w:rsidRPr="005F1F83">
        <w:rPr>
          <w:rFonts w:eastAsia="Calibri"/>
          <w:kern w:val="2"/>
          <w:lang w:eastAsia="en-US"/>
          <w14:ligatures w14:val="standardContextual"/>
        </w:rPr>
        <w:t xml:space="preserve"> updated guidance</w:t>
      </w:r>
      <w:r w:rsidRPr="005F1F83">
        <w:rPr>
          <w:rFonts w:eastAsia="Calibri"/>
          <w:lang w:eastAsia="en-US"/>
        </w:rPr>
        <w:t xml:space="preserve"> </w:t>
      </w:r>
      <w:r>
        <w:rPr>
          <w:rFonts w:eastAsia="Calibri"/>
          <w:lang w:eastAsia="en-US"/>
        </w:rPr>
        <w:t>(Health New Zealand 2025)</w:t>
      </w:r>
      <w:r w:rsidRPr="005F1F83">
        <w:rPr>
          <w:rFonts w:eastAsia="Calibri"/>
          <w:kern w:val="2"/>
          <w:lang w:eastAsia="en-US"/>
          <w14:ligatures w14:val="standardContextual"/>
        </w:rPr>
        <w:t xml:space="preserve">. </w:t>
      </w:r>
    </w:p>
    <w:p w14:paraId="1C184E91" w14:textId="77777777" w:rsidR="00FA0B81" w:rsidRPr="005F1F83" w:rsidRDefault="00FA0B81" w:rsidP="00FA0B81">
      <w:pPr>
        <w:rPr>
          <w:rFonts w:eastAsia="Calibri"/>
          <w:kern w:val="2"/>
          <w:lang w:eastAsia="en-US" w:bidi="en-US"/>
          <w14:ligatures w14:val="standardContextual"/>
        </w:rPr>
      </w:pPr>
    </w:p>
    <w:p w14:paraId="11DEFDFE" w14:textId="6B8AD0D0" w:rsidR="00FA0B81" w:rsidRDefault="00FA0B81" w:rsidP="00FA0B81">
      <w:pPr>
        <w:rPr>
          <w:rFonts w:eastAsia="Calibri"/>
          <w:lang w:eastAsia="en-US"/>
        </w:rPr>
      </w:pPr>
      <w:r w:rsidRPr="005F1F83">
        <w:rPr>
          <w:rFonts w:eastAsia="Calibri"/>
          <w:lang w:eastAsia="en-US"/>
        </w:rPr>
        <w:t xml:space="preserve">The </w:t>
      </w:r>
      <w:r w:rsidRPr="00E52D9A">
        <w:rPr>
          <w:rFonts w:eastAsia="Calibri"/>
        </w:rPr>
        <w:t>Government Policy Statement on Health</w:t>
      </w:r>
      <w:r w:rsidRPr="005F1F83">
        <w:rPr>
          <w:rFonts w:eastAsia="Calibri"/>
          <w:lang w:eastAsia="en-US"/>
        </w:rPr>
        <w:t xml:space="preserve"> (Minister of Health 2024) broadly sets out the expectations for service delivery within the health system. </w:t>
      </w:r>
    </w:p>
    <w:p w14:paraId="4779A7FC" w14:textId="77777777" w:rsidR="00FA0B81" w:rsidRPr="005F1F83" w:rsidRDefault="00FA0B81" w:rsidP="00FA0B81">
      <w:pPr>
        <w:rPr>
          <w:rFonts w:eastAsia="Calibri"/>
          <w:lang w:eastAsia="en-US"/>
        </w:rPr>
      </w:pPr>
    </w:p>
    <w:p w14:paraId="32C2AA94" w14:textId="77777777" w:rsidR="00FA0B81" w:rsidRPr="005F1F83" w:rsidRDefault="00FA0B81" w:rsidP="00FA0B81">
      <w:pPr>
        <w:rPr>
          <w:rFonts w:eastAsia="Calibri"/>
          <w:lang w:eastAsia="en-US"/>
        </w:rPr>
      </w:pPr>
      <w:r w:rsidRPr="005F1F83">
        <w:rPr>
          <w:rFonts w:eastAsia="Calibri"/>
          <w:lang w:eastAsia="en-US"/>
        </w:rPr>
        <w:t xml:space="preserve">Included in this </w:t>
      </w:r>
      <w:r>
        <w:rPr>
          <w:rFonts w:eastAsia="Calibri"/>
          <w:lang w:eastAsia="en-US"/>
        </w:rPr>
        <w:t>are</w:t>
      </w:r>
      <w:r w:rsidRPr="005F1F83">
        <w:rPr>
          <w:rFonts w:eastAsia="Calibri"/>
          <w:lang w:eastAsia="en-US"/>
        </w:rPr>
        <w:t xml:space="preserve"> the following priorities: </w:t>
      </w:r>
    </w:p>
    <w:p w14:paraId="7116B72B" w14:textId="77777777" w:rsidR="00FA0B81" w:rsidRPr="005F1F83" w:rsidRDefault="00FA0B81" w:rsidP="00FA0B81">
      <w:pPr>
        <w:pStyle w:val="Bullet"/>
        <w:rPr>
          <w:rFonts w:eastAsia="Calibri"/>
          <w:lang w:eastAsia="en-US"/>
        </w:rPr>
      </w:pPr>
      <w:r w:rsidRPr="005F1F83">
        <w:rPr>
          <w:rFonts w:eastAsia="Calibri"/>
          <w:lang w:eastAsia="en-US"/>
        </w:rPr>
        <w:t>Access – ensuring all New Zealanders have equitable access to the health care services they need, no matter where they live.</w:t>
      </w:r>
    </w:p>
    <w:p w14:paraId="0F7DF0CC" w14:textId="77777777" w:rsidR="00FA0B81" w:rsidRPr="005F1F83" w:rsidRDefault="00FA0B81" w:rsidP="00FA0B81">
      <w:pPr>
        <w:pStyle w:val="Bullet"/>
        <w:rPr>
          <w:rFonts w:eastAsia="Calibri"/>
          <w:lang w:eastAsia="en-US"/>
        </w:rPr>
      </w:pPr>
      <w:r w:rsidRPr="005F1F83">
        <w:rPr>
          <w:rFonts w:eastAsia="Calibri"/>
          <w:lang w:eastAsia="en-US"/>
        </w:rPr>
        <w:t>Timeliness – making sure all New Zealanders can access these services in a prompt and efficient way.</w:t>
      </w:r>
    </w:p>
    <w:p w14:paraId="6D8B8578" w14:textId="77777777" w:rsidR="00FA0B81" w:rsidRPr="005F1F83" w:rsidRDefault="00FA0B81" w:rsidP="00FA0B81">
      <w:pPr>
        <w:pStyle w:val="Bullet"/>
        <w:rPr>
          <w:rFonts w:eastAsia="Calibri"/>
          <w:lang w:eastAsia="en-US"/>
        </w:rPr>
      </w:pPr>
      <w:r w:rsidRPr="005F1F83">
        <w:rPr>
          <w:rFonts w:eastAsia="Calibri"/>
          <w:lang w:eastAsia="en-US"/>
        </w:rPr>
        <w:t>Quality – ensuring New Zealand’s health care and services are safe, easy to navigate, understandable and welcoming to users, and are continuously improving.</w:t>
      </w:r>
    </w:p>
    <w:p w14:paraId="1C8C31C0" w14:textId="77777777" w:rsidR="00FA0B81" w:rsidRPr="005F1F83" w:rsidRDefault="00FA0B81" w:rsidP="00FA0B81">
      <w:pPr>
        <w:pStyle w:val="Bullet"/>
        <w:rPr>
          <w:rFonts w:eastAsia="Calibri"/>
          <w:lang w:eastAsia="en-US"/>
        </w:rPr>
      </w:pPr>
      <w:r w:rsidRPr="005F1F83">
        <w:rPr>
          <w:rFonts w:eastAsia="Calibri"/>
          <w:lang w:eastAsia="en-US"/>
        </w:rPr>
        <w:t>Workforce – having a skilled and culturally capable workforce who are accessible, responsive, and supported to deliver safe and effective health care.</w:t>
      </w:r>
    </w:p>
    <w:p w14:paraId="495D4E9E" w14:textId="77777777" w:rsidR="00FA0B81" w:rsidRPr="005F1F83" w:rsidRDefault="00FA0B81" w:rsidP="00FA0B81">
      <w:pPr>
        <w:pStyle w:val="Bullet"/>
        <w:rPr>
          <w:rFonts w:eastAsia="Calibri"/>
          <w:lang w:eastAsia="en-US"/>
        </w:rPr>
      </w:pPr>
      <w:r w:rsidRPr="005F1F83">
        <w:rPr>
          <w:rFonts w:eastAsia="Calibri"/>
          <w:lang w:eastAsia="en-US"/>
        </w:rPr>
        <w:t>Infrastructure – ensuring that the health system is resilient and has the digital and physical infrastructure it needs to meet people’s needs now and the future.</w:t>
      </w:r>
    </w:p>
    <w:p w14:paraId="06AA5A81" w14:textId="77777777" w:rsidR="00FA0B81" w:rsidRDefault="00FA0B81" w:rsidP="00FA0B81">
      <w:pPr>
        <w:rPr>
          <w:rFonts w:eastAsia="Calibri"/>
          <w:lang w:eastAsia="en-US"/>
        </w:rPr>
      </w:pPr>
    </w:p>
    <w:p w14:paraId="1B9DE243" w14:textId="505EBACA" w:rsidR="00FA0B81" w:rsidRDefault="00FA0B81" w:rsidP="00FA0B81">
      <w:pPr>
        <w:rPr>
          <w:rFonts w:eastAsia="Calibri"/>
          <w:kern w:val="2"/>
          <w:lang w:eastAsia="en-US"/>
          <w14:ligatures w14:val="standardContextual"/>
        </w:rPr>
      </w:pPr>
      <w:r w:rsidRPr="005F1F83">
        <w:rPr>
          <w:rFonts w:eastAsia="Calibri"/>
          <w:lang w:eastAsia="en-US"/>
        </w:rPr>
        <w:t>The Service Coverage Expectations</w:t>
      </w:r>
      <w:r>
        <w:rPr>
          <w:rFonts w:eastAsia="Calibri"/>
          <w:lang w:eastAsia="en-US"/>
        </w:rPr>
        <w:t xml:space="preserve"> (as part of the Government Policy Statement on Health)</w:t>
      </w:r>
      <w:r w:rsidRPr="005F1F83">
        <w:rPr>
          <w:rFonts w:eastAsia="Calibri"/>
          <w:lang w:eastAsia="en-US"/>
        </w:rPr>
        <w:t xml:space="preserve"> link with these priorities and specif</w:t>
      </w:r>
      <w:r>
        <w:rPr>
          <w:rFonts w:eastAsia="Calibri"/>
          <w:lang w:eastAsia="en-US"/>
        </w:rPr>
        <w:t>y</w:t>
      </w:r>
      <w:r w:rsidRPr="005F1F83">
        <w:rPr>
          <w:rFonts w:eastAsia="Calibri"/>
          <w:lang w:eastAsia="en-US"/>
        </w:rPr>
        <w:t xml:space="preserve"> how abortion health care services provided by Health New Zealand:</w:t>
      </w:r>
      <w:r w:rsidRPr="005F1F83">
        <w:rPr>
          <w:rFonts w:eastAsia="Calibri"/>
          <w:kern w:val="2"/>
          <w:lang w:eastAsia="en-US"/>
          <w14:ligatures w14:val="standardContextual"/>
        </w:rPr>
        <w:t xml:space="preserve"> </w:t>
      </w:r>
    </w:p>
    <w:p w14:paraId="5D30AC80" w14:textId="77777777" w:rsidR="00FA0B81" w:rsidRDefault="00FA0B81" w:rsidP="00FA0B81">
      <w:pPr>
        <w:rPr>
          <w:rFonts w:eastAsia="Calibri"/>
          <w:kern w:val="2"/>
          <w:lang w:eastAsia="en-US"/>
          <w14:ligatures w14:val="standardContextual"/>
        </w:rPr>
      </w:pPr>
    </w:p>
    <w:p w14:paraId="12FDD62C" w14:textId="6E8832D8" w:rsidR="00FA0B81" w:rsidRPr="005F1F83" w:rsidRDefault="00FA0B81" w:rsidP="00FA0B81">
      <w:pPr>
        <w:pStyle w:val="NormalIndent"/>
        <w:ind w:left="567"/>
      </w:pPr>
      <w:r w:rsidRPr="005F1F83">
        <w:t>Abortion services are funded for eligible people. This includes pre-abortion assessment (including laboratory tests and imaging as clinically indicated), counselling services and follow up. Early medical abortion services are available via telehealth/telemedicine</w:t>
      </w:r>
      <w:r>
        <w:t xml:space="preserve"> …</w:t>
      </w:r>
    </w:p>
    <w:p w14:paraId="2F0E0172" w14:textId="77777777" w:rsidR="00FA0B81" w:rsidRPr="005F1F83" w:rsidRDefault="00FA0B81" w:rsidP="00FA0B81">
      <w:pPr>
        <w:pStyle w:val="NormalIndent"/>
        <w:spacing w:after="0"/>
        <w:ind w:left="567"/>
        <w:rPr>
          <w:rFonts w:eastAsia="Calibri"/>
          <w:kern w:val="2"/>
          <w:lang w:eastAsia="en-US"/>
          <w14:ligatures w14:val="standardContextual"/>
        </w:rPr>
      </w:pPr>
      <w:r w:rsidRPr="005F1F83">
        <w:t>Where the abortion service is provided outside of the region where the person usually lives, the transport and accommodation costs for the person to access abortion</w:t>
      </w:r>
      <w:r>
        <w:t xml:space="preserve"> is funded …</w:t>
      </w:r>
    </w:p>
    <w:p w14:paraId="5DB53D19" w14:textId="77777777" w:rsidR="00FA0B81" w:rsidRDefault="00FA0B81" w:rsidP="00FA0B81">
      <w:pPr>
        <w:rPr>
          <w:rFonts w:eastAsia="Calibri"/>
          <w:lang w:eastAsia="en-US"/>
        </w:rPr>
      </w:pPr>
    </w:p>
    <w:p w14:paraId="475A3360" w14:textId="61FDB929" w:rsidR="00FA0B81" w:rsidRPr="005F1F83" w:rsidRDefault="00FA0B81" w:rsidP="00FA0B81">
      <w:pPr>
        <w:rPr>
          <w:rFonts w:eastAsia="Calibri"/>
          <w:lang w:eastAsia="en-US"/>
        </w:rPr>
      </w:pPr>
      <w:r w:rsidRPr="005F1F83">
        <w:rPr>
          <w:rFonts w:eastAsia="Calibri"/>
          <w:lang w:eastAsia="en-US"/>
        </w:rPr>
        <w:t xml:space="preserve">The Ministry is aware </w:t>
      </w:r>
      <w:r>
        <w:rPr>
          <w:rFonts w:eastAsia="Calibri"/>
          <w:lang w:eastAsia="en-US"/>
        </w:rPr>
        <w:t>of</w:t>
      </w:r>
      <w:r w:rsidRPr="005F1F83">
        <w:rPr>
          <w:rFonts w:eastAsia="Calibri"/>
          <w:lang w:eastAsia="en-US"/>
        </w:rPr>
        <w:t xml:space="preserve"> a funding issue for international students who may be seeking abortion care as their health insurance policies </w:t>
      </w:r>
      <w:r>
        <w:rPr>
          <w:rFonts w:eastAsia="Calibri"/>
          <w:lang w:eastAsia="en-US"/>
        </w:rPr>
        <w:t>may</w:t>
      </w:r>
      <w:r w:rsidRPr="005F1F83">
        <w:rPr>
          <w:rFonts w:eastAsia="Calibri"/>
          <w:lang w:eastAsia="en-US"/>
        </w:rPr>
        <w:t xml:space="preserve"> not cover abortion health care and they do not fall under the Health New Zealand eligibility criteria. This means that international students </w:t>
      </w:r>
      <w:r>
        <w:rPr>
          <w:rFonts w:eastAsia="Calibri"/>
          <w:lang w:eastAsia="en-US"/>
        </w:rPr>
        <w:t>may</w:t>
      </w:r>
      <w:r w:rsidRPr="005F1F83">
        <w:rPr>
          <w:rFonts w:eastAsia="Calibri"/>
          <w:lang w:eastAsia="en-US"/>
        </w:rPr>
        <w:t xml:space="preserve"> have to pay for their abortion health care and the</w:t>
      </w:r>
      <w:r>
        <w:rPr>
          <w:rFonts w:eastAsia="Calibri"/>
          <w:lang w:eastAsia="en-US"/>
        </w:rPr>
        <w:t>se</w:t>
      </w:r>
      <w:r w:rsidRPr="005F1F83">
        <w:rPr>
          <w:rFonts w:eastAsia="Calibri"/>
          <w:lang w:eastAsia="en-US"/>
        </w:rPr>
        <w:t xml:space="preserve"> costs can be prohibitive</w:t>
      </w:r>
      <w:r w:rsidRPr="005D13FF">
        <w:rPr>
          <w:rFonts w:eastAsia="Calibri"/>
          <w:lang w:eastAsia="en-US"/>
        </w:rPr>
        <w:t xml:space="preserve"> </w:t>
      </w:r>
      <w:r w:rsidRPr="005F1F83">
        <w:rPr>
          <w:rFonts w:eastAsia="Calibri"/>
          <w:lang w:eastAsia="en-US"/>
        </w:rPr>
        <w:t xml:space="preserve">for them. </w:t>
      </w:r>
    </w:p>
    <w:p w14:paraId="6A71D638" w14:textId="77777777" w:rsidR="00FA0B81" w:rsidRPr="005F1F83" w:rsidRDefault="00FA0B81" w:rsidP="00FA0B81">
      <w:pPr>
        <w:pStyle w:val="Heading3"/>
        <w:rPr>
          <w:rFonts w:ascii="Calibri" w:eastAsia="Calibri" w:hAnsi="Calibri" w:cs="Arial"/>
          <w:kern w:val="2"/>
          <w:sz w:val="22"/>
          <w:szCs w:val="22"/>
          <w:lang w:eastAsia="en-US"/>
          <w14:ligatures w14:val="standardContextual"/>
        </w:rPr>
      </w:pPr>
      <w:r>
        <w:rPr>
          <w:rFonts w:eastAsia="Yu Gothic Light"/>
          <w:lang w:eastAsia="en-US"/>
        </w:rPr>
        <w:t>Additional c</w:t>
      </w:r>
      <w:r w:rsidRPr="005F1F83">
        <w:rPr>
          <w:rFonts w:eastAsia="Yu Gothic Light"/>
          <w:lang w:eastAsia="en-US"/>
        </w:rPr>
        <w:t>ost</w:t>
      </w:r>
      <w:r>
        <w:rPr>
          <w:rFonts w:eastAsia="Yu Gothic Light"/>
          <w:lang w:eastAsia="en-US"/>
        </w:rPr>
        <w:t>s</w:t>
      </w:r>
    </w:p>
    <w:p w14:paraId="2C341536" w14:textId="77520BD8" w:rsidR="00FA0B81" w:rsidRDefault="00FA0B81" w:rsidP="00FA0B81">
      <w:pPr>
        <w:rPr>
          <w:rFonts w:eastAsia="Calibri"/>
          <w:lang w:eastAsia="en-US"/>
        </w:rPr>
      </w:pPr>
      <w:r>
        <w:rPr>
          <w:rFonts w:eastAsia="Calibri"/>
          <w:lang w:eastAsia="en-US"/>
        </w:rPr>
        <w:t xml:space="preserve">A </w:t>
      </w:r>
      <w:r w:rsidR="00312A7B">
        <w:rPr>
          <w:rFonts w:eastAsia="Calibri"/>
          <w:lang w:eastAsia="en-US"/>
        </w:rPr>
        <w:t>woman</w:t>
      </w:r>
      <w:r>
        <w:rPr>
          <w:rFonts w:eastAsia="Calibri"/>
          <w:lang w:eastAsia="en-US"/>
        </w:rPr>
        <w:t xml:space="preserve"> may face additional</w:t>
      </w:r>
      <w:r w:rsidRPr="005F1F83">
        <w:rPr>
          <w:rFonts w:eastAsia="Calibri"/>
          <w:lang w:eastAsia="en-US"/>
        </w:rPr>
        <w:t xml:space="preserve"> costs </w:t>
      </w:r>
      <w:r>
        <w:rPr>
          <w:rFonts w:eastAsia="Calibri"/>
          <w:lang w:eastAsia="en-US"/>
        </w:rPr>
        <w:t xml:space="preserve">related to an abortion, </w:t>
      </w:r>
      <w:r w:rsidRPr="005F1F83">
        <w:rPr>
          <w:rFonts w:eastAsia="Calibri"/>
          <w:lang w:eastAsia="en-US"/>
        </w:rPr>
        <w:t xml:space="preserve">depending on factors </w:t>
      </w:r>
      <w:r>
        <w:rPr>
          <w:rFonts w:eastAsia="Calibri"/>
          <w:lang w:eastAsia="en-US"/>
        </w:rPr>
        <w:t xml:space="preserve">such as </w:t>
      </w:r>
      <w:r w:rsidRPr="005F1F83">
        <w:rPr>
          <w:rFonts w:eastAsia="Calibri"/>
          <w:lang w:eastAsia="en-US"/>
        </w:rPr>
        <w:t xml:space="preserve">where </w:t>
      </w:r>
      <w:r>
        <w:rPr>
          <w:rFonts w:eastAsia="Calibri"/>
          <w:lang w:eastAsia="en-US"/>
        </w:rPr>
        <w:t xml:space="preserve">they </w:t>
      </w:r>
      <w:r w:rsidRPr="005F1F83">
        <w:rPr>
          <w:rFonts w:eastAsia="Calibri"/>
          <w:lang w:eastAsia="en-US"/>
        </w:rPr>
        <w:t>live, the type of abortion procedure</w:t>
      </w:r>
      <w:r>
        <w:rPr>
          <w:rFonts w:eastAsia="Calibri"/>
          <w:lang w:eastAsia="en-US"/>
        </w:rPr>
        <w:t xml:space="preserve"> involved and</w:t>
      </w:r>
      <w:r w:rsidRPr="005F1F83">
        <w:rPr>
          <w:rFonts w:eastAsia="Calibri"/>
          <w:lang w:eastAsia="en-US"/>
        </w:rPr>
        <w:t xml:space="preserve"> whether they have whānau support. </w:t>
      </w:r>
    </w:p>
    <w:p w14:paraId="4DF1ABD1" w14:textId="77777777" w:rsidR="00FA0B81" w:rsidRPr="005F1F83" w:rsidRDefault="00FA0B81" w:rsidP="00FA0B81">
      <w:pPr>
        <w:rPr>
          <w:rFonts w:eastAsia="Calibri"/>
          <w:lang w:eastAsia="en-US"/>
        </w:rPr>
      </w:pPr>
    </w:p>
    <w:p w14:paraId="651E7D8D" w14:textId="4B59479E" w:rsidR="00FA0B81" w:rsidRDefault="00FA0B81" w:rsidP="00FA0B81">
      <w:pPr>
        <w:rPr>
          <w:rFonts w:eastAsia="Calibri"/>
          <w:lang w:eastAsia="en-US"/>
        </w:rPr>
      </w:pPr>
      <w:r>
        <w:rPr>
          <w:rFonts w:eastAsia="Calibri"/>
          <w:lang w:eastAsia="en-US"/>
        </w:rPr>
        <w:t>In its survey of 124</w:t>
      </w:r>
      <w:r w:rsidRPr="005F1F83">
        <w:rPr>
          <w:rFonts w:eastAsia="Calibri"/>
          <w:lang w:eastAsia="en-US"/>
        </w:rPr>
        <w:t xml:space="preserve"> </w:t>
      </w:r>
      <w:proofErr w:type="spellStart"/>
      <w:r>
        <w:rPr>
          <w:rFonts w:eastAsia="Calibri"/>
          <w:lang w:eastAsia="en-US"/>
        </w:rPr>
        <w:t>w</w:t>
      </w:r>
      <w:r w:rsidRPr="005F1F83">
        <w:rPr>
          <w:rFonts w:eastAsia="Calibri"/>
          <w:lang w:eastAsia="en-US"/>
        </w:rPr>
        <w:t>āhine</w:t>
      </w:r>
      <w:proofErr w:type="spellEnd"/>
      <w:r>
        <w:rPr>
          <w:rFonts w:eastAsia="Calibri"/>
          <w:lang w:eastAsia="en-US"/>
        </w:rPr>
        <w:t xml:space="preserve">, </w:t>
      </w:r>
      <w:r>
        <w:t>National Centre for Women’s Health Research Aotearoa (2025) found</w:t>
      </w:r>
      <w:r w:rsidRPr="005F1F83">
        <w:rPr>
          <w:rFonts w:eastAsia="Calibri"/>
          <w:lang w:eastAsia="en-US"/>
        </w:rPr>
        <w:t xml:space="preserve"> that three-quarters of </w:t>
      </w:r>
      <w:r>
        <w:rPr>
          <w:rFonts w:eastAsia="Calibri"/>
          <w:lang w:eastAsia="en-US"/>
        </w:rPr>
        <w:t xml:space="preserve">respondents </w:t>
      </w:r>
      <w:r w:rsidRPr="005F1F83">
        <w:rPr>
          <w:rFonts w:eastAsia="Calibri"/>
          <w:lang w:eastAsia="en-US"/>
        </w:rPr>
        <w:t>(75.0%) reported not needing to pay for any part of the</w:t>
      </w:r>
      <w:r>
        <w:rPr>
          <w:rFonts w:eastAsia="Calibri"/>
          <w:lang w:eastAsia="en-US"/>
        </w:rPr>
        <w:t>ir</w:t>
      </w:r>
      <w:r w:rsidRPr="005F1F83">
        <w:rPr>
          <w:rFonts w:eastAsia="Calibri"/>
          <w:lang w:eastAsia="en-US"/>
        </w:rPr>
        <w:t xml:space="preserve"> abortion care</w:t>
      </w:r>
      <w:r>
        <w:rPr>
          <w:rFonts w:eastAsia="Calibri"/>
          <w:lang w:eastAsia="en-US"/>
        </w:rPr>
        <w:t>.</w:t>
      </w:r>
      <w:r w:rsidRPr="008E5ED1">
        <w:rPr>
          <w:rFonts w:eastAsia="Calibri"/>
          <w:lang w:eastAsia="en-US"/>
        </w:rPr>
        <w:t xml:space="preserve"> </w:t>
      </w:r>
      <w:r>
        <w:rPr>
          <w:rFonts w:eastAsia="Calibri"/>
          <w:lang w:eastAsia="en-US"/>
        </w:rPr>
        <w:t xml:space="preserve">The percentage was highest among Pacific women (88.2%). followed by </w:t>
      </w:r>
      <w:proofErr w:type="spellStart"/>
      <w:r>
        <w:rPr>
          <w:rFonts w:eastAsia="Calibri"/>
          <w:lang w:eastAsia="en-US"/>
        </w:rPr>
        <w:t>rangatahi</w:t>
      </w:r>
      <w:proofErr w:type="spellEnd"/>
      <w:r>
        <w:rPr>
          <w:rFonts w:eastAsia="Calibri"/>
          <w:lang w:eastAsia="en-US"/>
        </w:rPr>
        <w:t xml:space="preserve"> – young people (83.7%),</w:t>
      </w:r>
      <w:r w:rsidRPr="005F1F83">
        <w:rPr>
          <w:rFonts w:eastAsia="Calibri"/>
          <w:lang w:eastAsia="en-US"/>
        </w:rPr>
        <w:t xml:space="preserve"> </w:t>
      </w:r>
      <w:proofErr w:type="spellStart"/>
      <w:r>
        <w:rPr>
          <w:rFonts w:eastAsia="Calibri"/>
          <w:lang w:eastAsia="en-US"/>
        </w:rPr>
        <w:t>w</w:t>
      </w:r>
      <w:r w:rsidRPr="005F1F83">
        <w:rPr>
          <w:rFonts w:eastAsia="Calibri"/>
          <w:lang w:eastAsia="en-US"/>
        </w:rPr>
        <w:t>āhine</w:t>
      </w:r>
      <w:proofErr w:type="spellEnd"/>
      <w:r w:rsidRPr="005F1F83" w:rsidDel="008E5ED1">
        <w:rPr>
          <w:rFonts w:eastAsia="Calibri"/>
          <w:lang w:eastAsia="en-US"/>
        </w:rPr>
        <w:t xml:space="preserve"> </w:t>
      </w:r>
      <w:r w:rsidRPr="005F1F83">
        <w:rPr>
          <w:rFonts w:eastAsia="Calibri"/>
          <w:lang w:eastAsia="en-US"/>
        </w:rPr>
        <w:t>Māori (</w:t>
      </w:r>
      <w:r>
        <w:rPr>
          <w:rFonts w:eastAsia="Calibri"/>
          <w:lang w:eastAsia="en-US"/>
        </w:rPr>
        <w:t>76.3%</w:t>
      </w:r>
      <w:r w:rsidRPr="005F1F83">
        <w:rPr>
          <w:rFonts w:eastAsia="Calibri"/>
          <w:lang w:eastAsia="en-US"/>
        </w:rPr>
        <w:t>)</w:t>
      </w:r>
      <w:r>
        <w:rPr>
          <w:rFonts w:eastAsia="Calibri"/>
          <w:lang w:eastAsia="en-US"/>
        </w:rPr>
        <w:t xml:space="preserve"> and</w:t>
      </w:r>
      <w:r w:rsidRPr="005F1F83">
        <w:rPr>
          <w:rFonts w:eastAsia="Calibri"/>
          <w:lang w:eastAsia="en-US"/>
        </w:rPr>
        <w:t xml:space="preserve"> rural </w:t>
      </w:r>
      <w:proofErr w:type="spellStart"/>
      <w:r w:rsidRPr="005F1F83">
        <w:rPr>
          <w:rFonts w:eastAsia="Calibri"/>
          <w:lang w:eastAsia="en-US"/>
        </w:rPr>
        <w:t>wāhine</w:t>
      </w:r>
      <w:proofErr w:type="spellEnd"/>
      <w:r w:rsidRPr="005F1F83">
        <w:rPr>
          <w:rFonts w:eastAsia="Calibri"/>
          <w:lang w:eastAsia="en-US"/>
        </w:rPr>
        <w:t xml:space="preserve"> (</w:t>
      </w:r>
      <w:r>
        <w:rPr>
          <w:rFonts w:eastAsia="Calibri"/>
          <w:lang w:eastAsia="en-US"/>
        </w:rPr>
        <w:t>70.0%</w:t>
      </w:r>
      <w:r w:rsidRPr="005F1F83">
        <w:rPr>
          <w:rFonts w:eastAsia="Calibri"/>
          <w:lang w:eastAsia="en-US"/>
        </w:rPr>
        <w:t>).</w:t>
      </w:r>
    </w:p>
    <w:p w14:paraId="3B1D584F" w14:textId="77777777" w:rsidR="00FA0B81" w:rsidRPr="005F1F83" w:rsidRDefault="00FA0B81" w:rsidP="00FA0B81">
      <w:pPr>
        <w:rPr>
          <w:rFonts w:eastAsia="Calibri"/>
          <w:lang w:eastAsia="en-US"/>
        </w:rPr>
      </w:pPr>
    </w:p>
    <w:p w14:paraId="5DC36842" w14:textId="6FD1955B" w:rsidR="00FA0B81" w:rsidRDefault="00FA0B81" w:rsidP="00FA0B81">
      <w:pPr>
        <w:rPr>
          <w:rFonts w:eastAsia="Calibri"/>
          <w:lang w:eastAsia="en-US"/>
        </w:rPr>
      </w:pPr>
      <w:r>
        <w:rPr>
          <w:rFonts w:eastAsia="Calibri"/>
          <w:lang w:eastAsia="en-US"/>
        </w:rPr>
        <w:t>T</w:t>
      </w:r>
      <w:r w:rsidRPr="005F1F83">
        <w:rPr>
          <w:rFonts w:eastAsia="Calibri"/>
          <w:lang w:eastAsia="en-US"/>
        </w:rPr>
        <w:t xml:space="preserve">he most common part of abortion care that </w:t>
      </w:r>
      <w:proofErr w:type="spellStart"/>
      <w:r w:rsidRPr="005F1F83">
        <w:rPr>
          <w:rFonts w:eastAsia="Calibri"/>
          <w:lang w:eastAsia="en-US"/>
        </w:rPr>
        <w:t>wāhine</w:t>
      </w:r>
      <w:proofErr w:type="spellEnd"/>
      <w:r w:rsidRPr="005F1F83">
        <w:rPr>
          <w:rFonts w:eastAsia="Calibri"/>
          <w:lang w:eastAsia="en-US"/>
        </w:rPr>
        <w:t xml:space="preserve"> pa</w:t>
      </w:r>
      <w:r>
        <w:rPr>
          <w:rFonts w:eastAsia="Calibri"/>
          <w:lang w:eastAsia="en-US"/>
        </w:rPr>
        <w:t>id</w:t>
      </w:r>
      <w:r w:rsidRPr="005F1F83">
        <w:rPr>
          <w:rFonts w:eastAsia="Calibri"/>
          <w:lang w:eastAsia="en-US"/>
        </w:rPr>
        <w:t xml:space="preserve"> for </w:t>
      </w:r>
      <w:r>
        <w:rPr>
          <w:rFonts w:eastAsia="Calibri"/>
          <w:lang w:eastAsia="en-US"/>
        </w:rPr>
        <w:t xml:space="preserve">was ultrasound </w:t>
      </w:r>
      <w:r w:rsidRPr="005F1F83">
        <w:rPr>
          <w:rFonts w:eastAsia="Calibri"/>
          <w:lang w:eastAsia="en-US"/>
        </w:rPr>
        <w:t>(</w:t>
      </w:r>
      <w:r>
        <w:rPr>
          <w:rFonts w:eastAsia="Calibri"/>
          <w:lang w:eastAsia="en-US"/>
        </w:rPr>
        <w:t xml:space="preserve">as reported by </w:t>
      </w:r>
      <w:r w:rsidRPr="005F1F83">
        <w:rPr>
          <w:rFonts w:eastAsia="Calibri"/>
          <w:lang w:eastAsia="en-US"/>
        </w:rPr>
        <w:t>21.8%)</w:t>
      </w:r>
      <w:r>
        <w:rPr>
          <w:rFonts w:eastAsia="Calibri"/>
          <w:lang w:eastAsia="en-US"/>
        </w:rPr>
        <w:t>.</w:t>
      </w:r>
      <w:r w:rsidRPr="005F1F83">
        <w:rPr>
          <w:rFonts w:eastAsia="Calibri"/>
          <w:lang w:eastAsia="en-US"/>
        </w:rPr>
        <w:t xml:space="preserve"> </w:t>
      </w:r>
      <w:r>
        <w:rPr>
          <w:rFonts w:eastAsia="Calibri"/>
          <w:lang w:eastAsia="en-US"/>
        </w:rPr>
        <w:t>A few paid</w:t>
      </w:r>
      <w:r w:rsidRPr="005F1F83">
        <w:rPr>
          <w:rFonts w:eastAsia="Calibri"/>
          <w:lang w:eastAsia="en-US"/>
        </w:rPr>
        <w:t xml:space="preserve"> for a referral </w:t>
      </w:r>
      <w:r>
        <w:rPr>
          <w:rFonts w:eastAsia="Calibri"/>
          <w:lang w:eastAsia="en-US"/>
        </w:rPr>
        <w:t>to</w:t>
      </w:r>
      <w:r w:rsidRPr="005F1F83">
        <w:rPr>
          <w:rFonts w:eastAsia="Calibri"/>
          <w:lang w:eastAsia="en-US"/>
        </w:rPr>
        <w:t xml:space="preserve"> abortion </w:t>
      </w:r>
      <w:r>
        <w:rPr>
          <w:rFonts w:eastAsia="Calibri"/>
          <w:lang w:eastAsia="en-US"/>
        </w:rPr>
        <w:t xml:space="preserve">or for </w:t>
      </w:r>
      <w:r w:rsidRPr="005F1F83">
        <w:rPr>
          <w:rFonts w:eastAsia="Calibri"/>
          <w:lang w:eastAsia="en-US"/>
        </w:rPr>
        <w:t>contraception after the abortion (3.2%</w:t>
      </w:r>
      <w:r>
        <w:rPr>
          <w:rFonts w:eastAsia="Calibri"/>
          <w:lang w:eastAsia="en-US"/>
        </w:rPr>
        <w:t xml:space="preserve"> in each case</w:t>
      </w:r>
      <w:r w:rsidRPr="005F1F83">
        <w:rPr>
          <w:rFonts w:eastAsia="Calibri"/>
          <w:lang w:eastAsia="en-US"/>
        </w:rPr>
        <w:t xml:space="preserve">). </w:t>
      </w:r>
    </w:p>
    <w:p w14:paraId="565BA8E9" w14:textId="77777777" w:rsidR="00FA0B81" w:rsidRPr="005F1F83" w:rsidRDefault="00FA0B81" w:rsidP="00FA0B81">
      <w:pPr>
        <w:rPr>
          <w:rFonts w:eastAsia="Calibri"/>
          <w:kern w:val="2"/>
          <w:lang w:eastAsia="en-US"/>
          <w14:ligatures w14:val="standardContextual"/>
        </w:rPr>
      </w:pPr>
    </w:p>
    <w:p w14:paraId="2C83843E" w14:textId="50336C11" w:rsidR="00FA0B81" w:rsidRDefault="00FA0B81" w:rsidP="00FA0B81">
      <w:pPr>
        <w:rPr>
          <w:rFonts w:eastAsia="Calibri"/>
          <w:lang w:eastAsia="en-US"/>
        </w:rPr>
      </w:pPr>
      <w:r w:rsidRPr="005F1F83">
        <w:rPr>
          <w:rFonts w:eastAsia="Calibri"/>
          <w:lang w:eastAsia="en-US"/>
        </w:rPr>
        <w:t xml:space="preserve">Transport costs, travel time, childcare, taking time off work and parking are some of the costs that can add a significant financial burden for a </w:t>
      </w:r>
      <w:r w:rsidR="003E444C">
        <w:rPr>
          <w:rFonts w:eastAsia="Calibri"/>
          <w:lang w:eastAsia="en-US"/>
        </w:rPr>
        <w:t>woman</w:t>
      </w:r>
      <w:r w:rsidRPr="005F1F83">
        <w:rPr>
          <w:rFonts w:eastAsia="Calibri"/>
          <w:lang w:eastAsia="en-US"/>
        </w:rPr>
        <w:t xml:space="preserve"> seeking an abortion, especially if they live rurally or remotely. </w:t>
      </w:r>
      <w:r>
        <w:rPr>
          <w:rFonts w:eastAsia="Calibri"/>
          <w:lang w:eastAsia="en-US"/>
        </w:rPr>
        <w:t xml:space="preserve">In </w:t>
      </w:r>
      <w:r w:rsidRPr="005F1F83">
        <w:rPr>
          <w:rFonts w:eastAsia="Calibri"/>
          <w:lang w:eastAsia="en-US"/>
        </w:rPr>
        <w:t>some regions</w:t>
      </w:r>
      <w:r>
        <w:rPr>
          <w:rFonts w:eastAsia="Calibri"/>
          <w:lang w:eastAsia="en-US"/>
        </w:rPr>
        <w:t>,</w:t>
      </w:r>
      <w:r w:rsidRPr="005F1F83">
        <w:rPr>
          <w:rFonts w:eastAsia="Calibri"/>
          <w:lang w:eastAsia="en-US"/>
        </w:rPr>
        <w:t xml:space="preserve"> abortion services are limited or not available at all locally</w:t>
      </w:r>
      <w:r>
        <w:rPr>
          <w:rFonts w:eastAsia="Calibri"/>
          <w:lang w:eastAsia="en-US"/>
        </w:rPr>
        <w:t>, with the result that</w:t>
      </w:r>
      <w:r w:rsidRPr="005F1F83">
        <w:rPr>
          <w:rFonts w:eastAsia="Calibri"/>
          <w:lang w:eastAsia="en-US"/>
        </w:rPr>
        <w:t xml:space="preserve"> </w:t>
      </w:r>
      <w:r w:rsidR="003E444C">
        <w:rPr>
          <w:rFonts w:eastAsia="Calibri"/>
          <w:lang w:eastAsia="en-US"/>
        </w:rPr>
        <w:t>wom</w:t>
      </w:r>
      <w:r w:rsidR="00A147E7">
        <w:rPr>
          <w:rFonts w:eastAsia="Calibri"/>
          <w:lang w:eastAsia="en-US"/>
        </w:rPr>
        <w:t>e</w:t>
      </w:r>
      <w:r w:rsidR="003E444C">
        <w:rPr>
          <w:rFonts w:eastAsia="Calibri"/>
          <w:lang w:eastAsia="en-US"/>
        </w:rPr>
        <w:t>n</w:t>
      </w:r>
      <w:r w:rsidR="003E444C" w:rsidRPr="005F1F83" w:rsidDel="003E444C">
        <w:rPr>
          <w:rFonts w:eastAsia="Calibri"/>
          <w:lang w:eastAsia="en-US"/>
        </w:rPr>
        <w:t xml:space="preserve"> </w:t>
      </w:r>
      <w:r w:rsidR="00431415">
        <w:rPr>
          <w:rFonts w:eastAsia="Calibri"/>
          <w:lang w:eastAsia="en-US"/>
        </w:rPr>
        <w:t xml:space="preserve">have </w:t>
      </w:r>
      <w:r w:rsidRPr="005F1F83">
        <w:rPr>
          <w:rFonts w:eastAsia="Calibri"/>
          <w:lang w:eastAsia="en-US"/>
        </w:rPr>
        <w:t xml:space="preserve">to travel out of area for the service. Additionally, in instances where the </w:t>
      </w:r>
      <w:r w:rsidR="00F77E4D">
        <w:rPr>
          <w:rFonts w:eastAsia="Calibri"/>
          <w:lang w:eastAsia="en-US"/>
        </w:rPr>
        <w:t>woman</w:t>
      </w:r>
      <w:r w:rsidR="00F77E4D" w:rsidRPr="005F1F83" w:rsidDel="00F77E4D">
        <w:rPr>
          <w:rFonts w:eastAsia="Calibri"/>
          <w:lang w:eastAsia="en-US"/>
        </w:rPr>
        <w:t xml:space="preserve"> </w:t>
      </w:r>
      <w:r w:rsidRPr="005F1F83">
        <w:rPr>
          <w:rFonts w:eastAsia="Calibri"/>
          <w:lang w:eastAsia="en-US"/>
        </w:rPr>
        <w:t xml:space="preserve">consults a GP clinic as a first point of contact, </w:t>
      </w:r>
      <w:r>
        <w:rPr>
          <w:rFonts w:eastAsia="Calibri"/>
          <w:lang w:eastAsia="en-US"/>
        </w:rPr>
        <w:t>they must</w:t>
      </w:r>
      <w:r w:rsidRPr="005F1F83">
        <w:rPr>
          <w:rFonts w:eastAsia="Calibri"/>
          <w:lang w:eastAsia="en-US"/>
        </w:rPr>
        <w:t xml:space="preserve"> often </w:t>
      </w:r>
      <w:r>
        <w:rPr>
          <w:rFonts w:eastAsia="Calibri"/>
          <w:lang w:eastAsia="en-US"/>
        </w:rPr>
        <w:t xml:space="preserve">pay </w:t>
      </w:r>
      <w:r w:rsidRPr="005F1F83">
        <w:rPr>
          <w:rFonts w:eastAsia="Calibri"/>
          <w:lang w:eastAsia="en-US"/>
        </w:rPr>
        <w:t xml:space="preserve">the consultation fee. </w:t>
      </w:r>
    </w:p>
    <w:p w14:paraId="6664E220" w14:textId="77777777" w:rsidR="00FA0B81" w:rsidRPr="005F1F83" w:rsidRDefault="00FA0B81" w:rsidP="00FA0B81">
      <w:pPr>
        <w:rPr>
          <w:rFonts w:eastAsia="Calibri"/>
          <w:lang w:eastAsia="en-US"/>
        </w:rPr>
      </w:pPr>
    </w:p>
    <w:p w14:paraId="4C751750" w14:textId="77777777" w:rsidR="00FA0B81" w:rsidRDefault="00FA0B81" w:rsidP="00FA0B81">
      <w:pPr>
        <w:rPr>
          <w:rFonts w:eastAsia="Calibri"/>
        </w:rPr>
      </w:pPr>
      <w:r>
        <w:rPr>
          <w:rFonts w:eastAsia="Calibri"/>
        </w:rPr>
        <w:t xml:space="preserve">Other potential </w:t>
      </w:r>
      <w:r w:rsidRPr="005F1F83">
        <w:rPr>
          <w:rFonts w:eastAsia="Calibri"/>
        </w:rPr>
        <w:t xml:space="preserve">costs </w:t>
      </w:r>
      <w:r>
        <w:rPr>
          <w:rFonts w:eastAsia="Calibri"/>
        </w:rPr>
        <w:t xml:space="preserve">are </w:t>
      </w:r>
      <w:r w:rsidRPr="005F1F83">
        <w:rPr>
          <w:rFonts w:eastAsia="Calibri"/>
        </w:rPr>
        <w:t>for</w:t>
      </w:r>
      <w:r>
        <w:rPr>
          <w:rFonts w:eastAsia="Calibri"/>
        </w:rPr>
        <w:t>:</w:t>
      </w:r>
    </w:p>
    <w:p w14:paraId="430C3B45" w14:textId="77777777" w:rsidR="00FA0B81" w:rsidRDefault="00FA0B81" w:rsidP="00FA0B81">
      <w:pPr>
        <w:pStyle w:val="Bullet"/>
        <w:rPr>
          <w:rFonts w:eastAsia="Calibri"/>
        </w:rPr>
      </w:pPr>
      <w:r w:rsidRPr="005F1F83">
        <w:rPr>
          <w:rFonts w:eastAsia="Calibri"/>
        </w:rPr>
        <w:t>obtaining a pregnancy test kit from a pharmacy or supermarket</w:t>
      </w:r>
    </w:p>
    <w:p w14:paraId="474A8C6D" w14:textId="77777777" w:rsidR="00FA0B81" w:rsidRDefault="00FA0B81" w:rsidP="00FA0B81">
      <w:pPr>
        <w:pStyle w:val="Bullet"/>
        <w:rPr>
          <w:rFonts w:eastAsia="Calibri"/>
        </w:rPr>
      </w:pPr>
      <w:r w:rsidRPr="005F1F83">
        <w:rPr>
          <w:rFonts w:eastAsia="Calibri"/>
        </w:rPr>
        <w:t>prescription medicine</w:t>
      </w:r>
      <w:r>
        <w:rPr>
          <w:rFonts w:eastAsia="Calibri"/>
        </w:rPr>
        <w:t>s</w:t>
      </w:r>
      <w:r w:rsidRPr="005F1F83">
        <w:rPr>
          <w:rFonts w:eastAsia="Calibri"/>
        </w:rPr>
        <w:t>, which may include the two medicines for an EMA and possibly pain relief (as well as a consultation cost to obtain a prescription)</w:t>
      </w:r>
    </w:p>
    <w:p w14:paraId="11F9FA95" w14:textId="77777777" w:rsidR="00FA0B81" w:rsidRDefault="00FA0B81" w:rsidP="00FA0B81">
      <w:pPr>
        <w:pStyle w:val="Bullet"/>
        <w:rPr>
          <w:rFonts w:eastAsia="Calibri"/>
        </w:rPr>
      </w:pPr>
      <w:r w:rsidRPr="005F1F83">
        <w:rPr>
          <w:rFonts w:eastAsia="Calibri"/>
        </w:rPr>
        <w:t xml:space="preserve">contraception </w:t>
      </w:r>
      <w:r>
        <w:rPr>
          <w:rFonts w:eastAsia="Calibri"/>
        </w:rPr>
        <w:t xml:space="preserve">following </w:t>
      </w:r>
      <w:r w:rsidRPr="005F1F83">
        <w:rPr>
          <w:rFonts w:eastAsia="Calibri"/>
        </w:rPr>
        <w:t xml:space="preserve">the abortion. </w:t>
      </w:r>
    </w:p>
    <w:p w14:paraId="125C0D1F" w14:textId="77777777" w:rsidR="00FA0B81" w:rsidRDefault="00FA0B81" w:rsidP="00FA0B81">
      <w:pPr>
        <w:rPr>
          <w:rFonts w:eastAsia="Calibri"/>
        </w:rPr>
      </w:pPr>
    </w:p>
    <w:p w14:paraId="3E0ED675" w14:textId="707024EB" w:rsidR="00FA0B81" w:rsidRDefault="00FA0B81" w:rsidP="00FA0B81">
      <w:pPr>
        <w:rPr>
          <w:rFonts w:eastAsia="Calibri"/>
        </w:rPr>
      </w:pPr>
      <w:r w:rsidRPr="005F1F83">
        <w:rPr>
          <w:rFonts w:eastAsia="Calibri"/>
        </w:rPr>
        <w:t xml:space="preserve">These </w:t>
      </w:r>
      <w:r>
        <w:rPr>
          <w:rFonts w:eastAsia="Calibri"/>
        </w:rPr>
        <w:t xml:space="preserve">costs can </w:t>
      </w:r>
      <w:r w:rsidRPr="005F1F83">
        <w:rPr>
          <w:rFonts w:eastAsia="Calibri"/>
        </w:rPr>
        <w:t xml:space="preserve">present barriers for someone seeking an abortion and potentially leave them vulnerable </w:t>
      </w:r>
      <w:r>
        <w:rPr>
          <w:rFonts w:eastAsia="Calibri"/>
        </w:rPr>
        <w:t>to</w:t>
      </w:r>
      <w:r w:rsidRPr="005F1F83">
        <w:rPr>
          <w:rFonts w:eastAsia="Calibri"/>
        </w:rPr>
        <w:t xml:space="preserve"> a further pregnancy if contraception is too expensive at the time.</w:t>
      </w:r>
    </w:p>
    <w:p w14:paraId="1945303A" w14:textId="77777777" w:rsidR="00FA0B81" w:rsidRPr="005F1F83" w:rsidRDefault="00FA0B81" w:rsidP="00FA0B81">
      <w:pPr>
        <w:rPr>
          <w:rFonts w:eastAsia="Calibri"/>
        </w:rPr>
      </w:pPr>
    </w:p>
    <w:p w14:paraId="5A462669" w14:textId="52723DB5" w:rsidR="00FA0B81" w:rsidRDefault="00FA0B81" w:rsidP="00FA0B81">
      <w:pPr>
        <w:rPr>
          <w:rFonts w:eastAsia="Calibri"/>
          <w:lang w:eastAsia="en-US"/>
        </w:rPr>
      </w:pPr>
      <w:r w:rsidRPr="005F1F83">
        <w:rPr>
          <w:rFonts w:eastAsia="Calibri"/>
          <w:lang w:eastAsia="en-US"/>
        </w:rPr>
        <w:t xml:space="preserve">Additional costs are particularly pertinent for </w:t>
      </w:r>
      <w:r w:rsidR="00982B8D">
        <w:rPr>
          <w:rFonts w:eastAsia="Calibri"/>
        </w:rPr>
        <w:t xml:space="preserve">women </w:t>
      </w:r>
      <w:r w:rsidRPr="005F1F83">
        <w:rPr>
          <w:rFonts w:eastAsia="Calibri"/>
          <w:lang w:eastAsia="en-US"/>
        </w:rPr>
        <w:t xml:space="preserve">who opt for surgical abortions or seek an abortion at </w:t>
      </w:r>
      <w:r w:rsidRPr="00D40179">
        <w:rPr>
          <w:rFonts w:eastAsia="Calibri"/>
          <w:lang w:eastAsia="en-US"/>
        </w:rPr>
        <w:t>a later</w:t>
      </w:r>
      <w:r w:rsidRPr="005F1F83">
        <w:rPr>
          <w:rFonts w:eastAsia="Calibri"/>
          <w:lang w:eastAsia="en-US"/>
        </w:rPr>
        <w:t xml:space="preserve"> gestation as these services are often not available at all in rural or remote locations. Locations that have higher costs associated with an abortion affect </w:t>
      </w:r>
      <w:r w:rsidR="00982B8D">
        <w:rPr>
          <w:rFonts w:eastAsia="Calibri"/>
        </w:rPr>
        <w:t>women</w:t>
      </w:r>
      <w:r w:rsidRPr="005F1F83">
        <w:rPr>
          <w:rFonts w:eastAsia="Calibri"/>
          <w:lang w:eastAsia="en-US"/>
        </w:rPr>
        <w:t xml:space="preserve"> of lower socioeconomic background disproportionately. </w:t>
      </w:r>
    </w:p>
    <w:p w14:paraId="4E7A073E" w14:textId="77777777" w:rsidR="00FA0B81" w:rsidRPr="005F1F83" w:rsidRDefault="00FA0B81" w:rsidP="00FA0B81">
      <w:pPr>
        <w:rPr>
          <w:rFonts w:eastAsia="Calibri"/>
          <w:lang w:eastAsia="en-US"/>
        </w:rPr>
      </w:pPr>
    </w:p>
    <w:bookmarkEnd w:id="115"/>
    <w:p w14:paraId="503C772A" w14:textId="1441B0D8" w:rsidR="00FA0B81" w:rsidRDefault="00FA0B81" w:rsidP="00FA0B81">
      <w:pPr>
        <w:rPr>
          <w:rFonts w:eastAsia="Calibri"/>
          <w:lang w:eastAsia="en-US"/>
        </w:rPr>
      </w:pPr>
      <w:r w:rsidRPr="005F1F83">
        <w:rPr>
          <w:rFonts w:eastAsia="Calibri"/>
          <w:lang w:eastAsia="en-US"/>
        </w:rPr>
        <w:t>Costs may also arise as part of the follow</w:t>
      </w:r>
      <w:r>
        <w:rPr>
          <w:rFonts w:eastAsia="Calibri"/>
          <w:lang w:eastAsia="en-US"/>
        </w:rPr>
        <w:t>-</w:t>
      </w:r>
      <w:r w:rsidRPr="005F1F83">
        <w:rPr>
          <w:rFonts w:eastAsia="Calibri"/>
          <w:lang w:eastAsia="en-US"/>
        </w:rPr>
        <w:t>up appointment with a GP or other health professional.</w:t>
      </w:r>
    </w:p>
    <w:p w14:paraId="372A0997" w14:textId="77777777" w:rsidR="00FA0B81" w:rsidRPr="005F1F83" w:rsidRDefault="00FA0B81" w:rsidP="00FA0B81">
      <w:pPr>
        <w:rPr>
          <w:rFonts w:eastAsia="Calibri"/>
          <w:i/>
          <w:iCs/>
          <w:lang w:eastAsia="en-US"/>
        </w:rPr>
      </w:pPr>
    </w:p>
    <w:p w14:paraId="46C533A8" w14:textId="165B91C5" w:rsidR="00A42BAE" w:rsidRDefault="00A42BAE" w:rsidP="00A42BAE"/>
    <w:p w14:paraId="51F3EEF5" w14:textId="3B839A87" w:rsidR="00A42BAE" w:rsidRDefault="00A42BAE" w:rsidP="00A42BAE"/>
    <w:p w14:paraId="42CC01C9" w14:textId="6D8AA039" w:rsidR="00A42BAE" w:rsidRDefault="00A42BAE" w:rsidP="00A42BAE"/>
    <w:p w14:paraId="7A31A61C" w14:textId="65CF06C8" w:rsidR="00A42BAE" w:rsidRDefault="00A42BAE" w:rsidP="00A42BAE">
      <w:pPr>
        <w:pStyle w:val="Shadedboxtext"/>
      </w:pPr>
      <w:r w:rsidRPr="00A42BAE">
        <w:t xml:space="preserve">‘We live in a geographically isolated </w:t>
      </w:r>
      <w:proofErr w:type="gramStart"/>
      <w:r w:rsidRPr="00A42BAE">
        <w:t>area</w:t>
      </w:r>
      <w:proofErr w:type="gramEnd"/>
      <w:r w:rsidRPr="00A42BAE">
        <w:t xml:space="preserve"> so the transport is huge for women, huge … [if] a woman that has three kids or two kids or a child to then ask them to go somewhere else and then somewhere else again; bloods somewhere else, a scan somewhere else and then come back, it’s unreasonable. It really is unreasonable, it’s unfair. We’re talking about equity, and there’s no equity.’ Health care provider (National Centre for Women’s Health Research Aotearoa 2025)</w:t>
      </w:r>
    </w:p>
    <w:p w14:paraId="15834882" w14:textId="77777777" w:rsidR="00FA0B81" w:rsidRPr="005F1F83" w:rsidRDefault="00FA0B81" w:rsidP="00FA0B81">
      <w:pPr>
        <w:pStyle w:val="Heading4"/>
        <w:rPr>
          <w:rFonts w:eastAsia="Calibri"/>
          <w:lang w:eastAsia="en-US"/>
        </w:rPr>
      </w:pPr>
      <w:r w:rsidRPr="005F1F83">
        <w:rPr>
          <w:rFonts w:eastAsia="Calibri"/>
          <w:lang w:eastAsia="en-US"/>
        </w:rPr>
        <w:t>Ultrasounds</w:t>
      </w:r>
    </w:p>
    <w:p w14:paraId="6881544D" w14:textId="76EB6721" w:rsidR="00FA0B81" w:rsidRDefault="00FA0B81" w:rsidP="00FA0B81">
      <w:pPr>
        <w:rPr>
          <w:rFonts w:eastAsia="Calibri"/>
          <w:lang w:eastAsia="en-US"/>
        </w:rPr>
      </w:pPr>
      <w:r w:rsidRPr="005F1F83">
        <w:rPr>
          <w:rFonts w:eastAsia="Calibri"/>
          <w:lang w:eastAsia="en-US"/>
        </w:rPr>
        <w:t xml:space="preserve">The clinical guidelines note that ultrasound is one of the options for confirming pregnancy (especially in </w:t>
      </w:r>
      <w:r>
        <w:rPr>
          <w:rFonts w:eastAsia="Calibri"/>
          <w:lang w:eastAsia="en-US"/>
        </w:rPr>
        <w:t>EMA</w:t>
      </w:r>
      <w:r w:rsidRPr="005F1F83">
        <w:rPr>
          <w:rFonts w:eastAsia="Calibri"/>
          <w:lang w:eastAsia="en-US"/>
        </w:rPr>
        <w:t>) but is not required in all cases. Despite this</w:t>
      </w:r>
      <w:r>
        <w:rPr>
          <w:rFonts w:eastAsia="Calibri"/>
          <w:lang w:eastAsia="en-US"/>
        </w:rPr>
        <w:t>,</w:t>
      </w:r>
      <w:r w:rsidRPr="005F1F83">
        <w:rPr>
          <w:rFonts w:eastAsia="Calibri"/>
          <w:lang w:eastAsia="en-US"/>
        </w:rPr>
        <w:t xml:space="preserve"> the Ministry is aware that </w:t>
      </w:r>
      <w:r w:rsidRPr="005F1F83" w:rsidDel="00066FDC">
        <w:rPr>
          <w:rFonts w:eastAsia="Calibri"/>
          <w:lang w:eastAsia="en-US"/>
        </w:rPr>
        <w:t xml:space="preserve">some </w:t>
      </w:r>
      <w:r w:rsidRPr="005F1F83">
        <w:rPr>
          <w:rFonts w:eastAsia="Calibri"/>
          <w:lang w:eastAsia="en-US"/>
        </w:rPr>
        <w:t xml:space="preserve">providers require </w:t>
      </w:r>
      <w:r w:rsidR="00982B8D">
        <w:rPr>
          <w:rFonts w:eastAsia="Calibri"/>
        </w:rPr>
        <w:t>women</w:t>
      </w:r>
      <w:r w:rsidRPr="005F1F83">
        <w:rPr>
          <w:rFonts w:eastAsia="Calibri"/>
          <w:lang w:eastAsia="en-US"/>
        </w:rPr>
        <w:t xml:space="preserve"> to </w:t>
      </w:r>
      <w:r>
        <w:rPr>
          <w:rFonts w:eastAsia="Calibri"/>
          <w:lang w:eastAsia="en-US"/>
        </w:rPr>
        <w:t>have an</w:t>
      </w:r>
      <w:r w:rsidRPr="005F1F83">
        <w:rPr>
          <w:rFonts w:eastAsia="Calibri"/>
          <w:lang w:eastAsia="en-US"/>
        </w:rPr>
        <w:t xml:space="preserve"> ultrasound </w:t>
      </w:r>
      <w:r>
        <w:rPr>
          <w:rFonts w:eastAsia="Calibri"/>
          <w:lang w:eastAsia="en-US"/>
        </w:rPr>
        <w:t xml:space="preserve">before receiving </w:t>
      </w:r>
      <w:r w:rsidRPr="005F1F83">
        <w:rPr>
          <w:rFonts w:eastAsia="Calibri"/>
          <w:lang w:eastAsia="en-US"/>
        </w:rPr>
        <w:t xml:space="preserve">abortion care, even if it is not clinically indicated.  </w:t>
      </w:r>
    </w:p>
    <w:p w14:paraId="225838A2" w14:textId="77777777" w:rsidR="00FA0B81" w:rsidRPr="005F1F83" w:rsidRDefault="00FA0B81" w:rsidP="00FA0B81">
      <w:pPr>
        <w:rPr>
          <w:rFonts w:eastAsia="Calibri"/>
          <w:lang w:eastAsia="en-US"/>
        </w:rPr>
      </w:pPr>
    </w:p>
    <w:p w14:paraId="448C0D33" w14:textId="2D817219" w:rsidR="00FA0B81" w:rsidRDefault="00FA0B81" w:rsidP="00FA0B81">
      <w:pPr>
        <w:rPr>
          <w:rFonts w:eastAsia="Calibri"/>
          <w:lang w:eastAsia="en-US" w:bidi="en-US"/>
        </w:rPr>
      </w:pPr>
      <w:r>
        <w:rPr>
          <w:rFonts w:eastAsia="Calibri" w:cs="Arial"/>
          <w:lang w:eastAsia="en-US"/>
        </w:rPr>
        <w:t>From its</w:t>
      </w:r>
      <w:r w:rsidRPr="005F1F83">
        <w:rPr>
          <w:rFonts w:eastAsia="Calibri" w:cs="Arial"/>
          <w:lang w:eastAsia="en-US"/>
        </w:rPr>
        <w:t xml:space="preserve"> research</w:t>
      </w:r>
      <w:r>
        <w:rPr>
          <w:rFonts w:eastAsia="Calibri" w:cs="Arial"/>
          <w:lang w:eastAsia="en-US"/>
        </w:rPr>
        <w:t>,</w:t>
      </w:r>
      <w:r w:rsidRPr="002D366D">
        <w:t xml:space="preserve"> </w:t>
      </w:r>
      <w:r>
        <w:t>National Centre for Women’s Health Research Aotearoa found</w:t>
      </w:r>
      <w:r w:rsidRPr="005F1F83">
        <w:rPr>
          <w:rFonts w:eastAsia="Calibri" w:cs="Arial"/>
          <w:lang w:eastAsia="en-US"/>
        </w:rPr>
        <w:t xml:space="preserve"> that having an ultrasound </w:t>
      </w:r>
      <w:r>
        <w:rPr>
          <w:rFonts w:eastAsia="Calibri"/>
          <w:lang w:eastAsia="en-US" w:bidi="en-US"/>
        </w:rPr>
        <w:t xml:space="preserve">before </w:t>
      </w:r>
      <w:r w:rsidRPr="005F1F83">
        <w:rPr>
          <w:rFonts w:eastAsia="Calibri"/>
          <w:lang w:eastAsia="en-US" w:bidi="en-US"/>
        </w:rPr>
        <w:t xml:space="preserve">the appointment at the abortion service presented a considerable </w:t>
      </w:r>
      <w:r>
        <w:rPr>
          <w:rFonts w:eastAsia="Calibri"/>
          <w:lang w:eastAsia="en-US" w:bidi="en-US"/>
        </w:rPr>
        <w:t xml:space="preserve">time and cost </w:t>
      </w:r>
      <w:r w:rsidRPr="005F1F83">
        <w:rPr>
          <w:rFonts w:eastAsia="Calibri"/>
          <w:lang w:eastAsia="en-US" w:bidi="en-US"/>
        </w:rPr>
        <w:t xml:space="preserve">barrier to </w:t>
      </w:r>
      <w:proofErr w:type="spellStart"/>
      <w:r w:rsidRPr="005F1F83">
        <w:rPr>
          <w:rFonts w:eastAsia="Calibri"/>
          <w:lang w:eastAsia="en-US" w:bidi="en-US"/>
        </w:rPr>
        <w:t>wāhine</w:t>
      </w:r>
      <w:proofErr w:type="spellEnd"/>
      <w:r w:rsidRPr="005F1F83">
        <w:rPr>
          <w:rFonts w:eastAsia="Calibri"/>
          <w:lang w:eastAsia="en-US" w:bidi="en-US"/>
        </w:rPr>
        <w:t xml:space="preserve">. </w:t>
      </w:r>
      <w:r>
        <w:rPr>
          <w:rFonts w:eastAsia="Calibri"/>
          <w:lang w:eastAsia="en-US" w:bidi="en-US"/>
        </w:rPr>
        <w:t>It</w:t>
      </w:r>
      <w:r w:rsidRPr="005F1F83">
        <w:rPr>
          <w:rFonts w:eastAsia="Calibri"/>
          <w:lang w:eastAsia="en-US" w:bidi="en-US"/>
        </w:rPr>
        <w:t xml:space="preserve"> confirms that ultrasound is the most common part of abortion care that incurs a cost. </w:t>
      </w:r>
    </w:p>
    <w:p w14:paraId="5A02FB5A" w14:textId="77777777" w:rsidR="00FA0B81" w:rsidRPr="005F1F83" w:rsidRDefault="00FA0B81" w:rsidP="00FA0B81">
      <w:pPr>
        <w:rPr>
          <w:rFonts w:eastAsia="Calibri"/>
          <w:lang w:eastAsia="en-US" w:bidi="en-US"/>
        </w:rPr>
      </w:pPr>
    </w:p>
    <w:p w14:paraId="4BE347B3" w14:textId="3F719678" w:rsidR="00FA0B81" w:rsidRDefault="00FA0B81" w:rsidP="00FA0B81">
      <w:pPr>
        <w:rPr>
          <w:rFonts w:eastAsia="Calibri"/>
          <w:lang w:eastAsia="en-US" w:bidi="en-US"/>
        </w:rPr>
      </w:pPr>
      <w:r w:rsidRPr="005F1F83">
        <w:rPr>
          <w:rFonts w:eastAsia="Calibri"/>
          <w:lang w:eastAsia="en-US" w:bidi="en-US"/>
        </w:rPr>
        <w:t>While it can be free for Community Services Card holders in some locations,</w:t>
      </w:r>
      <w:r w:rsidRPr="005D13FF">
        <w:rPr>
          <w:rFonts w:eastAsia="Calibri"/>
          <w:lang w:eastAsia="en-US" w:bidi="en-US"/>
        </w:rPr>
        <w:t xml:space="preserve"> </w:t>
      </w:r>
      <w:r w:rsidRPr="005F1F83">
        <w:rPr>
          <w:rFonts w:eastAsia="Calibri"/>
          <w:lang w:eastAsia="en-US" w:bidi="en-US"/>
        </w:rPr>
        <w:t xml:space="preserve">a first-trimester scan varies </w:t>
      </w:r>
      <w:r>
        <w:rPr>
          <w:rFonts w:eastAsia="Calibri"/>
          <w:lang w:eastAsia="en-US" w:bidi="en-US"/>
        </w:rPr>
        <w:t>in its</w:t>
      </w:r>
      <w:r w:rsidRPr="005F1F83">
        <w:rPr>
          <w:rFonts w:eastAsia="Calibri"/>
          <w:lang w:eastAsia="en-US" w:bidi="en-US"/>
        </w:rPr>
        <w:t xml:space="preserve"> average expected cost from $40 to well over $100. Maternity ultrasounds are funded via the maternity notice and funding has not had any material increase for more than a decade. Providers often </w:t>
      </w:r>
      <w:r>
        <w:rPr>
          <w:rFonts w:eastAsia="Calibri"/>
          <w:lang w:eastAsia="en-US" w:bidi="en-US"/>
        </w:rPr>
        <w:t>include a</w:t>
      </w:r>
      <w:r w:rsidRPr="005F1F83">
        <w:rPr>
          <w:rFonts w:eastAsia="Calibri"/>
          <w:lang w:eastAsia="en-US" w:bidi="en-US"/>
        </w:rPr>
        <w:t xml:space="preserve"> surcharge. Some districts have arrangements in place to cover the surcharge, but these are variable in nature. In some areas</w:t>
      </w:r>
      <w:r>
        <w:rPr>
          <w:rFonts w:eastAsia="Calibri"/>
          <w:lang w:eastAsia="en-US" w:bidi="en-US"/>
        </w:rPr>
        <w:t>,</w:t>
      </w:r>
      <w:r w:rsidRPr="005F1F83">
        <w:rPr>
          <w:rFonts w:eastAsia="Calibri"/>
          <w:lang w:eastAsia="en-US" w:bidi="en-US"/>
        </w:rPr>
        <w:t xml:space="preserve"> the hospital services provide the ultrasound scan.</w:t>
      </w:r>
    </w:p>
    <w:p w14:paraId="03A64D38" w14:textId="77777777" w:rsidR="00FA0B81" w:rsidRPr="005F1F83" w:rsidRDefault="00FA0B81" w:rsidP="00FA0B81">
      <w:pPr>
        <w:rPr>
          <w:rFonts w:eastAsia="Calibri"/>
          <w:kern w:val="2"/>
          <w:lang w:eastAsia="en-US" w:bidi="en-US"/>
          <w14:ligatures w14:val="standardContextual"/>
        </w:rPr>
      </w:pPr>
    </w:p>
    <w:p w14:paraId="694286A0" w14:textId="10901458" w:rsidR="00FA0B81" w:rsidRPr="005F1F83" w:rsidRDefault="00FA0B81" w:rsidP="00FA0B81">
      <w:pPr>
        <w:rPr>
          <w:rFonts w:eastAsia="Calibri"/>
          <w:kern w:val="2"/>
          <w:lang w:eastAsia="en-US" w:bidi="en-US"/>
          <w14:ligatures w14:val="standardContextual"/>
        </w:rPr>
      </w:pPr>
      <w:r w:rsidRPr="005F1F83">
        <w:rPr>
          <w:rFonts w:eastAsia="Calibri"/>
          <w:kern w:val="2"/>
          <w:lang w:eastAsia="en-US" w:bidi="en-US"/>
          <w14:ligatures w14:val="standardContextual"/>
        </w:rPr>
        <w:t xml:space="preserve">The </w:t>
      </w:r>
      <w:r>
        <w:rPr>
          <w:rFonts w:eastAsia="Calibri"/>
          <w:kern w:val="2"/>
          <w:lang w:eastAsia="en-US" w:bidi="en-US"/>
          <w14:ligatures w14:val="standardContextual"/>
        </w:rPr>
        <w:t>proportion of</w:t>
      </w:r>
      <w:r w:rsidRPr="005F1F83">
        <w:rPr>
          <w:rFonts w:eastAsia="Calibri"/>
          <w:kern w:val="2"/>
          <w:lang w:eastAsia="en-US" w:bidi="en-US"/>
          <w14:ligatures w14:val="standardContextual"/>
        </w:rPr>
        <w:t xml:space="preserve"> cases where a patient is required to pay for an ultrasound to confirm a pregnancy varies significantly across locations. Notably, </w:t>
      </w:r>
      <w:r>
        <w:rPr>
          <w:rFonts w:eastAsia="Calibri"/>
          <w:kern w:val="2"/>
          <w:lang w:eastAsia="en-US" w:bidi="en-US"/>
          <w14:ligatures w14:val="standardContextual"/>
        </w:rPr>
        <w:t xml:space="preserve">nationwide </w:t>
      </w:r>
      <w:r w:rsidRPr="005F1F83">
        <w:rPr>
          <w:rFonts w:eastAsia="Calibri"/>
          <w:kern w:val="2"/>
          <w:lang w:eastAsia="en-US" w:bidi="en-US"/>
          <w14:ligatures w14:val="standardContextual"/>
        </w:rPr>
        <w:t xml:space="preserve">842 patients were reported as paying for an ultrasound before </w:t>
      </w:r>
      <w:r w:rsidRPr="005F1F83">
        <w:rPr>
          <w:rFonts w:eastAsia="Calibri"/>
          <w:lang w:eastAsia="en-US" w:bidi="en-US"/>
        </w:rPr>
        <w:t>an abortion</w:t>
      </w:r>
      <w:r w:rsidRPr="005F1F83">
        <w:rPr>
          <w:rFonts w:eastAsia="Calibri"/>
          <w:kern w:val="2"/>
          <w:lang w:eastAsia="en-US" w:bidi="en-US"/>
          <w14:ligatures w14:val="standardContextual"/>
        </w:rPr>
        <w:t xml:space="preserve"> in 2023. </w:t>
      </w:r>
      <w:r>
        <w:rPr>
          <w:rFonts w:eastAsia="Calibri"/>
          <w:kern w:val="2"/>
          <w:lang w:eastAsia="en-US" w:bidi="en-US"/>
          <w14:ligatures w14:val="standardContextual"/>
        </w:rPr>
        <w:t>O</w:t>
      </w:r>
      <w:r w:rsidRPr="005F1F83">
        <w:rPr>
          <w:rFonts w:eastAsia="Calibri"/>
          <w:kern w:val="2"/>
          <w:lang w:eastAsia="en-US" w:bidi="en-US"/>
          <w14:ligatures w14:val="standardContextual"/>
        </w:rPr>
        <w:t>f these</w:t>
      </w:r>
      <w:r>
        <w:rPr>
          <w:rFonts w:eastAsia="Calibri"/>
          <w:kern w:val="2"/>
          <w:lang w:eastAsia="en-US" w:bidi="en-US"/>
          <w14:ligatures w14:val="standardContextual"/>
        </w:rPr>
        <w:t>,</w:t>
      </w:r>
      <w:r w:rsidRPr="005F1F83">
        <w:rPr>
          <w:rFonts w:eastAsia="Calibri"/>
          <w:kern w:val="2"/>
          <w:lang w:eastAsia="en-US" w:bidi="en-US"/>
          <w14:ligatures w14:val="standardContextual"/>
        </w:rPr>
        <w:t xml:space="preserve"> 68%</w:t>
      </w:r>
      <w:r>
        <w:rPr>
          <w:rFonts w:eastAsia="Calibri"/>
          <w:kern w:val="2"/>
          <w:lang w:eastAsia="en-US" w:bidi="en-US"/>
          <w14:ligatures w14:val="standardContextual"/>
        </w:rPr>
        <w:t xml:space="preserve"> </w:t>
      </w:r>
      <w:r w:rsidRPr="005F1F83">
        <w:rPr>
          <w:rFonts w:eastAsia="Calibri"/>
          <w:kern w:val="2"/>
          <w:lang w:eastAsia="en-US" w:bidi="en-US"/>
          <w14:ligatures w14:val="standardContextual"/>
        </w:rPr>
        <w:t>occurred across two facilities,</w:t>
      </w:r>
      <w:r>
        <w:rPr>
          <w:rFonts w:eastAsia="Calibri"/>
          <w:kern w:val="2"/>
          <w:lang w:eastAsia="en-US" w:bidi="en-US"/>
          <w14:ligatures w14:val="standardContextual"/>
        </w:rPr>
        <w:t xml:space="preserve"> where</w:t>
      </w:r>
      <w:r w:rsidRPr="005F1F83">
        <w:rPr>
          <w:rFonts w:eastAsia="Calibri"/>
          <w:kern w:val="2"/>
          <w:lang w:eastAsia="en-US" w:bidi="en-US"/>
          <w14:ligatures w14:val="standardContextual"/>
        </w:rPr>
        <w:t xml:space="preserve"> the majority (98% and 92%) of patients seeking abortion care paid for ultrasound services. While it is unclear why this discrepancy exists, analysis demonstrates that the observed pattern is unrelated to gestation, or type of abortion. This suggests that</w:t>
      </w:r>
      <w:r>
        <w:rPr>
          <w:rFonts w:eastAsia="Calibri"/>
          <w:kern w:val="2"/>
          <w:lang w:eastAsia="en-US" w:bidi="en-US"/>
          <w14:ligatures w14:val="standardContextual"/>
        </w:rPr>
        <w:t xml:space="preserve"> the discrepancy may be </w:t>
      </w:r>
      <w:r w:rsidRPr="005F1F83">
        <w:rPr>
          <w:rFonts w:eastAsia="Calibri"/>
          <w:kern w:val="2"/>
          <w:lang w:eastAsia="en-US" w:bidi="en-US"/>
          <w14:ligatures w14:val="standardContextual"/>
        </w:rPr>
        <w:t>inequitable</w:t>
      </w:r>
      <w:r>
        <w:rPr>
          <w:rFonts w:eastAsia="Calibri"/>
          <w:kern w:val="2"/>
          <w:lang w:eastAsia="en-US" w:bidi="en-US"/>
          <w14:ligatures w14:val="standardContextual"/>
        </w:rPr>
        <w:t>, based on</w:t>
      </w:r>
      <w:r w:rsidRPr="005F1F83">
        <w:rPr>
          <w:rFonts w:eastAsia="Calibri"/>
          <w:kern w:val="2"/>
          <w:lang w:eastAsia="en-US" w:bidi="en-US"/>
          <w14:ligatures w14:val="standardContextual"/>
        </w:rPr>
        <w:t xml:space="preserve"> where a </w:t>
      </w:r>
      <w:r w:rsidR="00C7722C">
        <w:rPr>
          <w:rFonts w:eastAsia="Calibri"/>
          <w:lang w:eastAsia="en-US"/>
        </w:rPr>
        <w:t>woman</w:t>
      </w:r>
      <w:r w:rsidRPr="005F1F83">
        <w:rPr>
          <w:rFonts w:eastAsia="Calibri"/>
          <w:kern w:val="2"/>
          <w:lang w:eastAsia="en-US" w:bidi="en-US"/>
          <w14:ligatures w14:val="standardContextual"/>
        </w:rPr>
        <w:t xml:space="preserve"> lives</w:t>
      </w:r>
      <w:r>
        <w:rPr>
          <w:rFonts w:eastAsia="Calibri"/>
          <w:kern w:val="2"/>
          <w:lang w:eastAsia="en-US" w:bidi="en-US"/>
          <w14:ligatures w14:val="standardContextual"/>
        </w:rPr>
        <w:t>:</w:t>
      </w:r>
      <w:r w:rsidRPr="005F1F83">
        <w:rPr>
          <w:rFonts w:eastAsia="Calibri"/>
          <w:kern w:val="2"/>
          <w:lang w:eastAsia="en-US" w:bidi="en-US"/>
          <w14:ligatures w14:val="standardContextual"/>
        </w:rPr>
        <w:t xml:space="preserve"> </w:t>
      </w:r>
      <w:r>
        <w:rPr>
          <w:rFonts w:eastAsia="Calibri"/>
          <w:kern w:val="2"/>
          <w:lang w:eastAsia="en-US" w:bidi="en-US"/>
          <w14:ligatures w14:val="standardContextual"/>
        </w:rPr>
        <w:t xml:space="preserve">in some areas, </w:t>
      </w:r>
      <w:r w:rsidR="00982B8D">
        <w:rPr>
          <w:rFonts w:eastAsia="Calibri"/>
        </w:rPr>
        <w:t>women</w:t>
      </w:r>
      <w:r>
        <w:rPr>
          <w:rFonts w:eastAsia="Calibri"/>
          <w:kern w:val="2"/>
          <w:lang w:eastAsia="en-US" w:bidi="en-US"/>
          <w14:ligatures w14:val="standardContextual"/>
        </w:rPr>
        <w:t xml:space="preserve"> </w:t>
      </w:r>
      <w:r w:rsidRPr="005F1F83">
        <w:rPr>
          <w:rFonts w:eastAsia="Calibri"/>
          <w:kern w:val="2"/>
          <w:lang w:eastAsia="en-US" w:bidi="en-US"/>
          <w14:ligatures w14:val="standardContextual"/>
        </w:rPr>
        <w:t xml:space="preserve">may </w:t>
      </w:r>
      <w:r>
        <w:rPr>
          <w:rFonts w:eastAsia="Calibri"/>
          <w:kern w:val="2"/>
          <w:lang w:eastAsia="en-US" w:bidi="en-US"/>
          <w14:ligatures w14:val="standardContextual"/>
        </w:rPr>
        <w:t xml:space="preserve">face </w:t>
      </w:r>
      <w:r w:rsidRPr="005F1F83">
        <w:rPr>
          <w:rFonts w:eastAsia="Calibri"/>
          <w:kern w:val="2"/>
          <w:lang w:eastAsia="en-US" w:bidi="en-US"/>
          <w14:ligatures w14:val="standardContextual"/>
        </w:rPr>
        <w:t xml:space="preserve">pressure </w:t>
      </w:r>
      <w:r>
        <w:rPr>
          <w:rFonts w:eastAsia="Calibri"/>
          <w:kern w:val="2"/>
          <w:lang w:eastAsia="en-US" w:bidi="en-US"/>
          <w14:ligatures w14:val="standardContextual"/>
        </w:rPr>
        <w:t xml:space="preserve">to </w:t>
      </w:r>
      <w:r w:rsidRPr="005F1F83">
        <w:rPr>
          <w:rFonts w:eastAsia="Calibri"/>
          <w:kern w:val="2"/>
          <w:lang w:eastAsia="en-US" w:bidi="en-US"/>
          <w14:ligatures w14:val="standardContextual"/>
        </w:rPr>
        <w:t>pay</w:t>
      </w:r>
      <w:r>
        <w:rPr>
          <w:rFonts w:eastAsia="Calibri"/>
          <w:kern w:val="2"/>
          <w:lang w:eastAsia="en-US" w:bidi="en-US"/>
          <w14:ligatures w14:val="standardContextual"/>
        </w:rPr>
        <w:t xml:space="preserve"> for an</w:t>
      </w:r>
      <w:r w:rsidRPr="005F1F83">
        <w:rPr>
          <w:rFonts w:eastAsia="Calibri"/>
          <w:kern w:val="2"/>
          <w:lang w:eastAsia="en-US" w:bidi="en-US"/>
          <w14:ligatures w14:val="standardContextual"/>
        </w:rPr>
        <w:t xml:space="preserve"> ultrasound, </w:t>
      </w:r>
      <w:r>
        <w:rPr>
          <w:rFonts w:eastAsia="Calibri"/>
          <w:kern w:val="2"/>
          <w:lang w:eastAsia="en-US" w:bidi="en-US"/>
          <w14:ligatures w14:val="standardContextual"/>
        </w:rPr>
        <w:t xml:space="preserve">which those in </w:t>
      </w:r>
      <w:r w:rsidRPr="005F1F83">
        <w:rPr>
          <w:rFonts w:eastAsia="Calibri"/>
          <w:kern w:val="2"/>
          <w:lang w:eastAsia="en-US" w:bidi="en-US"/>
          <w14:ligatures w14:val="standardContextual"/>
        </w:rPr>
        <w:t xml:space="preserve">other areas </w:t>
      </w:r>
      <w:r>
        <w:rPr>
          <w:rFonts w:eastAsia="Calibri"/>
          <w:kern w:val="2"/>
          <w:lang w:eastAsia="en-US" w:bidi="en-US"/>
          <w14:ligatures w14:val="standardContextual"/>
        </w:rPr>
        <w:t>do not experience</w:t>
      </w:r>
      <w:r w:rsidRPr="005F1F83">
        <w:rPr>
          <w:rFonts w:eastAsia="Calibri"/>
          <w:kern w:val="2"/>
          <w:lang w:eastAsia="en-US" w:bidi="en-US"/>
          <w14:ligatures w14:val="standardContextual"/>
        </w:rPr>
        <w:t>.</w:t>
      </w:r>
    </w:p>
    <w:p w14:paraId="2901AD1A" w14:textId="77777777" w:rsidR="00A42BAE" w:rsidRDefault="00A42BAE" w:rsidP="00A42BAE"/>
    <w:p w14:paraId="3C7D6990" w14:textId="1DED05BC" w:rsidR="00FA0B81" w:rsidRDefault="00FA0B81" w:rsidP="00A42BAE">
      <w:pPr>
        <w:sectPr w:rsidR="00FA0B81" w:rsidSect="00CC19AA">
          <w:pgSz w:w="11907" w:h="16834" w:code="9"/>
          <w:pgMar w:top="1418" w:right="1701" w:bottom="1134" w:left="1843" w:header="284" w:footer="425" w:gutter="284"/>
          <w:cols w:space="720"/>
        </w:sectPr>
      </w:pPr>
    </w:p>
    <w:p w14:paraId="03861CA7" w14:textId="4EE70588" w:rsidR="00A42BAE" w:rsidRDefault="00A42BAE" w:rsidP="00A42BAE">
      <w:pPr>
        <w:pStyle w:val="Heading1"/>
        <w:spacing w:before="0"/>
      </w:pPr>
      <w:bookmarkStart w:id="116" w:name="_Toc195016578"/>
      <w:r w:rsidRPr="00A42BAE">
        <w:t>Abortions for the sole purpose of sex selection</w:t>
      </w:r>
      <w:r w:rsidR="00FA0B81">
        <w:t xml:space="preserve"> – </w:t>
      </w:r>
      <w:proofErr w:type="spellStart"/>
      <w:r w:rsidR="00FA0B81" w:rsidRPr="004660AD">
        <w:t>Ngā</w:t>
      </w:r>
      <w:proofErr w:type="spellEnd"/>
      <w:r w:rsidR="00FA0B81" w:rsidRPr="004660AD">
        <w:t xml:space="preserve"> </w:t>
      </w:r>
      <w:proofErr w:type="spellStart"/>
      <w:r w:rsidR="00FA0B81" w:rsidRPr="004660AD">
        <w:t>whakatahe</w:t>
      </w:r>
      <w:proofErr w:type="spellEnd"/>
      <w:r w:rsidR="00FA0B81" w:rsidRPr="004660AD">
        <w:t xml:space="preserve"> kia </w:t>
      </w:r>
      <w:proofErr w:type="spellStart"/>
      <w:r w:rsidR="00FA0B81" w:rsidRPr="004660AD">
        <w:t>whai</w:t>
      </w:r>
      <w:proofErr w:type="spellEnd"/>
      <w:r w:rsidR="00FA0B81" w:rsidRPr="004660AD">
        <w:t xml:space="preserve"> </w:t>
      </w:r>
      <w:proofErr w:type="spellStart"/>
      <w:r w:rsidR="00FA0B81" w:rsidRPr="004660AD">
        <w:t>uri</w:t>
      </w:r>
      <w:proofErr w:type="spellEnd"/>
      <w:r w:rsidR="00FA0B81" w:rsidRPr="004660AD">
        <w:t xml:space="preserve"> </w:t>
      </w:r>
      <w:proofErr w:type="spellStart"/>
      <w:r w:rsidR="00FA0B81" w:rsidRPr="004660AD">
        <w:t>nō</w:t>
      </w:r>
      <w:proofErr w:type="spellEnd"/>
      <w:r w:rsidR="00FA0B81" w:rsidRPr="004660AD">
        <w:t xml:space="preserve"> </w:t>
      </w:r>
      <w:proofErr w:type="spellStart"/>
      <w:r w:rsidR="00FA0B81" w:rsidRPr="004660AD">
        <w:t>ira</w:t>
      </w:r>
      <w:proofErr w:type="spellEnd"/>
      <w:r w:rsidR="00FA0B81" w:rsidRPr="004660AD">
        <w:t xml:space="preserve"> </w:t>
      </w:r>
      <w:proofErr w:type="spellStart"/>
      <w:r w:rsidR="00FA0B81" w:rsidRPr="004660AD">
        <w:t>kē</w:t>
      </w:r>
      <w:bookmarkEnd w:id="116"/>
      <w:proofErr w:type="spellEnd"/>
    </w:p>
    <w:p w14:paraId="6300CCE2" w14:textId="4CA6EA12" w:rsidR="00A42BAE" w:rsidRDefault="00A42BAE" w:rsidP="00A42BAE">
      <w:pPr>
        <w:pStyle w:val="Heading2"/>
      </w:pPr>
      <w:bookmarkStart w:id="117" w:name="_Toc195016579"/>
      <w:r w:rsidRPr="00A42BAE">
        <w:t>Background</w:t>
      </w:r>
      <w:bookmarkEnd w:id="117"/>
    </w:p>
    <w:p w14:paraId="18408198" w14:textId="0A7A69FB" w:rsidR="00FA0B81" w:rsidRDefault="00FA0B81" w:rsidP="00FA0B81">
      <w:r w:rsidRPr="005F1F83">
        <w:t>During the Select Committee process in 2019</w:t>
      </w:r>
      <w:r>
        <w:t>, committee</w:t>
      </w:r>
      <w:r w:rsidRPr="005F1F83">
        <w:t xml:space="preserve"> members were concerned about estimates from the U</w:t>
      </w:r>
      <w:r>
        <w:t>NFPA</w:t>
      </w:r>
      <w:r w:rsidRPr="005F1F83">
        <w:t xml:space="preserve"> about</w:t>
      </w:r>
      <w:r>
        <w:t xml:space="preserve"> the number of women</w:t>
      </w:r>
      <w:r w:rsidRPr="005F1F83">
        <w:t xml:space="preserve"> missing due to gender-biased sex selection</w:t>
      </w:r>
      <w:r>
        <w:t xml:space="preserve"> through abortion</w:t>
      </w:r>
      <w:r w:rsidRPr="005F1F83">
        <w:t>. Members recognised that there was no evidence of this occurring in New Zealand and wanted to reaffirm a strong position for New Zealand on the issue.</w:t>
      </w:r>
    </w:p>
    <w:p w14:paraId="154076C9" w14:textId="77777777" w:rsidR="00FA0B81" w:rsidRPr="005F1F83" w:rsidRDefault="00FA0B81" w:rsidP="00FA0B81"/>
    <w:p w14:paraId="7DB87058" w14:textId="1AF225DC" w:rsidR="00FA0B81" w:rsidRDefault="00FA0B81" w:rsidP="00FA0B81">
      <w:r>
        <w:t>While the Select Committee considered o</w:t>
      </w:r>
      <w:r w:rsidRPr="005F1F83">
        <w:t xml:space="preserve">ptions for </w:t>
      </w:r>
      <w:r>
        <w:t xml:space="preserve">responding using </w:t>
      </w:r>
      <w:r w:rsidRPr="005F1F83">
        <w:t>legislati</w:t>
      </w:r>
      <w:r>
        <w:t>on or other means,</w:t>
      </w:r>
      <w:r w:rsidRPr="005F1F83">
        <w:t xml:space="preserve"> most members agreed that </w:t>
      </w:r>
      <w:r>
        <w:t xml:space="preserve">setting </w:t>
      </w:r>
      <w:r w:rsidRPr="005F1F83">
        <w:t xml:space="preserve">a restriction </w:t>
      </w:r>
      <w:r>
        <w:t xml:space="preserve">through </w:t>
      </w:r>
      <w:r w:rsidRPr="005F1F83">
        <w:t xml:space="preserve">legislation could lead to ethnic profiling, </w:t>
      </w:r>
      <w:r w:rsidR="00982B8D">
        <w:rPr>
          <w:rFonts w:eastAsia="Calibri"/>
        </w:rPr>
        <w:t>women</w:t>
      </w:r>
      <w:r w:rsidRPr="005F1F83">
        <w:t xml:space="preserve"> not disclosing about sex</w:t>
      </w:r>
      <w:r>
        <w:t xml:space="preserve"> </w:t>
      </w:r>
      <w:r w:rsidRPr="005F1F83">
        <w:t xml:space="preserve">selection or </w:t>
      </w:r>
      <w:r w:rsidR="00982B8D">
        <w:rPr>
          <w:rFonts w:eastAsia="Calibri"/>
        </w:rPr>
        <w:t>women</w:t>
      </w:r>
      <w:r w:rsidRPr="005F1F83">
        <w:t xml:space="preserve"> seeking unlawful abortions.</w:t>
      </w:r>
    </w:p>
    <w:p w14:paraId="2885E7ED" w14:textId="77777777" w:rsidR="00FA0B81" w:rsidRPr="005F1F83" w:rsidRDefault="00FA0B81" w:rsidP="00FA0B81"/>
    <w:p w14:paraId="27BACECA" w14:textId="348FE1BE" w:rsidR="00FA0B81" w:rsidRDefault="00FA0B81" w:rsidP="00FA0B81">
      <w:r w:rsidRPr="005F1F83">
        <w:t xml:space="preserve">As a result of Select Committee considerations and feedback on this issue, section 21 of the </w:t>
      </w:r>
      <w:r>
        <w:t xml:space="preserve">CSA </w:t>
      </w:r>
      <w:r w:rsidRPr="005F1F83">
        <w:t xml:space="preserve">Act </w:t>
      </w:r>
      <w:r>
        <w:t>now</w:t>
      </w:r>
      <w:r w:rsidRPr="005F1F83">
        <w:t xml:space="preserve"> states that Parliament opposes the performance of abortions </w:t>
      </w:r>
      <w:r w:rsidR="00D04823">
        <w:t xml:space="preserve">being </w:t>
      </w:r>
      <w:r w:rsidRPr="005F1F83">
        <w:t xml:space="preserve">solely </w:t>
      </w:r>
      <w:r w:rsidR="00D04823">
        <w:t xml:space="preserve">sought </w:t>
      </w:r>
      <w:r w:rsidRPr="005F1F83">
        <w:t xml:space="preserve">because </w:t>
      </w:r>
      <w:r w:rsidR="004670D3">
        <w:t xml:space="preserve">of the preference </w:t>
      </w:r>
      <w:r w:rsidR="008573F3">
        <w:t>for</w:t>
      </w:r>
      <w:r w:rsidR="008573F3" w:rsidRPr="005F1F83">
        <w:t xml:space="preserve"> </w:t>
      </w:r>
      <w:r w:rsidRPr="005F1F83">
        <w:t xml:space="preserve">the </w:t>
      </w:r>
      <w:proofErr w:type="spellStart"/>
      <w:r w:rsidRPr="005F1F83">
        <w:t>fetus</w:t>
      </w:r>
      <w:proofErr w:type="spellEnd"/>
      <w:r w:rsidRPr="005F1F83">
        <w:t xml:space="preserve"> to be of a particular sex. Additionally, New Zealand is a signatory of the U</w:t>
      </w:r>
      <w:r>
        <w:t>NFPA</w:t>
      </w:r>
      <w:r w:rsidRPr="005F1F83">
        <w:t>’s Programme of Action of the International Conference on Population and Development. This initiative includes the objective of eliminating all forms of discrimination against girls and identify</w:t>
      </w:r>
      <w:r>
        <w:t>ing</w:t>
      </w:r>
      <w:r w:rsidRPr="005F1F83">
        <w:t xml:space="preserve"> the root cause of a preference for sons. </w:t>
      </w:r>
    </w:p>
    <w:p w14:paraId="2E57FB35" w14:textId="77777777" w:rsidR="00FA0B81" w:rsidRPr="005F1F83" w:rsidRDefault="00FA0B81" w:rsidP="00FA0B81"/>
    <w:p w14:paraId="449BE7BC" w14:textId="0ED3FE42" w:rsidR="00FA0B81" w:rsidRDefault="00FA0B81" w:rsidP="00FA0B81">
      <w:r w:rsidRPr="005F1F83">
        <w:t xml:space="preserve">A clause in the </w:t>
      </w:r>
      <w:r>
        <w:t xml:space="preserve">CSA </w:t>
      </w:r>
      <w:r w:rsidRPr="005F1F83">
        <w:t>Act states</w:t>
      </w:r>
      <w:r w:rsidRPr="00B77D83">
        <w:t xml:space="preserve"> </w:t>
      </w:r>
      <w:r w:rsidRPr="005F1F83">
        <w:t xml:space="preserve">that a </w:t>
      </w:r>
      <w:r w:rsidR="00C7722C">
        <w:rPr>
          <w:rFonts w:eastAsia="Calibri"/>
          <w:lang w:eastAsia="en-US"/>
        </w:rPr>
        <w:t>woman</w:t>
      </w:r>
      <w:r w:rsidRPr="005F1F83">
        <w:t xml:space="preserve"> seeking an abortion at </w:t>
      </w:r>
      <w:r>
        <w:t>earlier</w:t>
      </w:r>
      <w:r w:rsidRPr="005F1F83">
        <w:t xml:space="preserve"> than 20 weeks</w:t>
      </w:r>
      <w:r>
        <w:t>’ gestation</w:t>
      </w:r>
      <w:r w:rsidRPr="005F1F83">
        <w:t xml:space="preserve"> does not need to give a reason</w:t>
      </w:r>
      <w:r>
        <w:t xml:space="preserve">. </w:t>
      </w:r>
      <w:proofErr w:type="gramStart"/>
      <w:r>
        <w:t>Therefore</w:t>
      </w:r>
      <w:proofErr w:type="gramEnd"/>
      <w:r w:rsidRPr="005F1F83">
        <w:t xml:space="preserve"> no data as to reasons for </w:t>
      </w:r>
      <w:r>
        <w:t xml:space="preserve">an </w:t>
      </w:r>
      <w:r w:rsidRPr="005F1F83">
        <w:t>abortion</w:t>
      </w:r>
      <w:r>
        <w:t xml:space="preserve"> is collected</w:t>
      </w:r>
      <w:r w:rsidRPr="005F1F83">
        <w:t>.</w:t>
      </w:r>
    </w:p>
    <w:p w14:paraId="21BC1812" w14:textId="77777777" w:rsidR="00FA0B81" w:rsidRPr="005F1F83" w:rsidRDefault="00FA0B81" w:rsidP="00FA0B81"/>
    <w:p w14:paraId="2C15F4A9" w14:textId="77777777" w:rsidR="00FA0B81" w:rsidRPr="005F1F83" w:rsidRDefault="00FA0B81" w:rsidP="00FA0B81">
      <w:r>
        <w:t>A question in t</w:t>
      </w:r>
      <w:r w:rsidRPr="005F1F83">
        <w:t xml:space="preserve">he annual provider reporting </w:t>
      </w:r>
      <w:r>
        <w:t xml:space="preserve">asks </w:t>
      </w:r>
      <w:r w:rsidRPr="005F1F83">
        <w:t xml:space="preserve">providers to inform the Ministry </w:t>
      </w:r>
      <w:r>
        <w:t xml:space="preserve">about </w:t>
      </w:r>
      <w:r w:rsidRPr="005F1F83">
        <w:t>whether they had any approaches for sex</w:t>
      </w:r>
      <w:r>
        <w:t>-</w:t>
      </w:r>
      <w:r w:rsidRPr="005F1F83">
        <w:t xml:space="preserve">selective abortion in the previous year. A practitioner may also report their concerns to the Ministry. However, </w:t>
      </w:r>
      <w:r>
        <w:t>neither</w:t>
      </w:r>
      <w:r w:rsidRPr="005F1F83">
        <w:t xml:space="preserve"> the </w:t>
      </w:r>
      <w:r>
        <w:t xml:space="preserve">CSA </w:t>
      </w:r>
      <w:r w:rsidRPr="005F1F83">
        <w:t xml:space="preserve">Act </w:t>
      </w:r>
      <w:r>
        <w:t>n</w:t>
      </w:r>
      <w:r w:rsidRPr="005F1F83">
        <w:t xml:space="preserve">or </w:t>
      </w:r>
      <w:r>
        <w:t xml:space="preserve">any </w:t>
      </w:r>
      <w:r w:rsidRPr="005F1F83">
        <w:t xml:space="preserve">associated legislation </w:t>
      </w:r>
      <w:r>
        <w:t xml:space="preserve">gives any direction on </w:t>
      </w:r>
      <w:r w:rsidRPr="005F1F83">
        <w:t xml:space="preserve">what actions would arise from such a notification, and the Ministry does not have internal processes for </w:t>
      </w:r>
      <w:r>
        <w:t>responding to one</w:t>
      </w:r>
      <w:r w:rsidRPr="005F1F83">
        <w:t>.</w:t>
      </w:r>
    </w:p>
    <w:p w14:paraId="6157B74F" w14:textId="77777777" w:rsidR="00FA0B81" w:rsidRPr="005F1F83" w:rsidRDefault="00FA0B81" w:rsidP="00FA0B81">
      <w:pPr>
        <w:pStyle w:val="Heading2"/>
      </w:pPr>
      <w:bookmarkStart w:id="118" w:name="_Toc192348822"/>
      <w:bookmarkStart w:id="119" w:name="_Toc195016580"/>
      <w:r w:rsidRPr="005F1F83">
        <w:t>Current practice and feedback</w:t>
      </w:r>
      <w:bookmarkEnd w:id="118"/>
      <w:bookmarkEnd w:id="119"/>
      <w:r w:rsidRPr="005F1F83">
        <w:t xml:space="preserve"> </w:t>
      </w:r>
    </w:p>
    <w:p w14:paraId="7D202936" w14:textId="47F41D1E" w:rsidR="00FA0B81" w:rsidRDefault="00FA0B81" w:rsidP="00FA0B81">
      <w:r>
        <w:t>Although not</w:t>
      </w:r>
      <w:r w:rsidRPr="005F1F83">
        <w:t xml:space="preserve"> inten</w:t>
      </w:r>
      <w:r>
        <w:t>ded by</w:t>
      </w:r>
      <w:r w:rsidRPr="005F1F83">
        <w:t xml:space="preserve"> the Select Committee </w:t>
      </w:r>
      <w:r>
        <w:t xml:space="preserve">in its decision to </w:t>
      </w:r>
      <w:r w:rsidRPr="005F1F83">
        <w:t>includ</w:t>
      </w:r>
      <w:r>
        <w:t>e</w:t>
      </w:r>
      <w:r w:rsidRPr="005F1F83">
        <w:t xml:space="preserve"> th</w:t>
      </w:r>
      <w:r>
        <w:t>e section 21</w:t>
      </w:r>
      <w:r w:rsidRPr="005F1F83">
        <w:t xml:space="preserve"> provision in the legislation, this provision has resulted in confusion among practitioners</w:t>
      </w:r>
      <w:r>
        <w:t>. Uncertainty has arisen</w:t>
      </w:r>
      <w:r w:rsidRPr="005F1F83">
        <w:t xml:space="preserve"> over the appropriate action to take in instances of suspected abortion for the sole purpose of sex selection, whether </w:t>
      </w:r>
      <w:r>
        <w:t xml:space="preserve">practitioners should report </w:t>
      </w:r>
      <w:r w:rsidRPr="005F1F83">
        <w:t xml:space="preserve">these </w:t>
      </w:r>
      <w:r>
        <w:t xml:space="preserve">abortions </w:t>
      </w:r>
      <w:r w:rsidRPr="005F1F83">
        <w:t xml:space="preserve">directly to the Ministry, or whether </w:t>
      </w:r>
      <w:r>
        <w:t xml:space="preserve">they </w:t>
      </w:r>
      <w:r w:rsidRPr="005F1F83">
        <w:t xml:space="preserve">should refuse service in suspected cases. </w:t>
      </w:r>
    </w:p>
    <w:p w14:paraId="7B0DE10F" w14:textId="77777777" w:rsidR="00FA0B81" w:rsidRPr="005F1F83" w:rsidRDefault="00FA0B81" w:rsidP="00FA0B81"/>
    <w:p w14:paraId="55DA02D0" w14:textId="75CDE158" w:rsidR="00FA0B81" w:rsidRDefault="00FA0B81" w:rsidP="00FA0B81">
      <w:r w:rsidRPr="005F1F83">
        <w:t xml:space="preserve">Within the annual reporting forms, providers have indicated a handful of cases where they suspected that a </w:t>
      </w:r>
      <w:r w:rsidR="00C7722C">
        <w:rPr>
          <w:rFonts w:eastAsia="Calibri"/>
          <w:lang w:eastAsia="en-US"/>
        </w:rPr>
        <w:t>woman</w:t>
      </w:r>
      <w:r w:rsidRPr="005F1F83">
        <w:t xml:space="preserve"> accessing an abortion did so for the sole purpose of sex selection. A small number of providers have contacted the Ministry directly </w:t>
      </w:r>
      <w:r>
        <w:t>with</w:t>
      </w:r>
      <w:r w:rsidRPr="005F1F83">
        <w:t xml:space="preserve"> concerns </w:t>
      </w:r>
      <w:r>
        <w:t xml:space="preserve">about </w:t>
      </w:r>
      <w:r w:rsidRPr="005F1F83">
        <w:t xml:space="preserve">an abortion </w:t>
      </w:r>
      <w:r>
        <w:t>where</w:t>
      </w:r>
      <w:r w:rsidRPr="005F1F83">
        <w:t xml:space="preserve"> the sole purpose </w:t>
      </w:r>
      <w:r>
        <w:t>appeared to be</w:t>
      </w:r>
      <w:r w:rsidRPr="005F1F83">
        <w:t xml:space="preserve"> sex selection</w:t>
      </w:r>
      <w:r>
        <w:t>. They</w:t>
      </w:r>
      <w:r w:rsidRPr="005F1F83">
        <w:t xml:space="preserve"> have asked for advice, and whether they need to report</w:t>
      </w:r>
      <w:r>
        <w:t xml:space="preserve"> such cases</w:t>
      </w:r>
      <w:r w:rsidRPr="005F1F83">
        <w:t xml:space="preserve"> formally. </w:t>
      </w:r>
      <w:r>
        <w:t>New Zealand has</w:t>
      </w:r>
      <w:r w:rsidRPr="005F1F83">
        <w:t xml:space="preserve"> no formal mechanisms for dealing with these cases and no clear guidance on what the best form of action should be.</w:t>
      </w:r>
    </w:p>
    <w:p w14:paraId="6FEC9A53" w14:textId="77777777" w:rsidR="00FA0B81" w:rsidRPr="005F1F83" w:rsidRDefault="00FA0B81" w:rsidP="00FA0B81"/>
    <w:p w14:paraId="27AACBB1" w14:textId="77777777" w:rsidR="00FA0B81" w:rsidRPr="005F1F83" w:rsidRDefault="00FA0B81" w:rsidP="00FA0B81">
      <w:r>
        <w:t>In addition, practitioners are</w:t>
      </w:r>
      <w:r w:rsidRPr="005F1F83">
        <w:t xml:space="preserve"> increasing</w:t>
      </w:r>
      <w:r>
        <w:t>ly</w:t>
      </w:r>
      <w:r w:rsidRPr="005F1F83">
        <w:t xml:space="preserve"> concern</w:t>
      </w:r>
      <w:r>
        <w:t>ed</w:t>
      </w:r>
      <w:r w:rsidRPr="005F1F83">
        <w:t xml:space="preserve"> about the </w:t>
      </w:r>
      <w:r>
        <w:t>private purchase</w:t>
      </w:r>
      <w:r w:rsidRPr="005F1F83">
        <w:t xml:space="preserve"> of non-invasive prenatal diagnosis testing and high-resolution ultrasound to </w:t>
      </w:r>
      <w:r>
        <w:t xml:space="preserve">identify sex </w:t>
      </w:r>
      <w:r w:rsidRPr="005F1F83">
        <w:t xml:space="preserve">early. </w:t>
      </w:r>
      <w:r>
        <w:t>C</w:t>
      </w:r>
      <w:r w:rsidRPr="005F1F83">
        <w:t>urrent</w:t>
      </w:r>
      <w:r>
        <w:t>ly no</w:t>
      </w:r>
      <w:r w:rsidRPr="005F1F83">
        <w:t xml:space="preserve"> appropriate methodologies </w:t>
      </w:r>
      <w:r>
        <w:t xml:space="preserve">are available </w:t>
      </w:r>
      <w:r w:rsidRPr="005F1F83">
        <w:t>to assess if sex</w:t>
      </w:r>
      <w:r>
        <w:t xml:space="preserve"> </w:t>
      </w:r>
      <w:r w:rsidRPr="005F1F83">
        <w:t>selection does occur in direct relation to these technologies.</w:t>
      </w:r>
    </w:p>
    <w:p w14:paraId="5E550EE1" w14:textId="77777777" w:rsidR="00FA0B81" w:rsidRPr="005F1F83" w:rsidRDefault="00FA0B81" w:rsidP="00FA0B81">
      <w:pPr>
        <w:pStyle w:val="Heading2"/>
      </w:pPr>
      <w:bookmarkStart w:id="120" w:name="_Toc192348823"/>
      <w:bookmarkStart w:id="121" w:name="_Toc195016581"/>
      <w:r w:rsidRPr="005F1F83">
        <w:t>Research</w:t>
      </w:r>
      <w:r>
        <w:t xml:space="preserve"> and</w:t>
      </w:r>
      <w:r w:rsidRPr="005F1F83">
        <w:t xml:space="preserve"> international </w:t>
      </w:r>
      <w:proofErr w:type="gramStart"/>
      <w:r w:rsidRPr="005F1F83">
        <w:t>practice</w:t>
      </w:r>
      <w:bookmarkEnd w:id="120"/>
      <w:bookmarkEnd w:id="121"/>
      <w:proofErr w:type="gramEnd"/>
    </w:p>
    <w:p w14:paraId="0028B5D1" w14:textId="62E95A56" w:rsidR="00FA0B81" w:rsidRDefault="00FA0B81" w:rsidP="00FA0B81">
      <w:r w:rsidRPr="005F1F83">
        <w:t xml:space="preserve">Recent research has attempted to address the knowledge gaps </w:t>
      </w:r>
      <w:r>
        <w:t>in</w:t>
      </w:r>
      <w:r w:rsidRPr="005F1F83">
        <w:t xml:space="preserve"> evidence of </w:t>
      </w:r>
      <w:r>
        <w:t xml:space="preserve">abortion for </w:t>
      </w:r>
      <w:r w:rsidRPr="005F1F83">
        <w:t>sex selection in New Zealand (Simon-Kumar et al 2023). On 8 July 2022, the University of Auckland hosted a symposium to disseminate key findings from this</w:t>
      </w:r>
      <w:r w:rsidRPr="004A5613">
        <w:t xml:space="preserve"> </w:t>
      </w:r>
      <w:r w:rsidRPr="005F1F83">
        <w:t xml:space="preserve">project funded </w:t>
      </w:r>
      <w:r>
        <w:t xml:space="preserve">by the </w:t>
      </w:r>
      <w:r w:rsidRPr="005F1F83">
        <w:t>Health Research Council</w:t>
      </w:r>
      <w:r>
        <w:t>, which</w:t>
      </w:r>
      <w:r w:rsidRPr="005F1F83">
        <w:t xml:space="preserve"> explores cultural values </w:t>
      </w:r>
      <w:r>
        <w:t>behind</w:t>
      </w:r>
      <w:r w:rsidRPr="005F1F83">
        <w:t xml:space="preserve"> the preference </w:t>
      </w:r>
      <w:r>
        <w:t>to have</w:t>
      </w:r>
      <w:r w:rsidRPr="005F1F83">
        <w:t xml:space="preserve"> a son and practices of sex selection among Asian, ethnic and migrant communities. Analysis from the research project did not </w:t>
      </w:r>
      <w:r>
        <w:t>find</w:t>
      </w:r>
      <w:r w:rsidRPr="005F1F83">
        <w:t xml:space="preserve"> any evidence of sex-selective abortion among Indian and Chinese populations in New Zealand. These findings provide foundational evidence </w:t>
      </w:r>
      <w:r>
        <w:t>for</w:t>
      </w:r>
      <w:r w:rsidRPr="005F1F83">
        <w:t xml:space="preserve"> further research or analysis in this space</w:t>
      </w:r>
      <w:r>
        <w:t xml:space="preserve"> to build on</w:t>
      </w:r>
      <w:r w:rsidRPr="005F1F83">
        <w:t>.</w:t>
      </w:r>
    </w:p>
    <w:p w14:paraId="2D3B7C92" w14:textId="77777777" w:rsidR="00FA0B81" w:rsidRPr="005F1F83" w:rsidRDefault="00FA0B81" w:rsidP="00FA0B81"/>
    <w:p w14:paraId="34D3D1DE" w14:textId="34CF936B" w:rsidR="00FA0B81" w:rsidRDefault="00FA0B81" w:rsidP="00FA0B81">
      <w:r w:rsidRPr="005F1F83">
        <w:t>In 2011, the WHO released an interagency statement on preventing gender-biased sex selection</w:t>
      </w:r>
      <w:r>
        <w:t xml:space="preserve"> (WHO 2011)</w:t>
      </w:r>
      <w:r w:rsidRPr="005F1F83">
        <w:t>. The reasons for sex</w:t>
      </w:r>
      <w:r>
        <w:t>-</w:t>
      </w:r>
      <w:r w:rsidRPr="005F1F83">
        <w:t>selective abortion are complex</w:t>
      </w:r>
      <w:r>
        <w:t>.</w:t>
      </w:r>
      <w:r w:rsidRPr="005F1F83">
        <w:t xml:space="preserve"> </w:t>
      </w:r>
      <w:r>
        <w:t>R</w:t>
      </w:r>
      <w:r w:rsidRPr="005F1F83">
        <w:t>estricting technology or prohibiting sex detection can limit safe access to abortion and does not address the root cause of the problem.</w:t>
      </w:r>
    </w:p>
    <w:p w14:paraId="0DAEB9AF" w14:textId="77777777" w:rsidR="00FA0B81" w:rsidRPr="005F1F83" w:rsidRDefault="00FA0B81" w:rsidP="00FA0B81"/>
    <w:p w14:paraId="3D26FB4E" w14:textId="03163383" w:rsidR="00FA0B81" w:rsidRDefault="00FA0B81" w:rsidP="00FA0B81">
      <w:r>
        <w:t>M</w:t>
      </w:r>
      <w:r w:rsidRPr="005F1F83">
        <w:t>any non-legislative responses occur internationally</w:t>
      </w:r>
      <w:r>
        <w:t>,</w:t>
      </w:r>
      <w:r w:rsidRPr="005F1F83">
        <w:t xml:space="preserve"> including commitments by governments to address gender discrimination and bias.</w:t>
      </w:r>
    </w:p>
    <w:p w14:paraId="05C2E044" w14:textId="77777777" w:rsidR="00FA0B81" w:rsidRPr="005F1F83" w:rsidRDefault="00FA0B81" w:rsidP="00FA0B81"/>
    <w:p w14:paraId="1B83B668" w14:textId="77777777" w:rsidR="00FA0B81" w:rsidRPr="005F1F83" w:rsidRDefault="00FA0B81" w:rsidP="00FA0B81">
      <w:r w:rsidRPr="005F1F83">
        <w:t xml:space="preserve">Some countries where sex selection is more prevalent have introduced laws restricting the use of technology for sex-selection purposes and some </w:t>
      </w:r>
      <w:r>
        <w:t xml:space="preserve">have </w:t>
      </w:r>
      <w:r w:rsidRPr="005F1F83">
        <w:t>criminalis</w:t>
      </w:r>
      <w:r>
        <w:t>ed</w:t>
      </w:r>
      <w:r w:rsidRPr="005F1F83">
        <w:t xml:space="preserve"> sex-selective abortion. These laws, however, have had little effect in addressing underlying causes </w:t>
      </w:r>
      <w:proofErr w:type="gramStart"/>
      <w:r w:rsidRPr="005F1F83">
        <w:t>and,</w:t>
      </w:r>
      <w:proofErr w:type="gramEnd"/>
      <w:r w:rsidRPr="005F1F83">
        <w:t xml:space="preserve"> as noted by the WHO, can unduly restrict access to safe abortion care. </w:t>
      </w:r>
    </w:p>
    <w:p w14:paraId="3A6E951F" w14:textId="3F5BA545" w:rsidR="00A42BAE" w:rsidRDefault="00A42BAE" w:rsidP="00A42BAE"/>
    <w:p w14:paraId="39E02E32" w14:textId="3DFE4D9F" w:rsidR="00A42BAE" w:rsidRDefault="00A42BAE" w:rsidP="00A42BAE"/>
    <w:p w14:paraId="01138FF4" w14:textId="77777777" w:rsidR="00A42BAE" w:rsidRDefault="00A42BAE" w:rsidP="00A42BAE">
      <w:pPr>
        <w:sectPr w:rsidR="00A42BAE" w:rsidSect="00CC19AA">
          <w:pgSz w:w="11907" w:h="16834" w:code="9"/>
          <w:pgMar w:top="1418" w:right="1701" w:bottom="1134" w:left="1843" w:header="284" w:footer="425" w:gutter="284"/>
          <w:cols w:space="720"/>
        </w:sectPr>
      </w:pPr>
    </w:p>
    <w:p w14:paraId="1DDEB733" w14:textId="5FEAF10B" w:rsidR="00FA0B81" w:rsidRDefault="00A42BAE" w:rsidP="00FA0B81">
      <w:pPr>
        <w:pStyle w:val="Heading1"/>
        <w:spacing w:before="0"/>
        <w:rPr>
          <w:szCs w:val="72"/>
        </w:rPr>
      </w:pPr>
      <w:bookmarkStart w:id="122" w:name="_Toc195016582"/>
      <w:r w:rsidRPr="00A42BAE">
        <w:t>Recommendations</w:t>
      </w:r>
      <w:r w:rsidR="00FA0B81">
        <w:t xml:space="preserve"> </w:t>
      </w:r>
      <w:bookmarkStart w:id="123" w:name="_Hlk192679752"/>
      <w:r w:rsidR="00FA0B81">
        <w:rPr>
          <w:szCs w:val="72"/>
        </w:rPr>
        <w:t xml:space="preserve">– </w:t>
      </w:r>
      <w:proofErr w:type="spellStart"/>
      <w:r w:rsidR="00FA0B81" w:rsidRPr="00B063E8">
        <w:rPr>
          <w:szCs w:val="72"/>
        </w:rPr>
        <w:t>Ngā</w:t>
      </w:r>
      <w:proofErr w:type="spellEnd"/>
      <w:r w:rsidR="00FA0B81" w:rsidRPr="00B063E8">
        <w:rPr>
          <w:szCs w:val="72"/>
        </w:rPr>
        <w:t xml:space="preserve"> </w:t>
      </w:r>
      <w:proofErr w:type="spellStart"/>
      <w:r w:rsidR="00FA0B81" w:rsidRPr="00B063E8">
        <w:rPr>
          <w:szCs w:val="72"/>
        </w:rPr>
        <w:t>tohutohu</w:t>
      </w:r>
      <w:bookmarkEnd w:id="122"/>
      <w:proofErr w:type="spellEnd"/>
    </w:p>
    <w:p w14:paraId="502A6438" w14:textId="77777777" w:rsidR="00FA0B81" w:rsidRPr="00FA0B81" w:rsidRDefault="00FA0B81" w:rsidP="00FA0B81">
      <w:pPr>
        <w:pStyle w:val="Heading3"/>
      </w:pPr>
      <w:r w:rsidRPr="00FA0B81">
        <w:rPr>
          <w:rStyle w:val="normaltextrun"/>
        </w:rPr>
        <w:t>Improving timely and equitable access  </w:t>
      </w:r>
      <w:r w:rsidRPr="00FA0B81">
        <w:rPr>
          <w:rStyle w:val="eop"/>
        </w:rPr>
        <w:t> </w:t>
      </w:r>
    </w:p>
    <w:p w14:paraId="05539A5B" w14:textId="77777777" w:rsidR="00FA0B81" w:rsidRPr="005F1F83" w:rsidRDefault="00FA0B81" w:rsidP="00FA0B81">
      <w:pPr>
        <w:rPr>
          <w:rFonts w:cs="Segoe UI"/>
          <w:sz w:val="18"/>
          <w:szCs w:val="18"/>
        </w:rPr>
      </w:pPr>
      <w:r w:rsidRPr="005F1F83">
        <w:rPr>
          <w:rStyle w:val="normaltextrun"/>
          <w:rFonts w:cs="Segoe UI"/>
          <w:szCs w:val="21"/>
        </w:rPr>
        <w:t xml:space="preserve">To support timely and equitable access to contraception, sterilisation and abortion services and to prepare for the next periodic review, the Ministry will </w:t>
      </w:r>
      <w:r>
        <w:rPr>
          <w:rStyle w:val="normaltextrun"/>
          <w:rFonts w:cs="Segoe UI"/>
          <w:szCs w:val="21"/>
        </w:rPr>
        <w:t>implement</w:t>
      </w:r>
      <w:r w:rsidRPr="005F1F83">
        <w:rPr>
          <w:rStyle w:val="normaltextrun"/>
          <w:rFonts w:cs="Segoe UI"/>
          <w:szCs w:val="21"/>
        </w:rPr>
        <w:t xml:space="preserve"> a </w:t>
      </w:r>
      <w:r>
        <w:rPr>
          <w:rStyle w:val="normaltextrun"/>
          <w:rFonts w:cs="Segoe UI"/>
          <w:szCs w:val="21"/>
        </w:rPr>
        <w:t>five</w:t>
      </w:r>
      <w:r w:rsidRPr="005F1F83">
        <w:rPr>
          <w:rStyle w:val="normaltextrun"/>
          <w:rFonts w:cs="Segoe UI"/>
          <w:szCs w:val="21"/>
        </w:rPr>
        <w:t>-year work plan. This work plan will build on existing regulation and monitoring activities</w:t>
      </w:r>
      <w:r>
        <w:rPr>
          <w:rStyle w:val="normaltextrun"/>
          <w:rFonts w:cs="Segoe UI"/>
          <w:szCs w:val="21"/>
        </w:rPr>
        <w:t>,</w:t>
      </w:r>
      <w:r w:rsidRPr="005F1F83">
        <w:rPr>
          <w:rStyle w:val="normaltextrun"/>
          <w:rFonts w:cs="Segoe UI"/>
          <w:szCs w:val="21"/>
        </w:rPr>
        <w:t xml:space="preserve"> as well as address</w:t>
      </w:r>
      <w:r>
        <w:rPr>
          <w:rStyle w:val="normaltextrun"/>
          <w:rFonts w:cs="Segoe UI"/>
          <w:szCs w:val="21"/>
        </w:rPr>
        <w:t>ing</w:t>
      </w:r>
      <w:r w:rsidRPr="005F1F83">
        <w:rPr>
          <w:rStyle w:val="normaltextrun"/>
          <w:rFonts w:cs="Segoe UI"/>
          <w:szCs w:val="21"/>
        </w:rPr>
        <w:t xml:space="preserve"> some of the gaps identified in this report. Some specific areas of focus will be</w:t>
      </w:r>
      <w:r>
        <w:rPr>
          <w:rStyle w:val="normaltextrun"/>
          <w:rFonts w:cs="Segoe UI"/>
          <w:szCs w:val="21"/>
        </w:rPr>
        <w:t xml:space="preserve"> to</w:t>
      </w:r>
      <w:r w:rsidRPr="005F1F83">
        <w:rPr>
          <w:rStyle w:val="normaltextrun"/>
          <w:rFonts w:cs="Segoe UI"/>
          <w:szCs w:val="21"/>
        </w:rPr>
        <w:t>:</w:t>
      </w:r>
    </w:p>
    <w:p w14:paraId="735538A6" w14:textId="77777777" w:rsidR="00FA0B81" w:rsidRPr="005F1F83" w:rsidRDefault="00FA0B81" w:rsidP="00FA0B81">
      <w:pPr>
        <w:pStyle w:val="Bullet"/>
      </w:pPr>
      <w:r>
        <w:rPr>
          <w:rStyle w:val="normaltextrun"/>
          <w:rFonts w:cs="Segoe UI"/>
          <w:szCs w:val="21"/>
        </w:rPr>
        <w:t>i</w:t>
      </w:r>
      <w:r w:rsidRPr="005F1F83">
        <w:rPr>
          <w:rStyle w:val="normaltextrun"/>
          <w:rFonts w:cs="Segoe UI"/>
          <w:szCs w:val="21"/>
        </w:rPr>
        <w:t xml:space="preserve">mprove data collection and </w:t>
      </w:r>
      <w:proofErr w:type="gramStart"/>
      <w:r w:rsidRPr="005F1F83">
        <w:rPr>
          <w:rStyle w:val="normaltextrun"/>
          <w:rFonts w:cs="Segoe UI"/>
          <w:szCs w:val="21"/>
        </w:rPr>
        <w:t>reporting</w:t>
      </w:r>
      <w:proofErr w:type="gramEnd"/>
      <w:r w:rsidRPr="005F1F83">
        <w:rPr>
          <w:rStyle w:val="normaltextrun"/>
          <w:rFonts w:cs="Segoe UI"/>
          <w:szCs w:val="21"/>
        </w:rPr>
        <w:t xml:space="preserve"> </w:t>
      </w:r>
    </w:p>
    <w:p w14:paraId="276B1CDC" w14:textId="77777777" w:rsidR="00FA0B81" w:rsidRPr="005F1F83" w:rsidRDefault="00FA0B81" w:rsidP="00FA0B81">
      <w:pPr>
        <w:pStyle w:val="Bullet"/>
      </w:pPr>
      <w:r>
        <w:rPr>
          <w:rStyle w:val="normaltextrun"/>
          <w:rFonts w:cs="Segoe UI"/>
          <w:szCs w:val="21"/>
        </w:rPr>
        <w:t xml:space="preserve">set </w:t>
      </w:r>
      <w:r w:rsidRPr="005F1F83">
        <w:rPr>
          <w:rStyle w:val="normaltextrun"/>
          <w:rFonts w:cs="Segoe UI"/>
          <w:szCs w:val="21"/>
        </w:rPr>
        <w:t xml:space="preserve">expectations for service </w:t>
      </w:r>
      <w:proofErr w:type="gramStart"/>
      <w:r w:rsidRPr="005F1F83">
        <w:rPr>
          <w:rStyle w:val="normaltextrun"/>
          <w:rFonts w:cs="Segoe UI"/>
          <w:szCs w:val="21"/>
        </w:rPr>
        <w:t>delivery</w:t>
      </w:r>
      <w:proofErr w:type="gramEnd"/>
      <w:r w:rsidRPr="005F1F83">
        <w:rPr>
          <w:rStyle w:val="normaltextrun"/>
          <w:rFonts w:cs="Segoe UI"/>
          <w:szCs w:val="21"/>
        </w:rPr>
        <w:t> </w:t>
      </w:r>
      <w:r w:rsidRPr="005F1F83">
        <w:rPr>
          <w:rStyle w:val="eop"/>
          <w:rFonts w:cs="Segoe UI"/>
          <w:szCs w:val="21"/>
        </w:rPr>
        <w:t> </w:t>
      </w:r>
    </w:p>
    <w:p w14:paraId="533EF4C5" w14:textId="77777777" w:rsidR="00FA0B81" w:rsidRPr="005F1F83" w:rsidRDefault="00FA0B81" w:rsidP="00FA0B81">
      <w:pPr>
        <w:pStyle w:val="Bullet"/>
      </w:pPr>
      <w:r>
        <w:rPr>
          <w:rStyle w:val="normaltextrun"/>
          <w:rFonts w:cs="Segoe UI"/>
          <w:szCs w:val="21"/>
        </w:rPr>
        <w:t>i</w:t>
      </w:r>
      <w:r w:rsidRPr="005F1F83">
        <w:rPr>
          <w:rStyle w:val="normaltextrun"/>
          <w:rFonts w:cs="Segoe UI"/>
          <w:szCs w:val="21"/>
        </w:rPr>
        <w:t xml:space="preserve">mprove information for the public and health </w:t>
      </w:r>
      <w:proofErr w:type="gramStart"/>
      <w:r w:rsidRPr="005F1F83">
        <w:rPr>
          <w:rStyle w:val="normaltextrun"/>
          <w:rFonts w:cs="Segoe UI"/>
          <w:szCs w:val="21"/>
        </w:rPr>
        <w:t>practitioners</w:t>
      </w:r>
      <w:proofErr w:type="gramEnd"/>
      <w:r w:rsidRPr="005F1F83">
        <w:rPr>
          <w:rStyle w:val="normaltextrun"/>
          <w:rFonts w:cs="Segoe UI"/>
          <w:szCs w:val="21"/>
        </w:rPr>
        <w:t> </w:t>
      </w:r>
      <w:r w:rsidRPr="005F1F83">
        <w:rPr>
          <w:rStyle w:val="eop"/>
          <w:rFonts w:cs="Segoe UI"/>
          <w:szCs w:val="21"/>
        </w:rPr>
        <w:t> </w:t>
      </w:r>
    </w:p>
    <w:p w14:paraId="31410308" w14:textId="77777777" w:rsidR="00FA0B81" w:rsidRPr="005F1F83" w:rsidRDefault="00FA0B81" w:rsidP="00FA0B81">
      <w:pPr>
        <w:pStyle w:val="Bullet"/>
      </w:pPr>
      <w:r>
        <w:rPr>
          <w:rStyle w:val="normaltextrun"/>
          <w:rFonts w:cs="Segoe UI"/>
          <w:szCs w:val="21"/>
        </w:rPr>
        <w:t>conduct t</w:t>
      </w:r>
      <w:r w:rsidRPr="005F1F83">
        <w:rPr>
          <w:rStyle w:val="normaltextrun"/>
          <w:rFonts w:cs="Segoe UI"/>
          <w:szCs w:val="21"/>
        </w:rPr>
        <w:t>argeted monitoring into specific areas requiring improvement (</w:t>
      </w:r>
      <w:proofErr w:type="spellStart"/>
      <w:r>
        <w:rPr>
          <w:rStyle w:val="normaltextrun"/>
          <w:rFonts w:cs="Segoe UI"/>
          <w:szCs w:val="21"/>
        </w:rPr>
        <w:t>eg</w:t>
      </w:r>
      <w:proofErr w:type="spellEnd"/>
      <w:r>
        <w:rPr>
          <w:rStyle w:val="normaltextrun"/>
          <w:rFonts w:cs="Segoe UI"/>
          <w:szCs w:val="21"/>
        </w:rPr>
        <w:t>,</w:t>
      </w:r>
      <w:r w:rsidRPr="005F1F83">
        <w:rPr>
          <w:rStyle w:val="normaltextrun"/>
          <w:rFonts w:cs="Segoe UI"/>
          <w:szCs w:val="21"/>
        </w:rPr>
        <w:t xml:space="preserve"> abortion counselling, workforce)</w:t>
      </w:r>
      <w:r w:rsidRPr="005F1F83">
        <w:rPr>
          <w:rStyle w:val="eop"/>
          <w:rFonts w:cs="Segoe UI"/>
          <w:szCs w:val="21"/>
        </w:rPr>
        <w:t> </w:t>
      </w:r>
    </w:p>
    <w:p w14:paraId="261E1F1A" w14:textId="77777777" w:rsidR="00FA0B81" w:rsidRPr="005F1F83" w:rsidRDefault="00FA0B81" w:rsidP="00FA0B81">
      <w:pPr>
        <w:pStyle w:val="Bullet"/>
      </w:pPr>
      <w:r>
        <w:rPr>
          <w:rStyle w:val="normaltextrun"/>
          <w:rFonts w:cs="Segoe UI"/>
          <w:szCs w:val="21"/>
        </w:rPr>
        <w:t>m</w:t>
      </w:r>
      <w:r w:rsidRPr="005F1F83">
        <w:rPr>
          <w:rStyle w:val="normaltextrun"/>
          <w:rFonts w:cs="Segoe UI"/>
          <w:szCs w:val="21"/>
        </w:rPr>
        <w:t>onitor Health New Zealand to ensure that</w:t>
      </w:r>
      <w:r>
        <w:rPr>
          <w:rStyle w:val="normaltextrun"/>
          <w:rFonts w:cs="Segoe UI"/>
          <w:szCs w:val="21"/>
        </w:rPr>
        <w:t xml:space="preserve"> it actions</w:t>
      </w:r>
      <w:r w:rsidRPr="005F1F83">
        <w:rPr>
          <w:rStyle w:val="normaltextrun"/>
          <w:rFonts w:cs="Segoe UI"/>
          <w:szCs w:val="21"/>
        </w:rPr>
        <w:t xml:space="preserve"> the recommendations outlined </w:t>
      </w:r>
      <w:proofErr w:type="gramStart"/>
      <w:r w:rsidRPr="005F1F83">
        <w:rPr>
          <w:rStyle w:val="normaltextrun"/>
          <w:rFonts w:cs="Segoe UI"/>
          <w:szCs w:val="21"/>
        </w:rPr>
        <w:t>below</w:t>
      </w:r>
      <w:proofErr w:type="gramEnd"/>
      <w:r w:rsidRPr="005F1F83">
        <w:rPr>
          <w:rStyle w:val="normaltextrun"/>
          <w:rFonts w:cs="Segoe UI"/>
          <w:szCs w:val="21"/>
        </w:rPr>
        <w:t xml:space="preserve"> and that abortion health care remains a part of </w:t>
      </w:r>
      <w:r>
        <w:rPr>
          <w:rStyle w:val="normaltextrun"/>
          <w:rFonts w:cs="Segoe UI"/>
          <w:szCs w:val="21"/>
        </w:rPr>
        <w:t xml:space="preserve">its </w:t>
      </w:r>
      <w:r w:rsidRPr="005F1F83">
        <w:rPr>
          <w:rStyle w:val="normaltextrun"/>
          <w:rFonts w:cs="Segoe UI"/>
          <w:szCs w:val="21"/>
        </w:rPr>
        <w:t>work plan and service delivery expectations. </w:t>
      </w:r>
      <w:r w:rsidRPr="005F1F83">
        <w:rPr>
          <w:rStyle w:val="eop"/>
          <w:rFonts w:cs="Segoe UI"/>
          <w:szCs w:val="21"/>
        </w:rPr>
        <w:t> </w:t>
      </w:r>
    </w:p>
    <w:p w14:paraId="631CE023" w14:textId="77777777" w:rsidR="00FA0B81" w:rsidRDefault="00FA0B81" w:rsidP="00FA0B81">
      <w:pPr>
        <w:rPr>
          <w:rStyle w:val="normaltextrun"/>
          <w:rFonts w:cs="Segoe UI"/>
          <w:szCs w:val="21"/>
        </w:rPr>
      </w:pPr>
    </w:p>
    <w:p w14:paraId="6C9BF013" w14:textId="3449A172" w:rsidR="00FA0B81" w:rsidRDefault="00FA0B81" w:rsidP="00FA0B81">
      <w:pPr>
        <w:rPr>
          <w:rStyle w:val="eop"/>
          <w:rFonts w:cs="Segoe UI"/>
          <w:szCs w:val="21"/>
        </w:rPr>
      </w:pPr>
      <w:r w:rsidRPr="005F1F83">
        <w:rPr>
          <w:rStyle w:val="normaltextrun"/>
          <w:rFonts w:cs="Segoe UI"/>
          <w:szCs w:val="21"/>
        </w:rPr>
        <w:t>The Ministry will report on progress against these matters in the next periodic review</w:t>
      </w:r>
      <w:r>
        <w:rPr>
          <w:rStyle w:val="normaltextrun"/>
          <w:rFonts w:cs="Segoe UI"/>
          <w:szCs w:val="21"/>
        </w:rPr>
        <w:t>.</w:t>
      </w:r>
      <w:r w:rsidRPr="005F1F83">
        <w:rPr>
          <w:rStyle w:val="normaltextrun"/>
          <w:rFonts w:cs="Segoe UI"/>
          <w:szCs w:val="21"/>
        </w:rPr>
        <w:t xml:space="preserve"> </w:t>
      </w:r>
      <w:r>
        <w:rPr>
          <w:rStyle w:val="normaltextrun"/>
          <w:rFonts w:cs="Segoe UI"/>
          <w:szCs w:val="21"/>
        </w:rPr>
        <w:t>T</w:t>
      </w:r>
      <w:r w:rsidRPr="005F1F83">
        <w:rPr>
          <w:rStyle w:val="normaltextrun"/>
          <w:rFonts w:cs="Segoe UI"/>
          <w:szCs w:val="21"/>
        </w:rPr>
        <w:t>his will include further consider</w:t>
      </w:r>
      <w:r>
        <w:rPr>
          <w:rStyle w:val="normaltextrun"/>
          <w:rFonts w:cs="Segoe UI"/>
          <w:szCs w:val="21"/>
        </w:rPr>
        <w:t>ing</w:t>
      </w:r>
      <w:r w:rsidRPr="005F1F83">
        <w:rPr>
          <w:rStyle w:val="normaltextrun"/>
          <w:rFonts w:cs="Segoe UI"/>
          <w:szCs w:val="21"/>
        </w:rPr>
        <w:t xml:space="preserve"> whether abortions </w:t>
      </w:r>
      <w:r>
        <w:rPr>
          <w:rStyle w:val="normaltextrun"/>
          <w:rFonts w:cs="Segoe UI"/>
          <w:szCs w:val="21"/>
        </w:rPr>
        <w:t xml:space="preserve">occur </w:t>
      </w:r>
      <w:r w:rsidRPr="005F1F83">
        <w:rPr>
          <w:rStyle w:val="normaltextrun"/>
          <w:rFonts w:cs="Segoe UI"/>
          <w:szCs w:val="21"/>
        </w:rPr>
        <w:t>for the purpose of sex selection in New Zealand. </w:t>
      </w:r>
      <w:r w:rsidRPr="005F1F83">
        <w:rPr>
          <w:rStyle w:val="eop"/>
          <w:rFonts w:cs="Segoe UI"/>
          <w:szCs w:val="21"/>
        </w:rPr>
        <w:t> </w:t>
      </w:r>
    </w:p>
    <w:p w14:paraId="07C3581A" w14:textId="77777777" w:rsidR="00FA0B81" w:rsidRPr="005F1F83" w:rsidRDefault="00FA0B81" w:rsidP="00FA0B81">
      <w:pPr>
        <w:rPr>
          <w:sz w:val="18"/>
          <w:szCs w:val="18"/>
        </w:rPr>
      </w:pPr>
    </w:p>
    <w:p w14:paraId="3555FB9E" w14:textId="77777777" w:rsidR="00FA0B81" w:rsidRPr="005F1F83" w:rsidRDefault="00FA0B81" w:rsidP="00FA0B81">
      <w:pPr>
        <w:rPr>
          <w:sz w:val="18"/>
          <w:szCs w:val="18"/>
        </w:rPr>
      </w:pPr>
      <w:r w:rsidRPr="005F1F83">
        <w:rPr>
          <w:rStyle w:val="normaltextrun"/>
          <w:rFonts w:cs="Segoe UI"/>
          <w:szCs w:val="21"/>
        </w:rPr>
        <w:t xml:space="preserve">While not included in the scope of this review and not currently a priority, some parts of the </w:t>
      </w:r>
      <w:r>
        <w:rPr>
          <w:rStyle w:val="normaltextrun"/>
          <w:rFonts w:cs="Segoe UI"/>
          <w:szCs w:val="21"/>
        </w:rPr>
        <w:t xml:space="preserve">CSA </w:t>
      </w:r>
      <w:r w:rsidRPr="005F1F83">
        <w:rPr>
          <w:rStyle w:val="normaltextrun"/>
          <w:rFonts w:cs="Segoe UI"/>
          <w:szCs w:val="21"/>
        </w:rPr>
        <w:t>Act are out of date</w:t>
      </w:r>
      <w:r>
        <w:rPr>
          <w:rStyle w:val="normaltextrun"/>
          <w:rFonts w:cs="Segoe UI"/>
          <w:szCs w:val="21"/>
        </w:rPr>
        <w:t>.</w:t>
      </w:r>
      <w:r w:rsidRPr="005F1F83">
        <w:rPr>
          <w:rStyle w:val="normaltextrun"/>
          <w:rFonts w:cs="Segoe UI"/>
          <w:szCs w:val="21"/>
        </w:rPr>
        <w:t xml:space="preserve"> </w:t>
      </w:r>
      <w:r>
        <w:rPr>
          <w:rStyle w:val="normaltextrun"/>
          <w:rFonts w:cs="Segoe UI"/>
          <w:szCs w:val="21"/>
        </w:rPr>
        <w:t>T</w:t>
      </w:r>
      <w:r w:rsidRPr="005F1F83">
        <w:rPr>
          <w:rStyle w:val="normaltextrun"/>
          <w:rFonts w:cs="Segoe UI"/>
          <w:szCs w:val="21"/>
        </w:rPr>
        <w:t>he Ministry may consider this Act when assessing its legislative review priorities and work programme. </w:t>
      </w:r>
      <w:r w:rsidRPr="005F1F83">
        <w:rPr>
          <w:rStyle w:val="eop"/>
          <w:rFonts w:cs="Segoe UI"/>
          <w:szCs w:val="21"/>
        </w:rPr>
        <w:t> </w:t>
      </w:r>
    </w:p>
    <w:p w14:paraId="3EA2B9D6" w14:textId="77777777" w:rsidR="00FA0B81" w:rsidRPr="00FA0B81" w:rsidRDefault="00FA0B81" w:rsidP="00FA0B81">
      <w:pPr>
        <w:pStyle w:val="Heading3"/>
      </w:pPr>
      <w:r w:rsidRPr="00FA0B81">
        <w:rPr>
          <w:rStyle w:val="normaltextrun"/>
        </w:rPr>
        <w:t>Recommendations </w:t>
      </w:r>
      <w:r w:rsidRPr="00FA0B81">
        <w:rPr>
          <w:rStyle w:val="eop"/>
        </w:rPr>
        <w:t> </w:t>
      </w:r>
    </w:p>
    <w:p w14:paraId="03C00DA1" w14:textId="6C178E12" w:rsidR="00FA0B81" w:rsidRDefault="00FA0B81" w:rsidP="00FA0B81">
      <w:pPr>
        <w:rPr>
          <w:rStyle w:val="eop"/>
          <w:rFonts w:cs="Segoe UI"/>
          <w:szCs w:val="21"/>
        </w:rPr>
      </w:pPr>
      <w:r>
        <w:rPr>
          <w:rStyle w:val="normaltextrun"/>
          <w:rFonts w:cs="Segoe UI"/>
          <w:szCs w:val="21"/>
        </w:rPr>
        <w:t>In line with</w:t>
      </w:r>
      <w:r w:rsidRPr="005F1F83">
        <w:rPr>
          <w:rStyle w:val="normaltextrun"/>
          <w:rFonts w:cs="Segoe UI"/>
          <w:szCs w:val="21"/>
        </w:rPr>
        <w:t xml:space="preserve"> section 17(b)(ii) of the </w:t>
      </w:r>
      <w:r>
        <w:rPr>
          <w:rStyle w:val="normaltextrun"/>
          <w:rFonts w:cs="Segoe UI"/>
          <w:szCs w:val="21"/>
        </w:rPr>
        <w:t xml:space="preserve">CSA </w:t>
      </w:r>
      <w:r w:rsidRPr="005F1F83">
        <w:rPr>
          <w:rStyle w:val="normaltextrun"/>
          <w:rFonts w:cs="Segoe UI"/>
          <w:szCs w:val="21"/>
        </w:rPr>
        <w:t>Act, the Ministry has developed a series of recommendations for improving the timely and equitable access to the services identified in this report. </w:t>
      </w:r>
      <w:r w:rsidRPr="005F1F83">
        <w:rPr>
          <w:rStyle w:val="eop"/>
          <w:rFonts w:cs="Segoe UI"/>
          <w:szCs w:val="21"/>
        </w:rPr>
        <w:t> </w:t>
      </w:r>
    </w:p>
    <w:p w14:paraId="5EB24452" w14:textId="77777777" w:rsidR="00FA0B81" w:rsidRPr="005F1F83" w:rsidRDefault="00FA0B81" w:rsidP="00FA0B81">
      <w:pPr>
        <w:rPr>
          <w:sz w:val="18"/>
          <w:szCs w:val="18"/>
        </w:rPr>
      </w:pPr>
    </w:p>
    <w:p w14:paraId="79D78684" w14:textId="77F3DA53" w:rsidR="00FA0B81" w:rsidRDefault="00FA0B81" w:rsidP="00FA0B81">
      <w:pPr>
        <w:rPr>
          <w:rStyle w:val="eop"/>
          <w:rFonts w:cs="Segoe UI"/>
          <w:szCs w:val="21"/>
        </w:rPr>
      </w:pPr>
      <w:r w:rsidRPr="005F1F83">
        <w:rPr>
          <w:rStyle w:val="normaltextrun"/>
          <w:rFonts w:cs="Segoe UI"/>
          <w:szCs w:val="21"/>
        </w:rPr>
        <w:t xml:space="preserve">The recommendations outlined below relate to Health New Zealand’s responsibilities for service provision and equitable service access, as required under section 16(1) of the </w:t>
      </w:r>
      <w:r>
        <w:rPr>
          <w:rStyle w:val="normaltextrun"/>
          <w:rFonts w:cs="Segoe UI"/>
          <w:szCs w:val="21"/>
        </w:rPr>
        <w:t xml:space="preserve">CSA </w:t>
      </w:r>
      <w:r w:rsidRPr="005F1F83">
        <w:rPr>
          <w:rStyle w:val="normaltextrun"/>
          <w:rFonts w:cs="Segoe UI"/>
          <w:szCs w:val="21"/>
        </w:rPr>
        <w:t>Act</w:t>
      </w:r>
      <w:r>
        <w:rPr>
          <w:rStyle w:val="normaltextrun"/>
          <w:rFonts w:cs="Segoe UI"/>
          <w:szCs w:val="21"/>
        </w:rPr>
        <w:t>. They</w:t>
      </w:r>
      <w:r w:rsidRPr="005F1F83">
        <w:rPr>
          <w:rStyle w:val="normaltextrun"/>
          <w:rFonts w:cs="Segoe UI"/>
          <w:szCs w:val="21"/>
        </w:rPr>
        <w:t xml:space="preserve"> also align with the </w:t>
      </w:r>
      <w:r>
        <w:rPr>
          <w:rStyle w:val="normaltextrun"/>
          <w:rFonts w:cs="Segoe UI"/>
          <w:szCs w:val="21"/>
        </w:rPr>
        <w:t>G</w:t>
      </w:r>
      <w:r w:rsidRPr="005F1F83">
        <w:rPr>
          <w:rStyle w:val="normaltextrun"/>
          <w:rFonts w:cs="Segoe UI"/>
          <w:szCs w:val="21"/>
        </w:rPr>
        <w:t xml:space="preserve">overnment’s expectation and priority areas for the health system as outlined in the Government Policy Statement </w:t>
      </w:r>
      <w:r>
        <w:rPr>
          <w:rStyle w:val="normaltextrun"/>
          <w:rFonts w:cs="Segoe UI"/>
          <w:szCs w:val="21"/>
        </w:rPr>
        <w:t xml:space="preserve">on Health </w:t>
      </w:r>
      <w:r w:rsidRPr="005F1F83">
        <w:rPr>
          <w:rStyle w:val="normaltextrun"/>
          <w:rFonts w:cs="Segoe UI"/>
          <w:szCs w:val="21"/>
        </w:rPr>
        <w:t>2024</w:t>
      </w:r>
      <w:r>
        <w:rPr>
          <w:rStyle w:val="normaltextrun"/>
          <w:rFonts w:cs="Segoe UI"/>
          <w:szCs w:val="21"/>
        </w:rPr>
        <w:t>–20</w:t>
      </w:r>
      <w:r w:rsidRPr="005F1F83">
        <w:rPr>
          <w:rStyle w:val="normaltextrun"/>
          <w:rFonts w:cs="Segoe UI"/>
          <w:szCs w:val="21"/>
        </w:rPr>
        <w:t>27</w:t>
      </w:r>
      <w:r>
        <w:rPr>
          <w:rStyle w:val="normaltextrun"/>
          <w:rFonts w:cs="Segoe UI"/>
          <w:szCs w:val="21"/>
        </w:rPr>
        <w:t xml:space="preserve"> (Minister of Health 2024)</w:t>
      </w:r>
      <w:r w:rsidRPr="005F1F83">
        <w:rPr>
          <w:rStyle w:val="normaltextrun"/>
          <w:rFonts w:cs="Segoe UI"/>
          <w:szCs w:val="21"/>
        </w:rPr>
        <w:t>. </w:t>
      </w:r>
      <w:r w:rsidRPr="005F1F83">
        <w:rPr>
          <w:rStyle w:val="eop"/>
          <w:rFonts w:cs="Segoe UI"/>
          <w:szCs w:val="21"/>
        </w:rPr>
        <w:t> </w:t>
      </w:r>
    </w:p>
    <w:p w14:paraId="610B8881" w14:textId="77777777" w:rsidR="00FA0B81" w:rsidRPr="005F1F83" w:rsidRDefault="00FA0B81" w:rsidP="00FA0B81">
      <w:pPr>
        <w:rPr>
          <w:sz w:val="18"/>
          <w:szCs w:val="18"/>
        </w:rPr>
      </w:pPr>
    </w:p>
    <w:p w14:paraId="5C507C86" w14:textId="77777777" w:rsidR="00FA0B81" w:rsidRPr="005F1F83" w:rsidRDefault="00FA0B81" w:rsidP="00FA0B81">
      <w:pPr>
        <w:rPr>
          <w:sz w:val="18"/>
          <w:szCs w:val="18"/>
        </w:rPr>
      </w:pPr>
      <w:r w:rsidRPr="005F1F83">
        <w:rPr>
          <w:rStyle w:val="normaltextrun"/>
          <w:rFonts w:cs="Segoe UI"/>
          <w:szCs w:val="21"/>
        </w:rPr>
        <w:t>The Ministry recommends that Health New Zealand:</w:t>
      </w:r>
      <w:r w:rsidRPr="005F1F83">
        <w:rPr>
          <w:rStyle w:val="eop"/>
          <w:rFonts w:cs="Segoe UI"/>
          <w:szCs w:val="21"/>
        </w:rPr>
        <w:t> </w:t>
      </w:r>
    </w:p>
    <w:p w14:paraId="16C60337" w14:textId="77777777" w:rsidR="00FA0B81" w:rsidRPr="005F1F83" w:rsidRDefault="00FA0B81" w:rsidP="00FA0B81">
      <w:pPr>
        <w:pStyle w:val="Bullet"/>
        <w:rPr>
          <w:rStyle w:val="normaltextrun"/>
          <w:rFonts w:cs="Segoe UI"/>
          <w:szCs w:val="21"/>
        </w:rPr>
      </w:pPr>
      <w:r>
        <w:rPr>
          <w:rStyle w:val="normaltextrun"/>
          <w:rFonts w:cs="Segoe UI"/>
          <w:szCs w:val="21"/>
        </w:rPr>
        <w:t>i</w:t>
      </w:r>
      <w:r w:rsidRPr="005F1F83">
        <w:rPr>
          <w:rStyle w:val="normaltextrun"/>
          <w:rFonts w:cs="Segoe UI"/>
          <w:szCs w:val="21"/>
        </w:rPr>
        <w:t>dentif</w:t>
      </w:r>
      <w:r>
        <w:rPr>
          <w:rStyle w:val="normaltextrun"/>
          <w:rFonts w:cs="Segoe UI"/>
          <w:szCs w:val="21"/>
        </w:rPr>
        <w:t>ies</w:t>
      </w:r>
      <w:r w:rsidRPr="005F1F83">
        <w:rPr>
          <w:rStyle w:val="normaltextrun"/>
          <w:rFonts w:cs="Segoe UI"/>
          <w:szCs w:val="21"/>
        </w:rPr>
        <w:t xml:space="preserve"> and address</w:t>
      </w:r>
      <w:r>
        <w:rPr>
          <w:rStyle w:val="normaltextrun"/>
          <w:rFonts w:cs="Segoe UI"/>
          <w:szCs w:val="21"/>
        </w:rPr>
        <w:t>es</w:t>
      </w:r>
      <w:r w:rsidRPr="005F1F83">
        <w:rPr>
          <w:rStyle w:val="normaltextrun"/>
          <w:rFonts w:cs="Segoe UI"/>
          <w:szCs w:val="21"/>
        </w:rPr>
        <w:t xml:space="preserve"> gaps in availability of the services listed in this report throughout New Zealand</w:t>
      </w:r>
    </w:p>
    <w:p w14:paraId="457602FD" w14:textId="77777777" w:rsidR="00FA0B81" w:rsidRPr="005F1F83" w:rsidRDefault="00FA0B81" w:rsidP="00FA0B81">
      <w:pPr>
        <w:pStyle w:val="Bullet"/>
      </w:pPr>
      <w:r>
        <w:rPr>
          <w:rStyle w:val="normaltextrun"/>
          <w:rFonts w:cs="Segoe UI"/>
          <w:szCs w:val="21"/>
        </w:rPr>
        <w:t>e</w:t>
      </w:r>
      <w:r w:rsidRPr="005F1F83">
        <w:rPr>
          <w:rStyle w:val="normaltextrun"/>
          <w:rFonts w:cs="Segoe UI"/>
          <w:szCs w:val="21"/>
        </w:rPr>
        <w:t xml:space="preserve">nsures information about how to access these services meets the needs of people accessing them and supports informed </w:t>
      </w:r>
      <w:proofErr w:type="gramStart"/>
      <w:r w:rsidRPr="005F1F83">
        <w:rPr>
          <w:rStyle w:val="normaltextrun"/>
          <w:rFonts w:cs="Segoe UI"/>
          <w:szCs w:val="21"/>
        </w:rPr>
        <w:t>decision</w:t>
      </w:r>
      <w:r>
        <w:rPr>
          <w:rStyle w:val="normaltextrun"/>
          <w:rFonts w:cs="Segoe UI"/>
          <w:szCs w:val="21"/>
        </w:rPr>
        <w:t>-</w:t>
      </w:r>
      <w:r w:rsidRPr="005F1F83">
        <w:rPr>
          <w:rStyle w:val="normaltextrun"/>
          <w:rFonts w:cs="Segoe UI"/>
          <w:szCs w:val="21"/>
        </w:rPr>
        <w:t>making</w:t>
      </w:r>
      <w:proofErr w:type="gramEnd"/>
    </w:p>
    <w:p w14:paraId="5B5D6B9D" w14:textId="77777777" w:rsidR="00FA0B81" w:rsidRPr="005F1F83" w:rsidRDefault="00FA0B81" w:rsidP="00FA0B81">
      <w:pPr>
        <w:pStyle w:val="Bullet"/>
      </w:pPr>
      <w:r>
        <w:rPr>
          <w:rStyle w:val="normaltextrun"/>
          <w:rFonts w:cs="Segoe UI"/>
          <w:szCs w:val="21"/>
        </w:rPr>
        <w:t>e</w:t>
      </w:r>
      <w:r w:rsidRPr="005F1F83">
        <w:rPr>
          <w:rStyle w:val="normaltextrun"/>
          <w:rFonts w:cs="Segoe UI"/>
          <w:szCs w:val="21"/>
        </w:rPr>
        <w:t xml:space="preserve">ngages with the Ministry around the monitoring and oversight of contraception and sterilisation services as part of the broader reproductive health </w:t>
      </w:r>
      <w:proofErr w:type="gramStart"/>
      <w:r w:rsidRPr="005F1F83">
        <w:rPr>
          <w:rStyle w:val="normaltextrun"/>
          <w:rFonts w:cs="Segoe UI"/>
          <w:szCs w:val="21"/>
        </w:rPr>
        <w:t>journey</w:t>
      </w:r>
      <w:proofErr w:type="gramEnd"/>
    </w:p>
    <w:p w14:paraId="29F65FB8" w14:textId="77777777" w:rsidR="00FA0B81" w:rsidRPr="005F1F83" w:rsidRDefault="00FA0B81" w:rsidP="00FA0B81">
      <w:pPr>
        <w:pStyle w:val="Bullet"/>
      </w:pPr>
      <w:r>
        <w:rPr>
          <w:rStyle w:val="normaltextrun"/>
          <w:rFonts w:cs="Segoe UI"/>
          <w:szCs w:val="21"/>
        </w:rPr>
        <w:t>r</w:t>
      </w:r>
      <w:r w:rsidRPr="005F1F83">
        <w:rPr>
          <w:rStyle w:val="normaltextrun"/>
          <w:rFonts w:cs="Segoe UI"/>
          <w:szCs w:val="21"/>
        </w:rPr>
        <w:t>efresh</w:t>
      </w:r>
      <w:r>
        <w:rPr>
          <w:rStyle w:val="normaltextrun"/>
          <w:rFonts w:cs="Segoe UI"/>
          <w:szCs w:val="21"/>
        </w:rPr>
        <w:t>es</w:t>
      </w:r>
      <w:r w:rsidRPr="005F1F83">
        <w:rPr>
          <w:rStyle w:val="normaltextrun"/>
          <w:rFonts w:cs="Segoe UI"/>
          <w:szCs w:val="21"/>
        </w:rPr>
        <w:t xml:space="preserve"> the abortion clinical </w:t>
      </w:r>
      <w:proofErr w:type="gramStart"/>
      <w:r w:rsidRPr="005F1F83">
        <w:rPr>
          <w:rStyle w:val="normaltextrun"/>
          <w:rFonts w:cs="Segoe UI"/>
          <w:szCs w:val="21"/>
        </w:rPr>
        <w:t>guideline</w:t>
      </w:r>
      <w:proofErr w:type="gramEnd"/>
    </w:p>
    <w:p w14:paraId="6BC2EF15" w14:textId="77777777" w:rsidR="00FA0B81" w:rsidRPr="005F1F83" w:rsidRDefault="00FA0B81" w:rsidP="00FA0B81">
      <w:pPr>
        <w:pStyle w:val="Bullet"/>
      </w:pPr>
      <w:r>
        <w:rPr>
          <w:rStyle w:val="normaltextrun"/>
          <w:rFonts w:cs="Segoe UI"/>
          <w:szCs w:val="21"/>
        </w:rPr>
        <w:t>a</w:t>
      </w:r>
      <w:r w:rsidRPr="005F1F83">
        <w:rPr>
          <w:rStyle w:val="normaltextrun"/>
          <w:rFonts w:cs="Segoe UI"/>
          <w:szCs w:val="21"/>
        </w:rPr>
        <w:t>ddress</w:t>
      </w:r>
      <w:r>
        <w:rPr>
          <w:rStyle w:val="normaltextrun"/>
          <w:rFonts w:cs="Segoe UI"/>
          <w:szCs w:val="21"/>
        </w:rPr>
        <w:t>es</w:t>
      </w:r>
      <w:r w:rsidRPr="005F1F83">
        <w:rPr>
          <w:rStyle w:val="normaltextrun"/>
          <w:rFonts w:cs="Segoe UI"/>
          <w:szCs w:val="21"/>
        </w:rPr>
        <w:t xml:space="preserve"> workforce issues in abortion health</w:t>
      </w:r>
      <w:r>
        <w:rPr>
          <w:rStyle w:val="normaltextrun"/>
          <w:rFonts w:cs="Segoe UI"/>
          <w:szCs w:val="21"/>
        </w:rPr>
        <w:t xml:space="preserve"> </w:t>
      </w:r>
      <w:r w:rsidRPr="005F1F83">
        <w:rPr>
          <w:rStyle w:val="normaltextrun"/>
          <w:rFonts w:cs="Segoe UI"/>
          <w:szCs w:val="21"/>
        </w:rPr>
        <w:t xml:space="preserve">care using training and </w:t>
      </w:r>
      <w:proofErr w:type="gramStart"/>
      <w:r w:rsidRPr="005F1F83">
        <w:rPr>
          <w:rStyle w:val="normaltextrun"/>
          <w:rFonts w:cs="Segoe UI"/>
          <w:szCs w:val="21"/>
        </w:rPr>
        <w:t>recruitment</w:t>
      </w:r>
      <w:proofErr w:type="gramEnd"/>
    </w:p>
    <w:p w14:paraId="305ADF48" w14:textId="1A57393B" w:rsidR="00FA0B81" w:rsidRPr="005F1F83" w:rsidRDefault="00FA0B81" w:rsidP="00FA0B81">
      <w:pPr>
        <w:pStyle w:val="Bullet"/>
      </w:pPr>
      <w:r>
        <w:rPr>
          <w:rStyle w:val="normaltextrun"/>
          <w:rFonts w:cs="Segoe UI"/>
          <w:szCs w:val="21"/>
        </w:rPr>
        <w:t>c</w:t>
      </w:r>
      <w:r w:rsidRPr="005F1F83">
        <w:rPr>
          <w:rStyle w:val="normaltextrun"/>
          <w:rFonts w:cs="Segoe UI"/>
          <w:szCs w:val="21"/>
        </w:rPr>
        <w:t>ontinue</w:t>
      </w:r>
      <w:r>
        <w:rPr>
          <w:rStyle w:val="normaltextrun"/>
          <w:rFonts w:cs="Segoe UI"/>
          <w:szCs w:val="21"/>
        </w:rPr>
        <w:t>s</w:t>
      </w:r>
      <w:r w:rsidRPr="005F1F83">
        <w:rPr>
          <w:rStyle w:val="normaltextrun"/>
          <w:rFonts w:cs="Segoe UI"/>
          <w:szCs w:val="21"/>
        </w:rPr>
        <w:t xml:space="preserve"> to ensure the abortion pathway is available for </w:t>
      </w:r>
      <w:r w:rsidR="00982B8D">
        <w:rPr>
          <w:rFonts w:eastAsia="Calibri"/>
        </w:rPr>
        <w:t>women</w:t>
      </w:r>
      <w:r w:rsidRPr="005F1F83">
        <w:rPr>
          <w:rStyle w:val="normaltextrun"/>
          <w:rFonts w:cs="Segoe UI"/>
          <w:szCs w:val="21"/>
        </w:rPr>
        <w:t>. This includes timely and equitable access to abortion health care, workforce, funding and a national pathway.</w:t>
      </w:r>
      <w:r w:rsidRPr="005F1F83">
        <w:rPr>
          <w:rStyle w:val="eop"/>
          <w:rFonts w:cs="Segoe UI"/>
          <w:szCs w:val="21"/>
        </w:rPr>
        <w:t> </w:t>
      </w:r>
    </w:p>
    <w:p w14:paraId="058A289F" w14:textId="77777777" w:rsidR="00FA0B81" w:rsidRDefault="00FA0B81" w:rsidP="00FA0B81">
      <w:pPr>
        <w:sectPr w:rsidR="00FA0B81" w:rsidSect="00CC19AA">
          <w:pgSz w:w="11907" w:h="16834" w:code="9"/>
          <w:pgMar w:top="1418" w:right="1701" w:bottom="1134" w:left="1843" w:header="284" w:footer="425" w:gutter="284"/>
          <w:cols w:space="720"/>
        </w:sectPr>
      </w:pPr>
    </w:p>
    <w:p w14:paraId="3650DDE0" w14:textId="77777777" w:rsidR="00FA0B81" w:rsidRPr="005F1F83" w:rsidRDefault="00FA0B81" w:rsidP="00FA0B81">
      <w:pPr>
        <w:pStyle w:val="Heading1"/>
        <w:pageBreakBefore/>
        <w:spacing w:before="0"/>
      </w:pPr>
      <w:bookmarkStart w:id="124" w:name="_Toc192348824"/>
      <w:bookmarkStart w:id="125" w:name="_Toc195016583"/>
      <w:r w:rsidRPr="005F1F83">
        <w:t>References</w:t>
      </w:r>
      <w:bookmarkEnd w:id="124"/>
      <w:r>
        <w:t xml:space="preserve"> – </w:t>
      </w:r>
      <w:proofErr w:type="spellStart"/>
      <w:r w:rsidRPr="000060F1">
        <w:t>Ngā</w:t>
      </w:r>
      <w:proofErr w:type="spellEnd"/>
      <w:r w:rsidRPr="000060F1">
        <w:t xml:space="preserve"> </w:t>
      </w:r>
      <w:proofErr w:type="spellStart"/>
      <w:r w:rsidRPr="000060F1">
        <w:t>tohutoro</w:t>
      </w:r>
      <w:bookmarkEnd w:id="125"/>
      <w:proofErr w:type="spellEnd"/>
    </w:p>
    <w:p w14:paraId="575CB915" w14:textId="77777777" w:rsidR="00FA0B81" w:rsidRPr="00FA0B81" w:rsidRDefault="00FA0B81" w:rsidP="00FA0B81">
      <w:pPr>
        <w:pStyle w:val="References"/>
        <w:rPr>
          <w:rFonts w:eastAsiaTheme="minorEastAsia" w:cs="Segoe UI"/>
          <w:b/>
          <w:bCs/>
          <w:sz w:val="22"/>
          <w:szCs w:val="22"/>
        </w:rPr>
      </w:pPr>
      <w:proofErr w:type="spellStart"/>
      <w:r w:rsidRPr="00FA0B81">
        <w:rPr>
          <w:rFonts w:cs="Segoe UI"/>
        </w:rPr>
        <w:t>Chemis</w:t>
      </w:r>
      <w:proofErr w:type="spellEnd"/>
      <w:r w:rsidRPr="00FA0B81">
        <w:rPr>
          <w:rFonts w:cs="Segoe UI"/>
        </w:rPr>
        <w:t xml:space="preserve"> P, Cuervo N, Dudley-Cobb R, et al. 2021.</w:t>
      </w:r>
      <w:r w:rsidRPr="00FA0B81">
        <w:rPr>
          <w:rFonts w:cs="Segoe UI"/>
          <w:i/>
          <w:iCs/>
        </w:rPr>
        <w:t xml:space="preserve"> </w:t>
      </w:r>
      <w:r w:rsidRPr="00FA0B81">
        <w:rPr>
          <w:rFonts w:eastAsiaTheme="minorEastAsia" w:cs="Segoe UI"/>
          <w:i/>
          <w:iCs/>
        </w:rPr>
        <w:t>Abortion Law Update: High Court finds new conscientious objection provisions do not breach NZBORA</w:t>
      </w:r>
      <w:r w:rsidRPr="00FA0B81">
        <w:rPr>
          <w:rFonts w:cs="Segoe UI"/>
          <w:i/>
          <w:iCs/>
        </w:rPr>
        <w:t xml:space="preserve">. </w:t>
      </w:r>
      <w:r w:rsidRPr="00FA0B81">
        <w:rPr>
          <w:rFonts w:cs="Segoe UI"/>
        </w:rPr>
        <w:t xml:space="preserve">Buddle Findlay. URL: </w:t>
      </w:r>
      <w:hyperlink r:id="rId42">
        <w:r w:rsidRPr="00FA0B81">
          <w:rPr>
            <w:rStyle w:val="Hyperlink"/>
            <w:rFonts w:cs="Segoe UI"/>
          </w:rPr>
          <w:t>buddlefindlay.com/insights/abortion-law-update-high-court-finds-new-conscientious-objection-provisions-do-not-breach-nzbora/</w:t>
        </w:r>
      </w:hyperlink>
      <w:r w:rsidRPr="00FA0B81">
        <w:rPr>
          <w:rFonts w:cs="Segoe UI"/>
        </w:rPr>
        <w:t xml:space="preserve"> (accessed 7 March 2025).</w:t>
      </w:r>
    </w:p>
    <w:p w14:paraId="1B354B40" w14:textId="77777777" w:rsidR="00FA0B81" w:rsidRPr="00FA0B81" w:rsidRDefault="00FA0B81" w:rsidP="00FA0B81">
      <w:pPr>
        <w:pStyle w:val="References"/>
        <w:rPr>
          <w:rFonts w:cs="Segoe UI"/>
        </w:rPr>
      </w:pPr>
      <w:r w:rsidRPr="00FA0B81">
        <w:rPr>
          <w:rFonts w:cs="Segoe UI"/>
        </w:rPr>
        <w:t xml:space="preserve">Cram F, </w:t>
      </w:r>
      <w:proofErr w:type="spellStart"/>
      <w:r w:rsidRPr="00FA0B81">
        <w:rPr>
          <w:rFonts w:cs="Segoe UI"/>
        </w:rPr>
        <w:t>Koopu</w:t>
      </w:r>
      <w:proofErr w:type="spellEnd"/>
      <w:r w:rsidRPr="00FA0B81">
        <w:rPr>
          <w:rFonts w:cs="Segoe UI"/>
        </w:rPr>
        <w:t xml:space="preserve"> A, Adcock A, et al. 2024. </w:t>
      </w:r>
      <w:proofErr w:type="spellStart"/>
      <w:r w:rsidRPr="00FA0B81">
        <w:rPr>
          <w:rFonts w:cs="Segoe UI"/>
          <w:i/>
          <w:iCs/>
        </w:rPr>
        <w:t>Wāhine</w:t>
      </w:r>
      <w:proofErr w:type="spellEnd"/>
      <w:r w:rsidRPr="00FA0B81">
        <w:rPr>
          <w:rFonts w:cs="Segoe UI"/>
          <w:i/>
          <w:iCs/>
        </w:rPr>
        <w:t xml:space="preserve"> Māori and Contraception: A collaborative research study</w:t>
      </w:r>
      <w:r w:rsidRPr="00FA0B81">
        <w:rPr>
          <w:rFonts w:cs="Segoe UI"/>
        </w:rPr>
        <w:t xml:space="preserve">. URL: </w:t>
      </w:r>
      <w:hyperlink r:id="rId43">
        <w:r w:rsidRPr="00FA0B81">
          <w:rPr>
            <w:rStyle w:val="Hyperlink"/>
            <w:rFonts w:cs="Segoe UI"/>
          </w:rPr>
          <w:t>sexualwellbeing.org.nz/media/l4spxiqp/20241104-wa-hine-ma-ori-contraception.pdf</w:t>
        </w:r>
      </w:hyperlink>
      <w:r w:rsidRPr="00FA0B81">
        <w:rPr>
          <w:rFonts w:cs="Segoe UI"/>
        </w:rPr>
        <w:t xml:space="preserve"> (accessed 7 March 2025).</w:t>
      </w:r>
    </w:p>
    <w:p w14:paraId="669489F3" w14:textId="77777777" w:rsidR="00FA0B81" w:rsidRPr="00FA0B81" w:rsidRDefault="00FA0B81" w:rsidP="00FA0B81">
      <w:pPr>
        <w:pStyle w:val="References"/>
        <w:rPr>
          <w:rFonts w:cs="Segoe UI"/>
        </w:rPr>
      </w:pPr>
      <w:bookmarkStart w:id="126" w:name="_Hlk192238316"/>
      <w:r w:rsidRPr="00FA0B81">
        <w:rPr>
          <w:rFonts w:cs="Segoe UI"/>
        </w:rPr>
        <w:t xml:space="preserve">Donald Beasley Institute. 2025. </w:t>
      </w:r>
      <w:r w:rsidRPr="00FA0B81">
        <w:rPr>
          <w:rFonts w:cs="Segoe UI"/>
          <w:i/>
          <w:iCs/>
        </w:rPr>
        <w:t>Abortion Is a Human Right and Health Issue: Disabled people’s experiences of abortion services in Aotearoa New Zealand</w:t>
      </w:r>
      <w:r w:rsidRPr="00FA0B81">
        <w:rPr>
          <w:rFonts w:cs="Segoe UI"/>
        </w:rPr>
        <w:t>. Wellington: Ministry of Health.</w:t>
      </w:r>
      <w:bookmarkEnd w:id="126"/>
    </w:p>
    <w:p w14:paraId="6B7D15DA" w14:textId="77777777" w:rsidR="00FA0B81" w:rsidRPr="00FA0B81" w:rsidRDefault="00FA0B81" w:rsidP="00FA0B81">
      <w:pPr>
        <w:pStyle w:val="References"/>
        <w:rPr>
          <w:rFonts w:cs="Segoe UI"/>
        </w:rPr>
      </w:pPr>
      <w:r w:rsidRPr="00FA0B81">
        <w:rPr>
          <w:rFonts w:cs="Segoe UI"/>
        </w:rPr>
        <w:t xml:space="preserve">Health New Zealand. 2024a. </w:t>
      </w:r>
      <w:r w:rsidRPr="00FA0B81">
        <w:rPr>
          <w:rFonts w:cs="Segoe UI"/>
          <w:i/>
          <w:iCs/>
        </w:rPr>
        <w:t>About National Health Index (NHI).</w:t>
      </w:r>
      <w:r w:rsidRPr="00FA0B81">
        <w:rPr>
          <w:rFonts w:cs="Segoe UI"/>
        </w:rPr>
        <w:t xml:space="preserve"> URL: </w:t>
      </w:r>
      <w:hyperlink r:id="rId44" w:history="1">
        <w:r w:rsidRPr="00FA0B81">
          <w:rPr>
            <w:rStyle w:val="Hyperlink"/>
            <w:rFonts w:cs="Segoe UI"/>
          </w:rPr>
          <w:t>tewhatuora.govt.nz/health-services-and-programmes/health-identity/national-health-index/about-national-health-index-nhi</w:t>
        </w:r>
      </w:hyperlink>
      <w:r w:rsidRPr="00FA0B81">
        <w:rPr>
          <w:rFonts w:cs="Segoe UI"/>
        </w:rPr>
        <w:t xml:space="preserve"> (accessed 4 March 2025).</w:t>
      </w:r>
    </w:p>
    <w:p w14:paraId="38BC3F96" w14:textId="77777777" w:rsidR="00FA0B81" w:rsidRPr="00FA0B81" w:rsidRDefault="00FA0B81" w:rsidP="00FA0B81">
      <w:pPr>
        <w:pStyle w:val="References"/>
        <w:rPr>
          <w:rFonts w:cs="Segoe UI"/>
        </w:rPr>
      </w:pPr>
      <w:r w:rsidRPr="00FA0B81">
        <w:rPr>
          <w:rFonts w:cs="Segoe UI"/>
        </w:rPr>
        <w:t xml:space="preserve">Health New Zealand. 2024b. Appendix 5: Non-invasive prenatal screening. URL: </w:t>
      </w:r>
      <w:hyperlink r:id="rId45" w:history="1">
        <w:r w:rsidRPr="00FA0B81">
          <w:rPr>
            <w:rStyle w:val="Hyperlink"/>
            <w:rFonts w:cs="Segoe UI"/>
          </w:rPr>
          <w:t>tewhatuora.govt.nz/for-health-professionals/health-workforce-development/maternity/new-zealand-obstetric-ultrasound-guidelines-online/appendices/appendix-5-non-invasive-prenatal-screening</w:t>
        </w:r>
      </w:hyperlink>
      <w:r w:rsidRPr="00FA0B81">
        <w:rPr>
          <w:rFonts w:cs="Segoe UI"/>
        </w:rPr>
        <w:t xml:space="preserve"> (accessed 4 March 2025).</w:t>
      </w:r>
    </w:p>
    <w:p w14:paraId="28E02CD8" w14:textId="77777777" w:rsidR="00FA0B81" w:rsidRPr="00FA0B81" w:rsidRDefault="00FA0B81" w:rsidP="00FA0B81">
      <w:pPr>
        <w:pStyle w:val="References"/>
        <w:rPr>
          <w:rFonts w:cs="Segoe UI"/>
        </w:rPr>
      </w:pPr>
      <w:r w:rsidRPr="00FA0B81">
        <w:rPr>
          <w:rFonts w:cs="Segoe UI"/>
        </w:rPr>
        <w:t xml:space="preserve">Health New Zealand. 2025. </w:t>
      </w:r>
      <w:r w:rsidRPr="00FA0B81">
        <w:rPr>
          <w:rFonts w:cs="Segoe UI"/>
          <w:i/>
          <w:iCs/>
        </w:rPr>
        <w:t>Maternity Claims</w:t>
      </w:r>
      <w:r w:rsidRPr="00FA0B81">
        <w:rPr>
          <w:rFonts w:cs="Segoe UI"/>
        </w:rPr>
        <w:t xml:space="preserve">. URL: </w:t>
      </w:r>
      <w:hyperlink r:id="rId46" w:history="1">
        <w:r w:rsidRPr="00FA0B81">
          <w:rPr>
            <w:rStyle w:val="Hyperlink"/>
            <w:rFonts w:cs="Segoe UI"/>
          </w:rPr>
          <w:t>tewhatuora.govt.nz/for-health-providers/claims-provider-payments-and-entitlements/maternity-claims</w:t>
        </w:r>
      </w:hyperlink>
      <w:r w:rsidRPr="00FA0B81">
        <w:rPr>
          <w:rFonts w:cs="Segoe UI"/>
        </w:rPr>
        <w:t xml:space="preserve"> (accessed 7 March 2025).</w:t>
      </w:r>
    </w:p>
    <w:p w14:paraId="3B251BA8" w14:textId="77777777" w:rsidR="00FA0B81" w:rsidRPr="00FA0B81" w:rsidRDefault="00FA0B81" w:rsidP="00FA0B81">
      <w:pPr>
        <w:pStyle w:val="References"/>
        <w:rPr>
          <w:rFonts w:cs="Segoe UI"/>
        </w:rPr>
      </w:pPr>
      <w:proofErr w:type="spellStart"/>
      <w:r w:rsidRPr="00FA0B81">
        <w:rPr>
          <w:rFonts w:cs="Segoe UI"/>
        </w:rPr>
        <w:t>Hudspith</w:t>
      </w:r>
      <w:proofErr w:type="spellEnd"/>
      <w:r w:rsidRPr="00FA0B81">
        <w:rPr>
          <w:rFonts w:cs="Segoe UI"/>
        </w:rPr>
        <w:t xml:space="preserve"> A, Paterson H, Caldwell C, et al. 2022. Leaps ahead in law but not in practice: why we need to train in second trimester abortion care.</w:t>
      </w:r>
      <w:r w:rsidRPr="00FA0B81">
        <w:rPr>
          <w:rFonts w:cs="Segoe UI"/>
          <w:i/>
          <w:iCs/>
        </w:rPr>
        <w:t xml:space="preserve"> Australian and New Zealand Journal of Obstetrics and Gynaecology</w:t>
      </w:r>
      <w:r w:rsidRPr="00FA0B81">
        <w:rPr>
          <w:rFonts w:cs="Segoe UI"/>
        </w:rPr>
        <w:t xml:space="preserve"> 62(1): 140–6. DOI: </w:t>
      </w:r>
      <w:hyperlink r:id="rId47">
        <w:r w:rsidRPr="00FA0B81">
          <w:rPr>
            <w:rStyle w:val="Hyperlink"/>
            <w:rFonts w:cs="Segoe UI"/>
          </w:rPr>
          <w:t>10.1111/ajo.13454</w:t>
        </w:r>
      </w:hyperlink>
      <w:r w:rsidRPr="00FA0B81">
        <w:rPr>
          <w:rFonts w:cs="Segoe UI"/>
        </w:rPr>
        <w:t>.</w:t>
      </w:r>
    </w:p>
    <w:p w14:paraId="19A2D6EC" w14:textId="77777777" w:rsidR="00FA0B81" w:rsidRPr="00FA0B81" w:rsidRDefault="00FA0B81" w:rsidP="00FA0B81">
      <w:pPr>
        <w:pStyle w:val="References"/>
        <w:rPr>
          <w:rFonts w:cs="Segoe UI"/>
        </w:rPr>
      </w:pPr>
      <w:r w:rsidRPr="00FA0B81">
        <w:rPr>
          <w:rFonts w:cs="Segoe UI"/>
          <w:color w:val="212121"/>
          <w:shd w:val="clear" w:color="auto" w:fill="FFFFFF"/>
        </w:rPr>
        <w:t>McGinn O, Mount V, Fulcher H. 2021. Increasing access to contraception in New Zealand: assessing the impact of a new funding initiative.</w:t>
      </w:r>
      <w:r w:rsidRPr="00FA0B81">
        <w:rPr>
          <w:rFonts w:cs="Segoe UI"/>
          <w:i/>
          <w:iCs/>
          <w:color w:val="212121"/>
          <w:shd w:val="clear" w:color="auto" w:fill="FFFFFF"/>
        </w:rPr>
        <w:t xml:space="preserve"> New Zealand Medical Journal</w:t>
      </w:r>
      <w:r w:rsidRPr="00FA0B81">
        <w:rPr>
          <w:rFonts w:cs="Segoe UI"/>
          <w:color w:val="212121"/>
          <w:shd w:val="clear" w:color="auto" w:fill="FFFFFF"/>
        </w:rPr>
        <w:t xml:space="preserve"> </w:t>
      </w:r>
      <w:r w:rsidRPr="00FA0B81">
        <w:rPr>
          <w:rFonts w:cs="Segoe UI"/>
        </w:rPr>
        <w:t>134(</w:t>
      </w:r>
      <w:r w:rsidRPr="00FA0B81">
        <w:rPr>
          <w:rFonts w:cs="Segoe UI"/>
          <w:color w:val="212121"/>
          <w:shd w:val="clear" w:color="auto" w:fill="FFFFFF"/>
        </w:rPr>
        <w:t xml:space="preserve">1528): 88–95. </w:t>
      </w:r>
    </w:p>
    <w:p w14:paraId="171BDBE0" w14:textId="77777777" w:rsidR="00FA0B81" w:rsidRPr="00FA0B81" w:rsidRDefault="00FA0B81" w:rsidP="00FA0B81">
      <w:pPr>
        <w:pStyle w:val="References"/>
        <w:rPr>
          <w:rFonts w:cs="Segoe UI"/>
        </w:rPr>
      </w:pPr>
      <w:proofErr w:type="spellStart"/>
      <w:r w:rsidRPr="00FA0B81">
        <w:rPr>
          <w:rFonts w:cs="Segoe UI"/>
        </w:rPr>
        <w:t>Medsafe</w:t>
      </w:r>
      <w:proofErr w:type="spellEnd"/>
      <w:r w:rsidRPr="00FA0B81">
        <w:rPr>
          <w:rFonts w:cs="Segoe UI"/>
        </w:rPr>
        <w:t xml:space="preserve">. 2014. </w:t>
      </w:r>
      <w:r w:rsidRPr="00FA0B81">
        <w:rPr>
          <w:rFonts w:cs="Segoe UI"/>
          <w:i/>
          <w:iCs/>
        </w:rPr>
        <w:t>Contraceptive Devices.</w:t>
      </w:r>
      <w:r w:rsidRPr="00FA0B81">
        <w:rPr>
          <w:rFonts w:cs="Segoe UI"/>
        </w:rPr>
        <w:t xml:space="preserve"> URL: </w:t>
      </w:r>
      <w:hyperlink r:id="rId48" w:history="1">
        <w:r w:rsidRPr="00FA0B81">
          <w:rPr>
            <w:rStyle w:val="Hyperlink"/>
            <w:rFonts w:cs="Segoe UI"/>
          </w:rPr>
          <w:t>medsafe.govt.nz/regulatory/</w:t>
        </w:r>
        <w:proofErr w:type="spellStart"/>
        <w:r w:rsidRPr="00FA0B81">
          <w:rPr>
            <w:rStyle w:val="Hyperlink"/>
            <w:rFonts w:cs="Segoe UI"/>
          </w:rPr>
          <w:t>DevicesNew</w:t>
        </w:r>
        <w:proofErr w:type="spellEnd"/>
        <w:r w:rsidRPr="00FA0B81">
          <w:rPr>
            <w:rStyle w:val="Hyperlink"/>
            <w:rFonts w:cs="Segoe UI"/>
          </w:rPr>
          <w:t>/6Contraceptive.asp</w:t>
        </w:r>
      </w:hyperlink>
      <w:r w:rsidRPr="00FA0B81">
        <w:rPr>
          <w:rFonts w:cs="Segoe UI"/>
        </w:rPr>
        <w:t xml:space="preserve"> (accessed 5 March 2025).</w:t>
      </w:r>
    </w:p>
    <w:p w14:paraId="22CEE66F" w14:textId="77777777" w:rsidR="00FA0B81" w:rsidRPr="00FA0B81" w:rsidRDefault="00FA0B81" w:rsidP="00FA0B81">
      <w:pPr>
        <w:pStyle w:val="References"/>
        <w:rPr>
          <w:rFonts w:cs="Segoe UI"/>
        </w:rPr>
      </w:pPr>
      <w:r w:rsidRPr="00FA0B81">
        <w:rPr>
          <w:rFonts w:cs="Segoe UI"/>
        </w:rPr>
        <w:t xml:space="preserve">Midwifery Council. 2023. </w:t>
      </w:r>
      <w:r w:rsidRPr="00FA0B81">
        <w:rPr>
          <w:rFonts w:cs="Segoe UI"/>
          <w:i/>
          <w:iCs/>
        </w:rPr>
        <w:t>Statement on Midwifery Led Abortion: Early medical abortion – for midwives</w:t>
      </w:r>
      <w:r w:rsidRPr="00FA0B81">
        <w:rPr>
          <w:rFonts w:cs="Segoe UI"/>
        </w:rPr>
        <w:t xml:space="preserve">. URL: </w:t>
      </w:r>
      <w:hyperlink r:id="rId49" w:history="1">
        <w:r w:rsidRPr="00FA0B81">
          <w:rPr>
            <w:rStyle w:val="Hyperlink"/>
            <w:rFonts w:cs="Segoe UI"/>
          </w:rPr>
          <w:t>midwiferycouncil.health.nz/common/Uploaded%20files/About%20Us/2023%20Midwifery%20Led%20Abortion%20Statement%20For%20Midwives.pdf</w:t>
        </w:r>
      </w:hyperlink>
      <w:r w:rsidRPr="00FA0B81">
        <w:rPr>
          <w:rFonts w:cs="Segoe UI"/>
        </w:rPr>
        <w:t xml:space="preserve"> (accessed 7 March 2025).</w:t>
      </w:r>
    </w:p>
    <w:p w14:paraId="766B03CB" w14:textId="77777777" w:rsidR="00FA0B81" w:rsidRPr="005F1F83" w:rsidRDefault="00FA0B81" w:rsidP="00FA0B81">
      <w:pPr>
        <w:pStyle w:val="References"/>
      </w:pPr>
      <w:r w:rsidRPr="005F1F83">
        <w:t xml:space="preserve">Minister of Health. 2023. </w:t>
      </w:r>
      <w:r w:rsidRPr="005F1F83">
        <w:rPr>
          <w:i/>
          <w:iCs/>
        </w:rPr>
        <w:t xml:space="preserve">Women’s Health Strategy. </w:t>
      </w:r>
      <w:r w:rsidRPr="005F1F83">
        <w:t>Wellington: Ministry of Health.</w:t>
      </w:r>
    </w:p>
    <w:p w14:paraId="027D69ED" w14:textId="77777777" w:rsidR="00FA0B81" w:rsidRPr="005F1F83" w:rsidRDefault="00FA0B81" w:rsidP="00FA0B81">
      <w:pPr>
        <w:pStyle w:val="References"/>
      </w:pPr>
      <w:r w:rsidRPr="005F1F83">
        <w:t>Minister of Health. 2024.</w:t>
      </w:r>
      <w:r w:rsidRPr="005F1F83">
        <w:rPr>
          <w:i/>
          <w:iCs/>
        </w:rPr>
        <w:t xml:space="preserve"> Government Policy Statement on Health 2024–2027.</w:t>
      </w:r>
      <w:r w:rsidRPr="005F1F83">
        <w:t xml:space="preserve"> URL: </w:t>
      </w:r>
      <w:hyperlink r:id="rId50" w:history="1">
        <w:r w:rsidRPr="005F1F83">
          <w:rPr>
            <w:rStyle w:val="Hyperlink"/>
          </w:rPr>
          <w:t>health.govt.nz/publications/government-policy-statement-on-health-2024-2027</w:t>
        </w:r>
      </w:hyperlink>
      <w:r w:rsidRPr="005F1F83">
        <w:t xml:space="preserve"> (accessed 4 March 2025).</w:t>
      </w:r>
    </w:p>
    <w:p w14:paraId="20556139" w14:textId="77777777" w:rsidR="00FA0B81" w:rsidRPr="005F1F83" w:rsidRDefault="00FA0B81" w:rsidP="00FA0B81">
      <w:pPr>
        <w:pStyle w:val="References"/>
      </w:pPr>
      <w:r w:rsidRPr="005F1F83">
        <w:t xml:space="preserve">Ministry of Health. 2013. </w:t>
      </w:r>
      <w:r w:rsidRPr="00D64B39">
        <w:rPr>
          <w:i/>
          <w:iCs/>
          <w:lang w:eastAsia="en-NZ"/>
        </w:rPr>
        <w:t>Health Literacy and the Prevention and Management of Skin Infections</w:t>
      </w:r>
      <w:r w:rsidRPr="005F1F83">
        <w:rPr>
          <w:lang w:eastAsia="en-NZ"/>
        </w:rPr>
        <w:t>. URL:</w:t>
      </w:r>
      <w:r w:rsidRPr="005F1F83">
        <w:t xml:space="preserve"> </w:t>
      </w:r>
      <w:hyperlink r:id="rId51" w:history="1">
        <w:r w:rsidRPr="005F1F83">
          <w:rPr>
            <w:rStyle w:val="Hyperlink"/>
            <w:lang w:eastAsia="en-NZ"/>
          </w:rPr>
          <w:t>health.govt.nz/publications/health-literacy-and-the-prevention-and-management-of-skin-infections</w:t>
        </w:r>
      </w:hyperlink>
      <w:r w:rsidRPr="005F1F83">
        <w:rPr>
          <w:lang w:eastAsia="en-NZ"/>
        </w:rPr>
        <w:t xml:space="preserve"> </w:t>
      </w:r>
      <w:r w:rsidRPr="005F1F83">
        <w:t>(accessed 6 March 2025).</w:t>
      </w:r>
    </w:p>
    <w:p w14:paraId="067F7D10" w14:textId="77777777" w:rsidR="00FA0B81" w:rsidRPr="005F1F83" w:rsidRDefault="00FA0B81" w:rsidP="00FA0B81">
      <w:pPr>
        <w:pStyle w:val="References"/>
      </w:pPr>
      <w:r w:rsidRPr="005F1F83">
        <w:t xml:space="preserve">Ministry of Health. 2020. </w:t>
      </w:r>
      <w:r w:rsidRPr="005F1F83">
        <w:rPr>
          <w:i/>
          <w:iCs/>
        </w:rPr>
        <w:t xml:space="preserve">New Zealand Aotearoa’s guidance on contraception. </w:t>
      </w:r>
      <w:r w:rsidRPr="005F1F83">
        <w:t xml:space="preserve">Wellington: Ministry of Health. </w:t>
      </w:r>
    </w:p>
    <w:p w14:paraId="63ED7F84" w14:textId="77777777" w:rsidR="00FA0B81" w:rsidRPr="005F1F83" w:rsidRDefault="00FA0B81" w:rsidP="00FA0B81">
      <w:pPr>
        <w:pStyle w:val="References"/>
      </w:pPr>
      <w:r w:rsidRPr="005F1F83">
        <w:rPr>
          <w:rFonts w:eastAsia="Calibri"/>
          <w:lang w:eastAsia="en-US"/>
        </w:rPr>
        <w:t xml:space="preserve">Ministry of Health. 2021. </w:t>
      </w:r>
      <w:r w:rsidRPr="007D0C48">
        <w:rPr>
          <w:i/>
          <w:iCs/>
        </w:rPr>
        <w:t>Abortion Services Aotearoa New Zealand: Annual report.</w:t>
      </w:r>
      <w:r w:rsidRPr="005F1F83">
        <w:t xml:space="preserve"> Wellington: Ministry of Health.</w:t>
      </w:r>
    </w:p>
    <w:p w14:paraId="2941C757" w14:textId="77777777" w:rsidR="00FA0B81" w:rsidRPr="005F1F83" w:rsidRDefault="00FA0B81" w:rsidP="00FA0B81">
      <w:pPr>
        <w:pStyle w:val="References"/>
      </w:pPr>
      <w:r w:rsidRPr="005F1F83">
        <w:t xml:space="preserve">Ministry of Health. 2022. </w:t>
      </w:r>
      <w:r w:rsidRPr="00D64B39">
        <w:rPr>
          <w:i/>
          <w:iCs/>
        </w:rPr>
        <w:t>Standard for Abortion Counselling in Aotearoa New Zealand</w:t>
      </w:r>
      <w:r w:rsidRPr="005F1F83">
        <w:t xml:space="preserve">. Wellington: Ministry of Health. URL: </w:t>
      </w:r>
      <w:hyperlink r:id="rId52" w:history="1">
        <w:r w:rsidRPr="005F1F83">
          <w:rPr>
            <w:rStyle w:val="Hyperlink"/>
          </w:rPr>
          <w:t>health.govt.nz/publications/standard-for-abortion-counselling-aotearoa-new-zealand</w:t>
        </w:r>
      </w:hyperlink>
      <w:r w:rsidRPr="005F1F83">
        <w:t xml:space="preserve"> (accessed 6 March 2025).</w:t>
      </w:r>
    </w:p>
    <w:p w14:paraId="5B892D05" w14:textId="77777777" w:rsidR="00FA0B81" w:rsidRPr="005F1F83" w:rsidRDefault="00FA0B81" w:rsidP="00FA0B81">
      <w:pPr>
        <w:pStyle w:val="References"/>
      </w:pPr>
      <w:r w:rsidRPr="005F1F83">
        <w:t>Ministry of Health. 2024.</w:t>
      </w:r>
      <w:r w:rsidRPr="005F1F83">
        <w:rPr>
          <w:i/>
          <w:iCs/>
        </w:rPr>
        <w:t xml:space="preserve"> Abortion Services Aotearoa New Zealand: Annual report.</w:t>
      </w:r>
      <w:r w:rsidRPr="005F1F83">
        <w:t xml:space="preserve"> Wellington: Ministry of Health.</w:t>
      </w:r>
    </w:p>
    <w:p w14:paraId="3890FF8B" w14:textId="77777777" w:rsidR="00FA0B81" w:rsidRDefault="00FA0B81" w:rsidP="00FA0B81">
      <w:pPr>
        <w:pStyle w:val="References"/>
        <w:rPr>
          <w:lang w:eastAsia="en-NZ"/>
        </w:rPr>
      </w:pPr>
      <w:r w:rsidRPr="005F1F83">
        <w:t>Ministry of Health. 2024b.</w:t>
      </w:r>
      <w:r w:rsidRPr="00D64B39">
        <w:rPr>
          <w:i/>
          <w:iCs/>
        </w:rPr>
        <w:t xml:space="preserve"> </w:t>
      </w:r>
      <w:r w:rsidRPr="00D64B39">
        <w:rPr>
          <w:i/>
          <w:iCs/>
          <w:lang w:eastAsia="en-NZ"/>
        </w:rPr>
        <w:t xml:space="preserve">Position </w:t>
      </w:r>
      <w:r w:rsidRPr="00FF57D4">
        <w:rPr>
          <w:i/>
          <w:iCs/>
          <w:lang w:eastAsia="en-NZ"/>
        </w:rPr>
        <w:t xml:space="preserve">Statement </w:t>
      </w:r>
      <w:r w:rsidRPr="00D64B39">
        <w:rPr>
          <w:i/>
          <w:iCs/>
          <w:lang w:eastAsia="en-NZ"/>
        </w:rPr>
        <w:t xml:space="preserve">from the Ministry of Health on </w:t>
      </w:r>
      <w:r w:rsidRPr="00FF57D4">
        <w:rPr>
          <w:i/>
          <w:iCs/>
          <w:lang w:eastAsia="en-NZ"/>
        </w:rPr>
        <w:t>‘Abortion Reversal’</w:t>
      </w:r>
      <w:r w:rsidRPr="00D64B39">
        <w:rPr>
          <w:i/>
          <w:iCs/>
          <w:lang w:eastAsia="en-NZ"/>
        </w:rPr>
        <w:t>.</w:t>
      </w:r>
      <w:r w:rsidRPr="005F1F83">
        <w:rPr>
          <w:lang w:eastAsia="en-NZ"/>
        </w:rPr>
        <w:t xml:space="preserve"> URL: </w:t>
      </w:r>
      <w:hyperlink r:id="rId53" w:history="1">
        <w:r w:rsidRPr="005F1F83">
          <w:rPr>
            <w:rStyle w:val="Hyperlink"/>
            <w:lang w:eastAsia="en-NZ"/>
          </w:rPr>
          <w:t>health.govt.nz/regulation-legislation/abortion/regulating-abortion-services/position-statement-on-abortion-reversal</w:t>
        </w:r>
      </w:hyperlink>
      <w:r w:rsidRPr="005F1F83">
        <w:t xml:space="preserve"> (accessed 7 March 2025)</w:t>
      </w:r>
      <w:r w:rsidRPr="005F1F83">
        <w:rPr>
          <w:lang w:eastAsia="en-NZ"/>
        </w:rPr>
        <w:t xml:space="preserve">. </w:t>
      </w:r>
    </w:p>
    <w:p w14:paraId="2DA85276" w14:textId="77777777" w:rsidR="00FA0B81" w:rsidRPr="005F1F83" w:rsidRDefault="00FA0B81" w:rsidP="00FA0B81">
      <w:pPr>
        <w:pStyle w:val="References"/>
      </w:pPr>
      <w:r w:rsidRPr="005F1F83">
        <w:t xml:space="preserve">National Centre for Women’s Health Research Aotearoa. 2025. </w:t>
      </w:r>
      <w:r w:rsidRPr="005F1F83">
        <w:rPr>
          <w:i/>
          <w:iCs/>
        </w:rPr>
        <w:t xml:space="preserve">Abortion Services in Aotearoa New Zealand: The voices of </w:t>
      </w:r>
      <w:proofErr w:type="spellStart"/>
      <w:r w:rsidRPr="005F1F83">
        <w:rPr>
          <w:i/>
          <w:iCs/>
        </w:rPr>
        <w:t>wāhine</w:t>
      </w:r>
      <w:proofErr w:type="spellEnd"/>
      <w:r w:rsidRPr="005F1F83">
        <w:rPr>
          <w:i/>
          <w:iCs/>
        </w:rPr>
        <w:t xml:space="preserve"> on improving access</w:t>
      </w:r>
      <w:r w:rsidRPr="005F1F83">
        <w:t>. Wellington: Ministry of Health.</w:t>
      </w:r>
    </w:p>
    <w:p w14:paraId="2D703FFA" w14:textId="77777777" w:rsidR="00FA0B81" w:rsidRPr="005F1F83" w:rsidRDefault="00FA0B81" w:rsidP="00FA0B81">
      <w:pPr>
        <w:pStyle w:val="References"/>
      </w:pPr>
      <w:proofErr w:type="spellStart"/>
      <w:r w:rsidRPr="005F1F83">
        <w:t>Pagoto</w:t>
      </w:r>
      <w:proofErr w:type="spellEnd"/>
      <w:r w:rsidRPr="005F1F83">
        <w:t xml:space="preserve"> SL, Palmer L, Horwitz-Willis N. 2023. The next infodemic: abortion misinformation.</w:t>
      </w:r>
      <w:r>
        <w:t xml:space="preserve"> </w:t>
      </w:r>
      <w:r w:rsidRPr="005F1F83">
        <w:rPr>
          <w:i/>
          <w:iCs/>
        </w:rPr>
        <w:t>Journal of Medical Internet Research</w:t>
      </w:r>
      <w:r>
        <w:t xml:space="preserve"> </w:t>
      </w:r>
      <w:r w:rsidRPr="00D64B39">
        <w:t>25</w:t>
      </w:r>
      <w:r>
        <w:t>: Article</w:t>
      </w:r>
      <w:r w:rsidRPr="005F1F83">
        <w:t xml:space="preserve"> e42582. </w:t>
      </w:r>
      <w:r>
        <w:t xml:space="preserve">DOI: </w:t>
      </w:r>
      <w:hyperlink r:id="rId54" w:history="1">
        <w:r w:rsidRPr="005F1F83">
          <w:rPr>
            <w:rStyle w:val="Hyperlink"/>
          </w:rPr>
          <w:t>10.2196/42582</w:t>
        </w:r>
      </w:hyperlink>
      <w:r>
        <w:t>.</w:t>
      </w:r>
    </w:p>
    <w:p w14:paraId="46531BC2" w14:textId="77777777" w:rsidR="00FA0B81" w:rsidRPr="005F1F83" w:rsidRDefault="00FA0B81" w:rsidP="00FA0B81">
      <w:pPr>
        <w:pStyle w:val="References"/>
      </w:pPr>
      <w:bookmarkStart w:id="127" w:name="_Hlk192238345"/>
      <w:r w:rsidRPr="005F1F83">
        <w:t xml:space="preserve">Parker G, </w:t>
      </w:r>
      <w:proofErr w:type="spellStart"/>
      <w:r w:rsidRPr="005F1F83">
        <w:t>Kerekere</w:t>
      </w:r>
      <w:proofErr w:type="spellEnd"/>
      <w:r w:rsidRPr="005F1F83">
        <w:t xml:space="preserve"> E, Miller S, et al. 2025. </w:t>
      </w:r>
      <w:r w:rsidRPr="005F1F83">
        <w:rPr>
          <w:i/>
          <w:iCs/>
        </w:rPr>
        <w:t>‘It Just Adds Another Layer of Stress’</w:t>
      </w:r>
      <w:r>
        <w:rPr>
          <w:i/>
          <w:iCs/>
        </w:rPr>
        <w:t>:</w:t>
      </w:r>
      <w:r w:rsidRPr="005F1F83">
        <w:rPr>
          <w:i/>
          <w:iCs/>
        </w:rPr>
        <w:t xml:space="preserve"> Rainbow people’s experience of abortion services in Aotearoa New Zealand</w:t>
      </w:r>
      <w:r w:rsidRPr="005F1F83">
        <w:t>. Wellington: Ministry of Health.</w:t>
      </w:r>
    </w:p>
    <w:bookmarkEnd w:id="127"/>
    <w:p w14:paraId="7D5CB551" w14:textId="77777777" w:rsidR="00FA0B81" w:rsidRPr="00FA0B81" w:rsidRDefault="00FA0B81" w:rsidP="00FA0B81">
      <w:pPr>
        <w:pStyle w:val="References"/>
        <w:rPr>
          <w:rFonts w:eastAsiaTheme="minorEastAsia" w:cs="Segoe UI"/>
          <w:b/>
          <w:bCs/>
          <w:szCs w:val="21"/>
        </w:rPr>
      </w:pPr>
      <w:proofErr w:type="spellStart"/>
      <w:r w:rsidRPr="00FA0B81">
        <w:rPr>
          <w:rFonts w:cs="Segoe UI"/>
          <w:szCs w:val="21"/>
        </w:rPr>
        <w:t>Pharmac</w:t>
      </w:r>
      <w:proofErr w:type="spellEnd"/>
      <w:r w:rsidRPr="00FA0B81">
        <w:rPr>
          <w:rFonts w:cs="Segoe UI"/>
          <w:szCs w:val="21"/>
        </w:rPr>
        <w:t xml:space="preserve">. 2024. </w:t>
      </w:r>
      <w:r w:rsidRPr="00FA0B81">
        <w:rPr>
          <w:rFonts w:eastAsiaTheme="minorEastAsia" w:cs="Segoe UI"/>
          <w:i/>
          <w:iCs/>
          <w:szCs w:val="21"/>
        </w:rPr>
        <w:t>Decision to Fund β-</w:t>
      </w:r>
      <w:proofErr w:type="spellStart"/>
      <w:r w:rsidRPr="00FA0B81">
        <w:rPr>
          <w:rFonts w:eastAsiaTheme="minorEastAsia" w:cs="Segoe UI"/>
          <w:i/>
          <w:iCs/>
          <w:szCs w:val="21"/>
        </w:rPr>
        <w:t>hCG</w:t>
      </w:r>
      <w:proofErr w:type="spellEnd"/>
      <w:r w:rsidRPr="00FA0B81">
        <w:rPr>
          <w:rFonts w:eastAsiaTheme="minorEastAsia" w:cs="Segoe UI"/>
          <w:i/>
          <w:iCs/>
          <w:szCs w:val="21"/>
        </w:rPr>
        <w:t xml:space="preserve"> Low Sensitivity Urine Test Kits</w:t>
      </w:r>
      <w:r w:rsidRPr="00FA0B81">
        <w:rPr>
          <w:rFonts w:cs="Segoe UI"/>
          <w:i/>
          <w:iCs/>
          <w:szCs w:val="21"/>
        </w:rPr>
        <w:t>.</w:t>
      </w:r>
      <w:r w:rsidRPr="00FA0B81">
        <w:rPr>
          <w:rFonts w:cs="Segoe UI"/>
          <w:szCs w:val="21"/>
        </w:rPr>
        <w:t xml:space="preserve"> URL: </w:t>
      </w:r>
      <w:hyperlink r:id="rId55">
        <w:r w:rsidRPr="00FA0B81">
          <w:rPr>
            <w:rStyle w:val="Hyperlink"/>
            <w:rFonts w:cs="Segoe UI"/>
            <w:szCs w:val="21"/>
          </w:rPr>
          <w:t>pharmac.govt.nz/news-and-resources/consultations-and-decisions/decision-to-fund-beta-hcg-low-sensitivity-urine-test-kits?page=4</w:t>
        </w:r>
      </w:hyperlink>
      <w:r w:rsidRPr="00FA0B81">
        <w:rPr>
          <w:rFonts w:cs="Segoe UI"/>
          <w:szCs w:val="21"/>
        </w:rPr>
        <w:t xml:space="preserve"> (accessed 7 March 2025)</w:t>
      </w:r>
      <w:r w:rsidRPr="00FA0B81">
        <w:rPr>
          <w:rFonts w:cs="Segoe UI"/>
          <w:szCs w:val="21"/>
          <w:lang w:eastAsia="en-NZ"/>
        </w:rPr>
        <w:t>.</w:t>
      </w:r>
    </w:p>
    <w:p w14:paraId="68A4EE71" w14:textId="77777777" w:rsidR="00FA0B81" w:rsidRPr="00FA0B81" w:rsidRDefault="00FA0B81" w:rsidP="00FA0B81">
      <w:pPr>
        <w:pStyle w:val="References"/>
        <w:rPr>
          <w:rFonts w:cs="Segoe UI"/>
          <w:szCs w:val="21"/>
        </w:rPr>
      </w:pPr>
      <w:r w:rsidRPr="00FA0B81">
        <w:rPr>
          <w:rFonts w:cs="Segoe UI"/>
          <w:szCs w:val="21"/>
        </w:rPr>
        <w:t xml:space="preserve">RANZCOG (Royal Australian and New Zealand College of Obstetricians and Gynaecologists). 2018. </w:t>
      </w:r>
      <w:r w:rsidRPr="00FA0B81">
        <w:rPr>
          <w:rFonts w:cs="Segoe UI"/>
          <w:i/>
          <w:iCs/>
          <w:szCs w:val="21"/>
        </w:rPr>
        <w:t>Hysterectomy</w:t>
      </w:r>
      <w:r w:rsidRPr="00FA0B81">
        <w:rPr>
          <w:rFonts w:cs="Segoe UI"/>
          <w:szCs w:val="21"/>
        </w:rPr>
        <w:t xml:space="preserve">. URL: </w:t>
      </w:r>
      <w:hyperlink r:id="rId56" w:history="1">
        <w:r w:rsidRPr="00FA0B81">
          <w:rPr>
            <w:rStyle w:val="Hyperlink"/>
            <w:rFonts w:cs="Segoe UI"/>
            <w:szCs w:val="21"/>
          </w:rPr>
          <w:t>ranzcog.edu.au/</w:t>
        </w:r>
        <w:proofErr w:type="spellStart"/>
        <w:r w:rsidRPr="00FA0B81">
          <w:rPr>
            <w:rStyle w:val="Hyperlink"/>
            <w:rFonts w:cs="Segoe UI"/>
            <w:szCs w:val="21"/>
          </w:rPr>
          <w:t>wp</w:t>
        </w:r>
        <w:proofErr w:type="spellEnd"/>
        <w:r w:rsidRPr="00FA0B81">
          <w:rPr>
            <w:rStyle w:val="Hyperlink"/>
            <w:rFonts w:cs="Segoe UI"/>
            <w:szCs w:val="21"/>
          </w:rPr>
          <w:t>-content/uploads/Hysterectomy.pdf</w:t>
        </w:r>
      </w:hyperlink>
      <w:r w:rsidRPr="00FA0B81">
        <w:rPr>
          <w:rFonts w:cs="Segoe UI"/>
          <w:szCs w:val="21"/>
        </w:rPr>
        <w:t xml:space="preserve"> (accessed 4 March 2025).</w:t>
      </w:r>
    </w:p>
    <w:p w14:paraId="1A5C555F" w14:textId="77777777" w:rsidR="00FA0B81" w:rsidRPr="00FA0B81" w:rsidRDefault="00FA0B81" w:rsidP="00FA0B81">
      <w:pPr>
        <w:pStyle w:val="References"/>
        <w:rPr>
          <w:rFonts w:cs="Segoe UI"/>
          <w:szCs w:val="21"/>
        </w:rPr>
      </w:pPr>
      <w:r w:rsidRPr="00FA0B81">
        <w:rPr>
          <w:rFonts w:cs="Segoe UI"/>
          <w:szCs w:val="21"/>
        </w:rPr>
        <w:t xml:space="preserve">Royal Commission of Inquiry into Abuse in Care. 2024. </w:t>
      </w:r>
      <w:proofErr w:type="spellStart"/>
      <w:r w:rsidRPr="00FA0B81">
        <w:rPr>
          <w:rFonts w:cs="Segoe UI"/>
          <w:i/>
          <w:iCs/>
          <w:szCs w:val="21"/>
        </w:rPr>
        <w:t>Whanaketia</w:t>
      </w:r>
      <w:proofErr w:type="spellEnd"/>
      <w:r w:rsidRPr="00FA0B81">
        <w:rPr>
          <w:rFonts w:cs="Segoe UI"/>
          <w:i/>
          <w:iCs/>
          <w:szCs w:val="21"/>
        </w:rPr>
        <w:t>: Through pain and trauma, from darkness to light.</w:t>
      </w:r>
      <w:r w:rsidRPr="00FA0B81">
        <w:rPr>
          <w:rFonts w:cs="Segoe UI"/>
          <w:szCs w:val="21"/>
        </w:rPr>
        <w:t xml:space="preserve"> URL: </w:t>
      </w:r>
      <w:hyperlink r:id="rId57" w:history="1">
        <w:r w:rsidRPr="00FA0B81">
          <w:rPr>
            <w:rStyle w:val="Hyperlink"/>
            <w:rFonts w:cs="Segoe UI"/>
            <w:szCs w:val="21"/>
          </w:rPr>
          <w:t>abuseincare.org.nz/reports/</w:t>
        </w:r>
        <w:proofErr w:type="spellStart"/>
        <w:r w:rsidRPr="00FA0B81">
          <w:rPr>
            <w:rStyle w:val="Hyperlink"/>
            <w:rFonts w:cs="Segoe UI"/>
            <w:szCs w:val="21"/>
          </w:rPr>
          <w:t>whanaketia</w:t>
        </w:r>
        <w:proofErr w:type="spellEnd"/>
      </w:hyperlink>
      <w:r w:rsidRPr="00FA0B81">
        <w:rPr>
          <w:rFonts w:cs="Segoe UI"/>
          <w:szCs w:val="21"/>
        </w:rPr>
        <w:t xml:space="preserve"> (accessed 5 March 2025).</w:t>
      </w:r>
    </w:p>
    <w:p w14:paraId="6343DBB3" w14:textId="77777777" w:rsidR="00FA0B81" w:rsidRPr="00FA0B81" w:rsidRDefault="00FA0B81" w:rsidP="00FA0B81">
      <w:pPr>
        <w:pStyle w:val="References"/>
        <w:rPr>
          <w:rFonts w:cs="Segoe UI"/>
          <w:szCs w:val="21"/>
        </w:rPr>
      </w:pPr>
      <w:r w:rsidRPr="00FA0B81">
        <w:rPr>
          <w:rFonts w:cs="Segoe UI"/>
          <w:szCs w:val="21"/>
        </w:rPr>
        <w:t>Sexual Wellbeing Aotearoa. 2020.</w:t>
      </w:r>
      <w:r w:rsidRPr="00FA0B81">
        <w:rPr>
          <w:rFonts w:cs="Segoe UI"/>
          <w:i/>
          <w:iCs/>
          <w:szCs w:val="21"/>
        </w:rPr>
        <w:t xml:space="preserve"> Contraception Use Survey 2020. </w:t>
      </w:r>
      <w:r w:rsidRPr="00FA0B81">
        <w:rPr>
          <w:rFonts w:cs="Segoe UI"/>
          <w:szCs w:val="21"/>
        </w:rPr>
        <w:t xml:space="preserve">URL: </w:t>
      </w:r>
      <w:hyperlink r:id="rId58" w:history="1">
        <w:r w:rsidRPr="00FA0B81">
          <w:rPr>
            <w:rStyle w:val="Hyperlink"/>
            <w:rFonts w:cs="Segoe UI"/>
            <w:szCs w:val="21"/>
          </w:rPr>
          <w:t>sexualwellbeing.org.nz/media/swpnktyo/contraception-use-survey-2020.pdf</w:t>
        </w:r>
      </w:hyperlink>
      <w:r w:rsidRPr="00FA0B81">
        <w:rPr>
          <w:rFonts w:cs="Segoe UI"/>
          <w:szCs w:val="21"/>
        </w:rPr>
        <w:t xml:space="preserve"> (accessed 7 March 2025).</w:t>
      </w:r>
    </w:p>
    <w:p w14:paraId="3D505917" w14:textId="77777777" w:rsidR="00FA0B81" w:rsidRPr="002C4A03" w:rsidRDefault="00FA0B81" w:rsidP="00FA0B81">
      <w:pPr>
        <w:pStyle w:val="References"/>
      </w:pPr>
      <w:r>
        <w:t xml:space="preserve">Sexual Wellbeing Aotearoa. 2025. </w:t>
      </w:r>
      <w:r w:rsidRPr="002C4A03">
        <w:rPr>
          <w:i/>
          <w:iCs/>
        </w:rPr>
        <w:t>Contraception types</w:t>
      </w:r>
      <w:r>
        <w:rPr>
          <w:i/>
          <w:iCs/>
        </w:rPr>
        <w:t xml:space="preserve">. </w:t>
      </w:r>
      <w:r>
        <w:t xml:space="preserve">URL: </w:t>
      </w:r>
      <w:hyperlink r:id="rId59" w:history="1">
        <w:r w:rsidRPr="008231E5">
          <w:rPr>
            <w:rStyle w:val="Hyperlink"/>
          </w:rPr>
          <w:t>https://sexualwellbeing.org.nz/adv/contraception/contraception-types/</w:t>
        </w:r>
      </w:hyperlink>
      <w:r>
        <w:t xml:space="preserve"> (accessed 11 March 2025). </w:t>
      </w:r>
    </w:p>
    <w:p w14:paraId="4E7692E2" w14:textId="77777777" w:rsidR="00FA0B81" w:rsidRPr="00FA0B81" w:rsidRDefault="00FA0B81" w:rsidP="00FA0B81">
      <w:pPr>
        <w:pStyle w:val="References"/>
        <w:rPr>
          <w:rFonts w:cs="Segoe UI"/>
        </w:rPr>
      </w:pPr>
      <w:r w:rsidRPr="00FA0B81">
        <w:rPr>
          <w:rFonts w:cs="Segoe UI"/>
        </w:rPr>
        <w:t xml:space="preserve">Simon-Kumar R, Sharma V, Singh N. 2023. Between reproductive rights and sex selection in New Zealand's abortion reforms: practitioner dilemma in institutionalising ‘choice’ and ‘agency’. </w:t>
      </w:r>
      <w:r w:rsidRPr="00FA0B81">
        <w:rPr>
          <w:rFonts w:cs="Segoe UI"/>
          <w:i/>
          <w:iCs/>
        </w:rPr>
        <w:t>Global Public Health</w:t>
      </w:r>
      <w:r w:rsidRPr="00FA0B81">
        <w:rPr>
          <w:rFonts w:cs="Segoe UI"/>
        </w:rPr>
        <w:t xml:space="preserve"> 18(1): Article 2224420. DOI: </w:t>
      </w:r>
      <w:hyperlink r:id="rId60" w:history="1">
        <w:r w:rsidRPr="00FA0B81">
          <w:rPr>
            <w:rStyle w:val="Hyperlink"/>
            <w:rFonts w:cs="Segoe UI"/>
          </w:rPr>
          <w:t>10.1080/17441692.2023.2224420</w:t>
        </w:r>
      </w:hyperlink>
      <w:r w:rsidRPr="00FA0B81">
        <w:rPr>
          <w:rFonts w:cs="Segoe UI"/>
        </w:rPr>
        <w:t xml:space="preserve">. </w:t>
      </w:r>
    </w:p>
    <w:p w14:paraId="35EDC58A" w14:textId="77777777" w:rsidR="00FA0B81" w:rsidRPr="00FA0B81" w:rsidRDefault="00FA0B81" w:rsidP="00FA0B81">
      <w:pPr>
        <w:pStyle w:val="References"/>
        <w:rPr>
          <w:rFonts w:cs="Segoe UI"/>
        </w:rPr>
      </w:pPr>
      <w:r w:rsidRPr="00FA0B81">
        <w:rPr>
          <w:rFonts w:cs="Segoe UI"/>
        </w:rPr>
        <w:t xml:space="preserve">UNFPA (United Nations Population Fund). 2025. </w:t>
      </w:r>
      <w:r w:rsidRPr="00FA0B81">
        <w:rPr>
          <w:rFonts w:cs="Segoe UI"/>
          <w:i/>
          <w:iCs/>
        </w:rPr>
        <w:t>Family Planning.</w:t>
      </w:r>
      <w:r w:rsidRPr="00FA0B81">
        <w:rPr>
          <w:rFonts w:cs="Segoe UI"/>
        </w:rPr>
        <w:t xml:space="preserve"> URL: </w:t>
      </w:r>
      <w:hyperlink r:id="rId61" w:history="1">
        <w:r w:rsidRPr="00FA0B81">
          <w:rPr>
            <w:rStyle w:val="Hyperlink"/>
            <w:rFonts w:cs="Segoe UI"/>
          </w:rPr>
          <w:t>unfpa.org/family-planning</w:t>
        </w:r>
      </w:hyperlink>
      <w:r w:rsidRPr="00FA0B81">
        <w:rPr>
          <w:rFonts w:cs="Segoe UI"/>
        </w:rPr>
        <w:t xml:space="preserve"> (accessed 7 March 2025).</w:t>
      </w:r>
    </w:p>
    <w:p w14:paraId="7DC00603" w14:textId="77777777" w:rsidR="00FA0B81" w:rsidRPr="00FA0B81" w:rsidRDefault="00FA0B81" w:rsidP="00FA0B81">
      <w:pPr>
        <w:pStyle w:val="References"/>
        <w:rPr>
          <w:rFonts w:cs="Segoe UI"/>
        </w:rPr>
      </w:pPr>
      <w:r w:rsidRPr="00FA0B81">
        <w:rPr>
          <w:rFonts w:cs="Segoe UI"/>
        </w:rPr>
        <w:t xml:space="preserve">Whiting R, Paterson H, </w:t>
      </w:r>
      <w:proofErr w:type="spellStart"/>
      <w:r w:rsidRPr="00FA0B81">
        <w:rPr>
          <w:rFonts w:cs="Segoe UI"/>
        </w:rPr>
        <w:t>Hudspith</w:t>
      </w:r>
      <w:proofErr w:type="spellEnd"/>
      <w:r w:rsidRPr="00FA0B81">
        <w:rPr>
          <w:rFonts w:cs="Segoe UI"/>
        </w:rPr>
        <w:t xml:space="preserve"> A, et al. 2022. Willing but not able: a survey of New Zealand health practitioners’ interests in providing second trimester abortion care and the obstacles they face. </w:t>
      </w:r>
      <w:r w:rsidRPr="00FA0B81">
        <w:rPr>
          <w:rFonts w:cs="Segoe UI"/>
          <w:i/>
          <w:iCs/>
          <w:color w:val="212121"/>
        </w:rPr>
        <w:t>Australian and New Zealand Journal of Obstetrics and Gynaecology</w:t>
      </w:r>
      <w:r w:rsidRPr="00FA0B81">
        <w:rPr>
          <w:rFonts w:cs="Segoe UI"/>
        </w:rPr>
        <w:t xml:space="preserve"> 62: 779–85. DOI: </w:t>
      </w:r>
      <w:hyperlink r:id="rId62" w:history="1">
        <w:r w:rsidRPr="00FA0B81">
          <w:rPr>
            <w:rStyle w:val="Hyperlink"/>
            <w:rFonts w:cs="Segoe UI"/>
          </w:rPr>
          <w:t>10.1111/ajo.13602</w:t>
        </w:r>
      </w:hyperlink>
      <w:r w:rsidRPr="00FA0B81">
        <w:rPr>
          <w:rFonts w:cs="Segoe UI"/>
        </w:rPr>
        <w:t>.</w:t>
      </w:r>
    </w:p>
    <w:p w14:paraId="4AB39AD9" w14:textId="77777777" w:rsidR="00FA0B81" w:rsidRPr="00FA0B81" w:rsidRDefault="00FA0B81" w:rsidP="00FA0B81">
      <w:pPr>
        <w:pStyle w:val="References"/>
        <w:rPr>
          <w:rFonts w:cs="Segoe UI"/>
        </w:rPr>
      </w:pPr>
      <w:r w:rsidRPr="00FA0B81">
        <w:rPr>
          <w:rFonts w:cs="Segoe UI"/>
        </w:rPr>
        <w:t xml:space="preserve">WHO (World Health Organization). 2011. </w:t>
      </w:r>
      <w:r w:rsidRPr="00FA0B81">
        <w:rPr>
          <w:rFonts w:cs="Segoe UI"/>
          <w:i/>
          <w:iCs/>
        </w:rPr>
        <w:t xml:space="preserve">Preventing Gender-biased Sex Selection: An interagency statement OHCHR, UNFPA, UNICEF, UN Women and WHO. </w:t>
      </w:r>
      <w:r w:rsidRPr="00FA0B81">
        <w:rPr>
          <w:rFonts w:cs="Segoe UI"/>
        </w:rPr>
        <w:t xml:space="preserve">URL: </w:t>
      </w:r>
      <w:hyperlink r:id="rId63">
        <w:r w:rsidRPr="00FA0B81">
          <w:rPr>
            <w:rStyle w:val="Hyperlink"/>
            <w:rFonts w:cs="Segoe UI"/>
          </w:rPr>
          <w:t>iris.who.int/bitstream/handle/10665/44577/97892415;jsessionid=F8FF002EDF1E56CC268B650697F3F2F4?sequence=1</w:t>
        </w:r>
      </w:hyperlink>
      <w:r w:rsidRPr="00FA0B81">
        <w:rPr>
          <w:rFonts w:cs="Segoe UI"/>
        </w:rPr>
        <w:t xml:space="preserve"> (accessed 7 March 2025).</w:t>
      </w:r>
    </w:p>
    <w:p w14:paraId="6748571D" w14:textId="77777777" w:rsidR="00FA0B81" w:rsidRPr="005F1F83" w:rsidRDefault="00FA0B81" w:rsidP="00FA0B81">
      <w:pPr>
        <w:pStyle w:val="References"/>
      </w:pPr>
      <w:r w:rsidRPr="005F1F83">
        <w:t xml:space="preserve">WHO. 2015. </w:t>
      </w:r>
      <w:r w:rsidRPr="005F1F83">
        <w:rPr>
          <w:i/>
          <w:iCs/>
        </w:rPr>
        <w:t>Health Worker Roles in Providing Safe Abortion Care and Post-abortion Contraception</w:t>
      </w:r>
      <w:r>
        <w:rPr>
          <w:i/>
          <w:iCs/>
        </w:rPr>
        <w:t>:</w:t>
      </w:r>
      <w:r w:rsidRPr="005F1F83">
        <w:rPr>
          <w:i/>
          <w:iCs/>
        </w:rPr>
        <w:t xml:space="preserve"> Executive summary. </w:t>
      </w:r>
      <w:r w:rsidRPr="005F1F83">
        <w:t xml:space="preserve">URL: </w:t>
      </w:r>
      <w:hyperlink r:id="rId64">
        <w:r w:rsidRPr="005F1F83">
          <w:rPr>
            <w:rStyle w:val="Hyperlink"/>
          </w:rPr>
          <w:t>iris.who.int/bitstream/handle/10665/181043/WHO_RHR_15.15_eng.pdf</w:t>
        </w:r>
      </w:hyperlink>
      <w:r>
        <w:t xml:space="preserve"> (accessed 7 March 2025).</w:t>
      </w:r>
      <w:r w:rsidRPr="005F1F83">
        <w:t xml:space="preserve"> </w:t>
      </w:r>
    </w:p>
    <w:p w14:paraId="5D42DD08" w14:textId="77777777" w:rsidR="00FA0B81" w:rsidRPr="005F1F83" w:rsidRDefault="00FA0B81" w:rsidP="00FA0B81">
      <w:pPr>
        <w:pStyle w:val="References"/>
      </w:pPr>
      <w:r w:rsidRPr="005F1F83">
        <w:t xml:space="preserve">WHO. 2025. </w:t>
      </w:r>
      <w:r w:rsidRPr="005F1F83">
        <w:rPr>
          <w:i/>
          <w:iCs/>
        </w:rPr>
        <w:t>Contraception.</w:t>
      </w:r>
      <w:r w:rsidRPr="005F1F83">
        <w:t xml:space="preserve"> </w:t>
      </w:r>
      <w:r>
        <w:t xml:space="preserve">URL: </w:t>
      </w:r>
      <w:hyperlink r:id="rId65" w:anchor="tab=tab_1" w:history="1">
        <w:r w:rsidRPr="005F1F83">
          <w:rPr>
            <w:rStyle w:val="Hyperlink"/>
          </w:rPr>
          <w:t>who.int/health-topics/</w:t>
        </w:r>
        <w:proofErr w:type="spellStart"/>
        <w:r w:rsidRPr="005F1F83">
          <w:rPr>
            <w:rStyle w:val="Hyperlink"/>
          </w:rPr>
          <w:t>contraception#tab</w:t>
        </w:r>
        <w:proofErr w:type="spellEnd"/>
        <w:r w:rsidRPr="005F1F83">
          <w:rPr>
            <w:rStyle w:val="Hyperlink"/>
          </w:rPr>
          <w:t>=tab_1</w:t>
        </w:r>
      </w:hyperlink>
      <w:r w:rsidRPr="005F1F83">
        <w:t xml:space="preserve"> </w:t>
      </w:r>
      <w:r>
        <w:t>(accessed 7 March 2025).</w:t>
      </w:r>
    </w:p>
    <w:p w14:paraId="69267284" w14:textId="77777777" w:rsidR="00FA0B81" w:rsidRPr="00FA0B81" w:rsidRDefault="00FA0B81" w:rsidP="00FA0B81">
      <w:pPr>
        <w:pStyle w:val="References"/>
        <w:rPr>
          <w:rFonts w:cs="Segoe UI"/>
          <w:szCs w:val="21"/>
        </w:rPr>
      </w:pPr>
      <w:r w:rsidRPr="00FA0B81">
        <w:rPr>
          <w:rFonts w:cs="Segoe UI"/>
          <w:szCs w:val="21"/>
        </w:rPr>
        <w:t>Work and Income (</w:t>
      </w:r>
      <w:proofErr w:type="spellStart"/>
      <w:r w:rsidRPr="00FA0B81">
        <w:rPr>
          <w:rFonts w:cs="Segoe UI"/>
          <w:szCs w:val="21"/>
        </w:rPr>
        <w:t>nd</w:t>
      </w:r>
      <w:proofErr w:type="spellEnd"/>
      <w:r w:rsidRPr="00FA0B81">
        <w:rPr>
          <w:rFonts w:cs="Segoe UI"/>
          <w:szCs w:val="21"/>
        </w:rPr>
        <w:t xml:space="preserve">) Vasectomies. URL: </w:t>
      </w:r>
      <w:hyperlink r:id="rId66" w:history="1">
        <w:r w:rsidRPr="00FA0B81">
          <w:rPr>
            <w:rStyle w:val="Hyperlink"/>
            <w:rFonts w:cs="Segoe UI"/>
            <w:szCs w:val="21"/>
          </w:rPr>
          <w:t>workandincome.govt.nz/eligibility/health-and-disability/vasectomies.html</w:t>
        </w:r>
      </w:hyperlink>
      <w:r w:rsidRPr="00FA0B81">
        <w:rPr>
          <w:rFonts w:cs="Segoe UI"/>
          <w:szCs w:val="21"/>
        </w:rPr>
        <w:t xml:space="preserve"> (accessed 6 March 2025).</w:t>
      </w:r>
    </w:p>
    <w:p w14:paraId="532E2FAD" w14:textId="78D459E9" w:rsidR="00FA0B81" w:rsidRPr="00FA0B81" w:rsidRDefault="00FA0B81" w:rsidP="00FA0B81"/>
    <w:bookmarkEnd w:id="123"/>
    <w:p w14:paraId="5FF49571" w14:textId="0426F0E7" w:rsidR="00A42BAE" w:rsidRDefault="00A42BAE" w:rsidP="00FA0B81"/>
    <w:p w14:paraId="3FC0E544" w14:textId="662836E5" w:rsidR="00A42BAE" w:rsidRDefault="00A42BAE" w:rsidP="00FA0B81"/>
    <w:p w14:paraId="370AF47D" w14:textId="77777777" w:rsidR="00A42BAE" w:rsidRDefault="00A42BAE" w:rsidP="00A42BAE">
      <w:pPr>
        <w:sectPr w:rsidR="00A42BAE" w:rsidSect="00CC19AA">
          <w:pgSz w:w="11907" w:h="16834" w:code="9"/>
          <w:pgMar w:top="1418" w:right="1701" w:bottom="1134" w:left="1843" w:header="284" w:footer="425" w:gutter="284"/>
          <w:cols w:space="720"/>
        </w:sectPr>
      </w:pPr>
    </w:p>
    <w:p w14:paraId="2FCEDD30" w14:textId="2805345E" w:rsidR="00A42BAE" w:rsidRDefault="00A42BAE" w:rsidP="00A42BAE">
      <w:pPr>
        <w:pStyle w:val="Heading1"/>
        <w:spacing w:before="0"/>
      </w:pPr>
      <w:bookmarkStart w:id="128" w:name="_Toc195016584"/>
      <w:r w:rsidRPr="00A42BAE">
        <w:t>Appendix 1: Data limitations</w:t>
      </w:r>
      <w:bookmarkEnd w:id="128"/>
    </w:p>
    <w:p w14:paraId="2DFF95B6" w14:textId="77777777" w:rsidR="00FA0B81" w:rsidRDefault="00FA0B81" w:rsidP="00FA0B81">
      <w:pPr>
        <w:pStyle w:val="Heading3"/>
      </w:pPr>
      <w:r w:rsidRPr="00466167">
        <w:t>Contraception</w:t>
      </w:r>
    </w:p>
    <w:p w14:paraId="411F223C" w14:textId="67C9EE50" w:rsidR="00FA0B81" w:rsidRDefault="00FA0B81" w:rsidP="00705433">
      <w:pPr>
        <w:ind w:right="-1"/>
      </w:pPr>
      <w:r w:rsidRPr="005F1F83">
        <w:t>The Information Collection Regulations do not outline reporting requirements specific to contraception. Instead, data on contraception is collected as a part of abortion reporting</w:t>
      </w:r>
      <w:r>
        <w:t>. Data collected</w:t>
      </w:r>
      <w:r w:rsidRPr="005F1F83">
        <w:t xml:space="preserve"> includ</w:t>
      </w:r>
      <w:r>
        <w:t>es</w:t>
      </w:r>
      <w:r w:rsidRPr="005F1F83">
        <w:t xml:space="preserve"> the type of contraception used at the time of conception (if any) and the type of contraception provided at the time of the abortion (if any). </w:t>
      </w:r>
    </w:p>
    <w:p w14:paraId="48C867CD" w14:textId="77777777" w:rsidR="00FA0B81" w:rsidRDefault="00FA0B81" w:rsidP="00FA0B81"/>
    <w:p w14:paraId="62713DB3" w14:textId="39BBE5AA" w:rsidR="00FA0B81" w:rsidRPr="005F1F83" w:rsidRDefault="00FA0B81" w:rsidP="00FA0B81">
      <w:r w:rsidRPr="005F1F83">
        <w:t xml:space="preserve">Interpretation of this data is therefore limited, as </w:t>
      </w:r>
      <w:r w:rsidR="00E40335">
        <w:t>women</w:t>
      </w:r>
      <w:r w:rsidRPr="005F1F83">
        <w:t xml:space="preserve"> may not accurately recall the form of contraception </w:t>
      </w:r>
      <w:r>
        <w:t xml:space="preserve">they </w:t>
      </w:r>
      <w:r w:rsidRPr="005F1F83">
        <w:t xml:space="preserve">used at time of conception. Additionally, </w:t>
      </w:r>
      <w:r w:rsidR="000C2A59">
        <w:t>women</w:t>
      </w:r>
      <w:r w:rsidRPr="005F1F83">
        <w:t xml:space="preserve"> accessing abortion services may already have access to contraception moving forward or may choose to access contraception at a date later </w:t>
      </w:r>
      <w:r>
        <w:t>than the day of their</w:t>
      </w:r>
      <w:r w:rsidRPr="005F1F83">
        <w:t xml:space="preserve"> abortion. Further, certain contraceptives, such as </w:t>
      </w:r>
      <w:r>
        <w:t>IUD</w:t>
      </w:r>
      <w:r w:rsidRPr="005F1F83">
        <w:t>s, are generally not accessed immediately following an abortion procedure. This data may therefore not be captured in abortion notification reporting.</w:t>
      </w:r>
    </w:p>
    <w:p w14:paraId="2D58D711" w14:textId="77777777" w:rsidR="00FA0B81" w:rsidRDefault="00FA0B81" w:rsidP="00FA0B81">
      <w:pPr>
        <w:pStyle w:val="Heading3"/>
      </w:pPr>
      <w:r w:rsidRPr="00466167">
        <w:t>Sterilisation</w:t>
      </w:r>
    </w:p>
    <w:p w14:paraId="443F7540" w14:textId="4B42FD29" w:rsidR="00FA0B81" w:rsidRDefault="00FA0B81" w:rsidP="00FA0B81">
      <w:r w:rsidRPr="005F1F83">
        <w:t xml:space="preserve">Every facility offering sterilisation services must submit an annual report </w:t>
      </w:r>
      <w:r>
        <w:t>that</w:t>
      </w:r>
      <w:r w:rsidRPr="005F1F83">
        <w:t xml:space="preserve"> includes, along with workforce information,</w:t>
      </w:r>
      <w:r>
        <w:t xml:space="preserve"> data on</w:t>
      </w:r>
      <w:r w:rsidRPr="005F1F83">
        <w:t xml:space="preserve"> the types of sterilisation services </w:t>
      </w:r>
      <w:r>
        <w:t xml:space="preserve">it </w:t>
      </w:r>
      <w:r w:rsidRPr="005F1F83">
        <w:t>offer</w:t>
      </w:r>
      <w:r>
        <w:t>s</w:t>
      </w:r>
      <w:r w:rsidRPr="005F1F83">
        <w:t xml:space="preserve">, the average length of time between consultation and procedure, and reasons for any instance where </w:t>
      </w:r>
      <w:r>
        <w:t xml:space="preserve">it refused </w:t>
      </w:r>
      <w:r w:rsidRPr="005F1F83">
        <w:t xml:space="preserve">a request for a sterilisation. In addition, each practitioner must submit data to the Ministry for every sterilisation operation performed within one month of the sterilisation procedure. </w:t>
      </w:r>
    </w:p>
    <w:p w14:paraId="63F6F7FE" w14:textId="77777777" w:rsidR="00FA0B81" w:rsidRDefault="00FA0B81" w:rsidP="00FA0B81"/>
    <w:p w14:paraId="5181FC6E" w14:textId="77777777" w:rsidR="00FA0B81" w:rsidRPr="005F1F83" w:rsidRDefault="00FA0B81" w:rsidP="00FA0B81">
      <w:r w:rsidRPr="005F1F83">
        <w:t xml:space="preserve">Interpretation of this data is limited, as legislative requirements do not include reporting on the form of sterilisation provided, or complications associated with the procedure. Additionally, the Ministry notes concerns about compliance with reporting requirements, which </w:t>
      </w:r>
      <w:r>
        <w:t>reduces</w:t>
      </w:r>
      <w:r w:rsidRPr="005F1F83">
        <w:t xml:space="preserve"> the interpretability of the data.</w:t>
      </w:r>
    </w:p>
    <w:p w14:paraId="02BDDC2F" w14:textId="77777777" w:rsidR="00FA0B81" w:rsidRDefault="00FA0B81" w:rsidP="00FA0B81">
      <w:pPr>
        <w:pStyle w:val="Heading3"/>
      </w:pPr>
      <w:r w:rsidRPr="00466167">
        <w:t>Abortion</w:t>
      </w:r>
    </w:p>
    <w:p w14:paraId="48B4B0D8" w14:textId="1494ACE8" w:rsidR="00FA0B81" w:rsidRDefault="00FA0B81" w:rsidP="00FA0B81">
      <w:r w:rsidRPr="005F1F83">
        <w:t xml:space="preserve">Every facility offering abortion services must submit an annual report </w:t>
      </w:r>
      <w:r>
        <w:t>that</w:t>
      </w:r>
      <w:r w:rsidRPr="005F1F83">
        <w:t xml:space="preserve"> includes, along with workforce information, </w:t>
      </w:r>
      <w:r>
        <w:t xml:space="preserve">data on </w:t>
      </w:r>
      <w:r w:rsidRPr="005F1F83">
        <w:t xml:space="preserve">the types of abortion services </w:t>
      </w:r>
      <w:r>
        <w:t xml:space="preserve">it </w:t>
      </w:r>
      <w:r w:rsidRPr="005F1F83">
        <w:t>offer</w:t>
      </w:r>
      <w:r>
        <w:t>s</w:t>
      </w:r>
      <w:r w:rsidRPr="005F1F83">
        <w:t xml:space="preserve"> and reasons for any instance where </w:t>
      </w:r>
      <w:r>
        <w:t xml:space="preserve">it refused </w:t>
      </w:r>
      <w:r w:rsidRPr="005F1F83">
        <w:t xml:space="preserve">a request for an abortion. In addition, each practitioner must submit data to the Ministry for every abortion performed within one month of the procedure. </w:t>
      </w:r>
    </w:p>
    <w:p w14:paraId="26BA0DC2" w14:textId="77777777" w:rsidR="00FA0B81" w:rsidRDefault="00FA0B81" w:rsidP="00FA0B81"/>
    <w:p w14:paraId="6AB6B723" w14:textId="5319DD45" w:rsidR="00A42BAE" w:rsidRPr="00A42BAE" w:rsidRDefault="00FA0B81" w:rsidP="00705433">
      <w:pPr>
        <w:ind w:right="-143"/>
      </w:pPr>
      <w:r w:rsidRPr="005F1F83">
        <w:t xml:space="preserve">The requirement to submit within one month of service provision limits the interpretability of reporting </w:t>
      </w:r>
      <w:r>
        <w:t>in that practitioners may observe</w:t>
      </w:r>
      <w:r w:rsidRPr="005F1F83">
        <w:t xml:space="preserve"> complications </w:t>
      </w:r>
      <w:r>
        <w:t xml:space="preserve">associated with the abortion procedure after they have submitted </w:t>
      </w:r>
      <w:r w:rsidRPr="005F1F83">
        <w:t xml:space="preserve">the notification of abortion form. </w:t>
      </w:r>
    </w:p>
    <w:sectPr w:rsidR="00A42BAE" w:rsidRPr="00A42BAE" w:rsidSect="00CC19AA">
      <w:pgSz w:w="11907" w:h="16834" w:code="9"/>
      <w:pgMar w:top="1418" w:right="1701" w:bottom="1134" w:left="1843" w:header="284" w:footer="425" w:gutter="28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E9CE5" w14:textId="77777777" w:rsidR="009C55E5" w:rsidRDefault="009C55E5">
      <w:r>
        <w:separator/>
      </w:r>
    </w:p>
    <w:p w14:paraId="7865B828" w14:textId="77777777" w:rsidR="009C55E5" w:rsidRDefault="009C55E5"/>
  </w:endnote>
  <w:endnote w:type="continuationSeparator" w:id="0">
    <w:p w14:paraId="2B30DF5A" w14:textId="77777777" w:rsidR="009C55E5" w:rsidRDefault="009C55E5">
      <w:r>
        <w:continuationSeparator/>
      </w:r>
    </w:p>
    <w:p w14:paraId="0CF55B09" w14:textId="77777777" w:rsidR="009C55E5" w:rsidRDefault="009C55E5"/>
  </w:endnote>
  <w:endnote w:type="continuationNotice" w:id="1">
    <w:p w14:paraId="3D494441" w14:textId="77777777" w:rsidR="009C55E5" w:rsidRDefault="009C55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Mäori">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Georgia">
    <w:panose1 w:val="02040502050405020303"/>
    <w:charset w:val="00"/>
    <w:family w:val="roman"/>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9240B" w14:textId="77777777" w:rsidR="00A54F9F" w:rsidRDefault="00A54F9F">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7E5D11" w14:paraId="423138CB" w14:textId="77777777" w:rsidTr="00D662F8">
      <w:trPr>
        <w:cantSplit/>
      </w:trPr>
      <w:tc>
        <w:tcPr>
          <w:tcW w:w="8080" w:type="dxa"/>
          <w:vAlign w:val="center"/>
        </w:tcPr>
        <w:p w14:paraId="520A68A6" w14:textId="671B2222" w:rsidR="007E5D11" w:rsidRDefault="007E5D11" w:rsidP="00926083">
          <w:pPr>
            <w:pStyle w:val="RectoFooter"/>
          </w:pPr>
          <w:r w:rsidRPr="00576C27">
            <w:t>REVIEW OF CERTAIN MATTERS UNDER THE CONTRACEPTION, STERILISATION, AND ABORTION ACT 1977</w:t>
          </w:r>
        </w:p>
      </w:tc>
      <w:tc>
        <w:tcPr>
          <w:tcW w:w="709" w:type="dxa"/>
          <w:vAlign w:val="center"/>
        </w:tcPr>
        <w:p w14:paraId="745D812B" w14:textId="77777777" w:rsidR="007E5D11" w:rsidRPr="00931466" w:rsidRDefault="007E5D11"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vii</w:t>
          </w:r>
          <w:r w:rsidRPr="00931466">
            <w:rPr>
              <w:rStyle w:val="PageNumber"/>
            </w:rPr>
            <w:fldChar w:fldCharType="end"/>
          </w:r>
        </w:p>
      </w:tc>
    </w:tr>
  </w:tbl>
  <w:p w14:paraId="755CAC6B" w14:textId="77777777" w:rsidR="007E5D11" w:rsidRPr="00581EB8" w:rsidRDefault="007E5D11" w:rsidP="00581EB8">
    <w:pPr>
      <w:pStyle w:val="Footer"/>
      <w:rPr>
        <w:sz w:val="2"/>
        <w:szCs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4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9072"/>
    </w:tblGrid>
    <w:tr w:rsidR="007E5D11" w14:paraId="7E34FA6B" w14:textId="77777777" w:rsidTr="00D662F8">
      <w:trPr>
        <w:cantSplit/>
      </w:trPr>
      <w:tc>
        <w:tcPr>
          <w:tcW w:w="675" w:type="dxa"/>
          <w:vAlign w:val="center"/>
        </w:tcPr>
        <w:p w14:paraId="6281C317" w14:textId="77777777" w:rsidR="007E5D11" w:rsidRPr="00931466" w:rsidRDefault="007E5D11"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2</w:t>
          </w:r>
          <w:r w:rsidRPr="00931466">
            <w:rPr>
              <w:rStyle w:val="PageNumber"/>
            </w:rPr>
            <w:fldChar w:fldCharType="end"/>
          </w:r>
        </w:p>
      </w:tc>
      <w:tc>
        <w:tcPr>
          <w:tcW w:w="9072" w:type="dxa"/>
          <w:vAlign w:val="center"/>
        </w:tcPr>
        <w:p w14:paraId="27262A64" w14:textId="515C8BEA" w:rsidR="007E5D11" w:rsidRDefault="007E5D11" w:rsidP="000D58DD">
          <w:pPr>
            <w:pStyle w:val="RectoFooter"/>
            <w:jc w:val="left"/>
          </w:pPr>
          <w:r w:rsidRPr="00576C27">
            <w:t>Review of Certain Matters under the Contraception, Sterilisation, and Abortion Act 1977</w:t>
          </w:r>
        </w:p>
      </w:tc>
    </w:tr>
  </w:tbl>
  <w:p w14:paraId="5177CEA2" w14:textId="77777777" w:rsidR="007E5D11" w:rsidRPr="00571223" w:rsidRDefault="007E5D11" w:rsidP="00571223">
    <w:pPr>
      <w:pStyle w:val="VersoFooter"/>
      <w:rPr>
        <w:sz w:val="2"/>
        <w:szCs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7E5D11" w14:paraId="47337729" w14:textId="77777777" w:rsidTr="00D662F8">
      <w:trPr>
        <w:cantSplit/>
      </w:trPr>
      <w:tc>
        <w:tcPr>
          <w:tcW w:w="8080" w:type="dxa"/>
          <w:vAlign w:val="center"/>
        </w:tcPr>
        <w:p w14:paraId="1A33CBD1" w14:textId="138D34E9" w:rsidR="007E5D11" w:rsidRDefault="007E5D11" w:rsidP="00931466">
          <w:pPr>
            <w:pStyle w:val="RectoFooter"/>
          </w:pPr>
          <w:r w:rsidRPr="00576C27">
            <w:t>Review of Certain Matters under the Contraception, Sterilisation, and Abortion Act 1977</w:t>
          </w:r>
        </w:p>
      </w:tc>
      <w:tc>
        <w:tcPr>
          <w:tcW w:w="709" w:type="dxa"/>
          <w:vAlign w:val="center"/>
        </w:tcPr>
        <w:p w14:paraId="501EC334" w14:textId="77777777" w:rsidR="007E5D11" w:rsidRPr="00931466" w:rsidRDefault="007E5D11"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1</w:t>
          </w:r>
          <w:r w:rsidRPr="00931466">
            <w:rPr>
              <w:rStyle w:val="PageNumber"/>
            </w:rPr>
            <w:fldChar w:fldCharType="end"/>
          </w:r>
        </w:p>
      </w:tc>
    </w:tr>
  </w:tbl>
  <w:p w14:paraId="1C6F2E7F" w14:textId="77777777" w:rsidR="007E5D11" w:rsidRPr="00581EB8" w:rsidRDefault="007E5D11" w:rsidP="00581EB8">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18357" w14:textId="351B5264" w:rsidR="007E5D11" w:rsidRPr="00581136" w:rsidRDefault="007E5D11" w:rsidP="005A79E5">
    <w:pPr>
      <w:pStyle w:val="Footer"/>
      <w:pBdr>
        <w:bottom w:val="single" w:sz="4" w:space="1" w:color="auto"/>
      </w:pBdr>
      <w:tabs>
        <w:tab w:val="right" w:pos="9639"/>
      </w:tabs>
      <w:rPr>
        <w:b/>
      </w:rPr>
    </w:pPr>
    <w:r w:rsidRPr="00581136">
      <w:rPr>
        <w:b/>
      </w:rPr>
      <w:t>Released 20</w:t>
    </w:r>
    <w:r>
      <w:rPr>
        <w:b/>
      </w:rPr>
      <w:t>25</w:t>
    </w:r>
    <w:r w:rsidRPr="00581136">
      <w:rPr>
        <w:b/>
      </w:rPr>
      <w:tab/>
      <w:t>health.govt.nz</w:t>
    </w:r>
  </w:p>
  <w:p w14:paraId="524869F6" w14:textId="77777777" w:rsidR="007E5D11" w:rsidRPr="005A79E5" w:rsidRDefault="007E5D11">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94AC8" w14:textId="77777777" w:rsidR="00A54F9F" w:rsidRDefault="00A54F9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DDA70" w14:textId="77777777" w:rsidR="007E5D11" w:rsidRDefault="007E5D11" w:rsidP="004D6689">
    <w:pPr>
      <w:pStyle w:val="Footer"/>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B0E96" w14:textId="77777777" w:rsidR="007E5D11" w:rsidRDefault="007E5D1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7E5D11" w14:paraId="4C3A3BF7" w14:textId="77777777" w:rsidTr="00D662F8">
      <w:trPr>
        <w:cantSplit/>
      </w:trPr>
      <w:tc>
        <w:tcPr>
          <w:tcW w:w="709" w:type="dxa"/>
          <w:vAlign w:val="center"/>
        </w:tcPr>
        <w:p w14:paraId="28F87ED7" w14:textId="77777777" w:rsidR="007E5D11" w:rsidRPr="00931466" w:rsidRDefault="007E5D11"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w:t>
          </w:r>
          <w:r w:rsidRPr="00931466">
            <w:rPr>
              <w:rStyle w:val="PageNumber"/>
            </w:rPr>
            <w:fldChar w:fldCharType="end"/>
          </w:r>
        </w:p>
      </w:tc>
      <w:tc>
        <w:tcPr>
          <w:tcW w:w="8080" w:type="dxa"/>
          <w:vAlign w:val="center"/>
        </w:tcPr>
        <w:p w14:paraId="6026D159" w14:textId="141BDEDA" w:rsidR="007E5D11" w:rsidRDefault="00A54F9F" w:rsidP="00926083">
          <w:pPr>
            <w:pStyle w:val="RectoFooter"/>
            <w:jc w:val="left"/>
          </w:pPr>
          <w:r w:rsidRPr="00A54F9F">
            <w:t>REVIEW OF CERTAIN MATTERS UNDER THE CONTRACEPTION, STERILISATION, AND ABORTION ACT 1977</w:t>
          </w:r>
        </w:p>
      </w:tc>
    </w:tr>
  </w:tbl>
  <w:p w14:paraId="711B5D80" w14:textId="77777777" w:rsidR="007E5D11" w:rsidRPr="00571223" w:rsidRDefault="007E5D11" w:rsidP="00571223">
    <w:pPr>
      <w:pStyle w:val="VersoFoote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7E5D11" w14:paraId="58AAB149" w14:textId="77777777" w:rsidTr="00D662F8">
      <w:trPr>
        <w:cantSplit/>
      </w:trPr>
      <w:tc>
        <w:tcPr>
          <w:tcW w:w="8080" w:type="dxa"/>
          <w:vAlign w:val="center"/>
        </w:tcPr>
        <w:p w14:paraId="20E2F0CC" w14:textId="62FF7D2A" w:rsidR="007E5D11" w:rsidRDefault="007E5D11" w:rsidP="00926083">
          <w:pPr>
            <w:pStyle w:val="RectoFooter"/>
          </w:pPr>
          <w:r w:rsidRPr="00576C27">
            <w:t>Review of Certain Matters under the Contraception, Sterilisation, and Abortion Act 1977</w:t>
          </w:r>
        </w:p>
      </w:tc>
      <w:tc>
        <w:tcPr>
          <w:tcW w:w="709" w:type="dxa"/>
          <w:vAlign w:val="center"/>
        </w:tcPr>
        <w:p w14:paraId="3D3C9847" w14:textId="77777777" w:rsidR="007E5D11" w:rsidRPr="00931466" w:rsidRDefault="007E5D11"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w:t>
          </w:r>
          <w:r w:rsidRPr="00931466">
            <w:rPr>
              <w:rStyle w:val="PageNumber"/>
            </w:rPr>
            <w:fldChar w:fldCharType="end"/>
          </w:r>
        </w:p>
      </w:tc>
    </w:tr>
  </w:tbl>
  <w:p w14:paraId="27602107" w14:textId="77777777" w:rsidR="007E5D11" w:rsidRPr="00581EB8" w:rsidRDefault="007E5D11" w:rsidP="00581EB8">
    <w:pPr>
      <w:pStyle w:val="Footer"/>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7E5D11" w14:paraId="70755592" w14:textId="77777777" w:rsidTr="00C70445">
      <w:trPr>
        <w:cantSplit/>
      </w:trPr>
      <w:tc>
        <w:tcPr>
          <w:tcW w:w="709" w:type="dxa"/>
          <w:vAlign w:val="center"/>
        </w:tcPr>
        <w:p w14:paraId="1E5CE8CC" w14:textId="77777777" w:rsidR="007E5D11" w:rsidRPr="00931466" w:rsidRDefault="007E5D11" w:rsidP="00576C27">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viii</w:t>
          </w:r>
          <w:r w:rsidRPr="00931466">
            <w:rPr>
              <w:rStyle w:val="PageNumber"/>
            </w:rPr>
            <w:fldChar w:fldCharType="end"/>
          </w:r>
        </w:p>
      </w:tc>
      <w:tc>
        <w:tcPr>
          <w:tcW w:w="8080" w:type="dxa"/>
          <w:vAlign w:val="center"/>
        </w:tcPr>
        <w:p w14:paraId="6D5BA928" w14:textId="30EB68E4" w:rsidR="007E5D11" w:rsidRDefault="007E5D11" w:rsidP="00576C27">
          <w:pPr>
            <w:pStyle w:val="RectoFooter"/>
            <w:jc w:val="left"/>
          </w:pPr>
          <w:r w:rsidRPr="00576C27">
            <w:t>Review of Certain Matters under the Contraception, Sterilisation, and Abortion Act 1977</w:t>
          </w:r>
        </w:p>
      </w:tc>
    </w:tr>
  </w:tbl>
  <w:p w14:paraId="7CA52C00" w14:textId="77777777" w:rsidR="007E5D11" w:rsidRPr="00571223" w:rsidRDefault="007E5D11" w:rsidP="00571223">
    <w:pPr>
      <w:pStyle w:val="VersoFooter"/>
      <w:rPr>
        <w:sz w:val="2"/>
        <w:szCs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7E5D11" w14:paraId="7DB74E0B" w14:textId="77777777" w:rsidTr="00D662F8">
      <w:trPr>
        <w:cantSplit/>
      </w:trPr>
      <w:tc>
        <w:tcPr>
          <w:tcW w:w="709" w:type="dxa"/>
          <w:vAlign w:val="center"/>
        </w:tcPr>
        <w:p w14:paraId="7FB9EB7B" w14:textId="77777777" w:rsidR="007E5D11" w:rsidRPr="00931466" w:rsidRDefault="007E5D11"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viii</w:t>
          </w:r>
          <w:r w:rsidRPr="00931466">
            <w:rPr>
              <w:rStyle w:val="PageNumber"/>
            </w:rPr>
            <w:fldChar w:fldCharType="end"/>
          </w:r>
        </w:p>
      </w:tc>
      <w:tc>
        <w:tcPr>
          <w:tcW w:w="8080" w:type="dxa"/>
          <w:vAlign w:val="center"/>
        </w:tcPr>
        <w:p w14:paraId="1A8BBBFB" w14:textId="69FC2B1D" w:rsidR="007E5D11" w:rsidRDefault="007E5D11" w:rsidP="00926083">
          <w:pPr>
            <w:pStyle w:val="RectoFooter"/>
            <w:jc w:val="left"/>
          </w:pPr>
          <w:r w:rsidRPr="00576C27">
            <w:t>Review of Certain Matters under the Contraception, Sterilisation, and Abortion Act 1977</w:t>
          </w:r>
        </w:p>
      </w:tc>
    </w:tr>
  </w:tbl>
  <w:p w14:paraId="7C39EF3C" w14:textId="77777777" w:rsidR="007E5D11" w:rsidRPr="00571223" w:rsidRDefault="007E5D11" w:rsidP="00571223">
    <w:pPr>
      <w:pStyle w:val="Verso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A835A" w14:textId="77777777" w:rsidR="009C55E5" w:rsidRPr="00A26E6B" w:rsidRDefault="009C55E5" w:rsidP="00A26E6B"/>
  </w:footnote>
  <w:footnote w:type="continuationSeparator" w:id="0">
    <w:p w14:paraId="7BD84B33" w14:textId="77777777" w:rsidR="009C55E5" w:rsidRDefault="009C55E5">
      <w:r>
        <w:continuationSeparator/>
      </w:r>
    </w:p>
    <w:p w14:paraId="33C9D113" w14:textId="77777777" w:rsidR="009C55E5" w:rsidRDefault="009C55E5"/>
  </w:footnote>
  <w:footnote w:type="continuationNotice" w:id="1">
    <w:p w14:paraId="59872AAA" w14:textId="77777777" w:rsidR="009C55E5" w:rsidRDefault="009C55E5"/>
  </w:footnote>
  <w:footnote w:id="2">
    <w:p w14:paraId="39AB5A8A" w14:textId="01AB1BF2" w:rsidR="007E5D11" w:rsidRDefault="007E5D11" w:rsidP="00C70445">
      <w:pPr>
        <w:pStyle w:val="FootnoteText"/>
      </w:pPr>
      <w:r>
        <w:rPr>
          <w:rStyle w:val="FootnoteReference"/>
        </w:rPr>
        <w:footnoteRef/>
      </w:r>
      <w:r>
        <w:t xml:space="preserve"> </w:t>
      </w:r>
      <w:hyperlink r:id="rId1" w:history="1">
        <w:r w:rsidRPr="00C70445">
          <w:rPr>
            <w:rStyle w:val="Hyperlink"/>
            <w:sz w:val="16"/>
            <w:szCs w:val="16"/>
          </w:rPr>
          <w:t>https://www.legislation.govt.nz/act/public/1977/0112/latest/DLM17680.html?search=ts_act%</w:t>
        </w:r>
        <w:r w:rsidRPr="00C70445">
          <w:rPr>
            <w:rStyle w:val="Hyperlink"/>
            <w:sz w:val="16"/>
            <w:szCs w:val="16"/>
          </w:rPr>
          <w:br/>
          <w:t>40bill%40regulation%40deemedreg_abortion_resel_25_a&amp;p=1</w:t>
        </w:r>
      </w:hyperlink>
      <w:r>
        <w:t xml:space="preserve"> </w:t>
      </w:r>
    </w:p>
  </w:footnote>
  <w:footnote w:id="3">
    <w:p w14:paraId="3CAF3D85" w14:textId="14E24327" w:rsidR="007E5D11" w:rsidRDefault="007E5D11" w:rsidP="00C70445">
      <w:pPr>
        <w:pStyle w:val="FootnoteText"/>
      </w:pPr>
      <w:r>
        <w:rPr>
          <w:rStyle w:val="FootnoteReference"/>
        </w:rPr>
        <w:footnoteRef/>
      </w:r>
      <w:r>
        <w:t xml:space="preserve"> </w:t>
      </w:r>
      <w:hyperlink r:id="rId2" w:anchor="LMS237556" w:history="1">
        <w:r w:rsidRPr="00D75DB1">
          <w:rPr>
            <w:rStyle w:val="Hyperlink"/>
          </w:rPr>
          <w:t>https://www.legislation.govt.nz/act/public/2020/0006/latest/LMS237550.html?search=ts_act</w:t>
        </w:r>
        <w:r w:rsidRPr="00D75DB1">
          <w:rPr>
            <w:rStyle w:val="Hyperlink"/>
          </w:rPr>
          <w:br/>
          <w:t>%40bill%40regulation%40deemedreg_abortion_resel_25_a&amp;p=1#LMS237556</w:t>
        </w:r>
      </w:hyperlink>
      <w:r>
        <w:t xml:space="preserve"> </w:t>
      </w:r>
    </w:p>
  </w:footnote>
  <w:footnote w:id="4">
    <w:p w14:paraId="29D7F714" w14:textId="6A6B86EE" w:rsidR="007E5D11" w:rsidRDefault="007E5D11" w:rsidP="00C70445">
      <w:pPr>
        <w:pStyle w:val="FootnoteText"/>
      </w:pPr>
      <w:r>
        <w:rPr>
          <w:rStyle w:val="FootnoteReference"/>
        </w:rPr>
        <w:footnoteRef/>
      </w:r>
      <w:r>
        <w:t xml:space="preserve"> </w:t>
      </w:r>
      <w:hyperlink r:id="rId3" w:history="1">
        <w:r w:rsidRPr="00D75DB1">
          <w:rPr>
            <w:rStyle w:val="Hyperlink"/>
          </w:rPr>
          <w:t>https://www.legislation.govt.nz/regulation/public/2021/0219/latest/LMS532081.html?search</w:t>
        </w:r>
        <w:r w:rsidRPr="00D75DB1">
          <w:rPr>
            <w:rStyle w:val="Hyperlink"/>
          </w:rPr>
          <w:br/>
          <w:t>=ts_act%40bill%40regulation%40deemedreg_abortion_resel_25_a&amp;p=1</w:t>
        </w:r>
      </w:hyperlink>
      <w:r>
        <w:t xml:space="preserve"> </w:t>
      </w:r>
    </w:p>
  </w:footnote>
  <w:footnote w:id="5">
    <w:p w14:paraId="5102953C" w14:textId="77777777" w:rsidR="007E5D11" w:rsidRDefault="007E5D11" w:rsidP="00C70445">
      <w:pPr>
        <w:pStyle w:val="FootnoteText"/>
      </w:pPr>
      <w:r>
        <w:rPr>
          <w:rStyle w:val="FootnoteReference"/>
        </w:rPr>
        <w:footnoteRef/>
      </w:r>
      <w:r>
        <w:t xml:space="preserve"> </w:t>
      </w:r>
      <w:r w:rsidRPr="005F1F83">
        <w:t>To access previously published reports, go to the Ministry of Health’s Publications page (</w:t>
      </w:r>
      <w:hyperlink r:id="rId4" w:history="1">
        <w:r w:rsidRPr="005F1F83">
          <w:rPr>
            <w:rStyle w:val="Hyperlink"/>
          </w:rPr>
          <w:t>health.govt.nz/publications</w:t>
        </w:r>
      </w:hyperlink>
      <w:r w:rsidRPr="005F1F83">
        <w:t xml:space="preserve">) and search with the key words </w:t>
      </w:r>
      <w:r w:rsidRPr="005930CE">
        <w:rPr>
          <w:b/>
          <w:bCs/>
        </w:rPr>
        <w:t>abortion services annual report</w:t>
      </w:r>
      <w:r>
        <w:rPr>
          <w:b/>
          <w:bCs/>
        </w:rPr>
        <w:t xml:space="preserve"> </w:t>
      </w:r>
    </w:p>
  </w:footnote>
  <w:footnote w:id="6">
    <w:p w14:paraId="62286AEF" w14:textId="77777777" w:rsidR="007E5D11" w:rsidRPr="005F1F83" w:rsidRDefault="007E5D11" w:rsidP="00C70445">
      <w:pPr>
        <w:pStyle w:val="FootnoteText"/>
      </w:pPr>
      <w:r w:rsidRPr="00C02390">
        <w:rPr>
          <w:rStyle w:val="FootnoteReference"/>
        </w:rPr>
        <w:footnoteRef/>
      </w:r>
      <w:r w:rsidRPr="00C02390">
        <w:t xml:space="preserve"> Healthpoint (</w:t>
      </w:r>
      <w:hyperlink r:id="rId5" w:history="1">
        <w:r w:rsidRPr="00C02390">
          <w:rPr>
            <w:rStyle w:val="Hyperlink"/>
          </w:rPr>
          <w:t>healthpoint.co.nz</w:t>
        </w:r>
      </w:hyperlink>
      <w:r w:rsidRPr="00C02390">
        <w:t>) provides up-to-date information about health care providers (especially primary care providers), referral expectations, services offered and common treatments.</w:t>
      </w:r>
    </w:p>
  </w:footnote>
  <w:footnote w:id="7">
    <w:p w14:paraId="33158C26" w14:textId="77777777" w:rsidR="007E5D11" w:rsidRPr="005F1F83" w:rsidRDefault="007E5D11" w:rsidP="00615399">
      <w:pPr>
        <w:pStyle w:val="FootnoteText"/>
      </w:pPr>
      <w:r w:rsidRPr="005F1F83">
        <w:rPr>
          <w:rStyle w:val="FootnoteReference"/>
        </w:rPr>
        <w:footnoteRef/>
      </w:r>
      <w:r w:rsidRPr="005F1F83">
        <w:t xml:space="preserve"> See the contraception </w:t>
      </w:r>
      <w:r>
        <w:t>chapter</w:t>
      </w:r>
      <w:r w:rsidRPr="005F1F83">
        <w:t xml:space="preserve"> for further information on LARCs.</w:t>
      </w:r>
    </w:p>
  </w:footnote>
  <w:footnote w:id="8">
    <w:p w14:paraId="129DE22E" w14:textId="77777777" w:rsidR="007E5D11" w:rsidRPr="005F1F83" w:rsidRDefault="007E5D11" w:rsidP="00A21925">
      <w:pPr>
        <w:pStyle w:val="FootnoteText"/>
      </w:pPr>
      <w:r w:rsidRPr="005F1F83">
        <w:rPr>
          <w:rStyle w:val="FootnoteReference"/>
        </w:rPr>
        <w:footnoteRef/>
      </w:r>
      <w:r w:rsidRPr="005F1F83">
        <w:t xml:space="preserve"> People with a high level of health literacy are able to access and understand essential health information in order to make informed and appropriate health decisions (Ministry of Health 2013).</w:t>
      </w:r>
    </w:p>
  </w:footnote>
  <w:footnote w:id="9">
    <w:p w14:paraId="4B792249" w14:textId="77777777" w:rsidR="007E5D11" w:rsidRDefault="007E5D11" w:rsidP="00A21925">
      <w:pPr>
        <w:pStyle w:val="FootnoteText"/>
      </w:pPr>
      <w:r>
        <w:rPr>
          <w:rStyle w:val="FootnoteReference"/>
        </w:rPr>
        <w:footnoteRef/>
      </w:r>
      <w:r>
        <w:t xml:space="preserve"> </w:t>
      </w:r>
      <w:r w:rsidRPr="005F1F83">
        <w:t>One provider reported a cost of $670. However, this has not been verified and may represent a reporting error.</w:t>
      </w:r>
    </w:p>
  </w:footnote>
  <w:footnote w:id="10">
    <w:p w14:paraId="6F1DFC75" w14:textId="5C4DAC17" w:rsidR="007E5D11" w:rsidRPr="005F1F83" w:rsidRDefault="007E5D11" w:rsidP="00CD6572">
      <w:pPr>
        <w:rPr>
          <w:rFonts w:eastAsia="Calibri"/>
          <w:lang w:eastAsia="en-US"/>
        </w:rPr>
      </w:pPr>
      <w:r>
        <w:rPr>
          <w:rStyle w:val="FootnoteReference"/>
        </w:rPr>
        <w:footnoteRef/>
      </w:r>
      <w:r>
        <w:t xml:space="preserve"> </w:t>
      </w:r>
      <w:r w:rsidRPr="002A6BB1">
        <w:rPr>
          <w:rStyle w:val="FootnoteTextChar"/>
          <w:rFonts w:eastAsia="Calibri"/>
        </w:rPr>
        <w:t>To access previously published reports, go to the Ministry of Health’s Publications page (</w:t>
      </w:r>
      <w:hyperlink r:id="rId6" w:history="1">
        <w:r w:rsidRPr="002A6BB1">
          <w:rPr>
            <w:rStyle w:val="Hyperlink"/>
            <w:rFonts w:eastAsia="Calibri"/>
            <w:sz w:val="17"/>
            <w:szCs w:val="17"/>
          </w:rPr>
          <w:t>health.govt.nz/publications</w:t>
        </w:r>
      </w:hyperlink>
      <w:r w:rsidRPr="002A6BB1">
        <w:rPr>
          <w:rStyle w:val="FootnoteTextChar"/>
          <w:rFonts w:eastAsia="Calibri"/>
        </w:rPr>
        <w:t xml:space="preserve">) and search with the key words </w:t>
      </w:r>
      <w:r w:rsidRPr="002A6BB1">
        <w:rPr>
          <w:rStyle w:val="FootnoteTextChar"/>
          <w:rFonts w:eastAsia="Calibri"/>
          <w:b/>
          <w:bCs/>
        </w:rPr>
        <w:t>abortion services annual report</w:t>
      </w:r>
      <w:r w:rsidRPr="002A6BB1">
        <w:rPr>
          <w:rStyle w:val="FootnoteTextChar"/>
          <w:rFonts w:eastAsia="Calibri"/>
        </w:rPr>
        <w:t>.</w:t>
      </w:r>
      <w:r w:rsidRPr="00E52D9A">
        <w:rPr>
          <w:rFonts w:eastAsia="Calibri"/>
          <w:lang w:eastAsia="en-US"/>
        </w:rPr>
        <w:t xml:space="preserve"> </w:t>
      </w:r>
    </w:p>
    <w:p w14:paraId="6C6AFE73" w14:textId="77777777" w:rsidR="007E5D11" w:rsidRDefault="007E5D11" w:rsidP="00CD6572">
      <w:pPr>
        <w:pStyle w:val="FootnoteText"/>
      </w:pPr>
    </w:p>
  </w:footnote>
  <w:footnote w:id="11">
    <w:p w14:paraId="13824214" w14:textId="77777777" w:rsidR="007E5D11" w:rsidRPr="005F1F83" w:rsidRDefault="007E5D11" w:rsidP="007E5D11">
      <w:pPr>
        <w:pStyle w:val="FootnoteText"/>
        <w:rPr>
          <w:rFonts w:eastAsia="Calibri"/>
          <w:kern w:val="2"/>
          <w:u w:val="single"/>
          <w:lang w:eastAsia="en-US"/>
          <w14:ligatures w14:val="standardContextual"/>
        </w:rPr>
      </w:pPr>
      <w:r w:rsidRPr="005F1F83">
        <w:rPr>
          <w:rStyle w:val="FootnoteReference"/>
        </w:rPr>
        <w:footnoteRef/>
      </w:r>
      <w:r w:rsidRPr="005F1F83">
        <w:t xml:space="preserve"> </w:t>
      </w:r>
      <w:r w:rsidRPr="005F1F83">
        <w:rPr>
          <w:rFonts w:eastAsia="Calibri"/>
          <w:kern w:val="2"/>
          <w:lang w:eastAsia="en-US"/>
          <w14:ligatures w14:val="standardContextual"/>
        </w:rPr>
        <w:t>I</w:t>
      </w:r>
      <w:r w:rsidRPr="005F1F83">
        <w:rPr>
          <w:rFonts w:eastAsia="Calibri"/>
          <w:lang w:eastAsia="en-US"/>
        </w:rPr>
        <w:t xml:space="preserve">n a landmark case, </w:t>
      </w:r>
      <w:r w:rsidRPr="005F1F83">
        <w:rPr>
          <w:rFonts w:eastAsia="Calibri"/>
          <w:kern w:val="2"/>
          <w:lang w:eastAsia="en-US"/>
          <w14:ligatures w14:val="standardContextual"/>
        </w:rPr>
        <w:t xml:space="preserve">the High Court ruled that the conscientious objection </w:t>
      </w:r>
      <w:r w:rsidRPr="005F1F83">
        <w:rPr>
          <w:rFonts w:eastAsia="Calibri"/>
          <w:lang w:eastAsia="en-US"/>
        </w:rPr>
        <w:t xml:space="preserve">provisions contained in sections 14 and 15 of the </w:t>
      </w:r>
      <w:r>
        <w:rPr>
          <w:rFonts w:eastAsia="Calibri"/>
          <w:lang w:eastAsia="en-US"/>
        </w:rPr>
        <w:t xml:space="preserve">CSA </w:t>
      </w:r>
      <w:r w:rsidRPr="005F1F83">
        <w:rPr>
          <w:rFonts w:eastAsia="Calibri"/>
          <w:lang w:eastAsia="en-US"/>
        </w:rPr>
        <w:t>Act did not limit the rights of conscientious objectors under the New Zealand Bill of Rights Act 1990.</w:t>
      </w:r>
      <w:r w:rsidRPr="005F1F83">
        <w:rPr>
          <w:rFonts w:eastAsia="Calibri"/>
          <w:kern w:val="2"/>
          <w:lang w:eastAsia="en-US"/>
          <w14:ligatures w14:val="standardContextual"/>
        </w:rPr>
        <w:t xml:space="preserve"> The decision also gave guidance </w:t>
      </w:r>
      <w:r w:rsidRPr="005F1F83">
        <w:rPr>
          <w:rFonts w:eastAsia="Calibri"/>
          <w:lang w:eastAsia="en-US"/>
        </w:rPr>
        <w:t>to</w:t>
      </w:r>
      <w:r w:rsidRPr="005F1F83">
        <w:rPr>
          <w:rFonts w:eastAsia="Calibri"/>
          <w:kern w:val="2"/>
          <w:lang w:eastAsia="en-US"/>
          <w14:ligatures w14:val="standardContextual"/>
        </w:rPr>
        <w:t xml:space="preserve"> employ</w:t>
      </w:r>
      <w:r w:rsidRPr="005F1F83">
        <w:rPr>
          <w:rFonts w:eastAsia="Calibri"/>
          <w:lang w:eastAsia="en-US"/>
        </w:rPr>
        <w:t xml:space="preserve">ers </w:t>
      </w:r>
      <w:r w:rsidRPr="005F1F83">
        <w:rPr>
          <w:rFonts w:eastAsia="Calibri"/>
          <w:kern w:val="2"/>
          <w:lang w:eastAsia="en-US"/>
          <w14:ligatures w14:val="standardContextual"/>
        </w:rPr>
        <w:t>of abortion service providers, confirming that employers could consider employing only those who</w:t>
      </w:r>
      <w:r w:rsidRPr="005F1F83">
        <w:rPr>
          <w:rFonts w:eastAsia="Calibri"/>
          <w:lang w:eastAsia="en-US"/>
        </w:rPr>
        <w:t xml:space="preserve"> were willing to provide abortion services (Chemis et al 2021).</w:t>
      </w:r>
    </w:p>
    <w:p w14:paraId="072DABB2" w14:textId="77777777" w:rsidR="007E5D11" w:rsidRDefault="007E5D11" w:rsidP="007E5D1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EA723" w14:textId="77777777" w:rsidR="00A54F9F" w:rsidRDefault="00A54F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10"/>
      <w:gridCol w:w="4429"/>
    </w:tblGrid>
    <w:tr w:rsidR="007E5D11" w14:paraId="11530A0D" w14:textId="77777777" w:rsidTr="008F2B72">
      <w:trPr>
        <w:cantSplit/>
      </w:trPr>
      <w:tc>
        <w:tcPr>
          <w:tcW w:w="5210" w:type="dxa"/>
          <w:vAlign w:val="center"/>
        </w:tcPr>
        <w:p w14:paraId="2BDE3162" w14:textId="16702446" w:rsidR="007E5D11" w:rsidRDefault="007E5D11" w:rsidP="00B26F0F">
          <w:pPr>
            <w:pStyle w:val="Header"/>
          </w:pPr>
        </w:p>
      </w:tc>
      <w:tc>
        <w:tcPr>
          <w:tcW w:w="4429" w:type="dxa"/>
          <w:vAlign w:val="center"/>
        </w:tcPr>
        <w:p w14:paraId="06193D58" w14:textId="672C3C49" w:rsidR="007E5D11" w:rsidRDefault="007E5D11" w:rsidP="00C70445">
          <w:pPr>
            <w:pStyle w:val="Header"/>
            <w:jc w:val="right"/>
          </w:pPr>
        </w:p>
      </w:tc>
    </w:tr>
  </w:tbl>
  <w:p w14:paraId="4AC8EC99" w14:textId="1B35D83E" w:rsidR="007E5D11" w:rsidRDefault="007E5D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C0E5A" w14:textId="77777777" w:rsidR="00A54F9F" w:rsidRDefault="00A54F9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22E4F" w14:textId="77777777" w:rsidR="007E5D11" w:rsidRDefault="007E5D11" w:rsidP="00533B9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117B0" w14:textId="77777777" w:rsidR="007E5D11" w:rsidRDefault="007E5D11" w:rsidP="0090019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3EC00" w14:textId="77777777" w:rsidR="007E5D11" w:rsidRDefault="007E5D1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A823F1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2" w15:restartNumberingAfterBreak="0">
    <w:nsid w:val="052041F9"/>
    <w:multiLevelType w:val="hybridMultilevel"/>
    <w:tmpl w:val="ABAC7CB8"/>
    <w:lvl w:ilvl="0" w:tplc="614058B0">
      <w:start w:val="1"/>
      <w:numFmt w:val="decimal"/>
      <w:lvlText w:val="%1."/>
      <w:lvlJc w:val="left"/>
      <w:pPr>
        <w:ind w:left="840" w:hanging="360"/>
      </w:pPr>
      <w:rPr>
        <w:rFonts w:hint="default"/>
      </w:rPr>
    </w:lvl>
    <w:lvl w:ilvl="1" w:tplc="14090019">
      <w:start w:val="1"/>
      <w:numFmt w:val="lowerLetter"/>
      <w:lvlText w:val="%2."/>
      <w:lvlJc w:val="left"/>
      <w:pPr>
        <w:ind w:left="1560" w:hanging="360"/>
      </w:pPr>
    </w:lvl>
    <w:lvl w:ilvl="2" w:tplc="1409001B">
      <w:start w:val="1"/>
      <w:numFmt w:val="lowerRoman"/>
      <w:lvlText w:val="%3."/>
      <w:lvlJc w:val="right"/>
      <w:pPr>
        <w:ind w:left="2280" w:hanging="180"/>
      </w:pPr>
    </w:lvl>
    <w:lvl w:ilvl="3" w:tplc="1409000F" w:tentative="1">
      <w:start w:val="1"/>
      <w:numFmt w:val="decimal"/>
      <w:lvlText w:val="%4."/>
      <w:lvlJc w:val="left"/>
      <w:pPr>
        <w:ind w:left="3000" w:hanging="360"/>
      </w:pPr>
    </w:lvl>
    <w:lvl w:ilvl="4" w:tplc="14090019" w:tentative="1">
      <w:start w:val="1"/>
      <w:numFmt w:val="lowerLetter"/>
      <w:lvlText w:val="%5."/>
      <w:lvlJc w:val="left"/>
      <w:pPr>
        <w:ind w:left="3720" w:hanging="360"/>
      </w:pPr>
    </w:lvl>
    <w:lvl w:ilvl="5" w:tplc="1409001B" w:tentative="1">
      <w:start w:val="1"/>
      <w:numFmt w:val="lowerRoman"/>
      <w:lvlText w:val="%6."/>
      <w:lvlJc w:val="right"/>
      <w:pPr>
        <w:ind w:left="4440" w:hanging="180"/>
      </w:pPr>
    </w:lvl>
    <w:lvl w:ilvl="6" w:tplc="1409000F" w:tentative="1">
      <w:start w:val="1"/>
      <w:numFmt w:val="decimal"/>
      <w:lvlText w:val="%7."/>
      <w:lvlJc w:val="left"/>
      <w:pPr>
        <w:ind w:left="5160" w:hanging="360"/>
      </w:pPr>
    </w:lvl>
    <w:lvl w:ilvl="7" w:tplc="14090019" w:tentative="1">
      <w:start w:val="1"/>
      <w:numFmt w:val="lowerLetter"/>
      <w:lvlText w:val="%8."/>
      <w:lvlJc w:val="left"/>
      <w:pPr>
        <w:ind w:left="5880" w:hanging="360"/>
      </w:pPr>
    </w:lvl>
    <w:lvl w:ilvl="8" w:tplc="1409001B" w:tentative="1">
      <w:start w:val="1"/>
      <w:numFmt w:val="lowerRoman"/>
      <w:lvlText w:val="%9."/>
      <w:lvlJc w:val="right"/>
      <w:pPr>
        <w:ind w:left="6600" w:hanging="180"/>
      </w:pPr>
    </w:lvl>
  </w:abstractNum>
  <w:abstractNum w:abstractNumId="3" w15:restartNumberingAfterBreak="0">
    <w:nsid w:val="07BA0EC1"/>
    <w:multiLevelType w:val="hybridMultilevel"/>
    <w:tmpl w:val="0FDE2E92"/>
    <w:lvl w:ilvl="0" w:tplc="9B36D550">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F487000"/>
    <w:multiLevelType w:val="hybridMultilevel"/>
    <w:tmpl w:val="D1508736"/>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5" w15:restartNumberingAfterBreak="0">
    <w:nsid w:val="11023BAD"/>
    <w:multiLevelType w:val="hybridMultilevel"/>
    <w:tmpl w:val="4830DBB8"/>
    <w:lvl w:ilvl="0" w:tplc="AEE29EB8">
      <w:start w:val="1"/>
      <w:numFmt w:val="bullet"/>
      <w:lvlText w:val="•"/>
      <w:lvlJc w:val="left"/>
      <w:pPr>
        <w:ind w:left="246" w:hanging="134"/>
      </w:pPr>
      <w:rPr>
        <w:rFonts w:ascii="Arial Unicode MS" w:eastAsia="Arial Unicode MS" w:hAnsi="Arial Unicode MS" w:hint="default"/>
        <w:w w:val="107"/>
        <w:sz w:val="21"/>
        <w:szCs w:val="21"/>
      </w:rPr>
    </w:lvl>
    <w:lvl w:ilvl="1" w:tplc="A89C032A">
      <w:start w:val="1"/>
      <w:numFmt w:val="bullet"/>
      <w:lvlText w:val="•"/>
      <w:lvlJc w:val="left"/>
      <w:pPr>
        <w:ind w:left="464" w:hanging="134"/>
      </w:pPr>
      <w:rPr>
        <w:rFonts w:hint="default"/>
      </w:rPr>
    </w:lvl>
    <w:lvl w:ilvl="2" w:tplc="AFB65F98">
      <w:start w:val="1"/>
      <w:numFmt w:val="bullet"/>
      <w:lvlText w:val="•"/>
      <w:lvlJc w:val="left"/>
      <w:pPr>
        <w:ind w:left="682" w:hanging="134"/>
      </w:pPr>
      <w:rPr>
        <w:rFonts w:hint="default"/>
      </w:rPr>
    </w:lvl>
    <w:lvl w:ilvl="3" w:tplc="A148FA04">
      <w:start w:val="1"/>
      <w:numFmt w:val="bullet"/>
      <w:lvlText w:val="•"/>
      <w:lvlJc w:val="left"/>
      <w:pPr>
        <w:ind w:left="900" w:hanging="134"/>
      </w:pPr>
      <w:rPr>
        <w:rFonts w:hint="default"/>
      </w:rPr>
    </w:lvl>
    <w:lvl w:ilvl="4" w:tplc="F490CA92">
      <w:start w:val="1"/>
      <w:numFmt w:val="bullet"/>
      <w:lvlText w:val="•"/>
      <w:lvlJc w:val="left"/>
      <w:pPr>
        <w:ind w:left="1118" w:hanging="134"/>
      </w:pPr>
      <w:rPr>
        <w:rFonts w:hint="default"/>
      </w:rPr>
    </w:lvl>
    <w:lvl w:ilvl="5" w:tplc="B9903E90">
      <w:start w:val="1"/>
      <w:numFmt w:val="bullet"/>
      <w:lvlText w:val="•"/>
      <w:lvlJc w:val="left"/>
      <w:pPr>
        <w:ind w:left="1336" w:hanging="134"/>
      </w:pPr>
      <w:rPr>
        <w:rFonts w:hint="default"/>
      </w:rPr>
    </w:lvl>
    <w:lvl w:ilvl="6" w:tplc="811ED8BC">
      <w:start w:val="1"/>
      <w:numFmt w:val="bullet"/>
      <w:lvlText w:val="•"/>
      <w:lvlJc w:val="left"/>
      <w:pPr>
        <w:ind w:left="1554" w:hanging="134"/>
      </w:pPr>
      <w:rPr>
        <w:rFonts w:hint="default"/>
      </w:rPr>
    </w:lvl>
    <w:lvl w:ilvl="7" w:tplc="20BC151E">
      <w:start w:val="1"/>
      <w:numFmt w:val="bullet"/>
      <w:lvlText w:val="•"/>
      <w:lvlJc w:val="left"/>
      <w:pPr>
        <w:ind w:left="1771" w:hanging="134"/>
      </w:pPr>
      <w:rPr>
        <w:rFonts w:hint="default"/>
      </w:rPr>
    </w:lvl>
    <w:lvl w:ilvl="8" w:tplc="80AA897C">
      <w:start w:val="1"/>
      <w:numFmt w:val="bullet"/>
      <w:lvlText w:val="•"/>
      <w:lvlJc w:val="left"/>
      <w:pPr>
        <w:ind w:left="1989" w:hanging="134"/>
      </w:pPr>
      <w:rPr>
        <w:rFonts w:hint="default"/>
      </w:rPr>
    </w:lvl>
  </w:abstractNum>
  <w:abstractNum w:abstractNumId="6" w15:restartNumberingAfterBreak="0">
    <w:nsid w:val="1915754A"/>
    <w:multiLevelType w:val="hybridMultilevel"/>
    <w:tmpl w:val="BE16CB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A6C6694"/>
    <w:multiLevelType w:val="hybridMultilevel"/>
    <w:tmpl w:val="27DA59F2"/>
    <w:lvl w:ilvl="0" w:tplc="F6EEA218">
      <w:start w:val="1"/>
      <w:numFmt w:val="bullet"/>
      <w:lvlText w:val="•"/>
      <w:lvlJc w:val="left"/>
      <w:pPr>
        <w:ind w:left="559" w:hanging="134"/>
      </w:pPr>
      <w:rPr>
        <w:rFonts w:ascii="Lucida Sans Unicode" w:eastAsia="Lucida Sans Unicode" w:hAnsi="Lucida Sans Unicode" w:hint="default"/>
        <w:w w:val="59"/>
        <w:sz w:val="21"/>
        <w:szCs w:val="21"/>
      </w:rPr>
    </w:lvl>
    <w:lvl w:ilvl="1" w:tplc="002E3EAE">
      <w:start w:val="1"/>
      <w:numFmt w:val="bullet"/>
      <w:lvlText w:val="•"/>
      <w:lvlJc w:val="left"/>
      <w:pPr>
        <w:ind w:left="808" w:hanging="134"/>
      </w:pPr>
      <w:rPr>
        <w:rFonts w:hint="default"/>
      </w:rPr>
    </w:lvl>
    <w:lvl w:ilvl="2" w:tplc="2D64B7B0">
      <w:start w:val="1"/>
      <w:numFmt w:val="bullet"/>
      <w:lvlText w:val="•"/>
      <w:lvlJc w:val="left"/>
      <w:pPr>
        <w:ind w:left="1057" w:hanging="134"/>
      </w:pPr>
      <w:rPr>
        <w:rFonts w:hint="default"/>
      </w:rPr>
    </w:lvl>
    <w:lvl w:ilvl="3" w:tplc="82F22056">
      <w:start w:val="1"/>
      <w:numFmt w:val="bullet"/>
      <w:lvlText w:val="•"/>
      <w:lvlJc w:val="left"/>
      <w:pPr>
        <w:ind w:left="1306" w:hanging="134"/>
      </w:pPr>
      <w:rPr>
        <w:rFonts w:hint="default"/>
      </w:rPr>
    </w:lvl>
    <w:lvl w:ilvl="4" w:tplc="D920647A">
      <w:start w:val="1"/>
      <w:numFmt w:val="bullet"/>
      <w:lvlText w:val="•"/>
      <w:lvlJc w:val="left"/>
      <w:pPr>
        <w:ind w:left="1556" w:hanging="134"/>
      </w:pPr>
      <w:rPr>
        <w:rFonts w:hint="default"/>
      </w:rPr>
    </w:lvl>
    <w:lvl w:ilvl="5" w:tplc="24E6088C">
      <w:start w:val="1"/>
      <w:numFmt w:val="bullet"/>
      <w:lvlText w:val="•"/>
      <w:lvlJc w:val="left"/>
      <w:pPr>
        <w:ind w:left="1805" w:hanging="134"/>
      </w:pPr>
      <w:rPr>
        <w:rFonts w:hint="default"/>
      </w:rPr>
    </w:lvl>
    <w:lvl w:ilvl="6" w:tplc="273217BC">
      <w:start w:val="1"/>
      <w:numFmt w:val="bullet"/>
      <w:lvlText w:val="•"/>
      <w:lvlJc w:val="left"/>
      <w:pPr>
        <w:ind w:left="2054" w:hanging="134"/>
      </w:pPr>
      <w:rPr>
        <w:rFonts w:hint="default"/>
      </w:rPr>
    </w:lvl>
    <w:lvl w:ilvl="7" w:tplc="FCFE4A4A">
      <w:start w:val="1"/>
      <w:numFmt w:val="bullet"/>
      <w:lvlText w:val="•"/>
      <w:lvlJc w:val="left"/>
      <w:pPr>
        <w:ind w:left="2303" w:hanging="134"/>
      </w:pPr>
      <w:rPr>
        <w:rFonts w:hint="default"/>
      </w:rPr>
    </w:lvl>
    <w:lvl w:ilvl="8" w:tplc="47085256">
      <w:start w:val="1"/>
      <w:numFmt w:val="bullet"/>
      <w:lvlText w:val="•"/>
      <w:lvlJc w:val="left"/>
      <w:pPr>
        <w:ind w:left="2552" w:hanging="134"/>
      </w:pPr>
      <w:rPr>
        <w:rFonts w:hint="default"/>
      </w:rPr>
    </w:lvl>
  </w:abstractNum>
  <w:abstractNum w:abstractNumId="8" w15:restartNumberingAfterBreak="0">
    <w:nsid w:val="1AD22446"/>
    <w:multiLevelType w:val="hybridMultilevel"/>
    <w:tmpl w:val="82B031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BF65D06"/>
    <w:multiLevelType w:val="hybridMultilevel"/>
    <w:tmpl w:val="0C0C9346"/>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0" w15:restartNumberingAfterBreak="0">
    <w:nsid w:val="1E2C3CC1"/>
    <w:multiLevelType w:val="hybridMultilevel"/>
    <w:tmpl w:val="EEF8345E"/>
    <w:lvl w:ilvl="0" w:tplc="5B960B98">
      <w:start w:val="1"/>
      <w:numFmt w:val="bullet"/>
      <w:lvlText w:val="•"/>
      <w:lvlJc w:val="left"/>
      <w:pPr>
        <w:ind w:left="1984" w:hanging="284"/>
      </w:pPr>
      <w:rPr>
        <w:rFonts w:ascii="Lucida Sans Unicode" w:eastAsia="Lucida Sans Unicode" w:hAnsi="Lucida Sans Unicode" w:hint="default"/>
        <w:w w:val="59"/>
        <w:sz w:val="21"/>
        <w:szCs w:val="21"/>
      </w:rPr>
    </w:lvl>
    <w:lvl w:ilvl="1" w:tplc="3A3EAE6C">
      <w:start w:val="1"/>
      <w:numFmt w:val="bullet"/>
      <w:lvlText w:val="•"/>
      <w:lvlJc w:val="left"/>
      <w:pPr>
        <w:ind w:left="2808" w:hanging="284"/>
      </w:pPr>
      <w:rPr>
        <w:rFonts w:hint="default"/>
      </w:rPr>
    </w:lvl>
    <w:lvl w:ilvl="2" w:tplc="0E4E143C">
      <w:start w:val="1"/>
      <w:numFmt w:val="bullet"/>
      <w:lvlText w:val="•"/>
      <w:lvlJc w:val="left"/>
      <w:pPr>
        <w:ind w:left="3632" w:hanging="284"/>
      </w:pPr>
      <w:rPr>
        <w:rFonts w:hint="default"/>
      </w:rPr>
    </w:lvl>
    <w:lvl w:ilvl="3" w:tplc="B79A0BDC">
      <w:start w:val="1"/>
      <w:numFmt w:val="bullet"/>
      <w:lvlText w:val="•"/>
      <w:lvlJc w:val="left"/>
      <w:pPr>
        <w:ind w:left="4456" w:hanging="284"/>
      </w:pPr>
      <w:rPr>
        <w:rFonts w:hint="default"/>
      </w:rPr>
    </w:lvl>
    <w:lvl w:ilvl="4" w:tplc="53B018D4">
      <w:start w:val="1"/>
      <w:numFmt w:val="bullet"/>
      <w:lvlText w:val="•"/>
      <w:lvlJc w:val="left"/>
      <w:pPr>
        <w:ind w:left="5280" w:hanging="284"/>
      </w:pPr>
      <w:rPr>
        <w:rFonts w:hint="default"/>
      </w:rPr>
    </w:lvl>
    <w:lvl w:ilvl="5" w:tplc="E0EC6604">
      <w:start w:val="1"/>
      <w:numFmt w:val="bullet"/>
      <w:lvlText w:val="•"/>
      <w:lvlJc w:val="left"/>
      <w:pPr>
        <w:ind w:left="6104" w:hanging="284"/>
      </w:pPr>
      <w:rPr>
        <w:rFonts w:hint="default"/>
      </w:rPr>
    </w:lvl>
    <w:lvl w:ilvl="6" w:tplc="400A10A6">
      <w:start w:val="1"/>
      <w:numFmt w:val="bullet"/>
      <w:lvlText w:val="•"/>
      <w:lvlJc w:val="left"/>
      <w:pPr>
        <w:ind w:left="6929" w:hanging="284"/>
      </w:pPr>
      <w:rPr>
        <w:rFonts w:hint="default"/>
      </w:rPr>
    </w:lvl>
    <w:lvl w:ilvl="7" w:tplc="153C0546">
      <w:start w:val="1"/>
      <w:numFmt w:val="bullet"/>
      <w:lvlText w:val="•"/>
      <w:lvlJc w:val="left"/>
      <w:pPr>
        <w:ind w:left="7753" w:hanging="284"/>
      </w:pPr>
      <w:rPr>
        <w:rFonts w:hint="default"/>
      </w:rPr>
    </w:lvl>
    <w:lvl w:ilvl="8" w:tplc="90B4C0C6">
      <w:start w:val="1"/>
      <w:numFmt w:val="bullet"/>
      <w:lvlText w:val="•"/>
      <w:lvlJc w:val="left"/>
      <w:pPr>
        <w:ind w:left="8577" w:hanging="284"/>
      </w:pPr>
      <w:rPr>
        <w:rFonts w:hint="default"/>
      </w:rPr>
    </w:lvl>
  </w:abstractNum>
  <w:abstractNum w:abstractNumId="11" w15:restartNumberingAfterBreak="0">
    <w:nsid w:val="23DC7796"/>
    <w:multiLevelType w:val="multilevel"/>
    <w:tmpl w:val="38243F0A"/>
    <w:lvl w:ilvl="0">
      <w:start w:val="1"/>
      <w:numFmt w:val="decimal"/>
      <w:pStyle w:val="Number"/>
      <w:lvlText w:val="%1."/>
      <w:lvlJc w:val="left"/>
      <w:pPr>
        <w:ind w:left="567" w:hanging="567"/>
      </w:pPr>
      <w:rPr>
        <w:rFonts w:hint="default"/>
      </w:rPr>
    </w:lvl>
    <w:lvl w:ilvl="1">
      <w:start w:val="1"/>
      <w:numFmt w:val="lowerLetter"/>
      <w:pStyle w:val="Letter"/>
      <w:lvlText w:val="%2)"/>
      <w:lvlJc w:val="left"/>
      <w:pPr>
        <w:ind w:left="1134" w:hanging="567"/>
      </w:pPr>
      <w:rPr>
        <w:rFonts w:hint="default"/>
      </w:rPr>
    </w:lvl>
    <w:lvl w:ilvl="2">
      <w:start w:val="1"/>
      <w:numFmt w:val="lowerRoman"/>
      <w:pStyle w:val="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6B82D6F"/>
    <w:multiLevelType w:val="hybridMultilevel"/>
    <w:tmpl w:val="6C186060"/>
    <w:lvl w:ilvl="0" w:tplc="C15451FC">
      <w:start w:val="1"/>
      <w:numFmt w:val="bullet"/>
      <w:lvlText w:val="•"/>
      <w:lvlJc w:val="left"/>
      <w:pPr>
        <w:ind w:left="2267" w:hanging="284"/>
      </w:pPr>
      <w:rPr>
        <w:rFonts w:ascii="Lucida Sans Unicode" w:eastAsia="Lucida Sans Unicode" w:hAnsi="Lucida Sans Unicode" w:hint="default"/>
        <w:w w:val="59"/>
        <w:sz w:val="21"/>
        <w:szCs w:val="21"/>
      </w:rPr>
    </w:lvl>
    <w:lvl w:ilvl="1" w:tplc="C2804FC4">
      <w:start w:val="1"/>
      <w:numFmt w:val="bullet"/>
      <w:lvlText w:val="•"/>
      <w:lvlJc w:val="left"/>
      <w:pPr>
        <w:ind w:left="3231" w:hanging="284"/>
      </w:pPr>
      <w:rPr>
        <w:rFonts w:hint="default"/>
      </w:rPr>
    </w:lvl>
    <w:lvl w:ilvl="2" w:tplc="7B56FBF2">
      <w:start w:val="1"/>
      <w:numFmt w:val="bullet"/>
      <w:lvlText w:val="•"/>
      <w:lvlJc w:val="left"/>
      <w:pPr>
        <w:ind w:left="4195" w:hanging="284"/>
      </w:pPr>
      <w:rPr>
        <w:rFonts w:hint="default"/>
      </w:rPr>
    </w:lvl>
    <w:lvl w:ilvl="3" w:tplc="FF5C1366">
      <w:start w:val="1"/>
      <w:numFmt w:val="bullet"/>
      <w:lvlText w:val="•"/>
      <w:lvlJc w:val="left"/>
      <w:pPr>
        <w:ind w:left="5159" w:hanging="284"/>
      </w:pPr>
      <w:rPr>
        <w:rFonts w:hint="default"/>
      </w:rPr>
    </w:lvl>
    <w:lvl w:ilvl="4" w:tplc="B2CA8238">
      <w:start w:val="1"/>
      <w:numFmt w:val="bullet"/>
      <w:lvlText w:val="•"/>
      <w:lvlJc w:val="left"/>
      <w:pPr>
        <w:ind w:left="6122" w:hanging="284"/>
      </w:pPr>
      <w:rPr>
        <w:rFonts w:hint="default"/>
      </w:rPr>
    </w:lvl>
    <w:lvl w:ilvl="5" w:tplc="3378E1CC">
      <w:start w:val="1"/>
      <w:numFmt w:val="bullet"/>
      <w:lvlText w:val="•"/>
      <w:lvlJc w:val="left"/>
      <w:pPr>
        <w:ind w:left="7086" w:hanging="284"/>
      </w:pPr>
      <w:rPr>
        <w:rFonts w:hint="default"/>
      </w:rPr>
    </w:lvl>
    <w:lvl w:ilvl="6" w:tplc="DDFA6B44">
      <w:start w:val="1"/>
      <w:numFmt w:val="bullet"/>
      <w:lvlText w:val="•"/>
      <w:lvlJc w:val="left"/>
      <w:pPr>
        <w:ind w:left="8050" w:hanging="284"/>
      </w:pPr>
      <w:rPr>
        <w:rFonts w:hint="default"/>
      </w:rPr>
    </w:lvl>
    <w:lvl w:ilvl="7" w:tplc="7CA08396">
      <w:start w:val="1"/>
      <w:numFmt w:val="bullet"/>
      <w:lvlText w:val="•"/>
      <w:lvlJc w:val="left"/>
      <w:pPr>
        <w:ind w:left="9014" w:hanging="284"/>
      </w:pPr>
      <w:rPr>
        <w:rFonts w:hint="default"/>
      </w:rPr>
    </w:lvl>
    <w:lvl w:ilvl="8" w:tplc="A386EF5E">
      <w:start w:val="1"/>
      <w:numFmt w:val="bullet"/>
      <w:lvlText w:val="•"/>
      <w:lvlJc w:val="left"/>
      <w:pPr>
        <w:ind w:left="9977" w:hanging="284"/>
      </w:pPr>
      <w:rPr>
        <w:rFonts w:hint="default"/>
      </w:rPr>
    </w:lvl>
  </w:abstractNum>
  <w:abstractNum w:abstractNumId="13" w15:restartNumberingAfterBreak="0">
    <w:nsid w:val="28F57520"/>
    <w:multiLevelType w:val="singleLevel"/>
    <w:tmpl w:val="F3FE0FEA"/>
    <w:lvl w:ilvl="0">
      <w:start w:val="1"/>
      <w:numFmt w:val="bullet"/>
      <w:lvlText w:val="–"/>
      <w:lvlJc w:val="left"/>
      <w:pPr>
        <w:tabs>
          <w:tab w:val="num" w:pos="644"/>
        </w:tabs>
        <w:ind w:left="567" w:hanging="283"/>
      </w:pPr>
      <w:rPr>
        <w:rFonts w:ascii="Times New Roman" w:hAnsi="Times New Roman" w:hint="default"/>
        <w:sz w:val="20"/>
      </w:rPr>
    </w:lvl>
  </w:abstractNum>
  <w:abstractNum w:abstractNumId="14" w15:restartNumberingAfterBreak="0">
    <w:nsid w:val="2D94347D"/>
    <w:multiLevelType w:val="hybridMultilevel"/>
    <w:tmpl w:val="CDC0E688"/>
    <w:lvl w:ilvl="0" w:tplc="AAE49842">
      <w:start w:val="1"/>
      <w:numFmt w:val="bullet"/>
      <w:lvlText w:val="•"/>
      <w:lvlJc w:val="left"/>
      <w:pPr>
        <w:ind w:left="1984" w:hanging="284"/>
      </w:pPr>
      <w:rPr>
        <w:rFonts w:ascii="Lucida Sans Unicode" w:eastAsia="Lucida Sans Unicode" w:hAnsi="Lucida Sans Unicode" w:hint="default"/>
        <w:w w:val="59"/>
        <w:sz w:val="21"/>
        <w:szCs w:val="21"/>
      </w:rPr>
    </w:lvl>
    <w:lvl w:ilvl="1" w:tplc="A3103622">
      <w:start w:val="1"/>
      <w:numFmt w:val="bullet"/>
      <w:lvlText w:val="•"/>
      <w:lvlJc w:val="left"/>
      <w:pPr>
        <w:ind w:left="2808" w:hanging="284"/>
      </w:pPr>
      <w:rPr>
        <w:rFonts w:hint="default"/>
      </w:rPr>
    </w:lvl>
    <w:lvl w:ilvl="2" w:tplc="2CC6F326">
      <w:start w:val="1"/>
      <w:numFmt w:val="bullet"/>
      <w:lvlText w:val="•"/>
      <w:lvlJc w:val="left"/>
      <w:pPr>
        <w:ind w:left="3632" w:hanging="284"/>
      </w:pPr>
      <w:rPr>
        <w:rFonts w:hint="default"/>
      </w:rPr>
    </w:lvl>
    <w:lvl w:ilvl="3" w:tplc="C026F318">
      <w:start w:val="1"/>
      <w:numFmt w:val="bullet"/>
      <w:lvlText w:val="•"/>
      <w:lvlJc w:val="left"/>
      <w:pPr>
        <w:ind w:left="4456" w:hanging="284"/>
      </w:pPr>
      <w:rPr>
        <w:rFonts w:hint="default"/>
      </w:rPr>
    </w:lvl>
    <w:lvl w:ilvl="4" w:tplc="8E1C6BD0">
      <w:start w:val="1"/>
      <w:numFmt w:val="bullet"/>
      <w:lvlText w:val="•"/>
      <w:lvlJc w:val="left"/>
      <w:pPr>
        <w:ind w:left="5280" w:hanging="284"/>
      </w:pPr>
      <w:rPr>
        <w:rFonts w:hint="default"/>
      </w:rPr>
    </w:lvl>
    <w:lvl w:ilvl="5" w:tplc="96EA3796">
      <w:start w:val="1"/>
      <w:numFmt w:val="bullet"/>
      <w:lvlText w:val="•"/>
      <w:lvlJc w:val="left"/>
      <w:pPr>
        <w:ind w:left="6104" w:hanging="284"/>
      </w:pPr>
      <w:rPr>
        <w:rFonts w:hint="default"/>
      </w:rPr>
    </w:lvl>
    <w:lvl w:ilvl="6" w:tplc="DF52DE2A">
      <w:start w:val="1"/>
      <w:numFmt w:val="bullet"/>
      <w:lvlText w:val="•"/>
      <w:lvlJc w:val="left"/>
      <w:pPr>
        <w:ind w:left="6929" w:hanging="284"/>
      </w:pPr>
      <w:rPr>
        <w:rFonts w:hint="default"/>
      </w:rPr>
    </w:lvl>
    <w:lvl w:ilvl="7" w:tplc="7D3E5354">
      <w:start w:val="1"/>
      <w:numFmt w:val="bullet"/>
      <w:lvlText w:val="•"/>
      <w:lvlJc w:val="left"/>
      <w:pPr>
        <w:ind w:left="7753" w:hanging="284"/>
      </w:pPr>
      <w:rPr>
        <w:rFonts w:hint="default"/>
      </w:rPr>
    </w:lvl>
    <w:lvl w:ilvl="8" w:tplc="0FE8A7AA">
      <w:start w:val="1"/>
      <w:numFmt w:val="bullet"/>
      <w:lvlText w:val="•"/>
      <w:lvlJc w:val="left"/>
      <w:pPr>
        <w:ind w:left="8577" w:hanging="284"/>
      </w:pPr>
      <w:rPr>
        <w:rFonts w:hint="default"/>
      </w:rPr>
    </w:lvl>
  </w:abstractNum>
  <w:abstractNum w:abstractNumId="15" w15:restartNumberingAfterBreak="0">
    <w:nsid w:val="31430E4A"/>
    <w:multiLevelType w:val="hybridMultilevel"/>
    <w:tmpl w:val="C4BE4BD4"/>
    <w:lvl w:ilvl="0" w:tplc="54ACCB78">
      <w:start w:val="1"/>
      <w:numFmt w:val="bullet"/>
      <w:lvlText w:val="•"/>
      <w:lvlJc w:val="left"/>
      <w:pPr>
        <w:ind w:left="623" w:hanging="284"/>
      </w:pPr>
      <w:rPr>
        <w:rFonts w:ascii="Arial Unicode MS" w:eastAsia="Arial Unicode MS" w:hAnsi="Arial Unicode MS" w:hint="default"/>
        <w:color w:val="FFFFFF"/>
        <w:w w:val="107"/>
        <w:sz w:val="21"/>
        <w:szCs w:val="21"/>
      </w:rPr>
    </w:lvl>
    <w:lvl w:ilvl="1" w:tplc="6EE81F12">
      <w:start w:val="1"/>
      <w:numFmt w:val="bullet"/>
      <w:lvlText w:val="•"/>
      <w:lvlJc w:val="left"/>
      <w:pPr>
        <w:ind w:left="926" w:hanging="284"/>
      </w:pPr>
      <w:rPr>
        <w:rFonts w:hint="default"/>
      </w:rPr>
    </w:lvl>
    <w:lvl w:ilvl="2" w:tplc="3D880680">
      <w:start w:val="1"/>
      <w:numFmt w:val="bullet"/>
      <w:lvlText w:val="•"/>
      <w:lvlJc w:val="left"/>
      <w:pPr>
        <w:ind w:left="1230" w:hanging="284"/>
      </w:pPr>
      <w:rPr>
        <w:rFonts w:hint="default"/>
      </w:rPr>
    </w:lvl>
    <w:lvl w:ilvl="3" w:tplc="B010C610">
      <w:start w:val="1"/>
      <w:numFmt w:val="bullet"/>
      <w:lvlText w:val="•"/>
      <w:lvlJc w:val="left"/>
      <w:pPr>
        <w:ind w:left="1533" w:hanging="284"/>
      </w:pPr>
      <w:rPr>
        <w:rFonts w:hint="default"/>
      </w:rPr>
    </w:lvl>
    <w:lvl w:ilvl="4" w:tplc="E6120074">
      <w:start w:val="1"/>
      <w:numFmt w:val="bullet"/>
      <w:lvlText w:val="•"/>
      <w:lvlJc w:val="left"/>
      <w:pPr>
        <w:ind w:left="1836" w:hanging="284"/>
      </w:pPr>
      <w:rPr>
        <w:rFonts w:hint="default"/>
      </w:rPr>
    </w:lvl>
    <w:lvl w:ilvl="5" w:tplc="CBC8627C">
      <w:start w:val="1"/>
      <w:numFmt w:val="bullet"/>
      <w:lvlText w:val="•"/>
      <w:lvlJc w:val="left"/>
      <w:pPr>
        <w:ind w:left="2140" w:hanging="284"/>
      </w:pPr>
      <w:rPr>
        <w:rFonts w:hint="default"/>
      </w:rPr>
    </w:lvl>
    <w:lvl w:ilvl="6" w:tplc="B9380D56">
      <w:start w:val="1"/>
      <w:numFmt w:val="bullet"/>
      <w:lvlText w:val="•"/>
      <w:lvlJc w:val="left"/>
      <w:pPr>
        <w:ind w:left="2443" w:hanging="284"/>
      </w:pPr>
      <w:rPr>
        <w:rFonts w:hint="default"/>
      </w:rPr>
    </w:lvl>
    <w:lvl w:ilvl="7" w:tplc="21BEC842">
      <w:start w:val="1"/>
      <w:numFmt w:val="bullet"/>
      <w:lvlText w:val="•"/>
      <w:lvlJc w:val="left"/>
      <w:pPr>
        <w:ind w:left="2746" w:hanging="284"/>
      </w:pPr>
      <w:rPr>
        <w:rFonts w:hint="default"/>
      </w:rPr>
    </w:lvl>
    <w:lvl w:ilvl="8" w:tplc="43B03AC2">
      <w:start w:val="1"/>
      <w:numFmt w:val="bullet"/>
      <w:lvlText w:val="•"/>
      <w:lvlJc w:val="left"/>
      <w:pPr>
        <w:ind w:left="3050" w:hanging="284"/>
      </w:pPr>
      <w:rPr>
        <w:rFonts w:hint="default"/>
      </w:rPr>
    </w:lvl>
  </w:abstractNum>
  <w:abstractNum w:abstractNumId="16"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C678FF"/>
    <w:multiLevelType w:val="multilevel"/>
    <w:tmpl w:val="3CC80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FB4939"/>
    <w:multiLevelType w:val="hybridMultilevel"/>
    <w:tmpl w:val="B560C9E0"/>
    <w:lvl w:ilvl="0" w:tplc="5358D1F4">
      <w:start w:val="1"/>
      <w:numFmt w:val="bullet"/>
      <w:lvlText w:val="–"/>
      <w:lvlJc w:val="left"/>
      <w:pPr>
        <w:ind w:left="701" w:hanging="284"/>
      </w:pPr>
      <w:rPr>
        <w:rFonts w:ascii="Arial Black" w:eastAsia="Arial Black" w:hAnsi="Arial Black" w:hint="default"/>
        <w:b/>
        <w:bCs/>
        <w:sz w:val="21"/>
        <w:szCs w:val="21"/>
      </w:rPr>
    </w:lvl>
    <w:lvl w:ilvl="1" w:tplc="2D0A247C">
      <w:start w:val="1"/>
      <w:numFmt w:val="bullet"/>
      <w:lvlText w:val="•"/>
      <w:lvlJc w:val="left"/>
      <w:pPr>
        <w:ind w:left="1149" w:hanging="284"/>
      </w:pPr>
      <w:rPr>
        <w:rFonts w:hint="default"/>
      </w:rPr>
    </w:lvl>
    <w:lvl w:ilvl="2" w:tplc="014E8A48">
      <w:start w:val="1"/>
      <w:numFmt w:val="bullet"/>
      <w:lvlText w:val="•"/>
      <w:lvlJc w:val="left"/>
      <w:pPr>
        <w:ind w:left="1596" w:hanging="284"/>
      </w:pPr>
      <w:rPr>
        <w:rFonts w:hint="default"/>
      </w:rPr>
    </w:lvl>
    <w:lvl w:ilvl="3" w:tplc="62E68792">
      <w:start w:val="1"/>
      <w:numFmt w:val="bullet"/>
      <w:lvlText w:val="•"/>
      <w:lvlJc w:val="left"/>
      <w:pPr>
        <w:ind w:left="2044" w:hanging="284"/>
      </w:pPr>
      <w:rPr>
        <w:rFonts w:hint="default"/>
      </w:rPr>
    </w:lvl>
    <w:lvl w:ilvl="4" w:tplc="6BC03800">
      <w:start w:val="1"/>
      <w:numFmt w:val="bullet"/>
      <w:lvlText w:val="•"/>
      <w:lvlJc w:val="left"/>
      <w:pPr>
        <w:ind w:left="2492" w:hanging="284"/>
      </w:pPr>
      <w:rPr>
        <w:rFonts w:hint="default"/>
      </w:rPr>
    </w:lvl>
    <w:lvl w:ilvl="5" w:tplc="D62CF1AE">
      <w:start w:val="1"/>
      <w:numFmt w:val="bullet"/>
      <w:lvlText w:val="•"/>
      <w:lvlJc w:val="left"/>
      <w:pPr>
        <w:ind w:left="2940" w:hanging="284"/>
      </w:pPr>
      <w:rPr>
        <w:rFonts w:hint="default"/>
      </w:rPr>
    </w:lvl>
    <w:lvl w:ilvl="6" w:tplc="4AF656FE">
      <w:start w:val="1"/>
      <w:numFmt w:val="bullet"/>
      <w:lvlText w:val="•"/>
      <w:lvlJc w:val="left"/>
      <w:pPr>
        <w:ind w:left="3388" w:hanging="284"/>
      </w:pPr>
      <w:rPr>
        <w:rFonts w:hint="default"/>
      </w:rPr>
    </w:lvl>
    <w:lvl w:ilvl="7" w:tplc="B11C28E0">
      <w:start w:val="1"/>
      <w:numFmt w:val="bullet"/>
      <w:lvlText w:val="•"/>
      <w:lvlJc w:val="left"/>
      <w:pPr>
        <w:ind w:left="3836" w:hanging="284"/>
      </w:pPr>
      <w:rPr>
        <w:rFonts w:hint="default"/>
      </w:rPr>
    </w:lvl>
    <w:lvl w:ilvl="8" w:tplc="A2F2C1E6">
      <w:start w:val="1"/>
      <w:numFmt w:val="bullet"/>
      <w:lvlText w:val="•"/>
      <w:lvlJc w:val="left"/>
      <w:pPr>
        <w:ind w:left="4284" w:hanging="284"/>
      </w:pPr>
      <w:rPr>
        <w:rFonts w:hint="default"/>
      </w:rPr>
    </w:lvl>
  </w:abstractNum>
  <w:abstractNum w:abstractNumId="20" w15:restartNumberingAfterBreak="0">
    <w:nsid w:val="4D6856C8"/>
    <w:multiLevelType w:val="hybridMultilevel"/>
    <w:tmpl w:val="0338F8C0"/>
    <w:lvl w:ilvl="0" w:tplc="73FE36DE">
      <w:start w:val="1"/>
      <w:numFmt w:val="bullet"/>
      <w:lvlText w:val="•"/>
      <w:lvlJc w:val="left"/>
      <w:pPr>
        <w:ind w:left="245" w:hanging="134"/>
      </w:pPr>
      <w:rPr>
        <w:rFonts w:ascii="Arial Unicode MS" w:eastAsia="Arial Unicode MS" w:hAnsi="Arial Unicode MS" w:hint="default"/>
        <w:w w:val="107"/>
        <w:sz w:val="21"/>
        <w:szCs w:val="21"/>
      </w:rPr>
    </w:lvl>
    <w:lvl w:ilvl="1" w:tplc="3F32CFCA">
      <w:start w:val="1"/>
      <w:numFmt w:val="bullet"/>
      <w:lvlText w:val="•"/>
      <w:lvlJc w:val="left"/>
      <w:pPr>
        <w:ind w:left="494" w:hanging="134"/>
      </w:pPr>
      <w:rPr>
        <w:rFonts w:hint="default"/>
      </w:rPr>
    </w:lvl>
    <w:lvl w:ilvl="2" w:tplc="025CEB60">
      <w:start w:val="1"/>
      <w:numFmt w:val="bullet"/>
      <w:lvlText w:val="•"/>
      <w:lvlJc w:val="left"/>
      <w:pPr>
        <w:ind w:left="743" w:hanging="134"/>
      </w:pPr>
      <w:rPr>
        <w:rFonts w:hint="default"/>
      </w:rPr>
    </w:lvl>
    <w:lvl w:ilvl="3" w:tplc="5E0EC12A">
      <w:start w:val="1"/>
      <w:numFmt w:val="bullet"/>
      <w:lvlText w:val="•"/>
      <w:lvlJc w:val="left"/>
      <w:pPr>
        <w:ind w:left="993" w:hanging="134"/>
      </w:pPr>
      <w:rPr>
        <w:rFonts w:hint="default"/>
      </w:rPr>
    </w:lvl>
    <w:lvl w:ilvl="4" w:tplc="E8B04864">
      <w:start w:val="1"/>
      <w:numFmt w:val="bullet"/>
      <w:lvlText w:val="•"/>
      <w:lvlJc w:val="left"/>
      <w:pPr>
        <w:ind w:left="1242" w:hanging="134"/>
      </w:pPr>
      <w:rPr>
        <w:rFonts w:hint="default"/>
      </w:rPr>
    </w:lvl>
    <w:lvl w:ilvl="5" w:tplc="7EF0585E">
      <w:start w:val="1"/>
      <w:numFmt w:val="bullet"/>
      <w:lvlText w:val="•"/>
      <w:lvlJc w:val="left"/>
      <w:pPr>
        <w:ind w:left="1491" w:hanging="134"/>
      </w:pPr>
      <w:rPr>
        <w:rFonts w:hint="default"/>
      </w:rPr>
    </w:lvl>
    <w:lvl w:ilvl="6" w:tplc="7EC6F446">
      <w:start w:val="1"/>
      <w:numFmt w:val="bullet"/>
      <w:lvlText w:val="•"/>
      <w:lvlJc w:val="left"/>
      <w:pPr>
        <w:ind w:left="1740" w:hanging="134"/>
      </w:pPr>
      <w:rPr>
        <w:rFonts w:hint="default"/>
      </w:rPr>
    </w:lvl>
    <w:lvl w:ilvl="7" w:tplc="B4E0707E">
      <w:start w:val="1"/>
      <w:numFmt w:val="bullet"/>
      <w:lvlText w:val="•"/>
      <w:lvlJc w:val="left"/>
      <w:pPr>
        <w:ind w:left="1989" w:hanging="134"/>
      </w:pPr>
      <w:rPr>
        <w:rFonts w:hint="default"/>
      </w:rPr>
    </w:lvl>
    <w:lvl w:ilvl="8" w:tplc="30DCDC0C">
      <w:start w:val="1"/>
      <w:numFmt w:val="bullet"/>
      <w:lvlText w:val="•"/>
      <w:lvlJc w:val="left"/>
      <w:pPr>
        <w:ind w:left="2239" w:hanging="134"/>
      </w:pPr>
      <w:rPr>
        <w:rFonts w:hint="default"/>
      </w:rPr>
    </w:lvl>
  </w:abstractNum>
  <w:abstractNum w:abstractNumId="21" w15:restartNumberingAfterBreak="0">
    <w:nsid w:val="5B09314A"/>
    <w:multiLevelType w:val="multilevel"/>
    <w:tmpl w:val="7720957A"/>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567" w:hanging="567"/>
      </w:pPr>
      <w:rPr>
        <w:rFonts w:hint="default"/>
      </w:rPr>
    </w:lvl>
    <w:lvl w:ilvl="4">
      <w:start w:val="1"/>
      <w:numFmt w:val="lowerLetter"/>
      <w:lvlText w:val="%5)"/>
      <w:lvlJc w:val="left"/>
      <w:pPr>
        <w:tabs>
          <w:tab w:val="num" w:pos="1134"/>
        </w:tabs>
        <w:ind w:left="1134"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C724B65"/>
    <w:multiLevelType w:val="hybridMultilevel"/>
    <w:tmpl w:val="46E4FFEE"/>
    <w:lvl w:ilvl="0" w:tplc="EB0A854E">
      <w:start w:val="1"/>
      <w:numFmt w:val="bullet"/>
      <w:lvlText w:val="•"/>
      <w:lvlJc w:val="left"/>
      <w:pPr>
        <w:ind w:left="559" w:hanging="134"/>
      </w:pPr>
      <w:rPr>
        <w:rFonts w:ascii="Arial Unicode MS" w:eastAsia="Arial Unicode MS" w:hAnsi="Arial Unicode MS" w:hint="default"/>
        <w:w w:val="107"/>
        <w:sz w:val="21"/>
        <w:szCs w:val="21"/>
      </w:rPr>
    </w:lvl>
    <w:lvl w:ilvl="1" w:tplc="85E65D22">
      <w:start w:val="1"/>
      <w:numFmt w:val="bullet"/>
      <w:lvlText w:val="•"/>
      <w:lvlJc w:val="left"/>
      <w:pPr>
        <w:ind w:left="808" w:hanging="134"/>
      </w:pPr>
      <w:rPr>
        <w:rFonts w:hint="default"/>
      </w:rPr>
    </w:lvl>
    <w:lvl w:ilvl="2" w:tplc="69460D26">
      <w:start w:val="1"/>
      <w:numFmt w:val="bullet"/>
      <w:lvlText w:val="•"/>
      <w:lvlJc w:val="left"/>
      <w:pPr>
        <w:ind w:left="1058" w:hanging="134"/>
      </w:pPr>
      <w:rPr>
        <w:rFonts w:hint="default"/>
      </w:rPr>
    </w:lvl>
    <w:lvl w:ilvl="3" w:tplc="CD6AEA72">
      <w:start w:val="1"/>
      <w:numFmt w:val="bullet"/>
      <w:lvlText w:val="•"/>
      <w:lvlJc w:val="left"/>
      <w:pPr>
        <w:ind w:left="1307" w:hanging="134"/>
      </w:pPr>
      <w:rPr>
        <w:rFonts w:hint="default"/>
      </w:rPr>
    </w:lvl>
    <w:lvl w:ilvl="4" w:tplc="DCE6E408">
      <w:start w:val="1"/>
      <w:numFmt w:val="bullet"/>
      <w:lvlText w:val="•"/>
      <w:lvlJc w:val="left"/>
      <w:pPr>
        <w:ind w:left="1556" w:hanging="134"/>
      </w:pPr>
      <w:rPr>
        <w:rFonts w:hint="default"/>
      </w:rPr>
    </w:lvl>
    <w:lvl w:ilvl="5" w:tplc="C3182234">
      <w:start w:val="1"/>
      <w:numFmt w:val="bullet"/>
      <w:lvlText w:val="•"/>
      <w:lvlJc w:val="left"/>
      <w:pPr>
        <w:ind w:left="1805" w:hanging="134"/>
      </w:pPr>
      <w:rPr>
        <w:rFonts w:hint="default"/>
      </w:rPr>
    </w:lvl>
    <w:lvl w:ilvl="6" w:tplc="85C2C604">
      <w:start w:val="1"/>
      <w:numFmt w:val="bullet"/>
      <w:lvlText w:val="•"/>
      <w:lvlJc w:val="left"/>
      <w:pPr>
        <w:ind w:left="2054" w:hanging="134"/>
      </w:pPr>
      <w:rPr>
        <w:rFonts w:hint="default"/>
      </w:rPr>
    </w:lvl>
    <w:lvl w:ilvl="7" w:tplc="3B5A4DA6">
      <w:start w:val="1"/>
      <w:numFmt w:val="bullet"/>
      <w:lvlText w:val="•"/>
      <w:lvlJc w:val="left"/>
      <w:pPr>
        <w:ind w:left="2303" w:hanging="134"/>
      </w:pPr>
      <w:rPr>
        <w:rFonts w:hint="default"/>
      </w:rPr>
    </w:lvl>
    <w:lvl w:ilvl="8" w:tplc="37AAE036">
      <w:start w:val="1"/>
      <w:numFmt w:val="bullet"/>
      <w:lvlText w:val="•"/>
      <w:lvlJc w:val="left"/>
      <w:pPr>
        <w:ind w:left="2552" w:hanging="134"/>
      </w:pPr>
      <w:rPr>
        <w:rFonts w:hint="default"/>
      </w:rPr>
    </w:lvl>
  </w:abstractNum>
  <w:abstractNum w:abstractNumId="23" w15:restartNumberingAfterBreak="0">
    <w:nsid w:val="5D9A15C3"/>
    <w:multiLevelType w:val="hybridMultilevel"/>
    <w:tmpl w:val="1E9823CC"/>
    <w:lvl w:ilvl="0" w:tplc="AA18F162">
      <w:start w:val="1"/>
      <w:numFmt w:val="bullet"/>
      <w:lvlText w:val="•"/>
      <w:lvlJc w:val="left"/>
      <w:pPr>
        <w:ind w:left="245" w:hanging="134"/>
      </w:pPr>
      <w:rPr>
        <w:rFonts w:ascii="Arial Unicode MS" w:eastAsia="Arial Unicode MS" w:hAnsi="Arial Unicode MS" w:hint="default"/>
        <w:w w:val="107"/>
        <w:sz w:val="21"/>
        <w:szCs w:val="21"/>
      </w:rPr>
    </w:lvl>
    <w:lvl w:ilvl="1" w:tplc="D886110C">
      <w:start w:val="1"/>
      <w:numFmt w:val="bullet"/>
      <w:lvlText w:val="•"/>
      <w:lvlJc w:val="left"/>
      <w:pPr>
        <w:ind w:left="494" w:hanging="134"/>
      </w:pPr>
      <w:rPr>
        <w:rFonts w:hint="default"/>
      </w:rPr>
    </w:lvl>
    <w:lvl w:ilvl="2" w:tplc="5C048F26">
      <w:start w:val="1"/>
      <w:numFmt w:val="bullet"/>
      <w:lvlText w:val="•"/>
      <w:lvlJc w:val="left"/>
      <w:pPr>
        <w:ind w:left="744" w:hanging="134"/>
      </w:pPr>
      <w:rPr>
        <w:rFonts w:hint="default"/>
      </w:rPr>
    </w:lvl>
    <w:lvl w:ilvl="3" w:tplc="44DACB5A">
      <w:start w:val="1"/>
      <w:numFmt w:val="bullet"/>
      <w:lvlText w:val="•"/>
      <w:lvlJc w:val="left"/>
      <w:pPr>
        <w:ind w:left="993" w:hanging="134"/>
      </w:pPr>
      <w:rPr>
        <w:rFonts w:hint="default"/>
      </w:rPr>
    </w:lvl>
    <w:lvl w:ilvl="4" w:tplc="B8B465F0">
      <w:start w:val="1"/>
      <w:numFmt w:val="bullet"/>
      <w:lvlText w:val="•"/>
      <w:lvlJc w:val="left"/>
      <w:pPr>
        <w:ind w:left="1242" w:hanging="134"/>
      </w:pPr>
      <w:rPr>
        <w:rFonts w:hint="default"/>
      </w:rPr>
    </w:lvl>
    <w:lvl w:ilvl="5" w:tplc="1FDCA722">
      <w:start w:val="1"/>
      <w:numFmt w:val="bullet"/>
      <w:lvlText w:val="•"/>
      <w:lvlJc w:val="left"/>
      <w:pPr>
        <w:ind w:left="1491" w:hanging="134"/>
      </w:pPr>
      <w:rPr>
        <w:rFonts w:hint="default"/>
      </w:rPr>
    </w:lvl>
    <w:lvl w:ilvl="6" w:tplc="62501116">
      <w:start w:val="1"/>
      <w:numFmt w:val="bullet"/>
      <w:lvlText w:val="•"/>
      <w:lvlJc w:val="left"/>
      <w:pPr>
        <w:ind w:left="1740" w:hanging="134"/>
      </w:pPr>
      <w:rPr>
        <w:rFonts w:hint="default"/>
      </w:rPr>
    </w:lvl>
    <w:lvl w:ilvl="7" w:tplc="EA9AA01C">
      <w:start w:val="1"/>
      <w:numFmt w:val="bullet"/>
      <w:lvlText w:val="•"/>
      <w:lvlJc w:val="left"/>
      <w:pPr>
        <w:ind w:left="1989" w:hanging="134"/>
      </w:pPr>
      <w:rPr>
        <w:rFonts w:hint="default"/>
      </w:rPr>
    </w:lvl>
    <w:lvl w:ilvl="8" w:tplc="005E787C">
      <w:start w:val="1"/>
      <w:numFmt w:val="bullet"/>
      <w:lvlText w:val="•"/>
      <w:lvlJc w:val="left"/>
      <w:pPr>
        <w:ind w:left="2239" w:hanging="134"/>
      </w:pPr>
      <w:rPr>
        <w:rFonts w:hint="default"/>
      </w:rPr>
    </w:lvl>
  </w:abstractNum>
  <w:abstractNum w:abstractNumId="24" w15:restartNumberingAfterBreak="0">
    <w:nsid w:val="688D2C9E"/>
    <w:multiLevelType w:val="singleLevel"/>
    <w:tmpl w:val="976C8326"/>
    <w:lvl w:ilvl="0">
      <w:start w:val="1"/>
      <w:numFmt w:val="bullet"/>
      <w:lvlText w:val=""/>
      <w:lvlJc w:val="left"/>
      <w:pPr>
        <w:tabs>
          <w:tab w:val="num" w:pos="360"/>
        </w:tabs>
        <w:ind w:left="284" w:hanging="284"/>
      </w:pPr>
      <w:rPr>
        <w:rFonts w:ascii="Symbol" w:hAnsi="Symbol" w:hint="default"/>
        <w:sz w:val="18"/>
      </w:rPr>
    </w:lvl>
  </w:abstractNum>
  <w:abstractNum w:abstractNumId="25" w15:restartNumberingAfterBreak="0">
    <w:nsid w:val="6A493BA7"/>
    <w:multiLevelType w:val="hybridMultilevel"/>
    <w:tmpl w:val="54A49246"/>
    <w:lvl w:ilvl="0" w:tplc="32401D94">
      <w:start w:val="1"/>
      <w:numFmt w:val="bullet"/>
      <w:lvlText w:val="–"/>
      <w:lvlJc w:val="left"/>
      <w:pPr>
        <w:ind w:left="701" w:hanging="284"/>
      </w:pPr>
      <w:rPr>
        <w:rFonts w:ascii="Arial Black" w:eastAsia="Arial Black" w:hAnsi="Arial Black" w:hint="default"/>
        <w:b/>
        <w:bCs/>
        <w:sz w:val="21"/>
        <w:szCs w:val="21"/>
      </w:rPr>
    </w:lvl>
    <w:lvl w:ilvl="1" w:tplc="2702D4F0">
      <w:start w:val="1"/>
      <w:numFmt w:val="bullet"/>
      <w:lvlText w:val="•"/>
      <w:lvlJc w:val="left"/>
      <w:pPr>
        <w:ind w:left="1149" w:hanging="284"/>
      </w:pPr>
      <w:rPr>
        <w:rFonts w:hint="default"/>
      </w:rPr>
    </w:lvl>
    <w:lvl w:ilvl="2" w:tplc="7E12EC3E">
      <w:start w:val="1"/>
      <w:numFmt w:val="bullet"/>
      <w:lvlText w:val="•"/>
      <w:lvlJc w:val="left"/>
      <w:pPr>
        <w:ind w:left="1596" w:hanging="284"/>
      </w:pPr>
      <w:rPr>
        <w:rFonts w:hint="default"/>
      </w:rPr>
    </w:lvl>
    <w:lvl w:ilvl="3" w:tplc="8AE0534C">
      <w:start w:val="1"/>
      <w:numFmt w:val="bullet"/>
      <w:lvlText w:val="•"/>
      <w:lvlJc w:val="left"/>
      <w:pPr>
        <w:ind w:left="2044" w:hanging="284"/>
      </w:pPr>
      <w:rPr>
        <w:rFonts w:hint="default"/>
      </w:rPr>
    </w:lvl>
    <w:lvl w:ilvl="4" w:tplc="23967D3A">
      <w:start w:val="1"/>
      <w:numFmt w:val="bullet"/>
      <w:lvlText w:val="•"/>
      <w:lvlJc w:val="left"/>
      <w:pPr>
        <w:ind w:left="2492" w:hanging="284"/>
      </w:pPr>
      <w:rPr>
        <w:rFonts w:hint="default"/>
      </w:rPr>
    </w:lvl>
    <w:lvl w:ilvl="5" w:tplc="A1105360">
      <w:start w:val="1"/>
      <w:numFmt w:val="bullet"/>
      <w:lvlText w:val="•"/>
      <w:lvlJc w:val="left"/>
      <w:pPr>
        <w:ind w:left="2940" w:hanging="284"/>
      </w:pPr>
      <w:rPr>
        <w:rFonts w:hint="default"/>
      </w:rPr>
    </w:lvl>
    <w:lvl w:ilvl="6" w:tplc="1D5A8006">
      <w:start w:val="1"/>
      <w:numFmt w:val="bullet"/>
      <w:lvlText w:val="•"/>
      <w:lvlJc w:val="left"/>
      <w:pPr>
        <w:ind w:left="3388" w:hanging="284"/>
      </w:pPr>
      <w:rPr>
        <w:rFonts w:hint="default"/>
      </w:rPr>
    </w:lvl>
    <w:lvl w:ilvl="7" w:tplc="CAD8527E">
      <w:start w:val="1"/>
      <w:numFmt w:val="bullet"/>
      <w:lvlText w:val="•"/>
      <w:lvlJc w:val="left"/>
      <w:pPr>
        <w:ind w:left="3836" w:hanging="284"/>
      </w:pPr>
      <w:rPr>
        <w:rFonts w:hint="default"/>
      </w:rPr>
    </w:lvl>
    <w:lvl w:ilvl="8" w:tplc="2DAA237C">
      <w:start w:val="1"/>
      <w:numFmt w:val="bullet"/>
      <w:lvlText w:val="•"/>
      <w:lvlJc w:val="left"/>
      <w:pPr>
        <w:ind w:left="4284" w:hanging="284"/>
      </w:pPr>
      <w:rPr>
        <w:rFonts w:hint="default"/>
      </w:rPr>
    </w:lvl>
  </w:abstractNum>
  <w:abstractNum w:abstractNumId="26" w15:restartNumberingAfterBreak="0">
    <w:nsid w:val="6A871412"/>
    <w:multiLevelType w:val="hybridMultilevel"/>
    <w:tmpl w:val="679EAFA2"/>
    <w:lvl w:ilvl="0" w:tplc="59822F40">
      <w:start w:val="1"/>
      <w:numFmt w:val="bullet"/>
      <w:lvlText w:val="•"/>
      <w:lvlJc w:val="left"/>
      <w:pPr>
        <w:ind w:left="1984" w:hanging="284"/>
      </w:pPr>
      <w:rPr>
        <w:rFonts w:ascii="Lucida Sans Unicode" w:eastAsia="Lucida Sans Unicode" w:hAnsi="Lucida Sans Unicode" w:hint="default"/>
        <w:w w:val="59"/>
        <w:sz w:val="21"/>
        <w:szCs w:val="21"/>
      </w:rPr>
    </w:lvl>
    <w:lvl w:ilvl="1" w:tplc="0298ED54">
      <w:start w:val="1"/>
      <w:numFmt w:val="bullet"/>
      <w:lvlText w:val="•"/>
      <w:lvlJc w:val="left"/>
      <w:pPr>
        <w:ind w:left="2808" w:hanging="284"/>
      </w:pPr>
      <w:rPr>
        <w:rFonts w:hint="default"/>
      </w:rPr>
    </w:lvl>
    <w:lvl w:ilvl="2" w:tplc="3ACE3B56">
      <w:start w:val="1"/>
      <w:numFmt w:val="bullet"/>
      <w:lvlText w:val="•"/>
      <w:lvlJc w:val="left"/>
      <w:pPr>
        <w:ind w:left="3632" w:hanging="284"/>
      </w:pPr>
      <w:rPr>
        <w:rFonts w:hint="default"/>
      </w:rPr>
    </w:lvl>
    <w:lvl w:ilvl="3" w:tplc="AA96C0BE">
      <w:start w:val="1"/>
      <w:numFmt w:val="bullet"/>
      <w:lvlText w:val="•"/>
      <w:lvlJc w:val="left"/>
      <w:pPr>
        <w:ind w:left="4456" w:hanging="284"/>
      </w:pPr>
      <w:rPr>
        <w:rFonts w:hint="default"/>
      </w:rPr>
    </w:lvl>
    <w:lvl w:ilvl="4" w:tplc="CA98A634">
      <w:start w:val="1"/>
      <w:numFmt w:val="bullet"/>
      <w:lvlText w:val="•"/>
      <w:lvlJc w:val="left"/>
      <w:pPr>
        <w:ind w:left="5280" w:hanging="284"/>
      </w:pPr>
      <w:rPr>
        <w:rFonts w:hint="default"/>
      </w:rPr>
    </w:lvl>
    <w:lvl w:ilvl="5" w:tplc="AA4A5076">
      <w:start w:val="1"/>
      <w:numFmt w:val="bullet"/>
      <w:lvlText w:val="•"/>
      <w:lvlJc w:val="left"/>
      <w:pPr>
        <w:ind w:left="6104" w:hanging="284"/>
      </w:pPr>
      <w:rPr>
        <w:rFonts w:hint="default"/>
      </w:rPr>
    </w:lvl>
    <w:lvl w:ilvl="6" w:tplc="44422EEC">
      <w:start w:val="1"/>
      <w:numFmt w:val="bullet"/>
      <w:lvlText w:val="•"/>
      <w:lvlJc w:val="left"/>
      <w:pPr>
        <w:ind w:left="6929" w:hanging="284"/>
      </w:pPr>
      <w:rPr>
        <w:rFonts w:hint="default"/>
      </w:rPr>
    </w:lvl>
    <w:lvl w:ilvl="7" w:tplc="91644454">
      <w:start w:val="1"/>
      <w:numFmt w:val="bullet"/>
      <w:lvlText w:val="•"/>
      <w:lvlJc w:val="left"/>
      <w:pPr>
        <w:ind w:left="7753" w:hanging="284"/>
      </w:pPr>
      <w:rPr>
        <w:rFonts w:hint="default"/>
      </w:rPr>
    </w:lvl>
    <w:lvl w:ilvl="8" w:tplc="99B2DCF6">
      <w:start w:val="1"/>
      <w:numFmt w:val="bullet"/>
      <w:lvlText w:val="•"/>
      <w:lvlJc w:val="left"/>
      <w:pPr>
        <w:ind w:left="8577" w:hanging="284"/>
      </w:pPr>
      <w:rPr>
        <w:rFonts w:hint="default"/>
      </w:rPr>
    </w:lvl>
  </w:abstractNum>
  <w:abstractNum w:abstractNumId="27" w15:restartNumberingAfterBreak="0">
    <w:nsid w:val="6AB61074"/>
    <w:multiLevelType w:val="hybridMultilevel"/>
    <w:tmpl w:val="E9D8A206"/>
    <w:lvl w:ilvl="0" w:tplc="32DEC6B8">
      <w:start w:val="1"/>
      <w:numFmt w:val="bullet"/>
      <w:lvlText w:val="–"/>
      <w:lvlJc w:val="left"/>
      <w:pPr>
        <w:ind w:left="662" w:hanging="284"/>
      </w:pPr>
      <w:rPr>
        <w:rFonts w:ascii="Arial Black" w:eastAsia="Arial Black" w:hAnsi="Arial Black" w:hint="default"/>
        <w:b/>
        <w:bCs/>
        <w:sz w:val="21"/>
        <w:szCs w:val="21"/>
      </w:rPr>
    </w:lvl>
    <w:lvl w:ilvl="1" w:tplc="040C801C">
      <w:start w:val="1"/>
      <w:numFmt w:val="bullet"/>
      <w:lvlText w:val="•"/>
      <w:lvlJc w:val="left"/>
      <w:pPr>
        <w:ind w:left="1109" w:hanging="284"/>
      </w:pPr>
      <w:rPr>
        <w:rFonts w:hint="default"/>
      </w:rPr>
    </w:lvl>
    <w:lvl w:ilvl="2" w:tplc="1250F1EE">
      <w:start w:val="1"/>
      <w:numFmt w:val="bullet"/>
      <w:lvlText w:val="•"/>
      <w:lvlJc w:val="left"/>
      <w:pPr>
        <w:ind w:left="1557" w:hanging="284"/>
      </w:pPr>
      <w:rPr>
        <w:rFonts w:hint="default"/>
      </w:rPr>
    </w:lvl>
    <w:lvl w:ilvl="3" w:tplc="EED03DEA">
      <w:start w:val="1"/>
      <w:numFmt w:val="bullet"/>
      <w:lvlText w:val="•"/>
      <w:lvlJc w:val="left"/>
      <w:pPr>
        <w:ind w:left="2005" w:hanging="284"/>
      </w:pPr>
      <w:rPr>
        <w:rFonts w:hint="default"/>
      </w:rPr>
    </w:lvl>
    <w:lvl w:ilvl="4" w:tplc="C2526822">
      <w:start w:val="1"/>
      <w:numFmt w:val="bullet"/>
      <w:lvlText w:val="•"/>
      <w:lvlJc w:val="left"/>
      <w:pPr>
        <w:ind w:left="2453" w:hanging="284"/>
      </w:pPr>
      <w:rPr>
        <w:rFonts w:hint="default"/>
      </w:rPr>
    </w:lvl>
    <w:lvl w:ilvl="5" w:tplc="3B98B002">
      <w:start w:val="1"/>
      <w:numFmt w:val="bullet"/>
      <w:lvlText w:val="•"/>
      <w:lvlJc w:val="left"/>
      <w:pPr>
        <w:ind w:left="2901" w:hanging="284"/>
      </w:pPr>
      <w:rPr>
        <w:rFonts w:hint="default"/>
      </w:rPr>
    </w:lvl>
    <w:lvl w:ilvl="6" w:tplc="E2B4B88C">
      <w:start w:val="1"/>
      <w:numFmt w:val="bullet"/>
      <w:lvlText w:val="•"/>
      <w:lvlJc w:val="left"/>
      <w:pPr>
        <w:ind w:left="3349" w:hanging="284"/>
      </w:pPr>
      <w:rPr>
        <w:rFonts w:hint="default"/>
      </w:rPr>
    </w:lvl>
    <w:lvl w:ilvl="7" w:tplc="716A8E58">
      <w:start w:val="1"/>
      <w:numFmt w:val="bullet"/>
      <w:lvlText w:val="•"/>
      <w:lvlJc w:val="left"/>
      <w:pPr>
        <w:ind w:left="3797" w:hanging="284"/>
      </w:pPr>
      <w:rPr>
        <w:rFonts w:hint="default"/>
      </w:rPr>
    </w:lvl>
    <w:lvl w:ilvl="8" w:tplc="31BAFC90">
      <w:start w:val="1"/>
      <w:numFmt w:val="bullet"/>
      <w:lvlText w:val="•"/>
      <w:lvlJc w:val="left"/>
      <w:pPr>
        <w:ind w:left="4245" w:hanging="284"/>
      </w:pPr>
      <w:rPr>
        <w:rFonts w:hint="default"/>
      </w:rPr>
    </w:lvl>
  </w:abstractNum>
  <w:abstractNum w:abstractNumId="28" w15:restartNumberingAfterBreak="0">
    <w:nsid w:val="761C54D3"/>
    <w:multiLevelType w:val="hybridMultilevel"/>
    <w:tmpl w:val="6F1E4EBE"/>
    <w:lvl w:ilvl="0" w:tplc="14090001">
      <w:start w:val="1"/>
      <w:numFmt w:val="bullet"/>
      <w:lvlText w:val=""/>
      <w:lvlJc w:val="left"/>
      <w:pPr>
        <w:tabs>
          <w:tab w:val="num" w:pos="360"/>
        </w:tabs>
        <w:ind w:left="360" w:hanging="360"/>
      </w:pPr>
      <w:rPr>
        <w:rFonts w:ascii="Symbol" w:hAnsi="Symbol" w:hint="default"/>
      </w:rPr>
    </w:lvl>
    <w:lvl w:ilvl="1" w:tplc="1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790B609F"/>
    <w:multiLevelType w:val="hybridMultilevel"/>
    <w:tmpl w:val="DADE0218"/>
    <w:lvl w:ilvl="0" w:tplc="B80C461A">
      <w:start w:val="1"/>
      <w:numFmt w:val="bullet"/>
      <w:lvlText w:val="•"/>
      <w:lvlJc w:val="left"/>
      <w:pPr>
        <w:ind w:left="587" w:hanging="284"/>
      </w:pPr>
      <w:rPr>
        <w:rFonts w:ascii="Lucida Sans Unicode" w:eastAsia="Lucida Sans Unicode" w:hAnsi="Lucida Sans Unicode" w:hint="default"/>
        <w:w w:val="59"/>
        <w:sz w:val="21"/>
        <w:szCs w:val="21"/>
      </w:rPr>
    </w:lvl>
    <w:lvl w:ilvl="1" w:tplc="DA12774A">
      <w:start w:val="1"/>
      <w:numFmt w:val="bullet"/>
      <w:lvlText w:val="•"/>
      <w:lvlJc w:val="left"/>
      <w:pPr>
        <w:ind w:left="2267" w:hanging="284"/>
      </w:pPr>
      <w:rPr>
        <w:rFonts w:ascii="Lucida Sans Unicode" w:eastAsia="Lucida Sans Unicode" w:hAnsi="Lucida Sans Unicode" w:hint="default"/>
        <w:w w:val="59"/>
        <w:sz w:val="21"/>
        <w:szCs w:val="21"/>
      </w:rPr>
    </w:lvl>
    <w:lvl w:ilvl="2" w:tplc="C6E244EC">
      <w:start w:val="1"/>
      <w:numFmt w:val="bullet"/>
      <w:lvlText w:val="•"/>
      <w:lvlJc w:val="left"/>
      <w:pPr>
        <w:ind w:left="2689" w:hanging="284"/>
      </w:pPr>
      <w:rPr>
        <w:rFonts w:hint="default"/>
      </w:rPr>
    </w:lvl>
    <w:lvl w:ilvl="3" w:tplc="8ADA74DA">
      <w:start w:val="1"/>
      <w:numFmt w:val="bullet"/>
      <w:lvlText w:val="•"/>
      <w:lvlJc w:val="left"/>
      <w:pPr>
        <w:ind w:left="3111" w:hanging="284"/>
      </w:pPr>
      <w:rPr>
        <w:rFonts w:hint="default"/>
      </w:rPr>
    </w:lvl>
    <w:lvl w:ilvl="4" w:tplc="4FC0E628">
      <w:start w:val="1"/>
      <w:numFmt w:val="bullet"/>
      <w:lvlText w:val="•"/>
      <w:lvlJc w:val="left"/>
      <w:pPr>
        <w:ind w:left="3532" w:hanging="284"/>
      </w:pPr>
      <w:rPr>
        <w:rFonts w:hint="default"/>
      </w:rPr>
    </w:lvl>
    <w:lvl w:ilvl="5" w:tplc="531CD59C">
      <w:start w:val="1"/>
      <w:numFmt w:val="bullet"/>
      <w:lvlText w:val="•"/>
      <w:lvlJc w:val="left"/>
      <w:pPr>
        <w:ind w:left="3954" w:hanging="284"/>
      </w:pPr>
      <w:rPr>
        <w:rFonts w:hint="default"/>
      </w:rPr>
    </w:lvl>
    <w:lvl w:ilvl="6" w:tplc="53CAE810">
      <w:start w:val="1"/>
      <w:numFmt w:val="bullet"/>
      <w:lvlText w:val="•"/>
      <w:lvlJc w:val="left"/>
      <w:pPr>
        <w:ind w:left="4376" w:hanging="284"/>
      </w:pPr>
      <w:rPr>
        <w:rFonts w:hint="default"/>
      </w:rPr>
    </w:lvl>
    <w:lvl w:ilvl="7" w:tplc="4F583E0A">
      <w:start w:val="1"/>
      <w:numFmt w:val="bullet"/>
      <w:lvlText w:val="•"/>
      <w:lvlJc w:val="left"/>
      <w:pPr>
        <w:ind w:left="4798" w:hanging="284"/>
      </w:pPr>
      <w:rPr>
        <w:rFonts w:hint="default"/>
      </w:rPr>
    </w:lvl>
    <w:lvl w:ilvl="8" w:tplc="4E8A9C6C">
      <w:start w:val="1"/>
      <w:numFmt w:val="bullet"/>
      <w:lvlText w:val="•"/>
      <w:lvlJc w:val="left"/>
      <w:pPr>
        <w:ind w:left="5219" w:hanging="284"/>
      </w:pPr>
      <w:rPr>
        <w:rFonts w:hint="default"/>
      </w:rPr>
    </w:lvl>
  </w:abstractNum>
  <w:abstractNum w:abstractNumId="30" w15:restartNumberingAfterBreak="0">
    <w:nsid w:val="7A46122C"/>
    <w:multiLevelType w:val="hybridMultilevel"/>
    <w:tmpl w:val="5888C120"/>
    <w:lvl w:ilvl="0" w:tplc="14090017">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1"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abstractNum w:abstractNumId="32" w15:restartNumberingAfterBreak="0">
    <w:nsid w:val="7C970E9C"/>
    <w:multiLevelType w:val="hybridMultilevel"/>
    <w:tmpl w:val="4384984A"/>
    <w:lvl w:ilvl="0" w:tplc="C93A288C">
      <w:start w:val="1"/>
      <w:numFmt w:val="bullet"/>
      <w:lvlText w:val="•"/>
      <w:lvlJc w:val="left"/>
      <w:pPr>
        <w:ind w:left="246" w:hanging="134"/>
      </w:pPr>
      <w:rPr>
        <w:rFonts w:ascii="Arial Unicode MS" w:eastAsia="Arial Unicode MS" w:hAnsi="Arial Unicode MS" w:hint="default"/>
        <w:w w:val="107"/>
        <w:sz w:val="21"/>
        <w:szCs w:val="21"/>
      </w:rPr>
    </w:lvl>
    <w:lvl w:ilvl="1" w:tplc="DA5E0414">
      <w:start w:val="1"/>
      <w:numFmt w:val="bullet"/>
      <w:lvlText w:val="•"/>
      <w:lvlJc w:val="left"/>
      <w:pPr>
        <w:ind w:left="464" w:hanging="134"/>
      </w:pPr>
      <w:rPr>
        <w:rFonts w:hint="default"/>
      </w:rPr>
    </w:lvl>
    <w:lvl w:ilvl="2" w:tplc="E29E55C8">
      <w:start w:val="1"/>
      <w:numFmt w:val="bullet"/>
      <w:lvlText w:val="•"/>
      <w:lvlJc w:val="left"/>
      <w:pPr>
        <w:ind w:left="682" w:hanging="134"/>
      </w:pPr>
      <w:rPr>
        <w:rFonts w:hint="default"/>
      </w:rPr>
    </w:lvl>
    <w:lvl w:ilvl="3" w:tplc="38AA3A8C">
      <w:start w:val="1"/>
      <w:numFmt w:val="bullet"/>
      <w:lvlText w:val="•"/>
      <w:lvlJc w:val="left"/>
      <w:pPr>
        <w:ind w:left="900" w:hanging="134"/>
      </w:pPr>
      <w:rPr>
        <w:rFonts w:hint="default"/>
      </w:rPr>
    </w:lvl>
    <w:lvl w:ilvl="4" w:tplc="6280268C">
      <w:start w:val="1"/>
      <w:numFmt w:val="bullet"/>
      <w:lvlText w:val="•"/>
      <w:lvlJc w:val="left"/>
      <w:pPr>
        <w:ind w:left="1118" w:hanging="134"/>
      </w:pPr>
      <w:rPr>
        <w:rFonts w:hint="default"/>
      </w:rPr>
    </w:lvl>
    <w:lvl w:ilvl="5" w:tplc="41CA4FC0">
      <w:start w:val="1"/>
      <w:numFmt w:val="bullet"/>
      <w:lvlText w:val="•"/>
      <w:lvlJc w:val="left"/>
      <w:pPr>
        <w:ind w:left="1336" w:hanging="134"/>
      </w:pPr>
      <w:rPr>
        <w:rFonts w:hint="default"/>
      </w:rPr>
    </w:lvl>
    <w:lvl w:ilvl="6" w:tplc="F828CB0C">
      <w:start w:val="1"/>
      <w:numFmt w:val="bullet"/>
      <w:lvlText w:val="•"/>
      <w:lvlJc w:val="left"/>
      <w:pPr>
        <w:ind w:left="1554" w:hanging="134"/>
      </w:pPr>
      <w:rPr>
        <w:rFonts w:hint="default"/>
      </w:rPr>
    </w:lvl>
    <w:lvl w:ilvl="7" w:tplc="21BEBEB6">
      <w:start w:val="1"/>
      <w:numFmt w:val="bullet"/>
      <w:lvlText w:val="•"/>
      <w:lvlJc w:val="left"/>
      <w:pPr>
        <w:ind w:left="1771" w:hanging="134"/>
      </w:pPr>
      <w:rPr>
        <w:rFonts w:hint="default"/>
      </w:rPr>
    </w:lvl>
    <w:lvl w:ilvl="8" w:tplc="D11CBA8E">
      <w:start w:val="1"/>
      <w:numFmt w:val="bullet"/>
      <w:lvlText w:val="•"/>
      <w:lvlJc w:val="left"/>
      <w:pPr>
        <w:ind w:left="1989" w:hanging="134"/>
      </w:pPr>
      <w:rPr>
        <w:rFonts w:hint="default"/>
      </w:rPr>
    </w:lvl>
  </w:abstractNum>
  <w:abstractNum w:abstractNumId="33" w15:restartNumberingAfterBreak="0">
    <w:nsid w:val="7CC72B21"/>
    <w:multiLevelType w:val="multilevel"/>
    <w:tmpl w:val="273EF2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798328333">
    <w:abstractNumId w:val="31"/>
  </w:num>
  <w:num w:numId="2" w16cid:durableId="1936472721">
    <w:abstractNumId w:val="24"/>
  </w:num>
  <w:num w:numId="3" w16cid:durableId="458033635">
    <w:abstractNumId w:val="16"/>
  </w:num>
  <w:num w:numId="4" w16cid:durableId="2064743742">
    <w:abstractNumId w:val="17"/>
  </w:num>
  <w:num w:numId="5" w16cid:durableId="1216087930">
    <w:abstractNumId w:val="1"/>
  </w:num>
  <w:num w:numId="6" w16cid:durableId="1300258859">
    <w:abstractNumId w:val="33"/>
  </w:num>
  <w:num w:numId="7" w16cid:durableId="1328247536">
    <w:abstractNumId w:val="13"/>
  </w:num>
  <w:num w:numId="8" w16cid:durableId="591157947">
    <w:abstractNumId w:val="3"/>
  </w:num>
  <w:num w:numId="9" w16cid:durableId="1456946699">
    <w:abstractNumId w:val="30"/>
  </w:num>
  <w:num w:numId="10" w16cid:durableId="828903985">
    <w:abstractNumId w:val="2"/>
  </w:num>
  <w:num w:numId="11" w16cid:durableId="1401754013">
    <w:abstractNumId w:val="28"/>
  </w:num>
  <w:num w:numId="12" w16cid:durableId="1519272371">
    <w:abstractNumId w:val="4"/>
  </w:num>
  <w:num w:numId="13" w16cid:durableId="1417937148">
    <w:abstractNumId w:val="8"/>
  </w:num>
  <w:num w:numId="14" w16cid:durableId="2017921835">
    <w:abstractNumId w:val="6"/>
  </w:num>
  <w:num w:numId="15" w16cid:durableId="1353384827">
    <w:abstractNumId w:val="9"/>
  </w:num>
  <w:num w:numId="16" w16cid:durableId="631056432">
    <w:abstractNumId w:val="21"/>
  </w:num>
  <w:num w:numId="17" w16cid:durableId="1571847796">
    <w:abstractNumId w:val="11"/>
  </w:num>
  <w:num w:numId="18" w16cid:durableId="1643927153">
    <w:abstractNumId w:val="26"/>
  </w:num>
  <w:num w:numId="19" w16cid:durableId="1415778687">
    <w:abstractNumId w:val="12"/>
  </w:num>
  <w:num w:numId="20" w16cid:durableId="722675826">
    <w:abstractNumId w:val="20"/>
  </w:num>
  <w:num w:numId="21" w16cid:durableId="1689600634">
    <w:abstractNumId w:val="7"/>
  </w:num>
  <w:num w:numId="22" w16cid:durableId="1496607980">
    <w:abstractNumId w:val="5"/>
  </w:num>
  <w:num w:numId="23" w16cid:durableId="1581672235">
    <w:abstractNumId w:val="23"/>
  </w:num>
  <w:num w:numId="24" w16cid:durableId="818227411">
    <w:abstractNumId w:val="22"/>
  </w:num>
  <w:num w:numId="25" w16cid:durableId="1773207803">
    <w:abstractNumId w:val="32"/>
  </w:num>
  <w:num w:numId="26" w16cid:durableId="1458798174">
    <w:abstractNumId w:val="14"/>
  </w:num>
  <w:num w:numId="27" w16cid:durableId="76486354">
    <w:abstractNumId w:val="27"/>
  </w:num>
  <w:num w:numId="28" w16cid:durableId="217859651">
    <w:abstractNumId w:val="25"/>
  </w:num>
  <w:num w:numId="29" w16cid:durableId="407265167">
    <w:abstractNumId w:val="19"/>
  </w:num>
  <w:num w:numId="30" w16cid:durableId="426538446">
    <w:abstractNumId w:val="10"/>
  </w:num>
  <w:num w:numId="31" w16cid:durableId="473446014">
    <w:abstractNumId w:val="29"/>
  </w:num>
  <w:num w:numId="32" w16cid:durableId="31613892">
    <w:abstractNumId w:val="15"/>
  </w:num>
  <w:num w:numId="33" w16cid:durableId="177743374">
    <w:abstractNumId w:val="0"/>
  </w:num>
  <w:num w:numId="34" w16cid:durableId="313031129">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EB"/>
    <w:rsid w:val="000025B8"/>
    <w:rsid w:val="00005BB5"/>
    <w:rsid w:val="00007DDE"/>
    <w:rsid w:val="00010D42"/>
    <w:rsid w:val="0002164F"/>
    <w:rsid w:val="000247BC"/>
    <w:rsid w:val="00025A6F"/>
    <w:rsid w:val="0002618D"/>
    <w:rsid w:val="00030B26"/>
    <w:rsid w:val="00030E84"/>
    <w:rsid w:val="00032C0A"/>
    <w:rsid w:val="00035257"/>
    <w:rsid w:val="00035D68"/>
    <w:rsid w:val="0003622B"/>
    <w:rsid w:val="00054B44"/>
    <w:rsid w:val="0006228D"/>
    <w:rsid w:val="00063699"/>
    <w:rsid w:val="00072A32"/>
    <w:rsid w:val="00072BD6"/>
    <w:rsid w:val="00075B78"/>
    <w:rsid w:val="00075C47"/>
    <w:rsid w:val="000763E9"/>
    <w:rsid w:val="00076DCB"/>
    <w:rsid w:val="00082CD6"/>
    <w:rsid w:val="0008437D"/>
    <w:rsid w:val="00085AFE"/>
    <w:rsid w:val="00094800"/>
    <w:rsid w:val="000A41ED"/>
    <w:rsid w:val="000B0730"/>
    <w:rsid w:val="000B7CCD"/>
    <w:rsid w:val="000C2A59"/>
    <w:rsid w:val="000D19F4"/>
    <w:rsid w:val="000D58DD"/>
    <w:rsid w:val="000D637D"/>
    <w:rsid w:val="000E5C3A"/>
    <w:rsid w:val="000F0696"/>
    <w:rsid w:val="000F1E0C"/>
    <w:rsid w:val="000F2AE2"/>
    <w:rsid w:val="000F2BFF"/>
    <w:rsid w:val="000F5002"/>
    <w:rsid w:val="000F5BBD"/>
    <w:rsid w:val="000F6E4D"/>
    <w:rsid w:val="00102063"/>
    <w:rsid w:val="00103E39"/>
    <w:rsid w:val="0010541C"/>
    <w:rsid w:val="00106F93"/>
    <w:rsid w:val="00111D50"/>
    <w:rsid w:val="00113B8E"/>
    <w:rsid w:val="0012053C"/>
    <w:rsid w:val="00122363"/>
    <w:rsid w:val="0012634D"/>
    <w:rsid w:val="001342C7"/>
    <w:rsid w:val="0013585C"/>
    <w:rsid w:val="00142261"/>
    <w:rsid w:val="00142954"/>
    <w:rsid w:val="001460E0"/>
    <w:rsid w:val="001472F0"/>
    <w:rsid w:val="00147F71"/>
    <w:rsid w:val="00150A6E"/>
    <w:rsid w:val="001558A1"/>
    <w:rsid w:val="0016304B"/>
    <w:rsid w:val="0016437E"/>
    <w:rsid w:val="0016468A"/>
    <w:rsid w:val="00183391"/>
    <w:rsid w:val="001864D1"/>
    <w:rsid w:val="0018662D"/>
    <w:rsid w:val="00196ABA"/>
    <w:rsid w:val="00197427"/>
    <w:rsid w:val="001A21B4"/>
    <w:rsid w:val="001A5CF5"/>
    <w:rsid w:val="001B39D2"/>
    <w:rsid w:val="001B4BF8"/>
    <w:rsid w:val="001C4326"/>
    <w:rsid w:val="001C665E"/>
    <w:rsid w:val="001D1D83"/>
    <w:rsid w:val="001D3541"/>
    <w:rsid w:val="001D3E4E"/>
    <w:rsid w:val="001E254A"/>
    <w:rsid w:val="001E5A81"/>
    <w:rsid w:val="001E7386"/>
    <w:rsid w:val="001F327A"/>
    <w:rsid w:val="001F45A7"/>
    <w:rsid w:val="00201A01"/>
    <w:rsid w:val="0020754B"/>
    <w:rsid w:val="002104D3"/>
    <w:rsid w:val="00213A33"/>
    <w:rsid w:val="00215628"/>
    <w:rsid w:val="0021763B"/>
    <w:rsid w:val="002340C0"/>
    <w:rsid w:val="00246DB1"/>
    <w:rsid w:val="002476B5"/>
    <w:rsid w:val="002520CC"/>
    <w:rsid w:val="00253ECF"/>
    <w:rsid w:val="002546A1"/>
    <w:rsid w:val="00261A75"/>
    <w:rsid w:val="00262747"/>
    <w:rsid w:val="002628F4"/>
    <w:rsid w:val="00275D08"/>
    <w:rsid w:val="00280427"/>
    <w:rsid w:val="002858E3"/>
    <w:rsid w:val="002865A7"/>
    <w:rsid w:val="00286A2A"/>
    <w:rsid w:val="002901FA"/>
    <w:rsid w:val="0029190A"/>
    <w:rsid w:val="00292C5A"/>
    <w:rsid w:val="00295241"/>
    <w:rsid w:val="002A4DFC"/>
    <w:rsid w:val="002A6BB1"/>
    <w:rsid w:val="002B047D"/>
    <w:rsid w:val="002B41D5"/>
    <w:rsid w:val="002B58CE"/>
    <w:rsid w:val="002B732B"/>
    <w:rsid w:val="002B76A7"/>
    <w:rsid w:val="002C2219"/>
    <w:rsid w:val="002C2552"/>
    <w:rsid w:val="002C380A"/>
    <w:rsid w:val="002C73B2"/>
    <w:rsid w:val="002D0DF2"/>
    <w:rsid w:val="002D0F60"/>
    <w:rsid w:val="002D23BD"/>
    <w:rsid w:val="002D29FE"/>
    <w:rsid w:val="002E0B47"/>
    <w:rsid w:val="002E490C"/>
    <w:rsid w:val="002F4685"/>
    <w:rsid w:val="002F6E8E"/>
    <w:rsid w:val="002F7213"/>
    <w:rsid w:val="0030382F"/>
    <w:rsid w:val="0030408D"/>
    <w:rsid w:val="003060E4"/>
    <w:rsid w:val="00312A7B"/>
    <w:rsid w:val="003160E7"/>
    <w:rsid w:val="0031739E"/>
    <w:rsid w:val="00317469"/>
    <w:rsid w:val="003309CA"/>
    <w:rsid w:val="003325AB"/>
    <w:rsid w:val="003332D1"/>
    <w:rsid w:val="0033412B"/>
    <w:rsid w:val="003376FA"/>
    <w:rsid w:val="00341161"/>
    <w:rsid w:val="00343365"/>
    <w:rsid w:val="003445F4"/>
    <w:rsid w:val="003454E5"/>
    <w:rsid w:val="00345DFF"/>
    <w:rsid w:val="00353501"/>
    <w:rsid w:val="00353734"/>
    <w:rsid w:val="003606F8"/>
    <w:rsid w:val="003648EF"/>
    <w:rsid w:val="003673E6"/>
    <w:rsid w:val="0037254A"/>
    <w:rsid w:val="00377264"/>
    <w:rsid w:val="003779D2"/>
    <w:rsid w:val="00385E38"/>
    <w:rsid w:val="003A26A5"/>
    <w:rsid w:val="003A3761"/>
    <w:rsid w:val="003A512D"/>
    <w:rsid w:val="003A5FEA"/>
    <w:rsid w:val="003B1D10"/>
    <w:rsid w:val="003C76D4"/>
    <w:rsid w:val="003D137D"/>
    <w:rsid w:val="003D2CC5"/>
    <w:rsid w:val="003D7765"/>
    <w:rsid w:val="003E04C1"/>
    <w:rsid w:val="003E0887"/>
    <w:rsid w:val="003E16B6"/>
    <w:rsid w:val="003E444C"/>
    <w:rsid w:val="003E74C8"/>
    <w:rsid w:val="003E7C46"/>
    <w:rsid w:val="003F2106"/>
    <w:rsid w:val="003F4347"/>
    <w:rsid w:val="003F52A7"/>
    <w:rsid w:val="003F7013"/>
    <w:rsid w:val="004018FB"/>
    <w:rsid w:val="0040240C"/>
    <w:rsid w:val="00412821"/>
    <w:rsid w:val="00413021"/>
    <w:rsid w:val="0041473D"/>
    <w:rsid w:val="004301C6"/>
    <w:rsid w:val="00431415"/>
    <w:rsid w:val="0043478F"/>
    <w:rsid w:val="0043602B"/>
    <w:rsid w:val="00440BE0"/>
    <w:rsid w:val="00442C1C"/>
    <w:rsid w:val="00443D13"/>
    <w:rsid w:val="0044584B"/>
    <w:rsid w:val="00447CB7"/>
    <w:rsid w:val="0045370F"/>
    <w:rsid w:val="00455CC9"/>
    <w:rsid w:val="00456502"/>
    <w:rsid w:val="00460826"/>
    <w:rsid w:val="00460EA7"/>
    <w:rsid w:val="0046195B"/>
    <w:rsid w:val="00461F03"/>
    <w:rsid w:val="0046362D"/>
    <w:rsid w:val="0046596D"/>
    <w:rsid w:val="004670D3"/>
    <w:rsid w:val="00487C04"/>
    <w:rsid w:val="004907E1"/>
    <w:rsid w:val="004A035B"/>
    <w:rsid w:val="004A2108"/>
    <w:rsid w:val="004A38D7"/>
    <w:rsid w:val="004A5BE1"/>
    <w:rsid w:val="004A778C"/>
    <w:rsid w:val="004B43AB"/>
    <w:rsid w:val="004B48C7"/>
    <w:rsid w:val="004C2A85"/>
    <w:rsid w:val="004C2E6A"/>
    <w:rsid w:val="004C64B8"/>
    <w:rsid w:val="004D2A2D"/>
    <w:rsid w:val="004D479F"/>
    <w:rsid w:val="004D6689"/>
    <w:rsid w:val="004E1D1D"/>
    <w:rsid w:val="004E7AC8"/>
    <w:rsid w:val="004F0C94"/>
    <w:rsid w:val="004F62E9"/>
    <w:rsid w:val="004F7D3C"/>
    <w:rsid w:val="005019AE"/>
    <w:rsid w:val="00502E86"/>
    <w:rsid w:val="00503749"/>
    <w:rsid w:val="00504CF4"/>
    <w:rsid w:val="0050635B"/>
    <w:rsid w:val="005151C2"/>
    <w:rsid w:val="00525B44"/>
    <w:rsid w:val="00527550"/>
    <w:rsid w:val="0053199F"/>
    <w:rsid w:val="00531E12"/>
    <w:rsid w:val="00533B90"/>
    <w:rsid w:val="005410F8"/>
    <w:rsid w:val="005448EC"/>
    <w:rsid w:val="00545963"/>
    <w:rsid w:val="00550256"/>
    <w:rsid w:val="00553165"/>
    <w:rsid w:val="00553958"/>
    <w:rsid w:val="00555EE2"/>
    <w:rsid w:val="00556BB7"/>
    <w:rsid w:val="0055763D"/>
    <w:rsid w:val="00561516"/>
    <w:rsid w:val="005621F2"/>
    <w:rsid w:val="005665FD"/>
    <w:rsid w:val="00567B58"/>
    <w:rsid w:val="00571223"/>
    <w:rsid w:val="00571C07"/>
    <w:rsid w:val="005733A5"/>
    <w:rsid w:val="005763E0"/>
    <w:rsid w:val="00576C27"/>
    <w:rsid w:val="00581136"/>
    <w:rsid w:val="00581EB8"/>
    <w:rsid w:val="00596C74"/>
    <w:rsid w:val="005A27CA"/>
    <w:rsid w:val="005A43BD"/>
    <w:rsid w:val="005A79E5"/>
    <w:rsid w:val="005B6EFC"/>
    <w:rsid w:val="005C268D"/>
    <w:rsid w:val="005C4392"/>
    <w:rsid w:val="005C4904"/>
    <w:rsid w:val="005D034C"/>
    <w:rsid w:val="005D0D25"/>
    <w:rsid w:val="005E226E"/>
    <w:rsid w:val="005E2636"/>
    <w:rsid w:val="005F77FC"/>
    <w:rsid w:val="00600EAE"/>
    <w:rsid w:val="006015D7"/>
    <w:rsid w:val="00601B21"/>
    <w:rsid w:val="006041F0"/>
    <w:rsid w:val="00605C6D"/>
    <w:rsid w:val="006120CA"/>
    <w:rsid w:val="00615399"/>
    <w:rsid w:val="00624174"/>
    <w:rsid w:val="00626CF8"/>
    <w:rsid w:val="006314AF"/>
    <w:rsid w:val="00634ED8"/>
    <w:rsid w:val="00636D7D"/>
    <w:rsid w:val="00637408"/>
    <w:rsid w:val="00642868"/>
    <w:rsid w:val="00647AFE"/>
    <w:rsid w:val="006512BC"/>
    <w:rsid w:val="00651CC6"/>
    <w:rsid w:val="00653A5A"/>
    <w:rsid w:val="00654552"/>
    <w:rsid w:val="006554AC"/>
    <w:rsid w:val="006575F4"/>
    <w:rsid w:val="006579E6"/>
    <w:rsid w:val="00660682"/>
    <w:rsid w:val="00660F74"/>
    <w:rsid w:val="00663152"/>
    <w:rsid w:val="00663EDC"/>
    <w:rsid w:val="00667E20"/>
    <w:rsid w:val="00671078"/>
    <w:rsid w:val="006758CA"/>
    <w:rsid w:val="0067720E"/>
    <w:rsid w:val="00680A04"/>
    <w:rsid w:val="00686D80"/>
    <w:rsid w:val="00693B34"/>
    <w:rsid w:val="00694895"/>
    <w:rsid w:val="00697C80"/>
    <w:rsid w:val="00697E2E"/>
    <w:rsid w:val="006A25A2"/>
    <w:rsid w:val="006A3B87"/>
    <w:rsid w:val="006A5099"/>
    <w:rsid w:val="006A5DA0"/>
    <w:rsid w:val="006B0E73"/>
    <w:rsid w:val="006B1E3D"/>
    <w:rsid w:val="006B4A4D"/>
    <w:rsid w:val="006B5695"/>
    <w:rsid w:val="006B64BE"/>
    <w:rsid w:val="006B7B2E"/>
    <w:rsid w:val="006C78EB"/>
    <w:rsid w:val="006D1660"/>
    <w:rsid w:val="006D6251"/>
    <w:rsid w:val="006D63E5"/>
    <w:rsid w:val="006E1753"/>
    <w:rsid w:val="006E3911"/>
    <w:rsid w:val="006E4CBB"/>
    <w:rsid w:val="006F1B67"/>
    <w:rsid w:val="006F4D9C"/>
    <w:rsid w:val="0070091D"/>
    <w:rsid w:val="00702854"/>
    <w:rsid w:val="00705433"/>
    <w:rsid w:val="0071741C"/>
    <w:rsid w:val="00742B90"/>
    <w:rsid w:val="0074434D"/>
    <w:rsid w:val="00745103"/>
    <w:rsid w:val="00750354"/>
    <w:rsid w:val="00750B39"/>
    <w:rsid w:val="00752368"/>
    <w:rsid w:val="007570C4"/>
    <w:rsid w:val="007605B8"/>
    <w:rsid w:val="00771B1E"/>
    <w:rsid w:val="00773C95"/>
    <w:rsid w:val="0078171E"/>
    <w:rsid w:val="0078658E"/>
    <w:rsid w:val="00787615"/>
    <w:rsid w:val="007879F9"/>
    <w:rsid w:val="007920E2"/>
    <w:rsid w:val="0079566E"/>
    <w:rsid w:val="00795B34"/>
    <w:rsid w:val="00796272"/>
    <w:rsid w:val="007A067F"/>
    <w:rsid w:val="007A25BC"/>
    <w:rsid w:val="007B1770"/>
    <w:rsid w:val="007B4D3E"/>
    <w:rsid w:val="007B5921"/>
    <w:rsid w:val="007B7C70"/>
    <w:rsid w:val="007B7DEB"/>
    <w:rsid w:val="007C0449"/>
    <w:rsid w:val="007D1A80"/>
    <w:rsid w:val="007D2151"/>
    <w:rsid w:val="007D3B90"/>
    <w:rsid w:val="007D42CC"/>
    <w:rsid w:val="007D5DE4"/>
    <w:rsid w:val="007D7C3A"/>
    <w:rsid w:val="007E0777"/>
    <w:rsid w:val="007E1341"/>
    <w:rsid w:val="007E1B41"/>
    <w:rsid w:val="007E1EC4"/>
    <w:rsid w:val="007E30B9"/>
    <w:rsid w:val="007E5D11"/>
    <w:rsid w:val="007E74F1"/>
    <w:rsid w:val="007F0F0C"/>
    <w:rsid w:val="007F1288"/>
    <w:rsid w:val="007F2FC3"/>
    <w:rsid w:val="007F437B"/>
    <w:rsid w:val="00800A8A"/>
    <w:rsid w:val="0080155C"/>
    <w:rsid w:val="008025F2"/>
    <w:rsid w:val="008052E1"/>
    <w:rsid w:val="00815765"/>
    <w:rsid w:val="00821491"/>
    <w:rsid w:val="00822F2C"/>
    <w:rsid w:val="00823A3F"/>
    <w:rsid w:val="00823DEE"/>
    <w:rsid w:val="008305E8"/>
    <w:rsid w:val="00836165"/>
    <w:rsid w:val="0084640C"/>
    <w:rsid w:val="008464FD"/>
    <w:rsid w:val="00856088"/>
    <w:rsid w:val="008573F3"/>
    <w:rsid w:val="00860826"/>
    <w:rsid w:val="00860E21"/>
    <w:rsid w:val="008622B7"/>
    <w:rsid w:val="00863117"/>
    <w:rsid w:val="00863527"/>
    <w:rsid w:val="0086388B"/>
    <w:rsid w:val="008642E5"/>
    <w:rsid w:val="00864488"/>
    <w:rsid w:val="00870A36"/>
    <w:rsid w:val="00872D93"/>
    <w:rsid w:val="00880470"/>
    <w:rsid w:val="00880D94"/>
    <w:rsid w:val="00886F64"/>
    <w:rsid w:val="008924DE"/>
    <w:rsid w:val="00897435"/>
    <w:rsid w:val="008A3755"/>
    <w:rsid w:val="008B13A4"/>
    <w:rsid w:val="008B19DC"/>
    <w:rsid w:val="008B264F"/>
    <w:rsid w:val="008B666D"/>
    <w:rsid w:val="008B6F83"/>
    <w:rsid w:val="008B7FD8"/>
    <w:rsid w:val="008C1108"/>
    <w:rsid w:val="008C2973"/>
    <w:rsid w:val="008C41CF"/>
    <w:rsid w:val="008C4E5C"/>
    <w:rsid w:val="008C6324"/>
    <w:rsid w:val="008C64C4"/>
    <w:rsid w:val="008C6EE3"/>
    <w:rsid w:val="008D2CDD"/>
    <w:rsid w:val="008D74D5"/>
    <w:rsid w:val="008E0ED1"/>
    <w:rsid w:val="008E3A07"/>
    <w:rsid w:val="008E537B"/>
    <w:rsid w:val="008F29BE"/>
    <w:rsid w:val="008F2B72"/>
    <w:rsid w:val="008F4AE5"/>
    <w:rsid w:val="008F51EB"/>
    <w:rsid w:val="00900197"/>
    <w:rsid w:val="00902F55"/>
    <w:rsid w:val="0090362E"/>
    <w:rsid w:val="0090468E"/>
    <w:rsid w:val="0090582B"/>
    <w:rsid w:val="009060C0"/>
    <w:rsid w:val="009114A2"/>
    <w:rsid w:val="009133F5"/>
    <w:rsid w:val="0091756F"/>
    <w:rsid w:val="00920A27"/>
    <w:rsid w:val="00921216"/>
    <w:rsid w:val="009216CC"/>
    <w:rsid w:val="00926083"/>
    <w:rsid w:val="00930D08"/>
    <w:rsid w:val="00931466"/>
    <w:rsid w:val="00932D69"/>
    <w:rsid w:val="009348A2"/>
    <w:rsid w:val="00935589"/>
    <w:rsid w:val="00944647"/>
    <w:rsid w:val="0095565C"/>
    <w:rsid w:val="00964AB6"/>
    <w:rsid w:val="00966F9A"/>
    <w:rsid w:val="0096727C"/>
    <w:rsid w:val="00974F51"/>
    <w:rsid w:val="00977B8A"/>
    <w:rsid w:val="00982971"/>
    <w:rsid w:val="00982B8D"/>
    <w:rsid w:val="009845AD"/>
    <w:rsid w:val="00984835"/>
    <w:rsid w:val="0098639B"/>
    <w:rsid w:val="00986C1C"/>
    <w:rsid w:val="00991DB4"/>
    <w:rsid w:val="009933EF"/>
    <w:rsid w:val="00994DAC"/>
    <w:rsid w:val="00995BA0"/>
    <w:rsid w:val="009A31A4"/>
    <w:rsid w:val="009A418B"/>
    <w:rsid w:val="009A426F"/>
    <w:rsid w:val="009A42D5"/>
    <w:rsid w:val="009A4473"/>
    <w:rsid w:val="009B05C9"/>
    <w:rsid w:val="009B286C"/>
    <w:rsid w:val="009C151C"/>
    <w:rsid w:val="009C440A"/>
    <w:rsid w:val="009C55E5"/>
    <w:rsid w:val="009D501C"/>
    <w:rsid w:val="009D5125"/>
    <w:rsid w:val="009D60B8"/>
    <w:rsid w:val="009D7D4B"/>
    <w:rsid w:val="009E36ED"/>
    <w:rsid w:val="009E3C8C"/>
    <w:rsid w:val="009E6B77"/>
    <w:rsid w:val="009F460A"/>
    <w:rsid w:val="009F6C49"/>
    <w:rsid w:val="00A043FB"/>
    <w:rsid w:val="00A06BE4"/>
    <w:rsid w:val="00A0729C"/>
    <w:rsid w:val="00A07779"/>
    <w:rsid w:val="00A1166A"/>
    <w:rsid w:val="00A124A0"/>
    <w:rsid w:val="00A147E7"/>
    <w:rsid w:val="00A20B2E"/>
    <w:rsid w:val="00A21925"/>
    <w:rsid w:val="00A24F33"/>
    <w:rsid w:val="00A25069"/>
    <w:rsid w:val="00A26E6B"/>
    <w:rsid w:val="00A3068F"/>
    <w:rsid w:val="00A3145B"/>
    <w:rsid w:val="00A339D0"/>
    <w:rsid w:val="00A41002"/>
    <w:rsid w:val="00A4201A"/>
    <w:rsid w:val="00A42BAE"/>
    <w:rsid w:val="00A54606"/>
    <w:rsid w:val="00A5465D"/>
    <w:rsid w:val="00A54F9F"/>
    <w:rsid w:val="00A553CE"/>
    <w:rsid w:val="00A5677A"/>
    <w:rsid w:val="00A56DCC"/>
    <w:rsid w:val="00A625E8"/>
    <w:rsid w:val="00A63DFF"/>
    <w:rsid w:val="00A6490D"/>
    <w:rsid w:val="00A7415D"/>
    <w:rsid w:val="00A80363"/>
    <w:rsid w:val="00A80939"/>
    <w:rsid w:val="00A83E9D"/>
    <w:rsid w:val="00A87C05"/>
    <w:rsid w:val="00A9169D"/>
    <w:rsid w:val="00A92EF2"/>
    <w:rsid w:val="00AA240C"/>
    <w:rsid w:val="00AB2857"/>
    <w:rsid w:val="00AC101C"/>
    <w:rsid w:val="00AD4CF1"/>
    <w:rsid w:val="00AD5988"/>
    <w:rsid w:val="00AD6293"/>
    <w:rsid w:val="00AF1BA8"/>
    <w:rsid w:val="00AF27FD"/>
    <w:rsid w:val="00AF2E98"/>
    <w:rsid w:val="00AF52DF"/>
    <w:rsid w:val="00AF7800"/>
    <w:rsid w:val="00B00CF5"/>
    <w:rsid w:val="00B05C98"/>
    <w:rsid w:val="00B05FEE"/>
    <w:rsid w:val="00B072E0"/>
    <w:rsid w:val="00B1007E"/>
    <w:rsid w:val="00B23139"/>
    <w:rsid w:val="00B253F6"/>
    <w:rsid w:val="00B26675"/>
    <w:rsid w:val="00B26F0F"/>
    <w:rsid w:val="00B305DB"/>
    <w:rsid w:val="00B332F8"/>
    <w:rsid w:val="00B338B3"/>
    <w:rsid w:val="00B3492B"/>
    <w:rsid w:val="00B354E8"/>
    <w:rsid w:val="00B4646F"/>
    <w:rsid w:val="00B55C7D"/>
    <w:rsid w:val="00B63038"/>
    <w:rsid w:val="00B64BD8"/>
    <w:rsid w:val="00B701D1"/>
    <w:rsid w:val="00B73AF2"/>
    <w:rsid w:val="00B7551A"/>
    <w:rsid w:val="00B773F1"/>
    <w:rsid w:val="00B84AA4"/>
    <w:rsid w:val="00B86AB1"/>
    <w:rsid w:val="00B97F07"/>
    <w:rsid w:val="00BA75DB"/>
    <w:rsid w:val="00BA7EBA"/>
    <w:rsid w:val="00BB2A06"/>
    <w:rsid w:val="00BB2CBB"/>
    <w:rsid w:val="00BB4198"/>
    <w:rsid w:val="00BC03EE"/>
    <w:rsid w:val="00BC59F1"/>
    <w:rsid w:val="00BD5301"/>
    <w:rsid w:val="00BF3DE1"/>
    <w:rsid w:val="00BF4843"/>
    <w:rsid w:val="00BF4CA7"/>
    <w:rsid w:val="00BF5205"/>
    <w:rsid w:val="00C05132"/>
    <w:rsid w:val="00C12508"/>
    <w:rsid w:val="00C23728"/>
    <w:rsid w:val="00C3026C"/>
    <w:rsid w:val="00C313A9"/>
    <w:rsid w:val="00C321C4"/>
    <w:rsid w:val="00C36232"/>
    <w:rsid w:val="00C441CF"/>
    <w:rsid w:val="00C45AA2"/>
    <w:rsid w:val="00C4792C"/>
    <w:rsid w:val="00C55BEF"/>
    <w:rsid w:val="00C601AF"/>
    <w:rsid w:val="00C61A63"/>
    <w:rsid w:val="00C66296"/>
    <w:rsid w:val="00C70445"/>
    <w:rsid w:val="00C70B45"/>
    <w:rsid w:val="00C7394D"/>
    <w:rsid w:val="00C74FD6"/>
    <w:rsid w:val="00C7722C"/>
    <w:rsid w:val="00C77282"/>
    <w:rsid w:val="00C84DE5"/>
    <w:rsid w:val="00C86248"/>
    <w:rsid w:val="00C90B31"/>
    <w:rsid w:val="00CA0D6F"/>
    <w:rsid w:val="00CA4C33"/>
    <w:rsid w:val="00CA50FC"/>
    <w:rsid w:val="00CA6F4A"/>
    <w:rsid w:val="00CB6427"/>
    <w:rsid w:val="00CC0FBE"/>
    <w:rsid w:val="00CC19AA"/>
    <w:rsid w:val="00CC2AF0"/>
    <w:rsid w:val="00CC6E8A"/>
    <w:rsid w:val="00CD2119"/>
    <w:rsid w:val="00CD237A"/>
    <w:rsid w:val="00CD3200"/>
    <w:rsid w:val="00CD36AC"/>
    <w:rsid w:val="00CD4572"/>
    <w:rsid w:val="00CD5470"/>
    <w:rsid w:val="00CD6572"/>
    <w:rsid w:val="00CD7C87"/>
    <w:rsid w:val="00CE13A3"/>
    <w:rsid w:val="00CE2042"/>
    <w:rsid w:val="00CE36BC"/>
    <w:rsid w:val="00CF1747"/>
    <w:rsid w:val="00CF60ED"/>
    <w:rsid w:val="00CF7DA4"/>
    <w:rsid w:val="00D04823"/>
    <w:rsid w:val="00D05D74"/>
    <w:rsid w:val="00D1037D"/>
    <w:rsid w:val="00D134A2"/>
    <w:rsid w:val="00D20C59"/>
    <w:rsid w:val="00D23323"/>
    <w:rsid w:val="00D2392A"/>
    <w:rsid w:val="00D25FFE"/>
    <w:rsid w:val="00D27C50"/>
    <w:rsid w:val="00D37D80"/>
    <w:rsid w:val="00D4476F"/>
    <w:rsid w:val="00D50573"/>
    <w:rsid w:val="00D54D50"/>
    <w:rsid w:val="00D560B4"/>
    <w:rsid w:val="00D65F62"/>
    <w:rsid w:val="00D662F8"/>
    <w:rsid w:val="00D66797"/>
    <w:rsid w:val="00D7074B"/>
    <w:rsid w:val="00D7087C"/>
    <w:rsid w:val="00D70C3C"/>
    <w:rsid w:val="00D71DF7"/>
    <w:rsid w:val="00D72BE5"/>
    <w:rsid w:val="00D81462"/>
    <w:rsid w:val="00D82F26"/>
    <w:rsid w:val="00D863D0"/>
    <w:rsid w:val="00D86B00"/>
    <w:rsid w:val="00D86EC3"/>
    <w:rsid w:val="00D86FB9"/>
    <w:rsid w:val="00D87C87"/>
    <w:rsid w:val="00D90BB4"/>
    <w:rsid w:val="00D90E07"/>
    <w:rsid w:val="00D932C2"/>
    <w:rsid w:val="00DB39CF"/>
    <w:rsid w:val="00DB7256"/>
    <w:rsid w:val="00DC0401"/>
    <w:rsid w:val="00DC140F"/>
    <w:rsid w:val="00DC20BD"/>
    <w:rsid w:val="00DD0698"/>
    <w:rsid w:val="00DD0BCD"/>
    <w:rsid w:val="00DD408F"/>
    <w:rsid w:val="00DD447A"/>
    <w:rsid w:val="00DD7CBC"/>
    <w:rsid w:val="00DE3B20"/>
    <w:rsid w:val="00DE6C94"/>
    <w:rsid w:val="00DE6FD7"/>
    <w:rsid w:val="00E026D6"/>
    <w:rsid w:val="00E03F66"/>
    <w:rsid w:val="00E04397"/>
    <w:rsid w:val="00E23271"/>
    <w:rsid w:val="00E24F80"/>
    <w:rsid w:val="00E259F3"/>
    <w:rsid w:val="00E27441"/>
    <w:rsid w:val="00E30733"/>
    <w:rsid w:val="00E30985"/>
    <w:rsid w:val="00E33238"/>
    <w:rsid w:val="00E376B7"/>
    <w:rsid w:val="00E40335"/>
    <w:rsid w:val="00E42F5D"/>
    <w:rsid w:val="00E4486C"/>
    <w:rsid w:val="00E460B6"/>
    <w:rsid w:val="00E511D5"/>
    <w:rsid w:val="00E53A9F"/>
    <w:rsid w:val="00E573EF"/>
    <w:rsid w:val="00E60249"/>
    <w:rsid w:val="00E65269"/>
    <w:rsid w:val="00E66B2F"/>
    <w:rsid w:val="00E70985"/>
    <w:rsid w:val="00E76D66"/>
    <w:rsid w:val="00EA565B"/>
    <w:rsid w:val="00EA608C"/>
    <w:rsid w:val="00EA796A"/>
    <w:rsid w:val="00EB1856"/>
    <w:rsid w:val="00EC15DA"/>
    <w:rsid w:val="00EC50CE"/>
    <w:rsid w:val="00EC5B34"/>
    <w:rsid w:val="00ED021E"/>
    <w:rsid w:val="00ED129B"/>
    <w:rsid w:val="00ED1A7E"/>
    <w:rsid w:val="00ED323C"/>
    <w:rsid w:val="00EE1FD7"/>
    <w:rsid w:val="00EE2D5C"/>
    <w:rsid w:val="00EE4ADE"/>
    <w:rsid w:val="00EE4DE8"/>
    <w:rsid w:val="00EE5CB7"/>
    <w:rsid w:val="00EE6BD4"/>
    <w:rsid w:val="00EE6F9B"/>
    <w:rsid w:val="00F024FE"/>
    <w:rsid w:val="00F05AD4"/>
    <w:rsid w:val="00F10EB6"/>
    <w:rsid w:val="00F13F07"/>
    <w:rsid w:val="00F140B2"/>
    <w:rsid w:val="00F17077"/>
    <w:rsid w:val="00F25970"/>
    <w:rsid w:val="00F311A9"/>
    <w:rsid w:val="00F3409E"/>
    <w:rsid w:val="00F47902"/>
    <w:rsid w:val="00F5180D"/>
    <w:rsid w:val="00F52619"/>
    <w:rsid w:val="00F63781"/>
    <w:rsid w:val="00F67496"/>
    <w:rsid w:val="00F724F7"/>
    <w:rsid w:val="00F74313"/>
    <w:rsid w:val="00F77E4D"/>
    <w:rsid w:val="00F801BA"/>
    <w:rsid w:val="00F9366A"/>
    <w:rsid w:val="00F946C9"/>
    <w:rsid w:val="00FA0B81"/>
    <w:rsid w:val="00FA0EA5"/>
    <w:rsid w:val="00FA74EE"/>
    <w:rsid w:val="00FB1CD9"/>
    <w:rsid w:val="00FC3711"/>
    <w:rsid w:val="00FC46E7"/>
    <w:rsid w:val="00FC5D25"/>
    <w:rsid w:val="00FD0D7E"/>
    <w:rsid w:val="00FD4FFB"/>
    <w:rsid w:val="00FD7625"/>
    <w:rsid w:val="00FE6E13"/>
    <w:rsid w:val="00FF15F6"/>
    <w:rsid w:val="00FF527C"/>
    <w:rsid w:val="00FF65CD"/>
    <w:rsid w:val="1013B7FF"/>
    <w:rsid w:val="18A85DE3"/>
    <w:rsid w:val="2B3C771B"/>
    <w:rsid w:val="2CDD6C30"/>
    <w:rsid w:val="373BE7D8"/>
    <w:rsid w:val="379BBEDE"/>
    <w:rsid w:val="3AD17203"/>
    <w:rsid w:val="472B3705"/>
    <w:rsid w:val="588800E5"/>
    <w:rsid w:val="5A09BEAF"/>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EEEB9C"/>
  <w15:docId w15:val="{E42B7C28-1655-4F8A-AB53-3873DF1CF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62D"/>
    <w:rPr>
      <w:rFonts w:ascii="Segoe UI" w:hAnsi="Segoe UI"/>
      <w:sz w:val="21"/>
      <w:lang w:eastAsia="en-GB"/>
    </w:rPr>
  </w:style>
  <w:style w:type="paragraph" w:styleId="Heading1">
    <w:name w:val="heading 1"/>
    <w:basedOn w:val="Normal"/>
    <w:next w:val="Normal"/>
    <w:link w:val="Heading1Char"/>
    <w:uiPriority w:val="1"/>
    <w:qFormat/>
    <w:rsid w:val="00D86B00"/>
    <w:pPr>
      <w:keepNext/>
      <w:spacing w:before="600" w:after="360"/>
      <w:outlineLvl w:val="0"/>
    </w:pPr>
    <w:rPr>
      <w:b/>
      <w:color w:val="23305D"/>
      <w:spacing w:val="-10"/>
      <w:sz w:val="72"/>
    </w:rPr>
  </w:style>
  <w:style w:type="paragraph" w:styleId="Heading2">
    <w:name w:val="heading 2"/>
    <w:basedOn w:val="Normal"/>
    <w:next w:val="Normal"/>
    <w:link w:val="Heading2Char"/>
    <w:uiPriority w:val="1"/>
    <w:qFormat/>
    <w:rsid w:val="00030E84"/>
    <w:pPr>
      <w:keepNext/>
      <w:spacing w:before="480" w:after="180"/>
      <w:outlineLvl w:val="1"/>
    </w:pPr>
    <w:rPr>
      <w:b/>
      <w:color w:val="0A6AB4"/>
      <w:spacing w:val="-5"/>
      <w:sz w:val="48"/>
    </w:rPr>
  </w:style>
  <w:style w:type="paragraph" w:styleId="Heading3">
    <w:name w:val="heading 3"/>
    <w:basedOn w:val="Normal"/>
    <w:next w:val="Normal"/>
    <w:link w:val="Heading3Char"/>
    <w:uiPriority w:val="1"/>
    <w:qFormat/>
    <w:rsid w:val="00030E84"/>
    <w:pPr>
      <w:keepNext/>
      <w:spacing w:before="360" w:after="180"/>
      <w:outlineLvl w:val="2"/>
    </w:pPr>
    <w:rPr>
      <w:color w:val="0A6AB4"/>
      <w:spacing w:val="-5"/>
      <w:sz w:val="36"/>
    </w:rPr>
  </w:style>
  <w:style w:type="paragraph" w:styleId="Heading4">
    <w:name w:val="heading 4"/>
    <w:basedOn w:val="Normal"/>
    <w:next w:val="Normal"/>
    <w:link w:val="Heading4Char"/>
    <w:uiPriority w:val="1"/>
    <w:qFormat/>
    <w:rsid w:val="00030E84"/>
    <w:pPr>
      <w:keepNext/>
      <w:spacing w:before="240" w:after="120"/>
      <w:outlineLvl w:val="3"/>
    </w:pPr>
    <w:rPr>
      <w:color w:val="0A6AB4"/>
      <w:sz w:val="28"/>
    </w:rPr>
  </w:style>
  <w:style w:type="paragraph" w:styleId="Heading5">
    <w:name w:val="heading 5"/>
    <w:basedOn w:val="Normal"/>
    <w:next w:val="Normal"/>
    <w:link w:val="Heading5Char"/>
    <w:uiPriority w:val="1"/>
    <w:qFormat/>
    <w:rsid w:val="00B00CF5"/>
    <w:pPr>
      <w:keepNext/>
      <w:spacing w:before="120" w:after="120"/>
      <w:outlineLvl w:val="4"/>
    </w:pPr>
    <w:rPr>
      <w:color w:val="0A6AB4"/>
      <w:sz w:val="24"/>
    </w:rPr>
  </w:style>
  <w:style w:type="paragraph" w:styleId="Heading6">
    <w:name w:val="heading 6"/>
    <w:basedOn w:val="Normal"/>
    <w:next w:val="Normal"/>
    <w:link w:val="Heading6Char"/>
    <w:uiPriority w:val="1"/>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iPriority w:val="1"/>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1"/>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iPriority w:val="1"/>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rsid w:val="001D3E4E"/>
    <w:pPr>
      <w:tabs>
        <w:tab w:val="right" w:pos="8080"/>
      </w:tabs>
      <w:spacing w:before="300"/>
      <w:ind w:right="567"/>
    </w:pPr>
    <w:rPr>
      <w:rFonts w:ascii="Segoe UI Semibold" w:hAnsi="Segoe UI Semibold"/>
      <w:sz w:val="24"/>
    </w:rPr>
  </w:style>
  <w:style w:type="paragraph" w:styleId="TOC2">
    <w:name w:val="toc 2"/>
    <w:basedOn w:val="Normal"/>
    <w:next w:val="Normal"/>
    <w:uiPriority w:val="39"/>
    <w:qFormat/>
    <w:rsid w:val="002B76A7"/>
    <w:pPr>
      <w:tabs>
        <w:tab w:val="right" w:pos="8080"/>
      </w:tabs>
      <w:spacing w:before="60"/>
      <w:ind w:left="284" w:right="567"/>
    </w:pPr>
    <w:rPr>
      <w:sz w:val="22"/>
    </w:rPr>
  </w:style>
  <w:style w:type="paragraph" w:styleId="TOC3">
    <w:name w:val="toc 3"/>
    <w:basedOn w:val="Normal"/>
    <w:next w:val="Normal"/>
    <w:uiPriority w:val="39"/>
    <w:rsid w:val="002B76A7"/>
    <w:pPr>
      <w:tabs>
        <w:tab w:val="right" w:pos="8080"/>
      </w:tabs>
      <w:spacing w:before="120"/>
      <w:ind w:left="1276" w:right="567" w:hanging="1276"/>
    </w:pPr>
  </w:style>
  <w:style w:type="paragraph" w:customStyle="1" w:styleId="Bullet">
    <w:name w:val="Bullet"/>
    <w:basedOn w:val="Normal"/>
    <w:qFormat/>
    <w:rsid w:val="00FA0EA5"/>
    <w:pPr>
      <w:numPr>
        <w:numId w:val="1"/>
      </w:numPr>
      <w:tabs>
        <w:tab w:val="clear" w:pos="284"/>
      </w:tabs>
      <w:spacing w:before="90"/>
    </w:pPr>
  </w:style>
  <w:style w:type="paragraph" w:styleId="Quote">
    <w:name w:val="Quote"/>
    <w:basedOn w:val="Normal"/>
    <w:next w:val="Normal"/>
    <w:link w:val="QuoteChar"/>
    <w:uiPriority w:val="29"/>
    <w:qFormat/>
    <w:pPr>
      <w:spacing w:before="120"/>
      <w:ind w:left="284" w:right="284"/>
    </w:pPr>
  </w:style>
  <w:style w:type="paragraph" w:styleId="FootnoteText">
    <w:name w:val="footnote text"/>
    <w:aliases w:val="Footnote Text Char1,Footnote Text Char Char, Char Char Char,Char Char Char"/>
    <w:basedOn w:val="Normal"/>
    <w:link w:val="FootnoteTextChar"/>
    <w:uiPriority w:val="99"/>
    <w:rsid w:val="00A7415D"/>
    <w:pPr>
      <w:spacing w:before="60" w:line="228" w:lineRule="auto"/>
      <w:ind w:left="284" w:hanging="284"/>
    </w:pPr>
    <w:rPr>
      <w:sz w:val="17"/>
    </w:rPr>
  </w:style>
  <w:style w:type="paragraph" w:styleId="Header">
    <w:name w:val="header"/>
    <w:basedOn w:val="Normal"/>
    <w:link w:val="HeaderChar"/>
    <w:qFormat/>
    <w:rsid w:val="00D25FFE"/>
  </w:style>
  <w:style w:type="paragraph" w:styleId="Title">
    <w:name w:val="Title"/>
    <w:basedOn w:val="Normal"/>
    <w:next w:val="Normal"/>
    <w:link w:val="TitleChar"/>
    <w:uiPriority w:val="99"/>
    <w:qFormat/>
    <w:rsid w:val="005A79E5"/>
    <w:pPr>
      <w:spacing w:line="216" w:lineRule="auto"/>
      <w:ind w:right="3402"/>
    </w:pPr>
    <w:rPr>
      <w:rFonts w:ascii="Segoe UI Black" w:hAnsi="Segoe UI Black" w:cs="Lucida Sans Unicode"/>
      <w:b/>
      <w:sz w:val="72"/>
      <w:szCs w:val="72"/>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qFormat/>
    <w:rsid w:val="007A067F"/>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uiPriority w:val="99"/>
    <w:rPr>
      <w:vertAlign w:val="superscript"/>
    </w:rPr>
  </w:style>
  <w:style w:type="paragraph" w:customStyle="1" w:styleId="Table">
    <w:name w:val="Table"/>
    <w:basedOn w:val="Figure"/>
    <w:link w:val="TableChar"/>
    <w:qFormat/>
    <w:rsid w:val="00642868"/>
  </w:style>
  <w:style w:type="paragraph" w:customStyle="1" w:styleId="Dash">
    <w:name w:val="Dash"/>
    <w:basedOn w:val="Bullet"/>
    <w:qFormat/>
    <w:rsid w:val="00702854"/>
    <w:pPr>
      <w:numPr>
        <w:numId w:val="3"/>
      </w:numPr>
      <w:spacing w:before="60"/>
    </w:pPr>
  </w:style>
  <w:style w:type="paragraph" w:customStyle="1" w:styleId="TableText">
    <w:name w:val="TableText"/>
    <w:basedOn w:val="Normal"/>
    <w:uiPriority w:val="99"/>
    <w:qFormat/>
    <w:rsid w:val="009C440A"/>
    <w:pPr>
      <w:spacing w:before="60" w:after="60"/>
    </w:pPr>
    <w:rPr>
      <w:sz w:val="18"/>
    </w:r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E30985"/>
    <w:pPr>
      <w:spacing w:line="264" w:lineRule="auto"/>
    </w:pPr>
    <w:rPr>
      <w:color w:val="FFFFFF" w:themeColor="background1"/>
    </w:rPr>
  </w:style>
  <w:style w:type="paragraph" w:customStyle="1" w:styleId="IntroHead">
    <w:name w:val="IntroHead"/>
    <w:basedOn w:val="Heading1"/>
    <w:next w:val="Normal"/>
    <w:qFormat/>
    <w:rsid w:val="001D3E4E"/>
    <w:pPr>
      <w:spacing w:before="0"/>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4"/>
      </w:numPr>
      <w:spacing w:before="40" w:after="0"/>
    </w:pPr>
    <w:rPr>
      <w:szCs w:val="22"/>
    </w:rPr>
  </w:style>
  <w:style w:type="character" w:customStyle="1" w:styleId="NoteChar">
    <w:name w:val="Note Char"/>
    <w:link w:val="Note"/>
    <w:rsid w:val="00A87C05"/>
    <w:rPr>
      <w:rFonts w:ascii="Segoe UI" w:hAnsi="Segoe UI"/>
      <w:sz w:val="17"/>
      <w:lang w:eastAsia="en-GB"/>
    </w:rPr>
  </w:style>
  <w:style w:type="character" w:customStyle="1" w:styleId="FootnoteTextChar">
    <w:name w:val="Footnote Text Char"/>
    <w:aliases w:val="Footnote Text Char1 Char,Footnote Text Char Char Char, Char Char Char Char,Char Char Char Char"/>
    <w:link w:val="FootnoteText"/>
    <w:uiPriority w:val="99"/>
    <w:rsid w:val="00A7415D"/>
    <w:rPr>
      <w:rFonts w:ascii="Segoe UI" w:hAnsi="Segoe UI"/>
      <w:sz w:val="17"/>
      <w:lang w:eastAsia="en-GB"/>
    </w:rPr>
  </w:style>
  <w:style w:type="table" w:styleId="TableGrid">
    <w:name w:val="Table Grid"/>
    <w:basedOn w:val="TableNormal"/>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rsid w:val="007A067F"/>
    <w:rPr>
      <w:rFonts w:ascii="Segoe UI" w:hAnsi="Segoe UI"/>
      <w:sz w:val="21"/>
      <w:lang w:eastAsia="en-GB"/>
    </w:rPr>
  </w:style>
  <w:style w:type="character" w:customStyle="1" w:styleId="Heading1Char">
    <w:name w:val="Heading 1 Char"/>
    <w:link w:val="Heading1"/>
    <w:uiPriority w:val="1"/>
    <w:rsid w:val="00D86B00"/>
    <w:rPr>
      <w:rFonts w:ascii="Segoe UI" w:hAnsi="Segoe UI"/>
      <w:b/>
      <w:color w:val="23305D"/>
      <w:spacing w:val="-10"/>
      <w:sz w:val="72"/>
      <w:lang w:eastAsia="en-GB"/>
    </w:rPr>
  </w:style>
  <w:style w:type="paragraph" w:styleId="Revision">
    <w:name w:val="Revision"/>
    <w:hidden/>
    <w:uiPriority w:val="99"/>
    <w:rsid w:val="0086388B"/>
    <w:rPr>
      <w:rFonts w:ascii="Calibri" w:eastAsia="Calibri" w:hAnsi="Calibri"/>
      <w:sz w:val="22"/>
      <w:szCs w:val="22"/>
      <w:lang w:val="en-US" w:eastAsia="en-US"/>
    </w:rPr>
  </w:style>
  <w:style w:type="character" w:customStyle="1" w:styleId="Heading2Char">
    <w:name w:val="Heading 2 Char"/>
    <w:link w:val="Heading2"/>
    <w:uiPriority w:val="1"/>
    <w:rsid w:val="00030E84"/>
    <w:rPr>
      <w:rFonts w:ascii="Segoe UI" w:hAnsi="Segoe UI"/>
      <w:b/>
      <w:color w:val="0A6AB4"/>
      <w:spacing w:val="-5"/>
      <w:sz w:val="48"/>
      <w:lang w:eastAsia="en-GB"/>
    </w:rPr>
  </w:style>
  <w:style w:type="character" w:customStyle="1" w:styleId="Heading3Char">
    <w:name w:val="Heading 3 Char"/>
    <w:link w:val="Heading3"/>
    <w:uiPriority w:val="1"/>
    <w:rsid w:val="00030E84"/>
    <w:rPr>
      <w:rFonts w:ascii="Segoe UI" w:hAnsi="Segoe UI"/>
      <w:color w:val="0A6AB4"/>
      <w:spacing w:val="-5"/>
      <w:sz w:val="36"/>
      <w:lang w:eastAsia="en-GB"/>
    </w:rPr>
  </w:style>
  <w:style w:type="paragraph" w:customStyle="1" w:styleId="Year">
    <w:name w:val="Year"/>
    <w:basedOn w:val="Subhead"/>
    <w:next w:val="Subhead"/>
    <w:qFormat/>
    <w:rsid w:val="00531E12"/>
    <w:rPr>
      <w:sz w:val="28"/>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uiPriority w:val="1"/>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character" w:customStyle="1" w:styleId="Heading4Char">
    <w:name w:val="Heading 4 Char"/>
    <w:link w:val="Heading4"/>
    <w:uiPriority w:val="1"/>
    <w:rsid w:val="00030E84"/>
    <w:rPr>
      <w:rFonts w:ascii="Segoe UI" w:hAnsi="Segoe UI"/>
      <w:color w:val="0A6AB4"/>
      <w:sz w:val="28"/>
      <w:lang w:eastAsia="en-GB"/>
    </w:rPr>
  </w:style>
  <w:style w:type="character" w:customStyle="1" w:styleId="Heading5Char">
    <w:name w:val="Heading 5 Char"/>
    <w:link w:val="Heading5"/>
    <w:uiPriority w:val="1"/>
    <w:rsid w:val="00B00CF5"/>
    <w:rPr>
      <w:rFonts w:ascii="Segoe UI" w:hAnsi="Segoe UI"/>
      <w:color w:val="0A6AB4"/>
      <w:sz w:val="24"/>
      <w:lang w:eastAsia="en-GB"/>
    </w:rPr>
  </w:style>
  <w:style w:type="character" w:customStyle="1" w:styleId="QuoteChar">
    <w:name w:val="Quote Char"/>
    <w:link w:val="Quote"/>
    <w:uiPriority w:val="29"/>
    <w:rsid w:val="00122363"/>
    <w:rPr>
      <w:rFonts w:ascii="Georgia" w:hAnsi="Georgia"/>
      <w:sz w:val="22"/>
      <w:lang w:eastAsia="en-GB"/>
    </w:rPr>
  </w:style>
  <w:style w:type="character" w:customStyle="1" w:styleId="TitleChar">
    <w:name w:val="Title Char"/>
    <w:link w:val="Title"/>
    <w:uiPriority w:val="99"/>
    <w:rsid w:val="005A79E5"/>
    <w:rPr>
      <w:rFonts w:ascii="Segoe UI Black" w:hAnsi="Segoe UI Black" w:cs="Lucida Sans Unicode"/>
      <w:b/>
      <w:sz w:val="72"/>
      <w:szCs w:val="72"/>
      <w:lang w:eastAsia="en-GB"/>
    </w:rPr>
  </w:style>
  <w:style w:type="paragraph" w:customStyle="1" w:styleId="Number">
    <w:name w:val="Number"/>
    <w:basedOn w:val="Normal"/>
    <w:rsid w:val="00F140B2"/>
    <w:pPr>
      <w:numPr>
        <w:numId w:val="17"/>
      </w:numPr>
      <w:spacing w:before="180"/>
    </w:pPr>
    <w:rPr>
      <w:szCs w:val="24"/>
    </w:rPr>
  </w:style>
  <w:style w:type="paragraph" w:customStyle="1" w:styleId="Letter">
    <w:name w:val="Letter"/>
    <w:basedOn w:val="Normal"/>
    <w:qFormat/>
    <w:rsid w:val="00F140B2"/>
    <w:pPr>
      <w:numPr>
        <w:ilvl w:val="1"/>
        <w:numId w:val="17"/>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Shadedboxheading">
    <w:name w:val="Shaded box heading"/>
    <w:basedOn w:val="BoxHeading"/>
    <w:next w:val="Shadedboxtext"/>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after="120"/>
    </w:pPr>
    <w:rPr>
      <w:rFonts w:eastAsia="Arial Unicode MS"/>
    </w:rPr>
  </w:style>
  <w:style w:type="paragraph" w:customStyle="1" w:styleId="Shadedboxtext">
    <w:name w:val="Shaded box text"/>
    <w:basedOn w:val="Normal"/>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line="264" w:lineRule="auto"/>
      <w:ind w:left="284" w:right="284"/>
    </w:pPr>
    <w:rPr>
      <w:rFonts w:eastAsia="Arial Unicode MS"/>
    </w:rPr>
  </w:style>
  <w:style w:type="paragraph" w:customStyle="1" w:styleId="Roman">
    <w:name w:val="Roman"/>
    <w:basedOn w:val="Normal"/>
    <w:qFormat/>
    <w:rsid w:val="00AD6293"/>
    <w:pPr>
      <w:numPr>
        <w:ilvl w:val="2"/>
        <w:numId w:val="17"/>
      </w:numPr>
      <w:spacing w:before="90"/>
    </w:pPr>
    <w:rPr>
      <w:rFonts w:eastAsia="Arial Unicode MS"/>
    </w:rPr>
  </w:style>
  <w:style w:type="character" w:styleId="CommentReference">
    <w:name w:val="annotation reference"/>
    <w:basedOn w:val="DefaultParagraphFont"/>
    <w:uiPriority w:val="99"/>
    <w:semiHidden/>
    <w:unhideWhenUsed/>
    <w:rsid w:val="008B666D"/>
    <w:rPr>
      <w:sz w:val="16"/>
      <w:szCs w:val="16"/>
    </w:rPr>
  </w:style>
  <w:style w:type="paragraph" w:styleId="CommentText">
    <w:name w:val="annotation text"/>
    <w:basedOn w:val="Normal"/>
    <w:link w:val="CommentTextChar"/>
    <w:uiPriority w:val="99"/>
    <w:unhideWhenUsed/>
    <w:rsid w:val="008B666D"/>
    <w:pPr>
      <w:spacing w:after="160" w:line="240" w:lineRule="atLeast"/>
    </w:pPr>
    <w:rPr>
      <w:rFonts w:asciiTheme="minorHAnsi" w:eastAsia="Calibri" w:hAnsiTheme="minorHAnsi" w:cstheme="minorBidi"/>
      <w:kern w:val="2"/>
      <w:sz w:val="20"/>
      <w:lang w:eastAsia="en-US"/>
      <w14:ligatures w14:val="standardContextual"/>
    </w:rPr>
  </w:style>
  <w:style w:type="character" w:customStyle="1" w:styleId="CommentTextChar">
    <w:name w:val="Comment Text Char"/>
    <w:basedOn w:val="DefaultParagraphFont"/>
    <w:link w:val="CommentText"/>
    <w:uiPriority w:val="99"/>
    <w:rsid w:val="008B666D"/>
    <w:rPr>
      <w:rFonts w:asciiTheme="minorHAnsi" w:eastAsia="Calibri" w:hAnsiTheme="minorHAnsi" w:cstheme="minorBidi"/>
      <w:kern w:val="2"/>
      <w:lang w:eastAsia="en-US"/>
      <w14:ligatures w14:val="standardContextual"/>
    </w:rPr>
  </w:style>
  <w:style w:type="character" w:customStyle="1" w:styleId="TableChar">
    <w:name w:val="Table Char"/>
    <w:basedOn w:val="DefaultParagraphFont"/>
    <w:link w:val="Table"/>
    <w:rsid w:val="008B666D"/>
    <w:rPr>
      <w:rFonts w:ascii="Segoe UI" w:hAnsi="Segoe UI"/>
      <w:b/>
      <w:lang w:eastAsia="en-GB"/>
    </w:rPr>
  </w:style>
  <w:style w:type="paragraph" w:styleId="ListBullet">
    <w:name w:val="List Bullet"/>
    <w:basedOn w:val="Normal"/>
    <w:uiPriority w:val="99"/>
    <w:unhideWhenUsed/>
    <w:rsid w:val="002E490C"/>
    <w:pPr>
      <w:numPr>
        <w:numId w:val="33"/>
      </w:numPr>
      <w:spacing w:after="120" w:line="240" w:lineRule="atLeast"/>
      <w:contextualSpacing/>
    </w:pPr>
  </w:style>
  <w:style w:type="character" w:styleId="UnresolvedMention">
    <w:name w:val="Unresolved Mention"/>
    <w:basedOn w:val="DefaultParagraphFont"/>
    <w:uiPriority w:val="99"/>
    <w:semiHidden/>
    <w:unhideWhenUsed/>
    <w:rsid w:val="00C70445"/>
    <w:rPr>
      <w:color w:val="605E5C"/>
      <w:shd w:val="clear" w:color="auto" w:fill="E1DFDD"/>
    </w:rPr>
  </w:style>
  <w:style w:type="character" w:styleId="FollowedHyperlink">
    <w:name w:val="FollowedHyperlink"/>
    <w:basedOn w:val="DefaultParagraphFont"/>
    <w:uiPriority w:val="99"/>
    <w:semiHidden/>
    <w:unhideWhenUsed/>
    <w:rsid w:val="00C70445"/>
    <w:rPr>
      <w:color w:val="800080" w:themeColor="followedHyperlink"/>
      <w:u w:val="single"/>
    </w:rPr>
  </w:style>
  <w:style w:type="paragraph" w:styleId="NormalIndent">
    <w:name w:val="Normal Indent"/>
    <w:basedOn w:val="Normal"/>
    <w:uiPriority w:val="99"/>
    <w:unhideWhenUsed/>
    <w:rsid w:val="00C70445"/>
    <w:pPr>
      <w:spacing w:after="120" w:line="240" w:lineRule="atLeast"/>
      <w:ind w:left="720"/>
    </w:pPr>
  </w:style>
  <w:style w:type="paragraph" w:styleId="ListParagraph">
    <w:name w:val="List Paragraph"/>
    <w:aliases w:val="Recommendation,standard lewis,List Paragraph1,List Paragraph in forms,Bullet Normal,List Paragraph numbered,Level 3,List Bullet indent,Rec para,List Paragraph11,FooterText,numbered,Paragraphe de liste1,Bulletr List Paragraph,列出段落,列出段落1"/>
    <w:basedOn w:val="Normal"/>
    <w:link w:val="ListParagraphChar"/>
    <w:uiPriority w:val="34"/>
    <w:qFormat/>
    <w:rsid w:val="00A21925"/>
    <w:pPr>
      <w:spacing w:after="120" w:line="240" w:lineRule="atLeast"/>
      <w:ind w:left="720"/>
      <w:contextualSpacing/>
    </w:pPr>
  </w:style>
  <w:style w:type="character" w:customStyle="1" w:styleId="ListParagraphChar">
    <w:name w:val="List Paragraph Char"/>
    <w:aliases w:val="Recommendation Char,standard lewis Char,List Paragraph1 Char,List Paragraph in forms Char,Bullet Normal Char,List Paragraph numbered Char,Level 3 Char,List Bullet indent Char,Rec para Char,List Paragraph11 Char,FooterText Char"/>
    <w:basedOn w:val="DefaultParagraphFont"/>
    <w:link w:val="ListParagraph"/>
    <w:uiPriority w:val="34"/>
    <w:locked/>
    <w:rsid w:val="00A21925"/>
    <w:rPr>
      <w:rFonts w:ascii="Segoe UI" w:hAnsi="Segoe UI"/>
      <w:sz w:val="21"/>
      <w:lang w:eastAsia="en-GB"/>
    </w:rPr>
  </w:style>
  <w:style w:type="character" w:customStyle="1" w:styleId="normaltextrun">
    <w:name w:val="normaltextrun"/>
    <w:basedOn w:val="DefaultParagraphFont"/>
    <w:rsid w:val="00FA0B81"/>
  </w:style>
  <w:style w:type="character" w:customStyle="1" w:styleId="eop">
    <w:name w:val="eop"/>
    <w:basedOn w:val="DefaultParagraphFont"/>
    <w:rsid w:val="00FA0B81"/>
  </w:style>
  <w:style w:type="paragraph" w:customStyle="1" w:styleId="paragraph">
    <w:name w:val="paragraph"/>
    <w:basedOn w:val="Normal"/>
    <w:rsid w:val="00FA0B81"/>
    <w:pPr>
      <w:spacing w:before="100" w:beforeAutospacing="1" w:after="100" w:afterAutospacing="1" w:line="240" w:lineRule="atLeast"/>
    </w:pPr>
    <w:rPr>
      <w:rFonts w:ascii="Times New Roman" w:hAnsi="Times New Roman"/>
      <w:sz w:val="24"/>
      <w:szCs w:val="24"/>
      <w:lang w:eastAsia="en-NZ"/>
    </w:rPr>
  </w:style>
  <w:style w:type="paragraph" w:styleId="CommentSubject">
    <w:name w:val="annotation subject"/>
    <w:basedOn w:val="CommentText"/>
    <w:next w:val="CommentText"/>
    <w:link w:val="CommentSubjectChar"/>
    <w:uiPriority w:val="99"/>
    <w:semiHidden/>
    <w:unhideWhenUsed/>
    <w:rsid w:val="00D86EC3"/>
    <w:pPr>
      <w:spacing w:after="0" w:line="240" w:lineRule="auto"/>
    </w:pPr>
    <w:rPr>
      <w:rFonts w:ascii="Segoe UI" w:eastAsia="Times New Roman" w:hAnsi="Segoe UI" w:cs="Times New Roman"/>
      <w:b/>
      <w:bCs/>
      <w:kern w:val="0"/>
      <w:lang w:eastAsia="en-GB"/>
      <w14:ligatures w14:val="none"/>
    </w:rPr>
  </w:style>
  <w:style w:type="character" w:customStyle="1" w:styleId="CommentSubjectChar">
    <w:name w:val="Comment Subject Char"/>
    <w:basedOn w:val="CommentTextChar"/>
    <w:link w:val="CommentSubject"/>
    <w:uiPriority w:val="99"/>
    <w:semiHidden/>
    <w:rsid w:val="00D86EC3"/>
    <w:rPr>
      <w:rFonts w:ascii="Segoe UI" w:eastAsia="Calibri" w:hAnsi="Segoe UI" w:cstheme="minorBidi"/>
      <w:b/>
      <w:bCs/>
      <w:kern w:val="2"/>
      <w:lang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1.png"/><Relationship Id="rId26" Type="http://schemas.openxmlformats.org/officeDocument/2006/relationships/footer" Target="footer8.xml"/><Relationship Id="rId39" Type="http://schemas.openxmlformats.org/officeDocument/2006/relationships/image" Target="media/image8.png"/><Relationship Id="rId21" Type="http://schemas.openxmlformats.org/officeDocument/2006/relationships/footer" Target="footer5.xml"/><Relationship Id="rId34" Type="http://schemas.openxmlformats.org/officeDocument/2006/relationships/image" Target="media/image4.png"/><Relationship Id="rId42" Type="http://schemas.openxmlformats.org/officeDocument/2006/relationships/hyperlink" Target="https://www.buddlefindlay.com/insights/abortion-law-update-high-court-finds-new-conscientious-objection-provisions-do-not-breach-nzbora/" TargetMode="External"/><Relationship Id="rId47" Type="http://schemas.openxmlformats.org/officeDocument/2006/relationships/hyperlink" Target="https://doi.org/10.1111/ajo.13454" TargetMode="External"/><Relationship Id="rId50" Type="http://schemas.openxmlformats.org/officeDocument/2006/relationships/hyperlink" Target="https://www.health.govt.nz/publications/government-policy-statement-on-health-2024-2027" TargetMode="External"/><Relationship Id="rId55" Type="http://schemas.openxmlformats.org/officeDocument/2006/relationships/hyperlink" Target="https://pharmac.govt.nz/news-and-resources/consultations-and-decisions/decision-to-fund-beta-hcg-low-sensitivity-urine-test-kits?page=4" TargetMode="External"/><Relationship Id="rId63" Type="http://schemas.openxmlformats.org/officeDocument/2006/relationships/hyperlink" Target="https://iris.who.int/bitstream/handle/10665/44577/97892415;jsessionid=F8FF002EDF1E56CC268B650697F3F2F4?sequence=1" TargetMode="External"/><Relationship Id="rId68"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image" Target="media/image3.png"/><Relationship Id="rId37" Type="http://schemas.openxmlformats.org/officeDocument/2006/relationships/image" Target="media/image6.png"/><Relationship Id="rId40" Type="http://schemas.openxmlformats.org/officeDocument/2006/relationships/image" Target="media/image9.png"/><Relationship Id="rId45" Type="http://schemas.openxmlformats.org/officeDocument/2006/relationships/hyperlink" Target="https://www.tewhatuora.govt.nz/for-health-professionals/health-workforce-development/maternity/new-zealand-obstetric-ultrasound-guidelines-online/appendices/appendix-5-non-invasive-prenatal-screening" TargetMode="External"/><Relationship Id="rId53" Type="http://schemas.openxmlformats.org/officeDocument/2006/relationships/hyperlink" Target="https://www.health.govt.nz/regulation-legislation/abortion/regulating-abortion-services/position-statement-on-abortion-reversal" TargetMode="External"/><Relationship Id="rId58" Type="http://schemas.openxmlformats.org/officeDocument/2006/relationships/hyperlink" Target="https://sexualwellbeing.org.nz/media/swpnktyo/contraception-use-survey-2020.pdf" TargetMode="External"/><Relationship Id="rId66" Type="http://schemas.openxmlformats.org/officeDocument/2006/relationships/hyperlink" Target="https://www.workandincome.govt.nz/eligibility/health-and-disability/vasectomies.html"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footer" Target="footer10.xml"/><Relationship Id="rId36" Type="http://schemas.openxmlformats.org/officeDocument/2006/relationships/hyperlink" Target="https://rhrn.nz/gch/maps" TargetMode="External"/><Relationship Id="rId49" Type="http://schemas.openxmlformats.org/officeDocument/2006/relationships/hyperlink" Target="https://www.midwiferycouncil.health.nz/common/Uploaded%20files/About%20Us/2023%20Midwifery%20Led%20Abortion%20Statement%20For%20Midwives.pdf" TargetMode="External"/><Relationship Id="rId57" Type="http://schemas.openxmlformats.org/officeDocument/2006/relationships/hyperlink" Target="https://www.abuseincare.org.nz/reports/whanaketia" TargetMode="External"/><Relationship Id="rId61" Type="http://schemas.openxmlformats.org/officeDocument/2006/relationships/hyperlink" Target="https://www.unfpa.org/family-planning" TargetMode="External"/><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footer" Target="footer12.xml"/><Relationship Id="rId44" Type="http://schemas.openxmlformats.org/officeDocument/2006/relationships/hyperlink" Target="https://www.tewhatuora.govt.nz/health-services-and-programmes/health-identity/national-health-index/about-national-health-index-nhi" TargetMode="External"/><Relationship Id="rId52" Type="http://schemas.openxmlformats.org/officeDocument/2006/relationships/hyperlink" Target="https://www.health.govt.nz/publications/standard-for-abortion-counselling-aotearoa-new-zealand" TargetMode="External"/><Relationship Id="rId60" Type="http://schemas.openxmlformats.org/officeDocument/2006/relationships/hyperlink" Target="https://doi.org/10.1080/17441692.2023.2224420" TargetMode="External"/><Relationship Id="rId65" Type="http://schemas.openxmlformats.org/officeDocument/2006/relationships/hyperlink" Target="https://www.who.int/health-topics/contraceptio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footer" Target="footer9.xml"/><Relationship Id="rId30" Type="http://schemas.openxmlformats.org/officeDocument/2006/relationships/footer" Target="footer11.xml"/><Relationship Id="rId35" Type="http://schemas.openxmlformats.org/officeDocument/2006/relationships/image" Target="media/image5.png"/><Relationship Id="rId43" Type="http://schemas.openxmlformats.org/officeDocument/2006/relationships/hyperlink" Target="https://sexualwellbeing.org.nz/media/l4spxiqp/20241104-wa-hine-ma-ori-contraception.pdf" TargetMode="External"/><Relationship Id="rId48" Type="http://schemas.openxmlformats.org/officeDocument/2006/relationships/hyperlink" Target="https://www.medsafe.govt.nz/regulatory/DevicesNew/6Contraceptive.asp" TargetMode="External"/><Relationship Id="rId56" Type="http://schemas.openxmlformats.org/officeDocument/2006/relationships/hyperlink" Target="https://ranzcog.edu.au/wp-content/uploads/Hysterectomy.pdf" TargetMode="External"/><Relationship Id="rId64" Type="http://schemas.openxmlformats.org/officeDocument/2006/relationships/hyperlink" Target="https://iris.who.int/bitstream/handle/10665/181043/WHO_RHR_15.15_eng.pdf" TargetMode="External"/><Relationship Id="rId8" Type="http://schemas.openxmlformats.org/officeDocument/2006/relationships/settings" Target="settings.xml"/><Relationship Id="rId51" Type="http://schemas.openxmlformats.org/officeDocument/2006/relationships/hyperlink" Target="https://www.health.govt.nz/publications/health-literacy-and-the-prevention-and-management-of-skin-infections"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chart" Target="charts/chart1.xml"/><Relationship Id="rId38" Type="http://schemas.openxmlformats.org/officeDocument/2006/relationships/image" Target="media/image7.png"/><Relationship Id="rId46" Type="http://schemas.openxmlformats.org/officeDocument/2006/relationships/hyperlink" Target="https://www.tewhatuora.govt.nz/for-health-providers/claims-provider-payments-and-entitlements/maternity-claims" TargetMode="External"/><Relationship Id="rId59" Type="http://schemas.openxmlformats.org/officeDocument/2006/relationships/hyperlink" Target="https://sexualwellbeing.org.nz/adv/contraception/contraception-types/" TargetMode="External"/><Relationship Id="rId67" Type="http://schemas.openxmlformats.org/officeDocument/2006/relationships/fontTable" Target="fontTable.xml"/><Relationship Id="rId20" Type="http://schemas.openxmlformats.org/officeDocument/2006/relationships/footer" Target="footer4.xml"/><Relationship Id="rId41" Type="http://schemas.openxmlformats.org/officeDocument/2006/relationships/image" Target="media/image10.png"/><Relationship Id="rId54" Type="http://schemas.openxmlformats.org/officeDocument/2006/relationships/hyperlink" Target="https://doi.org/10.2196/42582" TargetMode="External"/><Relationship Id="rId62" Type="http://schemas.openxmlformats.org/officeDocument/2006/relationships/hyperlink" Target="https://doi.org/10.1111/ajo.13602"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legislation.govt.nz/regulation/public/2021/0219/latest/LMS532081.html?search=ts_act%40bill%40regulation%40deemedreg_abortion_resel_25_a&amp;p=1" TargetMode="External"/><Relationship Id="rId2" Type="http://schemas.openxmlformats.org/officeDocument/2006/relationships/hyperlink" Target="https://www.legislation.govt.nz/act/public/2020/0006/latest/LMS237550.html?search=ts_act%40bill%40regulation%40deemedreg_abortion_resel_25_a&amp;p=1" TargetMode="External"/><Relationship Id="rId1" Type="http://schemas.openxmlformats.org/officeDocument/2006/relationships/hyperlink" Target="https://www.legislation.govt.nz/act/public/1977/0112/latest/DLM17680.html?search=ts_act%40bill%40regulation%40deemedreg_abortion_resel_25_a&amp;p=1" TargetMode="External"/><Relationship Id="rId6" Type="http://schemas.openxmlformats.org/officeDocument/2006/relationships/hyperlink" Target="https://www.health.govt.nz/publications" TargetMode="External"/><Relationship Id="rId5" Type="http://schemas.openxmlformats.org/officeDocument/2006/relationships/hyperlink" Target="https://www.healthpoint.co.nz/" TargetMode="External"/><Relationship Id="rId4" Type="http://schemas.openxmlformats.org/officeDocument/2006/relationships/hyperlink" Target="https://www.health.govt.nz/publica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lisler\AppData\Roaming\Microsoft\Excel\Data2022AnnualReport%20(version%201)%20(version%201).xlsb"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016437486662324"/>
          <c:y val="5.0984936268829661E-2"/>
          <c:w val="0.80925883569626766"/>
          <c:h val="0.73187361429184039"/>
        </c:manualLayout>
      </c:layout>
      <c:barChart>
        <c:barDir val="col"/>
        <c:grouping val="clustered"/>
        <c:varyColors val="0"/>
        <c:ser>
          <c:idx val="0"/>
          <c:order val="0"/>
          <c:tx>
            <c:strRef>
              <c:f>Data2022AnnualReport!$CS$143</c:f>
              <c:strCache>
                <c:ptCount val="1"/>
                <c:pt idx="0">
                  <c:v>Medical abortion</c:v>
                </c:pt>
              </c:strCache>
            </c:strRef>
          </c:tx>
          <c:spPr>
            <a:solidFill>
              <a:schemeClr val="accent1"/>
            </a:solidFill>
            <a:ln>
              <a:noFill/>
            </a:ln>
            <a:effectLst/>
          </c:spPr>
          <c:invertIfNegative val="0"/>
          <c:cat>
            <c:numRef>
              <c:f>Data2022AnnualReport!$CT$142:$CV$142</c:f>
              <c:numCache>
                <c:formatCode>General</c:formatCode>
                <c:ptCount val="3"/>
                <c:pt idx="0">
                  <c:v>2022</c:v>
                </c:pt>
                <c:pt idx="1">
                  <c:v>2023</c:v>
                </c:pt>
                <c:pt idx="2">
                  <c:v>2024</c:v>
                </c:pt>
              </c:numCache>
            </c:numRef>
          </c:cat>
          <c:val>
            <c:numRef>
              <c:f>Data2022AnnualReport!$CT$143:$CV$143</c:f>
              <c:numCache>
                <c:formatCode>General</c:formatCode>
                <c:ptCount val="3"/>
                <c:pt idx="0">
                  <c:v>14.43</c:v>
                </c:pt>
                <c:pt idx="1">
                  <c:v>11.2</c:v>
                </c:pt>
                <c:pt idx="2">
                  <c:v>8.4</c:v>
                </c:pt>
              </c:numCache>
            </c:numRef>
          </c:val>
          <c:extLst>
            <c:ext xmlns:c16="http://schemas.microsoft.com/office/drawing/2014/chart" uri="{C3380CC4-5D6E-409C-BE32-E72D297353CC}">
              <c16:uniqueId val="{00000000-2D56-4967-B6EB-88CA9D00FF65}"/>
            </c:ext>
          </c:extLst>
        </c:ser>
        <c:ser>
          <c:idx val="1"/>
          <c:order val="1"/>
          <c:tx>
            <c:strRef>
              <c:f>Data2022AnnualReport!$CS$144</c:f>
              <c:strCache>
                <c:ptCount val="1"/>
                <c:pt idx="0">
                  <c:v>Surgical abortion</c:v>
                </c:pt>
              </c:strCache>
            </c:strRef>
          </c:tx>
          <c:spPr>
            <a:solidFill>
              <a:schemeClr val="accent2"/>
            </a:solidFill>
            <a:ln>
              <a:noFill/>
            </a:ln>
            <a:effectLst/>
          </c:spPr>
          <c:invertIfNegative val="0"/>
          <c:cat>
            <c:numRef>
              <c:f>Data2022AnnualReport!$CT$142:$CV$142</c:f>
              <c:numCache>
                <c:formatCode>General</c:formatCode>
                <c:ptCount val="3"/>
                <c:pt idx="0">
                  <c:v>2022</c:v>
                </c:pt>
                <c:pt idx="1">
                  <c:v>2023</c:v>
                </c:pt>
                <c:pt idx="2">
                  <c:v>2024</c:v>
                </c:pt>
              </c:numCache>
            </c:numRef>
          </c:cat>
          <c:val>
            <c:numRef>
              <c:f>Data2022AnnualReport!$CT$144:$CV$144</c:f>
              <c:numCache>
                <c:formatCode>General</c:formatCode>
                <c:ptCount val="3"/>
                <c:pt idx="0">
                  <c:v>25.07</c:v>
                </c:pt>
                <c:pt idx="1">
                  <c:v>22.9</c:v>
                </c:pt>
                <c:pt idx="2">
                  <c:v>14.53</c:v>
                </c:pt>
              </c:numCache>
            </c:numRef>
          </c:val>
          <c:extLst>
            <c:ext xmlns:c16="http://schemas.microsoft.com/office/drawing/2014/chart" uri="{C3380CC4-5D6E-409C-BE32-E72D297353CC}">
              <c16:uniqueId val="{00000001-2D56-4967-B6EB-88CA9D00FF65}"/>
            </c:ext>
          </c:extLst>
        </c:ser>
        <c:dLbls>
          <c:showLegendKey val="0"/>
          <c:showVal val="0"/>
          <c:showCatName val="0"/>
          <c:showSerName val="0"/>
          <c:showPercent val="0"/>
          <c:showBubbleSize val="0"/>
        </c:dLbls>
        <c:gapWidth val="219"/>
        <c:overlap val="-27"/>
        <c:axId val="329969247"/>
        <c:axId val="329969967"/>
      </c:barChart>
      <c:catAx>
        <c:axId val="329969247"/>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NZ"/>
                  <a:t>Year</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29969967"/>
        <c:crosses val="autoZero"/>
        <c:auto val="1"/>
        <c:lblAlgn val="ctr"/>
        <c:lblOffset val="100"/>
        <c:noMultiLvlLbl val="0"/>
      </c:catAx>
      <c:valAx>
        <c:axId val="329969967"/>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NZ"/>
                  <a:t>Percentage of procedures </a:t>
                </a:r>
              </a:p>
            </c:rich>
          </c:tx>
          <c:layout>
            <c:manualLayout>
              <c:xMode val="edge"/>
              <c:yMode val="edge"/>
              <c:x val="4.1653704991188215E-2"/>
              <c:y val="7.1270584847780094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29969247"/>
        <c:crosses val="autoZero"/>
        <c:crossBetween val="between"/>
      </c:valAx>
      <c:spPr>
        <a:noFill/>
        <a:ln>
          <a:noFill/>
        </a:ln>
        <a:effectLst/>
      </c:spPr>
    </c:plotArea>
    <c:legend>
      <c:legendPos val="tr"/>
      <c:overlay val="1"/>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BusinessValue xmlns="7371b0c9-821f-4812-ad62-17bad364b9b2" xsi:nil="true"/>
    <PRADateDisposal xmlns="7371b0c9-821f-4812-ad62-17bad364b9b2" xsi:nil="true"/>
    <KeyWords xmlns="7371b0c9-821f-4812-ad62-17bad364b9b2" xsi:nil="true"/>
    <SecurityClassification xmlns="7371b0c9-821f-4812-ad62-17bad364b9b2">UNCLASSIFIED</SecurityClassification>
    <PRADate3 xmlns="7371b0c9-821f-4812-ad62-17bad364b9b2" xsi:nil="true"/>
    <PRAText5 xmlns="7371b0c9-821f-4812-ad62-17bad364b9b2" xsi:nil="true"/>
    <Level2 xmlns="7371b0c9-821f-4812-ad62-17bad364b9b2">NA</Level2>
    <CopiedFrom xmlns="7371b0c9-821f-4812-ad62-17bad364b9b2" xsi:nil="true"/>
    <Activity xmlns="7371b0c9-821f-4812-ad62-17bad364b9b2">Strategic Communications</Activity>
    <AggregationStatus xmlns="7371b0c9-821f-4812-ad62-17bad364b9b2">Normal</AggregationStatus>
    <OverrideLabel xmlns="7371b0c9-821f-4812-ad62-17bad364b9b2" xsi:nil="true"/>
    <CategoryValue xmlns="7371b0c9-821f-4812-ad62-17bad364b9b2">NA</CategoryValue>
    <PRADate2 xmlns="7371b0c9-821f-4812-ad62-17bad364b9b2" xsi:nil="true"/>
    <zLegacyJSON xmlns="7371b0c9-821f-4812-ad62-17bad364b9b2" xsi:nil="true"/>
    <Case xmlns="7371b0c9-821f-4812-ad62-17bad364b9b2">Templates</Case>
    <PRAText1 xmlns="7371b0c9-821f-4812-ad62-17bad364b9b2" xsi:nil="true"/>
    <PRAText4 xmlns="7371b0c9-821f-4812-ad62-17bad364b9b2" xsi:nil="true"/>
    <Level3 xmlns="7371b0c9-821f-4812-ad62-17bad364b9b2">NA</Level3>
    <Endorsements xmlns="7371b0c9-821f-4812-ad62-17bad364b9b2">N/A</Endorsements>
    <Project xmlns="7371b0c9-821f-4812-ad62-17bad364b9b2">NA</Project>
    <TaxCatchAll xmlns="46ce6685-03ac-4eab-8d3b-771b5d8e8e3c" xsi:nil="true"/>
    <HasNHI xmlns="7371b0c9-821f-4812-ad62-17bad364b9b2">false</HasNHI>
    <lcf76f155ced4ddcb4097134ff3c332f xmlns="7371b0c9-821f-4812-ad62-17bad364b9b2">
      <Terms xmlns="http://schemas.microsoft.com/office/infopath/2007/PartnerControls"/>
    </lcf76f155ced4ddcb4097134ff3c332f>
    <FunctionGroup xmlns="7371b0c9-821f-4812-ad62-17bad364b9b2">Corporate Support</FunctionGroup>
    <Function xmlns="7371b0c9-821f-4812-ad62-17bad364b9b2">Communications</Function>
    <SetLabel xmlns="7371b0c9-821f-4812-ad62-17bad364b9b2">T10M</SetLabel>
    <RelatedPeople xmlns="7371b0c9-821f-4812-ad62-17bad364b9b2">
      <UserInfo>
        <DisplayName/>
        <AccountId xsi:nil="true"/>
        <AccountType/>
      </UserInfo>
    </RelatedPeople>
    <AggregationNarrative xmlns="7371b0c9-821f-4812-ad62-17bad364b9b2" xsi:nil="true"/>
    <Channel xmlns="7371b0c9-821f-4812-ad62-17bad364b9b2">Design and Publications</Channel>
    <PRAType xmlns="7371b0c9-821f-4812-ad62-17bad364b9b2">Doc</PRAType>
    <PRADate1 xmlns="7371b0c9-821f-4812-ad62-17bad364b9b2" xsi:nil="true"/>
    <DocumentType xmlns="7371b0c9-821f-4812-ad62-17bad364b9b2" xsi:nil="true"/>
    <PRAText3 xmlns="7371b0c9-821f-4812-ad62-17bad364b9b2" xsi:nil="true"/>
    <zLegacy xmlns="7371b0c9-821f-4812-ad62-17bad364b9b2" xsi:nil="true"/>
    <Year xmlns="7371b0c9-821f-4812-ad62-17bad364b9b2">NA</Year>
    <Narrative xmlns="7371b0c9-821f-4812-ad62-17bad364b9b2" xsi:nil="true"/>
    <CategoryName xmlns="7371b0c9-821f-4812-ad62-17bad364b9b2">NA</CategoryName>
    <PRADateTrigger xmlns="7371b0c9-821f-4812-ad62-17bad364b9b2" xsi:nil="true"/>
    <PRAText2 xmlns="7371b0c9-821f-4812-ad62-17bad364b9b2" xsi:nil="true"/>
    <zLegacyID xmlns="7371b0c9-821f-4812-ad62-17bad364b9b2" xsi:nil="true"/>
    <_dlc_DocId xmlns="46ce6685-03ac-4eab-8d3b-771b5d8e8e3c">MOHECM-881470883-434055</_dlc_DocId>
    <_dlc_DocIdUrl xmlns="46ce6685-03ac-4eab-8d3b-771b5d8e8e3c">
      <Url>https://mohgovtnz.sharepoint.com/sites/GWSTPRODDocuments/_layouts/15/DocIdRedir.aspx?ID=MOHECM-881470883-434055</Url>
      <Description>MOHECM-881470883-434055</Description>
    </_dlc_DocIdUrl>
    <Sent xmlns="7371b0c9-821f-4812-ad62-17bad364b9b2" xsi:nil="true"/>
    <ILFrom xmlns="7371b0c9-821f-4812-ad62-17bad364b9b2" xsi:nil="true"/>
    <Writer xmlns="7371b0c9-821f-4812-ad62-17bad364b9b2" xsi:nil="true"/>
    <MailPreviewData xmlns="7371b0c9-821f-4812-ad62-17bad364b9b2" xsi:nil="true"/>
    <Author0 xmlns="7371b0c9-821f-4812-ad62-17bad364b9b2" xsi:nil="true"/>
    <External_x0020_Reference_x0020_Number xmlns="7371b0c9-821f-4812-ad62-17bad364b9b2" xsi:nil="true"/>
    <CC xmlns="7371b0c9-821f-4812-ad62-17bad364b9b2" xsi:nil="true"/>
    <MPName xmlns="7371b0c9-821f-4812-ad62-17bad364b9b2" xsi:nil="true"/>
    <CaseNumber xmlns="7371b0c9-821f-4812-ad62-17bad364b9b2" xsi:nil="true"/>
    <OriginalSubject xmlns="7371b0c9-821f-4812-ad62-17bad364b9b2" xsi:nil="true"/>
    <Received xmlns="7371b0c9-821f-4812-ad62-17bad364b9b2" xsi:nil="true"/>
    <CaseType xmlns="7371b0c9-821f-4812-ad62-17bad364b9b2" xsi:nil="true"/>
    <DirectorateSections xmlns="7371b0c9-821f-4812-ad62-17bad364b9b2" xsi:nil="true"/>
    <Redaction xmlns="7371b0c9-821f-4812-ad62-17bad364b9b2">false</Redaction>
    <Directorate xmlns="7371b0c9-821f-4812-ad62-17bad364b9b2" xsi:nil="true"/>
    <CaseTitle xmlns="7371b0c9-821f-4812-ad62-17bad364b9b2" xsi:nil="true"/>
    <Status_x0020_Reason xmlns="7371b0c9-821f-4812-ad62-17bad364b9b2" xsi:nil="true"/>
    <DueDate xmlns="7371b0c9-821f-4812-ad62-17bad364b9b2" xsi:nil="true"/>
    <Requester xmlns="7371b0c9-821f-4812-ad62-17bad364b9b2" xsi:nil="true"/>
    <DirectorateSubSection2 xmlns="7371b0c9-821f-4812-ad62-17bad364b9b2" xsi:nil="true"/>
    <To xmlns="7371b0c9-821f-4812-ad62-17bad364b9b2" xsi:nil="true"/>
    <MinisterResponsible xmlns="7371b0c9-821f-4812-ad62-17bad364b9b2" xsi:nil="true"/>
    <Notes xmlns="7371b0c9-821f-4812-ad62-17bad364b9b2" xsi:nil="true"/>
    <DateReceived xmlns="7371b0c9-821f-4812-ad62-17bad364b9b2" xsi:nil="true"/>
    <ResolvedDate xmlns="7371b0c9-821f-4812-ad62-17bad364b9b2" xsi:nil="true"/>
    <DirectorateSubSection1 xmlns="7371b0c9-821f-4812-ad62-17bad364b9b2" xsi:nil="true"/>
    <_Flow_SignoffStatus xmlns="7371b0c9-821f-4812-ad62-17bad364b9b2" xsi:nil="true"/>
    <Security0 xmlns="7371b0c9-821f-4812-ad62-17bad364b9b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A8CD65DFCB6FD40B26AD07DCB89628F" ma:contentTypeVersion="86" ma:contentTypeDescription="Create a new document." ma:contentTypeScope="" ma:versionID="4d705b39cd301965f8687bb69b124b2d">
  <xsd:schema xmlns:xsd="http://www.w3.org/2001/XMLSchema" xmlns:xs="http://www.w3.org/2001/XMLSchema" xmlns:p="http://schemas.microsoft.com/office/2006/metadata/properties" xmlns:ns2="7371b0c9-821f-4812-ad62-17bad364b9b2" xmlns:ns3="46ce6685-03ac-4eab-8d3b-771b5d8e8e3c" targetNamespace="http://schemas.microsoft.com/office/2006/metadata/properties" ma:root="true" ma:fieldsID="1caa586d06e7be36c7b39dc1536bac2a" ns2:_="" ns3:_="">
    <xsd:import namespace="7371b0c9-821f-4812-ad62-17bad364b9b2"/>
    <xsd:import namespace="46ce6685-03ac-4eab-8d3b-771b5d8e8e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Location" minOccurs="0"/>
                <xsd:element ref="ns3:SharedWithUsers" minOccurs="0"/>
                <xsd:element ref="ns3:SharedWithDetails" minOccurs="0"/>
                <xsd:element ref="ns2:MediaLengthInSeconds" minOccurs="0"/>
                <xsd:element ref="ns2:Notes" minOccurs="0"/>
                <xsd:element ref="ns2:_Flow_SignoffStatus" minOccurs="0"/>
                <xsd:element ref="ns2:MediaServiceObjectDetectorVersions" minOccurs="0"/>
                <xsd:element ref="ns2:Redaction" minOccurs="0"/>
                <xsd:element ref="ns2:MediaServiceSearchProperties" minOccurs="0"/>
                <xsd:element ref="ns2:CaseTitle" minOccurs="0"/>
                <xsd:element ref="ns2:CaseType" minOccurs="0"/>
                <xsd:element ref="ns2:Author0" minOccurs="0"/>
                <xsd:element ref="ns2:Requester" minOccurs="0"/>
                <xsd:element ref="ns2:External_x0020_Reference_x0020_Number" minOccurs="0"/>
                <xsd:element ref="ns2:Directorate" minOccurs="0"/>
                <xsd:element ref="ns2:MinisterResponsible" minOccurs="0"/>
                <xsd:element ref="ns2:MPName" minOccurs="0"/>
                <xsd:element ref="ns2:Status_x0020_Reason" minOccurs="0"/>
                <xsd:element ref="ns2:Writer" minOccurs="0"/>
                <xsd:element ref="ns2:DueDate" minOccurs="0"/>
                <xsd:element ref="ns2:ResolvedDate" minOccurs="0"/>
                <xsd:element ref="ns2:DateReceived" minOccurs="0"/>
                <xsd:element ref="ns2:Security0" minOccurs="0"/>
                <xsd:element ref="ns2:DirectorateSections" minOccurs="0"/>
                <xsd:element ref="ns2:DirectorateSubSection1" minOccurs="0"/>
                <xsd:element ref="ns2:DirectorateSubSection2" minOccurs="0"/>
                <xsd:element ref="ns2:CaseNumber" minOccurs="0"/>
                <xsd:element ref="ns2:Activity" minOccurs="0"/>
                <xsd:element ref="ns2:AggregationNarrative" minOccurs="0"/>
                <xsd:element ref="ns2:AggregationStatus" minOccurs="0"/>
                <xsd:element ref="ns2:BusinessValue" minOccurs="0"/>
                <xsd:element ref="ns2:Case" minOccurs="0"/>
                <xsd:element ref="ns2:CategoryName" minOccurs="0"/>
                <xsd:element ref="ns2:CategoryValue" minOccurs="0"/>
                <xsd:element ref="ns2:CC" minOccurs="0"/>
                <xsd:element ref="ns2:Channel" minOccurs="0"/>
                <xsd:element ref="ns2:CopiedFrom" minOccurs="0"/>
                <xsd:element ref="ns2:DocumentType" minOccurs="0"/>
                <xsd:element ref="ns2:Endorsements" minOccurs="0"/>
                <xsd:element ref="ns2:ILFrom" minOccurs="0"/>
                <xsd:element ref="ns2:Function" minOccurs="0"/>
                <xsd:element ref="ns2:FunctionGroup" minOccurs="0"/>
                <xsd:element ref="ns2:HasNHI" minOccurs="0"/>
                <xsd:element ref="ns2:KeyWords" minOccurs="0"/>
                <xsd:element ref="ns2:Level2" minOccurs="0"/>
                <xsd:element ref="ns2:Level3" minOccurs="0"/>
                <xsd:element ref="ns2:MailPreviewData" minOccurs="0"/>
                <xsd:element ref="ns2:Narrative" minOccurs="0"/>
                <xsd:element ref="ns2:OriginalSubject" minOccurs="0"/>
                <xsd:element ref="ns2:OverrideLabel" minOccurs="0"/>
                <xsd:element ref="ns2:PRADate1" minOccurs="0"/>
                <xsd:element ref="ns2:PRADate2" minOccurs="0"/>
                <xsd:element ref="ns2:PRADate3" minOccurs="0"/>
                <xsd:element ref="ns2:PRADateDisposal" minOccurs="0"/>
                <xsd:element ref="ns2:PRADateTrigger" minOccurs="0"/>
                <xsd:element ref="ns2:PRAText1" minOccurs="0"/>
                <xsd:element ref="ns2:PRAText2" minOccurs="0"/>
                <xsd:element ref="ns2:PRAText3" minOccurs="0"/>
                <xsd:element ref="ns2:PRAText4" minOccurs="0"/>
                <xsd:element ref="ns2:PRAText5" minOccurs="0"/>
                <xsd:element ref="ns2:PRAType" minOccurs="0"/>
                <xsd:element ref="ns2:Project" minOccurs="0"/>
                <xsd:element ref="ns2:Received" minOccurs="0"/>
                <xsd:element ref="ns2:RelatedPeople" minOccurs="0"/>
                <xsd:element ref="ns2:SecurityClassification" minOccurs="0"/>
                <xsd:element ref="ns2:Sent" minOccurs="0"/>
                <xsd:element ref="ns2:SetLabel" minOccurs="0"/>
                <xsd:element ref="ns2:To" minOccurs="0"/>
                <xsd:element ref="ns2:Year" minOccurs="0"/>
                <xsd:element ref="ns2:zLegacy" minOccurs="0"/>
                <xsd:element ref="ns2:zLegacyID" minOccurs="0"/>
                <xsd:element ref="ns2:zLegacyJSO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71b0c9-821f-4812-ad62-17bad364b9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Notes" ma:index="24" nillable="true" ma:displayName="Notes" ma:format="Dropdown" ma:internalName="Notes">
      <xsd:simpleType>
        <xsd:restriction base="dms:Text">
          <xsd:maxLength value="255"/>
        </xsd:restriction>
      </xsd:simpleType>
    </xsd:element>
    <xsd:element name="_Flow_SignoffStatus" ma:index="25" nillable="true" ma:displayName="Sign-off status" ma:internalName="Sign_x002d_off_x0020_status">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Redaction" ma:index="27" nillable="true" ma:displayName="Redaction" ma:default="0" ma:format="Dropdown" ma:internalName="Redaction">
      <xsd:simpleType>
        <xsd:restriction base="dms:Boolean"/>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CaseTitle" ma:index="29" nillable="true" ma:displayName="Case Title" ma:indexed="true" ma:internalName="CaseTitle">
      <xsd:simpleType>
        <xsd:restriction base="dms:Text">
          <xsd:maxLength value="255"/>
        </xsd:restriction>
      </xsd:simpleType>
    </xsd:element>
    <xsd:element name="CaseType" ma:index="30" nillable="true" ma:displayName="Case Type" ma:indexed="true" ma:internalName="CaseType">
      <xsd:simpleType>
        <xsd:restriction base="dms:Text">
          <xsd:maxLength value="255"/>
        </xsd:restriction>
      </xsd:simpleType>
    </xsd:element>
    <xsd:element name="Author0" ma:index="31" nillable="true" ma:displayName="Author" ma:indexed="true" ma:internalName="Author0">
      <xsd:simpleType>
        <xsd:restriction base="dms:Text">
          <xsd:maxLength value="255"/>
        </xsd:restriction>
      </xsd:simpleType>
    </xsd:element>
    <xsd:element name="Requester" ma:index="32" nillable="true" ma:displayName="Requester" ma:indexed="true" ma:internalName="Requester">
      <xsd:simpleType>
        <xsd:restriction base="dms:Text">
          <xsd:maxLength value="255"/>
        </xsd:restriction>
      </xsd:simpleType>
    </xsd:element>
    <xsd:element name="External_x0020_Reference_x0020_Number" ma:index="33" nillable="true" ma:displayName="External Reference Number" ma:internalName="External_x0020_Reference_x0020_Number">
      <xsd:simpleType>
        <xsd:restriction base="dms:Text">
          <xsd:maxLength value="255"/>
        </xsd:restriction>
      </xsd:simpleType>
    </xsd:element>
    <xsd:element name="Directorate" ma:index="34" nillable="true" ma:displayName="Directorate" ma:indexed="true" ma:internalName="Directorate">
      <xsd:simpleType>
        <xsd:restriction base="dms:Text">
          <xsd:maxLength value="255"/>
        </xsd:restriction>
      </xsd:simpleType>
    </xsd:element>
    <xsd:element name="MinisterResponsible" ma:index="35" nillable="true" ma:displayName="Minister Responsible" ma:indexed="true" ma:internalName="MinisterResponsible">
      <xsd:simpleType>
        <xsd:restriction base="dms:Text">
          <xsd:maxLength value="255"/>
        </xsd:restriction>
      </xsd:simpleType>
    </xsd:element>
    <xsd:element name="MPName" ma:index="36" nillable="true" ma:displayName="MP Name" ma:internalName="MPName">
      <xsd:simpleType>
        <xsd:restriction base="dms:Text">
          <xsd:maxLength value="255"/>
        </xsd:restriction>
      </xsd:simpleType>
    </xsd:element>
    <xsd:element name="Status_x0020_Reason" ma:index="37" nillable="true" ma:displayName="Status Reason" ma:internalName="Status_x0020_Reason">
      <xsd:simpleType>
        <xsd:restriction base="dms:Text">
          <xsd:maxLength value="255"/>
        </xsd:restriction>
      </xsd:simpleType>
    </xsd:element>
    <xsd:element name="Writer" ma:index="38" nillable="true" ma:displayName="Writer" ma:internalName="Writer">
      <xsd:simpleType>
        <xsd:restriction base="dms:Text">
          <xsd:maxLength value="255"/>
        </xsd:restriction>
      </xsd:simpleType>
    </xsd:element>
    <xsd:element name="DueDate" ma:index="39" nillable="true" ma:displayName="Response Due Date" ma:format="DateOnly" ma:internalName="DueDate">
      <xsd:simpleType>
        <xsd:restriction base="dms:DateTime"/>
      </xsd:simpleType>
    </xsd:element>
    <xsd:element name="ResolvedDate" ma:index="40" nillable="true" ma:displayName="Resolved Date" ma:format="DateOnly" ma:internalName="ResolvedDate">
      <xsd:simpleType>
        <xsd:restriction base="dms:DateTime"/>
      </xsd:simpleType>
    </xsd:element>
    <xsd:element name="DateReceived" ma:index="41" nillable="true" ma:displayName="Date Received" ma:format="DateOnly" ma:indexed="true" ma:internalName="DateReceived">
      <xsd:simpleType>
        <xsd:restriction base="dms:DateTime"/>
      </xsd:simpleType>
    </xsd:element>
    <xsd:element name="Security0" ma:index="42" nillable="true" ma:displayName="Security" ma:internalName="Security0">
      <xsd:simpleType>
        <xsd:restriction base="dms:Text">
          <xsd:maxLength value="255"/>
        </xsd:restriction>
      </xsd:simpleType>
    </xsd:element>
    <xsd:element name="DirectorateSections" ma:index="43" nillable="true" ma:displayName="Directorate Sections" ma:internalName="DirectorateSections">
      <xsd:simpleType>
        <xsd:restriction base="dms:Text">
          <xsd:maxLength value="255"/>
        </xsd:restriction>
      </xsd:simpleType>
    </xsd:element>
    <xsd:element name="DirectorateSubSection1" ma:index="44" nillable="true" ma:displayName="Directorate Sub Section 1" ma:indexed="true" ma:internalName="DirectorateSubSection1">
      <xsd:simpleType>
        <xsd:restriction base="dms:Text">
          <xsd:maxLength value="255"/>
        </xsd:restriction>
      </xsd:simpleType>
    </xsd:element>
    <xsd:element name="DirectorateSubSection2" ma:index="45" nillable="true" ma:displayName="Directorate Sub Section 2" ma:internalName="DirectorateSubSection2">
      <xsd:simpleType>
        <xsd:restriction base="dms:Text">
          <xsd:maxLength value="255"/>
        </xsd:restriction>
      </xsd:simpleType>
    </xsd:element>
    <xsd:element name="CaseNumber" ma:index="46" nillable="true" ma:displayName="CaseNumber" ma:indexed="true" ma:internalName="CaseNumber">
      <xsd:simpleType>
        <xsd:restriction base="dms:Text">
          <xsd:maxLength value="255"/>
        </xsd:restriction>
      </xsd:simpleType>
    </xsd:element>
    <xsd:element name="Activity" ma:index="47" nillable="true" ma:displayName="Activity" ma:internalName="Activity">
      <xsd:simpleType>
        <xsd:restriction base="dms:Text">
          <xsd:maxLength value="255"/>
        </xsd:restriction>
      </xsd:simpleType>
    </xsd:element>
    <xsd:element name="AggregationNarrative" ma:index="48" nillable="true" ma:displayName="Aggregation Narrative" ma:internalName="AggregationNarrative">
      <xsd:simpleType>
        <xsd:restriction base="dms:Text">
          <xsd:maxLength value="255"/>
        </xsd:restriction>
      </xsd:simpleType>
    </xsd:element>
    <xsd:element name="AggregationStatus" ma:index="49" nillable="true" ma:displayName="Aggregation Status" ma:default="Normal" ma:format="Dropdown" ma:internalName="AggregationStatus">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BusinessValue" ma:index="50" nillable="true" ma:displayName="Business Value" ma:internalName="BusinessValue">
      <xsd:simpleType>
        <xsd:restriction base="dms:Text">
          <xsd:maxLength value="255"/>
        </xsd:restriction>
      </xsd:simpleType>
    </xsd:element>
    <xsd:element name="Case" ma:index="51" nillable="true" ma:displayName="Case" ma:internalName="Case">
      <xsd:simpleType>
        <xsd:restriction base="dms:Text">
          <xsd:maxLength value="255"/>
        </xsd:restriction>
      </xsd:simpleType>
    </xsd:element>
    <xsd:element name="CategoryName" ma:index="52" nillable="true" ma:displayName="Category 1" ma:internalName="CategoryName">
      <xsd:simpleType>
        <xsd:restriction base="dms:Text">
          <xsd:maxLength value="255"/>
        </xsd:restriction>
      </xsd:simpleType>
    </xsd:element>
    <xsd:element name="CategoryValue" ma:index="53" nillable="true" ma:displayName="Category 2" ma:internalName="CategoryValue">
      <xsd:simpleType>
        <xsd:restriction base="dms:Text">
          <xsd:maxLength value="255"/>
        </xsd:restriction>
      </xsd:simpleType>
    </xsd:element>
    <xsd:element name="CC" ma:index="54" nillable="true" ma:displayName="CC" ma:internalName="CC">
      <xsd:simpleType>
        <xsd:restriction base="dms:Text">
          <xsd:maxLength value="255"/>
        </xsd:restriction>
      </xsd:simpleType>
    </xsd:element>
    <xsd:element name="Channel" ma:index="55" nillable="true" ma:displayName="Channel" ma:internalName="Channel">
      <xsd:simpleType>
        <xsd:restriction base="dms:Text">
          <xsd:maxLength value="255"/>
        </xsd:restriction>
      </xsd:simpleType>
    </xsd:element>
    <xsd:element name="CopiedFrom" ma:index="56" nillable="true" ma:displayName="Copied From" ma:internalName="CopiedFrom">
      <xsd:simpleType>
        <xsd:restriction base="dms:Text">
          <xsd:maxLength value="255"/>
        </xsd:restriction>
      </xsd:simpleType>
    </xsd:element>
    <xsd:element name="DocumentType" ma:index="57" nillable="true" ma:displayName="Document Type" ma:format="Dropdown" ma:internalName="DocumentTyp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Endorsements" ma:index="58" nillable="true" ma:displayName="Endorsements" ma:default="N/A" ma:format="Dropdown" ma:internalName="Endorsements">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element name="ILFrom" ma:index="59" nillable="true" ma:displayName="From" ma:internalName="ILFrom">
      <xsd:simpleType>
        <xsd:restriction base="dms:Text">
          <xsd:maxLength value="255"/>
        </xsd:restriction>
      </xsd:simpleType>
    </xsd:element>
    <xsd:element name="Function" ma:index="60" nillable="true" ma:displayName="Function" ma:internalName="Function">
      <xsd:simpleType>
        <xsd:restriction base="dms:Text">
          <xsd:maxLength value="255"/>
        </xsd:restriction>
      </xsd:simpleType>
    </xsd:element>
    <xsd:element name="FunctionGroup" ma:index="61" nillable="true" ma:displayName="Function Group" ma:internalName="FunctionGroup">
      <xsd:simpleType>
        <xsd:restriction base="dms:Text">
          <xsd:maxLength value="255"/>
        </xsd:restriction>
      </xsd:simpleType>
    </xsd:element>
    <xsd:element name="HasNHI" ma:index="62" nillable="true" ma:displayName="Has NHI" ma:default="0" ma:internalName="HasNHI">
      <xsd:simpleType>
        <xsd:restriction base="dms:Boolean"/>
      </xsd:simpleType>
    </xsd:element>
    <xsd:element name="KeyWords" ma:index="63" nillable="true" ma:displayName="Key Words" ma:internalName="KeyWords">
      <xsd:simpleType>
        <xsd:restriction base="dms:Note">
          <xsd:maxLength value="255"/>
        </xsd:restriction>
      </xsd:simpleType>
    </xsd:element>
    <xsd:element name="Level2" ma:index="64" nillable="true" ma:displayName="Level 2" ma:internalName="Level2">
      <xsd:simpleType>
        <xsd:restriction base="dms:Text">
          <xsd:maxLength value="255"/>
        </xsd:restriction>
      </xsd:simpleType>
    </xsd:element>
    <xsd:element name="Level3" ma:index="65" nillable="true" ma:displayName="Level 3" ma:internalName="Level3">
      <xsd:simpleType>
        <xsd:restriction base="dms:Text">
          <xsd:maxLength value="255"/>
        </xsd:restriction>
      </xsd:simpleType>
    </xsd:element>
    <xsd:element name="MailPreviewData" ma:index="66" nillable="true" ma:displayName="MailPreviewData" ma:internalName="MailPreviewData">
      <xsd:simpleType>
        <xsd:restriction base="dms:Note">
          <xsd:maxLength value="255"/>
        </xsd:restriction>
      </xsd:simpleType>
    </xsd:element>
    <xsd:element name="Narrative" ma:index="67" nillable="true" ma:displayName="Narrative" ma:internalName="Narrative">
      <xsd:simpleType>
        <xsd:restriction base="dms:Note">
          <xsd:maxLength value="255"/>
        </xsd:restriction>
      </xsd:simpleType>
    </xsd:element>
    <xsd:element name="OriginalSubject" ma:index="68" nillable="true" ma:displayName="Original Subject" ma:internalName="OriginalSubject">
      <xsd:simpleType>
        <xsd:restriction base="dms:Text">
          <xsd:maxLength value="255"/>
        </xsd:restriction>
      </xsd:simpleType>
    </xsd:element>
    <xsd:element name="OverrideLabel" ma:index="69" nillable="true" ma:displayName="Override Label" ma:indexed="true" ma:internalName="OverrideLabel">
      <xsd:simpleType>
        <xsd:restriction base="dms:Text">
          <xsd:maxLength value="255"/>
        </xsd:restriction>
      </xsd:simpleType>
    </xsd:element>
    <xsd:element name="PRADate1" ma:index="70" nillable="true" ma:displayName="PRA Date 1" ma:format="DateOnly" ma:internalName="PRADate1">
      <xsd:simpleType>
        <xsd:restriction base="dms:DateTime"/>
      </xsd:simpleType>
    </xsd:element>
    <xsd:element name="PRADate2" ma:index="71" nillable="true" ma:displayName="PRA Date 2" ma:format="DateOnly" ma:internalName="PRADate2">
      <xsd:simpleType>
        <xsd:restriction base="dms:DateTime"/>
      </xsd:simpleType>
    </xsd:element>
    <xsd:element name="PRADate3" ma:index="72" nillable="true" ma:displayName="PRA Date 3" ma:format="DateOnly" ma:internalName="PRADate3">
      <xsd:simpleType>
        <xsd:restriction base="dms:DateTime"/>
      </xsd:simpleType>
    </xsd:element>
    <xsd:element name="PRADateDisposal" ma:index="73" nillable="true" ma:displayName="PRA Date Disposal" ma:format="DateOnly" ma:internalName="PRADateDisposal">
      <xsd:simpleType>
        <xsd:restriction base="dms:DateTime"/>
      </xsd:simpleType>
    </xsd:element>
    <xsd:element name="PRADateTrigger" ma:index="74" nillable="true" ma:displayName="PRA Date Trigger" ma:format="DateOnly" ma:internalName="PRADateTrigger">
      <xsd:simpleType>
        <xsd:restriction base="dms:DateTime"/>
      </xsd:simpleType>
    </xsd:element>
    <xsd:element name="PRAText1" ma:index="75" nillable="true" ma:displayName="PRA Text 1" ma:internalName="PRAText1">
      <xsd:simpleType>
        <xsd:restriction base="dms:Text">
          <xsd:maxLength value="255"/>
        </xsd:restriction>
      </xsd:simpleType>
    </xsd:element>
    <xsd:element name="PRAText2" ma:index="76" nillable="true" ma:displayName="PRA Text 2" ma:internalName="PRAText2">
      <xsd:simpleType>
        <xsd:restriction base="dms:Text">
          <xsd:maxLength value="255"/>
        </xsd:restriction>
      </xsd:simpleType>
    </xsd:element>
    <xsd:element name="PRAText3" ma:index="77" nillable="true" ma:displayName="PRA Text 3" ma:internalName="PRAText3">
      <xsd:simpleType>
        <xsd:restriction base="dms:Text">
          <xsd:maxLength value="255"/>
        </xsd:restriction>
      </xsd:simpleType>
    </xsd:element>
    <xsd:element name="PRAText4" ma:index="78" nillable="true" ma:displayName="PRA Text 4" ma:internalName="PRAText4">
      <xsd:simpleType>
        <xsd:restriction base="dms:Text">
          <xsd:maxLength value="255"/>
        </xsd:restriction>
      </xsd:simpleType>
    </xsd:element>
    <xsd:element name="PRAText5" ma:index="79" nillable="true" ma:displayName="PRA Text 5" ma:internalName="PRAText5">
      <xsd:simpleType>
        <xsd:restriction base="dms:Text">
          <xsd:maxLength value="255"/>
        </xsd:restriction>
      </xsd:simpleType>
    </xsd:element>
    <xsd:element name="PRAType" ma:index="80" nillable="true" ma:displayName="PRA Type" ma:indexed="true" ma:internalName="PRAType">
      <xsd:simpleType>
        <xsd:restriction base="dms:Text">
          <xsd:maxLength value="255"/>
        </xsd:restriction>
      </xsd:simpleType>
    </xsd:element>
    <xsd:element name="Project" ma:index="81" nillable="true" ma:displayName="Project" ma:internalName="Project">
      <xsd:simpleType>
        <xsd:restriction base="dms:Text">
          <xsd:maxLength value="255"/>
        </xsd:restriction>
      </xsd:simpleType>
    </xsd:element>
    <xsd:element name="Received" ma:index="82" nillable="true" ma:displayName="Received" ma:format="DateOnly" ma:internalName="Received">
      <xsd:simpleType>
        <xsd:restriction base="dms:DateTime"/>
      </xsd:simpleType>
    </xsd:element>
    <xsd:element name="RelatedPeople" ma:index="83" nillable="true" ma:displayName="RelatedPeople" ma:list="UserInfo" ma:SharePointGroup="0" ma:internalName="RelatedPeopl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curityClassification" ma:index="84" nillable="true" ma:displayName="Security Classification" ma:default="UNCLASSIFIED" ma:format="Dropdown" ma:internalName="SecurityClassification">
      <xsd:simpleType>
        <xsd:restriction base="dms:Choice">
          <xsd:enumeration value="UNCLASSIFIED"/>
          <xsd:enumeration value="IN-CONFIDENCE"/>
          <xsd:enumeration value="SENSITIVE"/>
          <xsd:enumeration value="RESTRICTED"/>
        </xsd:restriction>
      </xsd:simpleType>
    </xsd:element>
    <xsd:element name="Sent" ma:index="85" nillable="true" ma:displayName="Sent" ma:format="DateOnly" ma:internalName="Sent">
      <xsd:simpleType>
        <xsd:restriction base="dms:DateTime"/>
      </xsd:simpleType>
    </xsd:element>
    <xsd:element name="SetLabel" ma:index="86" nillable="true" ma:displayName="Set Label" ma:indexed="true" ma:internalName="SetLabel">
      <xsd:simpleType>
        <xsd:restriction base="dms:Text">
          <xsd:maxLength value="255"/>
        </xsd:restriction>
      </xsd:simpleType>
    </xsd:element>
    <xsd:element name="To" ma:index="88" nillable="true" ma:displayName="To" ma:internalName="To">
      <xsd:simpleType>
        <xsd:restriction base="dms:Text">
          <xsd:maxLength value="255"/>
        </xsd:restriction>
      </xsd:simpleType>
    </xsd:element>
    <xsd:element name="Year" ma:index="89" nillable="true" ma:displayName="Year" ma:internalName="Year">
      <xsd:simpleType>
        <xsd:restriction base="dms:Text">
          <xsd:maxLength value="255"/>
        </xsd:restriction>
      </xsd:simpleType>
    </xsd:element>
    <xsd:element name="zLegacy" ma:index="90" nillable="true" ma:displayName="zLegacy" ma:internalName="zLegacy">
      <xsd:simpleType>
        <xsd:restriction base="dms:Note">
          <xsd:maxLength value="255"/>
        </xsd:restriction>
      </xsd:simpleType>
    </xsd:element>
    <xsd:element name="zLegacyID" ma:index="91" nillable="true" ma:displayName="zLegacyID" ma:indexed="true" ma:internalName="zLegacyID">
      <xsd:simpleType>
        <xsd:restriction base="dms:Text">
          <xsd:maxLength value="255"/>
        </xsd:restriction>
      </xsd:simpleType>
    </xsd:element>
    <xsd:element name="zLegacyJSON" ma:index="92" nillable="true" ma:displayName="zLegacyJSON" ma:internalName="zLegacyJS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ce6685-03ac-4eab-8d3b-771b5d8e8e3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69720df-92f5-46e1-9862-60e44189caee}" ma:internalName="TaxCatchAll" ma:showField="CatchAllData" ma:web="46ce6685-03ac-4eab-8d3b-771b5d8e8e3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_dlc_DocId" ma:index="93" nillable="true" ma:displayName="Document ID Value" ma:description="The value of the document ID assigned to this item." ma:indexed="true" ma:internalName="_dlc_DocId" ma:readOnly="true">
      <xsd:simpleType>
        <xsd:restriction base="dms:Text"/>
      </xsd:simpleType>
    </xsd:element>
    <xsd:element name="_dlc_DocIdUrl" ma:index="9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7"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47F67D-389C-427D-8AD9-389F83D09EF9}">
  <ds:schemaRefs>
    <ds:schemaRef ds:uri="http://schemas.openxmlformats.org/officeDocument/2006/bibliography"/>
  </ds:schemaRefs>
</ds:datastoreItem>
</file>

<file path=customXml/itemProps2.xml><?xml version="1.0" encoding="utf-8"?>
<ds:datastoreItem xmlns:ds="http://schemas.openxmlformats.org/officeDocument/2006/customXml" ds:itemID="{47BE128A-4E51-447D-A206-342B12F3F0F3}">
  <ds:schemaRefs>
    <ds:schemaRef ds:uri="http://schemas.microsoft.com/sharepoint/events"/>
  </ds:schemaRefs>
</ds:datastoreItem>
</file>

<file path=customXml/itemProps3.xml><?xml version="1.0" encoding="utf-8"?>
<ds:datastoreItem xmlns:ds="http://schemas.openxmlformats.org/officeDocument/2006/customXml" ds:itemID="{4577FFB0-260E-4BEB-AB23-5A43F0263A51}">
  <ds:schemaRefs>
    <ds:schemaRef ds:uri="http://schemas.microsoft.com/office/2006/metadata/properties"/>
    <ds:schemaRef ds:uri="http://schemas.microsoft.com/office/infopath/2007/PartnerControls"/>
    <ds:schemaRef ds:uri="7371b0c9-821f-4812-ad62-17bad364b9b2"/>
    <ds:schemaRef ds:uri="46ce6685-03ac-4eab-8d3b-771b5d8e8e3c"/>
  </ds:schemaRefs>
</ds:datastoreItem>
</file>

<file path=customXml/itemProps4.xml><?xml version="1.0" encoding="utf-8"?>
<ds:datastoreItem xmlns:ds="http://schemas.openxmlformats.org/officeDocument/2006/customXml" ds:itemID="{BFDE10D4-B04D-46BB-8458-050322E51106}">
  <ds:schemaRefs>
    <ds:schemaRef ds:uri="http://schemas.microsoft.com/sharepoint/v3/contenttype/forms"/>
  </ds:schemaRefs>
</ds:datastoreItem>
</file>

<file path=customXml/itemProps5.xml><?xml version="1.0" encoding="utf-8"?>
<ds:datastoreItem xmlns:ds="http://schemas.openxmlformats.org/officeDocument/2006/customXml" ds:itemID="{4283DA53-B7AC-4BD3-B3EE-6DC7456C11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71b0c9-821f-4812-ad62-17bad364b9b2"/>
    <ds:schemaRef ds:uri="46ce6685-03ac-4eab-8d3b-771b5d8e8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4</TotalTime>
  <Pages>65</Pages>
  <Words>19787</Words>
  <Characters>120456</Characters>
  <Application>Microsoft Office Word</Application>
  <DocSecurity>0</DocSecurity>
  <Lines>1003</Lines>
  <Paragraphs>279</Paragraphs>
  <ScaleCrop>false</ScaleCrop>
  <Company>Microsoft</Company>
  <LinksUpToDate>false</LinksUpToDate>
  <CharactersWithSpaces>139964</CharactersWithSpaces>
  <SharedDoc>false</SharedDoc>
  <HLinks>
    <vt:vector size="192" baseType="variant">
      <vt:variant>
        <vt:i4>458761</vt:i4>
      </vt:variant>
      <vt:variant>
        <vt:i4>366</vt:i4>
      </vt:variant>
      <vt:variant>
        <vt:i4>0</vt:i4>
      </vt:variant>
      <vt:variant>
        <vt:i4>5</vt:i4>
      </vt:variant>
      <vt:variant>
        <vt:lpwstr>https://www.workandincome.govt.nz/eligibility/health-and-disability/vasectomies.html</vt:lpwstr>
      </vt:variant>
      <vt:variant>
        <vt:lpwstr/>
      </vt:variant>
      <vt:variant>
        <vt:i4>101</vt:i4>
      </vt:variant>
      <vt:variant>
        <vt:i4>363</vt:i4>
      </vt:variant>
      <vt:variant>
        <vt:i4>0</vt:i4>
      </vt:variant>
      <vt:variant>
        <vt:i4>5</vt:i4>
      </vt:variant>
      <vt:variant>
        <vt:lpwstr>https://www.who.int/health-topics/contraception</vt:lpwstr>
      </vt:variant>
      <vt:variant>
        <vt:lpwstr>tab=tab_1</vt:lpwstr>
      </vt:variant>
      <vt:variant>
        <vt:i4>917625</vt:i4>
      </vt:variant>
      <vt:variant>
        <vt:i4>360</vt:i4>
      </vt:variant>
      <vt:variant>
        <vt:i4>0</vt:i4>
      </vt:variant>
      <vt:variant>
        <vt:i4>5</vt:i4>
      </vt:variant>
      <vt:variant>
        <vt:lpwstr>https://iris.who.int/bitstream/handle/10665/181043/WHO_RHR_15.15_eng.pdf</vt:lpwstr>
      </vt:variant>
      <vt:variant>
        <vt:lpwstr/>
      </vt:variant>
      <vt:variant>
        <vt:i4>4587527</vt:i4>
      </vt:variant>
      <vt:variant>
        <vt:i4>357</vt:i4>
      </vt:variant>
      <vt:variant>
        <vt:i4>0</vt:i4>
      </vt:variant>
      <vt:variant>
        <vt:i4>5</vt:i4>
      </vt:variant>
      <vt:variant>
        <vt:lpwstr>https://iris.who.int/bitstream/handle/10665/44577/97892415;jsessionid=F8FF002EDF1E56CC268B650697F3F2F4?sequence=1</vt:lpwstr>
      </vt:variant>
      <vt:variant>
        <vt:lpwstr/>
      </vt:variant>
      <vt:variant>
        <vt:i4>5570643</vt:i4>
      </vt:variant>
      <vt:variant>
        <vt:i4>354</vt:i4>
      </vt:variant>
      <vt:variant>
        <vt:i4>0</vt:i4>
      </vt:variant>
      <vt:variant>
        <vt:i4>5</vt:i4>
      </vt:variant>
      <vt:variant>
        <vt:lpwstr>https://doi.org/10.1111/ajo.13602</vt:lpwstr>
      </vt:variant>
      <vt:variant>
        <vt:lpwstr/>
      </vt:variant>
      <vt:variant>
        <vt:i4>4522011</vt:i4>
      </vt:variant>
      <vt:variant>
        <vt:i4>351</vt:i4>
      </vt:variant>
      <vt:variant>
        <vt:i4>0</vt:i4>
      </vt:variant>
      <vt:variant>
        <vt:i4>5</vt:i4>
      </vt:variant>
      <vt:variant>
        <vt:lpwstr>https://www.unfpa.org/family-planning</vt:lpwstr>
      </vt:variant>
      <vt:variant>
        <vt:lpwstr/>
      </vt:variant>
      <vt:variant>
        <vt:i4>393294</vt:i4>
      </vt:variant>
      <vt:variant>
        <vt:i4>348</vt:i4>
      </vt:variant>
      <vt:variant>
        <vt:i4>0</vt:i4>
      </vt:variant>
      <vt:variant>
        <vt:i4>5</vt:i4>
      </vt:variant>
      <vt:variant>
        <vt:lpwstr>https://doi.org/10.1080/17441692.2023.2224420</vt:lpwstr>
      </vt:variant>
      <vt:variant>
        <vt:lpwstr/>
      </vt:variant>
      <vt:variant>
        <vt:i4>458817</vt:i4>
      </vt:variant>
      <vt:variant>
        <vt:i4>345</vt:i4>
      </vt:variant>
      <vt:variant>
        <vt:i4>0</vt:i4>
      </vt:variant>
      <vt:variant>
        <vt:i4>5</vt:i4>
      </vt:variant>
      <vt:variant>
        <vt:lpwstr>https://sexualwellbeing.org.nz/adv/contraception/contraception-types/</vt:lpwstr>
      </vt:variant>
      <vt:variant>
        <vt:lpwstr/>
      </vt:variant>
      <vt:variant>
        <vt:i4>7733367</vt:i4>
      </vt:variant>
      <vt:variant>
        <vt:i4>342</vt:i4>
      </vt:variant>
      <vt:variant>
        <vt:i4>0</vt:i4>
      </vt:variant>
      <vt:variant>
        <vt:i4>5</vt:i4>
      </vt:variant>
      <vt:variant>
        <vt:lpwstr>https://sexualwellbeing.org.nz/media/swpnktyo/contraception-use-survey-2020.pdf</vt:lpwstr>
      </vt:variant>
      <vt:variant>
        <vt:lpwstr/>
      </vt:variant>
      <vt:variant>
        <vt:i4>5308506</vt:i4>
      </vt:variant>
      <vt:variant>
        <vt:i4>339</vt:i4>
      </vt:variant>
      <vt:variant>
        <vt:i4>0</vt:i4>
      </vt:variant>
      <vt:variant>
        <vt:i4>5</vt:i4>
      </vt:variant>
      <vt:variant>
        <vt:lpwstr>https://www.abuseincare.org.nz/reports/whanaketia</vt:lpwstr>
      </vt:variant>
      <vt:variant>
        <vt:lpwstr/>
      </vt:variant>
      <vt:variant>
        <vt:i4>3932201</vt:i4>
      </vt:variant>
      <vt:variant>
        <vt:i4>336</vt:i4>
      </vt:variant>
      <vt:variant>
        <vt:i4>0</vt:i4>
      </vt:variant>
      <vt:variant>
        <vt:i4>5</vt:i4>
      </vt:variant>
      <vt:variant>
        <vt:lpwstr>https://ranzcog.edu.au/wp-content/uploads/Hysterectomy.pdf</vt:lpwstr>
      </vt:variant>
      <vt:variant>
        <vt:lpwstr/>
      </vt:variant>
      <vt:variant>
        <vt:i4>6422590</vt:i4>
      </vt:variant>
      <vt:variant>
        <vt:i4>333</vt:i4>
      </vt:variant>
      <vt:variant>
        <vt:i4>0</vt:i4>
      </vt:variant>
      <vt:variant>
        <vt:i4>5</vt:i4>
      </vt:variant>
      <vt:variant>
        <vt:lpwstr>https://pharmac.govt.nz/news-and-resources/consultations-and-decisions/decision-to-fund-beta-hcg-low-sensitivity-urine-test-kits?page=4</vt:lpwstr>
      </vt:variant>
      <vt:variant>
        <vt:lpwstr/>
      </vt:variant>
      <vt:variant>
        <vt:i4>1245276</vt:i4>
      </vt:variant>
      <vt:variant>
        <vt:i4>330</vt:i4>
      </vt:variant>
      <vt:variant>
        <vt:i4>0</vt:i4>
      </vt:variant>
      <vt:variant>
        <vt:i4>5</vt:i4>
      </vt:variant>
      <vt:variant>
        <vt:lpwstr>https://doi.org/10.2196/42582</vt:lpwstr>
      </vt:variant>
      <vt:variant>
        <vt:lpwstr/>
      </vt:variant>
      <vt:variant>
        <vt:i4>4063329</vt:i4>
      </vt:variant>
      <vt:variant>
        <vt:i4>327</vt:i4>
      </vt:variant>
      <vt:variant>
        <vt:i4>0</vt:i4>
      </vt:variant>
      <vt:variant>
        <vt:i4>5</vt:i4>
      </vt:variant>
      <vt:variant>
        <vt:lpwstr>https://www.health.govt.nz/regulation-legislation/abortion/regulating-abortion-services/position-statement-on-abortion-reversal</vt:lpwstr>
      </vt:variant>
      <vt:variant>
        <vt:lpwstr/>
      </vt:variant>
      <vt:variant>
        <vt:i4>3670073</vt:i4>
      </vt:variant>
      <vt:variant>
        <vt:i4>324</vt:i4>
      </vt:variant>
      <vt:variant>
        <vt:i4>0</vt:i4>
      </vt:variant>
      <vt:variant>
        <vt:i4>5</vt:i4>
      </vt:variant>
      <vt:variant>
        <vt:lpwstr>https://www.health.govt.nz/publications/standard-for-abortion-counselling-aotearoa-new-zealand</vt:lpwstr>
      </vt:variant>
      <vt:variant>
        <vt:lpwstr/>
      </vt:variant>
      <vt:variant>
        <vt:i4>852054</vt:i4>
      </vt:variant>
      <vt:variant>
        <vt:i4>321</vt:i4>
      </vt:variant>
      <vt:variant>
        <vt:i4>0</vt:i4>
      </vt:variant>
      <vt:variant>
        <vt:i4>5</vt:i4>
      </vt:variant>
      <vt:variant>
        <vt:lpwstr>https://www.health.govt.nz/publications/health-literacy-and-the-prevention-and-management-of-skin-infections</vt:lpwstr>
      </vt:variant>
      <vt:variant>
        <vt:lpwstr/>
      </vt:variant>
      <vt:variant>
        <vt:i4>7143473</vt:i4>
      </vt:variant>
      <vt:variant>
        <vt:i4>318</vt:i4>
      </vt:variant>
      <vt:variant>
        <vt:i4>0</vt:i4>
      </vt:variant>
      <vt:variant>
        <vt:i4>5</vt:i4>
      </vt:variant>
      <vt:variant>
        <vt:lpwstr>https://www.health.govt.nz/publications/government-policy-statement-on-health-2024-2027</vt:lpwstr>
      </vt:variant>
      <vt:variant>
        <vt:lpwstr/>
      </vt:variant>
      <vt:variant>
        <vt:i4>5832713</vt:i4>
      </vt:variant>
      <vt:variant>
        <vt:i4>315</vt:i4>
      </vt:variant>
      <vt:variant>
        <vt:i4>0</vt:i4>
      </vt:variant>
      <vt:variant>
        <vt:i4>5</vt:i4>
      </vt:variant>
      <vt:variant>
        <vt:lpwstr>https://www.midwiferycouncil.health.nz/common/Uploaded files/About Us/2023 Midwifery Led Abortion Statement For Midwives.pdf</vt:lpwstr>
      </vt:variant>
      <vt:variant>
        <vt:lpwstr/>
      </vt:variant>
      <vt:variant>
        <vt:i4>1179742</vt:i4>
      </vt:variant>
      <vt:variant>
        <vt:i4>312</vt:i4>
      </vt:variant>
      <vt:variant>
        <vt:i4>0</vt:i4>
      </vt:variant>
      <vt:variant>
        <vt:i4>5</vt:i4>
      </vt:variant>
      <vt:variant>
        <vt:lpwstr>https://www.medsafe.govt.nz/regulatory/DevicesNew/6Contraceptive.asp</vt:lpwstr>
      </vt:variant>
      <vt:variant>
        <vt:lpwstr/>
      </vt:variant>
      <vt:variant>
        <vt:i4>5242961</vt:i4>
      </vt:variant>
      <vt:variant>
        <vt:i4>309</vt:i4>
      </vt:variant>
      <vt:variant>
        <vt:i4>0</vt:i4>
      </vt:variant>
      <vt:variant>
        <vt:i4>5</vt:i4>
      </vt:variant>
      <vt:variant>
        <vt:lpwstr>https://doi.org/10.1111/ajo.13454</vt:lpwstr>
      </vt:variant>
      <vt:variant>
        <vt:lpwstr/>
      </vt:variant>
      <vt:variant>
        <vt:i4>2359355</vt:i4>
      </vt:variant>
      <vt:variant>
        <vt:i4>306</vt:i4>
      </vt:variant>
      <vt:variant>
        <vt:i4>0</vt:i4>
      </vt:variant>
      <vt:variant>
        <vt:i4>5</vt:i4>
      </vt:variant>
      <vt:variant>
        <vt:lpwstr>https://www.tewhatuora.govt.nz/for-health-providers/claims-provider-payments-and-entitlements/maternity-claims</vt:lpwstr>
      </vt:variant>
      <vt:variant>
        <vt:lpwstr/>
      </vt:variant>
      <vt:variant>
        <vt:i4>6619183</vt:i4>
      </vt:variant>
      <vt:variant>
        <vt:i4>303</vt:i4>
      </vt:variant>
      <vt:variant>
        <vt:i4>0</vt:i4>
      </vt:variant>
      <vt:variant>
        <vt:i4>5</vt:i4>
      </vt:variant>
      <vt:variant>
        <vt:lpwstr>https://www.tewhatuora.govt.nz/for-health-professionals/health-workforce-development/maternity/new-zealand-obstetric-ultrasound-guidelines-online/appendices/appendix-5-non-invasive-prenatal-screening</vt:lpwstr>
      </vt:variant>
      <vt:variant>
        <vt:lpwstr/>
      </vt:variant>
      <vt:variant>
        <vt:i4>7602279</vt:i4>
      </vt:variant>
      <vt:variant>
        <vt:i4>300</vt:i4>
      </vt:variant>
      <vt:variant>
        <vt:i4>0</vt:i4>
      </vt:variant>
      <vt:variant>
        <vt:i4>5</vt:i4>
      </vt:variant>
      <vt:variant>
        <vt:lpwstr>https://www.tewhatuora.govt.nz/health-services-and-programmes/health-identity/national-health-index/about-national-health-index-nhi</vt:lpwstr>
      </vt:variant>
      <vt:variant>
        <vt:lpwstr/>
      </vt:variant>
      <vt:variant>
        <vt:i4>3145840</vt:i4>
      </vt:variant>
      <vt:variant>
        <vt:i4>297</vt:i4>
      </vt:variant>
      <vt:variant>
        <vt:i4>0</vt:i4>
      </vt:variant>
      <vt:variant>
        <vt:i4>5</vt:i4>
      </vt:variant>
      <vt:variant>
        <vt:lpwstr>https://sexualwellbeing.org.nz/media/l4spxiqp/20241104-wa-hine-ma-ori-contraception.pdf</vt:lpwstr>
      </vt:variant>
      <vt:variant>
        <vt:lpwstr/>
      </vt:variant>
      <vt:variant>
        <vt:i4>589900</vt:i4>
      </vt:variant>
      <vt:variant>
        <vt:i4>294</vt:i4>
      </vt:variant>
      <vt:variant>
        <vt:i4>0</vt:i4>
      </vt:variant>
      <vt:variant>
        <vt:i4>5</vt:i4>
      </vt:variant>
      <vt:variant>
        <vt:lpwstr>https://www.buddlefindlay.com/insights/abortion-law-update-high-court-finds-new-conscientious-objection-provisions-do-not-breach-nzbora/</vt:lpwstr>
      </vt:variant>
      <vt:variant>
        <vt:lpwstr/>
      </vt:variant>
      <vt:variant>
        <vt:i4>524294</vt:i4>
      </vt:variant>
      <vt:variant>
        <vt:i4>237</vt:i4>
      </vt:variant>
      <vt:variant>
        <vt:i4>0</vt:i4>
      </vt:variant>
      <vt:variant>
        <vt:i4>5</vt:i4>
      </vt:variant>
      <vt:variant>
        <vt:lpwstr>https://rhrn.nz/gch/maps</vt:lpwstr>
      </vt:variant>
      <vt:variant>
        <vt:lpwstr/>
      </vt:variant>
      <vt:variant>
        <vt:i4>7405608</vt:i4>
      </vt:variant>
      <vt:variant>
        <vt:i4>15</vt:i4>
      </vt:variant>
      <vt:variant>
        <vt:i4>0</vt:i4>
      </vt:variant>
      <vt:variant>
        <vt:i4>5</vt:i4>
      </vt:variant>
      <vt:variant>
        <vt:lpwstr>https://www.health.govt.nz/publications</vt:lpwstr>
      </vt:variant>
      <vt:variant>
        <vt:lpwstr/>
      </vt:variant>
      <vt:variant>
        <vt:i4>2621543</vt:i4>
      </vt:variant>
      <vt:variant>
        <vt:i4>12</vt:i4>
      </vt:variant>
      <vt:variant>
        <vt:i4>0</vt:i4>
      </vt:variant>
      <vt:variant>
        <vt:i4>5</vt:i4>
      </vt:variant>
      <vt:variant>
        <vt:lpwstr>https://www.healthpoint.co.nz/</vt:lpwstr>
      </vt:variant>
      <vt:variant>
        <vt:lpwstr/>
      </vt:variant>
      <vt:variant>
        <vt:i4>7405608</vt:i4>
      </vt:variant>
      <vt:variant>
        <vt:i4>9</vt:i4>
      </vt:variant>
      <vt:variant>
        <vt:i4>0</vt:i4>
      </vt:variant>
      <vt:variant>
        <vt:i4>5</vt:i4>
      </vt:variant>
      <vt:variant>
        <vt:lpwstr>https://www.health.govt.nz/publications</vt:lpwstr>
      </vt:variant>
      <vt:variant>
        <vt:lpwstr/>
      </vt:variant>
      <vt:variant>
        <vt:i4>1245231</vt:i4>
      </vt:variant>
      <vt:variant>
        <vt:i4>6</vt:i4>
      </vt:variant>
      <vt:variant>
        <vt:i4>0</vt:i4>
      </vt:variant>
      <vt:variant>
        <vt:i4>5</vt:i4>
      </vt:variant>
      <vt:variant>
        <vt:lpwstr>https://www.legislation.govt.nz/regulation/public/2021/0219/latest/LMS532081.html?search=ts_act%40bill%40regulation%40deemedreg_abortion_resel_25_a&amp;p=1</vt:lpwstr>
      </vt:variant>
      <vt:variant>
        <vt:lpwstr/>
      </vt:variant>
      <vt:variant>
        <vt:i4>1835057</vt:i4>
      </vt:variant>
      <vt:variant>
        <vt:i4>3</vt:i4>
      </vt:variant>
      <vt:variant>
        <vt:i4>0</vt:i4>
      </vt:variant>
      <vt:variant>
        <vt:i4>5</vt:i4>
      </vt:variant>
      <vt:variant>
        <vt:lpwstr>https://www.legislation.govt.nz/act/public/2020/0006/latest/LMS237550.html?search=ts_act%40bill%40regulation%40deemedreg_abortion_resel_25_a&amp;p=1</vt:lpwstr>
      </vt:variant>
      <vt:variant>
        <vt:lpwstr>LMS237556</vt:lpwstr>
      </vt:variant>
      <vt:variant>
        <vt:i4>4194365</vt:i4>
      </vt:variant>
      <vt:variant>
        <vt:i4>0</vt:i4>
      </vt:variant>
      <vt:variant>
        <vt:i4>0</vt:i4>
      </vt:variant>
      <vt:variant>
        <vt:i4>5</vt:i4>
      </vt:variant>
      <vt:variant>
        <vt:lpwstr>https://www.legislation.govt.nz/act/public/1977/0112/latest/DLM17680.html?search=ts_act%40bill%40regulation%40deemedreg_abortion_resel_25_a&amp;p=1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Certain Matters under the Contraception, Sterilisation, and Abortion Act 1977</dc:title>
  <dc:subject/>
  <dc:creator>Ministry of Health</dc:creator>
  <cp:keywords/>
  <cp:lastModifiedBy>Ministry of Health</cp:lastModifiedBy>
  <cp:revision>5</cp:revision>
  <cp:lastPrinted>2025-04-01T00:22:00Z</cp:lastPrinted>
  <dcterms:created xsi:type="dcterms:W3CDTF">2025-04-08T02:34:00Z</dcterms:created>
  <dcterms:modified xsi:type="dcterms:W3CDTF">2025-04-09T02:33:00Z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0x010100CA8CD65DFCB6FD40B26AD07DCB89628F</vt:lpwstr>
  </property>
  <property fmtid="{D5CDD505-2E9C-101B-9397-08002B2CF9AE}" pid="3" name="_dlc_DocIdItemGuid">
    <vt:lpwstr>33762c7f-5da3-4795-a4c3-17fadbf19ccb</vt:lpwstr>
  </property>
  <property fmtid="{D5CDD505-2E9C-101B-9397-08002B2CF9AE}" pid="4" name="MediaServiceImageTags">
    <vt:lpwstr/>
  </property>
</Properties>
</file>