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34" w:type="dxa"/>
        <w:tblLayout w:type="fixed"/>
        <w:tblCellMar>
          <w:left w:w="0" w:type="dxa"/>
          <w:right w:w="0" w:type="dxa"/>
        </w:tblCellMar>
        <w:tblLook w:val="04A0" w:firstRow="1" w:lastRow="0" w:firstColumn="1" w:lastColumn="0" w:noHBand="0" w:noVBand="1"/>
      </w:tblPr>
      <w:tblGrid>
        <w:gridCol w:w="425"/>
        <w:gridCol w:w="10348"/>
      </w:tblGrid>
      <w:tr w:rsidR="00DC7C56" w14:paraId="09DDDF23" w14:textId="77777777" w:rsidTr="00754A43">
        <w:trPr>
          <w:cantSplit/>
        </w:trPr>
        <w:tc>
          <w:tcPr>
            <w:tcW w:w="425" w:type="dxa"/>
            <w:vMerge w:val="restart"/>
            <w:tcBorders>
              <w:top w:val="nil"/>
              <w:left w:val="nil"/>
              <w:bottom w:val="nil"/>
              <w:right w:val="nil"/>
            </w:tcBorders>
            <w:shd w:val="clear" w:color="auto" w:fill="auto"/>
          </w:tcPr>
          <w:p w14:paraId="09DDDF21" w14:textId="77777777" w:rsidR="00DC7C56" w:rsidRDefault="00DC7C56" w:rsidP="00DC7C56"/>
        </w:tc>
        <w:tc>
          <w:tcPr>
            <w:tcW w:w="10348" w:type="dxa"/>
            <w:tcBorders>
              <w:top w:val="nil"/>
              <w:left w:val="nil"/>
              <w:bottom w:val="nil"/>
              <w:right w:val="nil"/>
            </w:tcBorders>
            <w:shd w:val="clear" w:color="auto" w:fill="auto"/>
          </w:tcPr>
          <w:p w14:paraId="09DDDF22" w14:textId="172129B5" w:rsidR="00DC7C56" w:rsidRPr="00754A43" w:rsidRDefault="009A7CB1" w:rsidP="00DC7C56">
            <w:pPr>
              <w:pStyle w:val="Title"/>
              <w:rPr>
                <w:color w:val="23305D" w:themeColor="text2"/>
              </w:rPr>
            </w:pPr>
            <w:r w:rsidRPr="009A7CB1">
              <w:rPr>
                <w:color w:val="23305D" w:themeColor="text2"/>
              </w:rPr>
              <w:t>Strategic Approach to Immunisation in New Zealand</w:t>
            </w:r>
          </w:p>
        </w:tc>
      </w:tr>
      <w:tr w:rsidR="00DC7C56" w14:paraId="09DDDF26" w14:textId="77777777" w:rsidTr="00754A43">
        <w:trPr>
          <w:cantSplit/>
        </w:trPr>
        <w:tc>
          <w:tcPr>
            <w:tcW w:w="425" w:type="dxa"/>
            <w:vMerge/>
            <w:tcBorders>
              <w:top w:val="nil"/>
              <w:left w:val="nil"/>
              <w:bottom w:val="nil"/>
              <w:right w:val="nil"/>
            </w:tcBorders>
            <w:shd w:val="clear" w:color="auto" w:fill="auto"/>
          </w:tcPr>
          <w:p w14:paraId="09DDDF24" w14:textId="77777777" w:rsidR="00DC7C56" w:rsidRDefault="00DC7C56" w:rsidP="00DC7C56"/>
        </w:tc>
        <w:tc>
          <w:tcPr>
            <w:tcW w:w="10348" w:type="dxa"/>
            <w:tcBorders>
              <w:top w:val="nil"/>
              <w:left w:val="nil"/>
              <w:bottom w:val="nil"/>
              <w:right w:val="nil"/>
            </w:tcBorders>
            <w:shd w:val="clear" w:color="auto" w:fill="auto"/>
          </w:tcPr>
          <w:p w14:paraId="09DDDF25" w14:textId="141FBBD6" w:rsidR="00DC7C56" w:rsidRPr="00754A43" w:rsidRDefault="009A7CB1" w:rsidP="0093539A">
            <w:pPr>
              <w:pStyle w:val="Title"/>
              <w:rPr>
                <w:color w:val="23305D" w:themeColor="text2"/>
              </w:rPr>
            </w:pPr>
            <w:r w:rsidRPr="009A7CB1">
              <w:rPr>
                <w:color w:val="23305D" w:themeColor="text2"/>
              </w:rPr>
              <w:t>2025–2030</w:t>
            </w:r>
          </w:p>
        </w:tc>
      </w:tr>
      <w:tr w:rsidR="00DC7C56" w14:paraId="09DDDF29" w14:textId="77777777" w:rsidTr="00754A43">
        <w:trPr>
          <w:cantSplit/>
        </w:trPr>
        <w:tc>
          <w:tcPr>
            <w:tcW w:w="425" w:type="dxa"/>
            <w:vMerge/>
            <w:tcBorders>
              <w:top w:val="nil"/>
              <w:left w:val="nil"/>
              <w:bottom w:val="nil"/>
              <w:right w:val="nil"/>
            </w:tcBorders>
            <w:shd w:val="clear" w:color="auto" w:fill="auto"/>
          </w:tcPr>
          <w:p w14:paraId="09DDDF27" w14:textId="77777777" w:rsidR="00DC7C56" w:rsidRDefault="00DC7C56" w:rsidP="00DC7C56"/>
        </w:tc>
        <w:tc>
          <w:tcPr>
            <w:tcW w:w="10348" w:type="dxa"/>
            <w:tcBorders>
              <w:top w:val="nil"/>
              <w:left w:val="nil"/>
              <w:bottom w:val="nil"/>
              <w:right w:val="nil"/>
            </w:tcBorders>
            <w:shd w:val="clear" w:color="auto" w:fill="auto"/>
          </w:tcPr>
          <w:p w14:paraId="09DDDF28" w14:textId="2075BB30" w:rsidR="00DC7C56" w:rsidRPr="00754A43" w:rsidRDefault="00DC7C56" w:rsidP="00DC7C56">
            <w:pPr>
              <w:pStyle w:val="Year"/>
              <w:rPr>
                <w:color w:val="23305D" w:themeColor="text2"/>
              </w:rPr>
            </w:pPr>
          </w:p>
        </w:tc>
      </w:tr>
    </w:tbl>
    <w:p w14:paraId="09DDDF2A" w14:textId="77777777" w:rsidR="00C05132" w:rsidRPr="00B47C82" w:rsidRDefault="00DC7C56" w:rsidP="00E064D9">
      <w:pPr>
        <w:spacing w:before="960"/>
      </w:pPr>
      <w:r w:rsidRPr="00922A0F">
        <w:rPr>
          <w:noProof/>
          <w:lang w:eastAsia="en-NZ"/>
        </w:rPr>
        <w:drawing>
          <wp:inline distT="0" distB="0" distL="0" distR="0" wp14:anchorId="09DDDF8A" wp14:editId="09DDDF8B">
            <wp:extent cx="6113639" cy="4206240"/>
            <wp:effectExtent l="0" t="0" r="1905" b="3810"/>
            <wp:docPr id="8" name="Picture 1" descr="Background pattern&#10;&#10;Description automatically generated">
              <a:extLst xmlns:a="http://schemas.openxmlformats.org/drawingml/2006/main">
                <a:ext uri="{FF2B5EF4-FFF2-40B4-BE49-F238E27FC236}">
                  <a16:creationId xmlns:a16="http://schemas.microsoft.com/office/drawing/2014/main" id="{AD64F633-D4C7-BE1E-3B6B-F6DD95A2B2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ckground pattern&#10;&#10;Description automatically generated">
                      <a:extLst>
                        <a:ext uri="{FF2B5EF4-FFF2-40B4-BE49-F238E27FC236}">
                          <a16:creationId xmlns:a16="http://schemas.microsoft.com/office/drawing/2014/main" id="{AD64F633-D4C7-BE1E-3B6B-F6DD95A2B235}"/>
                        </a:ext>
                      </a:extLst>
                    </pic:cNvPr>
                    <pic:cNvPicPr>
                      <a:picLocks noChangeAspect="1"/>
                    </pic:cNvPicPr>
                  </pic:nvPicPr>
                  <pic:blipFill rotWithShape="1">
                    <a:blip r:embed="rId12">
                      <a:extLst>
                        <a:ext uri="{28A0092B-C50C-407E-A947-70E740481C1C}">
                          <a14:useLocalDpi xmlns:a14="http://schemas.microsoft.com/office/drawing/2010/main" val="0"/>
                        </a:ext>
                      </a:extLst>
                    </a:blip>
                    <a:srcRect t="38812" b="15341"/>
                    <a:stretch/>
                  </pic:blipFill>
                  <pic:spPr bwMode="auto">
                    <a:xfrm>
                      <a:off x="0" y="0"/>
                      <a:ext cx="6116308" cy="4208077"/>
                    </a:xfrm>
                    <a:prstGeom prst="rect">
                      <a:avLst/>
                    </a:prstGeom>
                    <a:ln>
                      <a:noFill/>
                    </a:ln>
                    <a:extLst>
                      <a:ext uri="{53640926-AAD7-44D8-BBD7-CCE9431645EC}">
                        <a14:shadowObscured xmlns:a14="http://schemas.microsoft.com/office/drawing/2010/main"/>
                      </a:ext>
                    </a:extLst>
                  </pic:spPr>
                </pic:pic>
              </a:graphicData>
            </a:graphic>
          </wp:inline>
        </w:drawing>
      </w:r>
    </w:p>
    <w:p w14:paraId="09DDDF2B" w14:textId="77777777" w:rsidR="00142954" w:rsidRPr="00B47C82" w:rsidRDefault="00142954" w:rsidP="00142954">
      <w:pPr>
        <w:sectPr w:rsidR="00142954" w:rsidRPr="00B47C82" w:rsidSect="00E064D9">
          <w:headerReference w:type="default" r:id="rId13"/>
          <w:footerReference w:type="default" r:id="rId14"/>
          <w:pgSz w:w="11907" w:h="16834" w:code="9"/>
          <w:pgMar w:top="3119" w:right="1134" w:bottom="1134" w:left="1134" w:header="567" w:footer="851" w:gutter="0"/>
          <w:pgNumType w:start="1"/>
          <w:cols w:space="720"/>
        </w:sectPr>
      </w:pPr>
    </w:p>
    <w:p w14:paraId="09DDDF2E" w14:textId="2B88282E" w:rsidR="00A80363" w:rsidRPr="00B47C82" w:rsidRDefault="00A80363" w:rsidP="00A63DFF">
      <w:pPr>
        <w:pStyle w:val="Imprint"/>
        <w:spacing w:before="1200"/>
        <w:rPr>
          <w:rFonts w:cs="Segoe UI"/>
        </w:rPr>
      </w:pPr>
      <w:r w:rsidRPr="00B47C82">
        <w:rPr>
          <w:rFonts w:cs="Segoe UI"/>
        </w:rPr>
        <w:lastRenderedPageBreak/>
        <w:t xml:space="preserve">Citation: </w:t>
      </w:r>
      <w:r w:rsidR="00274520">
        <w:rPr>
          <w:rFonts w:cs="Segoe UI"/>
        </w:rPr>
        <w:t>Ministry of Health</w:t>
      </w:r>
      <w:r w:rsidR="00442C1C" w:rsidRPr="00B47C82">
        <w:rPr>
          <w:rFonts w:cs="Segoe UI"/>
        </w:rPr>
        <w:t xml:space="preserve">. </w:t>
      </w:r>
      <w:r w:rsidR="009A7CB1">
        <w:rPr>
          <w:rFonts w:cs="Segoe UI"/>
        </w:rPr>
        <w:t>2025</w:t>
      </w:r>
      <w:r w:rsidR="00442C1C" w:rsidRPr="00B47C82">
        <w:rPr>
          <w:rFonts w:cs="Segoe UI"/>
        </w:rPr>
        <w:t xml:space="preserve">. </w:t>
      </w:r>
      <w:r w:rsidR="009A7CB1" w:rsidRPr="009A7CB1">
        <w:rPr>
          <w:rFonts w:cs="Segoe UI"/>
          <w:i/>
        </w:rPr>
        <w:t>Strategic Approach to Immunisation in New Zealand 2025–2030</w:t>
      </w:r>
      <w:r w:rsidR="00442C1C" w:rsidRPr="00B47C82">
        <w:rPr>
          <w:rFonts w:cs="Segoe UI"/>
        </w:rPr>
        <w:t xml:space="preserve">. Wellington: </w:t>
      </w:r>
      <w:r w:rsidR="00CE07BA">
        <w:rPr>
          <w:rFonts w:cs="Segoe UI"/>
        </w:rPr>
        <w:t>Ministry of Health</w:t>
      </w:r>
      <w:r w:rsidR="00442C1C" w:rsidRPr="00B47C82">
        <w:rPr>
          <w:rFonts w:cs="Segoe UI"/>
        </w:rPr>
        <w:t>.</w:t>
      </w:r>
    </w:p>
    <w:p w14:paraId="09DDDF2F" w14:textId="1BC77218" w:rsidR="00C86248" w:rsidRPr="00B47C82" w:rsidRDefault="00C86248">
      <w:pPr>
        <w:pStyle w:val="Imprint"/>
      </w:pPr>
      <w:r w:rsidRPr="00B47C82">
        <w:t xml:space="preserve">Published in </w:t>
      </w:r>
      <w:r w:rsidR="00833314">
        <w:t>February</w:t>
      </w:r>
      <w:r w:rsidR="00D27922" w:rsidRPr="00B47C82">
        <w:t xml:space="preserve"> </w:t>
      </w:r>
      <w:r w:rsidR="003235C6" w:rsidRPr="00B47C82">
        <w:t>20</w:t>
      </w:r>
      <w:r w:rsidR="00FB0A5B" w:rsidRPr="00B47C82">
        <w:t>2</w:t>
      </w:r>
      <w:r w:rsidR="00B60B6D">
        <w:t>5</w:t>
      </w:r>
      <w:r w:rsidR="00A63DFF" w:rsidRPr="00B47C82">
        <w:t xml:space="preserve"> </w:t>
      </w:r>
      <w:r w:rsidRPr="00B47C82">
        <w:t xml:space="preserve">by </w:t>
      </w:r>
      <w:r w:rsidR="00CE07BA">
        <w:t>the Ministry of Health</w:t>
      </w:r>
      <w:r w:rsidRPr="00B47C82">
        <w:br/>
        <w:t>PO Box 5013, Wellington</w:t>
      </w:r>
      <w:r w:rsidR="00A80363" w:rsidRPr="00B47C82">
        <w:t xml:space="preserve"> 614</w:t>
      </w:r>
      <w:r w:rsidR="006041F0" w:rsidRPr="00B47C82">
        <w:t>0</w:t>
      </w:r>
      <w:r w:rsidRPr="00B47C82">
        <w:t xml:space="preserve">, </w:t>
      </w:r>
      <w:r w:rsidR="00571223" w:rsidRPr="00B47C82">
        <w:t>New Zealand</w:t>
      </w:r>
    </w:p>
    <w:p w14:paraId="15580759" w14:textId="59CDFDD2" w:rsidR="009A7CB1" w:rsidRPr="009C0F2D" w:rsidRDefault="009A7CB1" w:rsidP="009A7CB1">
      <w:pPr>
        <w:pStyle w:val="Imprint"/>
      </w:pPr>
      <w:r w:rsidRPr="00833314">
        <w:t xml:space="preserve">ISBN </w:t>
      </w:r>
      <w:r w:rsidR="007317D1" w:rsidRPr="007317D1">
        <w:t>978-1-991324-22-1</w:t>
      </w:r>
      <w:r w:rsidRPr="00833314">
        <w:t xml:space="preserve"> (online)</w:t>
      </w:r>
      <w:r w:rsidRPr="00833314">
        <w:br/>
        <w:t>HP</w:t>
      </w:r>
      <w:r w:rsidR="000F32A0">
        <w:t xml:space="preserve"> 9115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518"/>
        <w:gridCol w:w="3544"/>
      </w:tblGrid>
      <w:tr w:rsidR="00754A43" w:rsidRPr="00754A43" w14:paraId="74948245" w14:textId="77777777" w:rsidTr="00030609">
        <w:trPr>
          <w:trHeight w:val="20"/>
        </w:trPr>
        <w:tc>
          <w:tcPr>
            <w:tcW w:w="2518" w:type="dxa"/>
          </w:tcPr>
          <w:p w14:paraId="21B5C548" w14:textId="3CA54814" w:rsidR="00754A43" w:rsidRPr="00754A43" w:rsidRDefault="00754A43" w:rsidP="00B60B6D">
            <w:pPr>
              <w:spacing w:before="360"/>
            </w:pPr>
            <w:r w:rsidRPr="00754A43">
              <w:rPr>
                <w:noProof/>
                <w:lang w:eastAsia="en-NZ"/>
              </w:rPr>
              <w:drawing>
                <wp:inline distT="0" distB="0" distL="0" distR="0" wp14:anchorId="005698D7" wp14:editId="3665A6C0">
                  <wp:extent cx="1431581" cy="623817"/>
                  <wp:effectExtent l="0" t="0" r="0" b="5080"/>
                  <wp:docPr id="17" name="Picture 17"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inistry of Health logo"/>
                          <pic:cNvPicPr>
                            <a:picLocks noChangeAspect="1" noChangeArrowheads="1"/>
                          </pic:cNvPicPr>
                        </pic:nvPicPr>
                        <pic:blipFill>
                          <a:blip r:embed="rId15">
                            <a:extLst>
                              <a:ext uri="{28A0092B-C50C-407E-A947-70E740481C1C}">
                                <a14:useLocalDpi xmlns:a14="http://schemas.microsoft.com/office/drawing/2010/main" val="0"/>
                              </a:ext>
                            </a:extLst>
                          </a:blip>
                          <a:srcRect l="3398" r="3398"/>
                          <a:stretch>
                            <a:fillRect/>
                          </a:stretch>
                        </pic:blipFill>
                        <pic:spPr bwMode="auto">
                          <a:xfrm>
                            <a:off x="0" y="0"/>
                            <a:ext cx="1431581" cy="623817"/>
                          </a:xfrm>
                          <a:prstGeom prst="rect">
                            <a:avLst/>
                          </a:prstGeom>
                          <a:noFill/>
                          <a:ln>
                            <a:noFill/>
                          </a:ln>
                          <a:extLst>
                            <a:ext uri="{53640926-AAD7-44D8-BBD7-CCE9431645EC}">
                              <a14:shadowObscured xmlns:a14="http://schemas.microsoft.com/office/drawing/2010/main"/>
                            </a:ext>
                          </a:extLst>
                        </pic:spPr>
                      </pic:pic>
                    </a:graphicData>
                  </a:graphic>
                </wp:inline>
              </w:drawing>
            </w:r>
            <w:r w:rsidRPr="00754A43">
              <w:t xml:space="preserve">  </w:t>
            </w:r>
          </w:p>
        </w:tc>
        <w:tc>
          <w:tcPr>
            <w:tcW w:w="3544" w:type="dxa"/>
          </w:tcPr>
          <w:p w14:paraId="2A32A945" w14:textId="555E2C9A" w:rsidR="00754A43" w:rsidRPr="00754A43" w:rsidRDefault="00754A43" w:rsidP="00B60B6D">
            <w:pPr>
              <w:spacing w:before="360"/>
            </w:pPr>
            <w:r w:rsidRPr="00754A43">
              <w:rPr>
                <w:noProof/>
              </w:rPr>
              <w:drawing>
                <wp:inline distT="0" distB="0" distL="0" distR="0" wp14:anchorId="18E1FACC" wp14:editId="53B827EC">
                  <wp:extent cx="1837442" cy="436059"/>
                  <wp:effectExtent l="0" t="0" r="0" b="2540"/>
                  <wp:docPr id="1554280853"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80853" name="Picture 2" descr="New Zealand Government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7442" cy="436059"/>
                          </a:xfrm>
                          <a:prstGeom prst="rect">
                            <a:avLst/>
                          </a:prstGeom>
                        </pic:spPr>
                      </pic:pic>
                    </a:graphicData>
                  </a:graphic>
                </wp:inline>
              </w:drawing>
            </w:r>
          </w:p>
        </w:tc>
      </w:tr>
    </w:tbl>
    <w:p w14:paraId="09DDDF32" w14:textId="77777777" w:rsidR="00A63DFF" w:rsidRPr="00B47C82" w:rsidRDefault="00A63DFF" w:rsidP="00A63DFF">
      <w:pPr>
        <w:pStyle w:val="Imprint"/>
        <w:spacing w:before="240" w:after="480"/>
      </w:pPr>
      <w:r w:rsidRPr="00B47C82">
        <w:t xml:space="preserve">This document is available at </w:t>
      </w:r>
      <w:hyperlink r:id="rId17" w:history="1">
        <w:r w:rsidR="00B155FD" w:rsidRPr="00F76CB4">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B47C82" w14:paraId="09DDDF35" w14:textId="77777777" w:rsidTr="00A63DFF">
        <w:trPr>
          <w:cantSplit/>
        </w:trPr>
        <w:tc>
          <w:tcPr>
            <w:tcW w:w="1526" w:type="dxa"/>
          </w:tcPr>
          <w:p w14:paraId="09DDDF33" w14:textId="77777777" w:rsidR="00A63DFF" w:rsidRPr="00B47C82" w:rsidRDefault="00A63DFF" w:rsidP="00F103BE">
            <w:pPr>
              <w:spacing w:before="240"/>
              <w:rPr>
                <w:rFonts w:cs="Segoe UI"/>
                <w:sz w:val="15"/>
                <w:szCs w:val="15"/>
              </w:rPr>
            </w:pPr>
            <w:r w:rsidRPr="00B47C82">
              <w:rPr>
                <w:rFonts w:cs="Segoe UI"/>
                <w:b/>
                <w:noProof/>
                <w:sz w:val="15"/>
                <w:szCs w:val="15"/>
                <w:lang w:eastAsia="en-NZ"/>
              </w:rPr>
              <w:drawing>
                <wp:inline distT="0" distB="0" distL="0" distR="0" wp14:anchorId="09DDDF8E" wp14:editId="02A463F7">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09DDDF34" w14:textId="77777777" w:rsidR="00A63DFF" w:rsidRPr="00B47C82" w:rsidRDefault="00A63DFF" w:rsidP="00A63DFF">
            <w:pPr>
              <w:rPr>
                <w:rFonts w:cs="Segoe UI"/>
                <w:sz w:val="15"/>
                <w:szCs w:val="15"/>
              </w:rPr>
            </w:pPr>
            <w:r w:rsidRPr="00B47C82">
              <w:rPr>
                <w:rFonts w:cs="Segoe UI"/>
                <w:sz w:val="15"/>
                <w:szCs w:val="15"/>
              </w:rPr>
              <w:t xml:space="preserve">This work is licensed under the Creative Commons Attribution 4.0 International licence. In essence, </w:t>
            </w:r>
            <w:r w:rsidRPr="00B47C82">
              <w:rPr>
                <w:rFonts w:cs="Segoe UI"/>
                <w:bCs/>
                <w:sz w:val="15"/>
                <w:szCs w:val="15"/>
              </w:rPr>
              <w:t xml:space="preserve">you are free to: </w:t>
            </w:r>
            <w:r w:rsidRPr="00B47C82">
              <w:rPr>
                <w:rFonts w:cs="Segoe UI"/>
                <w:sz w:val="15"/>
                <w:szCs w:val="15"/>
              </w:rPr>
              <w:t xml:space="preserve">share ie, copy and redistribute the material in any medium or format; adapt ie, remix, transform and build upon the material. </w:t>
            </w:r>
            <w:r w:rsidRPr="00B47C82">
              <w:rPr>
                <w:rFonts w:cs="Segoe UI"/>
                <w:bCs/>
                <w:sz w:val="15"/>
                <w:szCs w:val="15"/>
              </w:rPr>
              <w:t>You must give appropriate credit, provide a link to the licence and indicate if changes were made.</w:t>
            </w:r>
          </w:p>
        </w:tc>
      </w:tr>
    </w:tbl>
    <w:p w14:paraId="09DDDF36" w14:textId="77777777" w:rsidR="007E74F1" w:rsidRPr="00B47C82" w:rsidRDefault="007E74F1" w:rsidP="006E2886">
      <w:pPr>
        <w:pStyle w:val="Imprint"/>
      </w:pPr>
    </w:p>
    <w:p w14:paraId="09DDDF37" w14:textId="77777777" w:rsidR="00C86248" w:rsidRPr="00B47C82" w:rsidRDefault="00C86248">
      <w:pPr>
        <w:jc w:val="center"/>
        <w:sectPr w:rsidR="00C86248" w:rsidRPr="00B47C82" w:rsidSect="003D59BB">
          <w:footerReference w:type="even" r:id="rId19"/>
          <w:footerReference w:type="default" r:id="rId20"/>
          <w:pgSz w:w="11907" w:h="16834" w:code="9"/>
          <w:pgMar w:top="1701" w:right="2268" w:bottom="1134" w:left="2268" w:header="425" w:footer="284" w:gutter="0"/>
          <w:cols w:space="720"/>
          <w:vAlign w:val="bottom"/>
        </w:sectPr>
      </w:pPr>
    </w:p>
    <w:p w14:paraId="09DDDF38" w14:textId="775D8638" w:rsidR="00414C35" w:rsidRDefault="00414C35" w:rsidP="00F54E74">
      <w:pPr>
        <w:pStyle w:val="Heading1"/>
      </w:pPr>
      <w:bookmarkStart w:id="0" w:name="_Toc519278551"/>
      <w:bookmarkStart w:id="1" w:name="_Toc190950016"/>
      <w:bookmarkStart w:id="2" w:name="_Toc405792991"/>
      <w:bookmarkStart w:id="3" w:name="_Toc405793224"/>
      <w:r w:rsidRPr="00B47C82">
        <w:lastRenderedPageBreak/>
        <w:t>Foreword</w:t>
      </w:r>
      <w:bookmarkEnd w:id="0"/>
      <w:bookmarkEnd w:id="1"/>
    </w:p>
    <w:p w14:paraId="3F2C71AE" w14:textId="77777777" w:rsidR="009A7CB1" w:rsidRDefault="009A7CB1" w:rsidP="009A7CB1">
      <w:r>
        <w:t>Immunisation is a highly successful public health intervention. It safeguards individuals, whānau and communities against a range of potentially devastating diseases, and is a critical way of preventing and controlling infectious disease outbreaks. An accessible and effective immunisation system maximises immunisation uptake and coverage, improving the health of the population and enabling pae ora – healthy futures.</w:t>
      </w:r>
    </w:p>
    <w:p w14:paraId="7CB9A1EB" w14:textId="1246BF7A" w:rsidR="009A7CB1" w:rsidRDefault="009A7CB1" w:rsidP="009A7CB1">
      <w:r>
        <w:t xml:space="preserve"> </w:t>
      </w:r>
    </w:p>
    <w:p w14:paraId="7885AC07" w14:textId="77777777" w:rsidR="009A7CB1" w:rsidRDefault="009A7CB1" w:rsidP="009A7CB1">
      <w:r>
        <w:t xml:space="preserve">Delivering immunisations is a complex task, as responsibilities for it are shared across the health system. </w:t>
      </w:r>
    </w:p>
    <w:p w14:paraId="3B258BE5" w14:textId="19DC6B6E" w:rsidR="009A7CB1" w:rsidRDefault="009A7CB1" w:rsidP="009A7CB1">
      <w:pPr>
        <w:pStyle w:val="Bullet"/>
      </w:pPr>
      <w:r>
        <w:t xml:space="preserve">Pharmac is responsible for purchasing vaccines and making decisions on who is eligible for them. </w:t>
      </w:r>
    </w:p>
    <w:p w14:paraId="2A7493B4" w14:textId="280B6D00" w:rsidR="009A7CB1" w:rsidRDefault="009A7CB1" w:rsidP="009A7CB1">
      <w:pPr>
        <w:pStyle w:val="Bullet"/>
      </w:pPr>
      <w:r>
        <w:t xml:space="preserve">Health New Zealand implements the National Immunisation Schedule and funds the delivery of immunisation services. </w:t>
      </w:r>
    </w:p>
    <w:p w14:paraId="55532D1E" w14:textId="05DF2910" w:rsidR="009A7CB1" w:rsidRDefault="009A7CB1" w:rsidP="009A7CB1">
      <w:pPr>
        <w:pStyle w:val="Bullet"/>
      </w:pPr>
      <w:r>
        <w:t xml:space="preserve">Medsafe, within the Ministry of Health, is the medical regulatory body that administers the Medicines Act 1981 and the Medicines Regulations 1984. The Act and Regulations provide the legal framework for vaccines. </w:t>
      </w:r>
    </w:p>
    <w:p w14:paraId="72F6B1BC" w14:textId="23305E43" w:rsidR="009A7CB1" w:rsidRDefault="009A7CB1" w:rsidP="009A7CB1">
      <w:pPr>
        <w:pStyle w:val="Bullet"/>
      </w:pPr>
      <w:r>
        <w:t>The Ministry of Health, through the Public Health Agency, advises on policy and sets direction for the immunisation system. It also regulates and monitors the system.</w:t>
      </w:r>
    </w:p>
    <w:p w14:paraId="5C97313D" w14:textId="77777777" w:rsidR="009A7CB1" w:rsidRDefault="009A7CB1" w:rsidP="009A7CB1"/>
    <w:p w14:paraId="7D0D7154" w14:textId="2711E931" w:rsidR="009A7CB1" w:rsidRDefault="009A7CB1" w:rsidP="009A7CB1">
      <w:r>
        <w:t xml:space="preserve">Recognising these complexities, the </w:t>
      </w:r>
      <w:r w:rsidRPr="009A7CB1">
        <w:rPr>
          <w:i/>
          <w:iCs/>
        </w:rPr>
        <w:t>Strategic Approach to Immunisation in New Zealand 2025–2030</w:t>
      </w:r>
      <w:r>
        <w:t xml:space="preserve"> (the strategic approach) sets an overarching vision for the immunisation system while focusing on collective action and partnerships.</w:t>
      </w:r>
    </w:p>
    <w:p w14:paraId="752BD37D" w14:textId="77777777" w:rsidR="009A7CB1" w:rsidRDefault="009A7CB1" w:rsidP="009A7CB1"/>
    <w:p w14:paraId="07C1A36C" w14:textId="2D5D68AF" w:rsidR="009A7CB1" w:rsidRDefault="009A7CB1" w:rsidP="009A7CB1">
      <w:r>
        <w:t xml:space="preserve">The strategic approach helps to give effect to the Pae Ora (Healthy Futures) Act 2022 (and its health strategies). It also contributes to the implementation of the </w:t>
      </w:r>
      <w:r w:rsidRPr="009A7CB1">
        <w:rPr>
          <w:i/>
          <w:iCs/>
        </w:rPr>
        <w:t>Government Policy Statement on Health 2024–2027</w:t>
      </w:r>
      <w:r>
        <w:t xml:space="preserve">, which includes immunisation as one of the five key health targets and has a strong focus on prevention. </w:t>
      </w:r>
    </w:p>
    <w:p w14:paraId="7385C83B" w14:textId="77777777" w:rsidR="009A7CB1" w:rsidRDefault="009A7CB1" w:rsidP="009A7CB1"/>
    <w:p w14:paraId="2AA71C1C" w14:textId="77777777" w:rsidR="009A7CB1" w:rsidRDefault="009A7CB1" w:rsidP="009A7CB1">
      <w:r>
        <w:t xml:space="preserve">Supported by research, experience, evidence and practice, the strategic approach reflects and amplifies the voices and aspirations of the many individuals, whānau, communities, agencies and organisations that have contributed to it. </w:t>
      </w:r>
    </w:p>
    <w:p w14:paraId="67EE28A6" w14:textId="77777777" w:rsidR="009A7CB1" w:rsidRDefault="009A7CB1" w:rsidP="009A7CB1"/>
    <w:p w14:paraId="369A5746" w14:textId="77777777" w:rsidR="009A7CB1" w:rsidRDefault="009A7CB1" w:rsidP="009A7CB1">
      <w:r>
        <w:t xml:space="preserve"> </w:t>
      </w:r>
    </w:p>
    <w:p w14:paraId="5A12F2A4" w14:textId="77777777" w:rsidR="009A7CB1" w:rsidRDefault="009A7CB1" w:rsidP="009A7CB1"/>
    <w:p w14:paraId="23F37218" w14:textId="77777777" w:rsidR="009A7CB1" w:rsidRDefault="009A7CB1" w:rsidP="009A7CB1"/>
    <w:p w14:paraId="4D6CC781" w14:textId="77777777" w:rsidR="009A7CB1" w:rsidRDefault="009A7CB1" w:rsidP="009A7CB1">
      <w:r>
        <w:t>Dr Andrew Old</w:t>
      </w:r>
    </w:p>
    <w:p w14:paraId="612E6FF6" w14:textId="77777777" w:rsidR="009A7CB1" w:rsidRDefault="009A7CB1" w:rsidP="009A7CB1">
      <w:r>
        <w:t>Deputy Director-General – Public Health Agency, Ministry of Health</w:t>
      </w:r>
    </w:p>
    <w:p w14:paraId="59F31A1D" w14:textId="4D8A10E0" w:rsidR="009A7CB1" w:rsidRPr="009A7CB1" w:rsidRDefault="009A7CB1" w:rsidP="009A7CB1">
      <w:r>
        <w:t>Chair, Immunisation Oversight Board</w:t>
      </w:r>
    </w:p>
    <w:p w14:paraId="09DDDF39" w14:textId="77777777" w:rsidR="00FB0A5B" w:rsidRPr="00B47C82" w:rsidRDefault="00FB0A5B" w:rsidP="00414C35"/>
    <w:p w14:paraId="09DDDF3A" w14:textId="77777777" w:rsidR="00852C5D" w:rsidRPr="00B47C82" w:rsidRDefault="00852C5D" w:rsidP="00414C35"/>
    <w:p w14:paraId="09DDDF3B" w14:textId="77777777" w:rsidR="00FB0A5B" w:rsidRPr="00B47C82" w:rsidRDefault="00FB0A5B" w:rsidP="00414C35"/>
    <w:p w14:paraId="09DDDF3C" w14:textId="77777777" w:rsidR="00414C35" w:rsidRPr="00B47C82" w:rsidRDefault="00414C35" w:rsidP="00414C35">
      <w:pPr>
        <w:sectPr w:rsidR="00414C35" w:rsidRPr="00B47C82" w:rsidSect="001D3E4E">
          <w:headerReference w:type="even" r:id="rId21"/>
          <w:headerReference w:type="default" r:id="rId22"/>
          <w:footerReference w:type="even" r:id="rId23"/>
          <w:footerReference w:type="default" r:id="rId24"/>
          <w:pgSz w:w="11907" w:h="16840" w:code="9"/>
          <w:pgMar w:top="1418" w:right="1701" w:bottom="1134" w:left="1843" w:header="284" w:footer="425" w:gutter="284"/>
          <w:pgNumType w:fmt="lowerRoman"/>
          <w:cols w:space="720"/>
        </w:sectPr>
      </w:pPr>
    </w:p>
    <w:p w14:paraId="09DDDF3F" w14:textId="77777777" w:rsidR="00C86248" w:rsidRPr="00B47C82" w:rsidRDefault="00C86248" w:rsidP="00025A6F">
      <w:pPr>
        <w:pStyle w:val="IntroHead"/>
      </w:pPr>
      <w:r w:rsidRPr="00B47C82">
        <w:lastRenderedPageBreak/>
        <w:t>Contents</w:t>
      </w:r>
      <w:bookmarkEnd w:id="2"/>
      <w:bookmarkEnd w:id="3"/>
    </w:p>
    <w:p w14:paraId="740F6099" w14:textId="2CC89EC7" w:rsidR="007D7F84" w:rsidRDefault="00814683">
      <w:pPr>
        <w:pStyle w:val="TOC1"/>
        <w:rPr>
          <w:rFonts w:asciiTheme="minorHAnsi" w:eastAsiaTheme="minorEastAsia" w:hAnsiTheme="minorHAnsi" w:cstheme="minorBidi"/>
          <w:noProof/>
          <w:sz w:val="22"/>
          <w:szCs w:val="22"/>
          <w:lang w:val="en-AU" w:eastAsia="en-AU"/>
        </w:rPr>
      </w:pPr>
      <w:r>
        <w:rPr>
          <w:rFonts w:ascii="Segoe UI Semibold" w:hAnsi="Segoe UI Semibold"/>
          <w:b/>
        </w:rPr>
        <w:fldChar w:fldCharType="begin"/>
      </w:r>
      <w:r>
        <w:rPr>
          <w:rFonts w:ascii="Segoe UI Semibold" w:hAnsi="Segoe UI Semibold"/>
          <w:b/>
        </w:rPr>
        <w:instrText xml:space="preserve"> TOC \o "1-2" \h \z </w:instrText>
      </w:r>
      <w:r>
        <w:rPr>
          <w:rFonts w:ascii="Segoe UI Semibold" w:hAnsi="Segoe UI Semibold"/>
          <w:b/>
        </w:rPr>
        <w:fldChar w:fldCharType="separate"/>
      </w:r>
      <w:hyperlink w:anchor="_Toc190950016" w:history="1">
        <w:r w:rsidR="007D7F84" w:rsidRPr="00E756EC">
          <w:rPr>
            <w:rStyle w:val="Hyperlink"/>
            <w:noProof/>
          </w:rPr>
          <w:t>Foreword</w:t>
        </w:r>
        <w:r w:rsidR="007D7F84">
          <w:rPr>
            <w:noProof/>
            <w:webHidden/>
          </w:rPr>
          <w:tab/>
        </w:r>
        <w:r w:rsidR="007D7F84">
          <w:rPr>
            <w:noProof/>
            <w:webHidden/>
          </w:rPr>
          <w:fldChar w:fldCharType="begin"/>
        </w:r>
        <w:r w:rsidR="007D7F84">
          <w:rPr>
            <w:noProof/>
            <w:webHidden/>
          </w:rPr>
          <w:instrText xml:space="preserve"> PAGEREF _Toc190950016 \h </w:instrText>
        </w:r>
        <w:r w:rsidR="007D7F84">
          <w:rPr>
            <w:noProof/>
            <w:webHidden/>
          </w:rPr>
        </w:r>
        <w:r w:rsidR="007D7F84">
          <w:rPr>
            <w:noProof/>
            <w:webHidden/>
          </w:rPr>
          <w:fldChar w:fldCharType="separate"/>
        </w:r>
        <w:r w:rsidR="00623969">
          <w:rPr>
            <w:noProof/>
            <w:webHidden/>
          </w:rPr>
          <w:t>iii</w:t>
        </w:r>
        <w:r w:rsidR="007D7F84">
          <w:rPr>
            <w:noProof/>
            <w:webHidden/>
          </w:rPr>
          <w:fldChar w:fldCharType="end"/>
        </w:r>
      </w:hyperlink>
    </w:p>
    <w:p w14:paraId="0CF9C698" w14:textId="67B92B18" w:rsidR="007D7F84" w:rsidRDefault="00000000">
      <w:pPr>
        <w:pStyle w:val="TOC1"/>
        <w:rPr>
          <w:rFonts w:asciiTheme="minorHAnsi" w:eastAsiaTheme="minorEastAsia" w:hAnsiTheme="minorHAnsi" w:cstheme="minorBidi"/>
          <w:noProof/>
          <w:sz w:val="22"/>
          <w:szCs w:val="22"/>
          <w:lang w:val="en-AU" w:eastAsia="en-AU"/>
        </w:rPr>
      </w:pPr>
      <w:hyperlink w:anchor="_Toc190950017" w:history="1">
        <w:r w:rsidR="007D7F84" w:rsidRPr="00E756EC">
          <w:rPr>
            <w:rStyle w:val="Hyperlink"/>
            <w:noProof/>
          </w:rPr>
          <w:t>Introduction</w:t>
        </w:r>
        <w:r w:rsidR="007D7F84">
          <w:rPr>
            <w:noProof/>
            <w:webHidden/>
          </w:rPr>
          <w:tab/>
        </w:r>
        <w:r w:rsidR="007D7F84">
          <w:rPr>
            <w:noProof/>
            <w:webHidden/>
          </w:rPr>
          <w:fldChar w:fldCharType="begin"/>
        </w:r>
        <w:r w:rsidR="007D7F84">
          <w:rPr>
            <w:noProof/>
            <w:webHidden/>
          </w:rPr>
          <w:instrText xml:space="preserve"> PAGEREF _Toc190950017 \h </w:instrText>
        </w:r>
        <w:r w:rsidR="007D7F84">
          <w:rPr>
            <w:noProof/>
            <w:webHidden/>
          </w:rPr>
        </w:r>
        <w:r w:rsidR="007D7F84">
          <w:rPr>
            <w:noProof/>
            <w:webHidden/>
          </w:rPr>
          <w:fldChar w:fldCharType="separate"/>
        </w:r>
        <w:r w:rsidR="00623969">
          <w:rPr>
            <w:noProof/>
            <w:webHidden/>
          </w:rPr>
          <w:t>1</w:t>
        </w:r>
        <w:r w:rsidR="007D7F84">
          <w:rPr>
            <w:noProof/>
            <w:webHidden/>
          </w:rPr>
          <w:fldChar w:fldCharType="end"/>
        </w:r>
      </w:hyperlink>
    </w:p>
    <w:p w14:paraId="6544762E" w14:textId="1BDE847A" w:rsidR="007D7F84" w:rsidRDefault="00000000">
      <w:pPr>
        <w:pStyle w:val="TOC2"/>
        <w:rPr>
          <w:rFonts w:asciiTheme="minorHAnsi" w:eastAsiaTheme="minorEastAsia" w:hAnsiTheme="minorHAnsi" w:cstheme="minorBidi"/>
          <w:noProof/>
          <w:sz w:val="22"/>
          <w:szCs w:val="22"/>
          <w:lang w:val="en-AU" w:eastAsia="en-AU"/>
        </w:rPr>
      </w:pPr>
      <w:hyperlink w:anchor="_Toc190950018" w:history="1">
        <w:r w:rsidR="007D7F84" w:rsidRPr="00E756EC">
          <w:rPr>
            <w:rStyle w:val="Hyperlink"/>
            <w:noProof/>
          </w:rPr>
          <w:t>Developing the strategic approach</w:t>
        </w:r>
        <w:r w:rsidR="007D7F84">
          <w:rPr>
            <w:noProof/>
            <w:webHidden/>
          </w:rPr>
          <w:tab/>
        </w:r>
        <w:r w:rsidR="007D7F84">
          <w:rPr>
            <w:noProof/>
            <w:webHidden/>
          </w:rPr>
          <w:fldChar w:fldCharType="begin"/>
        </w:r>
        <w:r w:rsidR="007D7F84">
          <w:rPr>
            <w:noProof/>
            <w:webHidden/>
          </w:rPr>
          <w:instrText xml:space="preserve"> PAGEREF _Toc190950018 \h </w:instrText>
        </w:r>
        <w:r w:rsidR="007D7F84">
          <w:rPr>
            <w:noProof/>
            <w:webHidden/>
          </w:rPr>
        </w:r>
        <w:r w:rsidR="007D7F84">
          <w:rPr>
            <w:noProof/>
            <w:webHidden/>
          </w:rPr>
          <w:fldChar w:fldCharType="separate"/>
        </w:r>
        <w:r w:rsidR="00623969">
          <w:rPr>
            <w:noProof/>
            <w:webHidden/>
          </w:rPr>
          <w:t>1</w:t>
        </w:r>
        <w:r w:rsidR="007D7F84">
          <w:rPr>
            <w:noProof/>
            <w:webHidden/>
          </w:rPr>
          <w:fldChar w:fldCharType="end"/>
        </w:r>
      </w:hyperlink>
    </w:p>
    <w:p w14:paraId="0E76AF10" w14:textId="351D082B" w:rsidR="007D7F84" w:rsidRDefault="00000000">
      <w:pPr>
        <w:pStyle w:val="TOC2"/>
        <w:rPr>
          <w:rFonts w:asciiTheme="minorHAnsi" w:eastAsiaTheme="minorEastAsia" w:hAnsiTheme="minorHAnsi" w:cstheme="minorBidi"/>
          <w:noProof/>
          <w:sz w:val="22"/>
          <w:szCs w:val="22"/>
          <w:lang w:val="en-AU" w:eastAsia="en-AU"/>
        </w:rPr>
      </w:pPr>
      <w:hyperlink w:anchor="_Toc190950019" w:history="1">
        <w:r w:rsidR="007D7F84" w:rsidRPr="00E756EC">
          <w:rPr>
            <w:rStyle w:val="Hyperlink"/>
            <w:noProof/>
          </w:rPr>
          <w:t>Using the strategic approach</w:t>
        </w:r>
        <w:r w:rsidR="007D7F84">
          <w:rPr>
            <w:noProof/>
            <w:webHidden/>
          </w:rPr>
          <w:tab/>
        </w:r>
        <w:r w:rsidR="007D7F84">
          <w:rPr>
            <w:noProof/>
            <w:webHidden/>
          </w:rPr>
          <w:fldChar w:fldCharType="begin"/>
        </w:r>
        <w:r w:rsidR="007D7F84">
          <w:rPr>
            <w:noProof/>
            <w:webHidden/>
          </w:rPr>
          <w:instrText xml:space="preserve"> PAGEREF _Toc190950019 \h </w:instrText>
        </w:r>
        <w:r w:rsidR="007D7F84">
          <w:rPr>
            <w:noProof/>
            <w:webHidden/>
          </w:rPr>
        </w:r>
        <w:r w:rsidR="007D7F84">
          <w:rPr>
            <w:noProof/>
            <w:webHidden/>
          </w:rPr>
          <w:fldChar w:fldCharType="separate"/>
        </w:r>
        <w:r w:rsidR="00623969">
          <w:rPr>
            <w:noProof/>
            <w:webHidden/>
          </w:rPr>
          <w:t>2</w:t>
        </w:r>
        <w:r w:rsidR="007D7F84">
          <w:rPr>
            <w:noProof/>
            <w:webHidden/>
          </w:rPr>
          <w:fldChar w:fldCharType="end"/>
        </w:r>
      </w:hyperlink>
    </w:p>
    <w:p w14:paraId="7A269EF3" w14:textId="6818B17F" w:rsidR="007D7F84" w:rsidRDefault="00000000">
      <w:pPr>
        <w:pStyle w:val="TOC1"/>
        <w:rPr>
          <w:rFonts w:asciiTheme="minorHAnsi" w:eastAsiaTheme="minorEastAsia" w:hAnsiTheme="minorHAnsi" w:cstheme="minorBidi"/>
          <w:noProof/>
          <w:sz w:val="22"/>
          <w:szCs w:val="22"/>
          <w:lang w:val="en-AU" w:eastAsia="en-AU"/>
        </w:rPr>
      </w:pPr>
      <w:hyperlink w:anchor="_Toc190950020" w:history="1">
        <w:r w:rsidR="007D7F84" w:rsidRPr="00E756EC">
          <w:rPr>
            <w:rStyle w:val="Hyperlink"/>
            <w:noProof/>
          </w:rPr>
          <w:t>Vision</w:t>
        </w:r>
        <w:r w:rsidR="007D7F84">
          <w:rPr>
            <w:noProof/>
            <w:webHidden/>
          </w:rPr>
          <w:tab/>
        </w:r>
        <w:r w:rsidR="007D7F84">
          <w:rPr>
            <w:noProof/>
            <w:webHidden/>
          </w:rPr>
          <w:fldChar w:fldCharType="begin"/>
        </w:r>
        <w:r w:rsidR="007D7F84">
          <w:rPr>
            <w:noProof/>
            <w:webHidden/>
          </w:rPr>
          <w:instrText xml:space="preserve"> PAGEREF _Toc190950020 \h </w:instrText>
        </w:r>
        <w:r w:rsidR="007D7F84">
          <w:rPr>
            <w:noProof/>
            <w:webHidden/>
          </w:rPr>
        </w:r>
        <w:r w:rsidR="007D7F84">
          <w:rPr>
            <w:noProof/>
            <w:webHidden/>
          </w:rPr>
          <w:fldChar w:fldCharType="separate"/>
        </w:r>
        <w:r w:rsidR="00623969">
          <w:rPr>
            <w:noProof/>
            <w:webHidden/>
          </w:rPr>
          <w:t>4</w:t>
        </w:r>
        <w:r w:rsidR="007D7F84">
          <w:rPr>
            <w:noProof/>
            <w:webHidden/>
          </w:rPr>
          <w:fldChar w:fldCharType="end"/>
        </w:r>
      </w:hyperlink>
    </w:p>
    <w:p w14:paraId="36ACBB93" w14:textId="37BB4D4B" w:rsidR="007D7F84" w:rsidRDefault="00000000">
      <w:pPr>
        <w:pStyle w:val="TOC1"/>
        <w:rPr>
          <w:rFonts w:asciiTheme="minorHAnsi" w:eastAsiaTheme="minorEastAsia" w:hAnsiTheme="minorHAnsi" w:cstheme="minorBidi"/>
          <w:noProof/>
          <w:sz w:val="22"/>
          <w:szCs w:val="22"/>
          <w:lang w:val="en-AU" w:eastAsia="en-AU"/>
        </w:rPr>
      </w:pPr>
      <w:hyperlink w:anchor="_Toc190950021" w:history="1">
        <w:r w:rsidR="007D7F84" w:rsidRPr="00E756EC">
          <w:rPr>
            <w:rStyle w:val="Hyperlink"/>
            <w:noProof/>
          </w:rPr>
          <w:t>Guiding principles</w:t>
        </w:r>
        <w:r w:rsidR="007D7F84">
          <w:rPr>
            <w:noProof/>
            <w:webHidden/>
          </w:rPr>
          <w:tab/>
        </w:r>
        <w:r w:rsidR="007D7F84">
          <w:rPr>
            <w:noProof/>
            <w:webHidden/>
          </w:rPr>
          <w:fldChar w:fldCharType="begin"/>
        </w:r>
        <w:r w:rsidR="007D7F84">
          <w:rPr>
            <w:noProof/>
            <w:webHidden/>
          </w:rPr>
          <w:instrText xml:space="preserve"> PAGEREF _Toc190950021 \h </w:instrText>
        </w:r>
        <w:r w:rsidR="007D7F84">
          <w:rPr>
            <w:noProof/>
            <w:webHidden/>
          </w:rPr>
        </w:r>
        <w:r w:rsidR="007D7F84">
          <w:rPr>
            <w:noProof/>
            <w:webHidden/>
          </w:rPr>
          <w:fldChar w:fldCharType="separate"/>
        </w:r>
        <w:r w:rsidR="00623969">
          <w:rPr>
            <w:noProof/>
            <w:webHidden/>
          </w:rPr>
          <w:t>5</w:t>
        </w:r>
        <w:r w:rsidR="007D7F84">
          <w:rPr>
            <w:noProof/>
            <w:webHidden/>
          </w:rPr>
          <w:fldChar w:fldCharType="end"/>
        </w:r>
      </w:hyperlink>
    </w:p>
    <w:p w14:paraId="1BA4D471" w14:textId="016B2174" w:rsidR="007D7F84" w:rsidRDefault="00000000">
      <w:pPr>
        <w:pStyle w:val="TOC1"/>
        <w:rPr>
          <w:rFonts w:asciiTheme="minorHAnsi" w:eastAsiaTheme="minorEastAsia" w:hAnsiTheme="minorHAnsi" w:cstheme="minorBidi"/>
          <w:noProof/>
          <w:sz w:val="22"/>
          <w:szCs w:val="22"/>
          <w:lang w:val="en-AU" w:eastAsia="en-AU"/>
        </w:rPr>
      </w:pPr>
      <w:hyperlink w:anchor="_Toc190950022" w:history="1">
        <w:r w:rsidR="007D7F84" w:rsidRPr="00E756EC">
          <w:rPr>
            <w:rStyle w:val="Hyperlink"/>
            <w:noProof/>
          </w:rPr>
          <w:t>Focus areas</w:t>
        </w:r>
        <w:r w:rsidR="007D7F84">
          <w:rPr>
            <w:noProof/>
            <w:webHidden/>
          </w:rPr>
          <w:tab/>
        </w:r>
        <w:r w:rsidR="007D7F84">
          <w:rPr>
            <w:noProof/>
            <w:webHidden/>
          </w:rPr>
          <w:fldChar w:fldCharType="begin"/>
        </w:r>
        <w:r w:rsidR="007D7F84">
          <w:rPr>
            <w:noProof/>
            <w:webHidden/>
          </w:rPr>
          <w:instrText xml:space="preserve"> PAGEREF _Toc190950022 \h </w:instrText>
        </w:r>
        <w:r w:rsidR="007D7F84">
          <w:rPr>
            <w:noProof/>
            <w:webHidden/>
          </w:rPr>
        </w:r>
        <w:r w:rsidR="007D7F84">
          <w:rPr>
            <w:noProof/>
            <w:webHidden/>
          </w:rPr>
          <w:fldChar w:fldCharType="separate"/>
        </w:r>
        <w:r w:rsidR="00623969">
          <w:rPr>
            <w:noProof/>
            <w:webHidden/>
          </w:rPr>
          <w:t>6</w:t>
        </w:r>
        <w:r w:rsidR="007D7F84">
          <w:rPr>
            <w:noProof/>
            <w:webHidden/>
          </w:rPr>
          <w:fldChar w:fldCharType="end"/>
        </w:r>
      </w:hyperlink>
    </w:p>
    <w:p w14:paraId="1D76A4F5" w14:textId="4219CD02" w:rsidR="007D7F84" w:rsidRDefault="00000000">
      <w:pPr>
        <w:pStyle w:val="TOC2"/>
        <w:rPr>
          <w:rFonts w:asciiTheme="minorHAnsi" w:eastAsiaTheme="minorEastAsia" w:hAnsiTheme="minorHAnsi" w:cstheme="minorBidi"/>
          <w:noProof/>
          <w:sz w:val="22"/>
          <w:szCs w:val="22"/>
          <w:lang w:val="en-AU" w:eastAsia="en-AU"/>
        </w:rPr>
      </w:pPr>
      <w:hyperlink w:anchor="_Toc190950023" w:history="1">
        <w:r w:rsidR="007D7F84" w:rsidRPr="00E756EC">
          <w:rPr>
            <w:rStyle w:val="Hyperlink"/>
            <w:noProof/>
          </w:rPr>
          <w:t>Focus area 1: Access</w:t>
        </w:r>
        <w:r w:rsidR="007D7F84">
          <w:rPr>
            <w:noProof/>
            <w:webHidden/>
          </w:rPr>
          <w:tab/>
        </w:r>
        <w:r w:rsidR="007D7F84">
          <w:rPr>
            <w:noProof/>
            <w:webHidden/>
          </w:rPr>
          <w:fldChar w:fldCharType="begin"/>
        </w:r>
        <w:r w:rsidR="007D7F84">
          <w:rPr>
            <w:noProof/>
            <w:webHidden/>
          </w:rPr>
          <w:instrText xml:space="preserve"> PAGEREF _Toc190950023 \h </w:instrText>
        </w:r>
        <w:r w:rsidR="007D7F84">
          <w:rPr>
            <w:noProof/>
            <w:webHidden/>
          </w:rPr>
        </w:r>
        <w:r w:rsidR="007D7F84">
          <w:rPr>
            <w:noProof/>
            <w:webHidden/>
          </w:rPr>
          <w:fldChar w:fldCharType="separate"/>
        </w:r>
        <w:r w:rsidR="00623969">
          <w:rPr>
            <w:noProof/>
            <w:webHidden/>
          </w:rPr>
          <w:t>6</w:t>
        </w:r>
        <w:r w:rsidR="007D7F84">
          <w:rPr>
            <w:noProof/>
            <w:webHidden/>
          </w:rPr>
          <w:fldChar w:fldCharType="end"/>
        </w:r>
      </w:hyperlink>
    </w:p>
    <w:p w14:paraId="6BA2FD6E" w14:textId="480712DE" w:rsidR="007D7F84" w:rsidRDefault="00000000">
      <w:pPr>
        <w:pStyle w:val="TOC2"/>
        <w:rPr>
          <w:rFonts w:asciiTheme="minorHAnsi" w:eastAsiaTheme="minorEastAsia" w:hAnsiTheme="minorHAnsi" w:cstheme="minorBidi"/>
          <w:noProof/>
          <w:sz w:val="22"/>
          <w:szCs w:val="22"/>
          <w:lang w:val="en-AU" w:eastAsia="en-AU"/>
        </w:rPr>
      </w:pPr>
      <w:hyperlink w:anchor="_Toc190950024" w:history="1">
        <w:r w:rsidR="007D7F84" w:rsidRPr="00E756EC">
          <w:rPr>
            <w:rStyle w:val="Hyperlink"/>
            <w:noProof/>
          </w:rPr>
          <w:t>Focus area 2: Trust and confidence</w:t>
        </w:r>
        <w:r w:rsidR="007D7F84">
          <w:rPr>
            <w:noProof/>
            <w:webHidden/>
          </w:rPr>
          <w:tab/>
        </w:r>
        <w:r w:rsidR="007D7F84">
          <w:rPr>
            <w:noProof/>
            <w:webHidden/>
          </w:rPr>
          <w:fldChar w:fldCharType="begin"/>
        </w:r>
        <w:r w:rsidR="007D7F84">
          <w:rPr>
            <w:noProof/>
            <w:webHidden/>
          </w:rPr>
          <w:instrText xml:space="preserve"> PAGEREF _Toc190950024 \h </w:instrText>
        </w:r>
        <w:r w:rsidR="007D7F84">
          <w:rPr>
            <w:noProof/>
            <w:webHidden/>
          </w:rPr>
        </w:r>
        <w:r w:rsidR="007D7F84">
          <w:rPr>
            <w:noProof/>
            <w:webHidden/>
          </w:rPr>
          <w:fldChar w:fldCharType="separate"/>
        </w:r>
        <w:r w:rsidR="00623969">
          <w:rPr>
            <w:noProof/>
            <w:webHidden/>
          </w:rPr>
          <w:t>7</w:t>
        </w:r>
        <w:r w:rsidR="007D7F84">
          <w:rPr>
            <w:noProof/>
            <w:webHidden/>
          </w:rPr>
          <w:fldChar w:fldCharType="end"/>
        </w:r>
      </w:hyperlink>
    </w:p>
    <w:p w14:paraId="66E1482A" w14:textId="05F5230E" w:rsidR="007D7F84" w:rsidRDefault="00000000">
      <w:pPr>
        <w:pStyle w:val="TOC2"/>
        <w:rPr>
          <w:rFonts w:asciiTheme="minorHAnsi" w:eastAsiaTheme="minorEastAsia" w:hAnsiTheme="minorHAnsi" w:cstheme="minorBidi"/>
          <w:noProof/>
          <w:sz w:val="22"/>
          <w:szCs w:val="22"/>
          <w:lang w:val="en-AU" w:eastAsia="en-AU"/>
        </w:rPr>
      </w:pPr>
      <w:hyperlink w:anchor="_Toc190950025" w:history="1">
        <w:r w:rsidR="007D7F84" w:rsidRPr="00E756EC">
          <w:rPr>
            <w:rStyle w:val="Hyperlink"/>
            <w:noProof/>
          </w:rPr>
          <w:t>Focus area 3: Information for action</w:t>
        </w:r>
        <w:r w:rsidR="007D7F84">
          <w:rPr>
            <w:noProof/>
            <w:webHidden/>
          </w:rPr>
          <w:tab/>
        </w:r>
        <w:r w:rsidR="007D7F84">
          <w:rPr>
            <w:noProof/>
            <w:webHidden/>
          </w:rPr>
          <w:fldChar w:fldCharType="begin"/>
        </w:r>
        <w:r w:rsidR="007D7F84">
          <w:rPr>
            <w:noProof/>
            <w:webHidden/>
          </w:rPr>
          <w:instrText xml:space="preserve"> PAGEREF _Toc190950025 \h </w:instrText>
        </w:r>
        <w:r w:rsidR="007D7F84">
          <w:rPr>
            <w:noProof/>
            <w:webHidden/>
          </w:rPr>
        </w:r>
        <w:r w:rsidR="007D7F84">
          <w:rPr>
            <w:noProof/>
            <w:webHidden/>
          </w:rPr>
          <w:fldChar w:fldCharType="separate"/>
        </w:r>
        <w:r w:rsidR="00623969">
          <w:rPr>
            <w:noProof/>
            <w:webHidden/>
          </w:rPr>
          <w:t>8</w:t>
        </w:r>
        <w:r w:rsidR="007D7F84">
          <w:rPr>
            <w:noProof/>
            <w:webHidden/>
          </w:rPr>
          <w:fldChar w:fldCharType="end"/>
        </w:r>
      </w:hyperlink>
    </w:p>
    <w:p w14:paraId="6B9A5FFA" w14:textId="64BE5824" w:rsidR="007D7F84" w:rsidRDefault="00000000">
      <w:pPr>
        <w:pStyle w:val="TOC2"/>
        <w:rPr>
          <w:rFonts w:asciiTheme="minorHAnsi" w:eastAsiaTheme="minorEastAsia" w:hAnsiTheme="minorHAnsi" w:cstheme="minorBidi"/>
          <w:noProof/>
          <w:sz w:val="22"/>
          <w:szCs w:val="22"/>
          <w:lang w:val="en-AU" w:eastAsia="en-AU"/>
        </w:rPr>
      </w:pPr>
      <w:hyperlink w:anchor="_Toc190950026" w:history="1">
        <w:r w:rsidR="007D7F84" w:rsidRPr="00E756EC">
          <w:rPr>
            <w:rStyle w:val="Hyperlink"/>
            <w:noProof/>
          </w:rPr>
          <w:t>Focus area 4: Workforce</w:t>
        </w:r>
        <w:r w:rsidR="007D7F84">
          <w:rPr>
            <w:noProof/>
            <w:webHidden/>
          </w:rPr>
          <w:tab/>
        </w:r>
        <w:r w:rsidR="007D7F84">
          <w:rPr>
            <w:noProof/>
            <w:webHidden/>
          </w:rPr>
          <w:fldChar w:fldCharType="begin"/>
        </w:r>
        <w:r w:rsidR="007D7F84">
          <w:rPr>
            <w:noProof/>
            <w:webHidden/>
          </w:rPr>
          <w:instrText xml:space="preserve"> PAGEREF _Toc190950026 \h </w:instrText>
        </w:r>
        <w:r w:rsidR="007D7F84">
          <w:rPr>
            <w:noProof/>
            <w:webHidden/>
          </w:rPr>
        </w:r>
        <w:r w:rsidR="007D7F84">
          <w:rPr>
            <w:noProof/>
            <w:webHidden/>
          </w:rPr>
          <w:fldChar w:fldCharType="separate"/>
        </w:r>
        <w:r w:rsidR="00623969">
          <w:rPr>
            <w:noProof/>
            <w:webHidden/>
          </w:rPr>
          <w:t>9</w:t>
        </w:r>
        <w:r w:rsidR="007D7F84">
          <w:rPr>
            <w:noProof/>
            <w:webHidden/>
          </w:rPr>
          <w:fldChar w:fldCharType="end"/>
        </w:r>
      </w:hyperlink>
    </w:p>
    <w:p w14:paraId="1C60E92B" w14:textId="719482D4" w:rsidR="007D7F84" w:rsidRDefault="00000000">
      <w:pPr>
        <w:pStyle w:val="TOC2"/>
        <w:rPr>
          <w:rFonts w:asciiTheme="minorHAnsi" w:eastAsiaTheme="minorEastAsia" w:hAnsiTheme="minorHAnsi" w:cstheme="minorBidi"/>
          <w:noProof/>
          <w:sz w:val="22"/>
          <w:szCs w:val="22"/>
          <w:lang w:val="en-AU" w:eastAsia="en-AU"/>
        </w:rPr>
      </w:pPr>
      <w:hyperlink w:anchor="_Toc190950027" w:history="1">
        <w:r w:rsidR="007D7F84" w:rsidRPr="00E756EC">
          <w:rPr>
            <w:rStyle w:val="Hyperlink"/>
            <w:noProof/>
          </w:rPr>
          <w:t>Focus area 5: System capability</w:t>
        </w:r>
        <w:r w:rsidR="007D7F84">
          <w:rPr>
            <w:noProof/>
            <w:webHidden/>
          </w:rPr>
          <w:tab/>
        </w:r>
        <w:r w:rsidR="007D7F84">
          <w:rPr>
            <w:noProof/>
            <w:webHidden/>
          </w:rPr>
          <w:fldChar w:fldCharType="begin"/>
        </w:r>
        <w:r w:rsidR="007D7F84">
          <w:rPr>
            <w:noProof/>
            <w:webHidden/>
          </w:rPr>
          <w:instrText xml:space="preserve"> PAGEREF _Toc190950027 \h </w:instrText>
        </w:r>
        <w:r w:rsidR="007D7F84">
          <w:rPr>
            <w:noProof/>
            <w:webHidden/>
          </w:rPr>
        </w:r>
        <w:r w:rsidR="007D7F84">
          <w:rPr>
            <w:noProof/>
            <w:webHidden/>
          </w:rPr>
          <w:fldChar w:fldCharType="separate"/>
        </w:r>
        <w:r w:rsidR="00623969">
          <w:rPr>
            <w:noProof/>
            <w:webHidden/>
          </w:rPr>
          <w:t>10</w:t>
        </w:r>
        <w:r w:rsidR="007D7F84">
          <w:rPr>
            <w:noProof/>
            <w:webHidden/>
          </w:rPr>
          <w:fldChar w:fldCharType="end"/>
        </w:r>
      </w:hyperlink>
    </w:p>
    <w:p w14:paraId="4CDDC719" w14:textId="6EAC5EC7" w:rsidR="007D7F84" w:rsidRDefault="00000000">
      <w:pPr>
        <w:pStyle w:val="TOC1"/>
        <w:rPr>
          <w:rFonts w:asciiTheme="minorHAnsi" w:eastAsiaTheme="minorEastAsia" w:hAnsiTheme="minorHAnsi" w:cstheme="minorBidi"/>
          <w:noProof/>
          <w:sz w:val="22"/>
          <w:szCs w:val="22"/>
          <w:lang w:val="en-AU" w:eastAsia="en-AU"/>
        </w:rPr>
      </w:pPr>
      <w:hyperlink w:anchor="_Toc190950028" w:history="1">
        <w:r w:rsidR="007D7F84" w:rsidRPr="00E756EC">
          <w:rPr>
            <w:rStyle w:val="Hyperlink"/>
            <w:noProof/>
          </w:rPr>
          <w:t>Key resources</w:t>
        </w:r>
        <w:r w:rsidR="007D7F84">
          <w:rPr>
            <w:noProof/>
            <w:webHidden/>
          </w:rPr>
          <w:tab/>
        </w:r>
        <w:r w:rsidR="007D7F84">
          <w:rPr>
            <w:noProof/>
            <w:webHidden/>
          </w:rPr>
          <w:fldChar w:fldCharType="begin"/>
        </w:r>
        <w:r w:rsidR="007D7F84">
          <w:rPr>
            <w:noProof/>
            <w:webHidden/>
          </w:rPr>
          <w:instrText xml:space="preserve"> PAGEREF _Toc190950028 \h </w:instrText>
        </w:r>
        <w:r w:rsidR="007D7F84">
          <w:rPr>
            <w:noProof/>
            <w:webHidden/>
          </w:rPr>
        </w:r>
        <w:r w:rsidR="007D7F84">
          <w:rPr>
            <w:noProof/>
            <w:webHidden/>
          </w:rPr>
          <w:fldChar w:fldCharType="separate"/>
        </w:r>
        <w:r w:rsidR="00623969">
          <w:rPr>
            <w:noProof/>
            <w:webHidden/>
          </w:rPr>
          <w:t>12</w:t>
        </w:r>
        <w:r w:rsidR="007D7F84">
          <w:rPr>
            <w:noProof/>
            <w:webHidden/>
          </w:rPr>
          <w:fldChar w:fldCharType="end"/>
        </w:r>
      </w:hyperlink>
    </w:p>
    <w:p w14:paraId="732BF7ED" w14:textId="1CFD98D1" w:rsidR="007D7F84" w:rsidRDefault="00000000">
      <w:pPr>
        <w:pStyle w:val="TOC2"/>
        <w:rPr>
          <w:rFonts w:asciiTheme="minorHAnsi" w:eastAsiaTheme="minorEastAsia" w:hAnsiTheme="minorHAnsi" w:cstheme="minorBidi"/>
          <w:noProof/>
          <w:sz w:val="22"/>
          <w:szCs w:val="22"/>
          <w:lang w:val="en-AU" w:eastAsia="en-AU"/>
        </w:rPr>
      </w:pPr>
      <w:hyperlink w:anchor="_Toc190950029" w:history="1">
        <w:r w:rsidR="007D7F84" w:rsidRPr="00E756EC">
          <w:rPr>
            <w:rStyle w:val="Hyperlink"/>
            <w:noProof/>
          </w:rPr>
          <w:t>References</w:t>
        </w:r>
        <w:r w:rsidR="007D7F84">
          <w:rPr>
            <w:noProof/>
            <w:webHidden/>
          </w:rPr>
          <w:tab/>
        </w:r>
        <w:r w:rsidR="007D7F84">
          <w:rPr>
            <w:noProof/>
            <w:webHidden/>
          </w:rPr>
          <w:fldChar w:fldCharType="begin"/>
        </w:r>
        <w:r w:rsidR="007D7F84">
          <w:rPr>
            <w:noProof/>
            <w:webHidden/>
          </w:rPr>
          <w:instrText xml:space="preserve"> PAGEREF _Toc190950029 \h </w:instrText>
        </w:r>
        <w:r w:rsidR="007D7F84">
          <w:rPr>
            <w:noProof/>
            <w:webHidden/>
          </w:rPr>
        </w:r>
        <w:r w:rsidR="007D7F84">
          <w:rPr>
            <w:noProof/>
            <w:webHidden/>
          </w:rPr>
          <w:fldChar w:fldCharType="separate"/>
        </w:r>
        <w:r w:rsidR="00623969">
          <w:rPr>
            <w:noProof/>
            <w:webHidden/>
          </w:rPr>
          <w:t>12</w:t>
        </w:r>
        <w:r w:rsidR="007D7F84">
          <w:rPr>
            <w:noProof/>
            <w:webHidden/>
          </w:rPr>
          <w:fldChar w:fldCharType="end"/>
        </w:r>
      </w:hyperlink>
    </w:p>
    <w:p w14:paraId="78D323E0" w14:textId="676E871D" w:rsidR="007D7F84" w:rsidRDefault="00000000">
      <w:pPr>
        <w:pStyle w:val="TOC2"/>
        <w:rPr>
          <w:rFonts w:asciiTheme="minorHAnsi" w:eastAsiaTheme="minorEastAsia" w:hAnsiTheme="minorHAnsi" w:cstheme="minorBidi"/>
          <w:noProof/>
          <w:sz w:val="22"/>
          <w:szCs w:val="22"/>
          <w:lang w:val="en-AU" w:eastAsia="en-AU"/>
        </w:rPr>
      </w:pPr>
      <w:hyperlink w:anchor="_Toc190950030" w:history="1">
        <w:r w:rsidR="007D7F84" w:rsidRPr="00E756EC">
          <w:rPr>
            <w:rStyle w:val="Hyperlink"/>
            <w:noProof/>
          </w:rPr>
          <w:t>Further reading</w:t>
        </w:r>
        <w:r w:rsidR="007D7F84">
          <w:rPr>
            <w:noProof/>
            <w:webHidden/>
          </w:rPr>
          <w:tab/>
        </w:r>
        <w:r w:rsidR="007D7F84">
          <w:rPr>
            <w:noProof/>
            <w:webHidden/>
          </w:rPr>
          <w:fldChar w:fldCharType="begin"/>
        </w:r>
        <w:r w:rsidR="007D7F84">
          <w:rPr>
            <w:noProof/>
            <w:webHidden/>
          </w:rPr>
          <w:instrText xml:space="preserve"> PAGEREF _Toc190950030 \h </w:instrText>
        </w:r>
        <w:r w:rsidR="007D7F84">
          <w:rPr>
            <w:noProof/>
            <w:webHidden/>
          </w:rPr>
        </w:r>
        <w:r w:rsidR="007D7F84">
          <w:rPr>
            <w:noProof/>
            <w:webHidden/>
          </w:rPr>
          <w:fldChar w:fldCharType="separate"/>
        </w:r>
        <w:r w:rsidR="00623969">
          <w:rPr>
            <w:noProof/>
            <w:webHidden/>
          </w:rPr>
          <w:t>13</w:t>
        </w:r>
        <w:r w:rsidR="007D7F84">
          <w:rPr>
            <w:noProof/>
            <w:webHidden/>
          </w:rPr>
          <w:fldChar w:fldCharType="end"/>
        </w:r>
      </w:hyperlink>
    </w:p>
    <w:p w14:paraId="57142E0D" w14:textId="09331B47" w:rsidR="007D7F84" w:rsidRDefault="00000000">
      <w:pPr>
        <w:pStyle w:val="TOC1"/>
        <w:rPr>
          <w:rFonts w:asciiTheme="minorHAnsi" w:eastAsiaTheme="minorEastAsia" w:hAnsiTheme="minorHAnsi" w:cstheme="minorBidi"/>
          <w:noProof/>
          <w:sz w:val="22"/>
          <w:szCs w:val="22"/>
          <w:lang w:val="en-AU" w:eastAsia="en-AU"/>
        </w:rPr>
      </w:pPr>
      <w:hyperlink w:anchor="_Toc190950031" w:history="1">
        <w:r w:rsidR="007D7F84" w:rsidRPr="00E756EC">
          <w:rPr>
            <w:rStyle w:val="Hyperlink"/>
            <w:noProof/>
          </w:rPr>
          <w:t>Glossary</w:t>
        </w:r>
        <w:r w:rsidR="007D7F84">
          <w:rPr>
            <w:noProof/>
            <w:webHidden/>
          </w:rPr>
          <w:tab/>
        </w:r>
        <w:r w:rsidR="007D7F84">
          <w:rPr>
            <w:noProof/>
            <w:webHidden/>
          </w:rPr>
          <w:fldChar w:fldCharType="begin"/>
        </w:r>
        <w:r w:rsidR="007D7F84">
          <w:rPr>
            <w:noProof/>
            <w:webHidden/>
          </w:rPr>
          <w:instrText xml:space="preserve"> PAGEREF _Toc190950031 \h </w:instrText>
        </w:r>
        <w:r w:rsidR="007D7F84">
          <w:rPr>
            <w:noProof/>
            <w:webHidden/>
          </w:rPr>
        </w:r>
        <w:r w:rsidR="007D7F84">
          <w:rPr>
            <w:noProof/>
            <w:webHidden/>
          </w:rPr>
          <w:fldChar w:fldCharType="separate"/>
        </w:r>
        <w:r w:rsidR="00623969">
          <w:rPr>
            <w:noProof/>
            <w:webHidden/>
          </w:rPr>
          <w:t>15</w:t>
        </w:r>
        <w:r w:rsidR="007D7F84">
          <w:rPr>
            <w:noProof/>
            <w:webHidden/>
          </w:rPr>
          <w:fldChar w:fldCharType="end"/>
        </w:r>
      </w:hyperlink>
    </w:p>
    <w:p w14:paraId="09DDDF44" w14:textId="3C37954B" w:rsidR="00C86248" w:rsidRPr="00B47C82" w:rsidRDefault="00814683">
      <w:r>
        <w:rPr>
          <w:rFonts w:ascii="Segoe UI Semibold" w:hAnsi="Segoe UI Semibold"/>
          <w:b/>
          <w:sz w:val="24"/>
        </w:rPr>
        <w:fldChar w:fldCharType="end"/>
      </w:r>
    </w:p>
    <w:p w14:paraId="09DDDF4A" w14:textId="176F348C" w:rsidR="0033448B" w:rsidRPr="00B47C82" w:rsidRDefault="0033448B" w:rsidP="0033448B"/>
    <w:p w14:paraId="09DDDF4B" w14:textId="77777777" w:rsidR="00852C5D" w:rsidRPr="00B47C82" w:rsidRDefault="00852C5D" w:rsidP="009220F3"/>
    <w:p w14:paraId="09DDDF4C" w14:textId="77777777" w:rsidR="001D3E4E" w:rsidRPr="00B47C82" w:rsidRDefault="001D3E4E" w:rsidP="003A5FEA">
      <w:pPr>
        <w:sectPr w:rsidR="001D3E4E" w:rsidRPr="00B47C82" w:rsidSect="00925892">
          <w:headerReference w:type="even" r:id="rId25"/>
          <w:headerReference w:type="default" r:id="rId26"/>
          <w:footerReference w:type="even" r:id="rId27"/>
          <w:footerReference w:type="default" r:id="rId28"/>
          <w:pgSz w:w="11907" w:h="16840" w:code="9"/>
          <w:pgMar w:top="1418" w:right="1701" w:bottom="1134" w:left="1843" w:header="284" w:footer="425" w:gutter="284"/>
          <w:pgNumType w:fmt="lowerRoman"/>
          <w:cols w:space="720"/>
        </w:sectPr>
      </w:pPr>
    </w:p>
    <w:p w14:paraId="09DDDF54" w14:textId="74A9AFB7" w:rsidR="008C2973" w:rsidRDefault="009A7CB1" w:rsidP="00F54E74">
      <w:pPr>
        <w:pStyle w:val="Heading1"/>
      </w:pPr>
      <w:bookmarkStart w:id="4" w:name="_Toc190950017"/>
      <w:r w:rsidRPr="009A7CB1">
        <w:lastRenderedPageBreak/>
        <w:t>Introduction</w:t>
      </w:r>
      <w:bookmarkEnd w:id="4"/>
    </w:p>
    <w:p w14:paraId="2B0EBA31" w14:textId="208A027B" w:rsidR="009A7CB1" w:rsidRDefault="009A7CB1" w:rsidP="009A7CB1">
      <w:pPr>
        <w:rPr>
          <w:rFonts w:eastAsia="Calibri"/>
          <w:lang w:eastAsia="en-US"/>
        </w:rPr>
      </w:pPr>
      <w:r w:rsidRPr="00B92B9D">
        <w:rPr>
          <w:rFonts w:eastAsia="Calibri"/>
          <w:lang w:eastAsia="en-US"/>
        </w:rPr>
        <w:t xml:space="preserve">The </w:t>
      </w:r>
      <w:r w:rsidRPr="00B92B9D">
        <w:rPr>
          <w:rFonts w:eastAsia="Calibri"/>
          <w:i/>
          <w:iCs/>
          <w:lang w:eastAsia="en-US"/>
        </w:rPr>
        <w:t>Strategic Approach to Immunisation in New Zealand</w:t>
      </w:r>
      <w:r w:rsidRPr="00B92B9D">
        <w:rPr>
          <w:rFonts w:eastAsia="Calibri"/>
          <w:lang w:eastAsia="en-US"/>
        </w:rPr>
        <w:t xml:space="preserve"> </w:t>
      </w:r>
      <w:r>
        <w:rPr>
          <w:i/>
        </w:rPr>
        <w:t>2025–2030</w:t>
      </w:r>
      <w:r w:rsidRPr="000903C4">
        <w:t xml:space="preserve"> </w:t>
      </w:r>
      <w:r w:rsidRPr="00B92B9D">
        <w:rPr>
          <w:rFonts w:eastAsia="Calibri"/>
          <w:lang w:eastAsia="en-US"/>
        </w:rPr>
        <w:t xml:space="preserve">(the strategic approach) </w:t>
      </w:r>
      <w:r>
        <w:rPr>
          <w:rFonts w:eastAsia="Calibri"/>
          <w:lang w:eastAsia="en-US"/>
        </w:rPr>
        <w:t xml:space="preserve">provides </w:t>
      </w:r>
      <w:r w:rsidRPr="005753DE">
        <w:rPr>
          <w:rFonts w:eastAsia="Calibri"/>
          <w:lang w:eastAsia="en-US"/>
        </w:rPr>
        <w:t xml:space="preserve">a </w:t>
      </w:r>
      <w:r>
        <w:rPr>
          <w:rFonts w:eastAsia="Calibri"/>
          <w:lang w:eastAsia="en-US"/>
        </w:rPr>
        <w:t xml:space="preserve">renewed vision and </w:t>
      </w:r>
      <w:r w:rsidRPr="005753DE">
        <w:rPr>
          <w:rFonts w:eastAsia="Calibri"/>
          <w:lang w:eastAsia="en-US"/>
        </w:rPr>
        <w:t>strategic direction for the immunisation system</w:t>
      </w:r>
      <w:r>
        <w:rPr>
          <w:rFonts w:eastAsia="Calibri"/>
          <w:lang w:eastAsia="en-US"/>
        </w:rPr>
        <w:t xml:space="preserve"> for the next five years</w:t>
      </w:r>
      <w:r w:rsidRPr="005753DE">
        <w:rPr>
          <w:rFonts w:eastAsia="Calibri"/>
          <w:lang w:eastAsia="en-US"/>
        </w:rPr>
        <w:t xml:space="preserve">. </w:t>
      </w:r>
      <w:r>
        <w:rPr>
          <w:rFonts w:eastAsia="Calibri"/>
          <w:lang w:eastAsia="en-US"/>
        </w:rPr>
        <w:t xml:space="preserve">It incorporates </w:t>
      </w:r>
      <w:r w:rsidRPr="005753DE">
        <w:rPr>
          <w:rFonts w:eastAsia="Calibri"/>
          <w:lang w:eastAsia="en-US"/>
        </w:rPr>
        <w:t>key lessons</w:t>
      </w:r>
      <w:r>
        <w:rPr>
          <w:rFonts w:eastAsia="Calibri"/>
          <w:lang w:eastAsia="en-US"/>
        </w:rPr>
        <w:t xml:space="preserve"> learned</w:t>
      </w:r>
      <w:r w:rsidRPr="005753DE">
        <w:rPr>
          <w:rFonts w:eastAsia="Calibri"/>
          <w:lang w:eastAsia="en-US"/>
        </w:rPr>
        <w:t xml:space="preserve"> from</w:t>
      </w:r>
      <w:r>
        <w:rPr>
          <w:rFonts w:eastAsia="Calibri"/>
          <w:lang w:eastAsia="en-US"/>
        </w:rPr>
        <w:t xml:space="preserve"> our experience during the</w:t>
      </w:r>
      <w:r w:rsidRPr="005753DE">
        <w:rPr>
          <w:rFonts w:eastAsia="Calibri"/>
          <w:lang w:eastAsia="en-US"/>
        </w:rPr>
        <w:t xml:space="preserve"> COVID-19 pandemic</w:t>
      </w:r>
      <w:r>
        <w:rPr>
          <w:rFonts w:eastAsia="Calibri"/>
          <w:lang w:eastAsia="en-US"/>
        </w:rPr>
        <w:t>,</w:t>
      </w:r>
      <w:r w:rsidRPr="005753DE">
        <w:rPr>
          <w:rFonts w:eastAsia="Calibri"/>
          <w:lang w:eastAsia="en-US"/>
        </w:rPr>
        <w:t xml:space="preserve"> </w:t>
      </w:r>
      <w:r>
        <w:rPr>
          <w:rFonts w:eastAsia="Calibri"/>
          <w:lang w:eastAsia="en-US"/>
        </w:rPr>
        <w:t>and sets out high-level objectives and goals for the</w:t>
      </w:r>
      <w:r w:rsidRPr="005753DE">
        <w:rPr>
          <w:rFonts w:eastAsia="Calibri"/>
          <w:lang w:eastAsia="en-US"/>
        </w:rPr>
        <w:t xml:space="preserve"> immunisation system to </w:t>
      </w:r>
      <w:r>
        <w:rPr>
          <w:rFonts w:eastAsia="Calibri"/>
          <w:lang w:eastAsia="en-US"/>
        </w:rPr>
        <w:t>better protect</w:t>
      </w:r>
      <w:r w:rsidRPr="005753DE">
        <w:rPr>
          <w:rFonts w:eastAsia="Calibri"/>
          <w:lang w:eastAsia="en-US"/>
        </w:rPr>
        <w:t xml:space="preserve"> individuals</w:t>
      </w:r>
      <w:r>
        <w:rPr>
          <w:rFonts w:eastAsia="Calibri"/>
          <w:lang w:eastAsia="en-US"/>
        </w:rPr>
        <w:t>, whānau</w:t>
      </w:r>
      <w:r w:rsidRPr="005753DE">
        <w:rPr>
          <w:rFonts w:eastAsia="Calibri"/>
          <w:lang w:eastAsia="en-US"/>
        </w:rPr>
        <w:t xml:space="preserve"> and communities </w:t>
      </w:r>
      <w:r>
        <w:rPr>
          <w:rFonts w:eastAsia="Calibri"/>
          <w:lang w:eastAsia="en-US"/>
        </w:rPr>
        <w:t>against</w:t>
      </w:r>
      <w:r w:rsidRPr="00B92B9D">
        <w:rPr>
          <w:rFonts w:eastAsia="Calibri"/>
          <w:lang w:eastAsia="en-US"/>
        </w:rPr>
        <w:t xml:space="preserve"> vaccine-preventable diseases. </w:t>
      </w:r>
    </w:p>
    <w:p w14:paraId="6BB2B84C" w14:textId="77777777" w:rsidR="009A7CB1" w:rsidRPr="00392361" w:rsidRDefault="009A7CB1" w:rsidP="009A7CB1">
      <w:pPr>
        <w:pStyle w:val="Heading2"/>
      </w:pPr>
      <w:bookmarkStart w:id="5" w:name="_Toc178652315"/>
      <w:bookmarkStart w:id="6" w:name="_Toc190243178"/>
      <w:bookmarkStart w:id="7" w:name="_Toc190950018"/>
      <w:r>
        <w:t>Developing</w:t>
      </w:r>
      <w:r w:rsidRPr="00392361">
        <w:t xml:space="preserve"> the strategic approach</w:t>
      </w:r>
      <w:bookmarkEnd w:id="5"/>
      <w:bookmarkEnd w:id="6"/>
      <w:bookmarkEnd w:id="7"/>
    </w:p>
    <w:p w14:paraId="4255397D" w14:textId="77777777" w:rsidR="009A7CB1" w:rsidRDefault="009A7CB1" w:rsidP="009A7CB1">
      <w:r>
        <w:t>T</w:t>
      </w:r>
      <w:r w:rsidRPr="00B92B9D">
        <w:t xml:space="preserve">he strategic approach acknowledges that people </w:t>
      </w:r>
      <w:r>
        <w:t>have different</w:t>
      </w:r>
      <w:r w:rsidRPr="00B92B9D">
        <w:t xml:space="preserve"> needs</w:t>
      </w:r>
      <w:r>
        <w:t xml:space="preserve"> and so individuals</w:t>
      </w:r>
      <w:r w:rsidRPr="00B92B9D">
        <w:t xml:space="preserve"> require different approaches to improve immunisation outcomes</w:t>
      </w:r>
      <w:r>
        <w:t>.</w:t>
      </w:r>
      <w:r w:rsidRPr="00B92B9D">
        <w:t xml:space="preserve"> </w:t>
      </w:r>
      <w:r>
        <w:rPr>
          <w:rFonts w:eastAsia="Calibri"/>
          <w:lang w:eastAsia="en-US"/>
        </w:rPr>
        <w:t xml:space="preserve">It recognises the impact of </w:t>
      </w:r>
      <w:r w:rsidRPr="00B92B9D">
        <w:rPr>
          <w:rFonts w:eastAsia="Calibri"/>
          <w:lang w:eastAsia="en-US"/>
        </w:rPr>
        <w:t>social</w:t>
      </w:r>
      <w:r>
        <w:rPr>
          <w:rFonts w:eastAsia="Calibri"/>
          <w:lang w:eastAsia="en-US"/>
        </w:rPr>
        <w:t>, economic, environmental and other factors on</w:t>
      </w:r>
      <w:r w:rsidRPr="00B92B9D">
        <w:rPr>
          <w:rFonts w:eastAsia="Calibri"/>
          <w:lang w:eastAsia="en-US"/>
        </w:rPr>
        <w:t xml:space="preserve"> immunisation coverag</w:t>
      </w:r>
      <w:r>
        <w:rPr>
          <w:rFonts w:eastAsia="Calibri"/>
          <w:lang w:eastAsia="en-US"/>
        </w:rPr>
        <w:t>e, and focuses on working</w:t>
      </w:r>
      <w:r w:rsidRPr="00B92B9D">
        <w:rPr>
          <w:rFonts w:eastAsia="Calibri"/>
          <w:lang w:eastAsia="en-US"/>
        </w:rPr>
        <w:t xml:space="preserve"> in partnership</w:t>
      </w:r>
      <w:r>
        <w:rPr>
          <w:rFonts w:eastAsia="Calibri"/>
          <w:lang w:eastAsia="en-US"/>
        </w:rPr>
        <w:t xml:space="preserve"> with stakeholders</w:t>
      </w:r>
      <w:r w:rsidRPr="00B92B9D">
        <w:rPr>
          <w:rFonts w:eastAsia="Calibri"/>
          <w:lang w:eastAsia="en-US"/>
        </w:rPr>
        <w:t xml:space="preserve"> to address </w:t>
      </w:r>
      <w:r>
        <w:rPr>
          <w:rFonts w:eastAsia="Calibri"/>
          <w:lang w:eastAsia="en-US"/>
        </w:rPr>
        <w:t xml:space="preserve">inequities in vaccination coverage and to </w:t>
      </w:r>
      <w:r w:rsidRPr="00B92B9D">
        <w:rPr>
          <w:rFonts w:eastAsia="Calibri"/>
          <w:lang w:eastAsia="en-US"/>
        </w:rPr>
        <w:t>achieve a highly effective immunisation system.</w:t>
      </w:r>
      <w:r>
        <w:rPr>
          <w:rFonts w:eastAsia="Calibri"/>
          <w:lang w:eastAsia="en-US"/>
        </w:rPr>
        <w:t xml:space="preserve"> </w:t>
      </w:r>
    </w:p>
    <w:p w14:paraId="5A8B503E" w14:textId="77777777" w:rsidR="009A7CB1" w:rsidRPr="004E62BA" w:rsidRDefault="009A7CB1" w:rsidP="009A7CB1">
      <w:pPr>
        <w:pStyle w:val="Heading3"/>
      </w:pPr>
      <w:r w:rsidRPr="004E62BA">
        <w:t>Pae Ora (Healthy Futures) Act 2022, its health system principles and health strategies</w:t>
      </w:r>
    </w:p>
    <w:p w14:paraId="2D924094" w14:textId="77777777" w:rsidR="009A7CB1" w:rsidRDefault="009A7CB1" w:rsidP="009A7CB1">
      <w:r>
        <w:t>The strategic approach builds on the opportunities coming from the Pae Ora (Healthy Futures) Act 2022 and its health strategies</w:t>
      </w:r>
      <w:r w:rsidRPr="00B92B9D">
        <w:rPr>
          <w:vertAlign w:val="superscript"/>
        </w:rPr>
        <w:footnoteReference w:id="1"/>
      </w:r>
      <w:r>
        <w:t xml:space="preserve"> to protect, promote and improve the health of all New Zealanders, achieve equity and build towards healthy futures for everyone. The Pae Ora Act and its health principles set expectations for health entities to address unfair differences in health needs and outcomes, and to engage with populations who experience the highest health needs to develop and deliver services that reflect their needs and aspirations. </w:t>
      </w:r>
    </w:p>
    <w:p w14:paraId="5EC43060" w14:textId="77777777" w:rsidR="009A7CB1" w:rsidRPr="00C27737" w:rsidRDefault="009A7CB1" w:rsidP="009A7CB1">
      <w:pPr>
        <w:pStyle w:val="Heading3"/>
      </w:pPr>
      <w:r w:rsidRPr="00C27737">
        <w:t>Government Policy Statement on Health 2024–2027</w:t>
      </w:r>
    </w:p>
    <w:p w14:paraId="2780BF13" w14:textId="7544E465" w:rsidR="009A7CB1" w:rsidRDefault="009A7CB1" w:rsidP="009A7CB1">
      <w:bookmarkStart w:id="8" w:name="_Toc175792451"/>
      <w:bookmarkStart w:id="9" w:name="_Toc175793107"/>
      <w:bookmarkStart w:id="10" w:name="_Toc178652316"/>
      <w:r w:rsidRPr="00686F51">
        <w:t>The</w:t>
      </w:r>
      <w:r w:rsidRPr="00C27737">
        <w:t xml:space="preserve"> Government Policy Statement on Health 2024–2027</w:t>
      </w:r>
      <w:r w:rsidRPr="00686F51">
        <w:t xml:space="preserve"> </w:t>
      </w:r>
      <w:r>
        <w:t>(</w:t>
      </w:r>
      <w:r w:rsidRPr="00686F51">
        <w:t>GPS</w:t>
      </w:r>
      <w:r>
        <w:t>) (Minister of Health 2024)</w:t>
      </w:r>
      <w:r w:rsidRPr="00686F51">
        <w:t xml:space="preserve"> sets out the Government’s expectations and intended direction for the health system to make sure health entities are working towards common goals that matter for New Zealanders. The five priority areas identified in the GPS are access, timeliness, quality, workforce and infrastructure. </w:t>
      </w:r>
    </w:p>
    <w:p w14:paraId="6EFAFADD" w14:textId="77777777" w:rsidR="009A7CB1" w:rsidRDefault="009A7CB1" w:rsidP="009A7CB1"/>
    <w:p w14:paraId="112EFA78" w14:textId="77777777" w:rsidR="009A7CB1" w:rsidRPr="00686F51" w:rsidRDefault="009A7CB1" w:rsidP="009A7CB1">
      <w:r w:rsidRPr="00686F51">
        <w:t xml:space="preserve">Five </w:t>
      </w:r>
      <w:r>
        <w:t>h</w:t>
      </w:r>
      <w:r w:rsidRPr="00686F51">
        <w:t xml:space="preserve">ealth </w:t>
      </w:r>
      <w:r>
        <w:t>t</w:t>
      </w:r>
      <w:r w:rsidRPr="00686F51">
        <w:t>argets are also tied to the GPS</w:t>
      </w:r>
      <w:r>
        <w:t>.</w:t>
      </w:r>
      <w:r w:rsidRPr="00686F51">
        <w:t xml:space="preserve"> </w:t>
      </w:r>
      <w:r>
        <w:t>O</w:t>
      </w:r>
      <w:r w:rsidRPr="00686F51">
        <w:t xml:space="preserve">ne of </w:t>
      </w:r>
      <w:r>
        <w:t xml:space="preserve">these targets </w:t>
      </w:r>
      <w:r w:rsidRPr="00686F51">
        <w:t>is</w:t>
      </w:r>
      <w:r>
        <w:t xml:space="preserve"> to</w:t>
      </w:r>
      <w:r w:rsidRPr="00686F51">
        <w:t xml:space="preserve"> improve immunisation: </w:t>
      </w:r>
      <w:r>
        <w:t xml:space="preserve">in particular, </w:t>
      </w:r>
      <w:r w:rsidRPr="00686F51">
        <w:t xml:space="preserve">95% of children </w:t>
      </w:r>
      <w:r>
        <w:t xml:space="preserve">are to be </w:t>
      </w:r>
      <w:r w:rsidRPr="00686F51">
        <w:t xml:space="preserve">fully immunised at 24 months of </w:t>
      </w:r>
      <w:r w:rsidRPr="00686F51">
        <w:lastRenderedPageBreak/>
        <w:t>age. The strategic approach reflects and aligns with these key priorities throughout and will be an important tool to guide health entities as they work to achieve the immunisation target.</w:t>
      </w:r>
    </w:p>
    <w:bookmarkEnd w:id="8"/>
    <w:bookmarkEnd w:id="9"/>
    <w:bookmarkEnd w:id="10"/>
    <w:p w14:paraId="524B9AC5" w14:textId="77777777" w:rsidR="009A7CB1" w:rsidRPr="00686F51" w:rsidRDefault="009A7CB1" w:rsidP="009A7CB1">
      <w:pPr>
        <w:pStyle w:val="Heading3"/>
      </w:pPr>
      <w:r w:rsidRPr="00686F51">
        <w:t>Supporting evidence and insights</w:t>
      </w:r>
    </w:p>
    <w:p w14:paraId="397D54DA" w14:textId="2D76DA03" w:rsidR="009A7CB1" w:rsidRDefault="009A7CB1" w:rsidP="009A7CB1">
      <w:r w:rsidRPr="00B92B9D">
        <w:t xml:space="preserve">The strategic approach draws on a wide range of </w:t>
      </w:r>
      <w:r>
        <w:t>re</w:t>
      </w:r>
      <w:r w:rsidRPr="00B92B9D">
        <w:t xml:space="preserve">sources </w:t>
      </w:r>
      <w:r>
        <w:t>that</w:t>
      </w:r>
      <w:r w:rsidRPr="00B92B9D">
        <w:t xml:space="preserve"> map out what is known about the system, including challenges and barriers, enablers and examples of best practice</w:t>
      </w:r>
      <w:r w:rsidRPr="00B92B9D">
        <w:rPr>
          <w:rFonts w:eastAsia="Poppins"/>
        </w:rPr>
        <w:t xml:space="preserve">. </w:t>
      </w:r>
      <w:r>
        <w:t>It</w:t>
      </w:r>
      <w:r w:rsidRPr="7D950D32">
        <w:t xml:space="preserve"> reflect</w:t>
      </w:r>
      <w:r>
        <w:t>s</w:t>
      </w:r>
      <w:r w:rsidRPr="7D950D32">
        <w:t xml:space="preserve"> the voices and aspirations of </w:t>
      </w:r>
      <w:r>
        <w:t>those</w:t>
      </w:r>
      <w:r w:rsidRPr="7D950D32">
        <w:t xml:space="preserve"> </w:t>
      </w:r>
      <w:r>
        <w:t xml:space="preserve">impacted by, and </w:t>
      </w:r>
      <w:r w:rsidRPr="7D950D32">
        <w:t xml:space="preserve">working </w:t>
      </w:r>
      <w:r>
        <w:t xml:space="preserve">within, </w:t>
      </w:r>
      <w:r w:rsidRPr="7D950D32">
        <w:t>the immunisation system.</w:t>
      </w:r>
    </w:p>
    <w:p w14:paraId="439663F4" w14:textId="77777777" w:rsidR="009A7CB1" w:rsidRPr="00B92B9D" w:rsidRDefault="009A7CB1" w:rsidP="009A7CB1">
      <w:pPr>
        <w:rPr>
          <w:rFonts w:eastAsia="Poppins"/>
        </w:rPr>
      </w:pPr>
    </w:p>
    <w:p w14:paraId="182D0E82" w14:textId="7B8570B0" w:rsidR="009A7CB1" w:rsidRDefault="009A7CB1" w:rsidP="009A7CB1">
      <w:r w:rsidRPr="0066286F">
        <w:t xml:space="preserve">Previous evidence and insights </w:t>
      </w:r>
      <w:r>
        <w:t>from</w:t>
      </w:r>
      <w:r w:rsidRPr="0066286F">
        <w:t xml:space="preserve"> i</w:t>
      </w:r>
      <w:r w:rsidRPr="0066286F">
        <w:rPr>
          <w:color w:val="0D0D0D"/>
        </w:rPr>
        <w:t>ndividuals, whānau, communities, academics and providers have been invaluable in shaping the strategic approach</w:t>
      </w:r>
      <w:r w:rsidRPr="00874466">
        <w:rPr>
          <w:rFonts w:eastAsia="Poppins"/>
        </w:rPr>
        <w:t xml:space="preserve">. </w:t>
      </w:r>
      <w:r>
        <w:rPr>
          <w:rFonts w:eastAsia="Poppins"/>
        </w:rPr>
        <w:t>In developing the strategic approach, we</w:t>
      </w:r>
      <w:r w:rsidRPr="00874466">
        <w:rPr>
          <w:rFonts w:eastAsia="Poppins"/>
        </w:rPr>
        <w:t xml:space="preserve"> collated and analysed </w:t>
      </w:r>
      <w:r>
        <w:rPr>
          <w:rFonts w:eastAsia="Poppins"/>
        </w:rPr>
        <w:t xml:space="preserve">their input </w:t>
      </w:r>
      <w:r w:rsidRPr="00874466">
        <w:t xml:space="preserve">to consider common themes </w:t>
      </w:r>
      <w:r>
        <w:t>on</w:t>
      </w:r>
      <w:r w:rsidRPr="00874466">
        <w:t xml:space="preserve"> access to, experiences of and aspirations for the immunisation system. </w:t>
      </w:r>
    </w:p>
    <w:p w14:paraId="4941031A" w14:textId="77777777" w:rsidR="009A7CB1" w:rsidRDefault="009A7CB1" w:rsidP="009A7CB1"/>
    <w:p w14:paraId="13924681" w14:textId="77777777" w:rsidR="009A7CB1" w:rsidRDefault="009A7CB1" w:rsidP="009A7CB1">
      <w:r>
        <w:t>We then carried out t</w:t>
      </w:r>
      <w:r w:rsidRPr="00874466">
        <w:t>argeted consultation with key stakeholders to sense-check and challenge the focus areas we had identified</w:t>
      </w:r>
      <w:r>
        <w:t>. In this way, we</w:t>
      </w:r>
      <w:r w:rsidRPr="00874466">
        <w:t xml:space="preserve"> test</w:t>
      </w:r>
      <w:r>
        <w:t>ed</w:t>
      </w:r>
      <w:r w:rsidRPr="00874466">
        <w:t xml:space="preserve"> the relevance </w:t>
      </w:r>
      <w:r>
        <w:t xml:space="preserve">of the focus areas </w:t>
      </w:r>
      <w:r w:rsidRPr="00874466">
        <w:t xml:space="preserve">and </w:t>
      </w:r>
      <w:r>
        <w:t xml:space="preserve">their level of </w:t>
      </w:r>
      <w:r w:rsidRPr="00874466">
        <w:t xml:space="preserve">importance </w:t>
      </w:r>
      <w:r>
        <w:t>in</w:t>
      </w:r>
      <w:r w:rsidRPr="00874466">
        <w:t xml:space="preserve"> improving our immunisation system.</w:t>
      </w:r>
      <w:r w:rsidRPr="7D950D32">
        <w:t xml:space="preserve"> </w:t>
      </w:r>
    </w:p>
    <w:p w14:paraId="6DA77BF5" w14:textId="77777777" w:rsidR="009A7CB1" w:rsidRPr="0095201F" w:rsidRDefault="009A7CB1" w:rsidP="009A7CB1">
      <w:pPr>
        <w:pStyle w:val="Heading2"/>
      </w:pPr>
      <w:bookmarkStart w:id="11" w:name="_Toc178652317"/>
      <w:bookmarkStart w:id="12" w:name="_Toc190243179"/>
      <w:bookmarkStart w:id="13" w:name="_Toc190950019"/>
      <w:r w:rsidRPr="00BD11F8">
        <w:t>Using</w:t>
      </w:r>
      <w:r>
        <w:t xml:space="preserve"> t</w:t>
      </w:r>
      <w:r w:rsidRPr="00B0636F">
        <w:t>he strategic approach</w:t>
      </w:r>
      <w:bookmarkEnd w:id="11"/>
      <w:bookmarkEnd w:id="12"/>
      <w:bookmarkEnd w:id="13"/>
    </w:p>
    <w:p w14:paraId="4D4B4F94" w14:textId="5E20DD53" w:rsidR="009A7CB1" w:rsidRDefault="009A7CB1" w:rsidP="009A7CB1">
      <w:pPr>
        <w:rPr>
          <w:rFonts w:eastAsia="Segoe UI"/>
        </w:rPr>
      </w:pPr>
      <w:r w:rsidRPr="00FF54C2">
        <w:rPr>
          <w:rFonts w:eastAsia="Segoe UI"/>
        </w:rPr>
        <w:t xml:space="preserve">The strategic approach is a high-level document </w:t>
      </w:r>
      <w:r>
        <w:rPr>
          <w:rFonts w:eastAsia="Segoe UI"/>
        </w:rPr>
        <w:t>that</w:t>
      </w:r>
      <w:r w:rsidRPr="00FF54C2">
        <w:rPr>
          <w:rFonts w:eastAsia="Segoe UI"/>
        </w:rPr>
        <w:t xml:space="preserve"> </w:t>
      </w:r>
      <w:r>
        <w:rPr>
          <w:rFonts w:eastAsia="Segoe UI"/>
        </w:rPr>
        <w:t>brings together</w:t>
      </w:r>
      <w:r w:rsidRPr="00FF54C2">
        <w:rPr>
          <w:rFonts w:eastAsia="Segoe UI"/>
        </w:rPr>
        <w:t xml:space="preserve"> existing aspirations, practices and approaches to immunisation across the health system, as well as lessons learned from the response to the COVID-19 pandemic. It is intended to help guide approaches to delivering and monitoring immunisation services, future initiatives and policy.</w:t>
      </w:r>
      <w:r>
        <w:rPr>
          <w:rFonts w:eastAsia="Segoe UI"/>
        </w:rPr>
        <w:t xml:space="preserve"> </w:t>
      </w:r>
    </w:p>
    <w:p w14:paraId="2DD7B409" w14:textId="77777777" w:rsidR="009A7CB1" w:rsidRDefault="009A7CB1" w:rsidP="009A7CB1">
      <w:pPr>
        <w:rPr>
          <w:rFonts w:eastAsia="Segoe UI"/>
        </w:rPr>
      </w:pPr>
    </w:p>
    <w:p w14:paraId="5D38B80E" w14:textId="686D6A7A" w:rsidR="009A7CB1" w:rsidRDefault="009A7CB1" w:rsidP="009A7CB1">
      <w:pPr>
        <w:rPr>
          <w:rFonts w:eastAsia="Segoe UI"/>
        </w:rPr>
      </w:pPr>
      <w:r>
        <w:rPr>
          <w:rFonts w:eastAsia="Segoe UI"/>
        </w:rPr>
        <w:t>In</w:t>
      </w:r>
      <w:r w:rsidRPr="7D950D32">
        <w:rPr>
          <w:rFonts w:eastAsia="Segoe UI"/>
        </w:rPr>
        <w:t xml:space="preserve"> 2023</w:t>
      </w:r>
      <w:r>
        <w:rPr>
          <w:rFonts w:eastAsia="Segoe UI"/>
        </w:rPr>
        <w:t>, a new</w:t>
      </w:r>
      <w:r>
        <w:t xml:space="preserve"> n</w:t>
      </w:r>
      <w:r w:rsidRPr="7D950D32">
        <w:t xml:space="preserve">ational </w:t>
      </w:r>
      <w:r>
        <w:t>i</w:t>
      </w:r>
      <w:r w:rsidRPr="7D950D32">
        <w:rPr>
          <w:rFonts w:eastAsia="Segoe UI"/>
        </w:rPr>
        <w:t xml:space="preserve">mmunisation governance structure was established to strengthen the </w:t>
      </w:r>
      <w:r>
        <w:rPr>
          <w:rFonts w:eastAsia="Segoe UI"/>
        </w:rPr>
        <w:t xml:space="preserve">immunisation </w:t>
      </w:r>
      <w:r w:rsidRPr="7D950D32">
        <w:rPr>
          <w:rFonts w:eastAsia="Segoe UI"/>
        </w:rPr>
        <w:t>system and enable cross-agency decision-making that is responsive to public health need. Th</w:t>
      </w:r>
      <w:r>
        <w:rPr>
          <w:rFonts w:eastAsia="Segoe UI"/>
        </w:rPr>
        <w:t>is</w:t>
      </w:r>
      <w:r w:rsidRPr="7D950D32">
        <w:rPr>
          <w:rFonts w:eastAsia="Segoe UI"/>
        </w:rPr>
        <w:t xml:space="preserve"> governance structure consists of</w:t>
      </w:r>
      <w:r>
        <w:rPr>
          <w:rFonts w:eastAsia="Segoe UI"/>
        </w:rPr>
        <w:t xml:space="preserve"> the:</w:t>
      </w:r>
    </w:p>
    <w:p w14:paraId="63F9E260" w14:textId="77777777" w:rsidR="009A7CB1" w:rsidRPr="009A7CB1" w:rsidRDefault="009A7CB1" w:rsidP="009A7CB1">
      <w:pPr>
        <w:pStyle w:val="Bullet"/>
      </w:pPr>
      <w:r w:rsidRPr="009A7CB1">
        <w:rPr>
          <w:b/>
          <w:bCs/>
        </w:rPr>
        <w:t>Immunisation Oversight Board</w:t>
      </w:r>
      <w:r w:rsidRPr="009A7CB1">
        <w:t xml:space="preserve"> to provide oversight and strategic leadership</w:t>
      </w:r>
    </w:p>
    <w:p w14:paraId="046E6F4B" w14:textId="77777777" w:rsidR="009A7CB1" w:rsidRPr="009A7CB1" w:rsidRDefault="009A7CB1" w:rsidP="009A7CB1">
      <w:pPr>
        <w:pStyle w:val="Bullet"/>
      </w:pPr>
      <w:r w:rsidRPr="009A7CB1">
        <w:rPr>
          <w:b/>
          <w:bCs/>
        </w:rPr>
        <w:t>Immunisation Outcomes Collective</w:t>
      </w:r>
      <w:r w:rsidRPr="009A7CB1">
        <w:t xml:space="preserve"> to direct operational activities and manage implementation</w:t>
      </w:r>
    </w:p>
    <w:p w14:paraId="1BB051BC" w14:textId="77777777" w:rsidR="009A7CB1" w:rsidRPr="009A7CB1" w:rsidRDefault="009A7CB1" w:rsidP="009A7CB1">
      <w:pPr>
        <w:pStyle w:val="Bullet"/>
      </w:pPr>
      <w:r w:rsidRPr="009A7CB1">
        <w:rPr>
          <w:b/>
          <w:bCs/>
        </w:rPr>
        <w:t>National Immunisation Technical Advisory Group</w:t>
      </w:r>
      <w:r w:rsidRPr="009A7CB1">
        <w:t xml:space="preserve"> to provide evidence-based technical and scientific advice to health entities. </w:t>
      </w:r>
    </w:p>
    <w:p w14:paraId="146AE617" w14:textId="77777777" w:rsidR="009A7CB1" w:rsidRDefault="009A7CB1" w:rsidP="009A7CB1"/>
    <w:p w14:paraId="563C69B2" w14:textId="472292EA" w:rsidR="009A7CB1" w:rsidRDefault="009A7CB1" w:rsidP="009A7CB1">
      <w:pPr>
        <w:rPr>
          <w:rFonts w:eastAsia="Segoe UI"/>
        </w:rPr>
      </w:pPr>
      <w:r w:rsidRPr="00C11149">
        <w:t>This configuration supports greater cohesion across the immunisation system and regional governance structures</w:t>
      </w:r>
      <w:r>
        <w:t xml:space="preserve">. It also </w:t>
      </w:r>
      <w:r w:rsidRPr="7D950D32">
        <w:t>improve</w:t>
      </w:r>
      <w:r>
        <w:t>s</w:t>
      </w:r>
      <w:r w:rsidRPr="7D950D32">
        <w:t xml:space="preserve"> </w:t>
      </w:r>
      <w:r w:rsidRPr="7D950D32">
        <w:rPr>
          <w:rFonts w:eastAsia="Segoe UI"/>
        </w:rPr>
        <w:t>monitoring, assurance and proactive risk management.</w:t>
      </w:r>
      <w:r>
        <w:rPr>
          <w:rFonts w:eastAsia="Segoe UI"/>
        </w:rPr>
        <w:t xml:space="preserve"> </w:t>
      </w:r>
    </w:p>
    <w:p w14:paraId="66AFA7AE" w14:textId="77777777" w:rsidR="009A7CB1" w:rsidRPr="00CC51C7" w:rsidRDefault="009A7CB1" w:rsidP="009A7CB1">
      <w:pPr>
        <w:pStyle w:val="Heading3"/>
      </w:pPr>
      <w:r w:rsidRPr="00CC51C7">
        <w:t>Monitoring</w:t>
      </w:r>
      <w:r>
        <w:t>,</w:t>
      </w:r>
      <w:r w:rsidRPr="00CC51C7">
        <w:t xml:space="preserve"> assurance</w:t>
      </w:r>
      <w:r>
        <w:t xml:space="preserve"> and evaluation</w:t>
      </w:r>
    </w:p>
    <w:p w14:paraId="7BC0AC21" w14:textId="6409B3FB" w:rsidR="009A7CB1" w:rsidRDefault="009A7CB1" w:rsidP="009A7CB1">
      <w:r w:rsidRPr="002A0021">
        <w:t xml:space="preserve">A range of measures </w:t>
      </w:r>
      <w:r>
        <w:t>is</w:t>
      </w:r>
      <w:r w:rsidRPr="002A0021">
        <w:t xml:space="preserve"> needed to monitor performance (including coverage and quality)</w:t>
      </w:r>
      <w:r>
        <w:t>,</w:t>
      </w:r>
      <w:r w:rsidRPr="002A0021">
        <w:t xml:space="preserve"> while </w:t>
      </w:r>
      <w:r>
        <w:t>providing a way to detect</w:t>
      </w:r>
      <w:r w:rsidRPr="002A0021">
        <w:t xml:space="preserve"> unintended consequences or variations early. </w:t>
      </w:r>
      <w:r w:rsidRPr="003F0945">
        <w:t xml:space="preserve">Monitoring the performance of </w:t>
      </w:r>
      <w:r>
        <w:t>C</w:t>
      </w:r>
      <w:r w:rsidRPr="003F0945">
        <w:t xml:space="preserve">rown entities within the immunisation system, as well </w:t>
      </w:r>
      <w:r w:rsidRPr="003F0945">
        <w:lastRenderedPageBreak/>
        <w:t xml:space="preserve">as other vaccination activities, will be essential </w:t>
      </w:r>
      <w:r>
        <w:t>to</w:t>
      </w:r>
      <w:r w:rsidRPr="003F0945">
        <w:t xml:space="preserve"> achieving our vision for immunisation in New Zealand.</w:t>
      </w:r>
    </w:p>
    <w:p w14:paraId="634A83CA" w14:textId="77777777" w:rsidR="009A7CB1" w:rsidRDefault="009A7CB1" w:rsidP="009A7CB1"/>
    <w:p w14:paraId="299859BD" w14:textId="312397D8" w:rsidR="009A7CB1" w:rsidRDefault="009A7CB1" w:rsidP="009A7CB1">
      <w:r w:rsidRPr="002A0021">
        <w:t xml:space="preserve">Assurance will </w:t>
      </w:r>
      <w:r>
        <w:t>come</w:t>
      </w:r>
      <w:r w:rsidRPr="002A0021">
        <w:t xml:space="preserve"> through the national immunisation governance structure</w:t>
      </w:r>
      <w:r>
        <w:t>, with</w:t>
      </w:r>
      <w:r w:rsidRPr="002A0021">
        <w:t xml:space="preserve"> support</w:t>
      </w:r>
      <w:r>
        <w:t xml:space="preserve"> from</w:t>
      </w:r>
      <w:r w:rsidRPr="002A0021">
        <w:t xml:space="preserve"> </w:t>
      </w:r>
      <w:r>
        <w:t xml:space="preserve">the strategic approach and the </w:t>
      </w:r>
      <w:r w:rsidRPr="002A0021">
        <w:t>tracking</w:t>
      </w:r>
      <w:r>
        <w:t xml:space="preserve"> of</w:t>
      </w:r>
      <w:r w:rsidRPr="002A0021">
        <w:t xml:space="preserve"> agreed metrics over time. </w:t>
      </w:r>
      <w:r>
        <w:t xml:space="preserve">As well as drawing from </w:t>
      </w:r>
      <w:r w:rsidRPr="002A0021">
        <w:t>metrics, measures and standards,</w:t>
      </w:r>
      <w:r>
        <w:t xml:space="preserve"> the tasks of</w:t>
      </w:r>
      <w:r w:rsidRPr="002A0021">
        <w:t xml:space="preserve"> </w:t>
      </w:r>
      <w:r>
        <w:t>m</w:t>
      </w:r>
      <w:r w:rsidRPr="002A0021">
        <w:t>onitoring and obtaining assurance require a comprehensive and qualitative understanding of</w:t>
      </w:r>
      <w:r>
        <w:t xml:space="preserve"> the</w:t>
      </w:r>
      <w:r w:rsidRPr="002A0021">
        <w:t xml:space="preserve"> system conditions that may help or hinder immunisation performance and equitable outcomes.</w:t>
      </w:r>
      <w:r w:rsidRPr="4320DD87">
        <w:t xml:space="preserve"> </w:t>
      </w:r>
    </w:p>
    <w:p w14:paraId="460DAE2D" w14:textId="77777777" w:rsidR="009A7CB1" w:rsidRDefault="009A7CB1" w:rsidP="009A7CB1">
      <w:pPr>
        <w:sectPr w:rsidR="009A7CB1" w:rsidSect="002B7BEC">
          <w:footerReference w:type="even" r:id="rId29"/>
          <w:footerReference w:type="default" r:id="rId30"/>
          <w:pgSz w:w="11907" w:h="16834" w:code="9"/>
          <w:pgMar w:top="1418" w:right="1701" w:bottom="1134" w:left="1843" w:header="284" w:footer="425" w:gutter="284"/>
          <w:pgNumType w:start="1"/>
          <w:cols w:space="720"/>
          <w:docGrid w:linePitch="286"/>
        </w:sectPr>
      </w:pPr>
    </w:p>
    <w:p w14:paraId="2239B020" w14:textId="77777777" w:rsidR="009A7CB1" w:rsidRPr="008667F1" w:rsidRDefault="009A7CB1" w:rsidP="009A7CB1">
      <w:pPr>
        <w:pStyle w:val="Heading1"/>
      </w:pPr>
      <w:bookmarkStart w:id="14" w:name="_Toc190243180"/>
      <w:bookmarkStart w:id="15" w:name="_Toc190950020"/>
      <w:r w:rsidRPr="008667F1">
        <w:lastRenderedPageBreak/>
        <w:t>Vision</w:t>
      </w:r>
      <w:bookmarkEnd w:id="14"/>
      <w:bookmarkEnd w:id="15"/>
    </w:p>
    <w:p w14:paraId="1A266E47" w14:textId="77777777" w:rsidR="009A7CB1" w:rsidRPr="00900D0E" w:rsidRDefault="009A7CB1" w:rsidP="009A7CB1">
      <w:r w:rsidRPr="00900D0E">
        <w:t xml:space="preserve">A New Zealand where everyone, at every age, everywhere, fully benefits from immunisation to improve health and wellbeing and achieve pae ora </w:t>
      </w:r>
      <w:r>
        <w:t xml:space="preserve">– </w:t>
      </w:r>
      <w:r w:rsidRPr="00900D0E">
        <w:t>healthy futures.</w:t>
      </w:r>
    </w:p>
    <w:p w14:paraId="4F616B8A" w14:textId="77777777" w:rsidR="009A7CB1" w:rsidRPr="009A7CB1" w:rsidRDefault="009A7CB1" w:rsidP="009A7CB1">
      <w:pPr>
        <w:pStyle w:val="Heading1"/>
      </w:pPr>
      <w:bookmarkStart w:id="16" w:name="_Toc178652321"/>
      <w:bookmarkStart w:id="17" w:name="_Toc190243181"/>
      <w:bookmarkStart w:id="18" w:name="_Toc190950021"/>
      <w:r w:rsidRPr="009A7CB1">
        <w:lastRenderedPageBreak/>
        <w:t>Guiding principles</w:t>
      </w:r>
      <w:bookmarkEnd w:id="16"/>
      <w:bookmarkEnd w:id="17"/>
      <w:bookmarkEnd w:id="18"/>
    </w:p>
    <w:p w14:paraId="67676D7D" w14:textId="711FB226" w:rsidR="009A7CB1" w:rsidRDefault="009A7CB1" w:rsidP="009A7CB1">
      <w:pPr>
        <w:rPr>
          <w:rFonts w:eastAsiaTheme="minorEastAsia"/>
          <w:lang w:eastAsia="en-US"/>
        </w:rPr>
      </w:pPr>
      <w:r>
        <w:rPr>
          <w:rFonts w:eastAsiaTheme="minorEastAsia"/>
          <w:lang w:eastAsia="en-US"/>
        </w:rPr>
        <w:t>Building on both</w:t>
      </w:r>
      <w:r w:rsidRPr="00EF531D">
        <w:rPr>
          <w:rFonts w:eastAsiaTheme="minorEastAsia"/>
          <w:lang w:eastAsia="en-US"/>
        </w:rPr>
        <w:t xml:space="preserve"> the </w:t>
      </w:r>
      <w:r>
        <w:rPr>
          <w:rFonts w:eastAsiaTheme="minorEastAsia"/>
          <w:lang w:eastAsia="en-US"/>
        </w:rPr>
        <w:t>h</w:t>
      </w:r>
      <w:r w:rsidRPr="00EF531D">
        <w:rPr>
          <w:rFonts w:eastAsiaTheme="minorEastAsia"/>
          <w:lang w:eastAsia="en-US"/>
        </w:rPr>
        <w:t xml:space="preserve">ealth </w:t>
      </w:r>
      <w:r>
        <w:rPr>
          <w:rFonts w:eastAsiaTheme="minorEastAsia"/>
          <w:lang w:eastAsia="en-US"/>
        </w:rPr>
        <w:t>system</w:t>
      </w:r>
      <w:r w:rsidRPr="00EF531D">
        <w:rPr>
          <w:rFonts w:eastAsiaTheme="minorEastAsia"/>
          <w:lang w:eastAsia="en-US"/>
        </w:rPr>
        <w:t xml:space="preserve"> principles</w:t>
      </w:r>
      <w:r>
        <w:rPr>
          <w:rFonts w:eastAsiaTheme="minorEastAsia"/>
          <w:lang w:eastAsia="en-US"/>
        </w:rPr>
        <w:t xml:space="preserve"> set out in the Pae Ora</w:t>
      </w:r>
      <w:r>
        <w:t xml:space="preserve"> (Healthy Futures)</w:t>
      </w:r>
      <w:r>
        <w:rPr>
          <w:rFonts w:eastAsiaTheme="minorEastAsia"/>
          <w:lang w:eastAsia="en-US"/>
        </w:rPr>
        <w:t xml:space="preserve"> Act</w:t>
      </w:r>
      <w:r w:rsidRPr="00EF531D">
        <w:rPr>
          <w:rFonts w:eastAsiaTheme="minorEastAsia"/>
          <w:lang w:eastAsia="en-US"/>
        </w:rPr>
        <w:t xml:space="preserve"> </w:t>
      </w:r>
      <w:r>
        <w:rPr>
          <w:rFonts w:eastAsiaTheme="minorEastAsia"/>
          <w:lang w:eastAsia="en-US"/>
        </w:rPr>
        <w:t xml:space="preserve">2022 </w:t>
      </w:r>
      <w:r w:rsidRPr="00EF531D">
        <w:rPr>
          <w:rFonts w:eastAsiaTheme="minorEastAsia"/>
          <w:lang w:eastAsia="en-US"/>
        </w:rPr>
        <w:t>and the Enabling Good Lives (EGL) principles</w:t>
      </w:r>
      <w:r>
        <w:rPr>
          <w:rFonts w:eastAsiaTheme="minorEastAsia"/>
          <w:lang w:eastAsia="en-US"/>
        </w:rPr>
        <w:t>,</w:t>
      </w:r>
      <w:r w:rsidRPr="00EF531D">
        <w:rPr>
          <w:rStyle w:val="FootnoteReference"/>
          <w:rFonts w:eastAsiaTheme="minorEastAsia"/>
          <w:lang w:eastAsia="en-US"/>
        </w:rPr>
        <w:footnoteReference w:id="2"/>
      </w:r>
      <w:r w:rsidRPr="00EF531D">
        <w:rPr>
          <w:rFonts w:eastAsiaTheme="minorEastAsia"/>
          <w:lang w:eastAsia="en-US"/>
        </w:rPr>
        <w:t xml:space="preserve"> the</w:t>
      </w:r>
      <w:r>
        <w:rPr>
          <w:rFonts w:eastAsiaTheme="minorEastAsia"/>
          <w:lang w:eastAsia="en-US"/>
        </w:rPr>
        <w:t xml:space="preserve"> following</w:t>
      </w:r>
      <w:r w:rsidRPr="00EF531D">
        <w:rPr>
          <w:rFonts w:eastAsiaTheme="minorEastAsia"/>
          <w:lang w:eastAsia="en-US"/>
        </w:rPr>
        <w:t xml:space="preserve"> principles </w:t>
      </w:r>
      <w:r>
        <w:rPr>
          <w:rFonts w:eastAsiaTheme="minorEastAsia"/>
          <w:lang w:eastAsia="en-US"/>
        </w:rPr>
        <w:t>have guided the development of the strategic approach and will inform its implementation.</w:t>
      </w:r>
    </w:p>
    <w:p w14:paraId="68025902" w14:textId="77777777" w:rsidR="009A7CB1" w:rsidRDefault="009A7CB1" w:rsidP="009A7CB1">
      <w:pPr>
        <w:rPr>
          <w:rFonts w:eastAsiaTheme="minorEastAsia"/>
          <w:lang w:eastAsia="en-US"/>
        </w:rPr>
      </w:pPr>
    </w:p>
    <w:tbl>
      <w:tblPr>
        <w:tblStyle w:val="TableGrid1"/>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399"/>
      </w:tblGrid>
      <w:tr w:rsidR="009A7CB1" w:rsidRPr="00744E77" w14:paraId="4DCF081B" w14:textId="77777777" w:rsidTr="009A7CB1">
        <w:tc>
          <w:tcPr>
            <w:tcW w:w="3539" w:type="dxa"/>
            <w:shd w:val="clear" w:color="auto" w:fill="auto"/>
          </w:tcPr>
          <w:p w14:paraId="05E044E2" w14:textId="77777777" w:rsidR="009A7CB1" w:rsidRPr="00744E77" w:rsidRDefault="009A7CB1" w:rsidP="009A7CB1">
            <w:pPr>
              <w:spacing w:before="80" w:after="80"/>
              <w:rPr>
                <w:rFonts w:ascii="Calibri" w:eastAsia="Calibri" w:hAnsi="Calibri" w:cs="Times New Roman"/>
                <w:lang w:eastAsia="en-US"/>
              </w:rPr>
            </w:pPr>
            <w:r w:rsidRPr="00744E77">
              <w:rPr>
                <w:rFonts w:eastAsia="Calibri"/>
                <w:lang w:eastAsia="en-US"/>
              </w:rPr>
              <w:t>Equity</w:t>
            </w:r>
          </w:p>
        </w:tc>
        <w:tc>
          <w:tcPr>
            <w:tcW w:w="4399" w:type="dxa"/>
            <w:shd w:val="clear" w:color="auto" w:fill="auto"/>
          </w:tcPr>
          <w:p w14:paraId="07BF37DF" w14:textId="77777777" w:rsidR="009A7CB1" w:rsidRPr="00744E77" w:rsidRDefault="009A7CB1" w:rsidP="009A7CB1">
            <w:pPr>
              <w:spacing w:before="80" w:after="80"/>
            </w:pPr>
            <w:r w:rsidRPr="00744E77">
              <w:rPr>
                <w:lang w:eastAsia="en-US"/>
              </w:rPr>
              <w:t>Recognise diversity and intersectionality and work to ensure</w:t>
            </w:r>
            <w:r w:rsidRPr="00744E77">
              <w:t xml:space="preserve"> equitable access, experiences and outcomes for everyone across the immunisation system.</w:t>
            </w:r>
          </w:p>
        </w:tc>
      </w:tr>
      <w:tr w:rsidR="009A7CB1" w:rsidRPr="00744E77" w14:paraId="0800B401" w14:textId="77777777" w:rsidTr="009A7CB1">
        <w:trPr>
          <w:trHeight w:val="969"/>
        </w:trPr>
        <w:tc>
          <w:tcPr>
            <w:tcW w:w="3539" w:type="dxa"/>
            <w:shd w:val="clear" w:color="auto" w:fill="auto"/>
          </w:tcPr>
          <w:p w14:paraId="1A76C017" w14:textId="77777777" w:rsidR="009A7CB1" w:rsidRPr="00744E77" w:rsidRDefault="009A7CB1" w:rsidP="009A7CB1">
            <w:pPr>
              <w:spacing w:before="80" w:after="80"/>
              <w:rPr>
                <w:rFonts w:ascii="Calibri" w:eastAsia="Calibri" w:hAnsi="Calibri" w:cs="Times New Roman"/>
                <w:lang w:eastAsia="en-US"/>
              </w:rPr>
            </w:pPr>
            <w:r w:rsidRPr="00744E77">
              <w:rPr>
                <w:rFonts w:eastAsia="Poppins"/>
                <w:lang w:eastAsia="en-US"/>
              </w:rPr>
              <w:t>Options</w:t>
            </w:r>
          </w:p>
        </w:tc>
        <w:tc>
          <w:tcPr>
            <w:tcW w:w="4399" w:type="dxa"/>
            <w:shd w:val="clear" w:color="auto" w:fill="auto"/>
          </w:tcPr>
          <w:p w14:paraId="58B3E262" w14:textId="77777777" w:rsidR="009A7CB1" w:rsidRPr="00744E77" w:rsidRDefault="009A7CB1" w:rsidP="009A7CB1">
            <w:pPr>
              <w:spacing w:before="80" w:after="80"/>
              <w:rPr>
                <w:rFonts w:eastAsia="Calibri"/>
                <w:lang w:eastAsia="en-US"/>
              </w:rPr>
            </w:pPr>
            <w:r w:rsidRPr="00744E77">
              <w:rPr>
                <w:rFonts w:eastAsia="Calibri"/>
                <w:lang w:eastAsia="en-US"/>
              </w:rPr>
              <w:t xml:space="preserve">Provide for and properly resource services and </w:t>
            </w:r>
            <w:r w:rsidRPr="00744E77">
              <w:rPr>
                <w:rFonts w:eastAsia="Calibri"/>
                <w:lang w:val="mi-NZ" w:eastAsia="en-US"/>
              </w:rPr>
              <w:t>communities</w:t>
            </w:r>
            <w:r w:rsidRPr="00744E77">
              <w:rPr>
                <w:rFonts w:eastAsia="Calibri"/>
                <w:lang w:eastAsia="en-US"/>
              </w:rPr>
              <w:t xml:space="preserve"> to ensure immunisations can be offered in a range of culturally appropriate ways.</w:t>
            </w:r>
          </w:p>
        </w:tc>
      </w:tr>
      <w:tr w:rsidR="009A7CB1" w:rsidRPr="00744E77" w14:paraId="58E4F19E" w14:textId="77777777" w:rsidTr="009A7CB1">
        <w:tc>
          <w:tcPr>
            <w:tcW w:w="3539" w:type="dxa"/>
            <w:shd w:val="clear" w:color="auto" w:fill="auto"/>
          </w:tcPr>
          <w:p w14:paraId="1E063B25" w14:textId="77777777" w:rsidR="009A7CB1" w:rsidRPr="00744E77" w:rsidRDefault="009A7CB1" w:rsidP="009A7CB1">
            <w:pPr>
              <w:spacing w:before="80" w:after="80"/>
              <w:rPr>
                <w:rFonts w:ascii="Calibri" w:eastAsia="Calibri" w:hAnsi="Calibri" w:cs="Times New Roman"/>
                <w:lang w:eastAsia="en-US"/>
              </w:rPr>
            </w:pPr>
            <w:r w:rsidRPr="00744E77">
              <w:rPr>
                <w:lang w:eastAsia="en-US"/>
              </w:rPr>
              <w:t>Partnership and collective action</w:t>
            </w:r>
          </w:p>
        </w:tc>
        <w:tc>
          <w:tcPr>
            <w:tcW w:w="4399" w:type="dxa"/>
            <w:shd w:val="clear" w:color="auto" w:fill="auto"/>
          </w:tcPr>
          <w:p w14:paraId="7017B76E" w14:textId="77777777" w:rsidR="009A7CB1" w:rsidRPr="00744E77" w:rsidRDefault="009A7CB1" w:rsidP="009A7CB1">
            <w:pPr>
              <w:spacing w:before="80" w:after="80"/>
              <w:rPr>
                <w:rFonts w:eastAsia="Calibri"/>
                <w:lang w:eastAsia="en-US"/>
              </w:rPr>
            </w:pPr>
            <w:r w:rsidRPr="00744E77">
              <w:rPr>
                <w:rFonts w:eastAsia="Calibri"/>
                <w:lang w:eastAsia="en-US"/>
              </w:rPr>
              <w:t>Work collectively across the system, and in partnership with communities, to design and deliver services that meet people’s needs.</w:t>
            </w:r>
          </w:p>
        </w:tc>
      </w:tr>
      <w:tr w:rsidR="009A7CB1" w:rsidRPr="00744E77" w14:paraId="1D941A4F" w14:textId="77777777" w:rsidTr="009A7CB1">
        <w:tc>
          <w:tcPr>
            <w:tcW w:w="3539" w:type="dxa"/>
            <w:shd w:val="clear" w:color="auto" w:fill="auto"/>
          </w:tcPr>
          <w:p w14:paraId="62162193" w14:textId="77777777" w:rsidR="009A7CB1" w:rsidRPr="00744E77" w:rsidRDefault="009A7CB1" w:rsidP="009A7CB1">
            <w:pPr>
              <w:spacing w:before="80" w:after="80"/>
              <w:rPr>
                <w:rFonts w:ascii="Calibri" w:eastAsia="Calibri" w:hAnsi="Calibri" w:cs="Times New Roman"/>
                <w:lang w:eastAsia="en-US"/>
              </w:rPr>
            </w:pPr>
            <w:r w:rsidRPr="00744E77">
              <w:rPr>
                <w:lang w:eastAsia="en-US"/>
              </w:rPr>
              <w:t>Quality, safety and effectiveness</w:t>
            </w:r>
          </w:p>
        </w:tc>
        <w:tc>
          <w:tcPr>
            <w:tcW w:w="4399" w:type="dxa"/>
            <w:shd w:val="clear" w:color="auto" w:fill="auto"/>
          </w:tcPr>
          <w:p w14:paraId="0612E2D1" w14:textId="77777777" w:rsidR="009A7CB1" w:rsidRPr="00744E77" w:rsidRDefault="009A7CB1" w:rsidP="009A7CB1">
            <w:pPr>
              <w:spacing w:before="80" w:after="80"/>
              <w:rPr>
                <w:rFonts w:eastAsia="Calibri"/>
                <w:lang w:eastAsia="en-US"/>
              </w:rPr>
            </w:pPr>
            <w:r w:rsidRPr="00744E77">
              <w:rPr>
                <w:rFonts w:eastAsia="Calibri"/>
                <w:lang w:eastAsia="en-US"/>
              </w:rPr>
              <w:t>Immunisation policies and programmes are evidence-based, ethical, clinically and culturally safe,</w:t>
            </w:r>
            <w:r w:rsidRPr="00744E77" w:rsidDel="00BA4E49">
              <w:rPr>
                <w:rFonts w:eastAsia="Calibri"/>
                <w:lang w:eastAsia="en-US"/>
              </w:rPr>
              <w:t xml:space="preserve"> </w:t>
            </w:r>
            <w:r w:rsidRPr="00744E77">
              <w:rPr>
                <w:rFonts w:eastAsia="Calibri"/>
                <w:lang w:eastAsia="en-US"/>
              </w:rPr>
              <w:t>whānau-centred and driven by quality improvement.</w:t>
            </w:r>
          </w:p>
        </w:tc>
      </w:tr>
      <w:tr w:rsidR="009A7CB1" w:rsidRPr="00744E77" w14:paraId="783A02D2" w14:textId="77777777" w:rsidTr="009A7CB1">
        <w:tc>
          <w:tcPr>
            <w:tcW w:w="3539" w:type="dxa"/>
            <w:shd w:val="clear" w:color="auto" w:fill="auto"/>
          </w:tcPr>
          <w:p w14:paraId="55C20CE2" w14:textId="77777777" w:rsidR="009A7CB1" w:rsidRPr="00744E77" w:rsidRDefault="009A7CB1" w:rsidP="009A7CB1">
            <w:pPr>
              <w:spacing w:before="80" w:after="80"/>
              <w:rPr>
                <w:rFonts w:ascii="Calibri" w:eastAsia="Calibri" w:hAnsi="Calibri" w:cs="Times New Roman"/>
                <w:lang w:eastAsia="en-US"/>
              </w:rPr>
            </w:pPr>
            <w:r w:rsidRPr="00744E77">
              <w:rPr>
                <w:rFonts w:eastAsia="Calibri"/>
                <w:lang w:eastAsia="en-US"/>
              </w:rPr>
              <w:t>Holistic wellbeing</w:t>
            </w:r>
          </w:p>
        </w:tc>
        <w:tc>
          <w:tcPr>
            <w:tcW w:w="4399" w:type="dxa"/>
            <w:shd w:val="clear" w:color="auto" w:fill="auto"/>
          </w:tcPr>
          <w:p w14:paraId="10751F2F" w14:textId="77777777" w:rsidR="009A7CB1" w:rsidRPr="00744E77" w:rsidRDefault="009A7CB1" w:rsidP="009A7CB1">
            <w:pPr>
              <w:spacing w:before="80" w:after="80"/>
              <w:rPr>
                <w:rFonts w:eastAsia="Calibri"/>
                <w:lang w:eastAsia="en-US"/>
              </w:rPr>
            </w:pPr>
            <w:r w:rsidRPr="00744E77">
              <w:rPr>
                <w:rFonts w:eastAsia="Calibri"/>
                <w:lang w:eastAsia="en-US"/>
              </w:rPr>
              <w:t>Take holistic and preventative approaches that support community and whānau wellbeing across the life</w:t>
            </w:r>
            <w:r>
              <w:rPr>
                <w:rFonts w:eastAsia="Calibri"/>
                <w:lang w:eastAsia="en-US"/>
              </w:rPr>
              <w:t xml:space="preserve"> </w:t>
            </w:r>
            <w:r w:rsidRPr="00744E77">
              <w:rPr>
                <w:rFonts w:eastAsia="Calibri"/>
                <w:lang w:eastAsia="en-US"/>
              </w:rPr>
              <w:t>course.</w:t>
            </w:r>
          </w:p>
        </w:tc>
      </w:tr>
      <w:tr w:rsidR="009A7CB1" w:rsidRPr="00744E77" w14:paraId="1BD09EAD" w14:textId="77777777" w:rsidTr="009A7CB1">
        <w:trPr>
          <w:trHeight w:val="678"/>
        </w:trPr>
        <w:tc>
          <w:tcPr>
            <w:tcW w:w="3539" w:type="dxa"/>
            <w:shd w:val="clear" w:color="auto" w:fill="auto"/>
          </w:tcPr>
          <w:p w14:paraId="648B2DB2" w14:textId="77777777" w:rsidR="009A7CB1" w:rsidRPr="00744E77" w:rsidRDefault="009A7CB1" w:rsidP="009A7CB1">
            <w:pPr>
              <w:spacing w:before="80" w:after="80"/>
              <w:rPr>
                <w:rFonts w:ascii="Calibri" w:eastAsia="Calibri" w:hAnsi="Calibri" w:cs="Times New Roman"/>
                <w:lang w:eastAsia="en-US"/>
              </w:rPr>
            </w:pPr>
            <w:r w:rsidRPr="00744E77">
              <w:rPr>
                <w:lang w:eastAsia="en-US"/>
              </w:rPr>
              <w:t>Accountability and monitoring</w:t>
            </w:r>
          </w:p>
        </w:tc>
        <w:tc>
          <w:tcPr>
            <w:tcW w:w="4399" w:type="dxa"/>
            <w:shd w:val="clear" w:color="auto" w:fill="auto"/>
          </w:tcPr>
          <w:p w14:paraId="4A64E5CC" w14:textId="77777777" w:rsidR="009A7CB1" w:rsidRPr="00744E77" w:rsidRDefault="009A7CB1" w:rsidP="009A7CB1">
            <w:pPr>
              <w:spacing w:before="80" w:after="80"/>
              <w:rPr>
                <w:rFonts w:eastAsia="Calibri"/>
                <w:lang w:eastAsia="en-US"/>
              </w:rPr>
            </w:pPr>
            <w:r>
              <w:rPr>
                <w:rFonts w:eastAsia="Calibri"/>
                <w:lang w:eastAsia="en-US"/>
              </w:rPr>
              <w:t>Be</w:t>
            </w:r>
            <w:r w:rsidRPr="00744E77">
              <w:rPr>
                <w:rFonts w:eastAsia="Calibri"/>
                <w:lang w:eastAsia="en-US"/>
              </w:rPr>
              <w:t xml:space="preserve"> accountab</w:t>
            </w:r>
            <w:r>
              <w:rPr>
                <w:rFonts w:eastAsia="Calibri"/>
                <w:lang w:eastAsia="en-US"/>
              </w:rPr>
              <w:t>le</w:t>
            </w:r>
            <w:r w:rsidRPr="00744E77">
              <w:rPr>
                <w:rFonts w:eastAsia="Calibri"/>
                <w:lang w:eastAsia="en-US"/>
              </w:rPr>
              <w:t xml:space="preserve"> for achieving stated objectives and outcomes, and continuously review progress.</w:t>
            </w:r>
          </w:p>
        </w:tc>
      </w:tr>
    </w:tbl>
    <w:p w14:paraId="3D850778" w14:textId="337C63CE" w:rsidR="009A7CB1" w:rsidRDefault="009A7CB1" w:rsidP="009A7CB1"/>
    <w:p w14:paraId="772B96DA" w14:textId="77777777" w:rsidR="009A7CB1" w:rsidRDefault="009A7CB1" w:rsidP="009A7CB1">
      <w:pPr>
        <w:rPr>
          <w:rFonts w:eastAsia="Calibri"/>
          <w:lang w:eastAsia="en-US"/>
        </w:rPr>
      </w:pPr>
    </w:p>
    <w:p w14:paraId="218404F1" w14:textId="77777777" w:rsidR="009A7CB1" w:rsidRDefault="009A7CB1" w:rsidP="009A7CB1">
      <w:pPr>
        <w:sectPr w:rsidR="009A7CB1" w:rsidSect="008125D1">
          <w:pgSz w:w="11907" w:h="16834" w:code="9"/>
          <w:pgMar w:top="1418" w:right="1701" w:bottom="1134" w:left="1843" w:header="284" w:footer="425" w:gutter="284"/>
          <w:cols w:space="720"/>
          <w:docGrid w:linePitch="286"/>
        </w:sectPr>
      </w:pPr>
    </w:p>
    <w:p w14:paraId="60BE51B0" w14:textId="77777777" w:rsidR="009A7CB1" w:rsidRPr="00FA63C9" w:rsidRDefault="009A7CB1" w:rsidP="009A7CB1">
      <w:pPr>
        <w:pStyle w:val="Heading1"/>
      </w:pPr>
      <w:bookmarkStart w:id="19" w:name="_Toc190243182"/>
      <w:bookmarkStart w:id="20" w:name="_Toc190950022"/>
      <w:r w:rsidRPr="00FA63C9">
        <w:lastRenderedPageBreak/>
        <w:t xml:space="preserve">Focus </w:t>
      </w:r>
      <w:r>
        <w:t>a</w:t>
      </w:r>
      <w:r w:rsidRPr="00FA63C9">
        <w:t>reas</w:t>
      </w:r>
      <w:bookmarkEnd w:id="19"/>
      <w:bookmarkEnd w:id="20"/>
    </w:p>
    <w:p w14:paraId="0050B95D" w14:textId="77777777" w:rsidR="009A7CB1" w:rsidRDefault="009A7CB1" w:rsidP="009A7CB1">
      <w:bookmarkStart w:id="21" w:name="_Toc178652323"/>
      <w:r>
        <w:rPr>
          <w:rFonts w:eastAsia="Calibri"/>
          <w:lang w:eastAsia="en-US"/>
        </w:rPr>
        <w:t xml:space="preserve">The strategic approach outlines five key areas for focusing immunisation efforts to achieve our vision. </w:t>
      </w:r>
    </w:p>
    <w:p w14:paraId="33E3D1E5" w14:textId="77777777" w:rsidR="009A7CB1" w:rsidRPr="009A7CB1" w:rsidRDefault="009A7CB1" w:rsidP="009A7CB1">
      <w:pPr>
        <w:pStyle w:val="Heading2"/>
      </w:pPr>
      <w:bookmarkStart w:id="22" w:name="_Toc190243183"/>
      <w:bookmarkStart w:id="23" w:name="_Toc190950023"/>
      <w:r w:rsidRPr="009A7CB1">
        <w:t>Focus area 1: Access</w:t>
      </w:r>
      <w:bookmarkEnd w:id="22"/>
      <w:bookmarkEnd w:id="23"/>
      <w:r w:rsidRPr="009A7CB1">
        <w:t xml:space="preserve"> </w:t>
      </w:r>
    </w:p>
    <w:p w14:paraId="45F7FF01" w14:textId="77777777" w:rsidR="009A7CB1" w:rsidRPr="009A7CB1" w:rsidRDefault="009A7CB1" w:rsidP="009A7CB1">
      <w:pPr>
        <w:pStyle w:val="Heading3"/>
      </w:pPr>
      <w:r w:rsidRPr="009A7CB1">
        <w:t>All whānau can access immunisation across the life course when and where they need it</w:t>
      </w:r>
      <w:bookmarkEnd w:id="21"/>
    </w:p>
    <w:p w14:paraId="55FEB628" w14:textId="18AE8238" w:rsidR="009A7CB1" w:rsidRDefault="009A7CB1" w:rsidP="009A7CB1">
      <w:pPr>
        <w:rPr>
          <w:rFonts w:eastAsia="Segoe UI"/>
        </w:rPr>
      </w:pPr>
      <w:r w:rsidRPr="009A7CB1">
        <w:t>Access to immunisation services is a key priority.</w:t>
      </w:r>
      <w:r w:rsidRPr="003F5C9D">
        <w:rPr>
          <w:color w:val="1B83A0" w:themeColor="text1"/>
        </w:rPr>
        <w:t xml:space="preserve"> </w:t>
      </w:r>
      <w:r w:rsidRPr="003F5C9D">
        <w:t xml:space="preserve">Improving access </w:t>
      </w:r>
      <w:r w:rsidRPr="00366937">
        <w:t xml:space="preserve">means </w:t>
      </w:r>
      <w:r>
        <w:t>designing</w:t>
      </w:r>
      <w:r w:rsidRPr="00366937">
        <w:t xml:space="preserve"> services around</w:t>
      </w:r>
      <w:r>
        <w:t xml:space="preserve"> the needs of</w:t>
      </w:r>
      <w:r w:rsidRPr="00366937">
        <w:t xml:space="preserve"> people and whānau</w:t>
      </w:r>
      <w:r>
        <w:t xml:space="preserve">. </w:t>
      </w:r>
      <w:r w:rsidRPr="4320DD87">
        <w:rPr>
          <w:rFonts w:eastAsia="Segoe UI"/>
        </w:rPr>
        <w:t xml:space="preserve">Barriers </w:t>
      </w:r>
      <w:r>
        <w:rPr>
          <w:rFonts w:eastAsia="Segoe UI"/>
        </w:rPr>
        <w:t>can be complex,</w:t>
      </w:r>
      <w:r w:rsidRPr="4320DD87">
        <w:rPr>
          <w:rFonts w:eastAsia="Segoe UI"/>
        </w:rPr>
        <w:t xml:space="preserve"> and </w:t>
      </w:r>
      <w:r>
        <w:rPr>
          <w:rFonts w:eastAsia="Segoe UI"/>
        </w:rPr>
        <w:t xml:space="preserve">are </w:t>
      </w:r>
      <w:r w:rsidRPr="4320DD87">
        <w:rPr>
          <w:rFonts w:eastAsia="Segoe UI"/>
        </w:rPr>
        <w:t>strongly influenced by the social determinants of health</w:t>
      </w:r>
      <w:r>
        <w:rPr>
          <w:rFonts w:eastAsia="Segoe UI"/>
        </w:rPr>
        <w:t xml:space="preserve"> such as </w:t>
      </w:r>
      <w:r w:rsidRPr="4320DD87">
        <w:rPr>
          <w:rFonts w:eastAsia="Segoe UI"/>
        </w:rPr>
        <w:t>cost, location, general practice access</w:t>
      </w:r>
      <w:r>
        <w:rPr>
          <w:rFonts w:eastAsia="Segoe UI"/>
        </w:rPr>
        <w:t xml:space="preserve"> (including</w:t>
      </w:r>
      <w:r w:rsidRPr="4320DD87">
        <w:rPr>
          <w:rFonts w:eastAsia="Segoe UI"/>
        </w:rPr>
        <w:t xml:space="preserve"> wait</w:t>
      </w:r>
      <w:r>
        <w:rPr>
          <w:rFonts w:eastAsia="Segoe UI"/>
        </w:rPr>
        <w:t>ing</w:t>
      </w:r>
      <w:r w:rsidRPr="4320DD87">
        <w:rPr>
          <w:rFonts w:eastAsia="Segoe UI"/>
        </w:rPr>
        <w:t xml:space="preserve"> times</w:t>
      </w:r>
      <w:r>
        <w:rPr>
          <w:rFonts w:eastAsia="Segoe UI"/>
        </w:rPr>
        <w:t xml:space="preserve"> and hours of services offered)</w:t>
      </w:r>
      <w:r w:rsidRPr="4320DD87">
        <w:rPr>
          <w:rFonts w:eastAsia="Segoe UI"/>
        </w:rPr>
        <w:t xml:space="preserve">, childcare, work commitments, </w:t>
      </w:r>
      <w:r>
        <w:rPr>
          <w:rFonts w:eastAsia="Segoe UI"/>
        </w:rPr>
        <w:t xml:space="preserve">digital access, </w:t>
      </w:r>
      <w:r w:rsidRPr="4320DD87">
        <w:rPr>
          <w:rFonts w:eastAsia="Segoe UI"/>
        </w:rPr>
        <w:t xml:space="preserve">and ability to travel. </w:t>
      </w:r>
    </w:p>
    <w:p w14:paraId="79C662FA" w14:textId="77777777" w:rsidR="009A7CB1" w:rsidRPr="00EF531D" w:rsidRDefault="009A7CB1" w:rsidP="009A7CB1">
      <w:pPr>
        <w:rPr>
          <w:rFonts w:eastAsia="Segoe UI"/>
        </w:rPr>
      </w:pPr>
    </w:p>
    <w:p w14:paraId="279F12D8" w14:textId="4ACFF958" w:rsidR="009A7CB1" w:rsidRDefault="009A7CB1" w:rsidP="009A7CB1">
      <w:pPr>
        <w:rPr>
          <w:rFonts w:eastAsia="Segoe UI"/>
        </w:rPr>
      </w:pPr>
      <w:r w:rsidRPr="006F4A8F">
        <w:rPr>
          <w:rFonts w:eastAsia="Segoe UI"/>
        </w:rPr>
        <w:t>Expanding models of care</w:t>
      </w:r>
      <w:r>
        <w:rPr>
          <w:rFonts w:eastAsia="Segoe UI"/>
        </w:rPr>
        <w:t>,</w:t>
      </w:r>
      <w:r w:rsidRPr="006F4A8F">
        <w:rPr>
          <w:rFonts w:eastAsia="Segoe UI"/>
        </w:rPr>
        <w:t xml:space="preserve"> </w:t>
      </w:r>
      <w:r>
        <w:rPr>
          <w:rFonts w:eastAsia="Segoe UI"/>
        </w:rPr>
        <w:t>allowing for</w:t>
      </w:r>
      <w:r w:rsidRPr="006F4A8F">
        <w:rPr>
          <w:rFonts w:eastAsia="Segoe UI"/>
        </w:rPr>
        <w:t xml:space="preserve"> flexibility in who can provide services</w:t>
      </w:r>
      <w:r>
        <w:rPr>
          <w:rFonts w:eastAsia="Segoe UI"/>
        </w:rPr>
        <w:t xml:space="preserve"> (</w:t>
      </w:r>
      <w:r w:rsidRPr="006F4A8F">
        <w:rPr>
          <w:rFonts w:eastAsia="Segoe UI"/>
        </w:rPr>
        <w:t>when and where</w:t>
      </w:r>
      <w:r>
        <w:rPr>
          <w:rFonts w:eastAsia="Segoe UI"/>
        </w:rPr>
        <w:t>), s</w:t>
      </w:r>
      <w:r w:rsidRPr="00814462">
        <w:rPr>
          <w:rFonts w:eastAsia="Segoe UI"/>
        </w:rPr>
        <w:t>hifting decision-making around resources closer to people and communities, enabling local leadership</w:t>
      </w:r>
      <w:r>
        <w:rPr>
          <w:rFonts w:eastAsia="Segoe UI"/>
        </w:rPr>
        <w:t>,</w:t>
      </w:r>
      <w:r w:rsidRPr="00814462">
        <w:rPr>
          <w:rFonts w:eastAsia="Segoe UI"/>
        </w:rPr>
        <w:t xml:space="preserve"> </w:t>
      </w:r>
      <w:r>
        <w:rPr>
          <w:rFonts w:eastAsia="Segoe UI"/>
        </w:rPr>
        <w:t xml:space="preserve">and </w:t>
      </w:r>
      <w:r w:rsidRPr="00814462">
        <w:rPr>
          <w:rFonts w:eastAsia="Segoe UI"/>
        </w:rPr>
        <w:t xml:space="preserve">working in partnership </w:t>
      </w:r>
      <w:r w:rsidRPr="006F4A8F">
        <w:rPr>
          <w:rFonts w:eastAsia="Segoe UI"/>
        </w:rPr>
        <w:t>will strengthen the system</w:t>
      </w:r>
      <w:r>
        <w:rPr>
          <w:rFonts w:eastAsia="Segoe UI"/>
        </w:rPr>
        <w:t xml:space="preserve"> </w:t>
      </w:r>
      <w:r w:rsidRPr="00814462">
        <w:rPr>
          <w:rFonts w:eastAsia="Segoe UI"/>
        </w:rPr>
        <w:t>and support greater access</w:t>
      </w:r>
      <w:r w:rsidRPr="006F4A8F">
        <w:rPr>
          <w:rFonts w:eastAsia="Segoe UI"/>
        </w:rPr>
        <w:t xml:space="preserve">. </w:t>
      </w:r>
      <w:r>
        <w:rPr>
          <w:rFonts w:eastAsia="Segoe UI"/>
        </w:rPr>
        <w:t>Strengthening capacity</w:t>
      </w:r>
      <w:r w:rsidRPr="0048089A">
        <w:rPr>
          <w:rFonts w:eastAsia="Segoe UI"/>
        </w:rPr>
        <w:t>,</w:t>
      </w:r>
      <w:r>
        <w:rPr>
          <w:rFonts w:eastAsia="Segoe UI"/>
        </w:rPr>
        <w:t xml:space="preserve"> </w:t>
      </w:r>
      <w:r>
        <w:t>i</w:t>
      </w:r>
      <w:r w:rsidRPr="00EF531D">
        <w:t>mproving access</w:t>
      </w:r>
      <w:r>
        <w:t>,</w:t>
      </w:r>
      <w:r w:rsidRPr="0048089A">
        <w:t xml:space="preserve"> </w:t>
      </w:r>
      <w:r w:rsidRPr="0048089A">
        <w:rPr>
          <w:color w:val="0D0D0D"/>
        </w:rPr>
        <w:t>and supporting primary care and community-led approaches (</w:t>
      </w:r>
      <w:r>
        <w:rPr>
          <w:color w:val="0D0D0D"/>
        </w:rPr>
        <w:t>ie,</w:t>
      </w:r>
      <w:r w:rsidRPr="0048089A">
        <w:rPr>
          <w:color w:val="0D0D0D"/>
        </w:rPr>
        <w:t xml:space="preserve"> kaupapa Māori and Pacific-led services) have been demonstrated to be effective and remain </w:t>
      </w:r>
      <w:r w:rsidRPr="0048089A">
        <w:t>a priority</w:t>
      </w:r>
      <w:r w:rsidRPr="00814462">
        <w:rPr>
          <w:rFonts w:eastAsia="Segoe UI"/>
        </w:rPr>
        <w:t xml:space="preserve">. </w:t>
      </w:r>
    </w:p>
    <w:p w14:paraId="279D8DCC" w14:textId="62558301" w:rsidR="009A7CB1" w:rsidRDefault="009A7CB1" w:rsidP="009A7CB1">
      <w:pPr>
        <w:rPr>
          <w:rFonts w:eastAsia="Segoe UI"/>
        </w:rPr>
      </w:pPr>
    </w:p>
    <w:tbl>
      <w:tblPr>
        <w:tblStyle w:val="TableGrid"/>
        <w:tblW w:w="8080" w:type="dxa"/>
        <w:tblInd w:w="-5" w:type="dxa"/>
        <w:tblBorders>
          <w:top w:val="single" w:sz="4" w:space="0" w:color="B6DFE0" w:themeColor="background1" w:themeTint="66"/>
          <w:left w:val="none" w:sz="0" w:space="0" w:color="auto"/>
          <w:bottom w:val="single" w:sz="4" w:space="0" w:color="B6DFE0" w:themeColor="background1" w:themeTint="66"/>
          <w:right w:val="none" w:sz="0" w:space="0" w:color="auto"/>
          <w:insideH w:val="single" w:sz="4" w:space="0" w:color="B6DFE0" w:themeColor="background1" w:themeTint="66"/>
          <w:insideV w:val="single" w:sz="4" w:space="0" w:color="B6DFE0" w:themeColor="background1" w:themeTint="66"/>
        </w:tblBorders>
        <w:tblLook w:val="04A0" w:firstRow="1" w:lastRow="0" w:firstColumn="1" w:lastColumn="0" w:noHBand="0" w:noVBand="1"/>
      </w:tblPr>
      <w:tblGrid>
        <w:gridCol w:w="3119"/>
        <w:gridCol w:w="4961"/>
      </w:tblGrid>
      <w:tr w:rsidR="009A7CB1" w:rsidRPr="00D76EA7" w14:paraId="4169AA02" w14:textId="77777777" w:rsidTr="009A7CB1">
        <w:trPr>
          <w:trHeight w:val="320"/>
          <w:tblHeader/>
        </w:trPr>
        <w:tc>
          <w:tcPr>
            <w:tcW w:w="8080" w:type="dxa"/>
            <w:gridSpan w:val="2"/>
            <w:shd w:val="clear" w:color="auto" w:fill="B6DFE0" w:themeFill="background1" w:themeFillTint="66"/>
          </w:tcPr>
          <w:p w14:paraId="538F7433" w14:textId="77777777" w:rsidR="009A7CB1" w:rsidRPr="008E11FA" w:rsidRDefault="009A7CB1" w:rsidP="008125D1">
            <w:pPr>
              <w:spacing w:before="60" w:after="60"/>
              <w:rPr>
                <w:b/>
                <w:bCs/>
              </w:rPr>
            </w:pPr>
            <w:bookmarkStart w:id="24" w:name="_Toc175729668"/>
            <w:bookmarkStart w:id="25" w:name="_Toc175792460"/>
            <w:r w:rsidRPr="008E11FA">
              <w:rPr>
                <w:b/>
                <w:bCs/>
              </w:rPr>
              <w:t xml:space="preserve">Focus area 1: </w:t>
            </w:r>
            <w:bookmarkEnd w:id="24"/>
            <w:bookmarkEnd w:id="25"/>
            <w:r w:rsidRPr="008E11FA">
              <w:rPr>
                <w:b/>
                <w:bCs/>
              </w:rPr>
              <w:t>Access</w:t>
            </w:r>
          </w:p>
        </w:tc>
      </w:tr>
      <w:tr w:rsidR="009A7CB1" w:rsidRPr="00D76EA7" w14:paraId="2FF8CC1F" w14:textId="77777777" w:rsidTr="009A7CB1">
        <w:trPr>
          <w:trHeight w:val="320"/>
          <w:tblHeader/>
        </w:trPr>
        <w:tc>
          <w:tcPr>
            <w:tcW w:w="3119" w:type="dxa"/>
            <w:shd w:val="clear" w:color="auto" w:fill="DAEFEF" w:themeFill="background1" w:themeFillTint="33"/>
          </w:tcPr>
          <w:p w14:paraId="0DABF4A2" w14:textId="77777777" w:rsidR="009A7CB1" w:rsidRPr="008E11FA" w:rsidRDefault="009A7CB1" w:rsidP="008125D1">
            <w:pPr>
              <w:spacing w:before="60" w:after="60"/>
              <w:rPr>
                <w:b/>
                <w:bCs/>
              </w:rPr>
            </w:pPr>
            <w:r w:rsidRPr="008E11FA">
              <w:rPr>
                <w:b/>
                <w:bCs/>
              </w:rPr>
              <w:t>Objectives</w:t>
            </w:r>
          </w:p>
        </w:tc>
        <w:tc>
          <w:tcPr>
            <w:tcW w:w="4961" w:type="dxa"/>
            <w:shd w:val="clear" w:color="auto" w:fill="DAEFEF" w:themeFill="background1" w:themeFillTint="33"/>
          </w:tcPr>
          <w:p w14:paraId="18D49F87" w14:textId="77777777" w:rsidR="009A7CB1" w:rsidRPr="008E11FA" w:rsidRDefault="009A7CB1" w:rsidP="008125D1">
            <w:pPr>
              <w:spacing w:before="60" w:after="60"/>
              <w:rPr>
                <w:b/>
                <w:bCs/>
              </w:rPr>
            </w:pPr>
            <w:r w:rsidRPr="008E11FA">
              <w:rPr>
                <w:b/>
                <w:bCs/>
              </w:rPr>
              <w:t>Goals</w:t>
            </w:r>
          </w:p>
        </w:tc>
      </w:tr>
      <w:tr w:rsidR="009A7CB1" w:rsidRPr="00D76EA7" w14:paraId="4F37E524" w14:textId="77777777" w:rsidTr="009A7CB1">
        <w:trPr>
          <w:trHeight w:val="640"/>
        </w:trPr>
        <w:tc>
          <w:tcPr>
            <w:tcW w:w="3119" w:type="dxa"/>
          </w:tcPr>
          <w:p w14:paraId="76BB7F13" w14:textId="77777777" w:rsidR="009A7CB1" w:rsidRPr="007F5FC8" w:rsidRDefault="009A7CB1" w:rsidP="008125D1">
            <w:pPr>
              <w:spacing w:before="60" w:after="60"/>
            </w:pPr>
            <w:r w:rsidRPr="00490297">
              <w:rPr>
                <w:b/>
                <w:bCs/>
              </w:rPr>
              <w:t>Objective 1.1:</w:t>
            </w:r>
            <w:r>
              <w:rPr>
                <w:bCs/>
                <w:i/>
                <w:iCs/>
              </w:rPr>
              <w:t xml:space="preserve"> </w:t>
            </w:r>
            <w:r w:rsidRPr="00BA7F7B">
              <w:rPr>
                <w:bCs/>
              </w:rPr>
              <w:t>Improve a</w:t>
            </w:r>
            <w:r w:rsidRPr="00BA7F7B">
              <w:t>ccess to</w:t>
            </w:r>
            <w:r>
              <w:t>,</w:t>
            </w:r>
            <w:r w:rsidRPr="00BA7F7B">
              <w:t xml:space="preserve"> and</w:t>
            </w:r>
            <w:r>
              <w:t xml:space="preserve"> provide</w:t>
            </w:r>
            <w:r w:rsidRPr="00BA7F7B">
              <w:t xml:space="preserve"> </w:t>
            </w:r>
            <w:r>
              <w:t xml:space="preserve">greater </w:t>
            </w:r>
            <w:r w:rsidRPr="00BA7F7B">
              <w:t>choice</w:t>
            </w:r>
            <w:r w:rsidRPr="007F5FC8">
              <w:t xml:space="preserve"> of</w:t>
            </w:r>
            <w:r>
              <w:t>, flexible</w:t>
            </w:r>
            <w:r w:rsidRPr="007F5FC8">
              <w:t xml:space="preserve"> immunisation service</w:t>
            </w:r>
            <w:r>
              <w:t>s</w:t>
            </w:r>
            <w:r w:rsidRPr="007F5FC8">
              <w:t>.</w:t>
            </w:r>
          </w:p>
        </w:tc>
        <w:tc>
          <w:tcPr>
            <w:tcW w:w="4961" w:type="dxa"/>
          </w:tcPr>
          <w:p w14:paraId="1206F67D" w14:textId="77777777" w:rsidR="009A7CB1" w:rsidRPr="008125D1" w:rsidRDefault="009A7CB1" w:rsidP="008125D1">
            <w:pPr>
              <w:pStyle w:val="ListParagraph"/>
              <w:numPr>
                <w:ilvl w:val="2"/>
                <w:numId w:val="7"/>
              </w:numPr>
              <w:spacing w:before="60" w:after="60"/>
              <w:contextualSpacing w:val="0"/>
              <w:rPr>
                <w:sz w:val="21"/>
                <w:szCs w:val="21"/>
              </w:rPr>
            </w:pPr>
            <w:r w:rsidRPr="008125D1">
              <w:rPr>
                <w:sz w:val="21"/>
                <w:szCs w:val="21"/>
              </w:rPr>
              <w:t>Improve primary care enrolment processes to support timely enrolment and access.</w:t>
            </w:r>
          </w:p>
          <w:p w14:paraId="302AD32E" w14:textId="77777777" w:rsidR="009A7CB1" w:rsidRPr="008125D1" w:rsidRDefault="009A7CB1" w:rsidP="008125D1">
            <w:pPr>
              <w:pStyle w:val="ListParagraph"/>
              <w:numPr>
                <w:ilvl w:val="2"/>
                <w:numId w:val="7"/>
              </w:numPr>
              <w:spacing w:before="60" w:after="60"/>
              <w:contextualSpacing w:val="0"/>
              <w:rPr>
                <w:sz w:val="21"/>
                <w:szCs w:val="21"/>
              </w:rPr>
            </w:pPr>
            <w:r w:rsidRPr="008125D1">
              <w:rPr>
                <w:sz w:val="21"/>
                <w:szCs w:val="21"/>
              </w:rPr>
              <w:t>Improve targeted interventions (such as outreach immunisation services).</w:t>
            </w:r>
          </w:p>
          <w:p w14:paraId="75F46745" w14:textId="77777777" w:rsidR="009A7CB1" w:rsidRPr="008125D1" w:rsidRDefault="009A7CB1" w:rsidP="008125D1">
            <w:pPr>
              <w:pStyle w:val="ListParagraph"/>
              <w:numPr>
                <w:ilvl w:val="2"/>
                <w:numId w:val="7"/>
              </w:numPr>
              <w:spacing w:before="60" w:after="60"/>
              <w:contextualSpacing w:val="0"/>
              <w:rPr>
                <w:sz w:val="21"/>
                <w:szCs w:val="21"/>
              </w:rPr>
            </w:pPr>
            <w:r w:rsidRPr="008125D1">
              <w:rPr>
                <w:sz w:val="21"/>
                <w:szCs w:val="21"/>
              </w:rPr>
              <w:t>Strengthen opportunistic immunisation efforts across the life course.</w:t>
            </w:r>
          </w:p>
          <w:p w14:paraId="3C2AC0EC" w14:textId="77777777" w:rsidR="009A7CB1" w:rsidRPr="008125D1" w:rsidRDefault="009A7CB1" w:rsidP="008125D1">
            <w:pPr>
              <w:pStyle w:val="ListParagraph"/>
              <w:numPr>
                <w:ilvl w:val="2"/>
                <w:numId w:val="7"/>
              </w:numPr>
              <w:spacing w:before="60" w:after="60"/>
              <w:contextualSpacing w:val="0"/>
              <w:rPr>
                <w:sz w:val="21"/>
                <w:szCs w:val="21"/>
              </w:rPr>
            </w:pPr>
            <w:r w:rsidRPr="008125D1">
              <w:rPr>
                <w:sz w:val="21"/>
                <w:szCs w:val="21"/>
              </w:rPr>
              <w:t>Expand the capacity and range of immunisation providers (including kaupapa Māori and Pacific-led options)</w:t>
            </w:r>
            <w:r w:rsidRPr="008125D1" w:rsidDel="003C7368">
              <w:rPr>
                <w:sz w:val="21"/>
                <w:szCs w:val="21"/>
              </w:rPr>
              <w:t>.</w:t>
            </w:r>
          </w:p>
        </w:tc>
      </w:tr>
      <w:tr w:rsidR="009A7CB1" w:rsidRPr="00D76EA7" w14:paraId="54A790DA" w14:textId="77777777" w:rsidTr="009A7CB1">
        <w:trPr>
          <w:trHeight w:val="654"/>
        </w:trPr>
        <w:tc>
          <w:tcPr>
            <w:tcW w:w="3119" w:type="dxa"/>
          </w:tcPr>
          <w:p w14:paraId="2E5E73E4" w14:textId="77777777" w:rsidR="009A7CB1" w:rsidRPr="007F5FC8" w:rsidRDefault="009A7CB1" w:rsidP="008125D1">
            <w:pPr>
              <w:spacing w:before="60" w:after="60"/>
            </w:pPr>
            <w:r w:rsidRPr="00576342">
              <w:rPr>
                <w:b/>
                <w:bCs/>
              </w:rPr>
              <w:t>Objective 1.2:</w:t>
            </w:r>
            <w:r w:rsidRPr="007F5FC8">
              <w:t xml:space="preserve"> Design and deliver</w:t>
            </w:r>
            <w:r w:rsidRPr="00576342">
              <w:rPr>
                <w:b/>
                <w:bCs/>
              </w:rPr>
              <w:t xml:space="preserve"> </w:t>
            </w:r>
            <w:r>
              <w:t>i</w:t>
            </w:r>
            <w:r w:rsidRPr="007F5FC8">
              <w:t>mmunisation services in ways that meet individual and community needs.</w:t>
            </w:r>
          </w:p>
        </w:tc>
        <w:tc>
          <w:tcPr>
            <w:tcW w:w="4961" w:type="dxa"/>
          </w:tcPr>
          <w:p w14:paraId="7890B52F" w14:textId="77777777" w:rsidR="009A7CB1" w:rsidRPr="008125D1" w:rsidRDefault="009A7CB1" w:rsidP="008125D1">
            <w:pPr>
              <w:pStyle w:val="ListParagraph"/>
              <w:numPr>
                <w:ilvl w:val="2"/>
                <w:numId w:val="8"/>
              </w:numPr>
              <w:spacing w:before="60" w:after="60"/>
              <w:contextualSpacing w:val="0"/>
              <w:rPr>
                <w:sz w:val="21"/>
                <w:szCs w:val="21"/>
              </w:rPr>
            </w:pPr>
            <w:r w:rsidRPr="008125D1">
              <w:rPr>
                <w:sz w:val="21"/>
                <w:szCs w:val="21"/>
              </w:rPr>
              <w:t xml:space="preserve">Give people a meaningful voice in the design and delivery of services. </w:t>
            </w:r>
          </w:p>
          <w:p w14:paraId="6283D797" w14:textId="77777777" w:rsidR="009A7CB1" w:rsidRPr="008125D1" w:rsidRDefault="009A7CB1" w:rsidP="008125D1">
            <w:pPr>
              <w:pStyle w:val="ListParagraph"/>
              <w:numPr>
                <w:ilvl w:val="2"/>
                <w:numId w:val="8"/>
              </w:numPr>
              <w:spacing w:before="60" w:after="60"/>
              <w:contextualSpacing w:val="0"/>
              <w:rPr>
                <w:sz w:val="21"/>
                <w:szCs w:val="21"/>
              </w:rPr>
            </w:pPr>
            <w:r w:rsidRPr="008125D1">
              <w:rPr>
                <w:sz w:val="21"/>
                <w:szCs w:val="21"/>
              </w:rPr>
              <w:t>Deliver locally led services in trusted places and spaces where communities gather.</w:t>
            </w:r>
          </w:p>
          <w:p w14:paraId="76F29E15" w14:textId="77777777" w:rsidR="009A7CB1" w:rsidRPr="008125D1" w:rsidRDefault="009A7CB1" w:rsidP="008125D1">
            <w:pPr>
              <w:pStyle w:val="ListParagraph"/>
              <w:numPr>
                <w:ilvl w:val="2"/>
                <w:numId w:val="8"/>
              </w:numPr>
              <w:spacing w:before="60" w:after="60"/>
              <w:contextualSpacing w:val="0"/>
              <w:rPr>
                <w:sz w:val="21"/>
                <w:szCs w:val="21"/>
              </w:rPr>
            </w:pPr>
            <w:r w:rsidRPr="008125D1">
              <w:rPr>
                <w:sz w:val="21"/>
                <w:szCs w:val="21"/>
              </w:rPr>
              <w:t>Support practical, innovative and culturally responsive approaches.</w:t>
            </w:r>
          </w:p>
        </w:tc>
      </w:tr>
    </w:tbl>
    <w:p w14:paraId="058FAA8A" w14:textId="16988429" w:rsidR="009A7CB1" w:rsidRDefault="009A7CB1" w:rsidP="009A7CB1">
      <w:pPr>
        <w:rPr>
          <w:rFonts w:eastAsia="Segoe UI"/>
        </w:rPr>
      </w:pPr>
    </w:p>
    <w:p w14:paraId="7412E1A6" w14:textId="13678575" w:rsidR="008125D1" w:rsidRDefault="008125D1" w:rsidP="009A7CB1">
      <w:pPr>
        <w:rPr>
          <w:rFonts w:eastAsia="Segoe UI"/>
        </w:rPr>
      </w:pPr>
    </w:p>
    <w:p w14:paraId="59312AC8" w14:textId="77777777" w:rsidR="008125D1" w:rsidRPr="002C1E7E" w:rsidRDefault="008125D1" w:rsidP="008125D1">
      <w:pPr>
        <w:pStyle w:val="Heading2"/>
      </w:pPr>
      <w:bookmarkStart w:id="26" w:name="_Toc190243184"/>
      <w:bookmarkStart w:id="27" w:name="_Toc190950024"/>
      <w:r w:rsidRPr="002C1E7E">
        <w:lastRenderedPageBreak/>
        <w:t xml:space="preserve">Focus </w:t>
      </w:r>
      <w:r>
        <w:t>a</w:t>
      </w:r>
      <w:r w:rsidRPr="002C1E7E">
        <w:t xml:space="preserve">rea 2: Trust </w:t>
      </w:r>
      <w:r>
        <w:t>and</w:t>
      </w:r>
      <w:r w:rsidRPr="002C1E7E">
        <w:t xml:space="preserve"> </w:t>
      </w:r>
      <w:r>
        <w:t>c</w:t>
      </w:r>
      <w:r w:rsidRPr="002C1E7E">
        <w:t>onfidence</w:t>
      </w:r>
      <w:bookmarkEnd w:id="26"/>
      <w:bookmarkEnd w:id="27"/>
    </w:p>
    <w:p w14:paraId="4E4321D5" w14:textId="77777777" w:rsidR="008125D1" w:rsidRPr="002C1E7E" w:rsidRDefault="008125D1" w:rsidP="008125D1">
      <w:pPr>
        <w:pStyle w:val="Heading3"/>
      </w:pPr>
      <w:r w:rsidRPr="002C1E7E">
        <w:t>Everyone trusts and has high confidence in immunisation as a way to protect themselves and their whānau</w:t>
      </w:r>
    </w:p>
    <w:p w14:paraId="0075C6CB" w14:textId="74566E2D" w:rsidR="008125D1" w:rsidRDefault="008125D1" w:rsidP="008125D1">
      <w:pPr>
        <w:rPr>
          <w:rFonts w:eastAsiaTheme="minorEastAsia"/>
        </w:rPr>
      </w:pPr>
      <w:r w:rsidRPr="00EF531D">
        <w:rPr>
          <w:rFonts w:eastAsiaTheme="minorEastAsia"/>
        </w:rPr>
        <w:t xml:space="preserve">Building trust and confidence in immunisation – and </w:t>
      </w:r>
      <w:r>
        <w:rPr>
          <w:rFonts w:eastAsiaTheme="minorEastAsia"/>
        </w:rPr>
        <w:t xml:space="preserve">in </w:t>
      </w:r>
      <w:r w:rsidRPr="00EF531D">
        <w:rPr>
          <w:rFonts w:eastAsiaTheme="minorEastAsia"/>
        </w:rPr>
        <w:t xml:space="preserve">the health system more broadly – </w:t>
      </w:r>
      <w:r>
        <w:rPr>
          <w:rFonts w:eastAsiaTheme="minorEastAsia"/>
        </w:rPr>
        <w:t>helps to motivate</w:t>
      </w:r>
      <w:r w:rsidRPr="00EF531D">
        <w:rPr>
          <w:rFonts w:eastAsiaTheme="minorEastAsia"/>
        </w:rPr>
        <w:t xml:space="preserve"> people to get vaccinated. </w:t>
      </w:r>
      <w:r>
        <w:rPr>
          <w:rFonts w:eastAsiaTheme="minorEastAsia"/>
        </w:rPr>
        <w:t>Having trusted messengers who deliver</w:t>
      </w:r>
      <w:r w:rsidRPr="00EF531D">
        <w:rPr>
          <w:rFonts w:eastAsiaTheme="minorEastAsia"/>
        </w:rPr>
        <w:t xml:space="preserve"> good information and advice</w:t>
      </w:r>
      <w:r>
        <w:rPr>
          <w:rFonts w:eastAsiaTheme="minorEastAsia"/>
        </w:rPr>
        <w:t xml:space="preserve"> helps to strengthen that trust and confidence</w:t>
      </w:r>
      <w:r w:rsidRPr="00EF531D">
        <w:rPr>
          <w:rFonts w:eastAsiaTheme="minorEastAsia"/>
        </w:rPr>
        <w:t xml:space="preserve">. </w:t>
      </w:r>
      <w:r>
        <w:rPr>
          <w:rFonts w:eastAsiaTheme="minorEastAsia"/>
        </w:rPr>
        <w:t>I</w:t>
      </w:r>
      <w:r w:rsidRPr="00525837">
        <w:rPr>
          <w:rFonts w:eastAsiaTheme="minorEastAsia"/>
        </w:rPr>
        <w:t xml:space="preserve">nformation and resources </w:t>
      </w:r>
      <w:r>
        <w:rPr>
          <w:rFonts w:eastAsiaTheme="minorEastAsia"/>
        </w:rPr>
        <w:t>need to be</w:t>
      </w:r>
      <w:r w:rsidRPr="00525837">
        <w:rPr>
          <w:rFonts w:eastAsiaTheme="minorEastAsia"/>
        </w:rPr>
        <w:t xml:space="preserve"> accessible</w:t>
      </w:r>
      <w:r>
        <w:rPr>
          <w:rFonts w:eastAsiaTheme="minorEastAsia"/>
        </w:rPr>
        <w:t xml:space="preserve"> (particularly for people </w:t>
      </w:r>
      <w:r w:rsidRPr="00525837">
        <w:rPr>
          <w:rFonts w:eastAsiaTheme="minorEastAsia"/>
        </w:rPr>
        <w:t>with disabilities</w:t>
      </w:r>
      <w:r>
        <w:rPr>
          <w:rFonts w:eastAsiaTheme="minorEastAsia"/>
        </w:rPr>
        <w:t xml:space="preserve"> or with a first language other than English), be </w:t>
      </w:r>
      <w:r w:rsidRPr="00252192">
        <w:rPr>
          <w:rFonts w:eastAsiaTheme="minorEastAsia"/>
        </w:rPr>
        <w:t>culturally appropriate</w:t>
      </w:r>
      <w:r>
        <w:rPr>
          <w:rFonts w:eastAsiaTheme="minorEastAsia"/>
        </w:rPr>
        <w:t xml:space="preserve"> </w:t>
      </w:r>
      <w:r w:rsidRPr="00252192">
        <w:rPr>
          <w:rFonts w:eastAsiaTheme="minorEastAsia"/>
        </w:rPr>
        <w:t>and</w:t>
      </w:r>
      <w:r>
        <w:rPr>
          <w:rFonts w:eastAsiaTheme="minorEastAsia"/>
        </w:rPr>
        <w:t xml:space="preserve"> be</w:t>
      </w:r>
      <w:r w:rsidRPr="00252192">
        <w:rPr>
          <w:rFonts w:eastAsiaTheme="minorEastAsia"/>
        </w:rPr>
        <w:t xml:space="preserve"> </w:t>
      </w:r>
      <w:r>
        <w:rPr>
          <w:rFonts w:eastAsiaTheme="minorEastAsia"/>
        </w:rPr>
        <w:t>meaningful to</w:t>
      </w:r>
      <w:r w:rsidRPr="00252192">
        <w:rPr>
          <w:rFonts w:eastAsiaTheme="minorEastAsia"/>
        </w:rPr>
        <w:t xml:space="preserve"> </w:t>
      </w:r>
      <w:r>
        <w:rPr>
          <w:rFonts w:eastAsiaTheme="minorEastAsia"/>
        </w:rPr>
        <w:t xml:space="preserve">their </w:t>
      </w:r>
      <w:r w:rsidRPr="00252192">
        <w:rPr>
          <w:rFonts w:eastAsiaTheme="minorEastAsia"/>
        </w:rPr>
        <w:t>intended audience</w:t>
      </w:r>
      <w:r>
        <w:rPr>
          <w:rFonts w:eastAsiaTheme="minorEastAsia"/>
        </w:rPr>
        <w:t xml:space="preserve">. </w:t>
      </w:r>
    </w:p>
    <w:p w14:paraId="32CDB0F4" w14:textId="77777777" w:rsidR="008125D1" w:rsidRDefault="008125D1" w:rsidP="008125D1">
      <w:pPr>
        <w:rPr>
          <w:rFonts w:eastAsiaTheme="minorEastAsia"/>
        </w:rPr>
      </w:pPr>
    </w:p>
    <w:p w14:paraId="41580821" w14:textId="180A5D2E" w:rsidR="008125D1" w:rsidRDefault="008125D1" w:rsidP="008125D1">
      <w:pPr>
        <w:rPr>
          <w:rFonts w:eastAsiaTheme="minorEastAsia"/>
        </w:rPr>
      </w:pPr>
      <w:r>
        <w:rPr>
          <w:rFonts w:eastAsiaTheme="minorEastAsia"/>
        </w:rPr>
        <w:t>Through engaging p</w:t>
      </w:r>
      <w:r w:rsidRPr="00E62CC2">
        <w:t>roactive</w:t>
      </w:r>
      <w:r>
        <w:t xml:space="preserve">ly, providers can gain a </w:t>
      </w:r>
      <w:r w:rsidRPr="00E62CC2">
        <w:t xml:space="preserve">better understanding of community </w:t>
      </w:r>
      <w:r>
        <w:t>feelings and attitudes towards</w:t>
      </w:r>
      <w:r w:rsidRPr="00E62CC2">
        <w:t xml:space="preserve"> vaccination (including hesitancy)</w:t>
      </w:r>
      <w:r>
        <w:t xml:space="preserve"> and</w:t>
      </w:r>
      <w:r w:rsidRPr="00E62CC2">
        <w:t xml:space="preserve"> co-design </w:t>
      </w:r>
      <w:r>
        <w:t xml:space="preserve">promotion </w:t>
      </w:r>
      <w:r w:rsidRPr="00E62CC2">
        <w:t xml:space="preserve">messaging </w:t>
      </w:r>
      <w:r>
        <w:t>to counter</w:t>
      </w:r>
      <w:r w:rsidRPr="00E62CC2">
        <w:t xml:space="preserve"> misinformation. </w:t>
      </w:r>
      <w:r w:rsidRPr="00EF531D">
        <w:rPr>
          <w:rFonts w:eastAsiaTheme="minorEastAsia"/>
        </w:rPr>
        <w:t>Building trust and confidence in immunisation requires a multi-pronged approach</w:t>
      </w:r>
      <w:r>
        <w:rPr>
          <w:rFonts w:eastAsiaTheme="minorEastAsia"/>
        </w:rPr>
        <w:t xml:space="preserve">, </w:t>
      </w:r>
      <w:r w:rsidRPr="00CC4344">
        <w:rPr>
          <w:rFonts w:eastAsiaTheme="minorEastAsia"/>
        </w:rPr>
        <w:t>employing a range of innovative promotion activities</w:t>
      </w:r>
      <w:r>
        <w:rPr>
          <w:rFonts w:eastAsiaTheme="minorEastAsia"/>
        </w:rPr>
        <w:t>.</w:t>
      </w:r>
      <w:r w:rsidRPr="00CC4344">
        <w:rPr>
          <w:rFonts w:eastAsiaTheme="minorEastAsia"/>
        </w:rPr>
        <w:t xml:space="preserve"> </w:t>
      </w:r>
    </w:p>
    <w:p w14:paraId="60A56DB3" w14:textId="456E4A83" w:rsidR="008125D1" w:rsidRDefault="008125D1" w:rsidP="008125D1">
      <w:pPr>
        <w:rPr>
          <w:rFonts w:eastAsiaTheme="minorEastAsia"/>
        </w:rPr>
      </w:pPr>
    </w:p>
    <w:tbl>
      <w:tblPr>
        <w:tblStyle w:val="TableGrid"/>
        <w:tblW w:w="8222" w:type="dxa"/>
        <w:tblInd w:w="-5" w:type="dxa"/>
        <w:tblBorders>
          <w:top w:val="single" w:sz="4" w:space="0" w:color="B6DFE0" w:themeColor="background1" w:themeTint="66"/>
          <w:left w:val="none" w:sz="0" w:space="0" w:color="auto"/>
          <w:bottom w:val="single" w:sz="4" w:space="0" w:color="B6DFE0" w:themeColor="background1" w:themeTint="66"/>
          <w:right w:val="none" w:sz="0" w:space="0" w:color="auto"/>
          <w:insideH w:val="single" w:sz="4" w:space="0" w:color="B6DFE0" w:themeColor="background1" w:themeTint="66"/>
          <w:insideV w:val="single" w:sz="4" w:space="0" w:color="B6DFE0" w:themeColor="background1" w:themeTint="66"/>
        </w:tblBorders>
        <w:tblLook w:val="04A0" w:firstRow="1" w:lastRow="0" w:firstColumn="1" w:lastColumn="0" w:noHBand="0" w:noVBand="1"/>
      </w:tblPr>
      <w:tblGrid>
        <w:gridCol w:w="3119"/>
        <w:gridCol w:w="5103"/>
      </w:tblGrid>
      <w:tr w:rsidR="008125D1" w:rsidRPr="008125D1" w14:paraId="633823AA" w14:textId="77777777" w:rsidTr="008125D1">
        <w:trPr>
          <w:trHeight w:val="481"/>
          <w:tblHeader/>
        </w:trPr>
        <w:tc>
          <w:tcPr>
            <w:tcW w:w="8222" w:type="dxa"/>
            <w:gridSpan w:val="2"/>
            <w:shd w:val="clear" w:color="auto" w:fill="B6DFE0" w:themeFill="background1" w:themeFillTint="66"/>
          </w:tcPr>
          <w:p w14:paraId="3CDF727E" w14:textId="77777777" w:rsidR="008125D1" w:rsidRPr="008125D1" w:rsidRDefault="008125D1" w:rsidP="008125D1">
            <w:pPr>
              <w:spacing w:before="60" w:after="60"/>
              <w:rPr>
                <w:b/>
                <w:bCs/>
                <w:szCs w:val="21"/>
              </w:rPr>
            </w:pPr>
            <w:bookmarkStart w:id="28" w:name="_Toc175729671"/>
            <w:bookmarkStart w:id="29" w:name="_Toc175792463"/>
            <w:r w:rsidRPr="008125D1">
              <w:rPr>
                <w:b/>
                <w:bCs/>
                <w:szCs w:val="21"/>
              </w:rPr>
              <w:t xml:space="preserve">Focus area 2: </w:t>
            </w:r>
            <w:bookmarkEnd w:id="28"/>
            <w:bookmarkEnd w:id="29"/>
            <w:r w:rsidRPr="008125D1">
              <w:rPr>
                <w:b/>
                <w:bCs/>
                <w:szCs w:val="21"/>
              </w:rPr>
              <w:t>Trust and confidence</w:t>
            </w:r>
          </w:p>
        </w:tc>
      </w:tr>
      <w:tr w:rsidR="008125D1" w:rsidRPr="008125D1" w14:paraId="2A4F7A79" w14:textId="77777777" w:rsidTr="008125D1">
        <w:trPr>
          <w:trHeight w:val="481"/>
          <w:tblHeader/>
        </w:trPr>
        <w:tc>
          <w:tcPr>
            <w:tcW w:w="3119" w:type="dxa"/>
            <w:shd w:val="clear" w:color="auto" w:fill="DAEFEF" w:themeFill="background1" w:themeFillTint="33"/>
          </w:tcPr>
          <w:p w14:paraId="7BBD0D11" w14:textId="77777777" w:rsidR="008125D1" w:rsidRPr="008125D1" w:rsidRDefault="008125D1" w:rsidP="008125D1">
            <w:pPr>
              <w:spacing w:before="60" w:after="60"/>
              <w:rPr>
                <w:b/>
                <w:bCs/>
                <w:szCs w:val="21"/>
              </w:rPr>
            </w:pPr>
            <w:r w:rsidRPr="008125D1">
              <w:rPr>
                <w:b/>
                <w:bCs/>
                <w:szCs w:val="21"/>
              </w:rPr>
              <w:t>Objectives</w:t>
            </w:r>
          </w:p>
        </w:tc>
        <w:tc>
          <w:tcPr>
            <w:tcW w:w="5103" w:type="dxa"/>
            <w:shd w:val="clear" w:color="auto" w:fill="DAEFEF" w:themeFill="background1" w:themeFillTint="33"/>
          </w:tcPr>
          <w:p w14:paraId="1EAB3CFD" w14:textId="77777777" w:rsidR="008125D1" w:rsidRPr="008125D1" w:rsidRDefault="008125D1" w:rsidP="008125D1">
            <w:pPr>
              <w:spacing w:before="60" w:after="60"/>
              <w:rPr>
                <w:b/>
                <w:bCs/>
                <w:szCs w:val="21"/>
              </w:rPr>
            </w:pPr>
            <w:r w:rsidRPr="008125D1">
              <w:rPr>
                <w:b/>
                <w:bCs/>
                <w:szCs w:val="21"/>
              </w:rPr>
              <w:t>Goals</w:t>
            </w:r>
          </w:p>
        </w:tc>
      </w:tr>
      <w:tr w:rsidR="008125D1" w:rsidRPr="008125D1" w14:paraId="19A2D054" w14:textId="77777777" w:rsidTr="008125D1">
        <w:trPr>
          <w:trHeight w:val="1986"/>
        </w:trPr>
        <w:tc>
          <w:tcPr>
            <w:tcW w:w="3119" w:type="dxa"/>
          </w:tcPr>
          <w:p w14:paraId="461A2F26" w14:textId="77777777" w:rsidR="008125D1" w:rsidRPr="008125D1" w:rsidRDefault="008125D1" w:rsidP="008125D1">
            <w:pPr>
              <w:spacing w:before="60" w:after="60"/>
              <w:rPr>
                <w:szCs w:val="21"/>
              </w:rPr>
            </w:pPr>
            <w:r w:rsidRPr="008125D1">
              <w:rPr>
                <w:b/>
                <w:bCs/>
                <w:szCs w:val="21"/>
              </w:rPr>
              <w:t xml:space="preserve">Objective 2.1: </w:t>
            </w:r>
            <w:r w:rsidRPr="008125D1">
              <w:rPr>
                <w:szCs w:val="21"/>
              </w:rPr>
              <w:t>Strengthen the promotion of, and education about, immunisation by providing information that makes sense to those who receive it.</w:t>
            </w:r>
          </w:p>
        </w:tc>
        <w:tc>
          <w:tcPr>
            <w:tcW w:w="5103" w:type="dxa"/>
          </w:tcPr>
          <w:p w14:paraId="758FB1AC" w14:textId="77777777" w:rsidR="008125D1" w:rsidRPr="008125D1" w:rsidRDefault="008125D1" w:rsidP="008125D1">
            <w:pPr>
              <w:pStyle w:val="ListParagraph"/>
              <w:numPr>
                <w:ilvl w:val="2"/>
                <w:numId w:val="10"/>
              </w:numPr>
              <w:spacing w:before="60" w:after="60"/>
              <w:contextualSpacing w:val="0"/>
              <w:rPr>
                <w:sz w:val="21"/>
                <w:szCs w:val="21"/>
              </w:rPr>
            </w:pPr>
            <w:r w:rsidRPr="008125D1">
              <w:rPr>
                <w:sz w:val="21"/>
                <w:szCs w:val="21"/>
              </w:rPr>
              <w:t xml:space="preserve">Provide people and whānau with advice and resources that are clinically sound, culturally appropriate and evidence-based to support assurance and health literacy and to reduce misinformation and disinformation. </w:t>
            </w:r>
          </w:p>
          <w:p w14:paraId="24A010C4" w14:textId="77777777" w:rsidR="008125D1" w:rsidRPr="008125D1" w:rsidRDefault="008125D1" w:rsidP="008125D1">
            <w:pPr>
              <w:pStyle w:val="ListParagraph"/>
              <w:numPr>
                <w:ilvl w:val="2"/>
                <w:numId w:val="10"/>
              </w:numPr>
              <w:spacing w:before="60" w:after="60"/>
              <w:contextualSpacing w:val="0"/>
              <w:rPr>
                <w:sz w:val="21"/>
                <w:szCs w:val="21"/>
              </w:rPr>
            </w:pPr>
            <w:r w:rsidRPr="008125D1">
              <w:rPr>
                <w:sz w:val="21"/>
                <w:szCs w:val="21"/>
              </w:rPr>
              <w:t>Undertake comprehensive health promotion approaches.</w:t>
            </w:r>
          </w:p>
          <w:p w14:paraId="2BAFFDA8" w14:textId="77777777" w:rsidR="008125D1" w:rsidRPr="008125D1" w:rsidRDefault="008125D1" w:rsidP="008125D1">
            <w:pPr>
              <w:pStyle w:val="ListParagraph"/>
              <w:numPr>
                <w:ilvl w:val="2"/>
                <w:numId w:val="10"/>
              </w:numPr>
              <w:spacing w:before="60" w:after="60"/>
              <w:contextualSpacing w:val="0"/>
              <w:rPr>
                <w:sz w:val="21"/>
                <w:szCs w:val="21"/>
              </w:rPr>
            </w:pPr>
            <w:r w:rsidRPr="008125D1">
              <w:rPr>
                <w:sz w:val="21"/>
                <w:szCs w:val="21"/>
              </w:rPr>
              <w:t>Provide the immunisation workforce with high-quality, timely resources and guidance.</w:t>
            </w:r>
          </w:p>
        </w:tc>
      </w:tr>
      <w:tr w:rsidR="008125D1" w:rsidRPr="008125D1" w14:paraId="59C1C2D7" w14:textId="77777777" w:rsidTr="008125D1">
        <w:trPr>
          <w:trHeight w:val="2242"/>
        </w:trPr>
        <w:tc>
          <w:tcPr>
            <w:tcW w:w="3119" w:type="dxa"/>
          </w:tcPr>
          <w:p w14:paraId="161EE622" w14:textId="77777777" w:rsidR="008125D1" w:rsidRPr="008125D1" w:rsidRDefault="008125D1" w:rsidP="008125D1">
            <w:pPr>
              <w:spacing w:before="60" w:after="60"/>
              <w:rPr>
                <w:b/>
                <w:szCs w:val="21"/>
              </w:rPr>
            </w:pPr>
            <w:r w:rsidRPr="008125D1">
              <w:rPr>
                <w:b/>
                <w:bCs/>
                <w:szCs w:val="21"/>
              </w:rPr>
              <w:t>Objective 2.2:</w:t>
            </w:r>
            <w:r w:rsidRPr="008125D1">
              <w:rPr>
                <w:bCs/>
                <w:i/>
                <w:iCs/>
                <w:szCs w:val="21"/>
              </w:rPr>
              <w:t xml:space="preserve"> </w:t>
            </w:r>
            <w:r w:rsidRPr="008125D1">
              <w:rPr>
                <w:szCs w:val="21"/>
              </w:rPr>
              <w:t>Engage with communities to better understand vaccine beliefs, and tailor effective strategies for building trust.</w:t>
            </w:r>
          </w:p>
        </w:tc>
        <w:tc>
          <w:tcPr>
            <w:tcW w:w="5103" w:type="dxa"/>
          </w:tcPr>
          <w:p w14:paraId="3A6F61FF" w14:textId="77777777" w:rsidR="008125D1" w:rsidRPr="008125D1" w:rsidRDefault="008125D1" w:rsidP="008125D1">
            <w:pPr>
              <w:pStyle w:val="ListParagraph"/>
              <w:numPr>
                <w:ilvl w:val="2"/>
                <w:numId w:val="9"/>
              </w:numPr>
              <w:spacing w:before="60" w:after="60"/>
              <w:contextualSpacing w:val="0"/>
              <w:rPr>
                <w:rFonts w:eastAsia="Arial"/>
                <w:sz w:val="21"/>
                <w:szCs w:val="21"/>
              </w:rPr>
            </w:pPr>
            <w:r w:rsidRPr="008125D1">
              <w:rPr>
                <w:sz w:val="21"/>
                <w:szCs w:val="21"/>
              </w:rPr>
              <w:t>Use evidence and behavioural insights to track community feelings and attitudes, inform communication strategies, and tailor policy and practice.</w:t>
            </w:r>
          </w:p>
          <w:p w14:paraId="5E0F3D97" w14:textId="77777777" w:rsidR="008125D1" w:rsidRPr="008125D1" w:rsidRDefault="008125D1" w:rsidP="008125D1">
            <w:pPr>
              <w:pStyle w:val="ListParagraph"/>
              <w:numPr>
                <w:ilvl w:val="2"/>
                <w:numId w:val="9"/>
              </w:numPr>
              <w:spacing w:before="60" w:after="60"/>
              <w:contextualSpacing w:val="0"/>
              <w:rPr>
                <w:rFonts w:eastAsia="Arial"/>
                <w:sz w:val="21"/>
                <w:szCs w:val="21"/>
              </w:rPr>
            </w:pPr>
            <w:r w:rsidRPr="008125D1">
              <w:rPr>
                <w:sz w:val="21"/>
                <w:szCs w:val="21"/>
              </w:rPr>
              <w:t>Co-design local action and engagement approaches.</w:t>
            </w:r>
          </w:p>
          <w:p w14:paraId="09BAAE6A" w14:textId="77777777" w:rsidR="008125D1" w:rsidRPr="008125D1" w:rsidRDefault="008125D1" w:rsidP="008125D1">
            <w:pPr>
              <w:pStyle w:val="ListParagraph"/>
              <w:numPr>
                <w:ilvl w:val="2"/>
                <w:numId w:val="9"/>
              </w:numPr>
              <w:spacing w:before="60" w:after="60"/>
              <w:contextualSpacing w:val="0"/>
              <w:rPr>
                <w:rFonts w:eastAsia="Arial"/>
                <w:sz w:val="21"/>
                <w:szCs w:val="21"/>
              </w:rPr>
            </w:pPr>
            <w:r w:rsidRPr="008125D1">
              <w:rPr>
                <w:sz w:val="21"/>
                <w:szCs w:val="21"/>
              </w:rPr>
              <w:t>Evaluate and report on performance of vaccine awareness and other campaigns (including performance in targeted groups).</w:t>
            </w:r>
          </w:p>
        </w:tc>
      </w:tr>
      <w:tr w:rsidR="008125D1" w:rsidRPr="008125D1" w14:paraId="557A785C" w14:textId="77777777" w:rsidTr="008125D1">
        <w:trPr>
          <w:trHeight w:val="1629"/>
        </w:trPr>
        <w:tc>
          <w:tcPr>
            <w:tcW w:w="3119" w:type="dxa"/>
          </w:tcPr>
          <w:p w14:paraId="795CA3FE" w14:textId="77777777" w:rsidR="008125D1" w:rsidRPr="008125D1" w:rsidRDefault="008125D1" w:rsidP="008125D1">
            <w:pPr>
              <w:spacing w:before="60" w:after="60"/>
              <w:rPr>
                <w:szCs w:val="21"/>
              </w:rPr>
            </w:pPr>
            <w:r w:rsidRPr="008125D1">
              <w:rPr>
                <w:b/>
                <w:bCs/>
                <w:szCs w:val="21"/>
              </w:rPr>
              <w:lastRenderedPageBreak/>
              <w:t xml:space="preserve">Objective 2.3: </w:t>
            </w:r>
            <w:r w:rsidRPr="008125D1">
              <w:rPr>
                <w:szCs w:val="21"/>
              </w:rPr>
              <w:t>Maintain high standards of quality, safety and effectiveness across the system</w:t>
            </w:r>
            <w:r w:rsidRPr="008125D1">
              <w:rPr>
                <w:color w:val="FF0000"/>
                <w:szCs w:val="21"/>
              </w:rPr>
              <w:t xml:space="preserve"> </w:t>
            </w:r>
            <w:r w:rsidRPr="008125D1">
              <w:rPr>
                <w:szCs w:val="21"/>
              </w:rPr>
              <w:t xml:space="preserve">so people have confidence in immunisation. </w:t>
            </w:r>
          </w:p>
        </w:tc>
        <w:tc>
          <w:tcPr>
            <w:tcW w:w="5103" w:type="dxa"/>
          </w:tcPr>
          <w:p w14:paraId="720C4B12" w14:textId="77777777" w:rsidR="008125D1" w:rsidRPr="008125D1" w:rsidRDefault="008125D1" w:rsidP="008125D1">
            <w:pPr>
              <w:pStyle w:val="ListParagraph"/>
              <w:numPr>
                <w:ilvl w:val="2"/>
                <w:numId w:val="11"/>
              </w:numPr>
              <w:spacing w:before="60" w:after="60"/>
              <w:contextualSpacing w:val="0"/>
              <w:rPr>
                <w:rFonts w:eastAsia="Arial"/>
                <w:sz w:val="21"/>
                <w:szCs w:val="21"/>
              </w:rPr>
            </w:pPr>
            <w:r w:rsidRPr="008125D1">
              <w:rPr>
                <w:sz w:val="21"/>
                <w:szCs w:val="21"/>
              </w:rPr>
              <w:t>Support the delivery of people-centred immunisation services where people feel seen and heard.</w:t>
            </w:r>
          </w:p>
          <w:p w14:paraId="5CA8DEDC" w14:textId="77777777" w:rsidR="008125D1" w:rsidRPr="008125D1" w:rsidRDefault="008125D1" w:rsidP="008125D1">
            <w:pPr>
              <w:pStyle w:val="ListParagraph"/>
              <w:numPr>
                <w:ilvl w:val="2"/>
                <w:numId w:val="11"/>
              </w:numPr>
              <w:spacing w:before="60" w:after="60"/>
              <w:contextualSpacing w:val="0"/>
              <w:rPr>
                <w:rFonts w:eastAsia="Arial"/>
                <w:sz w:val="21"/>
                <w:szCs w:val="21"/>
              </w:rPr>
            </w:pPr>
            <w:r w:rsidRPr="008125D1">
              <w:rPr>
                <w:sz w:val="21"/>
                <w:szCs w:val="21"/>
                <w:lang w:eastAsia="en-NZ"/>
              </w:rPr>
              <w:t>Embed high-quality governance and mechanisms for continuous improvement.</w:t>
            </w:r>
          </w:p>
        </w:tc>
      </w:tr>
    </w:tbl>
    <w:p w14:paraId="24053011" w14:textId="77777777" w:rsidR="008125D1" w:rsidRPr="003D6894" w:rsidRDefault="008125D1" w:rsidP="008125D1">
      <w:pPr>
        <w:pStyle w:val="Heading2"/>
      </w:pPr>
      <w:bookmarkStart w:id="30" w:name="_Toc190243185"/>
      <w:bookmarkStart w:id="31" w:name="_Toc190950025"/>
      <w:r w:rsidRPr="003D6894">
        <w:t xml:space="preserve">Focus </w:t>
      </w:r>
      <w:r>
        <w:t>a</w:t>
      </w:r>
      <w:r w:rsidRPr="003D6894">
        <w:t>rea 3: Information</w:t>
      </w:r>
      <w:r>
        <w:t xml:space="preserve"> for action</w:t>
      </w:r>
      <w:bookmarkEnd w:id="30"/>
      <w:bookmarkEnd w:id="31"/>
    </w:p>
    <w:p w14:paraId="7611CD8C" w14:textId="77777777" w:rsidR="008125D1" w:rsidRPr="003D6894" w:rsidRDefault="008125D1" w:rsidP="008125D1">
      <w:pPr>
        <w:pStyle w:val="Heading3"/>
      </w:pPr>
      <w:r w:rsidRPr="003D6894">
        <w:t>High-quality and timely data and evidence drive decision-making, performance monitoring and improvement</w:t>
      </w:r>
    </w:p>
    <w:p w14:paraId="24076EBE" w14:textId="77777777" w:rsidR="008125D1" w:rsidRDefault="008125D1" w:rsidP="008125D1">
      <w:pPr>
        <w:rPr>
          <w:rFonts w:eastAsia="Segoe UI"/>
        </w:rPr>
      </w:pPr>
      <w:r w:rsidRPr="00EF531D">
        <w:rPr>
          <w:rFonts w:eastAsia="Segoe UI"/>
        </w:rPr>
        <w:t>Building knowledge and intelligence about immunisation across the system</w:t>
      </w:r>
      <w:r>
        <w:rPr>
          <w:rFonts w:eastAsia="Segoe UI"/>
        </w:rPr>
        <w:t xml:space="preserve"> (</w:t>
      </w:r>
      <w:r w:rsidRPr="00EF531D">
        <w:rPr>
          <w:rFonts w:eastAsia="Segoe UI"/>
        </w:rPr>
        <w:t xml:space="preserve">from disease </w:t>
      </w:r>
      <w:r w:rsidRPr="0064484C">
        <w:rPr>
          <w:rFonts w:eastAsia="Segoe UI"/>
        </w:rPr>
        <w:t>surveillance to vaccination uptake data</w:t>
      </w:r>
      <w:r>
        <w:rPr>
          <w:rFonts w:eastAsia="Segoe UI"/>
        </w:rPr>
        <w:t>)</w:t>
      </w:r>
      <w:r w:rsidRPr="0064484C">
        <w:rPr>
          <w:rFonts w:eastAsia="Segoe UI"/>
        </w:rPr>
        <w:t xml:space="preserve"> </w:t>
      </w:r>
      <w:r>
        <w:rPr>
          <w:rFonts w:eastAsia="Segoe UI"/>
        </w:rPr>
        <w:t>leads to h</w:t>
      </w:r>
      <w:r w:rsidRPr="0064484C">
        <w:rPr>
          <w:rFonts w:eastAsia="Segoe UI"/>
        </w:rPr>
        <w:t xml:space="preserve">igh-quality data and insights </w:t>
      </w:r>
      <w:r>
        <w:rPr>
          <w:rFonts w:eastAsia="Segoe UI"/>
        </w:rPr>
        <w:t xml:space="preserve">that can </w:t>
      </w:r>
      <w:r w:rsidRPr="0064484C">
        <w:rPr>
          <w:rFonts w:eastAsia="Segoe UI"/>
        </w:rPr>
        <w:t xml:space="preserve">inform strategy and policy development. </w:t>
      </w:r>
      <w:r>
        <w:rPr>
          <w:rFonts w:eastAsia="Segoe UI"/>
        </w:rPr>
        <w:t>Having a b</w:t>
      </w:r>
      <w:r w:rsidRPr="0064484C">
        <w:rPr>
          <w:rFonts w:eastAsia="Segoe UI"/>
        </w:rPr>
        <w:t>etter system-level understanding of population immunity against vaccine</w:t>
      </w:r>
      <w:r w:rsidRPr="00EF531D">
        <w:rPr>
          <w:rFonts w:eastAsia="Segoe UI"/>
        </w:rPr>
        <w:t xml:space="preserve">-preventable diseases can help </w:t>
      </w:r>
      <w:r>
        <w:rPr>
          <w:rFonts w:eastAsia="Segoe UI"/>
        </w:rPr>
        <w:t xml:space="preserve">to </w:t>
      </w:r>
      <w:r w:rsidRPr="00EF531D">
        <w:rPr>
          <w:rFonts w:eastAsia="Segoe UI"/>
        </w:rPr>
        <w:t>manage public health risks</w:t>
      </w:r>
      <w:r>
        <w:rPr>
          <w:rFonts w:eastAsia="Segoe UI"/>
        </w:rPr>
        <w:t xml:space="preserve"> and prioritise interventions</w:t>
      </w:r>
      <w:r w:rsidRPr="00EF531D">
        <w:rPr>
          <w:rFonts w:eastAsia="Segoe UI"/>
        </w:rPr>
        <w:t xml:space="preserve">. </w:t>
      </w:r>
    </w:p>
    <w:p w14:paraId="4C3044AB" w14:textId="77777777" w:rsidR="008125D1" w:rsidRPr="00EF531D" w:rsidRDefault="008125D1" w:rsidP="008125D1">
      <w:pPr>
        <w:rPr>
          <w:rFonts w:eastAsia="Segoe UI"/>
        </w:rPr>
      </w:pPr>
    </w:p>
    <w:tbl>
      <w:tblPr>
        <w:tblStyle w:val="TableGrid"/>
        <w:tblW w:w="8080" w:type="dxa"/>
        <w:tblBorders>
          <w:top w:val="single" w:sz="4" w:space="0" w:color="B6DFE0" w:themeColor="background1" w:themeTint="66"/>
          <w:left w:val="none" w:sz="0" w:space="0" w:color="auto"/>
          <w:bottom w:val="single" w:sz="4" w:space="0" w:color="B6DFE0" w:themeColor="background1" w:themeTint="66"/>
          <w:right w:val="none" w:sz="0" w:space="0" w:color="auto"/>
          <w:insideH w:val="single" w:sz="4" w:space="0" w:color="B6DFE0" w:themeColor="background1" w:themeTint="66"/>
          <w:insideV w:val="single" w:sz="4" w:space="0" w:color="B6DFE0" w:themeColor="background1" w:themeTint="66"/>
        </w:tblBorders>
        <w:tblLook w:val="04A0" w:firstRow="1" w:lastRow="0" w:firstColumn="1" w:lastColumn="0" w:noHBand="0" w:noVBand="1"/>
      </w:tblPr>
      <w:tblGrid>
        <w:gridCol w:w="3114"/>
        <w:gridCol w:w="4966"/>
      </w:tblGrid>
      <w:tr w:rsidR="008125D1" w:rsidRPr="008125D1" w14:paraId="5C04C184" w14:textId="77777777" w:rsidTr="008125D1">
        <w:trPr>
          <w:tblHeader/>
        </w:trPr>
        <w:tc>
          <w:tcPr>
            <w:tcW w:w="8080" w:type="dxa"/>
            <w:gridSpan w:val="2"/>
            <w:shd w:val="clear" w:color="auto" w:fill="B6DFE0" w:themeFill="background1" w:themeFillTint="66"/>
          </w:tcPr>
          <w:p w14:paraId="72C71F32" w14:textId="77777777" w:rsidR="008125D1" w:rsidRPr="008125D1" w:rsidRDefault="008125D1" w:rsidP="008125D1">
            <w:pPr>
              <w:spacing w:before="60" w:after="60"/>
              <w:rPr>
                <w:b/>
                <w:bCs/>
                <w:szCs w:val="21"/>
              </w:rPr>
            </w:pPr>
            <w:bookmarkStart w:id="32" w:name="_Toc175729674"/>
            <w:bookmarkStart w:id="33" w:name="_Toc175792466"/>
            <w:r w:rsidRPr="008125D1">
              <w:rPr>
                <w:b/>
                <w:bCs/>
                <w:szCs w:val="21"/>
              </w:rPr>
              <w:t xml:space="preserve">Focus area 3: </w:t>
            </w:r>
            <w:bookmarkEnd w:id="32"/>
            <w:bookmarkEnd w:id="33"/>
            <w:r w:rsidRPr="008125D1">
              <w:rPr>
                <w:b/>
                <w:bCs/>
                <w:szCs w:val="21"/>
              </w:rPr>
              <w:t>Information for action</w:t>
            </w:r>
          </w:p>
        </w:tc>
      </w:tr>
      <w:tr w:rsidR="008125D1" w:rsidRPr="008125D1" w14:paraId="16AF7CBC" w14:textId="77777777" w:rsidTr="008125D1">
        <w:trPr>
          <w:tblHeader/>
        </w:trPr>
        <w:tc>
          <w:tcPr>
            <w:tcW w:w="3114" w:type="dxa"/>
            <w:shd w:val="clear" w:color="auto" w:fill="DAEFEF" w:themeFill="background1" w:themeFillTint="33"/>
          </w:tcPr>
          <w:p w14:paraId="3D80C4A3" w14:textId="77777777" w:rsidR="008125D1" w:rsidRPr="008125D1" w:rsidRDefault="008125D1" w:rsidP="008125D1">
            <w:pPr>
              <w:spacing w:before="60" w:after="60"/>
              <w:rPr>
                <w:b/>
                <w:bCs/>
                <w:szCs w:val="21"/>
              </w:rPr>
            </w:pPr>
            <w:r w:rsidRPr="008125D1">
              <w:rPr>
                <w:b/>
                <w:bCs/>
                <w:szCs w:val="21"/>
              </w:rPr>
              <w:t>Objectives</w:t>
            </w:r>
          </w:p>
        </w:tc>
        <w:tc>
          <w:tcPr>
            <w:tcW w:w="4966" w:type="dxa"/>
            <w:shd w:val="clear" w:color="auto" w:fill="DAEFEF" w:themeFill="background1" w:themeFillTint="33"/>
          </w:tcPr>
          <w:p w14:paraId="10047955" w14:textId="77777777" w:rsidR="008125D1" w:rsidRPr="008125D1" w:rsidRDefault="008125D1" w:rsidP="008125D1">
            <w:pPr>
              <w:spacing w:before="60" w:after="60"/>
              <w:rPr>
                <w:b/>
                <w:bCs/>
                <w:szCs w:val="21"/>
              </w:rPr>
            </w:pPr>
            <w:r w:rsidRPr="008125D1">
              <w:rPr>
                <w:b/>
                <w:bCs/>
                <w:szCs w:val="21"/>
              </w:rPr>
              <w:t>Goals</w:t>
            </w:r>
          </w:p>
        </w:tc>
      </w:tr>
      <w:tr w:rsidR="008125D1" w:rsidRPr="008125D1" w14:paraId="67A7290F" w14:textId="77777777" w:rsidTr="008125D1">
        <w:tc>
          <w:tcPr>
            <w:tcW w:w="3114" w:type="dxa"/>
          </w:tcPr>
          <w:p w14:paraId="6550FD61" w14:textId="77777777" w:rsidR="008125D1" w:rsidRPr="008125D1" w:rsidRDefault="008125D1" w:rsidP="008125D1">
            <w:pPr>
              <w:spacing w:before="60" w:after="60"/>
              <w:rPr>
                <w:szCs w:val="21"/>
              </w:rPr>
            </w:pPr>
            <w:r w:rsidRPr="008125D1">
              <w:rPr>
                <w:b/>
                <w:bCs/>
                <w:szCs w:val="21"/>
              </w:rPr>
              <w:t>Objective 3.1:</w:t>
            </w:r>
            <w:r w:rsidRPr="008125D1">
              <w:rPr>
                <w:szCs w:val="21"/>
              </w:rPr>
              <w:t xml:space="preserve"> Enable the use and generation of high-quality and timely data through fit-for-purpose data systems.</w:t>
            </w:r>
          </w:p>
        </w:tc>
        <w:tc>
          <w:tcPr>
            <w:tcW w:w="4966" w:type="dxa"/>
          </w:tcPr>
          <w:p w14:paraId="6F155E35" w14:textId="77777777" w:rsidR="008125D1" w:rsidRPr="008125D1" w:rsidRDefault="008125D1" w:rsidP="008125D1">
            <w:pPr>
              <w:pStyle w:val="ListParagraph"/>
              <w:numPr>
                <w:ilvl w:val="2"/>
                <w:numId w:val="12"/>
              </w:numPr>
              <w:spacing w:before="60" w:after="60"/>
              <w:contextualSpacing w:val="0"/>
              <w:rPr>
                <w:sz w:val="21"/>
                <w:szCs w:val="21"/>
              </w:rPr>
            </w:pPr>
            <w:r w:rsidRPr="008125D1">
              <w:rPr>
                <w:sz w:val="21"/>
                <w:szCs w:val="21"/>
              </w:rPr>
              <w:t xml:space="preserve">Establish and maintain a data infrastructure that allows for effective and integrated systems and technologies. </w:t>
            </w:r>
          </w:p>
          <w:p w14:paraId="21CC0DA5" w14:textId="77777777" w:rsidR="008125D1" w:rsidRPr="008125D1" w:rsidRDefault="008125D1" w:rsidP="008125D1">
            <w:pPr>
              <w:pStyle w:val="ListParagraph"/>
              <w:numPr>
                <w:ilvl w:val="2"/>
                <w:numId w:val="12"/>
              </w:numPr>
              <w:spacing w:before="60" w:after="60"/>
              <w:contextualSpacing w:val="0"/>
              <w:rPr>
                <w:sz w:val="21"/>
                <w:szCs w:val="21"/>
              </w:rPr>
            </w:pPr>
            <w:r w:rsidRPr="008125D1">
              <w:rPr>
                <w:sz w:val="21"/>
                <w:szCs w:val="21"/>
              </w:rPr>
              <w:t>Use digital solutions that provide accurate vaccination status information, support delivery and enable decision-making.</w:t>
            </w:r>
          </w:p>
          <w:p w14:paraId="2C34261E" w14:textId="77777777" w:rsidR="008125D1" w:rsidRPr="008125D1" w:rsidRDefault="008125D1" w:rsidP="008125D1">
            <w:pPr>
              <w:pStyle w:val="ListParagraph"/>
              <w:numPr>
                <w:ilvl w:val="2"/>
                <w:numId w:val="12"/>
              </w:numPr>
              <w:spacing w:before="60" w:after="60"/>
              <w:contextualSpacing w:val="0"/>
              <w:rPr>
                <w:rStyle w:val="normaltextrun"/>
                <w:sz w:val="21"/>
                <w:szCs w:val="21"/>
              </w:rPr>
            </w:pPr>
            <w:r w:rsidRPr="008125D1">
              <w:rPr>
                <w:sz w:val="21"/>
                <w:szCs w:val="21"/>
              </w:rPr>
              <w:t>Enhance and future-proof existing surveillance mechanisms for vaccine-preventable diseases, including emerging infectious diseases.</w:t>
            </w:r>
          </w:p>
        </w:tc>
      </w:tr>
      <w:tr w:rsidR="008125D1" w:rsidRPr="008125D1" w14:paraId="3E53A57E" w14:textId="77777777" w:rsidTr="008125D1">
        <w:tc>
          <w:tcPr>
            <w:tcW w:w="3114" w:type="dxa"/>
          </w:tcPr>
          <w:p w14:paraId="12DF0E53" w14:textId="77777777" w:rsidR="008125D1" w:rsidRPr="008125D1" w:rsidRDefault="008125D1" w:rsidP="008125D1">
            <w:pPr>
              <w:spacing w:before="60" w:after="60"/>
              <w:rPr>
                <w:szCs w:val="21"/>
              </w:rPr>
            </w:pPr>
            <w:r w:rsidRPr="008125D1">
              <w:rPr>
                <w:b/>
                <w:bCs/>
                <w:szCs w:val="21"/>
              </w:rPr>
              <w:t>Objective 3.2:</w:t>
            </w:r>
            <w:r w:rsidRPr="008125D1">
              <w:rPr>
                <w:i/>
                <w:iCs/>
                <w:szCs w:val="21"/>
              </w:rPr>
              <w:t xml:space="preserve"> </w:t>
            </w:r>
            <w:r w:rsidRPr="008125D1">
              <w:rPr>
                <w:szCs w:val="21"/>
              </w:rPr>
              <w:t>Use robust data and evidence to drive service design and delivery.</w:t>
            </w:r>
          </w:p>
        </w:tc>
        <w:tc>
          <w:tcPr>
            <w:tcW w:w="4966" w:type="dxa"/>
          </w:tcPr>
          <w:p w14:paraId="123552E2" w14:textId="77777777" w:rsidR="008125D1" w:rsidRPr="008125D1" w:rsidRDefault="008125D1" w:rsidP="008125D1">
            <w:pPr>
              <w:pStyle w:val="ListParagraph"/>
              <w:numPr>
                <w:ilvl w:val="2"/>
                <w:numId w:val="13"/>
              </w:numPr>
              <w:spacing w:before="60" w:after="60"/>
              <w:contextualSpacing w:val="0"/>
              <w:rPr>
                <w:sz w:val="21"/>
                <w:szCs w:val="21"/>
              </w:rPr>
            </w:pPr>
            <w:r w:rsidRPr="008125D1">
              <w:rPr>
                <w:sz w:val="21"/>
                <w:szCs w:val="21"/>
              </w:rPr>
              <w:t>Identify service reach and coverage gaps by using disaggregated data.</w:t>
            </w:r>
          </w:p>
          <w:p w14:paraId="22B95B94" w14:textId="77777777" w:rsidR="008125D1" w:rsidRPr="008125D1" w:rsidRDefault="008125D1" w:rsidP="008125D1">
            <w:pPr>
              <w:pStyle w:val="ListParagraph"/>
              <w:numPr>
                <w:ilvl w:val="2"/>
                <w:numId w:val="13"/>
              </w:numPr>
              <w:spacing w:before="60" w:after="60"/>
              <w:contextualSpacing w:val="0"/>
              <w:rPr>
                <w:sz w:val="21"/>
                <w:szCs w:val="21"/>
              </w:rPr>
            </w:pPr>
            <w:r w:rsidRPr="008125D1">
              <w:rPr>
                <w:sz w:val="21"/>
                <w:szCs w:val="21"/>
              </w:rPr>
              <w:t>Support local service design and immunisation uptake in priority populations through regular reporting.</w:t>
            </w:r>
          </w:p>
          <w:p w14:paraId="3BFB0E70" w14:textId="77777777" w:rsidR="008125D1" w:rsidRPr="008125D1" w:rsidRDefault="008125D1" w:rsidP="008125D1">
            <w:pPr>
              <w:pStyle w:val="ListParagraph"/>
              <w:numPr>
                <w:ilvl w:val="2"/>
                <w:numId w:val="13"/>
              </w:numPr>
              <w:spacing w:before="60" w:after="60"/>
              <w:contextualSpacing w:val="0"/>
              <w:rPr>
                <w:sz w:val="21"/>
                <w:szCs w:val="21"/>
              </w:rPr>
            </w:pPr>
            <w:r w:rsidRPr="008125D1">
              <w:rPr>
                <w:sz w:val="21"/>
                <w:szCs w:val="21"/>
              </w:rPr>
              <w:t>Develop data-sharing agreements that support local and regional uptake initiatives.</w:t>
            </w:r>
          </w:p>
          <w:p w14:paraId="2965B814" w14:textId="77777777" w:rsidR="008125D1" w:rsidRPr="008125D1" w:rsidRDefault="008125D1" w:rsidP="008125D1">
            <w:pPr>
              <w:pStyle w:val="ListParagraph"/>
              <w:numPr>
                <w:ilvl w:val="2"/>
                <w:numId w:val="13"/>
              </w:numPr>
              <w:spacing w:before="60" w:after="60"/>
              <w:contextualSpacing w:val="0"/>
              <w:rPr>
                <w:sz w:val="21"/>
                <w:szCs w:val="21"/>
              </w:rPr>
            </w:pPr>
            <w:r w:rsidRPr="008125D1">
              <w:rPr>
                <w:sz w:val="21"/>
                <w:szCs w:val="21"/>
              </w:rPr>
              <w:lastRenderedPageBreak/>
              <w:t>Provide reporting dashboards that meet the needs of data-sharing partners.</w:t>
            </w:r>
          </w:p>
        </w:tc>
      </w:tr>
      <w:tr w:rsidR="008125D1" w:rsidRPr="008125D1" w14:paraId="64675C9F" w14:textId="77777777" w:rsidTr="008125D1">
        <w:trPr>
          <w:trHeight w:val="645"/>
        </w:trPr>
        <w:tc>
          <w:tcPr>
            <w:tcW w:w="3114" w:type="dxa"/>
          </w:tcPr>
          <w:p w14:paraId="2A009E87" w14:textId="77777777" w:rsidR="008125D1" w:rsidRPr="008125D1" w:rsidRDefault="008125D1" w:rsidP="008125D1">
            <w:pPr>
              <w:spacing w:before="60" w:after="60"/>
              <w:rPr>
                <w:szCs w:val="21"/>
              </w:rPr>
            </w:pPr>
            <w:r w:rsidRPr="008125D1">
              <w:rPr>
                <w:b/>
                <w:bCs/>
                <w:szCs w:val="21"/>
              </w:rPr>
              <w:lastRenderedPageBreak/>
              <w:t>Objective 3.3:</w:t>
            </w:r>
            <w:r w:rsidRPr="008125D1">
              <w:rPr>
                <w:i/>
                <w:iCs/>
                <w:szCs w:val="21"/>
              </w:rPr>
              <w:t xml:space="preserve"> </w:t>
            </w:r>
            <w:r w:rsidRPr="008125D1">
              <w:rPr>
                <w:szCs w:val="21"/>
              </w:rPr>
              <w:t>Enhance the monitoring and evaluation of the immunisation system using meaningful data and insights.</w:t>
            </w:r>
          </w:p>
        </w:tc>
        <w:tc>
          <w:tcPr>
            <w:tcW w:w="4966" w:type="dxa"/>
          </w:tcPr>
          <w:p w14:paraId="74CE6D04" w14:textId="77777777" w:rsidR="008125D1" w:rsidRPr="008125D1" w:rsidRDefault="008125D1" w:rsidP="008125D1">
            <w:pPr>
              <w:pStyle w:val="ListParagraph"/>
              <w:numPr>
                <w:ilvl w:val="2"/>
                <w:numId w:val="14"/>
              </w:numPr>
              <w:spacing w:before="60" w:after="60"/>
              <w:contextualSpacing w:val="0"/>
              <w:rPr>
                <w:sz w:val="21"/>
                <w:szCs w:val="21"/>
              </w:rPr>
            </w:pPr>
            <w:r w:rsidRPr="008125D1">
              <w:rPr>
                <w:sz w:val="21"/>
                <w:szCs w:val="21"/>
              </w:rPr>
              <w:t>Develop a framework (including clear success measures and standards) to monitor and evaluate the impact of interventions and services on immunisation uptake across the system.</w:t>
            </w:r>
          </w:p>
          <w:p w14:paraId="2E3939B3" w14:textId="77777777" w:rsidR="008125D1" w:rsidRPr="008125D1" w:rsidRDefault="008125D1" w:rsidP="008125D1">
            <w:pPr>
              <w:pStyle w:val="ListParagraph"/>
              <w:numPr>
                <w:ilvl w:val="2"/>
                <w:numId w:val="14"/>
              </w:numPr>
              <w:spacing w:before="60" w:after="60"/>
              <w:contextualSpacing w:val="0"/>
              <w:rPr>
                <w:sz w:val="21"/>
                <w:szCs w:val="21"/>
              </w:rPr>
            </w:pPr>
            <w:r w:rsidRPr="008125D1">
              <w:rPr>
                <w:sz w:val="21"/>
                <w:szCs w:val="21"/>
              </w:rPr>
              <w:t>Establish appropriate processes for capturing whānau voice and lived experience so that communities can provide feedback on services and drive quality improvement.</w:t>
            </w:r>
          </w:p>
        </w:tc>
      </w:tr>
    </w:tbl>
    <w:p w14:paraId="1102C87B" w14:textId="77777777" w:rsidR="008125D1" w:rsidRPr="00FE49E0" w:rsidRDefault="008125D1" w:rsidP="008125D1">
      <w:pPr>
        <w:pStyle w:val="Heading2"/>
      </w:pPr>
      <w:bookmarkStart w:id="34" w:name="_Toc190243186"/>
      <w:bookmarkStart w:id="35" w:name="_Toc190950026"/>
      <w:r w:rsidRPr="00FE49E0">
        <w:t xml:space="preserve">Focus </w:t>
      </w:r>
      <w:r>
        <w:t>a</w:t>
      </w:r>
      <w:r w:rsidRPr="00FE49E0">
        <w:t>rea 4: Workforce</w:t>
      </w:r>
      <w:bookmarkEnd w:id="34"/>
      <w:bookmarkEnd w:id="35"/>
      <w:r w:rsidRPr="00FE49E0">
        <w:t xml:space="preserve"> </w:t>
      </w:r>
    </w:p>
    <w:p w14:paraId="32D1E150" w14:textId="77777777" w:rsidR="008125D1" w:rsidRPr="00AE32F5" w:rsidRDefault="008125D1" w:rsidP="008125D1">
      <w:pPr>
        <w:pStyle w:val="Heading3"/>
      </w:pPr>
      <w:r w:rsidRPr="00AE32F5">
        <w:t>S</w:t>
      </w:r>
      <w:r w:rsidRPr="00CF19B7">
        <w:t>trengthen and support workforce capacity, diversity and capability</w:t>
      </w:r>
    </w:p>
    <w:p w14:paraId="38BD909B" w14:textId="5CDC8F0F" w:rsidR="008125D1" w:rsidRDefault="008125D1" w:rsidP="008125D1">
      <w:pPr>
        <w:rPr>
          <w:rFonts w:eastAsia="Segoe UI"/>
        </w:rPr>
      </w:pPr>
      <w:r>
        <w:rPr>
          <w:rFonts w:eastAsia="Segoe UI"/>
        </w:rPr>
        <w:t>To improve</w:t>
      </w:r>
      <w:r w:rsidRPr="00AE32F5">
        <w:rPr>
          <w:rFonts w:eastAsia="Segoe UI"/>
        </w:rPr>
        <w:t xml:space="preserve"> access to immunisation</w:t>
      </w:r>
      <w:r>
        <w:rPr>
          <w:rFonts w:eastAsia="Segoe UI"/>
        </w:rPr>
        <w:t>, it is necessary to</w:t>
      </w:r>
      <w:r w:rsidRPr="00AE32F5">
        <w:rPr>
          <w:rFonts w:eastAsia="Segoe UI"/>
        </w:rPr>
        <w:t xml:space="preserve"> strengthen both</w:t>
      </w:r>
      <w:r w:rsidRPr="004115F7">
        <w:rPr>
          <w:rFonts w:eastAsia="Segoe UI"/>
        </w:rPr>
        <w:t xml:space="preserve"> </w:t>
      </w:r>
      <w:r w:rsidRPr="00AE32F5">
        <w:rPr>
          <w:rFonts w:eastAsia="Segoe UI"/>
        </w:rPr>
        <w:t>the clinical and non-clinical</w:t>
      </w:r>
      <w:r w:rsidRPr="004115F7">
        <w:rPr>
          <w:rFonts w:eastAsia="Segoe UI"/>
        </w:rPr>
        <w:t xml:space="preserve"> </w:t>
      </w:r>
      <w:r w:rsidRPr="00AE32F5">
        <w:rPr>
          <w:rFonts w:eastAsia="Segoe UI"/>
        </w:rPr>
        <w:t xml:space="preserve">workforce. </w:t>
      </w:r>
      <w:r>
        <w:rPr>
          <w:rFonts w:eastAsia="Segoe UI"/>
        </w:rPr>
        <w:t>By offering e</w:t>
      </w:r>
      <w:r w:rsidRPr="00AE32F5">
        <w:rPr>
          <w:rFonts w:eastAsia="Segoe UI"/>
        </w:rPr>
        <w:t xml:space="preserve">mployment settings and training opportunities that allow for </w:t>
      </w:r>
      <w:r>
        <w:rPr>
          <w:rFonts w:eastAsia="Segoe UI"/>
        </w:rPr>
        <w:t>greater</w:t>
      </w:r>
      <w:r w:rsidRPr="00AE32F5">
        <w:rPr>
          <w:rFonts w:eastAsia="Segoe UI"/>
        </w:rPr>
        <w:t xml:space="preserve"> workforce mobility within and between professions</w:t>
      </w:r>
      <w:r>
        <w:rPr>
          <w:rFonts w:eastAsia="Segoe UI"/>
        </w:rPr>
        <w:t>, the health system</w:t>
      </w:r>
      <w:r w:rsidRPr="00AE32F5">
        <w:rPr>
          <w:rFonts w:eastAsia="Segoe UI"/>
        </w:rPr>
        <w:t xml:space="preserve"> supports health workers to remain in the sector</w:t>
      </w:r>
      <w:r>
        <w:rPr>
          <w:rFonts w:eastAsia="Segoe UI"/>
        </w:rPr>
        <w:t>. At the same time, these working conditions help to</w:t>
      </w:r>
      <w:r w:rsidRPr="00AE32F5">
        <w:rPr>
          <w:rFonts w:eastAsia="Segoe UI"/>
        </w:rPr>
        <w:t xml:space="preserve"> grow and develop new skills and capabilities, and increas</w:t>
      </w:r>
      <w:r>
        <w:rPr>
          <w:rFonts w:eastAsia="Segoe UI"/>
        </w:rPr>
        <w:t>e</w:t>
      </w:r>
      <w:r w:rsidRPr="00AE32F5">
        <w:rPr>
          <w:rFonts w:eastAsia="Segoe UI"/>
        </w:rPr>
        <w:t xml:space="preserve"> diversity in the workforce.</w:t>
      </w:r>
    </w:p>
    <w:p w14:paraId="14690985" w14:textId="77777777" w:rsidR="008125D1" w:rsidRPr="00C44531" w:rsidRDefault="008125D1" w:rsidP="008125D1">
      <w:pPr>
        <w:rPr>
          <w:rFonts w:eastAsia="Segoe UI"/>
        </w:rPr>
      </w:pPr>
    </w:p>
    <w:tbl>
      <w:tblPr>
        <w:tblStyle w:val="TableGrid"/>
        <w:tblW w:w="8080" w:type="dxa"/>
        <w:tblBorders>
          <w:top w:val="single" w:sz="4" w:space="0" w:color="B6DFE0" w:themeColor="background1" w:themeTint="66"/>
          <w:left w:val="none" w:sz="0" w:space="0" w:color="auto"/>
          <w:bottom w:val="single" w:sz="4" w:space="0" w:color="B6DFE0" w:themeColor="background1" w:themeTint="66"/>
          <w:right w:val="none" w:sz="0" w:space="0" w:color="auto"/>
          <w:insideH w:val="single" w:sz="4" w:space="0" w:color="B6DFE0" w:themeColor="background1" w:themeTint="66"/>
          <w:insideV w:val="single" w:sz="4" w:space="0" w:color="B6DFE0" w:themeColor="background1" w:themeTint="66"/>
        </w:tblBorders>
        <w:tblLook w:val="04A0" w:firstRow="1" w:lastRow="0" w:firstColumn="1" w:lastColumn="0" w:noHBand="0" w:noVBand="1"/>
      </w:tblPr>
      <w:tblGrid>
        <w:gridCol w:w="3114"/>
        <w:gridCol w:w="4966"/>
      </w:tblGrid>
      <w:tr w:rsidR="008125D1" w:rsidRPr="008125D1" w14:paraId="411E050E" w14:textId="77777777" w:rsidTr="008125D1">
        <w:trPr>
          <w:tblHeader/>
        </w:trPr>
        <w:tc>
          <w:tcPr>
            <w:tcW w:w="8080" w:type="dxa"/>
            <w:gridSpan w:val="2"/>
            <w:shd w:val="clear" w:color="auto" w:fill="B6DFE0" w:themeFill="background1" w:themeFillTint="66"/>
          </w:tcPr>
          <w:p w14:paraId="5B615C47" w14:textId="77777777" w:rsidR="008125D1" w:rsidRPr="008125D1" w:rsidRDefault="008125D1" w:rsidP="008125D1">
            <w:pPr>
              <w:spacing w:before="60" w:after="60"/>
              <w:rPr>
                <w:b/>
                <w:bCs/>
                <w:szCs w:val="21"/>
              </w:rPr>
            </w:pPr>
            <w:r w:rsidRPr="008125D1">
              <w:rPr>
                <w:b/>
                <w:bCs/>
                <w:szCs w:val="21"/>
              </w:rPr>
              <w:t>Focus area 4: Workforce</w:t>
            </w:r>
          </w:p>
        </w:tc>
      </w:tr>
      <w:tr w:rsidR="008125D1" w:rsidRPr="008125D1" w14:paraId="59EA05FA" w14:textId="77777777" w:rsidTr="008125D1">
        <w:trPr>
          <w:tblHeader/>
        </w:trPr>
        <w:tc>
          <w:tcPr>
            <w:tcW w:w="3114" w:type="dxa"/>
            <w:shd w:val="clear" w:color="auto" w:fill="DAEFEF" w:themeFill="background1" w:themeFillTint="33"/>
          </w:tcPr>
          <w:p w14:paraId="37B4CE31" w14:textId="77777777" w:rsidR="008125D1" w:rsidRPr="008125D1" w:rsidRDefault="008125D1" w:rsidP="008125D1">
            <w:pPr>
              <w:spacing w:before="60" w:after="60"/>
              <w:rPr>
                <w:b/>
                <w:bCs/>
                <w:szCs w:val="21"/>
              </w:rPr>
            </w:pPr>
            <w:r w:rsidRPr="008125D1">
              <w:rPr>
                <w:b/>
                <w:bCs/>
                <w:szCs w:val="21"/>
              </w:rPr>
              <w:t>Objectives</w:t>
            </w:r>
          </w:p>
        </w:tc>
        <w:tc>
          <w:tcPr>
            <w:tcW w:w="4966" w:type="dxa"/>
            <w:shd w:val="clear" w:color="auto" w:fill="DAEFEF" w:themeFill="background1" w:themeFillTint="33"/>
          </w:tcPr>
          <w:p w14:paraId="2E56FB0E" w14:textId="77777777" w:rsidR="008125D1" w:rsidRPr="008125D1" w:rsidRDefault="008125D1" w:rsidP="008125D1">
            <w:pPr>
              <w:spacing w:before="60" w:after="60"/>
              <w:rPr>
                <w:b/>
                <w:bCs/>
                <w:szCs w:val="21"/>
              </w:rPr>
            </w:pPr>
            <w:r w:rsidRPr="008125D1">
              <w:rPr>
                <w:b/>
                <w:bCs/>
                <w:szCs w:val="21"/>
              </w:rPr>
              <w:t>Goals</w:t>
            </w:r>
          </w:p>
        </w:tc>
      </w:tr>
      <w:tr w:rsidR="008125D1" w:rsidRPr="008125D1" w14:paraId="1496EB37" w14:textId="77777777" w:rsidTr="008125D1">
        <w:tc>
          <w:tcPr>
            <w:tcW w:w="3114" w:type="dxa"/>
          </w:tcPr>
          <w:p w14:paraId="01F42303" w14:textId="77777777" w:rsidR="008125D1" w:rsidRPr="008125D1" w:rsidRDefault="008125D1" w:rsidP="008125D1">
            <w:pPr>
              <w:spacing w:before="60" w:after="60"/>
              <w:rPr>
                <w:szCs w:val="21"/>
              </w:rPr>
            </w:pPr>
            <w:r w:rsidRPr="008125D1">
              <w:rPr>
                <w:b/>
                <w:bCs/>
                <w:szCs w:val="21"/>
              </w:rPr>
              <w:t xml:space="preserve">Objective 4.1: </w:t>
            </w:r>
            <w:r w:rsidRPr="008125D1">
              <w:rPr>
                <w:szCs w:val="21"/>
              </w:rPr>
              <w:t>Increase workforce capacity and capability to expand access to immunisation services.</w:t>
            </w:r>
          </w:p>
        </w:tc>
        <w:tc>
          <w:tcPr>
            <w:tcW w:w="4966" w:type="dxa"/>
          </w:tcPr>
          <w:p w14:paraId="0DEFDFBE" w14:textId="77777777" w:rsidR="008125D1" w:rsidRPr="008125D1" w:rsidRDefault="008125D1" w:rsidP="008125D1">
            <w:pPr>
              <w:pStyle w:val="ListParagraph"/>
              <w:numPr>
                <w:ilvl w:val="2"/>
                <w:numId w:val="15"/>
              </w:numPr>
              <w:spacing w:before="60" w:after="60"/>
              <w:contextualSpacing w:val="0"/>
              <w:rPr>
                <w:sz w:val="21"/>
                <w:szCs w:val="21"/>
              </w:rPr>
            </w:pPr>
            <w:r w:rsidRPr="008125D1">
              <w:rPr>
                <w:sz w:val="21"/>
                <w:szCs w:val="21"/>
              </w:rPr>
              <w:t>Enable the vaccinator workforce to support the right people in the right places to deliver immunisations across the life course.</w:t>
            </w:r>
          </w:p>
          <w:p w14:paraId="46673199" w14:textId="77777777" w:rsidR="008125D1" w:rsidRPr="008125D1" w:rsidRDefault="008125D1" w:rsidP="008125D1">
            <w:pPr>
              <w:pStyle w:val="ListParagraph"/>
              <w:numPr>
                <w:ilvl w:val="2"/>
                <w:numId w:val="15"/>
              </w:numPr>
              <w:spacing w:before="60" w:after="60"/>
              <w:contextualSpacing w:val="0"/>
              <w:rPr>
                <w:sz w:val="21"/>
                <w:szCs w:val="21"/>
              </w:rPr>
            </w:pPr>
            <w:r w:rsidRPr="008125D1">
              <w:rPr>
                <w:sz w:val="21"/>
                <w:szCs w:val="21"/>
              </w:rPr>
              <w:t>Provide vaccinators with training and support services that reduce workforce barriers.</w:t>
            </w:r>
          </w:p>
          <w:p w14:paraId="7FE6A68D" w14:textId="77777777" w:rsidR="008125D1" w:rsidRPr="008125D1" w:rsidRDefault="008125D1" w:rsidP="008125D1">
            <w:pPr>
              <w:pStyle w:val="ListParagraph"/>
              <w:numPr>
                <w:ilvl w:val="2"/>
                <w:numId w:val="15"/>
              </w:numPr>
              <w:spacing w:before="60" w:after="60"/>
              <w:contextualSpacing w:val="0"/>
              <w:rPr>
                <w:sz w:val="21"/>
                <w:szCs w:val="21"/>
              </w:rPr>
            </w:pPr>
            <w:r w:rsidRPr="008125D1">
              <w:rPr>
                <w:sz w:val="21"/>
                <w:szCs w:val="21"/>
              </w:rPr>
              <w:t>Reduce inconsistencies and variations in requirements for authorising vaccinators .</w:t>
            </w:r>
          </w:p>
          <w:p w14:paraId="4E90659C" w14:textId="77777777" w:rsidR="008125D1" w:rsidRPr="008125D1" w:rsidRDefault="008125D1" w:rsidP="008125D1">
            <w:pPr>
              <w:pStyle w:val="ListParagraph"/>
              <w:numPr>
                <w:ilvl w:val="2"/>
                <w:numId w:val="15"/>
              </w:numPr>
              <w:spacing w:before="60" w:after="60"/>
              <w:contextualSpacing w:val="0"/>
              <w:rPr>
                <w:sz w:val="21"/>
                <w:szCs w:val="21"/>
              </w:rPr>
            </w:pPr>
            <w:r w:rsidRPr="008125D1">
              <w:rPr>
                <w:sz w:val="21"/>
                <w:szCs w:val="21"/>
              </w:rPr>
              <w:t>Provide reliable real-time data that informs workforce analysis and enables the system to mobilise the workforce in areas of need.</w:t>
            </w:r>
          </w:p>
        </w:tc>
      </w:tr>
      <w:tr w:rsidR="008125D1" w:rsidRPr="008125D1" w14:paraId="07ABCC1F" w14:textId="77777777" w:rsidTr="008125D1">
        <w:trPr>
          <w:trHeight w:val="874"/>
        </w:trPr>
        <w:tc>
          <w:tcPr>
            <w:tcW w:w="3114" w:type="dxa"/>
          </w:tcPr>
          <w:p w14:paraId="7CCA52C7" w14:textId="77777777" w:rsidR="008125D1" w:rsidRPr="008125D1" w:rsidRDefault="008125D1" w:rsidP="008125D1">
            <w:pPr>
              <w:spacing w:before="60" w:after="60"/>
              <w:rPr>
                <w:szCs w:val="21"/>
              </w:rPr>
            </w:pPr>
            <w:r w:rsidRPr="008125D1">
              <w:rPr>
                <w:b/>
                <w:bCs/>
                <w:szCs w:val="21"/>
              </w:rPr>
              <w:lastRenderedPageBreak/>
              <w:t>Objective 4.2:</w:t>
            </w:r>
            <w:r w:rsidRPr="008125D1">
              <w:rPr>
                <w:i/>
                <w:iCs/>
                <w:szCs w:val="21"/>
              </w:rPr>
              <w:t xml:space="preserve"> </w:t>
            </w:r>
            <w:r w:rsidRPr="008125D1">
              <w:rPr>
                <w:szCs w:val="21"/>
              </w:rPr>
              <w:t>Support the recruitment, retention and growth of a highly skilled vaccinator workforce.</w:t>
            </w:r>
          </w:p>
        </w:tc>
        <w:tc>
          <w:tcPr>
            <w:tcW w:w="4966" w:type="dxa"/>
          </w:tcPr>
          <w:p w14:paraId="78D6862A" w14:textId="77777777" w:rsidR="008125D1" w:rsidRPr="008125D1" w:rsidRDefault="008125D1" w:rsidP="009F55F0">
            <w:pPr>
              <w:pStyle w:val="ListParagraph"/>
              <w:numPr>
                <w:ilvl w:val="2"/>
                <w:numId w:val="16"/>
              </w:numPr>
              <w:spacing w:before="60" w:after="60"/>
              <w:contextualSpacing w:val="0"/>
              <w:rPr>
                <w:sz w:val="21"/>
                <w:szCs w:val="21"/>
              </w:rPr>
            </w:pPr>
            <w:r w:rsidRPr="008125D1">
              <w:rPr>
                <w:sz w:val="21"/>
                <w:szCs w:val="21"/>
              </w:rPr>
              <w:t>Support vaccinators to effectively onboard and access resources they need for delivery.</w:t>
            </w:r>
          </w:p>
          <w:p w14:paraId="58E5EC6C" w14:textId="77777777" w:rsidR="008125D1" w:rsidRPr="008125D1" w:rsidRDefault="008125D1" w:rsidP="008125D1">
            <w:pPr>
              <w:pStyle w:val="ListParagraph"/>
              <w:numPr>
                <w:ilvl w:val="2"/>
                <w:numId w:val="16"/>
              </w:numPr>
              <w:spacing w:before="60" w:after="60"/>
              <w:contextualSpacing w:val="0"/>
              <w:rPr>
                <w:rStyle w:val="normaltextrun"/>
                <w:sz w:val="21"/>
                <w:szCs w:val="21"/>
              </w:rPr>
            </w:pPr>
            <w:r w:rsidRPr="008125D1">
              <w:rPr>
                <w:sz w:val="21"/>
                <w:szCs w:val="21"/>
              </w:rPr>
              <w:t xml:space="preserve">Implement strategies to improve the health and wellbeing needs of the workforce, </w:t>
            </w:r>
            <w:r w:rsidRPr="008125D1">
              <w:rPr>
                <w:rStyle w:val="normaltextrun"/>
                <w:sz w:val="21"/>
                <w:szCs w:val="21"/>
              </w:rPr>
              <w:t>their experiences and environment.</w:t>
            </w:r>
          </w:p>
        </w:tc>
      </w:tr>
      <w:tr w:rsidR="008125D1" w:rsidRPr="008125D1" w14:paraId="7791ECCC" w14:textId="77777777" w:rsidTr="008125D1">
        <w:tc>
          <w:tcPr>
            <w:tcW w:w="3114" w:type="dxa"/>
          </w:tcPr>
          <w:p w14:paraId="64C26F6A" w14:textId="77777777" w:rsidR="008125D1" w:rsidRPr="008125D1" w:rsidRDefault="008125D1" w:rsidP="008125D1">
            <w:pPr>
              <w:spacing w:before="60" w:after="60"/>
              <w:rPr>
                <w:szCs w:val="21"/>
              </w:rPr>
            </w:pPr>
            <w:r w:rsidRPr="008125D1">
              <w:rPr>
                <w:b/>
                <w:bCs/>
                <w:szCs w:val="21"/>
              </w:rPr>
              <w:t>Objective 4.3:</w:t>
            </w:r>
            <w:r w:rsidRPr="008125D1">
              <w:rPr>
                <w:i/>
                <w:iCs/>
                <w:szCs w:val="21"/>
              </w:rPr>
              <w:t xml:space="preserve"> </w:t>
            </w:r>
            <w:r w:rsidRPr="008125D1">
              <w:rPr>
                <w:szCs w:val="21"/>
              </w:rPr>
              <w:t>Have a diverse and culturally responsive workforce that reflects the community it serves.</w:t>
            </w:r>
          </w:p>
        </w:tc>
        <w:tc>
          <w:tcPr>
            <w:tcW w:w="4966" w:type="dxa"/>
          </w:tcPr>
          <w:p w14:paraId="12393184" w14:textId="77777777" w:rsidR="008125D1" w:rsidRPr="008125D1" w:rsidRDefault="008125D1" w:rsidP="008125D1">
            <w:pPr>
              <w:pStyle w:val="ListParagraph"/>
              <w:numPr>
                <w:ilvl w:val="2"/>
                <w:numId w:val="17"/>
              </w:numPr>
              <w:spacing w:before="60" w:after="60"/>
              <w:contextualSpacing w:val="0"/>
              <w:rPr>
                <w:sz w:val="21"/>
                <w:szCs w:val="21"/>
              </w:rPr>
            </w:pPr>
            <w:r w:rsidRPr="008125D1">
              <w:rPr>
                <w:sz w:val="21"/>
                <w:szCs w:val="21"/>
              </w:rPr>
              <w:t>Make available vaccinator and cultural safety training to members of diverse communities.</w:t>
            </w:r>
          </w:p>
          <w:p w14:paraId="372D6008" w14:textId="77777777" w:rsidR="008125D1" w:rsidRPr="008125D1" w:rsidRDefault="008125D1" w:rsidP="008125D1">
            <w:pPr>
              <w:pStyle w:val="ListParagraph"/>
              <w:numPr>
                <w:ilvl w:val="2"/>
                <w:numId w:val="17"/>
              </w:numPr>
              <w:spacing w:before="60" w:after="60"/>
              <w:contextualSpacing w:val="0"/>
              <w:rPr>
                <w:sz w:val="21"/>
                <w:szCs w:val="21"/>
              </w:rPr>
            </w:pPr>
            <w:r w:rsidRPr="008125D1">
              <w:rPr>
                <w:sz w:val="21"/>
                <w:szCs w:val="21"/>
              </w:rPr>
              <w:t>Provide programmes for tertiary health study, training and development opportunities that better meet the needs of populations.</w:t>
            </w:r>
          </w:p>
          <w:p w14:paraId="62C9ECE5" w14:textId="77777777" w:rsidR="008125D1" w:rsidRPr="008125D1" w:rsidRDefault="008125D1" w:rsidP="008125D1">
            <w:pPr>
              <w:pStyle w:val="ListParagraph"/>
              <w:numPr>
                <w:ilvl w:val="2"/>
                <w:numId w:val="17"/>
              </w:numPr>
              <w:spacing w:before="60" w:after="60"/>
              <w:contextualSpacing w:val="0"/>
              <w:rPr>
                <w:sz w:val="21"/>
                <w:szCs w:val="21"/>
              </w:rPr>
            </w:pPr>
            <w:r w:rsidRPr="008125D1">
              <w:rPr>
                <w:sz w:val="21"/>
                <w:szCs w:val="21"/>
              </w:rPr>
              <w:t>Strengthen pathways into clinical, non-clinical and leadership roles for those with lived experience.</w:t>
            </w:r>
          </w:p>
        </w:tc>
      </w:tr>
    </w:tbl>
    <w:p w14:paraId="0E511F38" w14:textId="77777777" w:rsidR="008125D1" w:rsidRPr="008878BA" w:rsidRDefault="008125D1" w:rsidP="008125D1">
      <w:pPr>
        <w:pStyle w:val="Heading2"/>
      </w:pPr>
      <w:bookmarkStart w:id="36" w:name="_Toc190243187"/>
      <w:bookmarkStart w:id="37" w:name="_Toc190950027"/>
      <w:r w:rsidRPr="008878BA">
        <w:t xml:space="preserve">Focus </w:t>
      </w:r>
      <w:r>
        <w:t>a</w:t>
      </w:r>
      <w:r w:rsidRPr="008878BA">
        <w:t xml:space="preserve">rea 5: System </w:t>
      </w:r>
      <w:r>
        <w:t>c</w:t>
      </w:r>
      <w:r w:rsidRPr="008878BA">
        <w:t>apability</w:t>
      </w:r>
      <w:bookmarkEnd w:id="36"/>
      <w:bookmarkEnd w:id="37"/>
    </w:p>
    <w:p w14:paraId="592758A5" w14:textId="77777777" w:rsidR="008125D1" w:rsidRPr="008878BA" w:rsidRDefault="008125D1" w:rsidP="008125D1">
      <w:pPr>
        <w:pStyle w:val="Heading3"/>
      </w:pPr>
      <w:r w:rsidRPr="008878BA">
        <w:t>The immunisation system is integrated, resilient and well</w:t>
      </w:r>
      <w:r>
        <w:t xml:space="preserve"> </w:t>
      </w:r>
      <w:r w:rsidRPr="008878BA">
        <w:t>governed to ensure effective delivery</w:t>
      </w:r>
    </w:p>
    <w:p w14:paraId="55809FB6" w14:textId="6D90D5F8" w:rsidR="008125D1" w:rsidRDefault="008125D1" w:rsidP="008125D1">
      <w:pPr>
        <w:rPr>
          <w:rFonts w:eastAsia="Segoe UI"/>
        </w:rPr>
      </w:pPr>
      <w:r>
        <w:rPr>
          <w:rFonts w:eastAsiaTheme="minorHAnsi"/>
          <w:lang w:eastAsia="en-US"/>
        </w:rPr>
        <w:t>Having s</w:t>
      </w:r>
      <w:r w:rsidRPr="00EF531D">
        <w:rPr>
          <w:rFonts w:eastAsiaTheme="minorHAnsi"/>
          <w:lang w:eastAsia="en-US"/>
        </w:rPr>
        <w:t xml:space="preserve">trong governance across </w:t>
      </w:r>
      <w:r>
        <w:rPr>
          <w:rFonts w:eastAsiaTheme="minorHAnsi"/>
          <w:lang w:eastAsia="en-US"/>
        </w:rPr>
        <w:t>all</w:t>
      </w:r>
      <w:r w:rsidRPr="00EF531D">
        <w:rPr>
          <w:rFonts w:eastAsiaTheme="minorHAnsi"/>
          <w:lang w:eastAsia="en-US"/>
        </w:rPr>
        <w:t xml:space="preserve"> parts of the immunisation system allows for clear lines of communication, escalation and </w:t>
      </w:r>
      <w:r w:rsidRPr="004542A1">
        <w:rPr>
          <w:rFonts w:eastAsiaTheme="minorHAnsi"/>
          <w:lang w:eastAsia="en-US"/>
        </w:rPr>
        <w:t>accountability</w:t>
      </w:r>
      <w:r w:rsidR="005A1034">
        <w:rPr>
          <w:rFonts w:eastAsiaTheme="minorHAnsi"/>
          <w:lang w:eastAsia="en-US"/>
        </w:rPr>
        <w:t xml:space="preserve">. </w:t>
      </w:r>
      <w:r w:rsidRPr="00EF531D">
        <w:rPr>
          <w:rFonts w:eastAsiaTheme="minorHAnsi"/>
          <w:lang w:eastAsia="en-US"/>
        </w:rPr>
        <w:t xml:space="preserve">It enables good decision-making to </w:t>
      </w:r>
      <w:r>
        <w:rPr>
          <w:rFonts w:eastAsiaTheme="minorHAnsi"/>
          <w:lang w:eastAsia="en-US"/>
        </w:rPr>
        <w:t>equip</w:t>
      </w:r>
      <w:r w:rsidRPr="00EF531D">
        <w:rPr>
          <w:rFonts w:eastAsiaTheme="minorHAnsi"/>
          <w:lang w:eastAsia="en-US"/>
        </w:rPr>
        <w:t xml:space="preserve"> the system with the resources and infrastructure necessary to deliver immunisations effectively. S</w:t>
      </w:r>
      <w:r w:rsidRPr="00EF531D">
        <w:t>trengthening the governance structure improve</w:t>
      </w:r>
      <w:r>
        <w:t>s</w:t>
      </w:r>
      <w:r w:rsidRPr="00EF531D">
        <w:t xml:space="preserve"> </w:t>
      </w:r>
      <w:r w:rsidRPr="00EF531D">
        <w:rPr>
          <w:rFonts w:eastAsia="Segoe UI"/>
        </w:rPr>
        <w:t xml:space="preserve">monitoring, assurance and proactive risk management. </w:t>
      </w:r>
    </w:p>
    <w:p w14:paraId="6119472B" w14:textId="77777777" w:rsidR="008125D1" w:rsidRPr="00EF531D" w:rsidRDefault="008125D1" w:rsidP="008125D1">
      <w:pPr>
        <w:rPr>
          <w:rFonts w:eastAsia="Segoe UI"/>
        </w:rPr>
      </w:pPr>
    </w:p>
    <w:p w14:paraId="427BE6ED" w14:textId="21CC14AA" w:rsidR="008125D1" w:rsidRDefault="008125D1" w:rsidP="008125D1">
      <w:r>
        <w:t xml:space="preserve">An important aim continues to be to build a </w:t>
      </w:r>
      <w:r w:rsidRPr="00EF531D">
        <w:t>capable and resilient</w:t>
      </w:r>
      <w:r w:rsidRPr="001B5DF3">
        <w:t xml:space="preserve"> </w:t>
      </w:r>
      <w:r w:rsidRPr="00EF531D">
        <w:t xml:space="preserve">system to protect the people of New Zealand (including non-residents) and </w:t>
      </w:r>
      <w:r>
        <w:t xml:space="preserve">people </w:t>
      </w:r>
      <w:r w:rsidRPr="00EF531D">
        <w:t>throughout the broader Pacific region, while also upholding national and international standards and best practice.</w:t>
      </w:r>
    </w:p>
    <w:p w14:paraId="2D4181A5" w14:textId="77777777" w:rsidR="008125D1" w:rsidRPr="00EF531D" w:rsidRDefault="008125D1" w:rsidP="008125D1">
      <w:pPr>
        <w:rPr>
          <w:rFonts w:eastAsia="Segoe UI"/>
        </w:rPr>
      </w:pPr>
    </w:p>
    <w:tbl>
      <w:tblPr>
        <w:tblStyle w:val="TableGrid"/>
        <w:tblW w:w="8075" w:type="dxa"/>
        <w:tblBorders>
          <w:top w:val="single" w:sz="4" w:space="0" w:color="B6DFE0" w:themeColor="background1" w:themeTint="66"/>
          <w:left w:val="none" w:sz="0" w:space="0" w:color="auto"/>
          <w:bottom w:val="single" w:sz="4" w:space="0" w:color="B6DFE0" w:themeColor="background1" w:themeTint="66"/>
          <w:right w:val="none" w:sz="0" w:space="0" w:color="auto"/>
          <w:insideH w:val="single" w:sz="4" w:space="0" w:color="B6DFE0" w:themeColor="background1" w:themeTint="66"/>
          <w:insideV w:val="single" w:sz="4" w:space="0" w:color="B6DFE0" w:themeColor="background1" w:themeTint="66"/>
        </w:tblBorders>
        <w:tblLook w:val="04A0" w:firstRow="1" w:lastRow="0" w:firstColumn="1" w:lastColumn="0" w:noHBand="0" w:noVBand="1"/>
      </w:tblPr>
      <w:tblGrid>
        <w:gridCol w:w="3114"/>
        <w:gridCol w:w="4961"/>
      </w:tblGrid>
      <w:tr w:rsidR="008125D1" w:rsidRPr="008125D1" w14:paraId="72078C71" w14:textId="77777777" w:rsidTr="008125D1">
        <w:trPr>
          <w:tblHeader/>
        </w:trPr>
        <w:tc>
          <w:tcPr>
            <w:tcW w:w="8075" w:type="dxa"/>
            <w:gridSpan w:val="2"/>
            <w:shd w:val="clear" w:color="auto" w:fill="B6DFE0" w:themeFill="background1" w:themeFillTint="66"/>
          </w:tcPr>
          <w:p w14:paraId="2656FBD3" w14:textId="77777777" w:rsidR="008125D1" w:rsidRPr="008125D1" w:rsidRDefault="008125D1" w:rsidP="008125D1">
            <w:pPr>
              <w:spacing w:before="60" w:after="60"/>
              <w:rPr>
                <w:b/>
                <w:bCs/>
                <w:szCs w:val="21"/>
              </w:rPr>
            </w:pPr>
            <w:bookmarkStart w:id="38" w:name="_Toc175729680"/>
            <w:bookmarkStart w:id="39" w:name="_Toc175792472"/>
            <w:r w:rsidRPr="008125D1">
              <w:rPr>
                <w:b/>
                <w:bCs/>
                <w:szCs w:val="21"/>
              </w:rPr>
              <w:t xml:space="preserve">Focus area 5: </w:t>
            </w:r>
            <w:bookmarkEnd w:id="38"/>
            <w:bookmarkEnd w:id="39"/>
            <w:r w:rsidRPr="008125D1">
              <w:rPr>
                <w:b/>
                <w:bCs/>
                <w:szCs w:val="21"/>
              </w:rPr>
              <w:t>System capability</w:t>
            </w:r>
          </w:p>
        </w:tc>
      </w:tr>
      <w:tr w:rsidR="008125D1" w:rsidRPr="008125D1" w14:paraId="596DB7BB" w14:textId="77777777" w:rsidTr="00100626">
        <w:trPr>
          <w:tblHeader/>
        </w:trPr>
        <w:tc>
          <w:tcPr>
            <w:tcW w:w="3114" w:type="dxa"/>
            <w:shd w:val="clear" w:color="auto" w:fill="DAEFEF" w:themeFill="background1" w:themeFillTint="33"/>
          </w:tcPr>
          <w:p w14:paraId="26A3AD22" w14:textId="77777777" w:rsidR="008125D1" w:rsidRPr="008125D1" w:rsidRDefault="008125D1" w:rsidP="008125D1">
            <w:pPr>
              <w:spacing w:before="60" w:after="60"/>
              <w:rPr>
                <w:b/>
                <w:bCs/>
                <w:szCs w:val="21"/>
              </w:rPr>
            </w:pPr>
            <w:r w:rsidRPr="008125D1">
              <w:rPr>
                <w:b/>
                <w:bCs/>
                <w:szCs w:val="21"/>
              </w:rPr>
              <w:t>Objectives</w:t>
            </w:r>
          </w:p>
        </w:tc>
        <w:tc>
          <w:tcPr>
            <w:tcW w:w="4961" w:type="dxa"/>
            <w:shd w:val="clear" w:color="auto" w:fill="DAEFEF" w:themeFill="background1" w:themeFillTint="33"/>
          </w:tcPr>
          <w:p w14:paraId="7035C259" w14:textId="77777777" w:rsidR="008125D1" w:rsidRPr="008125D1" w:rsidRDefault="008125D1" w:rsidP="008125D1">
            <w:pPr>
              <w:spacing w:before="60" w:after="60"/>
              <w:rPr>
                <w:b/>
                <w:bCs/>
                <w:szCs w:val="21"/>
              </w:rPr>
            </w:pPr>
            <w:r w:rsidRPr="008125D1">
              <w:rPr>
                <w:b/>
                <w:bCs/>
                <w:szCs w:val="21"/>
              </w:rPr>
              <w:t>Goals</w:t>
            </w:r>
          </w:p>
        </w:tc>
      </w:tr>
      <w:tr w:rsidR="008125D1" w:rsidRPr="008125D1" w14:paraId="6D8C3668" w14:textId="77777777" w:rsidTr="00100626">
        <w:tc>
          <w:tcPr>
            <w:tcW w:w="3114" w:type="dxa"/>
          </w:tcPr>
          <w:p w14:paraId="612E743F" w14:textId="77777777" w:rsidR="008125D1" w:rsidRPr="008125D1" w:rsidRDefault="008125D1" w:rsidP="008125D1">
            <w:pPr>
              <w:spacing w:before="60" w:after="60"/>
              <w:rPr>
                <w:szCs w:val="21"/>
              </w:rPr>
            </w:pPr>
            <w:r w:rsidRPr="008125D1">
              <w:rPr>
                <w:b/>
                <w:bCs/>
                <w:szCs w:val="21"/>
              </w:rPr>
              <w:t xml:space="preserve">Objective 5.1: </w:t>
            </w:r>
            <w:r w:rsidRPr="008125D1">
              <w:rPr>
                <w:szCs w:val="21"/>
              </w:rPr>
              <w:t>Embed a robust and enduring governance system with clear roles, responsibilities and decision-making processes.</w:t>
            </w:r>
          </w:p>
        </w:tc>
        <w:tc>
          <w:tcPr>
            <w:tcW w:w="4961" w:type="dxa"/>
          </w:tcPr>
          <w:p w14:paraId="4E2E83A1" w14:textId="77777777" w:rsidR="008125D1" w:rsidRPr="008125D1" w:rsidRDefault="008125D1" w:rsidP="008125D1">
            <w:pPr>
              <w:pStyle w:val="ListParagraph"/>
              <w:numPr>
                <w:ilvl w:val="2"/>
                <w:numId w:val="18"/>
              </w:numPr>
              <w:spacing w:before="60" w:after="60"/>
              <w:contextualSpacing w:val="0"/>
              <w:rPr>
                <w:sz w:val="21"/>
                <w:szCs w:val="21"/>
              </w:rPr>
            </w:pPr>
            <w:r w:rsidRPr="008125D1">
              <w:rPr>
                <w:sz w:val="21"/>
                <w:szCs w:val="21"/>
              </w:rPr>
              <w:t>Streamline national and regional immunisation governance structures that are interconnected and operate effectively.</w:t>
            </w:r>
          </w:p>
          <w:p w14:paraId="697CA328" w14:textId="77777777" w:rsidR="008125D1" w:rsidRPr="008125D1" w:rsidRDefault="008125D1" w:rsidP="008125D1">
            <w:pPr>
              <w:pStyle w:val="ListParagraph"/>
              <w:numPr>
                <w:ilvl w:val="2"/>
                <w:numId w:val="18"/>
              </w:numPr>
              <w:spacing w:before="60" w:after="60"/>
              <w:contextualSpacing w:val="0"/>
              <w:rPr>
                <w:sz w:val="21"/>
                <w:szCs w:val="21"/>
              </w:rPr>
            </w:pPr>
            <w:r w:rsidRPr="008125D1">
              <w:rPr>
                <w:sz w:val="21"/>
                <w:szCs w:val="21"/>
              </w:rPr>
              <w:t>Develop a clear monitoring, assurance and evaluation framework.</w:t>
            </w:r>
          </w:p>
        </w:tc>
      </w:tr>
      <w:tr w:rsidR="008125D1" w:rsidRPr="008125D1" w14:paraId="104C7CCD" w14:textId="77777777" w:rsidTr="00100626">
        <w:trPr>
          <w:trHeight w:val="1920"/>
        </w:trPr>
        <w:tc>
          <w:tcPr>
            <w:tcW w:w="3114" w:type="dxa"/>
          </w:tcPr>
          <w:p w14:paraId="37101DCE" w14:textId="77777777" w:rsidR="008125D1" w:rsidRPr="008125D1" w:rsidRDefault="008125D1" w:rsidP="008125D1">
            <w:pPr>
              <w:spacing w:before="60" w:after="60"/>
              <w:rPr>
                <w:szCs w:val="21"/>
              </w:rPr>
            </w:pPr>
            <w:r w:rsidRPr="008125D1">
              <w:rPr>
                <w:b/>
                <w:bCs/>
                <w:szCs w:val="21"/>
              </w:rPr>
              <w:lastRenderedPageBreak/>
              <w:t xml:space="preserve">Objective 5.2: </w:t>
            </w:r>
            <w:r w:rsidRPr="008125D1">
              <w:rPr>
                <w:szCs w:val="21"/>
              </w:rPr>
              <w:t>Support and grow effective immunisation services that are provided over the long term and sustainable.</w:t>
            </w:r>
          </w:p>
        </w:tc>
        <w:tc>
          <w:tcPr>
            <w:tcW w:w="4961" w:type="dxa"/>
          </w:tcPr>
          <w:p w14:paraId="00544294" w14:textId="77777777" w:rsidR="008125D1" w:rsidRPr="008125D1" w:rsidRDefault="008125D1" w:rsidP="008125D1">
            <w:pPr>
              <w:pStyle w:val="ListParagraph"/>
              <w:numPr>
                <w:ilvl w:val="2"/>
                <w:numId w:val="19"/>
              </w:numPr>
              <w:spacing w:before="60" w:after="60"/>
              <w:contextualSpacing w:val="0"/>
              <w:rPr>
                <w:sz w:val="21"/>
                <w:szCs w:val="21"/>
              </w:rPr>
            </w:pPr>
            <w:r w:rsidRPr="008125D1">
              <w:rPr>
                <w:sz w:val="21"/>
                <w:szCs w:val="21"/>
              </w:rPr>
              <w:t>Ensure services are well resourced and future focused, and support long-term, tailored delivery.</w:t>
            </w:r>
          </w:p>
          <w:p w14:paraId="3B8AD9F8" w14:textId="77777777" w:rsidR="008125D1" w:rsidRPr="008125D1" w:rsidRDefault="008125D1" w:rsidP="008125D1">
            <w:pPr>
              <w:pStyle w:val="ListParagraph"/>
              <w:numPr>
                <w:ilvl w:val="2"/>
                <w:numId w:val="19"/>
              </w:numPr>
              <w:spacing w:before="60" w:after="60"/>
              <w:contextualSpacing w:val="0"/>
              <w:rPr>
                <w:sz w:val="21"/>
                <w:szCs w:val="21"/>
              </w:rPr>
            </w:pPr>
            <w:r w:rsidRPr="008125D1">
              <w:rPr>
                <w:sz w:val="21"/>
                <w:szCs w:val="21"/>
              </w:rPr>
              <w:t xml:space="preserve">Enable community providers to deliver high-quality services over the long term. </w:t>
            </w:r>
          </w:p>
          <w:p w14:paraId="58D8CD65" w14:textId="77777777" w:rsidR="008125D1" w:rsidRPr="008125D1" w:rsidRDefault="008125D1" w:rsidP="008125D1">
            <w:pPr>
              <w:pStyle w:val="ListParagraph"/>
              <w:numPr>
                <w:ilvl w:val="2"/>
                <w:numId w:val="19"/>
              </w:numPr>
              <w:spacing w:before="60" w:after="60"/>
              <w:contextualSpacing w:val="0"/>
              <w:rPr>
                <w:sz w:val="21"/>
                <w:szCs w:val="21"/>
              </w:rPr>
            </w:pPr>
            <w:r w:rsidRPr="008125D1">
              <w:rPr>
                <w:sz w:val="21"/>
                <w:szCs w:val="21"/>
              </w:rPr>
              <w:t>Embed high-trust approaches to service commissioning.</w:t>
            </w:r>
          </w:p>
        </w:tc>
      </w:tr>
      <w:tr w:rsidR="008125D1" w:rsidRPr="008125D1" w14:paraId="69FB9585" w14:textId="77777777" w:rsidTr="00100626">
        <w:trPr>
          <w:trHeight w:val="1621"/>
        </w:trPr>
        <w:tc>
          <w:tcPr>
            <w:tcW w:w="3114" w:type="dxa"/>
          </w:tcPr>
          <w:p w14:paraId="615C8788" w14:textId="77777777" w:rsidR="008125D1" w:rsidRPr="008125D1" w:rsidRDefault="008125D1" w:rsidP="008125D1">
            <w:pPr>
              <w:spacing w:before="60" w:after="60"/>
              <w:rPr>
                <w:szCs w:val="21"/>
              </w:rPr>
            </w:pPr>
            <w:r w:rsidRPr="008125D1">
              <w:rPr>
                <w:b/>
                <w:bCs/>
                <w:szCs w:val="21"/>
              </w:rPr>
              <w:t>Objective 5.3:</w:t>
            </w:r>
            <w:r w:rsidRPr="008125D1">
              <w:rPr>
                <w:i/>
                <w:iCs/>
                <w:szCs w:val="21"/>
              </w:rPr>
              <w:t xml:space="preserve"> </w:t>
            </w:r>
            <w:r w:rsidRPr="008125D1">
              <w:rPr>
                <w:szCs w:val="21"/>
              </w:rPr>
              <w:t>Resource and prepare the system to detect and rapidly respond to outbreaks of vaccine-preventable disease.</w:t>
            </w:r>
          </w:p>
        </w:tc>
        <w:tc>
          <w:tcPr>
            <w:tcW w:w="4961" w:type="dxa"/>
          </w:tcPr>
          <w:p w14:paraId="35C85C0D" w14:textId="77777777" w:rsidR="008125D1" w:rsidRPr="008125D1" w:rsidRDefault="008125D1" w:rsidP="008125D1">
            <w:pPr>
              <w:pStyle w:val="ListParagraph"/>
              <w:numPr>
                <w:ilvl w:val="2"/>
                <w:numId w:val="20"/>
              </w:numPr>
              <w:spacing w:before="60" w:after="60"/>
              <w:contextualSpacing w:val="0"/>
              <w:rPr>
                <w:sz w:val="21"/>
                <w:szCs w:val="21"/>
              </w:rPr>
            </w:pPr>
            <w:r w:rsidRPr="008125D1">
              <w:rPr>
                <w:sz w:val="21"/>
                <w:szCs w:val="21"/>
              </w:rPr>
              <w:t>Enable regions and partners to respond to outbreaks and emergencies while continuing to deliver core immunisation services.</w:t>
            </w:r>
          </w:p>
          <w:p w14:paraId="62802AEC" w14:textId="77777777" w:rsidR="008125D1" w:rsidRPr="008125D1" w:rsidRDefault="008125D1" w:rsidP="008125D1">
            <w:pPr>
              <w:pStyle w:val="ListParagraph"/>
              <w:numPr>
                <w:ilvl w:val="2"/>
                <w:numId w:val="20"/>
              </w:numPr>
              <w:spacing w:before="60" w:after="60"/>
              <w:contextualSpacing w:val="0"/>
              <w:rPr>
                <w:sz w:val="21"/>
                <w:szCs w:val="21"/>
              </w:rPr>
            </w:pPr>
            <w:r w:rsidRPr="008125D1">
              <w:rPr>
                <w:sz w:val="21"/>
                <w:szCs w:val="21"/>
              </w:rPr>
              <w:t>Put in place surge mechanisms that can effectively manage and distribute vaccines as needed if an outbreak occurs.</w:t>
            </w:r>
          </w:p>
        </w:tc>
      </w:tr>
      <w:tr w:rsidR="008125D1" w:rsidRPr="008125D1" w14:paraId="40CC4129" w14:textId="77777777" w:rsidTr="00100626">
        <w:trPr>
          <w:trHeight w:val="2409"/>
        </w:trPr>
        <w:tc>
          <w:tcPr>
            <w:tcW w:w="3114" w:type="dxa"/>
          </w:tcPr>
          <w:p w14:paraId="73A3FDD5" w14:textId="77777777" w:rsidR="008125D1" w:rsidRPr="008125D1" w:rsidRDefault="008125D1" w:rsidP="008125D1">
            <w:pPr>
              <w:spacing w:before="60" w:after="60"/>
              <w:rPr>
                <w:szCs w:val="21"/>
              </w:rPr>
            </w:pPr>
            <w:r w:rsidRPr="008125D1">
              <w:rPr>
                <w:b/>
                <w:bCs/>
                <w:szCs w:val="21"/>
              </w:rPr>
              <w:t xml:space="preserve">Objective 5.4: </w:t>
            </w:r>
            <w:r w:rsidRPr="008125D1">
              <w:rPr>
                <w:szCs w:val="21"/>
              </w:rPr>
              <w:t>Maintain New Zealand’s contribution to global immunisation efforts, meet international standards, and uphold obligations to the Cook Islands, Tokelau, Niue and other Pacific Island countries.</w:t>
            </w:r>
          </w:p>
        </w:tc>
        <w:tc>
          <w:tcPr>
            <w:tcW w:w="4961" w:type="dxa"/>
          </w:tcPr>
          <w:p w14:paraId="754DD182" w14:textId="77777777" w:rsidR="008125D1" w:rsidRPr="008125D1" w:rsidRDefault="008125D1" w:rsidP="008125D1">
            <w:pPr>
              <w:pStyle w:val="ListParagraph"/>
              <w:numPr>
                <w:ilvl w:val="2"/>
                <w:numId w:val="21"/>
              </w:numPr>
              <w:spacing w:before="60" w:after="60"/>
              <w:contextualSpacing w:val="0"/>
              <w:rPr>
                <w:sz w:val="21"/>
                <w:szCs w:val="21"/>
              </w:rPr>
            </w:pPr>
            <w:r w:rsidRPr="008125D1">
              <w:rPr>
                <w:sz w:val="21"/>
                <w:szCs w:val="21"/>
              </w:rPr>
              <w:t>Work in close partnership with Pacific Island countries and with international and regional partners to support global immunisation efforts.</w:t>
            </w:r>
          </w:p>
          <w:p w14:paraId="456B4F41" w14:textId="77777777" w:rsidR="008125D1" w:rsidRPr="008125D1" w:rsidRDefault="008125D1" w:rsidP="008125D1">
            <w:pPr>
              <w:pStyle w:val="ListParagraph"/>
              <w:numPr>
                <w:ilvl w:val="2"/>
                <w:numId w:val="21"/>
              </w:numPr>
              <w:spacing w:before="60" w:after="60"/>
              <w:contextualSpacing w:val="0"/>
              <w:rPr>
                <w:sz w:val="21"/>
                <w:szCs w:val="21"/>
              </w:rPr>
            </w:pPr>
            <w:r w:rsidRPr="008125D1">
              <w:rPr>
                <w:sz w:val="21"/>
                <w:szCs w:val="21"/>
              </w:rPr>
              <w:t>Support partner countries in Polynesia to detect, prevent, prepare for and manage acute public health events arising from infectious communicable diseases prone to large outbreaks, as well as those arising from natural disasters and climate change.</w:t>
            </w:r>
          </w:p>
        </w:tc>
      </w:tr>
    </w:tbl>
    <w:p w14:paraId="76ECA5D9" w14:textId="77777777" w:rsidR="008125D1" w:rsidRDefault="008125D1" w:rsidP="008125D1"/>
    <w:p w14:paraId="3EBDF316" w14:textId="77777777" w:rsidR="008125D1" w:rsidRDefault="008125D1" w:rsidP="008125D1">
      <w:pPr>
        <w:sectPr w:rsidR="008125D1" w:rsidSect="008125D1">
          <w:pgSz w:w="11907" w:h="16834" w:code="9"/>
          <w:pgMar w:top="1418" w:right="1701" w:bottom="1134" w:left="1843" w:header="284" w:footer="425" w:gutter="284"/>
          <w:cols w:space="720"/>
          <w:docGrid w:linePitch="286"/>
        </w:sectPr>
      </w:pPr>
    </w:p>
    <w:p w14:paraId="34AA2186" w14:textId="77777777" w:rsidR="008125D1" w:rsidRDefault="008125D1" w:rsidP="008125D1">
      <w:pPr>
        <w:pStyle w:val="Heading1"/>
      </w:pPr>
      <w:bookmarkStart w:id="40" w:name="_Toc190243188"/>
      <w:bookmarkStart w:id="41" w:name="_Toc190950028"/>
      <w:r w:rsidRPr="00D76405">
        <w:lastRenderedPageBreak/>
        <w:t xml:space="preserve">Key </w:t>
      </w:r>
      <w:r>
        <w:t>r</w:t>
      </w:r>
      <w:r w:rsidRPr="00D76405">
        <w:t>esources</w:t>
      </w:r>
      <w:bookmarkEnd w:id="40"/>
      <w:bookmarkEnd w:id="41"/>
    </w:p>
    <w:p w14:paraId="7DD4E166" w14:textId="77777777" w:rsidR="008125D1" w:rsidRPr="008125D1" w:rsidRDefault="008125D1" w:rsidP="008125D1">
      <w:pPr>
        <w:pStyle w:val="Heading2"/>
      </w:pPr>
      <w:bookmarkStart w:id="42" w:name="_Toc190243189"/>
      <w:bookmarkStart w:id="43" w:name="_Toc190950029"/>
      <w:r w:rsidRPr="008125D1">
        <w:t>References</w:t>
      </w:r>
      <w:bookmarkEnd w:id="42"/>
      <w:bookmarkEnd w:id="43"/>
    </w:p>
    <w:p w14:paraId="6AD81072" w14:textId="77777777" w:rsidR="008125D1" w:rsidRPr="00395DAA" w:rsidRDefault="008125D1" w:rsidP="008125D1">
      <w:pPr>
        <w:pStyle w:val="References"/>
      </w:pPr>
      <w:r w:rsidRPr="00395DAA">
        <w:t xml:space="preserve">Healthpoint. (nd). </w:t>
      </w:r>
      <w:r w:rsidRPr="00395DAA">
        <w:rPr>
          <w:i/>
          <w:iCs/>
        </w:rPr>
        <w:t>What Is a Primary Healthcare Service?</w:t>
      </w:r>
      <w:r w:rsidRPr="00395DAA">
        <w:t xml:space="preserve"> URL: </w:t>
      </w:r>
      <w:hyperlink r:id="rId31" w:history="1">
        <w:r w:rsidRPr="00395DAA">
          <w:rPr>
            <w:rStyle w:val="Hyperlink"/>
            <w:rFonts w:eastAsia="MS Gothic"/>
          </w:rPr>
          <w:t>www.healthpoint.co.nz/gps-accident-urgent-medical-care/what-is-a-primary-healthcare-service/</w:t>
        </w:r>
      </w:hyperlink>
      <w:r w:rsidRPr="00395DAA">
        <w:t xml:space="preserve"> (accessed 8 January 2025).</w:t>
      </w:r>
    </w:p>
    <w:p w14:paraId="7DFBD222" w14:textId="77777777" w:rsidR="008125D1" w:rsidRPr="00395DAA" w:rsidRDefault="008125D1" w:rsidP="008125D1">
      <w:pPr>
        <w:pStyle w:val="References"/>
      </w:pPr>
      <w:r w:rsidRPr="00395DAA">
        <w:t xml:space="preserve">Minister of Health. 2023a. </w:t>
      </w:r>
      <w:r w:rsidRPr="00395DAA">
        <w:rPr>
          <w:i/>
          <w:iCs/>
        </w:rPr>
        <w:t>Pae Tū: Hauora Māori Strategy.</w:t>
      </w:r>
      <w:r w:rsidRPr="00395DAA">
        <w:t xml:space="preserve"> URL: </w:t>
      </w:r>
      <w:hyperlink r:id="rId32" w:history="1">
        <w:r w:rsidRPr="00395DAA">
          <w:rPr>
            <w:rStyle w:val="Hyperlink"/>
            <w:rFonts w:eastAsia="MS Gothic"/>
          </w:rPr>
          <w:t>www.health.govt.nz/publications/pae-tu-hauora-maori-strategy</w:t>
        </w:r>
      </w:hyperlink>
      <w:r w:rsidRPr="00395DAA">
        <w:t xml:space="preserve"> (accessed 27 December 2024).</w:t>
      </w:r>
    </w:p>
    <w:p w14:paraId="40B951C5" w14:textId="77777777" w:rsidR="008125D1" w:rsidRPr="00395DAA" w:rsidRDefault="008125D1" w:rsidP="008125D1">
      <w:pPr>
        <w:pStyle w:val="References"/>
      </w:pPr>
      <w:r w:rsidRPr="00395DAA">
        <w:t xml:space="preserve">Minister of Health. 2023b. </w:t>
      </w:r>
      <w:r w:rsidRPr="00395DAA">
        <w:rPr>
          <w:i/>
          <w:iCs/>
        </w:rPr>
        <w:t>Te Mana Ola: The Pacific Health Strategy.</w:t>
      </w:r>
      <w:r w:rsidRPr="00395DAA">
        <w:t xml:space="preserve"> URL: </w:t>
      </w:r>
      <w:hyperlink r:id="rId33" w:history="1">
        <w:r w:rsidRPr="00395DAA">
          <w:rPr>
            <w:rStyle w:val="Hyperlink"/>
            <w:rFonts w:eastAsia="MS Gothic"/>
          </w:rPr>
          <w:t>www.health.govt.nz/publications/te-mana-ola-the-pacific-health-strategy</w:t>
        </w:r>
      </w:hyperlink>
      <w:r w:rsidRPr="00395DAA">
        <w:t xml:space="preserve"> (accessed 27 December 2024).</w:t>
      </w:r>
    </w:p>
    <w:p w14:paraId="2082D04E" w14:textId="77777777" w:rsidR="008125D1" w:rsidRPr="00395DAA" w:rsidRDefault="008125D1" w:rsidP="008125D1">
      <w:pPr>
        <w:pStyle w:val="References"/>
      </w:pPr>
      <w:r w:rsidRPr="00395DAA">
        <w:t xml:space="preserve">Minister of Health. 2023c. </w:t>
      </w:r>
      <w:r w:rsidRPr="00395DAA">
        <w:rPr>
          <w:i/>
          <w:iCs/>
        </w:rPr>
        <w:t>The New Zealand Health Strategy</w:t>
      </w:r>
      <w:r w:rsidRPr="00395DAA">
        <w:t xml:space="preserve">. URL: </w:t>
      </w:r>
      <w:hyperlink r:id="rId34" w:history="1">
        <w:r w:rsidRPr="00395DAA">
          <w:rPr>
            <w:rStyle w:val="Hyperlink"/>
            <w:rFonts w:eastAsia="MS Gothic"/>
          </w:rPr>
          <w:t>www.health.govt.nz/publications/new-zealand-health-strategy</w:t>
        </w:r>
      </w:hyperlink>
      <w:r w:rsidRPr="00395DAA">
        <w:t xml:space="preserve"> (accessed 27 December 2024).</w:t>
      </w:r>
    </w:p>
    <w:p w14:paraId="557DFCBA" w14:textId="77777777" w:rsidR="008125D1" w:rsidRPr="00395DAA" w:rsidRDefault="008125D1" w:rsidP="008125D1">
      <w:pPr>
        <w:pStyle w:val="References"/>
      </w:pPr>
      <w:r w:rsidRPr="00395DAA">
        <w:t xml:space="preserve">Minister of Health. 2023d. </w:t>
      </w:r>
      <w:r w:rsidRPr="00395DAA">
        <w:rPr>
          <w:i/>
          <w:iCs/>
        </w:rPr>
        <w:t>The Provisional Health of Disabled People Strategy.</w:t>
      </w:r>
      <w:r w:rsidRPr="00395DAA">
        <w:t xml:space="preserve"> URL: </w:t>
      </w:r>
      <w:hyperlink r:id="rId35" w:history="1">
        <w:r w:rsidRPr="00395DAA">
          <w:rPr>
            <w:rStyle w:val="Hyperlink"/>
            <w:rFonts w:eastAsia="MS Gothic"/>
          </w:rPr>
          <w:t>www.health.govt.nz/publications/provisional-health-of-disabled-people-strategy</w:t>
        </w:r>
      </w:hyperlink>
      <w:r w:rsidRPr="00395DAA">
        <w:t xml:space="preserve"> (accessed 27 December 2024).</w:t>
      </w:r>
    </w:p>
    <w:p w14:paraId="5D5554D8" w14:textId="77777777" w:rsidR="008125D1" w:rsidRPr="00395DAA" w:rsidRDefault="008125D1" w:rsidP="008125D1">
      <w:pPr>
        <w:pStyle w:val="References"/>
      </w:pPr>
      <w:r w:rsidRPr="00395DAA">
        <w:t xml:space="preserve">Minister of Health. 2023e. </w:t>
      </w:r>
      <w:r w:rsidRPr="00395DAA">
        <w:rPr>
          <w:i/>
          <w:iCs/>
        </w:rPr>
        <w:t>The Rural Health Strategy.</w:t>
      </w:r>
      <w:r w:rsidRPr="00395DAA">
        <w:t xml:space="preserve"> URL: </w:t>
      </w:r>
      <w:hyperlink r:id="rId36" w:history="1">
        <w:r w:rsidRPr="00395DAA">
          <w:rPr>
            <w:rStyle w:val="Hyperlink"/>
            <w:rFonts w:eastAsia="MS Gothic"/>
          </w:rPr>
          <w:t>www.health.govt.nz/publications/rural-health-strategy</w:t>
        </w:r>
      </w:hyperlink>
      <w:r w:rsidRPr="00395DAA">
        <w:t xml:space="preserve"> (accessed 27 December 2024).</w:t>
      </w:r>
    </w:p>
    <w:p w14:paraId="2DA4C42D" w14:textId="77777777" w:rsidR="008125D1" w:rsidRPr="00395DAA" w:rsidRDefault="008125D1" w:rsidP="008125D1">
      <w:pPr>
        <w:pStyle w:val="References"/>
      </w:pPr>
      <w:r w:rsidRPr="00395DAA">
        <w:t xml:space="preserve">Minister of Health. 2023f. </w:t>
      </w:r>
      <w:r w:rsidRPr="00395DAA">
        <w:rPr>
          <w:i/>
          <w:iCs/>
        </w:rPr>
        <w:t>The Women’s Health Strategy.</w:t>
      </w:r>
      <w:r w:rsidRPr="00395DAA">
        <w:t xml:space="preserve"> URL: </w:t>
      </w:r>
      <w:hyperlink r:id="rId37" w:history="1">
        <w:r w:rsidRPr="00395DAA">
          <w:rPr>
            <w:rStyle w:val="Hyperlink"/>
            <w:rFonts w:eastAsia="MS Gothic"/>
          </w:rPr>
          <w:t>www.health.govt.nz/publications/womens-health-strategy</w:t>
        </w:r>
      </w:hyperlink>
      <w:r w:rsidRPr="00395DAA">
        <w:t xml:space="preserve"> (accessed 27 December 2024).</w:t>
      </w:r>
    </w:p>
    <w:p w14:paraId="2506C6CB" w14:textId="77777777" w:rsidR="008125D1" w:rsidRPr="00395DAA" w:rsidRDefault="008125D1" w:rsidP="008125D1">
      <w:pPr>
        <w:pStyle w:val="References"/>
      </w:pPr>
      <w:r w:rsidRPr="00395DAA">
        <w:t xml:space="preserve">Minister of Health. 2024. </w:t>
      </w:r>
      <w:r w:rsidRPr="00395DAA">
        <w:rPr>
          <w:i/>
          <w:iCs/>
        </w:rPr>
        <w:t>Government Policy Statement on Health 2024–2027.</w:t>
      </w:r>
      <w:r w:rsidRPr="00395DAA">
        <w:t xml:space="preserve"> URL: </w:t>
      </w:r>
      <w:hyperlink r:id="rId38" w:history="1">
        <w:r w:rsidRPr="00395DAA">
          <w:rPr>
            <w:rStyle w:val="Hyperlink"/>
            <w:rFonts w:eastAsia="MS Gothic"/>
          </w:rPr>
          <w:t>www.health.govt.nz/publications/government-policy-statement-on-health-2024-2027</w:t>
        </w:r>
      </w:hyperlink>
      <w:r w:rsidRPr="00395DAA">
        <w:t xml:space="preserve"> (accessed 29 December 2024).</w:t>
      </w:r>
    </w:p>
    <w:p w14:paraId="1005286D" w14:textId="77777777" w:rsidR="008125D1" w:rsidRPr="00395DAA" w:rsidRDefault="008125D1" w:rsidP="008125D1">
      <w:pPr>
        <w:pStyle w:val="References"/>
      </w:pPr>
      <w:r w:rsidRPr="00395DAA">
        <w:t xml:space="preserve">Ministry of Health. 2019. </w:t>
      </w:r>
      <w:r w:rsidRPr="00395DAA">
        <w:rPr>
          <w:i/>
          <w:iCs/>
        </w:rPr>
        <w:t xml:space="preserve">Equity. </w:t>
      </w:r>
      <w:r w:rsidRPr="00395DAA">
        <w:t xml:space="preserve">URL: </w:t>
      </w:r>
      <w:hyperlink r:id="rId39" w:history="1">
        <w:r w:rsidRPr="00395DAA">
          <w:rPr>
            <w:rStyle w:val="Hyperlink"/>
            <w:rFonts w:eastAsia="MS Gothic"/>
          </w:rPr>
          <w:t>www.health.govt.nz/strategies-initiatives/programmes-and-initiatives/equity</w:t>
        </w:r>
      </w:hyperlink>
      <w:r w:rsidRPr="00395DAA">
        <w:t xml:space="preserve"> (accessed 29 December 2024).</w:t>
      </w:r>
    </w:p>
    <w:p w14:paraId="30EC866F" w14:textId="77777777" w:rsidR="008125D1" w:rsidRDefault="008125D1" w:rsidP="008125D1">
      <w:pPr>
        <w:pStyle w:val="References"/>
      </w:pPr>
      <w:r w:rsidRPr="00395DAA">
        <w:t xml:space="preserve">Whaikaha – Ministry of Disabled People. (nd). </w:t>
      </w:r>
      <w:r w:rsidRPr="00395DAA">
        <w:rPr>
          <w:i/>
          <w:iCs/>
        </w:rPr>
        <w:t>Things You Should Know: Definitions, concepts and approaches.</w:t>
      </w:r>
      <w:r w:rsidRPr="00395DAA">
        <w:t xml:space="preserve"> URL: </w:t>
      </w:r>
      <w:hyperlink r:id="rId40" w:history="1">
        <w:r w:rsidRPr="00395DAA">
          <w:rPr>
            <w:rStyle w:val="Hyperlink"/>
            <w:rFonts w:eastAsia="MS Gothic"/>
          </w:rPr>
          <w:t>www.odi.govt.nz/support-and-services/guidance-and-resources/resources-for-policy-makers/disability-toolkit-for-policy/things-you-should-know</w:t>
        </w:r>
      </w:hyperlink>
      <w:r w:rsidRPr="00395DAA">
        <w:t xml:space="preserve"> (accessed 29 December 2024).</w:t>
      </w:r>
    </w:p>
    <w:p w14:paraId="7CEE29EF" w14:textId="77777777" w:rsidR="008125D1" w:rsidRPr="000B782B" w:rsidRDefault="008125D1" w:rsidP="008125D1">
      <w:pPr>
        <w:pStyle w:val="References"/>
      </w:pPr>
      <w:r>
        <w:t>United Nations. 2006.</w:t>
      </w:r>
      <w:r>
        <w:rPr>
          <w:i/>
          <w:iCs/>
        </w:rPr>
        <w:t xml:space="preserve"> Convention on the Rights of Persons with Disabilities</w:t>
      </w:r>
      <w:r>
        <w:t xml:space="preserve">. URL: </w:t>
      </w:r>
      <w:hyperlink r:id="rId41" w:history="1">
        <w:r w:rsidRPr="009C3414">
          <w:rPr>
            <w:rStyle w:val="Hyperlink"/>
            <w:rFonts w:eastAsia="MS Gothic"/>
          </w:rPr>
          <w:t>www.social.desa.un.org/issues/disability/crpd/convention-on-the-rights-of-persons-with-disabilities-articles</w:t>
        </w:r>
      </w:hyperlink>
      <w:r>
        <w:t xml:space="preserve"> (accessed 16 January 2025).</w:t>
      </w:r>
    </w:p>
    <w:p w14:paraId="57CBBF51" w14:textId="77777777" w:rsidR="008125D1" w:rsidRPr="008125D1" w:rsidRDefault="008125D1" w:rsidP="008125D1">
      <w:pPr>
        <w:pStyle w:val="Heading2"/>
      </w:pPr>
      <w:bookmarkStart w:id="44" w:name="_Toc190243190"/>
      <w:bookmarkStart w:id="45" w:name="_Toc190950030"/>
      <w:r w:rsidRPr="008125D1">
        <w:lastRenderedPageBreak/>
        <w:t>Further reading</w:t>
      </w:r>
      <w:bookmarkEnd w:id="44"/>
      <w:bookmarkEnd w:id="45"/>
    </w:p>
    <w:p w14:paraId="3E776C41" w14:textId="77777777" w:rsidR="008125D1" w:rsidRPr="00635466" w:rsidRDefault="008125D1" w:rsidP="008125D1">
      <w:pPr>
        <w:pStyle w:val="References"/>
      </w:pPr>
      <w:r w:rsidRPr="00635466">
        <w:t xml:space="preserve">Brown S, Toki L, Clark T. 2021. </w:t>
      </w:r>
      <w:r w:rsidRPr="00067C3B">
        <w:rPr>
          <w:i/>
          <w:iCs/>
        </w:rPr>
        <w:t>Māori Māmā Views and Experiences of Vaccinating Their Pēpi and Tamariki: A qualitative Kaupapa Māori study</w:t>
      </w:r>
      <w:r w:rsidRPr="00635466">
        <w:t xml:space="preserve">. WotMatters Consulting contracted by NZ Work Research Institute. URL: </w:t>
      </w:r>
      <w:hyperlink r:id="rId42" w:history="1">
        <w:r w:rsidRPr="00635466">
          <w:rPr>
            <w:rStyle w:val="Hyperlink"/>
            <w:rFonts w:eastAsia="MS Gothic"/>
          </w:rPr>
          <w:t>www.hpa.org.nz/research-library/research-publications/m%C4%81ori-m%C4%81m%C4%81-views-and-experiences-of-vaccinating-their-p%C4%93pi-and-tamariki-a-qualitative-kaupapa-m%C4%81ori</w:t>
        </w:r>
      </w:hyperlink>
      <w:r w:rsidRPr="00635466">
        <w:t xml:space="preserve"> (accessed 28 December 2024).</w:t>
      </w:r>
    </w:p>
    <w:p w14:paraId="0680CDB0" w14:textId="77777777" w:rsidR="008125D1" w:rsidRDefault="008125D1" w:rsidP="008125D1">
      <w:pPr>
        <w:pStyle w:val="References"/>
      </w:pPr>
      <w:r>
        <w:t>Health New Zealand – Te Whatu Ora</w:t>
      </w:r>
      <w:r w:rsidRPr="00635466">
        <w:t>. 2022</w:t>
      </w:r>
      <w:r>
        <w:t>a</w:t>
      </w:r>
      <w:r w:rsidRPr="00635466">
        <w:t xml:space="preserve">. </w:t>
      </w:r>
      <w:r w:rsidRPr="00635466">
        <w:rPr>
          <w:i/>
          <w:iCs/>
        </w:rPr>
        <w:t>Ola Manuia Interim Pacific Health Plan July 2022 – June 2024</w:t>
      </w:r>
      <w:r w:rsidRPr="00635466">
        <w:t>. URL:</w:t>
      </w:r>
      <w:r>
        <w:t xml:space="preserve"> </w:t>
      </w:r>
      <w:hyperlink r:id="rId43" w:history="1">
        <w:r w:rsidRPr="009C3414">
          <w:rPr>
            <w:rStyle w:val="Hyperlink"/>
            <w:rFonts w:eastAsia="MS Gothic"/>
          </w:rPr>
          <w:t>www.tewhatuora.govt.nz/assets/Publications/Ola-Manuia-iPHP-A4.pdf</w:t>
        </w:r>
      </w:hyperlink>
      <w:r>
        <w:t xml:space="preserve">  (accessed 16 January 2025).</w:t>
      </w:r>
    </w:p>
    <w:p w14:paraId="165F84C6" w14:textId="77777777" w:rsidR="008125D1" w:rsidRDefault="008125D1" w:rsidP="008125D1">
      <w:pPr>
        <w:pStyle w:val="References"/>
      </w:pPr>
      <w:r w:rsidRPr="00635466">
        <w:t>Health New Zealand – Te Whatu Ora. 2022</w:t>
      </w:r>
      <w:r>
        <w:t>b</w:t>
      </w:r>
      <w:r w:rsidRPr="00635466">
        <w:t xml:space="preserve">. </w:t>
      </w:r>
      <w:r w:rsidRPr="00635466">
        <w:rPr>
          <w:i/>
          <w:iCs/>
        </w:rPr>
        <w:t>Te Pae Tata Interim New Zealand Health Plan 2022.</w:t>
      </w:r>
      <w:r w:rsidRPr="00635466">
        <w:t xml:space="preserve"> URL: </w:t>
      </w:r>
      <w:hyperlink r:id="rId44" w:history="1">
        <w:r w:rsidRPr="00635466">
          <w:rPr>
            <w:rStyle w:val="Hyperlink"/>
            <w:rFonts w:eastAsia="MS Gothic"/>
          </w:rPr>
          <w:t>www.tewhatuora.govt.nz/publications/te-pae-tata-interim-new-zealand-health-plan-2022</w:t>
        </w:r>
      </w:hyperlink>
      <w:r w:rsidRPr="00635466">
        <w:t xml:space="preserve"> (accessed 28 December 2024). </w:t>
      </w:r>
    </w:p>
    <w:p w14:paraId="69755D5E" w14:textId="77777777" w:rsidR="008125D1" w:rsidRPr="00635466" w:rsidRDefault="008125D1" w:rsidP="008125D1">
      <w:pPr>
        <w:pStyle w:val="References"/>
      </w:pPr>
      <w:r w:rsidRPr="00635466">
        <w:t>Immunisation Taskforce. 2022.</w:t>
      </w:r>
      <w:r w:rsidRPr="00DC6953">
        <w:rPr>
          <w:i/>
          <w:iCs/>
        </w:rPr>
        <w:t xml:space="preserve"> Initial Priorities for the National Immunisation Programme in Aotearoa. Heath New Zealand.</w:t>
      </w:r>
      <w:r w:rsidRPr="00635466">
        <w:t xml:space="preserve"> URL: </w:t>
      </w:r>
      <w:hyperlink r:id="rId45" w:history="1">
        <w:r w:rsidRPr="00635466">
          <w:rPr>
            <w:rStyle w:val="Hyperlink"/>
            <w:rFonts w:eastAsia="MS Gothic"/>
          </w:rPr>
          <w:t>www.tewhatuora.govt.nz/publications/initial-priorities-for-the-national-immunisation-programme-in-aotearoa</w:t>
        </w:r>
      </w:hyperlink>
      <w:r w:rsidRPr="00635466">
        <w:t xml:space="preserve"> (accessed 28 December 2024). </w:t>
      </w:r>
    </w:p>
    <w:p w14:paraId="568BDD40" w14:textId="77777777" w:rsidR="008125D1" w:rsidRPr="00635466" w:rsidRDefault="008125D1" w:rsidP="008125D1">
      <w:pPr>
        <w:pStyle w:val="References"/>
      </w:pPr>
      <w:r w:rsidRPr="00635466">
        <w:t xml:space="preserve">Kantar Public. 2021. </w:t>
      </w:r>
      <w:r w:rsidRPr="00DC6953">
        <w:rPr>
          <w:rStyle w:val="Emphasis"/>
        </w:rPr>
        <w:t xml:space="preserve">Attitudes towards COVID-19 Vaccination amongst Pacific Peoples. </w:t>
      </w:r>
      <w:r w:rsidRPr="00635466">
        <w:t xml:space="preserve">URL: </w:t>
      </w:r>
      <w:hyperlink r:id="rId46" w:history="1">
        <w:r w:rsidRPr="00635466">
          <w:rPr>
            <w:rStyle w:val="Hyperlink"/>
            <w:rFonts w:eastAsia="MS Gothic"/>
          </w:rPr>
          <w:t>www.health.govt.nz/information-releases/attitudes-towards-covid-19-vaccination-amongst-pacific-peoples</w:t>
        </w:r>
      </w:hyperlink>
      <w:r w:rsidRPr="00635466">
        <w:t xml:space="preserve"> (accessed 28 December 2024).</w:t>
      </w:r>
    </w:p>
    <w:p w14:paraId="4EB3D4FD" w14:textId="77777777" w:rsidR="008125D1" w:rsidRDefault="008125D1" w:rsidP="008125D1">
      <w:pPr>
        <w:pStyle w:val="References"/>
      </w:pPr>
      <w:r w:rsidRPr="00635466">
        <w:t xml:space="preserve">Litmus Limited. 2015. </w:t>
      </w:r>
      <w:r w:rsidRPr="00DC6953">
        <w:rPr>
          <w:i/>
          <w:iCs/>
        </w:rPr>
        <w:t>Immunisation for Pregnant Women: Audience research with pregnant women.</w:t>
      </w:r>
      <w:r w:rsidRPr="00635466">
        <w:t xml:space="preserve"> URL: </w:t>
      </w:r>
      <w:hyperlink r:id="rId47" w:history="1">
        <w:r w:rsidRPr="00635466">
          <w:rPr>
            <w:rStyle w:val="Hyperlink"/>
            <w:rFonts w:eastAsia="MS Gothic"/>
          </w:rPr>
          <w:t>www.health.govt.nz/publications/immunisation-for-pregnant-women-audience-research-with-pregnant-women</w:t>
        </w:r>
      </w:hyperlink>
      <w:r w:rsidRPr="00635466">
        <w:t xml:space="preserve"> (accessed 28 December 2024).</w:t>
      </w:r>
    </w:p>
    <w:p w14:paraId="63FEC799" w14:textId="77777777" w:rsidR="008125D1" w:rsidRPr="00635466" w:rsidRDefault="008125D1" w:rsidP="008125D1">
      <w:pPr>
        <w:pStyle w:val="References"/>
      </w:pPr>
      <w:r w:rsidRPr="00635466">
        <w:t xml:space="preserve">Ministry of Health. 2020a. </w:t>
      </w:r>
      <w:r w:rsidRPr="00635466">
        <w:rPr>
          <w:i/>
          <w:iCs/>
        </w:rPr>
        <w:t>Well Child Tamariki Ora Review Report</w:t>
      </w:r>
      <w:r w:rsidRPr="00635466">
        <w:t xml:space="preserve">. URL: </w:t>
      </w:r>
      <w:hyperlink r:id="rId48" w:history="1">
        <w:r w:rsidRPr="00635466">
          <w:rPr>
            <w:rStyle w:val="Hyperlink"/>
            <w:rFonts w:eastAsia="MS Gothic"/>
          </w:rPr>
          <w:t>www.health.govt.nz/publications/well-child-tamariki-ora-review-report</w:t>
        </w:r>
      </w:hyperlink>
      <w:r w:rsidRPr="00635466">
        <w:t xml:space="preserve"> (accessed 28 December 2024).</w:t>
      </w:r>
    </w:p>
    <w:p w14:paraId="403C22AE" w14:textId="77777777" w:rsidR="008125D1" w:rsidRPr="00635466" w:rsidRDefault="008125D1" w:rsidP="008125D1">
      <w:pPr>
        <w:pStyle w:val="References"/>
      </w:pPr>
      <w:r w:rsidRPr="00635466">
        <w:t xml:space="preserve">Ministry of Health. 2020b. </w:t>
      </w:r>
      <w:r w:rsidRPr="00635466">
        <w:rPr>
          <w:i/>
          <w:iCs/>
        </w:rPr>
        <w:t>Whakamaua: Māori Health Action Plan 2020–2025.</w:t>
      </w:r>
      <w:r w:rsidRPr="00635466">
        <w:t xml:space="preserve"> URL: </w:t>
      </w:r>
      <w:hyperlink r:id="rId49" w:history="1">
        <w:r w:rsidRPr="00635466">
          <w:rPr>
            <w:rStyle w:val="Hyperlink"/>
            <w:rFonts w:eastAsia="MS Gothic"/>
          </w:rPr>
          <w:t>www.health.govt.nz/publications/whakamaua-maori-health-action-plan-2020-2025</w:t>
        </w:r>
      </w:hyperlink>
      <w:r w:rsidRPr="00635466">
        <w:t xml:space="preserve"> (accessed 28 December 2024).</w:t>
      </w:r>
    </w:p>
    <w:p w14:paraId="5E0B4ED7" w14:textId="77777777" w:rsidR="008125D1" w:rsidRPr="00635466" w:rsidRDefault="008125D1" w:rsidP="008125D1">
      <w:pPr>
        <w:pStyle w:val="References"/>
      </w:pPr>
      <w:r w:rsidRPr="00635466">
        <w:t xml:space="preserve">Ministry of Health. 2020c. </w:t>
      </w:r>
      <w:r w:rsidRPr="00635466">
        <w:rPr>
          <w:i/>
          <w:iCs/>
        </w:rPr>
        <w:t>Whatua: Summary Report: Engagement for the development of Whakamaua: Māori Health Action Plan 2020–2025</w:t>
      </w:r>
      <w:r w:rsidRPr="00635466">
        <w:t xml:space="preserve">. URL: </w:t>
      </w:r>
      <w:hyperlink r:id="rId50" w:history="1">
        <w:r w:rsidRPr="00635466">
          <w:rPr>
            <w:rStyle w:val="Hyperlink"/>
            <w:rFonts w:eastAsia="MS Gothic"/>
          </w:rPr>
          <w:t>www.health.govt.nz/publications/whatua-engagement-for-the-development-of-whakamaua-maori-health-action-plan-2020-2025</w:t>
        </w:r>
      </w:hyperlink>
      <w:r w:rsidRPr="00635466">
        <w:t xml:space="preserve"> (accessed 28 December 2024).</w:t>
      </w:r>
    </w:p>
    <w:p w14:paraId="72DC81F1" w14:textId="77777777" w:rsidR="008125D1" w:rsidRPr="00635466" w:rsidRDefault="008125D1" w:rsidP="008125D1">
      <w:pPr>
        <w:pStyle w:val="References"/>
      </w:pPr>
      <w:r w:rsidRPr="00635466">
        <w:t xml:space="preserve">Ministry of Health. 2023. </w:t>
      </w:r>
      <w:r w:rsidRPr="00635466">
        <w:rPr>
          <w:i/>
          <w:iCs/>
        </w:rPr>
        <w:t>Pae Ora Health Strategies: Summary of feedback from engagement</w:t>
      </w:r>
      <w:r w:rsidRPr="00635466">
        <w:t xml:space="preserve">. URL: </w:t>
      </w:r>
      <w:hyperlink r:id="rId51" w:history="1">
        <w:r w:rsidRPr="00635466">
          <w:rPr>
            <w:rStyle w:val="Hyperlink"/>
            <w:rFonts w:eastAsia="MS Gothic"/>
          </w:rPr>
          <w:t>www.health.govt.nz/publications/pae-ora-health-strategies-summary-of-feedback-from-engagement</w:t>
        </w:r>
      </w:hyperlink>
      <w:r w:rsidRPr="00635466">
        <w:t xml:space="preserve"> (accessed 28 December 2024).</w:t>
      </w:r>
    </w:p>
    <w:p w14:paraId="1071F3B7" w14:textId="77777777" w:rsidR="008125D1" w:rsidRPr="00011048" w:rsidRDefault="008125D1" w:rsidP="008125D1">
      <w:pPr>
        <w:pStyle w:val="References"/>
      </w:pPr>
      <w:r w:rsidRPr="00635466">
        <w:t xml:space="preserve">Pharmac Review Panel. 2022. </w:t>
      </w:r>
      <w:r w:rsidRPr="009930EF">
        <w:rPr>
          <w:i/>
          <w:iCs/>
        </w:rPr>
        <w:t>Pharmac Review: Final Report.</w:t>
      </w:r>
      <w:r w:rsidRPr="00635466">
        <w:t xml:space="preserve"> URL: </w:t>
      </w:r>
      <w:hyperlink r:id="rId52" w:history="1">
        <w:r w:rsidRPr="00635466">
          <w:rPr>
            <w:rStyle w:val="Hyperlink"/>
            <w:rFonts w:eastAsia="MS Gothic"/>
          </w:rPr>
          <w:t>www.health.govt.nz/publications/pharmac-review-final-report</w:t>
        </w:r>
      </w:hyperlink>
      <w:r w:rsidRPr="00635466">
        <w:t xml:space="preserve"> (accessed 28 December 2024).</w:t>
      </w:r>
    </w:p>
    <w:p w14:paraId="7E9F5C03" w14:textId="77777777" w:rsidR="008125D1" w:rsidRPr="00011048" w:rsidRDefault="008125D1" w:rsidP="008125D1">
      <w:pPr>
        <w:pStyle w:val="References"/>
      </w:pPr>
      <w:r w:rsidRPr="00011048">
        <w:lastRenderedPageBreak/>
        <w:t>Sonder G, Ryan D. 2020.</w:t>
      </w:r>
      <w:r>
        <w:t xml:space="preserve"> </w:t>
      </w:r>
      <w:r w:rsidRPr="009930EF">
        <w:rPr>
          <w:i/>
          <w:iCs/>
        </w:rPr>
        <w:t>Health Sector Response to the 2019 Measles Outbreaks.</w:t>
      </w:r>
      <w:r w:rsidRPr="00011048">
        <w:t xml:space="preserve"> </w:t>
      </w:r>
      <w:r>
        <w:t xml:space="preserve">URL: </w:t>
      </w:r>
      <w:hyperlink r:id="rId53" w:history="1">
        <w:r w:rsidRPr="007765B8">
          <w:rPr>
            <w:rStyle w:val="Hyperlink"/>
            <w:rFonts w:eastAsia="MS Gothic"/>
          </w:rPr>
          <w:t>www.health.govt.nz/publications/health-sector-response-to-the-2019-measles-outbreaks</w:t>
        </w:r>
      </w:hyperlink>
      <w:r>
        <w:t xml:space="preserve"> (accessed 28 December 2024). </w:t>
      </w:r>
    </w:p>
    <w:p w14:paraId="4299E98F" w14:textId="77777777" w:rsidR="008125D1" w:rsidRPr="00011048" w:rsidRDefault="008125D1" w:rsidP="008125D1">
      <w:pPr>
        <w:pStyle w:val="References"/>
      </w:pPr>
      <w:r w:rsidRPr="00011048">
        <w:t>The Research Agency.</w:t>
      </w:r>
      <w:r w:rsidRPr="007C41B1">
        <w:t xml:space="preserve"> </w:t>
      </w:r>
      <w:r w:rsidRPr="00011048">
        <w:t>2022</w:t>
      </w:r>
      <w:r>
        <w:t>.</w:t>
      </w:r>
      <w:r w:rsidRPr="00011048">
        <w:t xml:space="preserve"> </w:t>
      </w:r>
      <w:r w:rsidRPr="007C41B1">
        <w:rPr>
          <w:i/>
          <w:iCs/>
        </w:rPr>
        <w:t>Understanding Vaccine Motivations and Barriers for Disabled Children and Young People</w:t>
      </w:r>
      <w:r w:rsidRPr="00011048">
        <w:t>.</w:t>
      </w:r>
      <w:r>
        <w:t xml:space="preserve"> URL: </w:t>
      </w:r>
      <w:hyperlink r:id="rId54" w:history="1">
        <w:r w:rsidRPr="007765B8">
          <w:rPr>
            <w:rStyle w:val="Hyperlink"/>
            <w:rFonts w:eastAsia="MS Gothic"/>
          </w:rPr>
          <w:t>www.tewhatuora.govt.nz/assets/For-the-health-sector/COVID-19-Information/Vaccine-research-insights/vaccine-motivations-barriers-research-youth-disability-07032022.pdf</w:t>
        </w:r>
      </w:hyperlink>
      <w:r>
        <w:t xml:space="preserve"> (accessed 28 December 2024).</w:t>
      </w:r>
    </w:p>
    <w:p w14:paraId="25A1E034" w14:textId="77777777" w:rsidR="008125D1" w:rsidRPr="00011048" w:rsidRDefault="008125D1" w:rsidP="008125D1">
      <w:pPr>
        <w:pStyle w:val="References"/>
      </w:pPr>
      <w:r w:rsidRPr="00011048">
        <w:t>Waitangi Tribunal. 202</w:t>
      </w:r>
      <w:r>
        <w:t xml:space="preserve">3a. </w:t>
      </w:r>
      <w:r w:rsidRPr="00BB2032">
        <w:rPr>
          <w:i/>
          <w:iCs/>
        </w:rPr>
        <w:t>Haumaru: The COVID-19 Priority Report (Wai 2575).</w:t>
      </w:r>
      <w:r>
        <w:t xml:space="preserve"> URL: </w:t>
      </w:r>
      <w:hyperlink r:id="rId55" w:history="1">
        <w:r w:rsidRPr="007765B8">
          <w:rPr>
            <w:rStyle w:val="Hyperlink"/>
            <w:rFonts w:eastAsia="MS Gothic"/>
          </w:rPr>
          <w:t>www.waitangitribunal.govt.nz/assets/DOCUMENTS/Haumaru-W.pdf</w:t>
        </w:r>
      </w:hyperlink>
      <w:r>
        <w:t xml:space="preserve"> (accessed 28 December 2024).</w:t>
      </w:r>
    </w:p>
    <w:p w14:paraId="4E22E8C8" w14:textId="77777777" w:rsidR="008125D1" w:rsidRPr="00011048" w:rsidRDefault="008125D1" w:rsidP="008125D1">
      <w:pPr>
        <w:pStyle w:val="References"/>
      </w:pPr>
      <w:r w:rsidRPr="00011048">
        <w:t>Waitangi Tribunal. 2023</w:t>
      </w:r>
      <w:r>
        <w:t xml:space="preserve">b. </w:t>
      </w:r>
      <w:r w:rsidRPr="00BB2032">
        <w:rPr>
          <w:i/>
          <w:iCs/>
        </w:rPr>
        <w:t>Hauora: Report on Stage One of the Health Services and Outcomes Kaupapa Inquiry (Wai 2575).</w:t>
      </w:r>
      <w:r>
        <w:t xml:space="preserve"> URL: </w:t>
      </w:r>
      <w:hyperlink r:id="rId56" w:history="1">
        <w:r w:rsidRPr="008A0EE3">
          <w:rPr>
            <w:rStyle w:val="Hyperlink"/>
            <w:rFonts w:eastAsia="MS Gothic"/>
          </w:rPr>
          <w:t>https://forms.justice.govt.nz/search/Documents/WT/wt_DOC_195476216/Hauora%202023%20W.pdf</w:t>
        </w:r>
      </w:hyperlink>
      <w:r>
        <w:t xml:space="preserve"> (accessed 28 December 2024). </w:t>
      </w:r>
    </w:p>
    <w:p w14:paraId="2C491BD8" w14:textId="77777777" w:rsidR="008125D1" w:rsidRDefault="008125D1" w:rsidP="008125D1">
      <w:pPr>
        <w:pStyle w:val="References"/>
      </w:pPr>
      <w:r w:rsidRPr="00011048">
        <w:t>Wehipeihana N</w:t>
      </w:r>
      <w:r>
        <w:t>, Sebire KW, Spee K,</w:t>
      </w:r>
      <w:r w:rsidRPr="00011048">
        <w:t xml:space="preserve"> et al.</w:t>
      </w:r>
      <w:r>
        <w:t xml:space="preserve"> 2021.</w:t>
      </w:r>
      <w:r w:rsidRPr="00011048">
        <w:t xml:space="preserve"> </w:t>
      </w:r>
      <w:r w:rsidRPr="005E62FD">
        <w:rPr>
          <w:i/>
          <w:iCs/>
        </w:rPr>
        <w:t>More Than Just a Jab: Evaluation of the Māori influenza vaccination programme as part of the COVID-19 Māori health response</w:t>
      </w:r>
      <w:r w:rsidRPr="00011048">
        <w:t>.</w:t>
      </w:r>
      <w:r>
        <w:t xml:space="preserve"> URL: </w:t>
      </w:r>
      <w:hyperlink r:id="rId57" w:history="1">
        <w:r w:rsidRPr="007765B8">
          <w:rPr>
            <w:rStyle w:val="Hyperlink"/>
            <w:rFonts w:eastAsia="MS Gothic"/>
          </w:rPr>
          <w:t>www.health.govt.nz/publications/more-than-just-a-jab-evaluation-of-the-maori-influenza-vaccination-programme-as-part-of-the-covid-19</w:t>
        </w:r>
      </w:hyperlink>
      <w:r>
        <w:t xml:space="preserve"> (accessed 28 December 2024).</w:t>
      </w:r>
    </w:p>
    <w:p w14:paraId="0BBE097C" w14:textId="77777777" w:rsidR="008125D1" w:rsidRPr="00A4614E" w:rsidRDefault="008125D1" w:rsidP="008125D1">
      <w:pPr>
        <w:pStyle w:val="References"/>
      </w:pPr>
      <w:r>
        <w:t>World Health Organization.</w:t>
      </w:r>
      <w:r w:rsidRPr="00BC6AED">
        <w:t xml:space="preserve"> </w:t>
      </w:r>
      <w:r>
        <w:t xml:space="preserve">2020. </w:t>
      </w:r>
      <w:r>
        <w:rPr>
          <w:i/>
          <w:iCs/>
        </w:rPr>
        <w:t>Immunisation Agenda 2030: A global strategy to leave no one behind</w:t>
      </w:r>
      <w:r>
        <w:t xml:space="preserve">. URL: </w:t>
      </w:r>
      <w:hyperlink r:id="rId58" w:history="1">
        <w:r w:rsidRPr="007765B8">
          <w:rPr>
            <w:rStyle w:val="Hyperlink"/>
            <w:rFonts w:eastAsia="MS Gothic"/>
          </w:rPr>
          <w:t>www.who.int/teams/immunization-vaccines-and-biologicals/strategies/ia2030</w:t>
        </w:r>
      </w:hyperlink>
      <w:r>
        <w:t xml:space="preserve"> (accessed 28 December 2024). </w:t>
      </w:r>
    </w:p>
    <w:p w14:paraId="038F14F3" w14:textId="77777777" w:rsidR="008125D1" w:rsidRDefault="008125D1" w:rsidP="008125D1">
      <w:pPr>
        <w:pStyle w:val="References"/>
        <w:sectPr w:rsidR="008125D1" w:rsidSect="008125D1">
          <w:pgSz w:w="11907" w:h="16834" w:code="9"/>
          <w:pgMar w:top="1418" w:right="1701" w:bottom="1134" w:left="1843" w:header="284" w:footer="425" w:gutter="284"/>
          <w:cols w:space="720"/>
          <w:docGrid w:linePitch="286"/>
        </w:sectPr>
      </w:pPr>
    </w:p>
    <w:p w14:paraId="7D0E8526" w14:textId="77777777" w:rsidR="008125D1" w:rsidRPr="008125D1" w:rsidRDefault="008125D1" w:rsidP="008125D1">
      <w:pPr>
        <w:pStyle w:val="Heading1"/>
      </w:pPr>
      <w:bookmarkStart w:id="46" w:name="_Toc190243191"/>
      <w:bookmarkStart w:id="47" w:name="_Toc190950031"/>
      <w:r w:rsidRPr="008125D1">
        <w:lastRenderedPageBreak/>
        <w:t>Glossary</w:t>
      </w:r>
      <w:bookmarkEnd w:id="46"/>
      <w:bookmarkEnd w:id="47"/>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095"/>
      </w:tblGrid>
      <w:tr w:rsidR="008125D1" w:rsidRPr="00673B6C" w14:paraId="5DD206D0" w14:textId="77777777" w:rsidTr="008125D1">
        <w:tc>
          <w:tcPr>
            <w:tcW w:w="1985" w:type="dxa"/>
          </w:tcPr>
          <w:p w14:paraId="3117009C" w14:textId="77777777" w:rsidR="008125D1" w:rsidRPr="00673B6C" w:rsidRDefault="008125D1" w:rsidP="008125D1">
            <w:pPr>
              <w:spacing w:before="120" w:after="120"/>
            </w:pPr>
            <w:r w:rsidRPr="00673B6C">
              <w:t>Co-design</w:t>
            </w:r>
          </w:p>
        </w:tc>
        <w:tc>
          <w:tcPr>
            <w:tcW w:w="6095" w:type="dxa"/>
          </w:tcPr>
          <w:p w14:paraId="5A7F399C" w14:textId="77777777" w:rsidR="008125D1" w:rsidRPr="00673B6C" w:rsidRDefault="008125D1" w:rsidP="008125D1">
            <w:pPr>
              <w:spacing w:before="120" w:after="120"/>
            </w:pPr>
            <w:r w:rsidRPr="00673B6C">
              <w:t>Co-design is the process of policy design in which the community and stakeholders that will be impacted by the policy are involved in the design process as experts in their own lives and experience</w:t>
            </w:r>
            <w:r>
              <w:t xml:space="preserve"> (Whaikaha – Ministry of Disabled People nd)</w:t>
            </w:r>
            <w:r w:rsidRPr="00673B6C">
              <w:t>.</w:t>
            </w:r>
          </w:p>
        </w:tc>
      </w:tr>
      <w:tr w:rsidR="008125D1" w:rsidRPr="00673B6C" w14:paraId="3D13B038" w14:textId="77777777" w:rsidTr="008125D1">
        <w:tc>
          <w:tcPr>
            <w:tcW w:w="1985" w:type="dxa"/>
          </w:tcPr>
          <w:p w14:paraId="5D5C3E0A" w14:textId="77777777" w:rsidR="008125D1" w:rsidRPr="00673B6C" w:rsidRDefault="008125D1" w:rsidP="008125D1">
            <w:pPr>
              <w:spacing w:before="120" w:after="120"/>
            </w:pPr>
            <w:r w:rsidRPr="00673B6C">
              <w:t xml:space="preserve">Community organisations </w:t>
            </w:r>
          </w:p>
        </w:tc>
        <w:tc>
          <w:tcPr>
            <w:tcW w:w="6095" w:type="dxa"/>
          </w:tcPr>
          <w:p w14:paraId="36C4F5BA" w14:textId="77777777" w:rsidR="008125D1" w:rsidRPr="00673B6C" w:rsidRDefault="008125D1" w:rsidP="008125D1">
            <w:pPr>
              <w:spacing w:before="120" w:after="120"/>
            </w:pPr>
            <w:r w:rsidRPr="00673B6C">
              <w:t>Community organisations include marae, churches, community groups and sports organisations.</w:t>
            </w:r>
          </w:p>
        </w:tc>
      </w:tr>
      <w:tr w:rsidR="008125D1" w:rsidRPr="00673B6C" w14:paraId="41324C13" w14:textId="77777777" w:rsidTr="008125D1">
        <w:tc>
          <w:tcPr>
            <w:tcW w:w="1985" w:type="dxa"/>
          </w:tcPr>
          <w:p w14:paraId="375C3168" w14:textId="77777777" w:rsidR="008125D1" w:rsidRPr="00673B6C" w:rsidRDefault="008125D1" w:rsidP="008125D1">
            <w:pPr>
              <w:spacing w:before="120" w:after="120"/>
            </w:pPr>
            <w:r w:rsidRPr="00673B6C">
              <w:t>Disability</w:t>
            </w:r>
          </w:p>
        </w:tc>
        <w:tc>
          <w:tcPr>
            <w:tcW w:w="6095" w:type="dxa"/>
          </w:tcPr>
          <w:p w14:paraId="66E02D2F" w14:textId="77777777" w:rsidR="008125D1" w:rsidRPr="00673B6C" w:rsidRDefault="008125D1" w:rsidP="008125D1">
            <w:pPr>
              <w:spacing w:before="120" w:after="120"/>
            </w:pPr>
            <w:r w:rsidRPr="00780D81">
              <w:t>The United Nations Convention on the Rights of Persons with Disabilities defines disability as any long-term physical, mental, intellectual or sensory impairment which, in interaction with various barriers, may hinder the full and effective participation of disabled people in society on an equal basis with others</w:t>
            </w:r>
            <w:r>
              <w:t xml:space="preserve"> (United Nations 200</w:t>
            </w:r>
            <w:r w:rsidRPr="008B3961">
              <w:t>6)</w:t>
            </w:r>
            <w:r>
              <w:t>.</w:t>
            </w:r>
          </w:p>
        </w:tc>
      </w:tr>
      <w:tr w:rsidR="008125D1" w:rsidRPr="00673B6C" w14:paraId="4BBC777E" w14:textId="77777777" w:rsidTr="008125D1">
        <w:tc>
          <w:tcPr>
            <w:tcW w:w="1985" w:type="dxa"/>
          </w:tcPr>
          <w:p w14:paraId="419D533D" w14:textId="77777777" w:rsidR="008125D1" w:rsidRPr="00673B6C" w:rsidRDefault="008125D1" w:rsidP="008125D1">
            <w:pPr>
              <w:spacing w:before="120" w:after="120"/>
            </w:pPr>
            <w:r w:rsidRPr="00673B6C">
              <w:t>Disabled people</w:t>
            </w:r>
          </w:p>
        </w:tc>
        <w:tc>
          <w:tcPr>
            <w:tcW w:w="6095" w:type="dxa"/>
          </w:tcPr>
          <w:p w14:paraId="4B8F18EF" w14:textId="77777777" w:rsidR="008125D1" w:rsidRPr="00673B6C" w:rsidRDefault="008125D1" w:rsidP="008125D1">
            <w:pPr>
              <w:spacing w:before="120" w:after="120"/>
            </w:pPr>
            <w:r w:rsidRPr="00673B6C">
              <w:t xml:space="preserve">People with impairments are disabled if society does not provide an environment that takes their impairments adequately into account. </w:t>
            </w:r>
            <w:r>
              <w:t>As a result</w:t>
            </w:r>
            <w:r w:rsidRPr="00673B6C">
              <w:t>, they experience barriers preventing their participation in society. Disabled people are a diverse minority, and it is important to consider how intersectionality</w:t>
            </w:r>
            <w:r>
              <w:t xml:space="preserve"> (see definition below)</w:t>
            </w:r>
            <w:r w:rsidRPr="00673B6C">
              <w:t xml:space="preserve"> plays a role in the experiences of subgroups of disabled people</w:t>
            </w:r>
            <w:r>
              <w:t xml:space="preserve"> (Whaikaha – Ministry of Disabled People nd)</w:t>
            </w:r>
            <w:r w:rsidRPr="00673B6C">
              <w:t>.</w:t>
            </w:r>
          </w:p>
        </w:tc>
      </w:tr>
      <w:tr w:rsidR="008125D1" w:rsidRPr="00673B6C" w14:paraId="5CED114A" w14:textId="77777777" w:rsidTr="008125D1">
        <w:tc>
          <w:tcPr>
            <w:tcW w:w="1985" w:type="dxa"/>
          </w:tcPr>
          <w:p w14:paraId="1841017B" w14:textId="77777777" w:rsidR="008125D1" w:rsidRPr="00673B6C" w:rsidRDefault="008125D1" w:rsidP="008125D1">
            <w:pPr>
              <w:spacing w:before="120" w:after="120"/>
            </w:pPr>
            <w:r w:rsidRPr="00673B6C">
              <w:t>Equity</w:t>
            </w:r>
          </w:p>
        </w:tc>
        <w:tc>
          <w:tcPr>
            <w:tcW w:w="6095" w:type="dxa"/>
          </w:tcPr>
          <w:p w14:paraId="10E283F5" w14:textId="77777777" w:rsidR="008125D1" w:rsidRPr="00673B6C" w:rsidRDefault="008125D1" w:rsidP="008125D1">
            <w:pPr>
              <w:spacing w:before="120" w:after="120"/>
            </w:pPr>
            <w:r w:rsidRPr="00673B6C">
              <w:t>In New Zealand, people have differences that are not only avoidable but unfair and unjust. Equity recognises different people with different level</w:t>
            </w:r>
            <w:r>
              <w:t>s</w:t>
            </w:r>
            <w:r w:rsidRPr="00673B6C">
              <w:t xml:space="preserve"> of advantage require different approaches and resources to get equitable outcomes</w:t>
            </w:r>
            <w:r>
              <w:t xml:space="preserve"> (Ministry of Health 2019)</w:t>
            </w:r>
            <w:r w:rsidRPr="00673B6C">
              <w:t>.</w:t>
            </w:r>
          </w:p>
        </w:tc>
      </w:tr>
      <w:tr w:rsidR="008125D1" w:rsidRPr="00673B6C" w14:paraId="043D75CA" w14:textId="77777777" w:rsidTr="008125D1">
        <w:tc>
          <w:tcPr>
            <w:tcW w:w="1985" w:type="dxa"/>
          </w:tcPr>
          <w:p w14:paraId="0DBD2212" w14:textId="77777777" w:rsidR="008125D1" w:rsidRPr="00673B6C" w:rsidRDefault="008125D1" w:rsidP="008125D1">
            <w:pPr>
              <w:spacing w:before="120" w:after="120"/>
            </w:pPr>
            <w:r w:rsidRPr="00673B6C">
              <w:t>Intersectionality</w:t>
            </w:r>
          </w:p>
        </w:tc>
        <w:tc>
          <w:tcPr>
            <w:tcW w:w="6095" w:type="dxa"/>
          </w:tcPr>
          <w:p w14:paraId="2BD0CC61" w14:textId="77777777" w:rsidR="008125D1" w:rsidRPr="00673B6C" w:rsidRDefault="008125D1" w:rsidP="008125D1">
            <w:pPr>
              <w:spacing w:before="120" w:after="120"/>
            </w:pPr>
            <w:r w:rsidRPr="00673B6C">
              <w:t xml:space="preserve">Intersectionality recognises that social identities and experiences can intersect to create different modes of discrimination and privilege. </w:t>
            </w:r>
            <w:r>
              <w:t>For example</w:t>
            </w:r>
            <w:r w:rsidRPr="00673B6C">
              <w:t>, the experience of a Māori disabled wom</w:t>
            </w:r>
            <w:r>
              <w:t>a</w:t>
            </w:r>
            <w:r w:rsidRPr="00673B6C">
              <w:t xml:space="preserve">n as a combination of identities around ethnicity, gender and disability would be different to </w:t>
            </w:r>
            <w:r>
              <w:t xml:space="preserve">the experience of </w:t>
            </w:r>
            <w:r w:rsidRPr="00673B6C">
              <w:t xml:space="preserve">a </w:t>
            </w:r>
            <w:r w:rsidRPr="00673B6C">
              <w:rPr>
                <w:lang w:val="mi-NZ"/>
              </w:rPr>
              <w:t>Pākehā</w:t>
            </w:r>
            <w:r w:rsidRPr="00673B6C">
              <w:t xml:space="preserve"> disabled man</w:t>
            </w:r>
            <w:r>
              <w:t xml:space="preserve"> (Whaikaha – Ministry of Disabled People nd)</w:t>
            </w:r>
            <w:r w:rsidRPr="00673B6C">
              <w:t>.</w:t>
            </w:r>
          </w:p>
        </w:tc>
      </w:tr>
      <w:tr w:rsidR="008125D1" w:rsidRPr="00673B6C" w14:paraId="0B2D7DDA" w14:textId="77777777" w:rsidTr="008125D1">
        <w:tc>
          <w:tcPr>
            <w:tcW w:w="1985" w:type="dxa"/>
          </w:tcPr>
          <w:p w14:paraId="44DC83F9" w14:textId="77777777" w:rsidR="008125D1" w:rsidRPr="00673B6C" w:rsidRDefault="008125D1" w:rsidP="008125D1">
            <w:pPr>
              <w:spacing w:before="120" w:after="120"/>
            </w:pPr>
            <w:r w:rsidRPr="00673B6C">
              <w:t>Person-centred</w:t>
            </w:r>
          </w:p>
        </w:tc>
        <w:tc>
          <w:tcPr>
            <w:tcW w:w="6095" w:type="dxa"/>
          </w:tcPr>
          <w:p w14:paraId="66889801" w14:textId="77777777" w:rsidR="008125D1" w:rsidRDefault="008125D1" w:rsidP="008125D1">
            <w:pPr>
              <w:spacing w:before="120" w:after="120"/>
            </w:pPr>
            <w:r>
              <w:t>Where services are person-centred, p</w:t>
            </w:r>
            <w:r w:rsidRPr="00673B6C">
              <w:t>eople have supports that are tailored to their individual needs and goals, and that take a whole</w:t>
            </w:r>
            <w:r>
              <w:t>-of-</w:t>
            </w:r>
            <w:r w:rsidRPr="00673B6C">
              <w:t>life approach rather than being split across programmes.</w:t>
            </w:r>
          </w:p>
          <w:p w14:paraId="5ABFCD22" w14:textId="52C4E4C1" w:rsidR="008125D1" w:rsidRPr="00673B6C" w:rsidRDefault="008125D1" w:rsidP="008125D1">
            <w:pPr>
              <w:spacing w:before="120" w:after="120"/>
            </w:pPr>
          </w:p>
        </w:tc>
      </w:tr>
      <w:tr w:rsidR="008125D1" w:rsidRPr="00673B6C" w14:paraId="646B9E32" w14:textId="77777777" w:rsidTr="008125D1">
        <w:tc>
          <w:tcPr>
            <w:tcW w:w="1985" w:type="dxa"/>
          </w:tcPr>
          <w:p w14:paraId="6B41C845" w14:textId="77777777" w:rsidR="008125D1" w:rsidRPr="00673B6C" w:rsidRDefault="008125D1" w:rsidP="008125D1">
            <w:pPr>
              <w:spacing w:before="120" w:after="120"/>
            </w:pPr>
            <w:r w:rsidRPr="00673B6C">
              <w:lastRenderedPageBreak/>
              <w:t>Primary care</w:t>
            </w:r>
          </w:p>
        </w:tc>
        <w:tc>
          <w:tcPr>
            <w:tcW w:w="6095" w:type="dxa"/>
          </w:tcPr>
          <w:p w14:paraId="55ACE21F" w14:textId="77777777" w:rsidR="008125D1" w:rsidRPr="00673B6C" w:rsidRDefault="008125D1" w:rsidP="008125D1">
            <w:pPr>
              <w:spacing w:before="120" w:after="120"/>
            </w:pPr>
            <w:r w:rsidRPr="00673B6C">
              <w:t>Primary health</w:t>
            </w:r>
            <w:r>
              <w:t xml:space="preserve"> </w:t>
            </w:r>
            <w:r w:rsidRPr="00673B6C">
              <w:t xml:space="preserve">care is a part of the health service that operates from the community and is usually a person’s first point of call. </w:t>
            </w:r>
            <w:r>
              <w:t>P</w:t>
            </w:r>
            <w:r w:rsidRPr="00673B6C">
              <w:t xml:space="preserve">laces </w:t>
            </w:r>
            <w:r>
              <w:t xml:space="preserve">offering primary care </w:t>
            </w:r>
            <w:r w:rsidRPr="00673B6C">
              <w:t>have many different names but common</w:t>
            </w:r>
            <w:r>
              <w:t xml:space="preserve"> ones are</w:t>
            </w:r>
            <w:r w:rsidRPr="00673B6C">
              <w:t xml:space="preserve"> </w:t>
            </w:r>
            <w:r>
              <w:t>m</w:t>
            </w:r>
            <w:r w:rsidRPr="00673B6C">
              <w:t xml:space="preserve">edical </w:t>
            </w:r>
            <w:r>
              <w:t>c</w:t>
            </w:r>
            <w:r w:rsidRPr="00673B6C">
              <w:t xml:space="preserve">entre, </w:t>
            </w:r>
            <w:r>
              <w:t>f</w:t>
            </w:r>
            <w:r w:rsidRPr="00673B6C">
              <w:t xml:space="preserve">amily </w:t>
            </w:r>
            <w:r>
              <w:t>d</w:t>
            </w:r>
            <w:r w:rsidRPr="00673B6C">
              <w:t xml:space="preserve">octor, </w:t>
            </w:r>
            <w:r>
              <w:t>f</w:t>
            </w:r>
            <w:r w:rsidRPr="00673B6C">
              <w:t xml:space="preserve">amily </w:t>
            </w:r>
            <w:r>
              <w:t>h</w:t>
            </w:r>
            <w:r w:rsidRPr="00673B6C">
              <w:t xml:space="preserve">ealth </w:t>
            </w:r>
            <w:r>
              <w:t>c</w:t>
            </w:r>
            <w:r w:rsidRPr="00673B6C">
              <w:t xml:space="preserve">entre </w:t>
            </w:r>
            <w:r>
              <w:t>and</w:t>
            </w:r>
            <w:r w:rsidRPr="00673B6C">
              <w:t xml:space="preserve"> </w:t>
            </w:r>
            <w:r>
              <w:t>general practice</w:t>
            </w:r>
            <w:r w:rsidRPr="00673B6C">
              <w:t xml:space="preserve"> </w:t>
            </w:r>
            <w:r>
              <w:t>s</w:t>
            </w:r>
            <w:r w:rsidRPr="00673B6C">
              <w:t>urgery</w:t>
            </w:r>
            <w:r>
              <w:t xml:space="preserve"> (Healthpoint nd)</w:t>
            </w:r>
            <w:r w:rsidRPr="00673B6C">
              <w:t>.</w:t>
            </w:r>
          </w:p>
        </w:tc>
      </w:tr>
      <w:tr w:rsidR="008125D1" w:rsidRPr="00673B6C" w14:paraId="5ABF2649" w14:textId="77777777" w:rsidTr="008125D1">
        <w:tc>
          <w:tcPr>
            <w:tcW w:w="1985" w:type="dxa"/>
          </w:tcPr>
          <w:p w14:paraId="0FA0C354" w14:textId="77777777" w:rsidR="008125D1" w:rsidRPr="00673B6C" w:rsidRDefault="008125D1" w:rsidP="008125D1">
            <w:pPr>
              <w:spacing w:before="120" w:after="120"/>
            </w:pPr>
            <w:r w:rsidRPr="00673B6C">
              <w:t>Vaccine hesitant</w:t>
            </w:r>
          </w:p>
        </w:tc>
        <w:tc>
          <w:tcPr>
            <w:tcW w:w="6095" w:type="dxa"/>
          </w:tcPr>
          <w:p w14:paraId="3E3D8FB7" w14:textId="213C3AAD" w:rsidR="008125D1" w:rsidRPr="00673B6C" w:rsidRDefault="008125D1" w:rsidP="008125D1">
            <w:pPr>
              <w:spacing w:before="120" w:after="120"/>
            </w:pPr>
            <w:r>
              <w:t>A person who is vaccine hesitant is indecisive</w:t>
            </w:r>
            <w:r w:rsidRPr="00673B6C">
              <w:t xml:space="preserve"> about specific vaccines or vaccination in general.</w:t>
            </w:r>
            <w:r>
              <w:t xml:space="preserve"> The degree of indecision varies between individuals.</w:t>
            </w:r>
          </w:p>
        </w:tc>
      </w:tr>
      <w:tr w:rsidR="008125D1" w:rsidRPr="00673B6C" w14:paraId="162F48CB" w14:textId="77777777" w:rsidTr="008125D1">
        <w:tc>
          <w:tcPr>
            <w:tcW w:w="1985" w:type="dxa"/>
          </w:tcPr>
          <w:p w14:paraId="722CB14F" w14:textId="77777777" w:rsidR="008125D1" w:rsidRPr="00673B6C" w:rsidRDefault="008125D1" w:rsidP="008125D1">
            <w:pPr>
              <w:spacing w:before="120" w:after="120"/>
            </w:pPr>
            <w:r w:rsidRPr="00673B6C">
              <w:t>Whanaungatanga</w:t>
            </w:r>
          </w:p>
        </w:tc>
        <w:tc>
          <w:tcPr>
            <w:tcW w:w="6095" w:type="dxa"/>
          </w:tcPr>
          <w:p w14:paraId="379B0807" w14:textId="77777777" w:rsidR="008125D1" w:rsidRPr="00673B6C" w:rsidRDefault="008125D1" w:rsidP="008125D1">
            <w:pPr>
              <w:spacing w:before="120" w:after="120"/>
            </w:pPr>
            <w:r w:rsidRPr="00673B6C">
              <w:t xml:space="preserve">Whanaungatanga </w:t>
            </w:r>
            <w:r>
              <w:t>means r</w:t>
            </w:r>
            <w:r w:rsidRPr="00673B6C">
              <w:t>elationship, kinship</w:t>
            </w:r>
            <w:r>
              <w:t xml:space="preserve"> or a</w:t>
            </w:r>
            <w:r w:rsidRPr="00673B6C">
              <w:t xml:space="preserve"> sense of family connection</w:t>
            </w:r>
            <w:r>
              <w:t>. It includes the idea of</w:t>
            </w:r>
            <w:r w:rsidRPr="00673B6C">
              <w:t xml:space="preserve"> a relationship </w:t>
            </w:r>
            <w:r>
              <w:t xml:space="preserve">that people form </w:t>
            </w:r>
            <w:r w:rsidRPr="00673B6C">
              <w:t>through shared experiences and working together</w:t>
            </w:r>
            <w:r>
              <w:t>,</w:t>
            </w:r>
            <w:r w:rsidRPr="00673B6C">
              <w:t xml:space="preserve"> which provides </w:t>
            </w:r>
            <w:r>
              <w:t>them</w:t>
            </w:r>
            <w:r w:rsidRPr="00673B6C">
              <w:t xml:space="preserve"> with a sense of belonging.</w:t>
            </w:r>
          </w:p>
          <w:p w14:paraId="518FD6C6" w14:textId="77777777" w:rsidR="008125D1" w:rsidRPr="00673B6C" w:rsidRDefault="008125D1" w:rsidP="008125D1">
            <w:pPr>
              <w:spacing w:before="120" w:after="120"/>
            </w:pPr>
          </w:p>
        </w:tc>
      </w:tr>
    </w:tbl>
    <w:p w14:paraId="2119B3D0" w14:textId="0FA155A9" w:rsidR="008125D1" w:rsidRDefault="008125D1" w:rsidP="001B36D9"/>
    <w:sectPr w:rsidR="008125D1" w:rsidSect="00100626">
      <w:footerReference w:type="even" r:id="rId59"/>
      <w:footerReference w:type="default" r:id="rId60"/>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CFF1" w14:textId="77777777" w:rsidR="00B4682C" w:rsidRDefault="00B4682C">
      <w:r>
        <w:separator/>
      </w:r>
    </w:p>
    <w:p w14:paraId="72F74D01" w14:textId="77777777" w:rsidR="00B4682C" w:rsidRDefault="00B4682C"/>
  </w:endnote>
  <w:endnote w:type="continuationSeparator" w:id="0">
    <w:p w14:paraId="2BE2A2D3" w14:textId="77777777" w:rsidR="00B4682C" w:rsidRDefault="00B4682C">
      <w:r>
        <w:continuationSeparator/>
      </w:r>
    </w:p>
    <w:p w14:paraId="308D36FE" w14:textId="77777777" w:rsidR="00B4682C" w:rsidRDefault="00B46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ira Sans SemiBold">
    <w:charset w:val="00"/>
    <w:family w:val="swiss"/>
    <w:pitch w:val="variable"/>
    <w:sig w:usb0="600002FF"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B" w14:textId="2C1FD85C" w:rsidR="00B60B6D" w:rsidRPr="005A79E5" w:rsidRDefault="00B60B6D" w:rsidP="00CC6EA4">
    <w:pPr>
      <w:pStyle w:val="Footer"/>
      <w:pBdr>
        <w:bottom w:val="single" w:sz="4" w:space="1" w:color="auto"/>
      </w:pBdr>
      <w:tabs>
        <w:tab w:val="right" w:pos="9639"/>
      </w:tabs>
      <w:rPr>
        <w:sz w:val="2"/>
        <w:szCs w:val="2"/>
      </w:rPr>
    </w:pPr>
    <w:r w:rsidRPr="005718A6">
      <w:t>Released 20</w:t>
    </w:r>
    <w:r>
      <w:t>2</w:t>
    </w:r>
    <w:r w:rsidR="006457B8">
      <w:t>5</w:t>
    </w:r>
    <w:r w:rsidRPr="005718A6">
      <w:tab/>
    </w:r>
    <w:r w:rsidRPr="0089250D">
      <w:rPr>
        <w:b/>
      </w:rPr>
      <w:t>health.govt.nz</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7D7F84" w14:paraId="216A2830" w14:textId="77777777" w:rsidTr="00244DA3">
      <w:trPr>
        <w:cantSplit/>
      </w:trPr>
      <w:tc>
        <w:tcPr>
          <w:tcW w:w="675" w:type="dxa"/>
          <w:vAlign w:val="center"/>
        </w:tcPr>
        <w:p w14:paraId="6E2D584B" w14:textId="77777777" w:rsidR="007D7F84" w:rsidRPr="00931466" w:rsidRDefault="007D7F84" w:rsidP="007D7F84">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5CA12437" w14:textId="77777777" w:rsidR="007D7F84" w:rsidRDefault="007D7F84" w:rsidP="007D7F84">
          <w:pPr>
            <w:pStyle w:val="RectoFooter"/>
            <w:spacing w:before="120"/>
            <w:ind w:left="-108"/>
          </w:pPr>
          <w:r w:rsidRPr="009A7CB1">
            <w:t>Strategic Approach to Immunisation in New Zealand 2025–2030</w:t>
          </w:r>
        </w:p>
      </w:tc>
      <w:tc>
        <w:tcPr>
          <w:tcW w:w="1134" w:type="dxa"/>
          <w:vAlign w:val="center"/>
        </w:tcPr>
        <w:p w14:paraId="2CF72C45" w14:textId="77777777" w:rsidR="007D7F84" w:rsidRDefault="007D7F84" w:rsidP="007D7F84">
          <w:pPr>
            <w:pStyle w:val="RectoFooter"/>
            <w:spacing w:before="120"/>
            <w:ind w:left="-108"/>
          </w:pPr>
          <w:r>
            <w:rPr>
              <w:noProof/>
              <w:lang w:eastAsia="en-NZ"/>
            </w:rPr>
            <w:drawing>
              <wp:inline distT="0" distB="0" distL="0" distR="0" wp14:anchorId="00947A1B" wp14:editId="5B1D07EB">
                <wp:extent cx="548640" cy="353145"/>
                <wp:effectExtent l="0" t="0" r="3810"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EDC0E43" w14:textId="77777777" w:rsidR="00B60B6D" w:rsidRPr="00571223" w:rsidRDefault="00B60B6D"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7D7F84" w14:paraId="51DEFF0C" w14:textId="77777777" w:rsidTr="00244DA3">
      <w:trPr>
        <w:cantSplit/>
      </w:trPr>
      <w:tc>
        <w:tcPr>
          <w:tcW w:w="1134" w:type="dxa"/>
          <w:vAlign w:val="center"/>
        </w:tcPr>
        <w:p w14:paraId="5C56AF2E" w14:textId="77777777" w:rsidR="007D7F84" w:rsidRDefault="007D7F84" w:rsidP="007D7F84">
          <w:pPr>
            <w:pStyle w:val="RectoFooter"/>
            <w:spacing w:before="120"/>
            <w:jc w:val="left"/>
          </w:pPr>
          <w:r>
            <w:rPr>
              <w:noProof/>
              <w:lang w:eastAsia="en-NZ"/>
            </w:rPr>
            <w:drawing>
              <wp:inline distT="0" distB="0" distL="0" distR="0" wp14:anchorId="72EB514A" wp14:editId="489A6D3B">
                <wp:extent cx="548640" cy="353145"/>
                <wp:effectExtent l="0" t="0" r="381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48B4DCF" w14:textId="77777777" w:rsidR="007D7F84" w:rsidRDefault="007D7F84" w:rsidP="007D7F84">
          <w:pPr>
            <w:pStyle w:val="RectoFooter"/>
            <w:spacing w:before="120"/>
            <w:jc w:val="left"/>
          </w:pPr>
          <w:r w:rsidRPr="009A7CB1">
            <w:t>Strategic Approach to Immunisation in New Zealand 2025–2030</w:t>
          </w:r>
        </w:p>
      </w:tc>
      <w:tc>
        <w:tcPr>
          <w:tcW w:w="709" w:type="dxa"/>
          <w:vAlign w:val="center"/>
        </w:tcPr>
        <w:p w14:paraId="6F34A65C" w14:textId="77777777" w:rsidR="007D7F84" w:rsidRPr="00931466" w:rsidRDefault="007D7F84" w:rsidP="007D7F84">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65C44977" w14:textId="77777777" w:rsidR="00B60B6D" w:rsidRPr="00581EB8" w:rsidRDefault="00B60B6D"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C" w14:textId="77777777" w:rsidR="00B60B6D" w:rsidRDefault="00B60B6D" w:rsidP="003D5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D" w14:textId="77777777" w:rsidR="00B60B6D" w:rsidRDefault="00B60B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8080"/>
      <w:gridCol w:w="992"/>
    </w:tblGrid>
    <w:tr w:rsidR="00B60B6D" w14:paraId="09DDDFA3" w14:textId="77777777" w:rsidTr="00852C5D">
      <w:trPr>
        <w:cantSplit/>
      </w:trPr>
      <w:tc>
        <w:tcPr>
          <w:tcW w:w="675" w:type="dxa"/>
          <w:vAlign w:val="center"/>
        </w:tcPr>
        <w:p w14:paraId="09DDDFA0" w14:textId="77777777" w:rsidR="00B60B6D" w:rsidRPr="00931466" w:rsidRDefault="00B60B6D" w:rsidP="00B60B6D">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09DDDFA1" w14:textId="77777777" w:rsidR="00B60B6D" w:rsidRDefault="00B60B6D" w:rsidP="00B60B6D">
          <w:pPr>
            <w:pStyle w:val="RectoFooter"/>
            <w:ind w:left="-108"/>
          </w:pPr>
          <w:r>
            <w:t>[title]: [subhead]</w:t>
          </w:r>
        </w:p>
      </w:tc>
      <w:tc>
        <w:tcPr>
          <w:tcW w:w="992" w:type="dxa"/>
          <w:vAlign w:val="center"/>
        </w:tcPr>
        <w:p w14:paraId="09DDDFA2" w14:textId="77777777" w:rsidR="00B60B6D" w:rsidRDefault="00B60B6D" w:rsidP="00B60B6D">
          <w:pPr>
            <w:pStyle w:val="RectoFooter"/>
            <w:ind w:left="-108"/>
          </w:pPr>
          <w:r>
            <w:rPr>
              <w:noProof/>
              <w:lang w:eastAsia="en-NZ"/>
            </w:rPr>
            <w:drawing>
              <wp:inline distT="0" distB="0" distL="0" distR="0" wp14:anchorId="09DDDFD5" wp14:editId="5AE0632C">
                <wp:extent cx="373711" cy="414082"/>
                <wp:effectExtent l="0" t="0" r="7620" b="508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042" t="13487" r="56350" b="13489"/>
                        <a:stretch/>
                      </pic:blipFill>
                      <pic:spPr bwMode="auto">
                        <a:xfrm>
                          <a:off x="0" y="0"/>
                          <a:ext cx="374326" cy="4147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A4" w14:textId="77777777" w:rsidR="00B60B6D" w:rsidRPr="00571223" w:rsidRDefault="00B60B6D"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B60B6D" w14:paraId="09DDDFA8" w14:textId="77777777" w:rsidTr="009732B2">
      <w:trPr>
        <w:cantSplit/>
      </w:trPr>
      <w:tc>
        <w:tcPr>
          <w:tcW w:w="1134" w:type="dxa"/>
          <w:vAlign w:val="center"/>
        </w:tcPr>
        <w:p w14:paraId="09DDDFA5" w14:textId="77777777" w:rsidR="00B60B6D" w:rsidRDefault="00B60B6D" w:rsidP="00120C4C">
          <w:pPr>
            <w:pStyle w:val="RectoFooter"/>
            <w:spacing w:before="120"/>
            <w:jc w:val="left"/>
          </w:pPr>
          <w:r>
            <w:rPr>
              <w:noProof/>
              <w:lang w:eastAsia="en-NZ"/>
            </w:rPr>
            <w:drawing>
              <wp:inline distT="0" distB="0" distL="0" distR="0" wp14:anchorId="09DDDFD7" wp14:editId="6D49720A">
                <wp:extent cx="548640" cy="353145"/>
                <wp:effectExtent l="0" t="0" r="3810" b="889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DDFA6" w14:textId="0C2128FC" w:rsidR="00B60B6D" w:rsidRDefault="00B60B6D" w:rsidP="00120C4C">
          <w:pPr>
            <w:pStyle w:val="RectoFooter"/>
            <w:spacing w:before="120"/>
            <w:jc w:val="left"/>
          </w:pPr>
          <w:r w:rsidRPr="009A7CB1">
            <w:t>Strategic Approach to Immunisation in New Zealand 2025–2030</w:t>
          </w:r>
        </w:p>
      </w:tc>
      <w:tc>
        <w:tcPr>
          <w:tcW w:w="709" w:type="dxa"/>
          <w:vAlign w:val="center"/>
        </w:tcPr>
        <w:p w14:paraId="09DDDFA7" w14:textId="77777777" w:rsidR="00B60B6D" w:rsidRPr="00931466" w:rsidRDefault="00B60B6D"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09DDDFA9" w14:textId="77777777" w:rsidR="00B60B6D" w:rsidRPr="00581EB8" w:rsidRDefault="00B60B6D"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B60B6D" w14:paraId="65417CB1" w14:textId="77777777" w:rsidTr="00B60B6D">
      <w:trPr>
        <w:cantSplit/>
      </w:trPr>
      <w:tc>
        <w:tcPr>
          <w:tcW w:w="675" w:type="dxa"/>
          <w:vAlign w:val="center"/>
        </w:tcPr>
        <w:p w14:paraId="1D6E76A8" w14:textId="77777777" w:rsidR="00B60B6D" w:rsidRPr="00931466" w:rsidRDefault="00B60B6D" w:rsidP="00B60B6D">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31CABD4F" w14:textId="77777777" w:rsidR="00B60B6D" w:rsidRDefault="00B60B6D" w:rsidP="00B60B6D">
          <w:pPr>
            <w:pStyle w:val="RectoFooter"/>
            <w:spacing w:before="120"/>
            <w:ind w:left="-108"/>
          </w:pPr>
          <w:r w:rsidRPr="009A7CB1">
            <w:t>Strategic Approach to Immunisation in New Zealand 2025–2030</w:t>
          </w:r>
        </w:p>
      </w:tc>
      <w:tc>
        <w:tcPr>
          <w:tcW w:w="1134" w:type="dxa"/>
          <w:vAlign w:val="center"/>
        </w:tcPr>
        <w:p w14:paraId="49CD54F8" w14:textId="77777777" w:rsidR="00B60B6D" w:rsidRDefault="00B60B6D" w:rsidP="00B60B6D">
          <w:pPr>
            <w:pStyle w:val="RectoFooter"/>
            <w:spacing w:before="120"/>
            <w:ind w:left="-108"/>
          </w:pPr>
          <w:r>
            <w:rPr>
              <w:noProof/>
              <w:lang w:eastAsia="en-NZ"/>
            </w:rPr>
            <w:drawing>
              <wp:inline distT="0" distB="0" distL="0" distR="0" wp14:anchorId="1C5980E6" wp14:editId="35A8C86B">
                <wp:extent cx="548640" cy="353145"/>
                <wp:effectExtent l="0" t="0" r="3810" b="889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B6" w14:textId="77777777" w:rsidR="00B60B6D" w:rsidRPr="00571223" w:rsidRDefault="00B60B6D"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B60B6D" w14:paraId="09DDDFBA" w14:textId="77777777" w:rsidTr="009732B2">
      <w:trPr>
        <w:cantSplit/>
      </w:trPr>
      <w:tc>
        <w:tcPr>
          <w:tcW w:w="1134" w:type="dxa"/>
          <w:vAlign w:val="center"/>
        </w:tcPr>
        <w:p w14:paraId="09DDDFB7" w14:textId="77777777" w:rsidR="00B60B6D" w:rsidRDefault="00B60B6D" w:rsidP="00120C4C">
          <w:pPr>
            <w:pStyle w:val="RectoFooter"/>
            <w:spacing w:before="120"/>
            <w:jc w:val="left"/>
          </w:pPr>
          <w:r>
            <w:rPr>
              <w:noProof/>
              <w:lang w:eastAsia="en-NZ"/>
            </w:rPr>
            <w:drawing>
              <wp:inline distT="0" distB="0" distL="0" distR="0" wp14:anchorId="09DDDFDB" wp14:editId="271D822C">
                <wp:extent cx="548640" cy="353145"/>
                <wp:effectExtent l="0" t="0" r="3810" b="889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DDFB8" w14:textId="6D475BB9" w:rsidR="00B60B6D" w:rsidRDefault="00B60B6D" w:rsidP="00120C4C">
          <w:pPr>
            <w:pStyle w:val="RectoFooter"/>
            <w:spacing w:before="120"/>
            <w:jc w:val="left"/>
          </w:pPr>
          <w:r w:rsidRPr="009A7CB1">
            <w:t>Strategic Approach to Immunisation in New Zealand 2025–2030</w:t>
          </w:r>
        </w:p>
      </w:tc>
      <w:tc>
        <w:tcPr>
          <w:tcW w:w="709" w:type="dxa"/>
          <w:vAlign w:val="center"/>
        </w:tcPr>
        <w:p w14:paraId="09DDDFB9" w14:textId="77777777" w:rsidR="00B60B6D" w:rsidRPr="00931466" w:rsidRDefault="00B60B6D"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09DDDFBB" w14:textId="77777777" w:rsidR="00B60B6D" w:rsidRPr="00581EB8" w:rsidRDefault="00B60B6D"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B60B6D" w14:paraId="09DDDFCA" w14:textId="77777777" w:rsidTr="009732B2">
      <w:trPr>
        <w:cantSplit/>
      </w:trPr>
      <w:tc>
        <w:tcPr>
          <w:tcW w:w="675" w:type="dxa"/>
          <w:vAlign w:val="center"/>
        </w:tcPr>
        <w:p w14:paraId="09DDDFC7" w14:textId="77777777" w:rsidR="00B60B6D" w:rsidRPr="00931466" w:rsidRDefault="00B60B6D" w:rsidP="00120C4C">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09DDDFC8" w14:textId="4FF8E939" w:rsidR="00B60B6D" w:rsidRDefault="00B60B6D" w:rsidP="00120C4C">
          <w:pPr>
            <w:pStyle w:val="RectoFooter"/>
            <w:spacing w:before="120"/>
            <w:ind w:left="-108"/>
          </w:pPr>
          <w:r w:rsidRPr="009A7CB1">
            <w:t>Strategic Approach to Immunisation in New Zealand 2025–2030</w:t>
          </w:r>
        </w:p>
      </w:tc>
      <w:tc>
        <w:tcPr>
          <w:tcW w:w="1134" w:type="dxa"/>
          <w:vAlign w:val="center"/>
        </w:tcPr>
        <w:p w14:paraId="09DDDFC9" w14:textId="77777777" w:rsidR="00B60B6D" w:rsidRDefault="00B60B6D" w:rsidP="00120C4C">
          <w:pPr>
            <w:pStyle w:val="RectoFooter"/>
            <w:spacing w:before="120"/>
            <w:ind w:left="-108"/>
          </w:pPr>
          <w:r>
            <w:rPr>
              <w:noProof/>
              <w:lang w:eastAsia="en-NZ"/>
            </w:rPr>
            <w:drawing>
              <wp:inline distT="0" distB="0" distL="0" distR="0" wp14:anchorId="09DDDFE1" wp14:editId="32178889">
                <wp:extent cx="548640" cy="353145"/>
                <wp:effectExtent l="0" t="0" r="3810" b="889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CB" w14:textId="77777777" w:rsidR="00B60B6D" w:rsidRPr="00571223" w:rsidRDefault="00B60B6D"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B60B6D" w14:paraId="09DDDFCF" w14:textId="77777777" w:rsidTr="009732B2">
      <w:trPr>
        <w:cantSplit/>
      </w:trPr>
      <w:tc>
        <w:tcPr>
          <w:tcW w:w="1134" w:type="dxa"/>
          <w:vAlign w:val="center"/>
        </w:tcPr>
        <w:p w14:paraId="09DDDFCC" w14:textId="77777777" w:rsidR="00B60B6D" w:rsidRDefault="00B60B6D" w:rsidP="00120C4C">
          <w:pPr>
            <w:pStyle w:val="RectoFooter"/>
            <w:spacing w:before="120"/>
            <w:jc w:val="left"/>
          </w:pPr>
          <w:r>
            <w:rPr>
              <w:noProof/>
              <w:lang w:eastAsia="en-NZ"/>
            </w:rPr>
            <w:drawing>
              <wp:inline distT="0" distB="0" distL="0" distR="0" wp14:anchorId="09DDDFE3" wp14:editId="4BDDAC3C">
                <wp:extent cx="548640" cy="353145"/>
                <wp:effectExtent l="0" t="0" r="3810" b="889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DDFCD" w14:textId="73F22AC1" w:rsidR="00B60B6D" w:rsidRDefault="00B60B6D" w:rsidP="00120C4C">
          <w:pPr>
            <w:pStyle w:val="RectoFooter"/>
            <w:spacing w:before="120"/>
            <w:jc w:val="left"/>
          </w:pPr>
          <w:r w:rsidRPr="009A7CB1">
            <w:t>Strategic Approach to Immunisation in New Zealand 2025–2030</w:t>
          </w:r>
        </w:p>
      </w:tc>
      <w:tc>
        <w:tcPr>
          <w:tcW w:w="709" w:type="dxa"/>
          <w:vAlign w:val="center"/>
        </w:tcPr>
        <w:p w14:paraId="09DDDFCE" w14:textId="77777777" w:rsidR="00B60B6D" w:rsidRPr="00931466" w:rsidRDefault="00B60B6D"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09DDDFD0" w14:textId="77777777" w:rsidR="00B60B6D" w:rsidRPr="00581EB8" w:rsidRDefault="00B60B6D"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C6D4" w14:textId="77777777" w:rsidR="00B4682C" w:rsidRPr="00A26E6B" w:rsidRDefault="00B4682C" w:rsidP="00A26E6B"/>
  </w:footnote>
  <w:footnote w:type="continuationSeparator" w:id="0">
    <w:p w14:paraId="18B9C3A1" w14:textId="77777777" w:rsidR="00B4682C" w:rsidRDefault="00B4682C">
      <w:r>
        <w:continuationSeparator/>
      </w:r>
    </w:p>
    <w:p w14:paraId="2992C38B" w14:textId="77777777" w:rsidR="00B4682C" w:rsidRDefault="00B4682C"/>
  </w:footnote>
  <w:footnote w:id="1">
    <w:p w14:paraId="54B762ED" w14:textId="77777777" w:rsidR="00B60B6D" w:rsidRPr="00696913" w:rsidRDefault="00B60B6D" w:rsidP="009A7CB1">
      <w:pPr>
        <w:pStyle w:val="FootnoteText"/>
      </w:pPr>
      <w:r w:rsidRPr="00696913">
        <w:rPr>
          <w:rStyle w:val="FootnoteReference"/>
          <w:sz w:val="16"/>
          <w:szCs w:val="16"/>
        </w:rPr>
        <w:footnoteRef/>
      </w:r>
      <w:r w:rsidRPr="00696913">
        <w:t xml:space="preserve"> These</w:t>
      </w:r>
      <w:r>
        <w:t xml:space="preserve"> strategies</w:t>
      </w:r>
      <w:r w:rsidRPr="00696913">
        <w:t xml:space="preserve"> are: </w:t>
      </w:r>
      <w:r>
        <w:t xml:space="preserve">New Zealand Health Strategy (Minister of Health 2023c), Pae Tū: </w:t>
      </w:r>
      <w:r w:rsidRPr="00696913">
        <w:t>Hauora Māori Strategy</w:t>
      </w:r>
      <w:r>
        <w:t xml:space="preserve"> (Minister of Health 2023a)</w:t>
      </w:r>
      <w:r w:rsidRPr="00696913">
        <w:t>, Te Mana Ola: The Pacific Health Strategy</w:t>
      </w:r>
      <w:r>
        <w:t xml:space="preserve"> (Minister of Health 2023b)</w:t>
      </w:r>
      <w:r w:rsidRPr="00696913">
        <w:t xml:space="preserve">, </w:t>
      </w:r>
      <w:r>
        <w:t xml:space="preserve">Provisional </w:t>
      </w:r>
      <w:r w:rsidRPr="00696913">
        <w:t>Health of Disabled People Strategy</w:t>
      </w:r>
      <w:r>
        <w:t xml:space="preserve"> (Minister of Health 2023d)</w:t>
      </w:r>
      <w:r w:rsidRPr="00696913">
        <w:t xml:space="preserve">, Women’s Health Strategy </w:t>
      </w:r>
      <w:r>
        <w:t xml:space="preserve">(Minister of Health 2023f) </w:t>
      </w:r>
      <w:r w:rsidRPr="00696913">
        <w:t>and Rural Health Strategy</w:t>
      </w:r>
      <w:r>
        <w:t xml:space="preserve"> (Minister of Health 2023e)</w:t>
      </w:r>
      <w:r w:rsidRPr="00696913">
        <w:t>.</w:t>
      </w:r>
      <w:r>
        <w:t xml:space="preserve"> A Mental Health and Wellbeing Strategy is in development.</w:t>
      </w:r>
    </w:p>
  </w:footnote>
  <w:footnote w:id="2">
    <w:p w14:paraId="2D6404FA" w14:textId="77777777" w:rsidR="00B60B6D" w:rsidRPr="00696913" w:rsidRDefault="00B60B6D" w:rsidP="009A7CB1">
      <w:pPr>
        <w:pStyle w:val="FootnoteText"/>
        <w:rPr>
          <w:lang w:val="mi-NZ"/>
        </w:rPr>
      </w:pPr>
      <w:r w:rsidRPr="00696913">
        <w:rPr>
          <w:rStyle w:val="FootnoteReference"/>
          <w:sz w:val="16"/>
          <w:szCs w:val="16"/>
        </w:rPr>
        <w:footnoteRef/>
      </w:r>
      <w:r w:rsidRPr="00696913">
        <w:t xml:space="preserve"> The EGL principles are: self-determination, beginning early, person-centred, ordinary life outcomes, mainstream first, mana enhancing and easy to use (</w:t>
      </w:r>
      <w:hyperlink r:id="rId1" w:history="1">
        <w:r w:rsidRPr="00696913">
          <w:rPr>
            <w:rStyle w:val="Hyperlink"/>
            <w:rFonts w:eastAsia="MS Gothic"/>
            <w:sz w:val="16"/>
            <w:szCs w:val="16"/>
          </w:rPr>
          <w:t>https://www.enablinggoodlives.co.nz/about-egl/egl-approach/principles/</w:t>
        </w:r>
      </w:hyperlink>
      <w:r w:rsidRPr="00696913">
        <w:t>)</w:t>
      </w:r>
      <w:r>
        <w:t>.</w:t>
      </w:r>
      <w:r w:rsidRPr="0069691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A" w14:textId="0A6CCDC5" w:rsidR="00B60B6D" w:rsidRPr="00754A43" w:rsidRDefault="00A55CEB" w:rsidP="00754A43">
    <w:pPr>
      <w:pStyle w:val="Header"/>
    </w:pPr>
    <w:r>
      <w:rPr>
        <w:noProof/>
      </w:rPr>
      <w:drawing>
        <wp:anchor distT="0" distB="0" distL="114300" distR="114300" simplePos="0" relativeHeight="251658240" behindDoc="0" locked="0" layoutInCell="1" allowOverlap="1" wp14:anchorId="7036A2EB" wp14:editId="0D584837">
          <wp:simplePos x="0" y="0"/>
          <wp:positionH relativeFrom="page">
            <wp:align>left</wp:align>
          </wp:positionH>
          <wp:positionV relativeFrom="page">
            <wp:align>top</wp:align>
          </wp:positionV>
          <wp:extent cx="5340350" cy="1079500"/>
          <wp:effectExtent l="0" t="0" r="0" b="0"/>
          <wp:wrapNone/>
          <wp:docPr id="5400136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13653"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29328"/>
                  <a:stretch/>
                </pic:blipFill>
                <pic:spPr bwMode="auto">
                  <a:xfrm>
                    <a:off x="0" y="0"/>
                    <a:ext cx="5342824"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A5BF0DB" wp14:editId="50D2B3D1">
          <wp:simplePos x="0" y="0"/>
          <wp:positionH relativeFrom="column">
            <wp:posOffset>5033010</wp:posOffset>
          </wp:positionH>
          <wp:positionV relativeFrom="paragraph">
            <wp:posOffset>-80645</wp:posOffset>
          </wp:positionV>
          <wp:extent cx="1518285" cy="718185"/>
          <wp:effectExtent l="0" t="0" r="0" b="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E" w14:textId="77777777" w:rsidR="00B60B6D" w:rsidRDefault="00B60B6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F" w14:textId="77777777" w:rsidR="00B60B6D" w:rsidRDefault="00B60B6D"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B0" w14:textId="77777777" w:rsidR="00B60B6D" w:rsidRDefault="00B60B6D"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B1" w14:textId="77777777" w:rsidR="00B60B6D" w:rsidRDefault="00B60B6D"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D455C9"/>
    <w:multiLevelType w:val="multilevel"/>
    <w:tmpl w:val="A510DB1A"/>
    <w:lvl w:ilvl="0">
      <w:start w:val="2"/>
      <w:numFmt w:val="decimal"/>
      <w:lvlText w:val="%1"/>
      <w:lvlJc w:val="left"/>
      <w:pPr>
        <w:ind w:left="430" w:hanging="430"/>
      </w:pPr>
      <w:rPr>
        <w:rFonts w:eastAsia="Times New Roman" w:hint="default"/>
      </w:rPr>
    </w:lvl>
    <w:lvl w:ilvl="1">
      <w:start w:val="3"/>
      <w:numFmt w:val="decimal"/>
      <w:lvlText w:val="%1.%2"/>
      <w:lvlJc w:val="left"/>
      <w:pPr>
        <w:ind w:left="430" w:hanging="43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FFA1617"/>
    <w:multiLevelType w:val="multilevel"/>
    <w:tmpl w:val="5E4CE1A4"/>
    <w:lvl w:ilvl="0">
      <w:start w:val="5"/>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D569FE"/>
    <w:multiLevelType w:val="multilevel"/>
    <w:tmpl w:val="214EFB24"/>
    <w:lvl w:ilvl="0">
      <w:start w:val="5"/>
      <w:numFmt w:val="decimal"/>
      <w:lvlText w:val="%1"/>
      <w:lvlJc w:val="left"/>
      <w:pPr>
        <w:ind w:left="430" w:hanging="430"/>
      </w:pPr>
      <w:rPr>
        <w:rFonts w:hint="default"/>
      </w:rPr>
    </w:lvl>
    <w:lvl w:ilvl="1">
      <w:start w:val="4"/>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FD56FD"/>
    <w:multiLevelType w:val="multilevel"/>
    <w:tmpl w:val="F2DA3F04"/>
    <w:lvl w:ilvl="0">
      <w:start w:val="3"/>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236E02"/>
    <w:multiLevelType w:val="multilevel"/>
    <w:tmpl w:val="36B8872A"/>
    <w:lvl w:ilvl="0">
      <w:start w:val="2"/>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5F09E8"/>
    <w:multiLevelType w:val="multilevel"/>
    <w:tmpl w:val="9AC8587A"/>
    <w:lvl w:ilvl="0">
      <w:start w:val="4"/>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900C2F"/>
    <w:multiLevelType w:val="multilevel"/>
    <w:tmpl w:val="17E0705C"/>
    <w:lvl w:ilvl="0">
      <w:start w:val="1"/>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280539"/>
    <w:multiLevelType w:val="multilevel"/>
    <w:tmpl w:val="0DBE7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22D7E"/>
    <w:multiLevelType w:val="multilevel"/>
    <w:tmpl w:val="CF2C7AD6"/>
    <w:lvl w:ilvl="0">
      <w:start w:val="5"/>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0E798D"/>
    <w:multiLevelType w:val="multilevel"/>
    <w:tmpl w:val="F69C87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4D6986"/>
    <w:multiLevelType w:val="multilevel"/>
    <w:tmpl w:val="F0F0A936"/>
    <w:lvl w:ilvl="0">
      <w:start w:val="4"/>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B46FEB"/>
    <w:multiLevelType w:val="multilevel"/>
    <w:tmpl w:val="A874F024"/>
    <w:lvl w:ilvl="0">
      <w:start w:val="3"/>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21655"/>
    <w:multiLevelType w:val="multilevel"/>
    <w:tmpl w:val="F9560288"/>
    <w:lvl w:ilvl="0">
      <w:start w:val="4"/>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C831DA"/>
    <w:multiLevelType w:val="multilevel"/>
    <w:tmpl w:val="64FC9722"/>
    <w:lvl w:ilvl="0">
      <w:start w:val="5"/>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88394B"/>
    <w:multiLevelType w:val="multilevel"/>
    <w:tmpl w:val="41CCB7B6"/>
    <w:lvl w:ilvl="0">
      <w:start w:val="3"/>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C31A95"/>
    <w:multiLevelType w:val="hybridMultilevel"/>
    <w:tmpl w:val="DA8E1636"/>
    <w:lvl w:ilvl="0" w:tplc="14090001">
      <w:start w:val="1"/>
      <w:numFmt w:val="bullet"/>
      <w:pStyle w:val="TemplateHeading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16cid:durableId="1480031685">
    <w:abstractNumId w:val="20"/>
  </w:num>
  <w:num w:numId="2" w16cid:durableId="2030914569">
    <w:abstractNumId w:val="10"/>
  </w:num>
  <w:num w:numId="3" w16cid:durableId="172502648">
    <w:abstractNumId w:val="11"/>
  </w:num>
  <w:num w:numId="4" w16cid:durableId="1499148646">
    <w:abstractNumId w:val="2"/>
  </w:num>
  <w:num w:numId="5" w16cid:durableId="1601182478">
    <w:abstractNumId w:val="0"/>
  </w:num>
  <w:num w:numId="6" w16cid:durableId="1587613542">
    <w:abstractNumId w:val="19"/>
  </w:num>
  <w:num w:numId="7" w16cid:durableId="1902014183">
    <w:abstractNumId w:val="9"/>
  </w:num>
  <w:num w:numId="8" w16cid:durableId="1455903766">
    <w:abstractNumId w:val="8"/>
  </w:num>
  <w:num w:numId="9" w16cid:durableId="320889511">
    <w:abstractNumId w:val="13"/>
  </w:num>
  <w:num w:numId="10" w16cid:durableId="773356921">
    <w:abstractNumId w:val="6"/>
  </w:num>
  <w:num w:numId="11" w16cid:durableId="796264262">
    <w:abstractNumId w:val="1"/>
  </w:num>
  <w:num w:numId="12" w16cid:durableId="1132678104">
    <w:abstractNumId w:val="5"/>
  </w:num>
  <w:num w:numId="13" w16cid:durableId="1185247800">
    <w:abstractNumId w:val="15"/>
  </w:num>
  <w:num w:numId="14" w16cid:durableId="2131584010">
    <w:abstractNumId w:val="18"/>
  </w:num>
  <w:num w:numId="15" w16cid:durableId="1715304333">
    <w:abstractNumId w:val="7"/>
  </w:num>
  <w:num w:numId="16" w16cid:durableId="880245382">
    <w:abstractNumId w:val="14"/>
  </w:num>
  <w:num w:numId="17" w16cid:durableId="1623800101">
    <w:abstractNumId w:val="16"/>
  </w:num>
  <w:num w:numId="18" w16cid:durableId="1488941194">
    <w:abstractNumId w:val="12"/>
  </w:num>
  <w:num w:numId="19" w16cid:durableId="891159866">
    <w:abstractNumId w:val="3"/>
  </w:num>
  <w:num w:numId="20" w16cid:durableId="505558459">
    <w:abstractNumId w:val="17"/>
  </w:num>
  <w:num w:numId="21" w16cid:durableId="12524534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44DE"/>
    <w:rsid w:val="00025A6F"/>
    <w:rsid w:val="0002618D"/>
    <w:rsid w:val="00030609"/>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E0BD4"/>
    <w:rsid w:val="000F1305"/>
    <w:rsid w:val="000F1F42"/>
    <w:rsid w:val="000F2AE2"/>
    <w:rsid w:val="000F2BFF"/>
    <w:rsid w:val="000F32A0"/>
    <w:rsid w:val="00100626"/>
    <w:rsid w:val="00102063"/>
    <w:rsid w:val="0010541C"/>
    <w:rsid w:val="00105770"/>
    <w:rsid w:val="00106F93"/>
    <w:rsid w:val="00111D50"/>
    <w:rsid w:val="00113B8E"/>
    <w:rsid w:val="00117F59"/>
    <w:rsid w:val="0012053C"/>
    <w:rsid w:val="00120C4C"/>
    <w:rsid w:val="00122363"/>
    <w:rsid w:val="00125D45"/>
    <w:rsid w:val="001342C7"/>
    <w:rsid w:val="00134F80"/>
    <w:rsid w:val="0013585C"/>
    <w:rsid w:val="00142261"/>
    <w:rsid w:val="00142954"/>
    <w:rsid w:val="001460E0"/>
    <w:rsid w:val="001472F0"/>
    <w:rsid w:val="00147F71"/>
    <w:rsid w:val="00150A6E"/>
    <w:rsid w:val="00160810"/>
    <w:rsid w:val="0016304B"/>
    <w:rsid w:val="0016318F"/>
    <w:rsid w:val="0016468A"/>
    <w:rsid w:val="0017070E"/>
    <w:rsid w:val="00174F02"/>
    <w:rsid w:val="0018376C"/>
    <w:rsid w:val="0018662D"/>
    <w:rsid w:val="00197427"/>
    <w:rsid w:val="001A21B4"/>
    <w:rsid w:val="001A5CF5"/>
    <w:rsid w:val="001B36D9"/>
    <w:rsid w:val="001B39D2"/>
    <w:rsid w:val="001B4BF8"/>
    <w:rsid w:val="001B7B14"/>
    <w:rsid w:val="001C4326"/>
    <w:rsid w:val="001C665E"/>
    <w:rsid w:val="001D3541"/>
    <w:rsid w:val="001D3E4E"/>
    <w:rsid w:val="001E254A"/>
    <w:rsid w:val="001E7386"/>
    <w:rsid w:val="001F45A7"/>
    <w:rsid w:val="001F5E27"/>
    <w:rsid w:val="0020027C"/>
    <w:rsid w:val="00200906"/>
    <w:rsid w:val="00201A01"/>
    <w:rsid w:val="0020754B"/>
    <w:rsid w:val="002104D3"/>
    <w:rsid w:val="00213A33"/>
    <w:rsid w:val="0021763B"/>
    <w:rsid w:val="00232E9F"/>
    <w:rsid w:val="0024198F"/>
    <w:rsid w:val="00245748"/>
    <w:rsid w:val="00246DB1"/>
    <w:rsid w:val="002476B5"/>
    <w:rsid w:val="002520CC"/>
    <w:rsid w:val="00253ECF"/>
    <w:rsid w:val="00254044"/>
    <w:rsid w:val="002546A1"/>
    <w:rsid w:val="002575E8"/>
    <w:rsid w:val="00257EF1"/>
    <w:rsid w:val="002628F4"/>
    <w:rsid w:val="00274520"/>
    <w:rsid w:val="00275D08"/>
    <w:rsid w:val="002839AF"/>
    <w:rsid w:val="00285080"/>
    <w:rsid w:val="002858E3"/>
    <w:rsid w:val="0029190A"/>
    <w:rsid w:val="00292C5A"/>
    <w:rsid w:val="00295241"/>
    <w:rsid w:val="002967E7"/>
    <w:rsid w:val="002A4DFC"/>
    <w:rsid w:val="002B047D"/>
    <w:rsid w:val="002B732B"/>
    <w:rsid w:val="002B76A7"/>
    <w:rsid w:val="002B7BEC"/>
    <w:rsid w:val="002C2219"/>
    <w:rsid w:val="002C2552"/>
    <w:rsid w:val="002C380A"/>
    <w:rsid w:val="002D0DF2"/>
    <w:rsid w:val="002D23BD"/>
    <w:rsid w:val="002D3425"/>
    <w:rsid w:val="002E0B47"/>
    <w:rsid w:val="002F3A0D"/>
    <w:rsid w:val="002F4685"/>
    <w:rsid w:val="002F7213"/>
    <w:rsid w:val="0030382F"/>
    <w:rsid w:val="0030408D"/>
    <w:rsid w:val="003060E4"/>
    <w:rsid w:val="003160E7"/>
    <w:rsid w:val="0031739E"/>
    <w:rsid w:val="00317DA3"/>
    <w:rsid w:val="00321381"/>
    <w:rsid w:val="003235C6"/>
    <w:rsid w:val="003309CA"/>
    <w:rsid w:val="003325AB"/>
    <w:rsid w:val="003332D1"/>
    <w:rsid w:val="0033412B"/>
    <w:rsid w:val="0033448B"/>
    <w:rsid w:val="00341161"/>
    <w:rsid w:val="00343365"/>
    <w:rsid w:val="00343C7C"/>
    <w:rsid w:val="003445F4"/>
    <w:rsid w:val="00347962"/>
    <w:rsid w:val="00353501"/>
    <w:rsid w:val="00353734"/>
    <w:rsid w:val="003538D4"/>
    <w:rsid w:val="003562F9"/>
    <w:rsid w:val="003606F8"/>
    <w:rsid w:val="003648EF"/>
    <w:rsid w:val="003673E6"/>
    <w:rsid w:val="00377264"/>
    <w:rsid w:val="003779D2"/>
    <w:rsid w:val="00385E38"/>
    <w:rsid w:val="003952F9"/>
    <w:rsid w:val="003A26A5"/>
    <w:rsid w:val="003A3761"/>
    <w:rsid w:val="003A512D"/>
    <w:rsid w:val="003A5FEA"/>
    <w:rsid w:val="003A710B"/>
    <w:rsid w:val="003B1D10"/>
    <w:rsid w:val="003B63EE"/>
    <w:rsid w:val="003C310C"/>
    <w:rsid w:val="003C76D4"/>
    <w:rsid w:val="003D137D"/>
    <w:rsid w:val="003D2CC5"/>
    <w:rsid w:val="003D3E5C"/>
    <w:rsid w:val="003D59BB"/>
    <w:rsid w:val="003E04C1"/>
    <w:rsid w:val="003E0887"/>
    <w:rsid w:val="003E1098"/>
    <w:rsid w:val="003E74C8"/>
    <w:rsid w:val="003E74E2"/>
    <w:rsid w:val="003E7C46"/>
    <w:rsid w:val="003F2106"/>
    <w:rsid w:val="003F52A7"/>
    <w:rsid w:val="003F7013"/>
    <w:rsid w:val="003F7F6A"/>
    <w:rsid w:val="0040240C"/>
    <w:rsid w:val="00413021"/>
    <w:rsid w:val="00414C35"/>
    <w:rsid w:val="004171B7"/>
    <w:rsid w:val="004301C6"/>
    <w:rsid w:val="0043478F"/>
    <w:rsid w:val="00435A0B"/>
    <w:rsid w:val="0043602B"/>
    <w:rsid w:val="004367D2"/>
    <w:rsid w:val="004374D1"/>
    <w:rsid w:val="00440BE0"/>
    <w:rsid w:val="00442A06"/>
    <w:rsid w:val="00442C1C"/>
    <w:rsid w:val="0044584B"/>
    <w:rsid w:val="00447CB7"/>
    <w:rsid w:val="00455CC9"/>
    <w:rsid w:val="00460826"/>
    <w:rsid w:val="00460B1E"/>
    <w:rsid w:val="00460EA7"/>
    <w:rsid w:val="0046195B"/>
    <w:rsid w:val="0046362D"/>
    <w:rsid w:val="0046596D"/>
    <w:rsid w:val="00481E60"/>
    <w:rsid w:val="004852AB"/>
    <w:rsid w:val="00487C04"/>
    <w:rsid w:val="004907E1"/>
    <w:rsid w:val="00490B12"/>
    <w:rsid w:val="00494C8E"/>
    <w:rsid w:val="004A035B"/>
    <w:rsid w:val="004A2108"/>
    <w:rsid w:val="004A38D7"/>
    <w:rsid w:val="004A469A"/>
    <w:rsid w:val="004A778C"/>
    <w:rsid w:val="004B14DD"/>
    <w:rsid w:val="004B48C7"/>
    <w:rsid w:val="004C2E6A"/>
    <w:rsid w:val="004C64B8"/>
    <w:rsid w:val="004D0A4D"/>
    <w:rsid w:val="004D2A2D"/>
    <w:rsid w:val="004D479F"/>
    <w:rsid w:val="004D6689"/>
    <w:rsid w:val="004E1D1D"/>
    <w:rsid w:val="004E7AC8"/>
    <w:rsid w:val="004F05F4"/>
    <w:rsid w:val="004F0C94"/>
    <w:rsid w:val="005019AE"/>
    <w:rsid w:val="00503749"/>
    <w:rsid w:val="00503D59"/>
    <w:rsid w:val="00504CF4"/>
    <w:rsid w:val="0050635B"/>
    <w:rsid w:val="005075B3"/>
    <w:rsid w:val="005151C2"/>
    <w:rsid w:val="005205B8"/>
    <w:rsid w:val="00524BB1"/>
    <w:rsid w:val="005275E8"/>
    <w:rsid w:val="005309FE"/>
    <w:rsid w:val="0053199F"/>
    <w:rsid w:val="00531E12"/>
    <w:rsid w:val="00533B90"/>
    <w:rsid w:val="005410F8"/>
    <w:rsid w:val="005448EC"/>
    <w:rsid w:val="00545963"/>
    <w:rsid w:val="00550256"/>
    <w:rsid w:val="00552B1F"/>
    <w:rsid w:val="00553165"/>
    <w:rsid w:val="00553958"/>
    <w:rsid w:val="00556BB7"/>
    <w:rsid w:val="0055763D"/>
    <w:rsid w:val="00561516"/>
    <w:rsid w:val="00562018"/>
    <w:rsid w:val="005621F2"/>
    <w:rsid w:val="00567B58"/>
    <w:rsid w:val="00571223"/>
    <w:rsid w:val="005718A6"/>
    <w:rsid w:val="00573548"/>
    <w:rsid w:val="005763E0"/>
    <w:rsid w:val="00581136"/>
    <w:rsid w:val="00581EB8"/>
    <w:rsid w:val="005839E7"/>
    <w:rsid w:val="0058437F"/>
    <w:rsid w:val="005A1034"/>
    <w:rsid w:val="005A27CA"/>
    <w:rsid w:val="005A43BD"/>
    <w:rsid w:val="005A79E5"/>
    <w:rsid w:val="005D034C"/>
    <w:rsid w:val="005D2AFD"/>
    <w:rsid w:val="005D41CC"/>
    <w:rsid w:val="005D50B6"/>
    <w:rsid w:val="005E226E"/>
    <w:rsid w:val="005E2636"/>
    <w:rsid w:val="00600DC6"/>
    <w:rsid w:val="006015D7"/>
    <w:rsid w:val="00601B21"/>
    <w:rsid w:val="006041F0"/>
    <w:rsid w:val="00605C6D"/>
    <w:rsid w:val="00606CA5"/>
    <w:rsid w:val="006120CA"/>
    <w:rsid w:val="0061443A"/>
    <w:rsid w:val="006200F0"/>
    <w:rsid w:val="00623969"/>
    <w:rsid w:val="00624174"/>
    <w:rsid w:val="00626CF8"/>
    <w:rsid w:val="00630E6F"/>
    <w:rsid w:val="006314AF"/>
    <w:rsid w:val="00634003"/>
    <w:rsid w:val="00634ED8"/>
    <w:rsid w:val="00636D7D"/>
    <w:rsid w:val="00637408"/>
    <w:rsid w:val="006427DD"/>
    <w:rsid w:val="00642868"/>
    <w:rsid w:val="006457B8"/>
    <w:rsid w:val="00647AFE"/>
    <w:rsid w:val="00650417"/>
    <w:rsid w:val="006512BC"/>
    <w:rsid w:val="00653A5A"/>
    <w:rsid w:val="006554AC"/>
    <w:rsid w:val="00656F28"/>
    <w:rsid w:val="006575F4"/>
    <w:rsid w:val="006579E6"/>
    <w:rsid w:val="00660682"/>
    <w:rsid w:val="00660F74"/>
    <w:rsid w:val="00663EDC"/>
    <w:rsid w:val="00671078"/>
    <w:rsid w:val="006758CA"/>
    <w:rsid w:val="006769AB"/>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5687"/>
    <w:rsid w:val="006E69F4"/>
    <w:rsid w:val="006F1B67"/>
    <w:rsid w:val="006F4D9C"/>
    <w:rsid w:val="0070091D"/>
    <w:rsid w:val="00702854"/>
    <w:rsid w:val="0071741C"/>
    <w:rsid w:val="007317D1"/>
    <w:rsid w:val="007327B0"/>
    <w:rsid w:val="00742B90"/>
    <w:rsid w:val="0074434D"/>
    <w:rsid w:val="00752E53"/>
    <w:rsid w:val="00754A43"/>
    <w:rsid w:val="00755A1D"/>
    <w:rsid w:val="007570C4"/>
    <w:rsid w:val="007605B8"/>
    <w:rsid w:val="00760D6B"/>
    <w:rsid w:val="00771B1E"/>
    <w:rsid w:val="00773C95"/>
    <w:rsid w:val="0078171E"/>
    <w:rsid w:val="0078658E"/>
    <w:rsid w:val="007920E2"/>
    <w:rsid w:val="0079566E"/>
    <w:rsid w:val="00795B34"/>
    <w:rsid w:val="007979D9"/>
    <w:rsid w:val="007A067F"/>
    <w:rsid w:val="007B1770"/>
    <w:rsid w:val="007B4D3E"/>
    <w:rsid w:val="007B6224"/>
    <w:rsid w:val="007B7C70"/>
    <w:rsid w:val="007B7DEB"/>
    <w:rsid w:val="007C0449"/>
    <w:rsid w:val="007C43B6"/>
    <w:rsid w:val="007C5F01"/>
    <w:rsid w:val="007D2151"/>
    <w:rsid w:val="007D3B90"/>
    <w:rsid w:val="007D42CC"/>
    <w:rsid w:val="007D5DE4"/>
    <w:rsid w:val="007D7C3A"/>
    <w:rsid w:val="007D7F84"/>
    <w:rsid w:val="007E0777"/>
    <w:rsid w:val="007E1341"/>
    <w:rsid w:val="007E1B41"/>
    <w:rsid w:val="007E1EC4"/>
    <w:rsid w:val="007E30B9"/>
    <w:rsid w:val="007E54F1"/>
    <w:rsid w:val="007E74F1"/>
    <w:rsid w:val="007F0F0C"/>
    <w:rsid w:val="007F1288"/>
    <w:rsid w:val="007F3E11"/>
    <w:rsid w:val="00800A8A"/>
    <w:rsid w:val="0080155C"/>
    <w:rsid w:val="008052E1"/>
    <w:rsid w:val="00811EEB"/>
    <w:rsid w:val="008125D1"/>
    <w:rsid w:val="00814683"/>
    <w:rsid w:val="0082081A"/>
    <w:rsid w:val="00822F2C"/>
    <w:rsid w:val="00823DEE"/>
    <w:rsid w:val="008305E8"/>
    <w:rsid w:val="00833314"/>
    <w:rsid w:val="00836165"/>
    <w:rsid w:val="008365B2"/>
    <w:rsid w:val="0084640C"/>
    <w:rsid w:val="00852C5D"/>
    <w:rsid w:val="00856088"/>
    <w:rsid w:val="00860826"/>
    <w:rsid w:val="00860E21"/>
    <w:rsid w:val="00863117"/>
    <w:rsid w:val="0086388B"/>
    <w:rsid w:val="008642E5"/>
    <w:rsid w:val="00864488"/>
    <w:rsid w:val="00870A36"/>
    <w:rsid w:val="00872D93"/>
    <w:rsid w:val="00880470"/>
    <w:rsid w:val="00880D94"/>
    <w:rsid w:val="008814E8"/>
    <w:rsid w:val="00883BB0"/>
    <w:rsid w:val="00886F64"/>
    <w:rsid w:val="008924DE"/>
    <w:rsid w:val="0089250D"/>
    <w:rsid w:val="008A3755"/>
    <w:rsid w:val="008B19DC"/>
    <w:rsid w:val="008B264F"/>
    <w:rsid w:val="008B6F83"/>
    <w:rsid w:val="008B7FD8"/>
    <w:rsid w:val="008C11AC"/>
    <w:rsid w:val="008C2973"/>
    <w:rsid w:val="008C6324"/>
    <w:rsid w:val="008C64C4"/>
    <w:rsid w:val="008D10F0"/>
    <w:rsid w:val="008D1D30"/>
    <w:rsid w:val="008D2CDD"/>
    <w:rsid w:val="008D74D5"/>
    <w:rsid w:val="008D7C9F"/>
    <w:rsid w:val="008E04BA"/>
    <w:rsid w:val="008E0ED1"/>
    <w:rsid w:val="008E2083"/>
    <w:rsid w:val="008E3A07"/>
    <w:rsid w:val="008E537B"/>
    <w:rsid w:val="008F29BE"/>
    <w:rsid w:val="008F4AE5"/>
    <w:rsid w:val="008F51EB"/>
    <w:rsid w:val="00900197"/>
    <w:rsid w:val="00902F55"/>
    <w:rsid w:val="00905251"/>
    <w:rsid w:val="0090582B"/>
    <w:rsid w:val="009060C0"/>
    <w:rsid w:val="009133F5"/>
    <w:rsid w:val="009145E5"/>
    <w:rsid w:val="0091756F"/>
    <w:rsid w:val="00920A27"/>
    <w:rsid w:val="00921216"/>
    <w:rsid w:val="009216CC"/>
    <w:rsid w:val="009220F3"/>
    <w:rsid w:val="00922E41"/>
    <w:rsid w:val="00925892"/>
    <w:rsid w:val="00926083"/>
    <w:rsid w:val="00926D08"/>
    <w:rsid w:val="00930D08"/>
    <w:rsid w:val="00931466"/>
    <w:rsid w:val="00932D69"/>
    <w:rsid w:val="0093539A"/>
    <w:rsid w:val="009354FD"/>
    <w:rsid w:val="00935589"/>
    <w:rsid w:val="00937408"/>
    <w:rsid w:val="009427FA"/>
    <w:rsid w:val="00944647"/>
    <w:rsid w:val="009469E2"/>
    <w:rsid w:val="0095565C"/>
    <w:rsid w:val="00964AB6"/>
    <w:rsid w:val="00966F9A"/>
    <w:rsid w:val="009732B2"/>
    <w:rsid w:val="00977B8A"/>
    <w:rsid w:val="00982971"/>
    <w:rsid w:val="009845AD"/>
    <w:rsid w:val="00984835"/>
    <w:rsid w:val="009933EF"/>
    <w:rsid w:val="00995497"/>
    <w:rsid w:val="00995BA0"/>
    <w:rsid w:val="009A13D0"/>
    <w:rsid w:val="009A418B"/>
    <w:rsid w:val="009A426F"/>
    <w:rsid w:val="009A42D5"/>
    <w:rsid w:val="009A4473"/>
    <w:rsid w:val="009A6111"/>
    <w:rsid w:val="009A7CB1"/>
    <w:rsid w:val="009B05C9"/>
    <w:rsid w:val="009B286C"/>
    <w:rsid w:val="009C151C"/>
    <w:rsid w:val="009C440A"/>
    <w:rsid w:val="009D5125"/>
    <w:rsid w:val="009D60B8"/>
    <w:rsid w:val="009D6DDB"/>
    <w:rsid w:val="009D7D4B"/>
    <w:rsid w:val="009E36ED"/>
    <w:rsid w:val="009E3B47"/>
    <w:rsid w:val="009E3C8C"/>
    <w:rsid w:val="009E6B77"/>
    <w:rsid w:val="009F4372"/>
    <w:rsid w:val="009F460A"/>
    <w:rsid w:val="009F55F0"/>
    <w:rsid w:val="00A043FB"/>
    <w:rsid w:val="00A06BE4"/>
    <w:rsid w:val="00A0729C"/>
    <w:rsid w:val="00A073CF"/>
    <w:rsid w:val="00A07779"/>
    <w:rsid w:val="00A1166A"/>
    <w:rsid w:val="00A20B2E"/>
    <w:rsid w:val="00A24F33"/>
    <w:rsid w:val="00A25069"/>
    <w:rsid w:val="00A26A19"/>
    <w:rsid w:val="00A26E6B"/>
    <w:rsid w:val="00A3068F"/>
    <w:rsid w:val="00A3145B"/>
    <w:rsid w:val="00A339D0"/>
    <w:rsid w:val="00A3415C"/>
    <w:rsid w:val="00A359A2"/>
    <w:rsid w:val="00A4055F"/>
    <w:rsid w:val="00A41002"/>
    <w:rsid w:val="00A4201A"/>
    <w:rsid w:val="00A5465D"/>
    <w:rsid w:val="00A553CE"/>
    <w:rsid w:val="00A55CEB"/>
    <w:rsid w:val="00A5677A"/>
    <w:rsid w:val="00A56DCC"/>
    <w:rsid w:val="00A625E8"/>
    <w:rsid w:val="00A63DFF"/>
    <w:rsid w:val="00A64496"/>
    <w:rsid w:val="00A6490D"/>
    <w:rsid w:val="00A67033"/>
    <w:rsid w:val="00A7415D"/>
    <w:rsid w:val="00A80363"/>
    <w:rsid w:val="00A80939"/>
    <w:rsid w:val="00A83E9D"/>
    <w:rsid w:val="00A87C05"/>
    <w:rsid w:val="00A9169D"/>
    <w:rsid w:val="00A92A35"/>
    <w:rsid w:val="00A93598"/>
    <w:rsid w:val="00A97A3A"/>
    <w:rsid w:val="00AA240C"/>
    <w:rsid w:val="00AA30C5"/>
    <w:rsid w:val="00AB0332"/>
    <w:rsid w:val="00AC101C"/>
    <w:rsid w:val="00AD4CF1"/>
    <w:rsid w:val="00AD5988"/>
    <w:rsid w:val="00AD6293"/>
    <w:rsid w:val="00AE1643"/>
    <w:rsid w:val="00AE16AF"/>
    <w:rsid w:val="00AF335A"/>
    <w:rsid w:val="00AF372E"/>
    <w:rsid w:val="00AF7800"/>
    <w:rsid w:val="00B00CF5"/>
    <w:rsid w:val="00B072E0"/>
    <w:rsid w:val="00B1007E"/>
    <w:rsid w:val="00B13C0B"/>
    <w:rsid w:val="00B13D41"/>
    <w:rsid w:val="00B155FD"/>
    <w:rsid w:val="00B253F6"/>
    <w:rsid w:val="00B26675"/>
    <w:rsid w:val="00B305DB"/>
    <w:rsid w:val="00B332F8"/>
    <w:rsid w:val="00B3492B"/>
    <w:rsid w:val="00B44C72"/>
    <w:rsid w:val="00B4646F"/>
    <w:rsid w:val="00B4682C"/>
    <w:rsid w:val="00B47C82"/>
    <w:rsid w:val="00B55C7D"/>
    <w:rsid w:val="00B60B6D"/>
    <w:rsid w:val="00B63038"/>
    <w:rsid w:val="00B64BD8"/>
    <w:rsid w:val="00B701D1"/>
    <w:rsid w:val="00B73AF2"/>
    <w:rsid w:val="00B73D79"/>
    <w:rsid w:val="00B7551A"/>
    <w:rsid w:val="00B773F1"/>
    <w:rsid w:val="00B86AB1"/>
    <w:rsid w:val="00B87726"/>
    <w:rsid w:val="00B912A1"/>
    <w:rsid w:val="00B91B22"/>
    <w:rsid w:val="00BA7EBA"/>
    <w:rsid w:val="00BB2A06"/>
    <w:rsid w:val="00BB2CBB"/>
    <w:rsid w:val="00BB4136"/>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093C"/>
    <w:rsid w:val="00C7394D"/>
    <w:rsid w:val="00C756B7"/>
    <w:rsid w:val="00C77282"/>
    <w:rsid w:val="00C84DE5"/>
    <w:rsid w:val="00C86248"/>
    <w:rsid w:val="00C90B31"/>
    <w:rsid w:val="00CA0D6F"/>
    <w:rsid w:val="00CA442E"/>
    <w:rsid w:val="00CA4C33"/>
    <w:rsid w:val="00CA6F4A"/>
    <w:rsid w:val="00CB3483"/>
    <w:rsid w:val="00CB3915"/>
    <w:rsid w:val="00CB6427"/>
    <w:rsid w:val="00CC0FBE"/>
    <w:rsid w:val="00CC6EA4"/>
    <w:rsid w:val="00CD077C"/>
    <w:rsid w:val="00CD2119"/>
    <w:rsid w:val="00CD237A"/>
    <w:rsid w:val="00CD36AC"/>
    <w:rsid w:val="00CD7344"/>
    <w:rsid w:val="00CE07BA"/>
    <w:rsid w:val="00CE13A3"/>
    <w:rsid w:val="00CE36BC"/>
    <w:rsid w:val="00CF1747"/>
    <w:rsid w:val="00CF60ED"/>
    <w:rsid w:val="00D05D74"/>
    <w:rsid w:val="00D15FEE"/>
    <w:rsid w:val="00D20C59"/>
    <w:rsid w:val="00D23323"/>
    <w:rsid w:val="00D2392A"/>
    <w:rsid w:val="00D25FFE"/>
    <w:rsid w:val="00D27922"/>
    <w:rsid w:val="00D27A64"/>
    <w:rsid w:val="00D37D80"/>
    <w:rsid w:val="00D442F3"/>
    <w:rsid w:val="00D44483"/>
    <w:rsid w:val="00D4476F"/>
    <w:rsid w:val="00D50573"/>
    <w:rsid w:val="00D54D50"/>
    <w:rsid w:val="00D560B4"/>
    <w:rsid w:val="00D659BF"/>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C7C56"/>
    <w:rsid w:val="00DD0BCD"/>
    <w:rsid w:val="00DD447A"/>
    <w:rsid w:val="00DE2860"/>
    <w:rsid w:val="00DE3B20"/>
    <w:rsid w:val="00DE6C94"/>
    <w:rsid w:val="00DE6FD7"/>
    <w:rsid w:val="00DF0C7C"/>
    <w:rsid w:val="00DF78A1"/>
    <w:rsid w:val="00E064D9"/>
    <w:rsid w:val="00E10B18"/>
    <w:rsid w:val="00E23271"/>
    <w:rsid w:val="00E24F80"/>
    <w:rsid w:val="00E259F3"/>
    <w:rsid w:val="00E30985"/>
    <w:rsid w:val="00E33238"/>
    <w:rsid w:val="00E33934"/>
    <w:rsid w:val="00E376B7"/>
    <w:rsid w:val="00E42F5D"/>
    <w:rsid w:val="00E4486C"/>
    <w:rsid w:val="00E460B6"/>
    <w:rsid w:val="00E511D5"/>
    <w:rsid w:val="00E52321"/>
    <w:rsid w:val="00E53A9F"/>
    <w:rsid w:val="00E57349"/>
    <w:rsid w:val="00E60249"/>
    <w:rsid w:val="00E620CE"/>
    <w:rsid w:val="00E62238"/>
    <w:rsid w:val="00E65269"/>
    <w:rsid w:val="00E76D66"/>
    <w:rsid w:val="00E8590E"/>
    <w:rsid w:val="00E93978"/>
    <w:rsid w:val="00EA796A"/>
    <w:rsid w:val="00EB1856"/>
    <w:rsid w:val="00EB7537"/>
    <w:rsid w:val="00EC50CE"/>
    <w:rsid w:val="00EC5B34"/>
    <w:rsid w:val="00ED021E"/>
    <w:rsid w:val="00ED323C"/>
    <w:rsid w:val="00EE2D5C"/>
    <w:rsid w:val="00EE4ADE"/>
    <w:rsid w:val="00EE4DE8"/>
    <w:rsid w:val="00EE5CB7"/>
    <w:rsid w:val="00F000BF"/>
    <w:rsid w:val="00F022BD"/>
    <w:rsid w:val="00F024FE"/>
    <w:rsid w:val="00F05AD4"/>
    <w:rsid w:val="00F103BE"/>
    <w:rsid w:val="00F10EB6"/>
    <w:rsid w:val="00F13F07"/>
    <w:rsid w:val="00F140B2"/>
    <w:rsid w:val="00F16595"/>
    <w:rsid w:val="00F2504E"/>
    <w:rsid w:val="00F25970"/>
    <w:rsid w:val="00F311A9"/>
    <w:rsid w:val="00F31343"/>
    <w:rsid w:val="00F37381"/>
    <w:rsid w:val="00F5180D"/>
    <w:rsid w:val="00F54E74"/>
    <w:rsid w:val="00F5778C"/>
    <w:rsid w:val="00F63781"/>
    <w:rsid w:val="00F67496"/>
    <w:rsid w:val="00F7421E"/>
    <w:rsid w:val="00F801BA"/>
    <w:rsid w:val="00F807AD"/>
    <w:rsid w:val="00F86028"/>
    <w:rsid w:val="00F9366A"/>
    <w:rsid w:val="00F946C9"/>
    <w:rsid w:val="00FA0EA5"/>
    <w:rsid w:val="00FA10AD"/>
    <w:rsid w:val="00FA68C7"/>
    <w:rsid w:val="00FA74EE"/>
    <w:rsid w:val="00FB0A5B"/>
    <w:rsid w:val="00FB1B8E"/>
    <w:rsid w:val="00FC3711"/>
    <w:rsid w:val="00FC46E7"/>
    <w:rsid w:val="00FC5D25"/>
    <w:rsid w:val="00FD0D7E"/>
    <w:rsid w:val="00FD16C4"/>
    <w:rsid w:val="00FD362F"/>
    <w:rsid w:val="00FD4789"/>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DDF21"/>
  <w15:docId w15:val="{B3F8DCB8-B500-49EA-8BEE-A9BFED26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8F"/>
    <w:rPr>
      <w:rFonts w:ascii="Segoe UI" w:hAnsi="Segoe UI"/>
      <w:sz w:val="21"/>
      <w:lang w:eastAsia="en-GB"/>
    </w:rPr>
  </w:style>
  <w:style w:type="paragraph" w:styleId="Heading1">
    <w:name w:val="heading 1"/>
    <w:basedOn w:val="Normal"/>
    <w:next w:val="Normal"/>
    <w:link w:val="Heading1Char"/>
    <w:qFormat/>
    <w:rsid w:val="005D50B6"/>
    <w:pPr>
      <w:pageBreakBefore/>
      <w:spacing w:after="360"/>
      <w:outlineLvl w:val="0"/>
    </w:pPr>
    <w:rPr>
      <w:b/>
      <w:color w:val="1B83A0" w:themeColor="text1"/>
      <w:spacing w:val="-10"/>
      <w:sz w:val="72"/>
    </w:rPr>
  </w:style>
  <w:style w:type="paragraph" w:styleId="Heading2">
    <w:name w:val="heading 2"/>
    <w:basedOn w:val="Normal"/>
    <w:next w:val="Normal"/>
    <w:link w:val="Heading2Char"/>
    <w:qFormat/>
    <w:rsid w:val="00BB4136"/>
    <w:pPr>
      <w:keepNext/>
      <w:spacing w:before="480" w:after="180"/>
      <w:outlineLvl w:val="1"/>
    </w:pPr>
    <w:rPr>
      <w:b/>
      <w:color w:val="1B83A0" w:themeColor="text1"/>
      <w:spacing w:val="-5"/>
      <w:sz w:val="48"/>
    </w:rPr>
  </w:style>
  <w:style w:type="paragraph" w:styleId="Heading3">
    <w:name w:val="heading 3"/>
    <w:basedOn w:val="Normal"/>
    <w:next w:val="Normal"/>
    <w:link w:val="Heading3Char"/>
    <w:qFormat/>
    <w:rsid w:val="00BB4136"/>
    <w:pPr>
      <w:keepNext/>
      <w:numPr>
        <w:ilvl w:val="2"/>
        <w:numId w:val="5"/>
      </w:numPr>
      <w:spacing w:before="360" w:after="180"/>
      <w:outlineLvl w:val="2"/>
    </w:pPr>
    <w:rPr>
      <w:color w:val="1B83A0" w:themeColor="text1"/>
      <w:spacing w:val="-5"/>
      <w:sz w:val="36"/>
    </w:rPr>
  </w:style>
  <w:style w:type="paragraph" w:styleId="Heading4">
    <w:name w:val="heading 4"/>
    <w:basedOn w:val="Normal"/>
    <w:next w:val="Normal"/>
    <w:link w:val="Heading4Char"/>
    <w:qFormat/>
    <w:rsid w:val="00BB4136"/>
    <w:pPr>
      <w:keepNext/>
      <w:spacing w:before="240" w:after="120"/>
      <w:outlineLvl w:val="3"/>
    </w:pPr>
    <w:rPr>
      <w:color w:val="1B83A0" w:themeColor="text1"/>
      <w:spacing w:val="-5"/>
      <w:sz w:val="28"/>
    </w:rPr>
  </w:style>
  <w:style w:type="paragraph" w:styleId="Heading5">
    <w:name w:val="heading 5"/>
    <w:basedOn w:val="Normal"/>
    <w:next w:val="Normal"/>
    <w:link w:val="Heading5Char"/>
    <w:qFormat/>
    <w:rsid w:val="00BB4136"/>
    <w:pPr>
      <w:keepNext/>
      <w:spacing w:before="120" w:after="120"/>
      <w:outlineLvl w:val="4"/>
    </w:pPr>
    <w:rPr>
      <w:color w:val="1B83A0" w:themeColor="text1"/>
      <w:spacing w:val="-5"/>
      <w:sz w:val="22"/>
    </w:rPr>
  </w:style>
  <w:style w:type="paragraph" w:styleId="Heading6">
    <w:name w:val="heading 6"/>
    <w:basedOn w:val="Normal"/>
    <w:next w:val="Normal"/>
    <w:link w:val="Heading6Char"/>
    <w:unhideWhenUsed/>
    <w:qFormat/>
    <w:rsid w:val="00BB4136"/>
    <w:pPr>
      <w:keepNext/>
      <w:spacing w:before="120" w:after="120"/>
      <w:outlineLvl w:val="5"/>
    </w:pPr>
    <w:rPr>
      <w:rFonts w:eastAsia="MS Gothic"/>
      <w:iCs/>
      <w:color w:val="1B83A0" w:themeColor="text1"/>
      <w:spacing w:val="-5"/>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50B6"/>
    <w:rPr>
      <w:rFonts w:ascii="Segoe UI" w:hAnsi="Segoe UI"/>
      <w:b/>
      <w:color w:val="1B83A0" w:themeColor="text1"/>
      <w:spacing w:val="-10"/>
      <w:sz w:val="72"/>
      <w:lang w:eastAsia="en-GB"/>
    </w:rPr>
  </w:style>
  <w:style w:type="character" w:customStyle="1" w:styleId="Heading2Char">
    <w:name w:val="Heading 2 Char"/>
    <w:link w:val="Heading2"/>
    <w:rsid w:val="00BB4136"/>
    <w:rPr>
      <w:rFonts w:ascii="Segoe UI" w:hAnsi="Segoe UI"/>
      <w:b/>
      <w:color w:val="1B83A0" w:themeColor="text1"/>
      <w:spacing w:val="-5"/>
      <w:sz w:val="48"/>
      <w:lang w:eastAsia="en-GB"/>
    </w:rPr>
  </w:style>
  <w:style w:type="character" w:customStyle="1" w:styleId="Heading3Char">
    <w:name w:val="Heading 3 Char"/>
    <w:link w:val="Heading3"/>
    <w:rsid w:val="00BB4136"/>
    <w:rPr>
      <w:rFonts w:ascii="Segoe UI" w:hAnsi="Segoe UI"/>
      <w:color w:val="1B83A0" w:themeColor="text1"/>
      <w:spacing w:val="-5"/>
      <w:sz w:val="36"/>
      <w:lang w:eastAsia="en-GB"/>
    </w:rPr>
  </w:style>
  <w:style w:type="character" w:customStyle="1" w:styleId="Heading4Char">
    <w:name w:val="Heading 4 Char"/>
    <w:link w:val="Heading4"/>
    <w:rsid w:val="00BB4136"/>
    <w:rPr>
      <w:rFonts w:ascii="Segoe UI" w:hAnsi="Segoe UI"/>
      <w:color w:val="1B83A0" w:themeColor="text1"/>
      <w:spacing w:val="-5"/>
      <w:sz w:val="28"/>
      <w:lang w:eastAsia="en-GB"/>
    </w:rPr>
  </w:style>
  <w:style w:type="character" w:customStyle="1" w:styleId="Heading5Char">
    <w:name w:val="Heading 5 Char"/>
    <w:link w:val="Heading5"/>
    <w:rsid w:val="00BB4136"/>
    <w:rPr>
      <w:rFonts w:ascii="Segoe UI" w:hAnsi="Segoe UI"/>
      <w:color w:val="1B83A0" w:themeColor="text1"/>
      <w:spacing w:val="-5"/>
      <w:sz w:val="22"/>
      <w:lang w:eastAsia="en-GB"/>
    </w:rPr>
  </w:style>
  <w:style w:type="character" w:customStyle="1" w:styleId="Heading6Char">
    <w:name w:val="Heading 6 Char"/>
    <w:basedOn w:val="DefaultParagraphFont"/>
    <w:link w:val="Heading6"/>
    <w:rsid w:val="00BB4136"/>
    <w:rPr>
      <w:rFonts w:ascii="Segoe UI" w:eastAsia="MS Gothic" w:hAnsi="Segoe UI"/>
      <w:iCs/>
      <w:color w:val="1B83A0" w:themeColor="text1"/>
      <w:spacing w:val="-5"/>
      <w:sz w:val="21"/>
      <w:szCs w:val="24"/>
      <w:lang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D59BB"/>
    <w:pPr>
      <w:tabs>
        <w:tab w:val="right" w:pos="8080"/>
      </w:tabs>
      <w:spacing w:before="300"/>
      <w:ind w:right="567"/>
    </w:pPr>
    <w:rPr>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C7093C"/>
    <w:pPr>
      <w:tabs>
        <w:tab w:val="right" w:pos="8080"/>
      </w:tabs>
      <w:spacing w:before="120"/>
      <w:ind w:left="1134" w:right="567" w:hanging="1134"/>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285080"/>
    <w:pPr>
      <w:spacing w:after="60"/>
      <w:ind w:left="284" w:hanging="284"/>
    </w:pPr>
    <w:rPr>
      <w:sz w:val="17"/>
    </w:rPr>
  </w:style>
  <w:style w:type="character" w:customStyle="1" w:styleId="FootnoteTextChar">
    <w:name w:val="Footnote Text Char"/>
    <w:link w:val="FootnoteText"/>
    <w:uiPriority w:val="99"/>
    <w:rsid w:val="00285080"/>
    <w:rPr>
      <w:rFonts w:ascii="Fira Sans" w:hAnsi="Fira Sans"/>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D50B6"/>
    <w:pPr>
      <w:spacing w:line="216" w:lineRule="auto"/>
      <w:ind w:left="709" w:right="567"/>
    </w:pPr>
    <w:rPr>
      <w:rFonts w:cs="Lucida Sans Unicode"/>
      <w:b/>
      <w:caps/>
      <w:color w:val="1B83A0" w:themeColor="text1"/>
      <w:sz w:val="72"/>
      <w:szCs w:val="72"/>
    </w:rPr>
  </w:style>
  <w:style w:type="character" w:customStyle="1" w:styleId="TitleChar">
    <w:name w:val="Title Char"/>
    <w:link w:val="Title"/>
    <w:rsid w:val="005D50B6"/>
    <w:rPr>
      <w:rFonts w:ascii="Segoe UI" w:hAnsi="Segoe UI" w:cs="Lucida Sans Unicode"/>
      <w:b/>
      <w:caps/>
      <w:color w:val="1B83A0" w:themeColor="text1"/>
      <w:sz w:val="72"/>
      <w:szCs w:val="72"/>
      <w:lang w:eastAsia="en-GB"/>
    </w:rPr>
  </w:style>
  <w:style w:type="paragraph" w:customStyle="1" w:styleId="Imprint">
    <w:name w:val="Imprint"/>
    <w:basedOn w:val="Normal"/>
    <w:next w:val="Normal"/>
    <w:qFormat/>
    <w:rsid w:val="00C05132"/>
    <w:pPr>
      <w:spacing w:after="240"/>
    </w:p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A359A2"/>
    <w:rPr>
      <w:rFonts w:ascii="Fira Sans SemiBold" w:hAnsi="Fira Sans SemiBold"/>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qFormat/>
    <w:rPr>
      <w:vertAlign w:val="superscript"/>
    </w:rPr>
  </w:style>
  <w:style w:type="paragraph" w:customStyle="1" w:styleId="Table">
    <w:name w:val="Table"/>
    <w:basedOn w:val="Figure"/>
    <w:next w:val="Normal"/>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0144DE"/>
    <w:pPr>
      <w:pBdr>
        <w:top w:val="single" w:sz="4" w:space="12" w:color="2C463B"/>
        <w:left w:val="single" w:sz="4" w:space="12" w:color="2C463B"/>
        <w:bottom w:val="single" w:sz="4" w:space="12" w:color="2C463B"/>
        <w:right w:val="single" w:sz="4" w:space="12" w:color="2C463B"/>
      </w:pBdr>
      <w:spacing w:before="120"/>
      <w:ind w:left="284" w:right="284"/>
    </w:pPr>
  </w:style>
  <w:style w:type="paragraph" w:customStyle="1" w:styleId="BoxHeading">
    <w:name w:val="BoxHeading"/>
    <w:basedOn w:val="Normal"/>
    <w:next w:val="Box"/>
    <w:qFormat/>
    <w:rsid w:val="000144DE"/>
    <w:pPr>
      <w:keepNext/>
      <w:pBdr>
        <w:top w:val="single" w:sz="4" w:space="12" w:color="2C463B"/>
        <w:left w:val="single" w:sz="4" w:space="12" w:color="2C463B"/>
        <w:bottom w:val="single" w:sz="4" w:space="12" w:color="2C463B"/>
        <w:right w:val="single" w:sz="4" w:space="12" w:color="2C463B"/>
      </w:pBdr>
      <w:spacing w:before="240"/>
      <w:ind w:left="284" w:right="284"/>
    </w:pPr>
    <w:rPr>
      <w:b/>
      <w:sz w:val="24"/>
      <w:szCs w:val="24"/>
    </w:rPr>
  </w:style>
  <w:style w:type="paragraph" w:customStyle="1" w:styleId="BoxBullet">
    <w:name w:val="BoxBullet"/>
    <w:basedOn w:val="Bullet"/>
    <w:qFormat/>
    <w:rsid w:val="000144DE"/>
    <w:pPr>
      <w:pBdr>
        <w:top w:val="single" w:sz="4" w:space="12" w:color="2C463B"/>
        <w:left w:val="single" w:sz="4" w:space="12" w:color="2C463B"/>
        <w:bottom w:val="single" w:sz="4" w:space="12" w:color="2C463B"/>
        <w:right w:val="single" w:sz="4" w:space="12" w:color="2C463B"/>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4A469A"/>
    <w:pPr>
      <w:spacing w:before="360"/>
      <w:ind w:left="709"/>
    </w:pPr>
    <w:rPr>
      <w:rFonts w:cs="Segoe UI Semibold"/>
      <w:b/>
      <w:color w:val="1B83A0" w:themeColor="text1"/>
      <w:sz w:val="48"/>
      <w:szCs w:val="26"/>
    </w:rPr>
  </w:style>
  <w:style w:type="paragraph" w:customStyle="1" w:styleId="Year">
    <w:name w:val="Year"/>
    <w:basedOn w:val="Subhead"/>
    <w:next w:val="Subhead"/>
    <w:qFormat/>
    <w:rsid w:val="00D659BF"/>
    <w:pPr>
      <w:spacing w:before="720"/>
    </w:pPr>
    <w:rPr>
      <w:sz w:val="36"/>
    </w:rPr>
  </w:style>
  <w:style w:type="character" w:styleId="Hyperlink">
    <w:name w:val="Hyperlink"/>
    <w:uiPriority w:val="99"/>
    <w:rsid w:val="007327B0"/>
    <w:rPr>
      <w:b/>
      <w:color w:val="595959"/>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BB4136"/>
    <w:pPr>
      <w:numPr>
        <w:numId w:val="3"/>
      </w:numPr>
      <w:spacing w:before="0"/>
      <w:ind w:left="568" w:hanging="284"/>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character" w:styleId="CommentReference">
    <w:name w:val="annotation reference"/>
    <w:basedOn w:val="DefaultParagraphFont"/>
    <w:uiPriority w:val="99"/>
    <w:semiHidden/>
    <w:unhideWhenUsed/>
    <w:rsid w:val="0082081A"/>
    <w:rPr>
      <w:sz w:val="16"/>
      <w:szCs w:val="16"/>
    </w:rPr>
  </w:style>
  <w:style w:type="paragraph" w:styleId="CommentText">
    <w:name w:val="annotation text"/>
    <w:basedOn w:val="Normal"/>
    <w:link w:val="CommentTextChar"/>
    <w:uiPriority w:val="99"/>
    <w:semiHidden/>
    <w:unhideWhenUsed/>
    <w:rsid w:val="0082081A"/>
    <w:rPr>
      <w:sz w:val="48"/>
    </w:rPr>
  </w:style>
  <w:style w:type="character" w:customStyle="1" w:styleId="CommentTextChar">
    <w:name w:val="Comment Text Char"/>
    <w:basedOn w:val="DefaultParagraphFont"/>
    <w:link w:val="CommentText"/>
    <w:uiPriority w:val="99"/>
    <w:semiHidden/>
    <w:rsid w:val="0082081A"/>
    <w:rPr>
      <w:rFonts w:ascii="Segoe UI" w:hAnsi="Segoe UI"/>
      <w:sz w:val="48"/>
      <w:lang w:eastAsia="en-GB"/>
    </w:rPr>
  </w:style>
  <w:style w:type="paragraph" w:styleId="CommentSubject">
    <w:name w:val="annotation subject"/>
    <w:basedOn w:val="CommentText"/>
    <w:next w:val="CommentText"/>
    <w:link w:val="CommentSubjectChar"/>
    <w:semiHidden/>
    <w:unhideWhenUsed/>
    <w:rsid w:val="0082081A"/>
    <w:rPr>
      <w:b/>
      <w:bCs/>
    </w:rPr>
  </w:style>
  <w:style w:type="character" w:customStyle="1" w:styleId="CommentSubjectChar">
    <w:name w:val="Comment Subject Char"/>
    <w:basedOn w:val="CommentTextChar"/>
    <w:link w:val="CommentSubject"/>
    <w:semiHidden/>
    <w:rsid w:val="0082081A"/>
    <w:rPr>
      <w:rFonts w:ascii="Segoe UI" w:hAnsi="Segoe UI"/>
      <w:b/>
      <w:bCs/>
      <w:sz w:val="48"/>
      <w:lang w:eastAsia="en-GB"/>
    </w:rPr>
  </w:style>
  <w:style w:type="table" w:styleId="TableGrid">
    <w:name w:val="Table Grid"/>
    <w:basedOn w:val="TableNormal"/>
    <w:uiPriority w:val="39"/>
    <w:rsid w:val="003D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1">
    <w:name w:val="Appendix Heading 1"/>
    <w:basedOn w:val="Heading1"/>
    <w:next w:val="Normal"/>
    <w:qFormat/>
    <w:rsid w:val="009220F3"/>
    <w:rPr>
      <w:lang w:eastAsia="en-US"/>
    </w:rPr>
  </w:style>
  <w:style w:type="table" w:customStyle="1" w:styleId="TableGrid1">
    <w:name w:val="Table Grid1"/>
    <w:basedOn w:val="TableNormal"/>
    <w:next w:val="TableGrid"/>
    <w:uiPriority w:val="39"/>
    <w:rsid w:val="009A7CB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9A7CB1"/>
    <w:pPr>
      <w:spacing w:before="120" w:after="120"/>
      <w:ind w:left="720"/>
      <w:contextualSpacing/>
    </w:pPr>
    <w:rPr>
      <w:rFonts w:cs="Segoe UI"/>
      <w:sz w:val="22"/>
      <w:szCs w:val="22"/>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link w:val="ListParagraph"/>
    <w:uiPriority w:val="34"/>
    <w:qFormat/>
    <w:locked/>
    <w:rsid w:val="009A7CB1"/>
    <w:rPr>
      <w:rFonts w:ascii="Segoe UI" w:hAnsi="Segoe UI" w:cs="Segoe UI"/>
      <w:sz w:val="22"/>
      <w:szCs w:val="22"/>
      <w:lang w:eastAsia="en-GB"/>
    </w:rPr>
  </w:style>
  <w:style w:type="paragraph" w:customStyle="1" w:styleId="TemplateHeading2">
    <w:name w:val="Template Heading 2"/>
    <w:basedOn w:val="Heading2"/>
    <w:qFormat/>
    <w:rsid w:val="009A7CB1"/>
    <w:pPr>
      <w:numPr>
        <w:numId w:val="6"/>
      </w:numPr>
      <w:tabs>
        <w:tab w:val="num" w:pos="284"/>
      </w:tabs>
      <w:spacing w:before="240" w:after="120"/>
      <w:ind w:left="284" w:hanging="284"/>
    </w:pPr>
    <w:rPr>
      <w:rFonts w:ascii="Arial Bold" w:hAnsi="Arial Bold"/>
      <w:b w:val="0"/>
      <w:bCs/>
      <w:color w:val="auto"/>
      <w:spacing w:val="0"/>
      <w:sz w:val="22"/>
      <w:szCs w:val="22"/>
    </w:rPr>
  </w:style>
  <w:style w:type="character" w:customStyle="1" w:styleId="normaltextrun">
    <w:name w:val="normaltextrun"/>
    <w:basedOn w:val="DefaultParagraphFont"/>
    <w:rsid w:val="008125D1"/>
  </w:style>
  <w:style w:type="character" w:styleId="Emphasis">
    <w:name w:val="Emphasis"/>
    <w:basedOn w:val="DefaultParagraphFont"/>
    <w:uiPriority w:val="20"/>
    <w:qFormat/>
    <w:rsid w:val="008125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header" Target="header5.xml"/><Relationship Id="rId39" Type="http://schemas.openxmlformats.org/officeDocument/2006/relationships/hyperlink" Target="http://www.health.govt.nz/strategies-initiatives/programmes-and-initiatives/equity" TargetMode="External"/><Relationship Id="rId21" Type="http://schemas.openxmlformats.org/officeDocument/2006/relationships/header" Target="header2.xml"/><Relationship Id="rId34" Type="http://schemas.openxmlformats.org/officeDocument/2006/relationships/hyperlink" Target="http://www.health.govt.nz/publications/new-zealand-health-strategy" TargetMode="External"/><Relationship Id="rId42" Type="http://schemas.openxmlformats.org/officeDocument/2006/relationships/hyperlink" Target="http://www.hpa.org.nz/research-library/research-publications/m%C4%81ori-m%C4%81m%C4%81-views-and-experiences-of-vaccinating-their-p%C4%93pi-and-tamariki-a-qualitative-kaupapa-m%C4%81ori" TargetMode="External"/><Relationship Id="rId47" Type="http://schemas.openxmlformats.org/officeDocument/2006/relationships/hyperlink" Target="http://www.health.govt.nz/publications/immunisation-for-pregnant-women-audience-research-with-pregnant-women" TargetMode="External"/><Relationship Id="rId50" Type="http://schemas.openxmlformats.org/officeDocument/2006/relationships/hyperlink" Target="http://www.health.govt.nz/publications/whatua-engagement-for-the-development-of-whakamaua-maori-health-action-plan-2020-2025" TargetMode="External"/><Relationship Id="rId55" Type="http://schemas.openxmlformats.org/officeDocument/2006/relationships/hyperlink" Target="http://www.waitangitribunal.govt.nz/assets/DOCUMENTS/Haumaru-W.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3.xml"/><Relationship Id="rId29" Type="http://schemas.openxmlformats.org/officeDocument/2006/relationships/footer" Target="footer8.xml"/><Relationship Id="rId41" Type="http://schemas.openxmlformats.org/officeDocument/2006/relationships/hyperlink" Target="http://www.social.desa.un.org/issues/disability/crpd/convention-on-the-rights-of-persons-with-disabilities-articles" TargetMode="External"/><Relationship Id="rId54" Type="http://schemas.openxmlformats.org/officeDocument/2006/relationships/hyperlink" Target="http://www.tewhatuora.govt.nz/assets/For-the-health-sector/COVID-19-Information/Vaccine-research-insights/vaccine-motivations-barriers-research-youth-disability-07032022.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health.govt.nz/publications/pae-tu-hauora-maori-strategy" TargetMode="External"/><Relationship Id="rId37" Type="http://schemas.openxmlformats.org/officeDocument/2006/relationships/hyperlink" Target="http://www.health.govt.nz/publications/womens-health-strategy" TargetMode="External"/><Relationship Id="rId40" Type="http://schemas.openxmlformats.org/officeDocument/2006/relationships/hyperlink" Target="http://www.odi.govt.nz/support-and-services/guidance-and-resources/resources-for-policy-makers/disability-toolkit-for-policy/things-you-should-know" TargetMode="External"/><Relationship Id="rId45" Type="http://schemas.openxmlformats.org/officeDocument/2006/relationships/hyperlink" Target="http://www.tewhatuora.govt.nz/publications/initial-priorities-for-the-national-immunisation-programme-in-aotearoa" TargetMode="External"/><Relationship Id="rId53" Type="http://schemas.openxmlformats.org/officeDocument/2006/relationships/hyperlink" Target="http://www.health.govt.nz/publications/health-sector-response-to-the-2019-measles-outbreaks" TargetMode="External"/><Relationship Id="rId58" Type="http://schemas.openxmlformats.org/officeDocument/2006/relationships/hyperlink" Target="http://www.who.int/teams/immunization-vaccines-and-biologicals/strategies/ia2030"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yperlink" Target="http://www.health.govt.nz/publications/rural-health-strategy" TargetMode="External"/><Relationship Id="rId49" Type="http://schemas.openxmlformats.org/officeDocument/2006/relationships/hyperlink" Target="http://www.health.govt.nz/publications/whakamaua-maori-health-action-plan-2020-2025" TargetMode="External"/><Relationship Id="rId57" Type="http://schemas.openxmlformats.org/officeDocument/2006/relationships/hyperlink" Target="http://www.health.govt.nz/publications/more-than-just-a-jab-evaluation-of-the-maori-influenza-vaccination-programme-as-part-of-the-covid-19"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healthpoint.co.nz/gps-accident-urgent-medical-care/what-is-a-primary-healthcare-service/" TargetMode="External"/><Relationship Id="rId44" Type="http://schemas.openxmlformats.org/officeDocument/2006/relationships/hyperlink" Target="http://www.tewhatuora.govt.nz/publications/te-pae-tata-interim-new-zealand-health-plan-2022" TargetMode="External"/><Relationship Id="rId52" Type="http://schemas.openxmlformats.org/officeDocument/2006/relationships/hyperlink" Target="http://www.health.govt.nz/publications/pharmac-review-final-report" TargetMode="External"/><Relationship Id="rId60"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hyperlink" Target="http://www.health.govt.nz/publications/provisional-health-of-disabled-people-strategy" TargetMode="External"/><Relationship Id="rId43" Type="http://schemas.openxmlformats.org/officeDocument/2006/relationships/hyperlink" Target="http://www.tewhatuora.govt.nz/assets/Publications/Ola-Manuia-iPHP-A4.pdf" TargetMode="External"/><Relationship Id="rId48" Type="http://schemas.openxmlformats.org/officeDocument/2006/relationships/hyperlink" Target="http://www.health.govt.nz/publications/well-child-tamariki-ora-review-report" TargetMode="External"/><Relationship Id="rId56" Type="http://schemas.openxmlformats.org/officeDocument/2006/relationships/hyperlink" Target="https://forms.justice.govt.nz/search/Documents/WT/wt_DOC_195476216/Hauora%202023%20W.pdf" TargetMode="External"/><Relationship Id="rId8" Type="http://schemas.openxmlformats.org/officeDocument/2006/relationships/settings" Target="settings.xml"/><Relationship Id="rId51" Type="http://schemas.openxmlformats.org/officeDocument/2006/relationships/hyperlink" Target="http://www.health.govt.nz/publications/pae-ora-health-strategies-summary-of-feedback-from-engagement"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health.govt.nz" TargetMode="External"/><Relationship Id="rId25" Type="http://schemas.openxmlformats.org/officeDocument/2006/relationships/header" Target="header4.xml"/><Relationship Id="rId33" Type="http://schemas.openxmlformats.org/officeDocument/2006/relationships/hyperlink" Target="http://www.health.govt.nz/publications/te-mana-ola-the-pacific-health-strategy" TargetMode="External"/><Relationship Id="rId38" Type="http://schemas.openxmlformats.org/officeDocument/2006/relationships/hyperlink" Target="http://www.health.govt.nz/publications/government-policy-statement-on-health-2024-2027" TargetMode="External"/><Relationship Id="rId46" Type="http://schemas.openxmlformats.org/officeDocument/2006/relationships/hyperlink" Target="http://www.health.govt.nz/information-releases/attitudes-towards-covid-19-vaccination-amongst-pacific-peoples" TargetMode="External"/><Relationship Id="rId59"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8.png"/></Relationships>
</file>

<file path=word/_rels/footer11.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1" Type="http://schemas.openxmlformats.org/officeDocument/2006/relationships/image" Target="media/image8.png"/></Relationships>
</file>

<file path=word/_rels/footer8.xml.rels><?xml version="1.0" encoding="UTF-8" standalone="yes"?>
<Relationships xmlns="http://schemas.openxmlformats.org/package/2006/relationships"><Relationship Id="rId1" Type="http://schemas.openxmlformats.org/officeDocument/2006/relationships/image" Target="media/image8.png"/></Relationships>
</file>

<file path=word/_rels/footer9.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enablinggoodlives.co.nz/about-egl/egl-approach/princip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PHA">
      <a:dk1>
        <a:srgbClr val="1B83A0"/>
      </a:dk1>
      <a:lt1>
        <a:srgbClr val="4BAFB0"/>
      </a:lt1>
      <a:dk2>
        <a:srgbClr val="23305D"/>
      </a:dk2>
      <a:lt2>
        <a:srgbClr val="1F806A"/>
      </a:lt2>
      <a:accent1>
        <a:srgbClr val="ED6C77"/>
      </a:accent1>
      <a:accent2>
        <a:srgbClr val="181F1B"/>
      </a:accent2>
      <a:accent3>
        <a:srgbClr val="00A870"/>
      </a:accent3>
      <a:accent4>
        <a:srgbClr val="F7D345"/>
      </a:accent4>
      <a:accent5>
        <a:srgbClr val="E9D1C0"/>
      </a:accent5>
      <a:accent6>
        <a:srgbClr val="1B83A0"/>
      </a:accent6>
      <a:hlink>
        <a:srgbClr val="595959"/>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Publications</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Strategic Communications</Activity>
    <AggregationStatus xmlns="4f9c820c-e7e2-444d-97ee-45f2b3485c1d">Normal</AggregationStatus>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NA</Team>
    <Project xmlns="4f9c820c-e7e2-444d-97ee-45f2b3485c1d">NA</Project>
    <HasNHI xmlns="184c05c4-c568-455d-94a4-7e009b164348">false</HasNHI>
    <FunctionGroup xmlns="4f9c820c-e7e2-444d-97ee-45f2b3485c1d">NA</FunctionGroup>
    <Function xmlns="4f9c820c-e7e2-444d-97ee-45f2b3485c1d">Communications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OverrideLabel xmlns="c91a514c-9034-4fa3-897a-8352025b26ed" xsi:nil="true"/>
    <TaxCatchAll xmlns="ae6286d3-d275-4646-bfa4-fea4f0262c14" xsi:nil="true"/>
    <SetLabel xmlns="c91a514c-9034-4fa3-897a-8352025b26ed">Retain</SetLabel>
    <Grouping1 xmlns="4bc94a7c-7569-4fbb-8659-844ab51341fc">Public Health Agency</Grouping1>
    <Grouping2 xmlns="4bc94a7c-7569-4fbb-8659-844ab51341fc" xsi:nil="true"/>
    <ReviewDate xmlns="4bc94a7c-7569-4fbb-8659-844ab51341fc">2024-11-12T11:00:00+00:00</ReviewDate>
    <jf3577cde54c4b7a82c1417aad6abab0 xmlns="4bc94a7c-7569-4fbb-8659-844ab51341fc">
      <Terms xmlns="http://schemas.microsoft.com/office/infopath/2007/PartnerControls"/>
    </jf3577cde54c4b7a82c1417aad6abab0>
    <Grouping3 xmlns="4bc94a7c-7569-4fbb-8659-844ab51341fc" xsi:nil="true"/>
    <TeWhare xmlns="4bc94a7c-7569-4fbb-8659-844ab51341fc">true</TeWha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1E94C3B72383DE4DAA17349E0BBF25260069126225D93D7541A2EFB409E3B58C8E" ma:contentTypeVersion="96" ma:contentTypeDescription="Create a new document." ma:contentTypeScope="" ma:versionID="55f6cb9bf41139e8173bcf47f5b9d2ec">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184c05c4-c568-455d-94a4-7e009b164348" xmlns:ns7="4bc94a7c-7569-4fbb-8659-844ab51341fc" xmlns:ns8="ae6286d3-d275-4646-bfa4-fea4f0262c14" targetNamespace="http://schemas.microsoft.com/office/2006/metadata/properties" ma:root="true" ma:fieldsID="d51d7ace7eede501943224afef02e340" ns2:_="" ns3:_="" ns4:_="" ns5:_="" ns6:_="" ns7:_="" ns8:_="">
    <xsd:import namespace="4f9c820c-e7e2-444d-97ee-45f2b3485c1d"/>
    <xsd:import namespace="15ffb055-6eb4-45a1-bc20-bf2ac0d420da"/>
    <xsd:import namespace="725c79e5-42ce-4aa0-ac78-b6418001f0d2"/>
    <xsd:import namespace="c91a514c-9034-4fa3-897a-8352025b26ed"/>
    <xsd:import namespace="184c05c4-c568-455d-94a4-7e009b164348"/>
    <xsd:import namespace="4bc94a7c-7569-4fbb-8659-844ab51341fc"/>
    <xsd:import namespace="ae6286d3-d275-4646-bfa4-fea4f0262c14"/>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HasNHI" minOccurs="0"/>
                <xsd:element ref="ns6:zLegacy" minOccurs="0"/>
                <xsd:element ref="ns6:zLegacyID" minOccurs="0"/>
                <xsd:element ref="ns6:zLegacyJSON" minOccurs="0"/>
                <xsd:element ref="ns6:CopiedFrom" minOccurs="0"/>
                <xsd:element ref="ns6:Endorsements" minOccurs="0"/>
                <xsd:element ref="ns7:Grouping1" minOccurs="0"/>
                <xsd:element ref="ns7:Grouping2" minOccurs="0"/>
                <xsd:element ref="ns7:Grouping3" minOccurs="0"/>
                <xsd:element ref="ns7:MediaServiceMetadata" minOccurs="0"/>
                <xsd:element ref="ns7:MediaServiceFastMetadata" minOccurs="0"/>
                <xsd:element ref="ns7:MediaServiceAutoKeyPoints" minOccurs="0"/>
                <xsd:element ref="ns7:MediaServiceKeyPoints" minOccurs="0"/>
                <xsd:element ref="ns7:jf3577cde54c4b7a82c1417aad6abab0" minOccurs="0"/>
                <xsd:element ref="ns8:TaxCatchAll" minOccurs="0"/>
                <xsd:element ref="ns7:ReviewDate" minOccurs="0"/>
                <xsd:element ref="ns7:TeWhare"/>
                <xsd:element ref="ns8:SharedWithUsers" minOccurs="0"/>
                <xsd:element ref="ns8:SharedWithDetail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NA"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NA"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4bc94a7c-7569-4fbb-8659-844ab51341fc" elementFormDefault="qualified">
    <xsd:import namespace="http://schemas.microsoft.com/office/2006/documentManagement/types"/>
    <xsd:import namespace="http://schemas.microsoft.com/office/infopath/2007/PartnerControls"/>
    <xsd:element name="Grouping1" ma:index="48" nillable="true" ma:displayName="Grouping 1" ma:hidden="true" ma:internalName="Grouping1" ma:readOnly="false">
      <xsd:simpleType>
        <xsd:restriction base="dms:Text">
          <xsd:maxLength value="255"/>
        </xsd:restriction>
      </xsd:simpleType>
    </xsd:element>
    <xsd:element name="Grouping2" ma:index="49" nillable="true" ma:displayName="Grouping 2" ma:hidden="true" ma:internalName="Grouping2" ma:readOnly="false">
      <xsd:simpleType>
        <xsd:restriction base="dms:Text">
          <xsd:maxLength value="255"/>
        </xsd:restriction>
      </xsd:simpleType>
    </xsd:element>
    <xsd:element name="Grouping3" ma:index="50" nillable="true" ma:displayName="Grouping 3" ma:hidden="true" ma:internalName="Grouping3" ma:readOnly="false">
      <xsd:simpleType>
        <xsd:restriction base="dms:Text">
          <xsd:maxLength value="255"/>
        </xsd:restriction>
      </xsd:simpleType>
    </xsd:element>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jf3577cde54c4b7a82c1417aad6abab0" ma:index="56" nillable="true" ma:taxonomy="true" ma:internalName="jf3577cde54c4b7a82c1417aad6abab0" ma:taxonomyFieldName="Template_x0020_Owner" ma:displayName="Template Owner" ma:default="" ma:fieldId="{3f3577cd-e54c-4b7a-82c1-417aad6abab0}" ma:sspId="0413e039-5297-4392-bfce-c6182202c714" ma:termSetId="8ed8c9ea-7052-4c1d-a4d7-b9c10bffea6f" ma:anchorId="00000000-0000-0000-0000-000000000000" ma:open="true" ma:isKeyword="false">
      <xsd:complexType>
        <xsd:sequence>
          <xsd:element ref="pc:Terms" minOccurs="0" maxOccurs="1"/>
        </xsd:sequence>
      </xsd:complexType>
    </xsd:element>
    <xsd:element name="ReviewDate" ma:index="58" nillable="true" ma:displayName="Review Date" ma:format="DateOnly" ma:internalName="ReviewDate">
      <xsd:simpleType>
        <xsd:restriction base="dms:DateTime"/>
      </xsd:simpleType>
    </xsd:element>
    <xsd:element name="TeWhare" ma:index="59" ma:displayName="Te Whare" ma:default="1" ma:description="Is the template required to be published on Te Whare" ma:format="Dropdown" ma:internalName="TeWhare">
      <xsd:simpleType>
        <xsd:restriction base="dms:Boolea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86d3-d275-4646-bfa4-fea4f0262c14" elementFormDefault="qualified">
    <xsd:import namespace="http://schemas.microsoft.com/office/2006/documentManagement/types"/>
    <xsd:import namespace="http://schemas.microsoft.com/office/infopath/2007/PartnerControls"/>
    <xsd:element name="TaxCatchAll" ma:index="57" nillable="true" ma:displayName="Taxonomy Catch All Column" ma:hidden="true" ma:list="{4117140f-ac7f-4cc6-a192-63a9af5fde82}" ma:internalName="TaxCatchAll" ma:showField="CatchAllData" ma:web="ae6286d3-d275-4646-bfa4-fea4f0262c14">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9F726-5FE5-445D-9EFF-165F64AD6EBC}">
  <ds:schemaRefs>
    <ds:schemaRef ds:uri="http://schemas.openxmlformats.org/officeDocument/2006/bibliography"/>
  </ds:schemaRefs>
</ds:datastoreItem>
</file>

<file path=customXml/itemProps2.xml><?xml version="1.0" encoding="utf-8"?>
<ds:datastoreItem xmlns:ds="http://schemas.openxmlformats.org/officeDocument/2006/customXml" ds:itemID="{BE620834-8276-447B-B203-7A086CE69B0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725c79e5-42ce-4aa0-ac78-b6418001f0d2"/>
    <ds:schemaRef ds:uri="ae6286d3-d275-4646-bfa4-fea4f0262c14"/>
    <ds:schemaRef ds:uri="4bc94a7c-7569-4fbb-8659-844ab51341fc"/>
  </ds:schemaRefs>
</ds:datastoreItem>
</file>

<file path=customXml/itemProps3.xml><?xml version="1.0" encoding="utf-8"?>
<ds:datastoreItem xmlns:ds="http://schemas.openxmlformats.org/officeDocument/2006/customXml" ds:itemID="{F6B3ED4C-218B-4DB2-89C5-E6EF926198C8}">
  <ds:schemaRefs>
    <ds:schemaRef ds:uri="http://schemas.microsoft.com/sharepoint/v3/contenttype/forms"/>
  </ds:schemaRefs>
</ds:datastoreItem>
</file>

<file path=customXml/itemProps4.xml><?xml version="1.0" encoding="utf-8"?>
<ds:datastoreItem xmlns:ds="http://schemas.openxmlformats.org/officeDocument/2006/customXml" ds:itemID="{0E09739B-EA35-43A5-B87B-3DA48A61D57D}">
  <ds:schemaRefs>
    <ds:schemaRef ds:uri="http://schemas.microsoft.com/sharepoint/events"/>
  </ds:schemaRefs>
</ds:datastoreItem>
</file>

<file path=customXml/itemProps5.xml><?xml version="1.0" encoding="utf-8"?>
<ds:datastoreItem xmlns:ds="http://schemas.openxmlformats.org/officeDocument/2006/customXml" ds:itemID="{B0B9C2CB-5302-44CD-90C0-BFC6FE046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184c05c4-c568-455d-94a4-7e009b164348"/>
    <ds:schemaRef ds:uri="4bc94a7c-7569-4fbb-8659-844ab51341fc"/>
    <ds:schemaRef ds:uri="ae6286d3-d275-4646-bfa4-fea4f0262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20</Pages>
  <Words>4939</Words>
  <Characters>28156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Strategic Approach to Immunisation in New Zealand 2025–2030</vt:lpstr>
    </vt:vector>
  </TitlesOfParts>
  <Company>Microsoft</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Approach to Immunisation in New Zealand 2025–2030</dc:title>
  <dc:creator>Ministry of Health</dc:creator>
  <cp:lastModifiedBy>Ministry of Health</cp:lastModifiedBy>
  <cp:revision>5</cp:revision>
  <cp:lastPrinted>2025-02-20T02:32:00Z</cp:lastPrinted>
  <dcterms:created xsi:type="dcterms:W3CDTF">2025-02-20T02:24:00Z</dcterms:created>
  <dcterms:modified xsi:type="dcterms:W3CDTF">2025-02-20T02:32:00Z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0x0101001E94C3B72383DE4DAA17349E0BBF25260069126225D93D7541A2EFB409E3B58C8E</vt:lpwstr>
  </property>
  <property fmtid="{D5CDD505-2E9C-101B-9397-08002B2CF9AE}" pid="3" name="_dlc_DocIdItemGuid">
    <vt:lpwstr>ad35b2d6-b3ea-43d2-aef6-fd1044f21fb3</vt:lpwstr>
  </property>
  <property fmtid="{D5CDD505-2E9C-101B-9397-08002B2CF9AE}" pid="4" name="MediaServiceImageTags">
    <vt:lpwstr/>
  </property>
  <property fmtid="{D5CDD505-2E9C-101B-9397-08002B2CF9AE}" pid="5" name="_dlc_DocId">
    <vt:lpwstr>U5RCTUST6MMN-1850277579-668</vt:lpwstr>
  </property>
  <property fmtid="{D5CDD505-2E9C-101B-9397-08002B2CF9AE}" pid="6" name="_dlc_DocIdUrl">
    <vt:lpwstr>https://mohgovtnz.sharepoint.com/sites/moh-ecm-TemplateCentral/_layouts/15/DocIdRedir.aspx?ID=U5RCTUST6MMN-1850277579-668, U5RCTUST6MMN-1850277579-668</vt:lpwstr>
  </property>
  <property fmtid="{D5CDD505-2E9C-101B-9397-08002B2CF9AE}" pid="7" name="ReviewPeriod">
    <vt:lpwstr>12</vt:lpwstr>
  </property>
  <property fmtid="{D5CDD505-2E9C-101B-9397-08002B2CF9AE}" pid="8" name="TemplatePublishDate">
    <vt:filetime>2023-11-12T11:00:00Z</vt:filetime>
  </property>
  <property fmtid="{D5CDD505-2E9C-101B-9397-08002B2CF9AE}" pid="9" name="TeWharePage">
    <vt:lpwstr>, </vt:lpwstr>
  </property>
  <property fmtid="{D5CDD505-2E9C-101B-9397-08002B2CF9AE}" pid="10" name="TemplateOwner(Person)">
    <vt:lpwstr/>
  </property>
  <property fmtid="{D5CDD505-2E9C-101B-9397-08002B2CF9AE}" pid="11" name="TemplateApprover">
    <vt:lpwstr/>
  </property>
  <property fmtid="{D5CDD505-2E9C-101B-9397-08002B2CF9AE}" pid="12" name="Status">
    <vt:lpwstr>Published</vt:lpwstr>
  </property>
  <property fmtid="{D5CDD505-2E9C-101B-9397-08002B2CF9AE}" pid="13" name="Chnage">
    <vt:bool>false</vt:bool>
  </property>
  <property fmtid="{D5CDD505-2E9C-101B-9397-08002B2CF9AE}" pid="14" name="Template Owner">
    <vt:lpwstr/>
  </property>
</Properties>
</file>