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F13B" w14:textId="459CE2D3" w:rsidR="0059468F" w:rsidRDefault="0059468F" w:rsidP="00926083">
      <w:pPr>
        <w:pStyle w:val="Title"/>
        <w:rPr>
          <w:sz w:val="56"/>
          <w:szCs w:val="56"/>
        </w:rPr>
      </w:pPr>
      <w:r w:rsidRPr="0059468F">
        <w:rPr>
          <w:sz w:val="56"/>
          <w:szCs w:val="56"/>
        </w:rPr>
        <w:t xml:space="preserve">Government </w:t>
      </w:r>
      <w:r w:rsidR="007C6D41">
        <w:rPr>
          <w:sz w:val="56"/>
          <w:szCs w:val="56"/>
        </w:rPr>
        <w:t>R</w:t>
      </w:r>
      <w:r w:rsidRPr="0059468F">
        <w:rPr>
          <w:sz w:val="56"/>
          <w:szCs w:val="56"/>
        </w:rPr>
        <w:t xml:space="preserve">esponse to the </w:t>
      </w:r>
      <w:r w:rsidR="007C6D41">
        <w:rPr>
          <w:sz w:val="56"/>
          <w:szCs w:val="56"/>
        </w:rPr>
        <w:t>R</w:t>
      </w:r>
      <w:r w:rsidRPr="0059468F">
        <w:rPr>
          <w:sz w:val="56"/>
          <w:szCs w:val="56"/>
        </w:rPr>
        <w:t xml:space="preserve">eport from the Prime Minister’s Chief Science Advisor </w:t>
      </w:r>
    </w:p>
    <w:p w14:paraId="050DBE1D" w14:textId="77777777" w:rsidR="0059468F" w:rsidRPr="0059468F" w:rsidRDefault="0059468F" w:rsidP="0059468F"/>
    <w:p w14:paraId="11455161" w14:textId="1EC0F168" w:rsidR="00C86248" w:rsidRPr="007C6D41" w:rsidRDefault="0059468F" w:rsidP="0001702F">
      <w:pPr>
        <w:pStyle w:val="Subhead"/>
      </w:pPr>
      <w:r w:rsidRPr="007C6D41">
        <w:t>Kotahitanga: Uniting Aotearoa against infectious disease and antimicrobial resistance</w:t>
      </w:r>
    </w:p>
    <w:p w14:paraId="2A961E80" w14:textId="505B2C9B" w:rsidR="00531E12" w:rsidRPr="00531E12" w:rsidRDefault="0059468F" w:rsidP="00531E12">
      <w:pPr>
        <w:pStyle w:val="Year"/>
      </w:pPr>
      <w:r>
        <w:t>2025</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16A0D7C4" w:rsidR="00A80363" w:rsidRPr="00C05132" w:rsidRDefault="00A80363" w:rsidP="0059468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59468F">
        <w:rPr>
          <w:rFonts w:cs="Segoe UI"/>
        </w:rPr>
        <w:t>2025</w:t>
      </w:r>
      <w:r w:rsidR="00442C1C" w:rsidRPr="00C05132">
        <w:rPr>
          <w:rFonts w:cs="Segoe UI"/>
        </w:rPr>
        <w:t xml:space="preserve">. </w:t>
      </w:r>
      <w:r w:rsidR="0059468F" w:rsidRPr="0059468F">
        <w:rPr>
          <w:rFonts w:cs="Segoe UI"/>
          <w:i/>
        </w:rPr>
        <w:t xml:space="preserve">Government </w:t>
      </w:r>
      <w:r w:rsidR="0037398C">
        <w:rPr>
          <w:rFonts w:cs="Segoe UI"/>
          <w:i/>
        </w:rPr>
        <w:t>R</w:t>
      </w:r>
      <w:r w:rsidR="0059468F" w:rsidRPr="0059468F">
        <w:rPr>
          <w:rFonts w:cs="Segoe UI"/>
          <w:i/>
        </w:rPr>
        <w:t xml:space="preserve">esponse to the </w:t>
      </w:r>
      <w:r w:rsidR="0037398C">
        <w:rPr>
          <w:rFonts w:cs="Segoe UI"/>
          <w:i/>
        </w:rPr>
        <w:t>R</w:t>
      </w:r>
      <w:r w:rsidR="0059468F" w:rsidRPr="0059468F">
        <w:rPr>
          <w:rFonts w:cs="Segoe UI"/>
          <w:i/>
        </w:rPr>
        <w:t>eport from the Prime Minister’s Chief Science Advisor</w:t>
      </w:r>
      <w:r w:rsidR="0037398C">
        <w:rPr>
          <w:rFonts w:cs="Segoe UI"/>
          <w:i/>
        </w:rPr>
        <w:t>:</w:t>
      </w:r>
      <w:r w:rsidR="0059468F">
        <w:rPr>
          <w:rFonts w:cs="Segoe UI"/>
          <w:i/>
        </w:rPr>
        <w:t xml:space="preserve"> </w:t>
      </w:r>
      <w:r w:rsidR="0059468F" w:rsidRPr="0059468F">
        <w:rPr>
          <w:rFonts w:cs="Segoe UI"/>
          <w:i/>
        </w:rPr>
        <w:t>Kotahitanga: Uniting Aotearoa against infectious disease and antimicrobial resistance</w:t>
      </w:r>
      <w:r w:rsidR="00442C1C" w:rsidRPr="00C05132">
        <w:rPr>
          <w:rFonts w:cs="Segoe UI"/>
        </w:rPr>
        <w:t>. Wellington: Ministry of Health.</w:t>
      </w:r>
    </w:p>
    <w:p w14:paraId="7909192E" w14:textId="005746A6" w:rsidR="00C86248" w:rsidRDefault="00C86248">
      <w:pPr>
        <w:pStyle w:val="Imprint"/>
      </w:pPr>
      <w:r>
        <w:t xml:space="preserve">Published in </w:t>
      </w:r>
      <w:r w:rsidR="00A86620">
        <w:t>February 2025</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75DC659" w:rsidR="00082CD6" w:rsidRPr="009C0F2D" w:rsidRDefault="009A42D5" w:rsidP="00082CD6">
      <w:pPr>
        <w:pStyle w:val="Imprint"/>
      </w:pPr>
      <w:r w:rsidRPr="004F6C9F">
        <w:t xml:space="preserve">ISBN </w:t>
      </w:r>
      <w:r w:rsidR="004F6C9F" w:rsidRPr="004F6C9F">
        <w:t>978-1-991324-21-4</w:t>
      </w:r>
      <w:r w:rsidRPr="004F6C9F">
        <w:t xml:space="preserve"> </w:t>
      </w:r>
      <w:r w:rsidR="00D863D0" w:rsidRPr="004F6C9F">
        <w:t>(</w:t>
      </w:r>
      <w:r w:rsidR="00442C1C" w:rsidRPr="004F6C9F">
        <w:t>online</w:t>
      </w:r>
      <w:r w:rsidR="00D863D0" w:rsidRPr="004F6C9F">
        <w:t>)</w:t>
      </w:r>
      <w:r w:rsidR="00082CD6" w:rsidRPr="004F6C9F">
        <w:br/>
        <w:t xml:space="preserve">HP </w:t>
      </w:r>
      <w:r w:rsidR="0020570B">
        <w:t>9114</w:t>
      </w:r>
    </w:p>
    <w:p w14:paraId="48DBDA36" w14:textId="7263F306" w:rsidR="00C86248" w:rsidRDefault="00EA608C" w:rsidP="00A63DFF">
      <w:r w:rsidRPr="003D7765">
        <w:rPr>
          <w:noProof/>
        </w:rPr>
        <w:drawing>
          <wp:inline distT="0" distB="0" distL="0" distR="0" wp14:anchorId="7F6F146D" wp14:editId="1389585C">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13E3A6E4"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3CE3C024" w14:textId="207D7B4B" w:rsidR="00D802EA" w:rsidRDefault="00D802EA">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90160813" w:history="1">
        <w:r w:rsidRPr="00A34692">
          <w:rPr>
            <w:rStyle w:val="Hyperlink"/>
            <w:noProof/>
          </w:rPr>
          <w:t>Background</w:t>
        </w:r>
        <w:r>
          <w:rPr>
            <w:noProof/>
            <w:webHidden/>
          </w:rPr>
          <w:tab/>
        </w:r>
        <w:r>
          <w:rPr>
            <w:noProof/>
            <w:webHidden/>
          </w:rPr>
          <w:fldChar w:fldCharType="begin"/>
        </w:r>
        <w:r>
          <w:rPr>
            <w:noProof/>
            <w:webHidden/>
          </w:rPr>
          <w:instrText xml:space="preserve"> PAGEREF _Toc190160813 \h </w:instrText>
        </w:r>
        <w:r>
          <w:rPr>
            <w:noProof/>
            <w:webHidden/>
          </w:rPr>
        </w:r>
        <w:r>
          <w:rPr>
            <w:noProof/>
            <w:webHidden/>
          </w:rPr>
          <w:fldChar w:fldCharType="separate"/>
        </w:r>
        <w:r w:rsidR="00004836">
          <w:rPr>
            <w:noProof/>
            <w:webHidden/>
          </w:rPr>
          <w:t>1</w:t>
        </w:r>
        <w:r>
          <w:rPr>
            <w:noProof/>
            <w:webHidden/>
          </w:rPr>
          <w:fldChar w:fldCharType="end"/>
        </w:r>
      </w:hyperlink>
    </w:p>
    <w:p w14:paraId="084EF661" w14:textId="75CE4DDF" w:rsidR="00D802EA"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90160814" w:history="1">
        <w:r w:rsidR="00D802EA" w:rsidRPr="00A34692">
          <w:rPr>
            <w:rStyle w:val="Hyperlink"/>
            <w:noProof/>
          </w:rPr>
          <w:t>Progress has been made on a number of the recommendations</w:t>
        </w:r>
        <w:r w:rsidR="00D802EA">
          <w:rPr>
            <w:noProof/>
            <w:webHidden/>
          </w:rPr>
          <w:tab/>
        </w:r>
        <w:r w:rsidR="00D802EA">
          <w:rPr>
            <w:noProof/>
            <w:webHidden/>
          </w:rPr>
          <w:fldChar w:fldCharType="begin"/>
        </w:r>
        <w:r w:rsidR="00D802EA">
          <w:rPr>
            <w:noProof/>
            <w:webHidden/>
          </w:rPr>
          <w:instrText xml:space="preserve"> PAGEREF _Toc190160814 \h </w:instrText>
        </w:r>
        <w:r w:rsidR="00D802EA">
          <w:rPr>
            <w:noProof/>
            <w:webHidden/>
          </w:rPr>
        </w:r>
        <w:r w:rsidR="00D802EA">
          <w:rPr>
            <w:noProof/>
            <w:webHidden/>
          </w:rPr>
          <w:fldChar w:fldCharType="separate"/>
        </w:r>
        <w:r w:rsidR="00004836">
          <w:rPr>
            <w:noProof/>
            <w:webHidden/>
          </w:rPr>
          <w:t>2</w:t>
        </w:r>
        <w:r w:rsidR="00D802EA">
          <w:rPr>
            <w:noProof/>
            <w:webHidden/>
          </w:rPr>
          <w:fldChar w:fldCharType="end"/>
        </w:r>
      </w:hyperlink>
    </w:p>
    <w:p w14:paraId="584E9DC9" w14:textId="1EC16E13"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15" w:history="1">
        <w:r w:rsidR="00D802EA" w:rsidRPr="00A34692">
          <w:rPr>
            <w:rStyle w:val="Hyperlink"/>
            <w:noProof/>
          </w:rPr>
          <w:t>Theme 1: Elevate and expand antimicrobial stewardship (AMS)</w:t>
        </w:r>
        <w:r w:rsidR="00D802EA">
          <w:rPr>
            <w:noProof/>
            <w:webHidden/>
          </w:rPr>
          <w:tab/>
        </w:r>
        <w:r w:rsidR="00D802EA">
          <w:rPr>
            <w:noProof/>
            <w:webHidden/>
          </w:rPr>
          <w:fldChar w:fldCharType="begin"/>
        </w:r>
        <w:r w:rsidR="00D802EA">
          <w:rPr>
            <w:noProof/>
            <w:webHidden/>
          </w:rPr>
          <w:instrText xml:space="preserve"> PAGEREF _Toc190160815 \h </w:instrText>
        </w:r>
        <w:r w:rsidR="00D802EA">
          <w:rPr>
            <w:noProof/>
            <w:webHidden/>
          </w:rPr>
        </w:r>
        <w:r w:rsidR="00D802EA">
          <w:rPr>
            <w:noProof/>
            <w:webHidden/>
          </w:rPr>
          <w:fldChar w:fldCharType="separate"/>
        </w:r>
        <w:r w:rsidR="00004836">
          <w:rPr>
            <w:noProof/>
            <w:webHidden/>
          </w:rPr>
          <w:t>2</w:t>
        </w:r>
        <w:r w:rsidR="00D802EA">
          <w:rPr>
            <w:noProof/>
            <w:webHidden/>
          </w:rPr>
          <w:fldChar w:fldCharType="end"/>
        </w:r>
      </w:hyperlink>
    </w:p>
    <w:p w14:paraId="5B080AD9" w14:textId="49028258"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16" w:history="1">
        <w:r w:rsidR="00D802EA" w:rsidRPr="00A34692">
          <w:rPr>
            <w:rStyle w:val="Hyperlink"/>
            <w:noProof/>
          </w:rPr>
          <w:t>Theme 2: Develop an integrated surveillance and outbreak response system</w:t>
        </w:r>
        <w:r w:rsidR="00D802EA">
          <w:rPr>
            <w:noProof/>
            <w:webHidden/>
          </w:rPr>
          <w:tab/>
        </w:r>
        <w:r w:rsidR="00D802EA">
          <w:rPr>
            <w:noProof/>
            <w:webHidden/>
          </w:rPr>
          <w:fldChar w:fldCharType="begin"/>
        </w:r>
        <w:r w:rsidR="00D802EA">
          <w:rPr>
            <w:noProof/>
            <w:webHidden/>
          </w:rPr>
          <w:instrText xml:space="preserve"> PAGEREF _Toc190160816 \h </w:instrText>
        </w:r>
        <w:r w:rsidR="00D802EA">
          <w:rPr>
            <w:noProof/>
            <w:webHidden/>
          </w:rPr>
        </w:r>
        <w:r w:rsidR="00D802EA">
          <w:rPr>
            <w:noProof/>
            <w:webHidden/>
          </w:rPr>
          <w:fldChar w:fldCharType="separate"/>
        </w:r>
        <w:r w:rsidR="00004836">
          <w:rPr>
            <w:noProof/>
            <w:webHidden/>
          </w:rPr>
          <w:t>3</w:t>
        </w:r>
        <w:r w:rsidR="00D802EA">
          <w:rPr>
            <w:noProof/>
            <w:webHidden/>
          </w:rPr>
          <w:fldChar w:fldCharType="end"/>
        </w:r>
      </w:hyperlink>
    </w:p>
    <w:p w14:paraId="5E951713" w14:textId="7BD7EEA5"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17" w:history="1">
        <w:r w:rsidR="00D802EA" w:rsidRPr="00A34692">
          <w:rPr>
            <w:rStyle w:val="Hyperlink"/>
            <w:noProof/>
          </w:rPr>
          <w:t>Theme 3: Strengthen infection prevention and control</w:t>
        </w:r>
        <w:r w:rsidR="00D802EA">
          <w:rPr>
            <w:noProof/>
            <w:webHidden/>
          </w:rPr>
          <w:tab/>
        </w:r>
        <w:r w:rsidR="00D802EA">
          <w:rPr>
            <w:noProof/>
            <w:webHidden/>
          </w:rPr>
          <w:fldChar w:fldCharType="begin"/>
        </w:r>
        <w:r w:rsidR="00D802EA">
          <w:rPr>
            <w:noProof/>
            <w:webHidden/>
          </w:rPr>
          <w:instrText xml:space="preserve"> PAGEREF _Toc190160817 \h </w:instrText>
        </w:r>
        <w:r w:rsidR="00D802EA">
          <w:rPr>
            <w:noProof/>
            <w:webHidden/>
          </w:rPr>
        </w:r>
        <w:r w:rsidR="00D802EA">
          <w:rPr>
            <w:noProof/>
            <w:webHidden/>
          </w:rPr>
          <w:fldChar w:fldCharType="separate"/>
        </w:r>
        <w:r w:rsidR="00004836">
          <w:rPr>
            <w:noProof/>
            <w:webHidden/>
          </w:rPr>
          <w:t>5</w:t>
        </w:r>
        <w:r w:rsidR="00D802EA">
          <w:rPr>
            <w:noProof/>
            <w:webHidden/>
          </w:rPr>
          <w:fldChar w:fldCharType="end"/>
        </w:r>
      </w:hyperlink>
    </w:p>
    <w:p w14:paraId="18A3117E" w14:textId="488673E3"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18" w:history="1">
        <w:r w:rsidR="00D802EA" w:rsidRPr="00A34692">
          <w:rPr>
            <w:rStyle w:val="Hyperlink"/>
            <w:noProof/>
          </w:rPr>
          <w:t>Theme 4: Grow Aotearoa Zealand’s infectious diseases capability and engage internationally</w:t>
        </w:r>
        <w:r w:rsidR="00D802EA">
          <w:rPr>
            <w:noProof/>
            <w:webHidden/>
          </w:rPr>
          <w:tab/>
        </w:r>
        <w:r w:rsidR="00D802EA">
          <w:rPr>
            <w:noProof/>
            <w:webHidden/>
          </w:rPr>
          <w:fldChar w:fldCharType="begin"/>
        </w:r>
        <w:r w:rsidR="00D802EA">
          <w:rPr>
            <w:noProof/>
            <w:webHidden/>
          </w:rPr>
          <w:instrText xml:space="preserve"> PAGEREF _Toc190160818 \h </w:instrText>
        </w:r>
        <w:r w:rsidR="00D802EA">
          <w:rPr>
            <w:noProof/>
            <w:webHidden/>
          </w:rPr>
        </w:r>
        <w:r w:rsidR="00D802EA">
          <w:rPr>
            <w:noProof/>
            <w:webHidden/>
          </w:rPr>
          <w:fldChar w:fldCharType="separate"/>
        </w:r>
        <w:r w:rsidR="00004836">
          <w:rPr>
            <w:noProof/>
            <w:webHidden/>
          </w:rPr>
          <w:t>7</w:t>
        </w:r>
        <w:r w:rsidR="00D802EA">
          <w:rPr>
            <w:noProof/>
            <w:webHidden/>
          </w:rPr>
          <w:fldChar w:fldCharType="end"/>
        </w:r>
      </w:hyperlink>
    </w:p>
    <w:p w14:paraId="42E2BD3B" w14:textId="72EC0319"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19" w:history="1">
        <w:r w:rsidR="00D802EA" w:rsidRPr="00A34692">
          <w:rPr>
            <w:rStyle w:val="Hyperlink"/>
            <w:noProof/>
          </w:rPr>
          <w:t>Theme 5: Enhance health literacy</w:t>
        </w:r>
        <w:r w:rsidR="00D802EA">
          <w:rPr>
            <w:noProof/>
            <w:webHidden/>
          </w:rPr>
          <w:tab/>
        </w:r>
        <w:r w:rsidR="00D802EA">
          <w:rPr>
            <w:noProof/>
            <w:webHidden/>
          </w:rPr>
          <w:fldChar w:fldCharType="begin"/>
        </w:r>
        <w:r w:rsidR="00D802EA">
          <w:rPr>
            <w:noProof/>
            <w:webHidden/>
          </w:rPr>
          <w:instrText xml:space="preserve"> PAGEREF _Toc190160819 \h </w:instrText>
        </w:r>
        <w:r w:rsidR="00D802EA">
          <w:rPr>
            <w:noProof/>
            <w:webHidden/>
          </w:rPr>
        </w:r>
        <w:r w:rsidR="00D802EA">
          <w:rPr>
            <w:noProof/>
            <w:webHidden/>
          </w:rPr>
          <w:fldChar w:fldCharType="separate"/>
        </w:r>
        <w:r w:rsidR="00004836">
          <w:rPr>
            <w:noProof/>
            <w:webHidden/>
          </w:rPr>
          <w:t>9</w:t>
        </w:r>
        <w:r w:rsidR="00D802EA">
          <w:rPr>
            <w:noProof/>
            <w:webHidden/>
          </w:rPr>
          <w:fldChar w:fldCharType="end"/>
        </w:r>
      </w:hyperlink>
    </w:p>
    <w:p w14:paraId="0F824B97" w14:textId="21C1EF11" w:rsidR="00D802EA" w:rsidRDefault="00000000">
      <w:pPr>
        <w:pStyle w:val="TOC2"/>
        <w:rPr>
          <w:rFonts w:asciiTheme="minorHAnsi" w:eastAsiaTheme="minorEastAsia" w:hAnsiTheme="minorHAnsi" w:cstheme="minorBidi"/>
          <w:noProof/>
          <w:kern w:val="2"/>
          <w:szCs w:val="22"/>
          <w:lang w:eastAsia="en-NZ"/>
          <w14:ligatures w14:val="standardContextual"/>
        </w:rPr>
      </w:pPr>
      <w:hyperlink w:anchor="_Toc190160820" w:history="1">
        <w:r w:rsidR="00D802EA" w:rsidRPr="00A34692">
          <w:rPr>
            <w:rStyle w:val="Hyperlink"/>
            <w:noProof/>
          </w:rPr>
          <w:t>Theme 6: Reimagining primary care</w:t>
        </w:r>
        <w:r w:rsidR="00D802EA">
          <w:rPr>
            <w:noProof/>
            <w:webHidden/>
          </w:rPr>
          <w:tab/>
        </w:r>
        <w:r w:rsidR="00D802EA">
          <w:rPr>
            <w:noProof/>
            <w:webHidden/>
          </w:rPr>
          <w:fldChar w:fldCharType="begin"/>
        </w:r>
        <w:r w:rsidR="00D802EA">
          <w:rPr>
            <w:noProof/>
            <w:webHidden/>
          </w:rPr>
          <w:instrText xml:space="preserve"> PAGEREF _Toc190160820 \h </w:instrText>
        </w:r>
        <w:r w:rsidR="00D802EA">
          <w:rPr>
            <w:noProof/>
            <w:webHidden/>
          </w:rPr>
        </w:r>
        <w:r w:rsidR="00D802EA">
          <w:rPr>
            <w:noProof/>
            <w:webHidden/>
          </w:rPr>
          <w:fldChar w:fldCharType="separate"/>
        </w:r>
        <w:r w:rsidR="00004836">
          <w:rPr>
            <w:noProof/>
            <w:webHidden/>
          </w:rPr>
          <w:t>10</w:t>
        </w:r>
        <w:r w:rsidR="00D802EA">
          <w:rPr>
            <w:noProof/>
            <w:webHidden/>
          </w:rPr>
          <w:fldChar w:fldCharType="end"/>
        </w:r>
      </w:hyperlink>
    </w:p>
    <w:p w14:paraId="149A9A74" w14:textId="34B86BB5" w:rsidR="00D802EA"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90160821" w:history="1">
        <w:r w:rsidR="00D802EA" w:rsidRPr="00A34692">
          <w:rPr>
            <w:rStyle w:val="Hyperlink"/>
            <w:noProof/>
          </w:rPr>
          <w:t>There is more work  to do</w:t>
        </w:r>
        <w:r w:rsidR="00D802EA">
          <w:rPr>
            <w:noProof/>
            <w:webHidden/>
          </w:rPr>
          <w:tab/>
        </w:r>
        <w:r w:rsidR="00D802EA">
          <w:rPr>
            <w:noProof/>
            <w:webHidden/>
          </w:rPr>
          <w:fldChar w:fldCharType="begin"/>
        </w:r>
        <w:r w:rsidR="00D802EA">
          <w:rPr>
            <w:noProof/>
            <w:webHidden/>
          </w:rPr>
          <w:instrText xml:space="preserve"> PAGEREF _Toc190160821 \h </w:instrText>
        </w:r>
        <w:r w:rsidR="00D802EA">
          <w:rPr>
            <w:noProof/>
            <w:webHidden/>
          </w:rPr>
        </w:r>
        <w:r w:rsidR="00D802EA">
          <w:rPr>
            <w:noProof/>
            <w:webHidden/>
          </w:rPr>
          <w:fldChar w:fldCharType="separate"/>
        </w:r>
        <w:r w:rsidR="00004836">
          <w:rPr>
            <w:noProof/>
            <w:webHidden/>
          </w:rPr>
          <w:t>11</w:t>
        </w:r>
        <w:r w:rsidR="00D802EA">
          <w:rPr>
            <w:noProof/>
            <w:webHidden/>
          </w:rPr>
          <w:fldChar w:fldCharType="end"/>
        </w:r>
      </w:hyperlink>
    </w:p>
    <w:p w14:paraId="133A9219" w14:textId="0A240945" w:rsidR="00C86248" w:rsidRDefault="00D802EA">
      <w:r>
        <w:rPr>
          <w:rFonts w:ascii="Segoe UI Semibold" w:hAnsi="Segoe UI Semibold"/>
          <w:b/>
          <w:sz w:val="24"/>
        </w:rPr>
        <w:fldChar w:fldCharType="end"/>
      </w:r>
    </w:p>
    <w:p w14:paraId="4A6797B1" w14:textId="31647DAB" w:rsidR="002B76A7" w:rsidRDefault="002B76A7" w:rsidP="003A5FEA"/>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5DDB57FC" w14:textId="77777777" w:rsidR="001D3E4E" w:rsidRDefault="001D3E4E" w:rsidP="003A5FEA"/>
    <w:p w14:paraId="42CB3D8F" w14:textId="77777777" w:rsidR="001D3E4E" w:rsidRDefault="001D3E4E" w:rsidP="003A5FEA">
      <w:pPr>
        <w:sectPr w:rsidR="001D3E4E" w:rsidSect="0078658E">
          <w:footerReference w:type="even" r:id="rId22"/>
          <w:pgSz w:w="11907" w:h="16840" w:code="9"/>
          <w:pgMar w:top="1418" w:right="1701" w:bottom="1134" w:left="1843" w:header="284" w:footer="425" w:gutter="284"/>
          <w:pgNumType w:fmt="lowerRoman"/>
          <w:cols w:space="720"/>
        </w:sectPr>
      </w:pPr>
    </w:p>
    <w:p w14:paraId="39BE2591" w14:textId="35ECB5ED" w:rsidR="008C2973" w:rsidRDefault="0059468F" w:rsidP="0059468F">
      <w:pPr>
        <w:pStyle w:val="Heading1"/>
        <w:spacing w:before="0"/>
        <w:rPr>
          <w:spacing w:val="0"/>
        </w:rPr>
      </w:pPr>
      <w:bookmarkStart w:id="2" w:name="_Toc190160813"/>
      <w:r>
        <w:rPr>
          <w:spacing w:val="0"/>
        </w:rPr>
        <w:lastRenderedPageBreak/>
        <w:t>Background</w:t>
      </w:r>
      <w:bookmarkEnd w:id="2"/>
    </w:p>
    <w:p w14:paraId="5EEB42BC" w14:textId="77777777" w:rsidR="0059468F" w:rsidRPr="0013006F" w:rsidRDefault="0059468F" w:rsidP="0059468F">
      <w:pPr>
        <w:rPr>
          <w:rFonts w:cs="Segoe UI"/>
        </w:rPr>
      </w:pPr>
      <w:r w:rsidRPr="0013006F">
        <w:rPr>
          <w:rFonts w:cs="Segoe UI"/>
        </w:rPr>
        <w:t xml:space="preserve">In March 2022, the Office of the Prime Minister’s Chief Science Advisor released </w:t>
      </w:r>
      <w:r w:rsidRPr="0013006F">
        <w:rPr>
          <w:rFonts w:cs="Segoe UI"/>
          <w:i/>
          <w:iCs/>
        </w:rPr>
        <w:t>Kotahitanga: Uniting Aotearoa against infectious disease and antimicrobial resistance</w:t>
      </w:r>
      <w:r>
        <w:rPr>
          <w:rFonts w:cs="Segoe UI"/>
          <w:i/>
          <w:iCs/>
        </w:rPr>
        <w:t>.</w:t>
      </w:r>
      <w:r w:rsidRPr="00942474">
        <w:rPr>
          <w:rStyle w:val="FootnoteReference"/>
          <w:rFonts w:cs="Segoe UI"/>
        </w:rPr>
        <w:footnoteReference w:id="1"/>
      </w:r>
      <w:r w:rsidRPr="0013006F">
        <w:rPr>
          <w:rFonts w:cs="Segoe UI"/>
        </w:rPr>
        <w:t xml:space="preserve"> </w:t>
      </w:r>
    </w:p>
    <w:p w14:paraId="254F267D" w14:textId="77777777" w:rsidR="00396E26" w:rsidRDefault="00396E26" w:rsidP="0059468F">
      <w:pPr>
        <w:rPr>
          <w:rFonts w:cs="Segoe UI"/>
        </w:rPr>
      </w:pPr>
    </w:p>
    <w:p w14:paraId="026C0250" w14:textId="05799B80" w:rsidR="0059468F" w:rsidRDefault="0059468F" w:rsidP="0059468F">
      <w:pPr>
        <w:rPr>
          <w:rFonts w:cs="Segoe UI"/>
        </w:rPr>
      </w:pPr>
      <w:r w:rsidRPr="0013006F">
        <w:rPr>
          <w:rFonts w:cs="Segoe UI"/>
        </w:rPr>
        <w:t xml:space="preserve">This report notes that infectious diseases, including drug-resistant organisms, are a present and growing threat across human, animal, plant and environmental health. The report also notes that we already know what needs to be done to unite against infectious disease and antimicrobial resistance (AMR) but </w:t>
      </w:r>
      <w:r>
        <w:rPr>
          <w:rFonts w:cs="Segoe UI"/>
        </w:rPr>
        <w:t>considered that there</w:t>
      </w:r>
      <w:r w:rsidRPr="0013006F">
        <w:rPr>
          <w:rFonts w:cs="Segoe UI"/>
        </w:rPr>
        <w:t xml:space="preserve"> is a need to act with more urgency and purpose.  </w:t>
      </w:r>
    </w:p>
    <w:p w14:paraId="574B74E5" w14:textId="77777777" w:rsidR="0059468F" w:rsidRPr="0013006F" w:rsidRDefault="0059468F" w:rsidP="0059468F">
      <w:pPr>
        <w:rPr>
          <w:rFonts w:cs="Segoe UI"/>
        </w:rPr>
      </w:pPr>
    </w:p>
    <w:p w14:paraId="04A16CA4" w14:textId="77777777" w:rsidR="0059468F" w:rsidRPr="0013006F" w:rsidRDefault="0059468F" w:rsidP="0059468F">
      <w:pPr>
        <w:rPr>
          <w:rFonts w:cs="Segoe UI"/>
        </w:rPr>
      </w:pPr>
      <w:r w:rsidRPr="0013006F">
        <w:rPr>
          <w:rFonts w:cs="Segoe UI"/>
        </w:rPr>
        <w:t xml:space="preserve">The report </w:t>
      </w:r>
      <w:r>
        <w:rPr>
          <w:rFonts w:cs="Segoe UI"/>
        </w:rPr>
        <w:t>made</w:t>
      </w:r>
      <w:r w:rsidRPr="0013006F">
        <w:rPr>
          <w:rFonts w:cs="Segoe UI"/>
        </w:rPr>
        <w:t xml:space="preserve"> 102 recommendations grouped under </w:t>
      </w:r>
      <w:r>
        <w:rPr>
          <w:rFonts w:cs="Segoe UI"/>
        </w:rPr>
        <w:t>6</w:t>
      </w:r>
      <w:r w:rsidRPr="0013006F">
        <w:rPr>
          <w:rFonts w:cs="Segoe UI"/>
        </w:rPr>
        <w:t xml:space="preserve"> themes:</w:t>
      </w:r>
    </w:p>
    <w:p w14:paraId="3FD17E30" w14:textId="77777777" w:rsidR="0059468F" w:rsidRPr="0013006F" w:rsidRDefault="0059468F" w:rsidP="0059468F">
      <w:pPr>
        <w:pStyle w:val="Bullet"/>
      </w:pPr>
      <w:r>
        <w:t>e</w:t>
      </w:r>
      <w:r w:rsidRPr="0013006F">
        <w:t>levate and expand antimicrobial stewardship</w:t>
      </w:r>
    </w:p>
    <w:p w14:paraId="62E2C128" w14:textId="77777777" w:rsidR="0059468F" w:rsidRPr="0013006F" w:rsidRDefault="0059468F" w:rsidP="0059468F">
      <w:pPr>
        <w:pStyle w:val="Bullet"/>
      </w:pPr>
      <w:r>
        <w:t>d</w:t>
      </w:r>
      <w:r w:rsidRPr="0013006F">
        <w:t>evelop an integrated surveillance and outbreak response system</w:t>
      </w:r>
    </w:p>
    <w:p w14:paraId="30190242" w14:textId="77777777" w:rsidR="0059468F" w:rsidRPr="0013006F" w:rsidRDefault="0059468F" w:rsidP="0059468F">
      <w:pPr>
        <w:pStyle w:val="Bullet"/>
      </w:pPr>
      <w:r>
        <w:t>s</w:t>
      </w:r>
      <w:r w:rsidRPr="0013006F">
        <w:t>trengthen infection prevention and control</w:t>
      </w:r>
    </w:p>
    <w:p w14:paraId="4A7878F0" w14:textId="77777777" w:rsidR="0059468F" w:rsidRPr="0013006F" w:rsidRDefault="0059468F" w:rsidP="0059468F">
      <w:pPr>
        <w:pStyle w:val="Bullet"/>
      </w:pPr>
      <w:r>
        <w:t>g</w:t>
      </w:r>
      <w:r w:rsidRPr="0013006F">
        <w:t>row Aotearoa New Zealand’s infectious disease capability and engage internationally</w:t>
      </w:r>
    </w:p>
    <w:p w14:paraId="0AC47CA9" w14:textId="77777777" w:rsidR="0059468F" w:rsidRPr="0013006F" w:rsidRDefault="0059468F" w:rsidP="0059468F">
      <w:pPr>
        <w:pStyle w:val="Bullet"/>
      </w:pPr>
      <w:r>
        <w:t>e</w:t>
      </w:r>
      <w:r w:rsidRPr="0013006F">
        <w:t>nhance health literacy</w:t>
      </w:r>
    </w:p>
    <w:p w14:paraId="2EEF2155" w14:textId="77777777" w:rsidR="0059468F" w:rsidRPr="0013006F" w:rsidRDefault="0059468F" w:rsidP="0059468F">
      <w:pPr>
        <w:pStyle w:val="Bullet"/>
      </w:pPr>
      <w:r>
        <w:t>r</w:t>
      </w:r>
      <w:r w:rsidRPr="0013006F">
        <w:t>eimagine primary care.</w:t>
      </w:r>
    </w:p>
    <w:p w14:paraId="61A0BA66" w14:textId="77777777" w:rsidR="0059468F" w:rsidRDefault="0059468F" w:rsidP="0059468F">
      <w:pPr>
        <w:rPr>
          <w:rFonts w:cs="Segoe UI"/>
        </w:rPr>
      </w:pPr>
    </w:p>
    <w:p w14:paraId="26DE8DBA" w14:textId="6E1BD124" w:rsidR="0059468F" w:rsidRDefault="0059468F" w:rsidP="0059468F">
      <w:r w:rsidRPr="0013006F">
        <w:t>The report was designed to facilitate a ‘One Health’ approach to mitigate the risks of antimicrobial resistance in humans, animals, plants and the environment within New Zealand.</w:t>
      </w:r>
    </w:p>
    <w:p w14:paraId="3C33361C" w14:textId="77777777" w:rsidR="0059468F" w:rsidRPr="0013006F" w:rsidRDefault="0059468F" w:rsidP="0059468F"/>
    <w:p w14:paraId="42EFD5DD" w14:textId="77777777" w:rsidR="0059468F" w:rsidRDefault="0059468F" w:rsidP="0059468F">
      <w:r w:rsidRPr="0013006F">
        <w:t xml:space="preserve">Many of the </w:t>
      </w:r>
      <w:r>
        <w:t xml:space="preserve">report’s </w:t>
      </w:r>
      <w:r w:rsidRPr="0013006F">
        <w:t>themes and recommendations align</w:t>
      </w:r>
      <w:r>
        <w:t>ed</w:t>
      </w:r>
      <w:r w:rsidRPr="0013006F">
        <w:t xml:space="preserve"> with, and buil</w:t>
      </w:r>
      <w:r>
        <w:t>t</w:t>
      </w:r>
      <w:r w:rsidRPr="0013006F">
        <w:t xml:space="preserve"> on, the New Zealand </w:t>
      </w:r>
      <w:r>
        <w:t>Antimicrobial Resistance</w:t>
      </w:r>
      <w:r w:rsidRPr="0013006F">
        <w:t xml:space="preserve"> Action Plan</w:t>
      </w:r>
      <w:r>
        <w:rPr>
          <w:rStyle w:val="FootnoteReference"/>
          <w:rFonts w:cs="Segoe UI"/>
        </w:rPr>
        <w:footnoteReference w:id="2"/>
      </w:r>
      <w:r w:rsidRPr="0013006F">
        <w:t xml:space="preserve"> published in 2017. The vision of the </w:t>
      </w:r>
      <w:r>
        <w:t>a</w:t>
      </w:r>
      <w:r w:rsidRPr="0013006F">
        <w:t xml:space="preserve">ction </w:t>
      </w:r>
      <w:r>
        <w:t>p</w:t>
      </w:r>
      <w:r w:rsidRPr="0013006F">
        <w:t>lan is that New Zealand manages antimicrobials as a valuable</w:t>
      </w:r>
      <w:r>
        <w:t>,</w:t>
      </w:r>
      <w:r w:rsidRPr="0013006F">
        <w:t xml:space="preserve"> shared resource and </w:t>
      </w:r>
      <w:r>
        <w:t xml:space="preserve">strives to </w:t>
      </w:r>
      <w:r w:rsidRPr="0013006F">
        <w:t>maintain their efficacy so they can be used to treat infections in humans</w:t>
      </w:r>
      <w:r>
        <w:t xml:space="preserve"> and</w:t>
      </w:r>
      <w:r w:rsidRPr="0013006F">
        <w:t xml:space="preserve"> manage disease in animals and plants.</w:t>
      </w:r>
    </w:p>
    <w:p w14:paraId="05EC4918" w14:textId="77777777" w:rsidR="0059468F" w:rsidRDefault="0059468F" w:rsidP="0059468F">
      <w:pPr>
        <w:rPr>
          <w:rFonts w:cs="Segoe UI"/>
          <w:b/>
          <w:bCs/>
          <w:color w:val="2F5496"/>
          <w:sz w:val="28"/>
          <w:szCs w:val="28"/>
        </w:rPr>
      </w:pPr>
      <w:r>
        <w:rPr>
          <w:rFonts w:cs="Segoe UI"/>
          <w:b/>
          <w:bCs/>
          <w:color w:val="2F5496"/>
          <w:sz w:val="28"/>
          <w:szCs w:val="28"/>
        </w:rPr>
        <w:br w:type="page"/>
      </w:r>
    </w:p>
    <w:p w14:paraId="129ED60E" w14:textId="77777777" w:rsidR="0059468F" w:rsidRPr="006B107E" w:rsidRDefault="0059468F" w:rsidP="0059468F">
      <w:pPr>
        <w:pStyle w:val="Heading1"/>
        <w:rPr>
          <w:rFonts w:ascii="Calibri Light" w:hAnsi="Calibri Light"/>
        </w:rPr>
      </w:pPr>
      <w:bookmarkStart w:id="3" w:name="_Toc190160814"/>
      <w:r>
        <w:lastRenderedPageBreak/>
        <w:t>Progress has been made on a number of the recommendations</w:t>
      </w:r>
      <w:bookmarkEnd w:id="3"/>
    </w:p>
    <w:p w14:paraId="728682EB" w14:textId="77777777" w:rsidR="0059468F" w:rsidRPr="0013006F" w:rsidRDefault="0059468F" w:rsidP="0059468F">
      <w:r>
        <w:t>The tables b</w:t>
      </w:r>
      <w:r w:rsidRPr="0013006F">
        <w:t>elow provide a summary of progress and action against some of the key recommendations in the Kotahitanga report.</w:t>
      </w:r>
    </w:p>
    <w:p w14:paraId="2D59552D" w14:textId="7345375A" w:rsidR="0059468F" w:rsidRPr="0059468F" w:rsidRDefault="0059468F" w:rsidP="0059468F">
      <w:pPr>
        <w:pStyle w:val="Heading2"/>
      </w:pPr>
      <w:bookmarkStart w:id="4" w:name="_Toc190160815"/>
      <w:r w:rsidRPr="0059468F">
        <w:t>Theme 1: Elevate and expand antimicrobial stewardship (AMS)</w:t>
      </w:r>
      <w:bookmarkEnd w:id="4"/>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6"/>
      </w:tblGrid>
      <w:tr w:rsidR="0059468F" w:rsidRPr="0059468F" w14:paraId="37D58EA0" w14:textId="77777777" w:rsidTr="0059468F">
        <w:trPr>
          <w:tblHeader/>
        </w:trPr>
        <w:tc>
          <w:tcPr>
            <w:tcW w:w="3114" w:type="dxa"/>
            <w:tcBorders>
              <w:top w:val="nil"/>
              <w:bottom w:val="nil"/>
            </w:tcBorders>
            <w:shd w:val="clear" w:color="auto" w:fill="D9D9D9" w:themeFill="background1" w:themeFillShade="D9"/>
          </w:tcPr>
          <w:p w14:paraId="57257716"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Recommendation</w:t>
            </w:r>
          </w:p>
        </w:tc>
        <w:tc>
          <w:tcPr>
            <w:tcW w:w="4966" w:type="dxa"/>
            <w:tcBorders>
              <w:top w:val="nil"/>
              <w:bottom w:val="nil"/>
            </w:tcBorders>
            <w:shd w:val="clear" w:color="auto" w:fill="D9D9D9" w:themeFill="background1" w:themeFillShade="D9"/>
          </w:tcPr>
          <w:p w14:paraId="53567BBB"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Activity</w:t>
            </w:r>
          </w:p>
        </w:tc>
      </w:tr>
      <w:tr w:rsidR="0059468F" w:rsidRPr="00CF595F" w14:paraId="22B20480" w14:textId="77777777" w:rsidTr="0059468F">
        <w:tc>
          <w:tcPr>
            <w:tcW w:w="3114" w:type="dxa"/>
            <w:tcBorders>
              <w:top w:val="nil"/>
            </w:tcBorders>
          </w:tcPr>
          <w:p w14:paraId="16CD53DD" w14:textId="77777777" w:rsidR="0059468F" w:rsidRDefault="0059468F" w:rsidP="0059468F">
            <w:pPr>
              <w:spacing w:before="80" w:after="80" w:line="240" w:lineRule="auto"/>
              <w:rPr>
                <w:rFonts w:eastAsia="Calibri" w:cs="Segoe UI"/>
              </w:rPr>
            </w:pPr>
            <w:r w:rsidRPr="0066389D">
              <w:rPr>
                <w:rFonts w:eastAsia="Calibri" w:cs="Segoe UI"/>
              </w:rPr>
              <w:t xml:space="preserve">1(a) </w:t>
            </w:r>
            <w:r w:rsidRPr="0066389D">
              <w:rPr>
                <w:rFonts w:cs="Segoe UI"/>
                <w:bCs/>
                <w:szCs w:val="28"/>
              </w:rPr>
              <w:t xml:space="preserve">Develop a coordinated national approach to AMS to provide overarching governance and leadership. </w:t>
            </w:r>
          </w:p>
        </w:tc>
        <w:tc>
          <w:tcPr>
            <w:tcW w:w="4966" w:type="dxa"/>
            <w:tcBorders>
              <w:top w:val="nil"/>
            </w:tcBorders>
          </w:tcPr>
          <w:p w14:paraId="5E17008D" w14:textId="77777777" w:rsidR="0059468F" w:rsidRDefault="0059468F" w:rsidP="0059468F">
            <w:pPr>
              <w:spacing w:before="80" w:after="80" w:line="240" w:lineRule="auto"/>
              <w:rPr>
                <w:rFonts w:eastAsia="Calibri"/>
              </w:rPr>
            </w:pPr>
            <w:r>
              <w:rPr>
                <w:rFonts w:eastAsia="Calibri"/>
              </w:rPr>
              <w:t xml:space="preserve">A One Health approach that recognises the linkages and interdependence of the health of humans, animals, plants and the environment is critical to managing infectious disease and AMR. The Ministry of Health, Health New Zealand </w:t>
            </w:r>
            <w:r w:rsidRPr="004108F6">
              <w:rPr>
                <w:color w:val="000000"/>
                <w:shd w:val="clear" w:color="auto" w:fill="FFFFFF"/>
              </w:rPr>
              <w:t>|</w:t>
            </w:r>
            <w:r>
              <w:rPr>
                <w:rFonts w:eastAsia="Calibri"/>
              </w:rPr>
              <w:t xml:space="preserve"> Te Whatu Ora (Health NZ) and the Ministry for Primary Industries (MPI) are working collaboratively to support a coordinated national approach. </w:t>
            </w:r>
          </w:p>
          <w:p w14:paraId="609DD99B" w14:textId="77777777" w:rsidR="0059468F" w:rsidRPr="00CF595F" w:rsidRDefault="0059468F" w:rsidP="0059468F">
            <w:pPr>
              <w:spacing w:before="80" w:after="80" w:line="240" w:lineRule="auto"/>
              <w:rPr>
                <w:rFonts w:eastAsia="Calibri"/>
              </w:rPr>
            </w:pPr>
            <w:r>
              <w:rPr>
                <w:rFonts w:eastAsia="Calibri"/>
              </w:rPr>
              <w:t xml:space="preserve">In March 2023, Health NZ hosted a national multidisciplinary infectious disease services hui to bring together key leaders in infectious services. As a result, an Infectious Services Clinical Network was established which </w:t>
            </w:r>
            <w:r w:rsidRPr="004F2D4B">
              <w:rPr>
                <w:rFonts w:eastAsia="Calibri"/>
              </w:rPr>
              <w:t>include</w:t>
            </w:r>
            <w:r>
              <w:rPr>
                <w:rFonts w:eastAsia="Calibri"/>
              </w:rPr>
              <w:t>s</w:t>
            </w:r>
            <w:r w:rsidRPr="004F2D4B">
              <w:rPr>
                <w:rFonts w:eastAsia="Calibri"/>
              </w:rPr>
              <w:t xml:space="preserve"> the AMS portfolio. </w:t>
            </w:r>
            <w:r>
              <w:rPr>
                <w:rFonts w:eastAsia="Calibri"/>
              </w:rPr>
              <w:t>Health NZ has set up national clinical networks to drive unified healthcare standards, reduce variations and enhance equitable access.</w:t>
            </w:r>
          </w:p>
        </w:tc>
      </w:tr>
      <w:tr w:rsidR="0059468F" w:rsidRPr="00CF595F" w14:paraId="27ECD35B" w14:textId="77777777" w:rsidTr="0059468F">
        <w:tc>
          <w:tcPr>
            <w:tcW w:w="3114" w:type="dxa"/>
          </w:tcPr>
          <w:p w14:paraId="22635946" w14:textId="77777777" w:rsidR="0059468F" w:rsidRDefault="0059468F" w:rsidP="0059468F">
            <w:pPr>
              <w:spacing w:before="80" w:after="80" w:line="240" w:lineRule="auto"/>
              <w:rPr>
                <w:rFonts w:eastAsia="Calibri" w:cs="Segoe UI"/>
              </w:rPr>
            </w:pPr>
            <w:r>
              <w:rPr>
                <w:rFonts w:eastAsia="Calibri" w:cs="Segoe UI"/>
              </w:rPr>
              <w:t xml:space="preserve">1(a)(vii) </w:t>
            </w:r>
            <w:r w:rsidRPr="004F2D4B">
              <w:rPr>
                <w:rFonts w:cs="Segoe UI"/>
                <w:szCs w:val="24"/>
              </w:rPr>
              <w:t>Develop and maintain national antimicrobial prescribing guidance for human health</w:t>
            </w:r>
            <w:r>
              <w:rPr>
                <w:rFonts w:cs="Segoe UI"/>
                <w:szCs w:val="24"/>
              </w:rPr>
              <w:t>.</w:t>
            </w:r>
          </w:p>
        </w:tc>
        <w:tc>
          <w:tcPr>
            <w:tcW w:w="4966" w:type="dxa"/>
          </w:tcPr>
          <w:p w14:paraId="5864A3CD" w14:textId="77777777" w:rsidR="0059468F" w:rsidRPr="00CF595F" w:rsidRDefault="0059468F" w:rsidP="0059468F">
            <w:pPr>
              <w:spacing w:before="80" w:after="80" w:line="240" w:lineRule="auto"/>
              <w:rPr>
                <w:rFonts w:eastAsia="Calibri" w:cs="Segoe UI"/>
              </w:rPr>
            </w:pPr>
            <w:r>
              <w:rPr>
                <w:rFonts w:eastAsia="Calibri" w:cs="Segoe UI"/>
              </w:rPr>
              <w:t>A project to develop national antibiotic prescribing guidelines and strengthen antimicrobial stewardship is being funded through the Te Niwha research platform.</w:t>
            </w:r>
            <w:r>
              <w:rPr>
                <w:rStyle w:val="FootnoteReference"/>
                <w:rFonts w:eastAsia="Calibri" w:cs="Segoe UI"/>
              </w:rPr>
              <w:footnoteReference w:id="3"/>
            </w:r>
            <w:r>
              <w:rPr>
                <w:rFonts w:eastAsia="Calibri" w:cs="Segoe UI"/>
              </w:rPr>
              <w:t xml:space="preserve"> The national guidelines are expected to be launched in 2025. </w:t>
            </w:r>
          </w:p>
        </w:tc>
      </w:tr>
      <w:tr w:rsidR="0059468F" w:rsidRPr="00CF595F" w14:paraId="7EBBFD5D" w14:textId="77777777" w:rsidTr="0059468F">
        <w:tc>
          <w:tcPr>
            <w:tcW w:w="3114" w:type="dxa"/>
          </w:tcPr>
          <w:p w14:paraId="43750268" w14:textId="77777777" w:rsidR="0059468F" w:rsidRPr="00202D4E" w:rsidRDefault="0059468F" w:rsidP="0059468F">
            <w:pPr>
              <w:keepNext/>
              <w:spacing w:before="80" w:after="80" w:line="240" w:lineRule="auto"/>
              <w:rPr>
                <w:rFonts w:eastAsia="Calibri" w:cs="Segoe UI"/>
              </w:rPr>
            </w:pPr>
            <w:r>
              <w:rPr>
                <w:rFonts w:eastAsia="Calibri" w:cs="Segoe UI"/>
              </w:rPr>
              <w:lastRenderedPageBreak/>
              <w:t xml:space="preserve">1(c)(vii) </w:t>
            </w:r>
            <w:r w:rsidRPr="001E14D4">
              <w:rPr>
                <w:rFonts w:cs="Segoe UI"/>
                <w:szCs w:val="24"/>
              </w:rPr>
              <w:t>Develop a system to enable collection of antimicrobial use data in animals and plants. This could be first implemented as sentinel surveillance at selected veterinary practices before being rolled out more widely.</w:t>
            </w:r>
          </w:p>
        </w:tc>
        <w:tc>
          <w:tcPr>
            <w:tcW w:w="4966" w:type="dxa"/>
          </w:tcPr>
          <w:p w14:paraId="7AEA1A08" w14:textId="77777777" w:rsidR="0059468F" w:rsidRPr="00202D4E" w:rsidRDefault="0059468F" w:rsidP="0059468F">
            <w:pPr>
              <w:keepNext/>
              <w:spacing w:before="80" w:after="80" w:line="240" w:lineRule="auto"/>
              <w:rPr>
                <w:rFonts w:eastAsia="Calibri" w:cs="Segoe UI"/>
              </w:rPr>
            </w:pPr>
            <w:r w:rsidRPr="00202D4E">
              <w:rPr>
                <w:rFonts w:eastAsia="Calibri" w:cs="Segoe UI"/>
              </w:rPr>
              <w:t xml:space="preserve">MPI outsourced an operational research project to investigate how antibiotic use data from animals could be collected. The project </w:t>
            </w:r>
            <w:r>
              <w:rPr>
                <w:rFonts w:eastAsia="Calibri" w:cs="Segoe UI"/>
              </w:rPr>
              <w:t>was</w:t>
            </w:r>
            <w:r w:rsidRPr="00202D4E">
              <w:rPr>
                <w:rFonts w:eastAsia="Calibri" w:cs="Segoe UI"/>
              </w:rPr>
              <w:t xml:space="preserve"> to identify and recommend an effective and efficient method for collecting antibiotic use data in food-producing </w:t>
            </w:r>
            <w:r>
              <w:rPr>
                <w:rFonts w:eastAsia="Calibri" w:cs="Segoe UI"/>
              </w:rPr>
              <w:t xml:space="preserve">and companion </w:t>
            </w:r>
            <w:r w:rsidRPr="00202D4E">
              <w:rPr>
                <w:rFonts w:eastAsia="Calibri" w:cs="Segoe UI"/>
              </w:rPr>
              <w:t>animals</w:t>
            </w:r>
            <w:r>
              <w:rPr>
                <w:rFonts w:eastAsia="Calibri" w:cs="Segoe UI"/>
              </w:rPr>
              <w:t xml:space="preserve"> within New Zealand. Food-producing animals included </w:t>
            </w:r>
            <w:r w:rsidRPr="00202D4E">
              <w:rPr>
                <w:rFonts w:eastAsia="Calibri" w:cs="Segoe UI"/>
              </w:rPr>
              <w:t>cattle, sheep, goats, pigs, chickens and horses</w:t>
            </w:r>
            <w:r>
              <w:rPr>
                <w:rFonts w:eastAsia="Calibri" w:cs="Segoe UI"/>
              </w:rPr>
              <w:t xml:space="preserve"> and home companion animals included cats and dogs. </w:t>
            </w:r>
            <w:r w:rsidRPr="00202D4E">
              <w:rPr>
                <w:rFonts w:eastAsia="Calibri" w:cs="Segoe UI"/>
              </w:rPr>
              <w:t xml:space="preserve"> </w:t>
            </w:r>
          </w:p>
          <w:p w14:paraId="47D4949B" w14:textId="77777777" w:rsidR="0059468F" w:rsidRPr="00202D4E" w:rsidRDefault="0059468F" w:rsidP="0059468F">
            <w:pPr>
              <w:keepNext/>
              <w:spacing w:before="80" w:after="80" w:line="240" w:lineRule="auto"/>
              <w:rPr>
                <w:rFonts w:eastAsia="Calibri" w:cs="Segoe UI"/>
              </w:rPr>
            </w:pPr>
            <w:r>
              <w:rPr>
                <w:rFonts w:eastAsia="Calibri" w:cs="Segoe UI"/>
              </w:rPr>
              <w:t xml:space="preserve">MPI received the </w:t>
            </w:r>
            <w:r w:rsidRPr="00202D4E">
              <w:rPr>
                <w:rFonts w:eastAsia="Calibri" w:cs="Segoe UI"/>
              </w:rPr>
              <w:t xml:space="preserve">project report </w:t>
            </w:r>
            <w:r>
              <w:rPr>
                <w:rFonts w:eastAsia="Calibri" w:cs="Segoe UI"/>
              </w:rPr>
              <w:t>in March 2023 and</w:t>
            </w:r>
            <w:r w:rsidRPr="00202D4E">
              <w:rPr>
                <w:rFonts w:eastAsia="Calibri" w:cs="Segoe UI"/>
              </w:rPr>
              <w:t xml:space="preserve"> </w:t>
            </w:r>
            <w:r>
              <w:rPr>
                <w:rFonts w:eastAsia="Calibri" w:cs="Segoe UI"/>
              </w:rPr>
              <w:t xml:space="preserve">is </w:t>
            </w:r>
            <w:r w:rsidRPr="00202D4E">
              <w:rPr>
                <w:rFonts w:eastAsia="Calibri" w:cs="Segoe UI"/>
              </w:rPr>
              <w:t>review</w:t>
            </w:r>
            <w:r>
              <w:rPr>
                <w:rFonts w:eastAsia="Calibri" w:cs="Segoe UI"/>
              </w:rPr>
              <w:t>ing</w:t>
            </w:r>
            <w:r w:rsidRPr="00202D4E">
              <w:rPr>
                <w:rFonts w:eastAsia="Calibri" w:cs="Segoe UI"/>
              </w:rPr>
              <w:t xml:space="preserve"> the </w:t>
            </w:r>
            <w:r>
              <w:rPr>
                <w:rFonts w:eastAsia="Calibri" w:cs="Segoe UI"/>
              </w:rPr>
              <w:t xml:space="preserve">report’s </w:t>
            </w:r>
            <w:r w:rsidRPr="00202D4E">
              <w:rPr>
                <w:rFonts w:eastAsia="Calibri" w:cs="Segoe UI"/>
              </w:rPr>
              <w:t xml:space="preserve">options to inform </w:t>
            </w:r>
            <w:r>
              <w:rPr>
                <w:rFonts w:eastAsia="Calibri" w:cs="Segoe UI"/>
              </w:rPr>
              <w:t xml:space="preserve">the feasibility of collecting </w:t>
            </w:r>
            <w:r w:rsidRPr="00202D4E">
              <w:rPr>
                <w:rFonts w:eastAsia="Calibri" w:cs="Segoe UI"/>
              </w:rPr>
              <w:t xml:space="preserve">such data </w:t>
            </w:r>
            <w:r>
              <w:rPr>
                <w:rFonts w:eastAsia="Calibri" w:cs="Segoe UI"/>
              </w:rPr>
              <w:t>in the future</w:t>
            </w:r>
            <w:r w:rsidRPr="00202D4E">
              <w:rPr>
                <w:rFonts w:eastAsia="Calibri" w:cs="Segoe UI"/>
              </w:rPr>
              <w:t xml:space="preserve">. </w:t>
            </w:r>
          </w:p>
          <w:p w14:paraId="157D308B" w14:textId="77777777" w:rsidR="0059468F" w:rsidRPr="005245C2" w:rsidRDefault="0059468F" w:rsidP="0059468F">
            <w:pPr>
              <w:keepNext/>
              <w:spacing w:before="80" w:after="80" w:line="240" w:lineRule="auto"/>
              <w:rPr>
                <w:rFonts w:eastAsia="Calibri" w:cs="Segoe UI"/>
              </w:rPr>
            </w:pPr>
            <w:r w:rsidRPr="00202D4E">
              <w:rPr>
                <w:rFonts w:eastAsia="Calibri" w:cs="Segoe UI"/>
              </w:rPr>
              <w:t xml:space="preserve">MPI currently collects sales data for antibiotic trade name products used on animals and plants. Once </w:t>
            </w:r>
            <w:r>
              <w:rPr>
                <w:rFonts w:eastAsia="Calibri" w:cs="Segoe UI"/>
              </w:rPr>
              <w:t xml:space="preserve">it has established </w:t>
            </w:r>
            <w:r w:rsidRPr="00202D4E">
              <w:rPr>
                <w:rFonts w:eastAsia="Calibri" w:cs="Segoe UI"/>
              </w:rPr>
              <w:t xml:space="preserve">capability for </w:t>
            </w:r>
            <w:r>
              <w:rPr>
                <w:rFonts w:eastAsia="Calibri" w:cs="Segoe UI"/>
              </w:rPr>
              <w:t xml:space="preserve">collecting </w:t>
            </w:r>
            <w:r w:rsidRPr="00202D4E">
              <w:rPr>
                <w:rFonts w:eastAsia="Calibri" w:cs="Segoe UI"/>
              </w:rPr>
              <w:t xml:space="preserve">antibiotic use data, MPI may report on both sales and use data for comprehensive monitoring of trends. </w:t>
            </w:r>
          </w:p>
        </w:tc>
      </w:tr>
      <w:tr w:rsidR="0059468F" w:rsidRPr="00CF595F" w14:paraId="6314DFB1" w14:textId="77777777" w:rsidTr="0059468F">
        <w:tc>
          <w:tcPr>
            <w:tcW w:w="3114" w:type="dxa"/>
          </w:tcPr>
          <w:p w14:paraId="0CF3D3D2" w14:textId="77777777" w:rsidR="0059468F" w:rsidRPr="00715D5A" w:rsidRDefault="0059468F" w:rsidP="0059468F">
            <w:pPr>
              <w:spacing w:before="80" w:after="80" w:line="240" w:lineRule="auto"/>
              <w:rPr>
                <w:rFonts w:cs="Segoe UI"/>
                <w:highlight w:val="yellow"/>
              </w:rPr>
            </w:pPr>
            <w:bookmarkStart w:id="5" w:name="_Hlk168843280"/>
            <w:r w:rsidRPr="006142F0">
              <w:rPr>
                <w:rFonts w:eastAsia="Calibri" w:cs="Segoe UI"/>
              </w:rPr>
              <w:t xml:space="preserve">1(d)(v) </w:t>
            </w:r>
            <w:r w:rsidRPr="006142F0">
              <w:rPr>
                <w:rFonts w:cs="Segoe UI"/>
                <w:szCs w:val="24"/>
              </w:rPr>
              <w:t>Ban direct-to-consumer advertising of antimicrobial medicines.</w:t>
            </w:r>
          </w:p>
        </w:tc>
        <w:tc>
          <w:tcPr>
            <w:tcW w:w="4966" w:type="dxa"/>
          </w:tcPr>
          <w:p w14:paraId="0111DCA9" w14:textId="77777777" w:rsidR="0059468F" w:rsidRPr="006142F0" w:rsidRDefault="0059468F" w:rsidP="0059468F">
            <w:pPr>
              <w:spacing w:before="80" w:after="80" w:line="240" w:lineRule="auto"/>
              <w:rPr>
                <w:rFonts w:eastAsia="Calibri" w:cs="Segoe UI"/>
              </w:rPr>
            </w:pPr>
            <w:r w:rsidRPr="006142F0">
              <w:rPr>
                <w:rFonts w:eastAsia="Calibri" w:cs="Segoe UI"/>
              </w:rPr>
              <w:t xml:space="preserve">The role of direct-to-consumer advertising of prescription medicines (DTCA-PM) was considered as part of the development of the Therapeutic Products Act 2023 (the TPA). With the TPA </w:t>
            </w:r>
            <w:r>
              <w:rPr>
                <w:rFonts w:eastAsia="Calibri" w:cs="Segoe UI"/>
              </w:rPr>
              <w:t>repealed in December 2024,</w:t>
            </w:r>
            <w:r w:rsidRPr="006142F0">
              <w:rPr>
                <w:rFonts w:eastAsia="Calibri" w:cs="Segoe UI"/>
              </w:rPr>
              <w:t xml:space="preserve"> </w:t>
            </w:r>
            <w:r>
              <w:rPr>
                <w:rFonts w:eastAsia="Calibri" w:cs="Segoe UI"/>
              </w:rPr>
              <w:t xml:space="preserve">it is likely </w:t>
            </w:r>
            <w:r w:rsidRPr="006142F0">
              <w:rPr>
                <w:rFonts w:eastAsia="Calibri" w:cs="Segoe UI"/>
              </w:rPr>
              <w:t xml:space="preserve">DTCA-PM will be considered as part of further work on </w:t>
            </w:r>
            <w:r>
              <w:rPr>
                <w:rFonts w:eastAsia="Calibri" w:cs="Segoe UI"/>
              </w:rPr>
              <w:t xml:space="preserve">the </w:t>
            </w:r>
            <w:r w:rsidRPr="006142F0">
              <w:rPr>
                <w:rFonts w:eastAsia="Calibri" w:cs="Segoe UI"/>
              </w:rPr>
              <w:t xml:space="preserve">future direction of </w:t>
            </w:r>
            <w:r>
              <w:rPr>
                <w:rFonts w:eastAsia="Calibri" w:cs="Segoe UI"/>
              </w:rPr>
              <w:t>regulating</w:t>
            </w:r>
            <w:r w:rsidRPr="006142F0">
              <w:rPr>
                <w:rFonts w:eastAsia="Calibri" w:cs="Segoe UI"/>
              </w:rPr>
              <w:t xml:space="preserve"> therapeutic products. </w:t>
            </w:r>
          </w:p>
          <w:p w14:paraId="45F85655" w14:textId="77777777" w:rsidR="0059468F" w:rsidRPr="00715D5A" w:rsidRDefault="0059468F" w:rsidP="0059468F">
            <w:pPr>
              <w:spacing w:before="80" w:after="80" w:line="240" w:lineRule="auto"/>
              <w:rPr>
                <w:rFonts w:eastAsia="Calibri" w:cs="Segoe UI"/>
                <w:highlight w:val="yellow"/>
              </w:rPr>
            </w:pPr>
            <w:r w:rsidRPr="006142F0">
              <w:rPr>
                <w:rFonts w:eastAsia="Calibri" w:cs="Segoe UI"/>
              </w:rPr>
              <w:t>MPI implemented a ban on the advertising of all registered veterinary medicine antibiotics in 2019.</w:t>
            </w:r>
          </w:p>
        </w:tc>
      </w:tr>
    </w:tbl>
    <w:p w14:paraId="32D68588" w14:textId="77777777" w:rsidR="0059468F" w:rsidRPr="0059468F" w:rsidRDefault="0059468F" w:rsidP="0059468F">
      <w:pPr>
        <w:pStyle w:val="Heading2"/>
      </w:pPr>
      <w:bookmarkStart w:id="6" w:name="_Toc190160816"/>
      <w:bookmarkStart w:id="7" w:name="_Hlk168843661"/>
      <w:bookmarkEnd w:id="5"/>
      <w:r w:rsidRPr="0059468F">
        <w:t>Theme 2: Develop an integrated surveillance and outbreak response system</w:t>
      </w:r>
      <w:bookmarkEnd w:id="6"/>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6"/>
      </w:tblGrid>
      <w:tr w:rsidR="0059468F" w:rsidRPr="0059468F" w14:paraId="22511860" w14:textId="77777777" w:rsidTr="0059468F">
        <w:trPr>
          <w:tblHeader/>
        </w:trPr>
        <w:tc>
          <w:tcPr>
            <w:tcW w:w="3114" w:type="dxa"/>
            <w:tcBorders>
              <w:top w:val="nil"/>
              <w:bottom w:val="nil"/>
            </w:tcBorders>
            <w:shd w:val="clear" w:color="auto" w:fill="D9D9D9" w:themeFill="background1" w:themeFillShade="D9"/>
          </w:tcPr>
          <w:p w14:paraId="6ACD9263"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Recommendation</w:t>
            </w:r>
          </w:p>
        </w:tc>
        <w:tc>
          <w:tcPr>
            <w:tcW w:w="4966" w:type="dxa"/>
            <w:tcBorders>
              <w:top w:val="nil"/>
              <w:bottom w:val="nil"/>
            </w:tcBorders>
            <w:shd w:val="clear" w:color="auto" w:fill="D9D9D9" w:themeFill="background1" w:themeFillShade="D9"/>
          </w:tcPr>
          <w:p w14:paraId="6B75D3F4"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Activity</w:t>
            </w:r>
          </w:p>
        </w:tc>
      </w:tr>
      <w:tr w:rsidR="0059468F" w:rsidRPr="00CF595F" w14:paraId="14327694" w14:textId="77777777" w:rsidTr="0059468F">
        <w:tc>
          <w:tcPr>
            <w:tcW w:w="3114" w:type="dxa"/>
            <w:tcBorders>
              <w:top w:val="nil"/>
            </w:tcBorders>
          </w:tcPr>
          <w:p w14:paraId="1C20E189" w14:textId="77777777" w:rsidR="0059468F" w:rsidRPr="0017044F" w:rsidRDefault="0059468F" w:rsidP="0059468F">
            <w:pPr>
              <w:spacing w:before="80" w:after="80" w:line="240" w:lineRule="auto"/>
              <w:rPr>
                <w:rFonts w:cs="Segoe UI"/>
                <w:szCs w:val="24"/>
              </w:rPr>
            </w:pPr>
            <w:r>
              <w:rPr>
                <w:rFonts w:eastAsia="Calibri" w:cs="Segoe UI"/>
              </w:rPr>
              <w:t xml:space="preserve">2(a)(i) </w:t>
            </w:r>
            <w:r w:rsidRPr="00EE39CA">
              <w:rPr>
                <w:rFonts w:cs="Segoe UI"/>
                <w:szCs w:val="24"/>
              </w:rPr>
              <w:t xml:space="preserve">Ensure the Institute of Environmental Science and Research (ESR) is resourced to coordinate an integrated surveillance system and diagnostic laboratories are supported to contribute, including retaining culturing capability and boosting whole </w:t>
            </w:r>
            <w:r w:rsidRPr="00EE39CA">
              <w:rPr>
                <w:rFonts w:cs="Segoe UI"/>
                <w:szCs w:val="24"/>
              </w:rPr>
              <w:lastRenderedPageBreak/>
              <w:t>genome sequencing (WGS) capability.</w:t>
            </w:r>
          </w:p>
        </w:tc>
        <w:tc>
          <w:tcPr>
            <w:tcW w:w="4966" w:type="dxa"/>
            <w:tcBorders>
              <w:top w:val="nil"/>
            </w:tcBorders>
          </w:tcPr>
          <w:p w14:paraId="34790343" w14:textId="77777777" w:rsidR="0059468F" w:rsidRPr="00571ACF" w:rsidRDefault="0059468F" w:rsidP="0059468F">
            <w:pPr>
              <w:spacing w:before="80" w:after="80" w:line="240" w:lineRule="auto"/>
              <w:rPr>
                <w:rFonts w:eastAsia="Calibri" w:cs="Segoe UI"/>
              </w:rPr>
            </w:pPr>
            <w:r w:rsidRPr="00571ACF">
              <w:rPr>
                <w:rFonts w:eastAsia="Calibri" w:cs="Segoe UI"/>
              </w:rPr>
              <w:lastRenderedPageBreak/>
              <w:t xml:space="preserve">Public health intelligence, surveillance and knowledge is one of the </w:t>
            </w:r>
            <w:r>
              <w:rPr>
                <w:rFonts w:eastAsia="Calibri" w:cs="Segoe UI"/>
              </w:rPr>
              <w:t>main</w:t>
            </w:r>
            <w:r w:rsidRPr="00571ACF">
              <w:rPr>
                <w:rFonts w:eastAsia="Calibri" w:cs="Segoe UI"/>
              </w:rPr>
              <w:t xml:space="preserve"> functions of the </w:t>
            </w:r>
            <w:r>
              <w:rPr>
                <w:rFonts w:eastAsia="Calibri" w:cs="Segoe UI"/>
              </w:rPr>
              <w:t>Public Health Agency (</w:t>
            </w:r>
            <w:r w:rsidRPr="00571ACF">
              <w:rPr>
                <w:rFonts w:eastAsia="Calibri" w:cs="Segoe UI"/>
              </w:rPr>
              <w:t>PHA</w:t>
            </w:r>
            <w:r>
              <w:rPr>
                <w:rFonts w:eastAsia="Calibri" w:cs="Segoe UI"/>
              </w:rPr>
              <w:t>),</w:t>
            </w:r>
            <w:r w:rsidRPr="00571ACF">
              <w:rPr>
                <w:rFonts w:eastAsia="Calibri" w:cs="Segoe UI"/>
              </w:rPr>
              <w:t xml:space="preserve"> </w:t>
            </w:r>
            <w:r>
              <w:rPr>
                <w:rFonts w:eastAsia="Calibri" w:cs="Segoe UI"/>
              </w:rPr>
              <w:t xml:space="preserve">which was </w:t>
            </w:r>
            <w:r w:rsidRPr="00571ACF">
              <w:rPr>
                <w:rFonts w:eastAsia="Calibri" w:cs="Segoe UI"/>
              </w:rPr>
              <w:t xml:space="preserve">established within the </w:t>
            </w:r>
            <w:r>
              <w:rPr>
                <w:rFonts w:eastAsia="Calibri" w:cs="Segoe UI"/>
              </w:rPr>
              <w:t>Ministry of Health</w:t>
            </w:r>
            <w:r w:rsidRPr="00571ACF">
              <w:rPr>
                <w:rFonts w:eastAsia="Calibri" w:cs="Segoe UI"/>
              </w:rPr>
              <w:t xml:space="preserve"> as part of the </w:t>
            </w:r>
            <w:r>
              <w:rPr>
                <w:rFonts w:eastAsia="Calibri" w:cs="Segoe UI"/>
              </w:rPr>
              <w:t xml:space="preserve">2022 </w:t>
            </w:r>
            <w:r w:rsidRPr="00571ACF">
              <w:rPr>
                <w:rFonts w:eastAsia="Calibri" w:cs="Segoe UI"/>
              </w:rPr>
              <w:t>health and disability reforms. The PHA is working with</w:t>
            </w:r>
            <w:r>
              <w:rPr>
                <w:rFonts w:eastAsia="Calibri" w:cs="Segoe UI"/>
              </w:rPr>
              <w:t xml:space="preserve"> the Institute of</w:t>
            </w:r>
            <w:r w:rsidRPr="00571ACF">
              <w:rPr>
                <w:rFonts w:eastAsia="Calibri" w:cs="Segoe UI"/>
              </w:rPr>
              <w:t xml:space="preserve"> </w:t>
            </w:r>
            <w:r>
              <w:rPr>
                <w:rFonts w:eastAsia="Calibri" w:cs="Segoe UI"/>
              </w:rPr>
              <w:t>Environmental Science and Research (</w:t>
            </w:r>
            <w:r w:rsidRPr="00571ACF">
              <w:rPr>
                <w:rFonts w:eastAsia="Calibri" w:cs="Segoe UI"/>
              </w:rPr>
              <w:t>ESR</w:t>
            </w:r>
            <w:r>
              <w:rPr>
                <w:rFonts w:eastAsia="Calibri" w:cs="Segoe UI"/>
              </w:rPr>
              <w:t>)</w:t>
            </w:r>
            <w:r w:rsidRPr="00571ACF">
              <w:rPr>
                <w:rFonts w:eastAsia="Calibri" w:cs="Segoe UI"/>
              </w:rPr>
              <w:t xml:space="preserve"> </w:t>
            </w:r>
            <w:r>
              <w:rPr>
                <w:rFonts w:eastAsia="Calibri" w:cs="Segoe UI"/>
              </w:rPr>
              <w:t>to ensure</w:t>
            </w:r>
            <w:r w:rsidRPr="00571ACF">
              <w:rPr>
                <w:rFonts w:eastAsia="Calibri" w:cs="Segoe UI"/>
              </w:rPr>
              <w:t xml:space="preserve"> a sustainable and integrated surveillance system, including the role of laboratories. Extra </w:t>
            </w:r>
            <w:r>
              <w:rPr>
                <w:rFonts w:eastAsia="Calibri" w:cs="Segoe UI"/>
              </w:rPr>
              <w:t xml:space="preserve">operational </w:t>
            </w:r>
            <w:r w:rsidRPr="00571ACF">
              <w:rPr>
                <w:rFonts w:eastAsia="Calibri" w:cs="Segoe UI"/>
              </w:rPr>
              <w:t xml:space="preserve">capacity </w:t>
            </w:r>
            <w:r>
              <w:rPr>
                <w:rFonts w:eastAsia="Calibri" w:cs="Segoe UI"/>
              </w:rPr>
              <w:t>for</w:t>
            </w:r>
            <w:r w:rsidRPr="00571ACF">
              <w:rPr>
                <w:rFonts w:eastAsia="Calibri" w:cs="Segoe UI"/>
              </w:rPr>
              <w:t xml:space="preserve"> </w:t>
            </w:r>
            <w:r>
              <w:rPr>
                <w:rFonts w:eastAsia="Calibri" w:cs="Segoe UI"/>
              </w:rPr>
              <w:t xml:space="preserve">whole genome sequencing (WGS) </w:t>
            </w:r>
            <w:r w:rsidRPr="00571ACF">
              <w:rPr>
                <w:rFonts w:eastAsia="Calibri" w:cs="Segoe UI"/>
              </w:rPr>
              <w:t xml:space="preserve">and capital </w:t>
            </w:r>
            <w:r w:rsidRPr="00571ACF">
              <w:rPr>
                <w:rFonts w:eastAsia="Calibri" w:cs="Segoe UI"/>
              </w:rPr>
              <w:lastRenderedPageBreak/>
              <w:t xml:space="preserve">investment in a new purpose-built laboratory was initiated during the COVID-19 response. We continue to have robust annual reporting, monitoring </w:t>
            </w:r>
            <w:r>
              <w:rPr>
                <w:rFonts w:eastAsia="Calibri" w:cs="Segoe UI"/>
              </w:rPr>
              <w:t xml:space="preserve">of </w:t>
            </w:r>
            <w:r w:rsidRPr="00571ACF">
              <w:rPr>
                <w:rFonts w:eastAsia="Calibri" w:cs="Segoe UI"/>
              </w:rPr>
              <w:t>emerging threats and outbreaks, and point prevalence surveys to further help characterise trends.</w:t>
            </w:r>
          </w:p>
          <w:p w14:paraId="1C85C745" w14:textId="7B330912" w:rsidR="0059468F" w:rsidRPr="00571ACF" w:rsidRDefault="0059468F" w:rsidP="0059468F">
            <w:pPr>
              <w:spacing w:before="80" w:after="80" w:line="240" w:lineRule="auto"/>
              <w:rPr>
                <w:rFonts w:eastAsia="Calibri" w:cs="Segoe UI"/>
              </w:rPr>
            </w:pPr>
            <w:r w:rsidRPr="00571ACF">
              <w:rPr>
                <w:rFonts w:eastAsia="Calibri" w:cs="Segoe UI"/>
              </w:rPr>
              <w:t xml:space="preserve">The Public Health Surveillance </w:t>
            </w:r>
            <w:r w:rsidR="00560F23">
              <w:rPr>
                <w:rFonts w:eastAsia="Calibri" w:cs="Segoe UI"/>
              </w:rPr>
              <w:t>Strategy 2025-2030 was published in February 2025</w:t>
            </w:r>
            <w:r w:rsidR="00560F23">
              <w:rPr>
                <w:rStyle w:val="FootnoteReference"/>
                <w:rFonts w:eastAsia="Calibri" w:cs="Segoe UI"/>
              </w:rPr>
              <w:footnoteReference w:id="4"/>
            </w:r>
            <w:r>
              <w:rPr>
                <w:rFonts w:eastAsia="Calibri" w:cs="Segoe UI"/>
              </w:rPr>
              <w:t xml:space="preserve">. </w:t>
            </w:r>
            <w:r w:rsidR="004C6D27">
              <w:rPr>
                <w:rFonts w:eastAsia="Calibri" w:cs="Segoe UI"/>
              </w:rPr>
              <w:t>The Strategy identifies</w:t>
            </w:r>
            <w:r w:rsidR="004C6D27" w:rsidRPr="00571ACF">
              <w:rPr>
                <w:rFonts w:eastAsia="Calibri" w:cs="Segoe UI"/>
              </w:rPr>
              <w:t xml:space="preserve"> </w:t>
            </w:r>
            <w:r w:rsidR="004C6D27">
              <w:rPr>
                <w:rFonts w:eastAsia="Calibri" w:cs="Segoe UI"/>
              </w:rPr>
              <w:t>four</w:t>
            </w:r>
            <w:r>
              <w:rPr>
                <w:rFonts w:eastAsia="Calibri" w:cs="Segoe UI"/>
              </w:rPr>
              <w:t xml:space="preserve"> </w:t>
            </w:r>
            <w:r w:rsidRPr="00571ACF">
              <w:rPr>
                <w:rFonts w:eastAsia="Calibri" w:cs="Segoe UI"/>
              </w:rPr>
              <w:t>strategic directions to drive progressive action over the next five years</w:t>
            </w:r>
            <w:r>
              <w:rPr>
                <w:rFonts w:eastAsia="Calibri" w:cs="Segoe UI"/>
              </w:rPr>
              <w:t xml:space="preserve">. By </w:t>
            </w:r>
            <w:r w:rsidRPr="00571ACF">
              <w:rPr>
                <w:rFonts w:eastAsia="Calibri" w:cs="Segoe UI"/>
              </w:rPr>
              <w:t xml:space="preserve">strengthening the </w:t>
            </w:r>
            <w:r w:rsidR="004C6D27">
              <w:rPr>
                <w:rFonts w:eastAsia="Calibri" w:cs="Segoe UI"/>
              </w:rPr>
              <w:t xml:space="preserve">public health </w:t>
            </w:r>
            <w:r w:rsidRPr="00571ACF">
              <w:rPr>
                <w:rFonts w:eastAsia="Calibri" w:cs="Segoe UI"/>
              </w:rPr>
              <w:t xml:space="preserve">surveillance system </w:t>
            </w:r>
            <w:r w:rsidR="004C6D27">
              <w:rPr>
                <w:rFonts w:eastAsia="Calibri" w:cs="Segoe UI"/>
              </w:rPr>
              <w:t>this will</w:t>
            </w:r>
            <w:r w:rsidRPr="00571ACF">
              <w:rPr>
                <w:rFonts w:eastAsia="Calibri" w:cs="Segoe UI"/>
              </w:rPr>
              <w:t xml:space="preserve"> </w:t>
            </w:r>
            <w:r>
              <w:rPr>
                <w:rFonts w:eastAsia="Calibri" w:cs="Segoe UI"/>
              </w:rPr>
              <w:t>enable</w:t>
            </w:r>
            <w:r w:rsidRPr="00571ACF">
              <w:rPr>
                <w:rFonts w:eastAsia="Calibri" w:cs="Segoe UI"/>
              </w:rPr>
              <w:t xml:space="preserve"> improved national surveillance of AMR</w:t>
            </w:r>
            <w:r>
              <w:rPr>
                <w:rFonts w:eastAsia="Calibri" w:cs="Segoe UI"/>
              </w:rPr>
              <w:t xml:space="preserve"> in the future</w:t>
            </w:r>
            <w:r w:rsidRPr="00571ACF">
              <w:rPr>
                <w:rFonts w:eastAsia="Calibri" w:cs="Segoe UI"/>
              </w:rPr>
              <w:t xml:space="preserve">. </w:t>
            </w:r>
          </w:p>
          <w:p w14:paraId="00B3FE61" w14:textId="77777777" w:rsidR="0059468F" w:rsidRPr="00CF595F" w:rsidRDefault="0059468F" w:rsidP="0059468F">
            <w:pPr>
              <w:spacing w:before="80" w:after="80" w:line="240" w:lineRule="auto"/>
              <w:rPr>
                <w:rFonts w:eastAsia="Calibri" w:cs="Segoe UI"/>
              </w:rPr>
            </w:pPr>
            <w:r w:rsidRPr="00571ACF">
              <w:rPr>
                <w:rFonts w:eastAsia="Calibri" w:cs="Segoe UI"/>
              </w:rPr>
              <w:t xml:space="preserve">MPI also works with ESR on AMR surveillance in animals </w:t>
            </w:r>
            <w:r>
              <w:rPr>
                <w:rFonts w:eastAsia="Calibri" w:cs="Segoe UI"/>
              </w:rPr>
              <w:t xml:space="preserve">and </w:t>
            </w:r>
            <w:r w:rsidRPr="00571ACF">
              <w:rPr>
                <w:rFonts w:eastAsia="Calibri" w:cs="Segoe UI"/>
              </w:rPr>
              <w:t xml:space="preserve">genetic analyses of AMR in zoonotic pathogens associated with these species. </w:t>
            </w:r>
          </w:p>
        </w:tc>
      </w:tr>
      <w:bookmarkEnd w:id="7"/>
      <w:tr w:rsidR="0059468F" w:rsidRPr="00CF595F" w14:paraId="0674BBB2" w14:textId="77777777" w:rsidTr="0059468F">
        <w:tc>
          <w:tcPr>
            <w:tcW w:w="3114" w:type="dxa"/>
          </w:tcPr>
          <w:p w14:paraId="6EFBCD1A" w14:textId="77777777" w:rsidR="0059468F" w:rsidRDefault="0059468F" w:rsidP="0059468F">
            <w:pPr>
              <w:spacing w:before="80" w:after="80" w:line="240" w:lineRule="auto"/>
              <w:rPr>
                <w:rFonts w:eastAsia="Calibri" w:cs="Segoe UI"/>
              </w:rPr>
            </w:pPr>
            <w:r>
              <w:rPr>
                <w:rFonts w:eastAsia="Calibri" w:cs="Segoe UI"/>
              </w:rPr>
              <w:lastRenderedPageBreak/>
              <w:t>2(b) Enhance outbreak response</w:t>
            </w:r>
          </w:p>
        </w:tc>
        <w:tc>
          <w:tcPr>
            <w:tcW w:w="4966" w:type="dxa"/>
          </w:tcPr>
          <w:p w14:paraId="4CF852C5" w14:textId="77777777" w:rsidR="0059468F" w:rsidRPr="00AE2904" w:rsidRDefault="0059468F" w:rsidP="0059468F">
            <w:pPr>
              <w:spacing w:before="80" w:after="80" w:line="240" w:lineRule="auto"/>
              <w:rPr>
                <w:rFonts w:eastAsia="Calibri" w:cs="Segoe UI"/>
                <w:szCs w:val="24"/>
              </w:rPr>
            </w:pPr>
            <w:r>
              <w:rPr>
                <w:rFonts w:eastAsia="Calibri" w:cs="Segoe UI"/>
              </w:rPr>
              <w:t xml:space="preserve">Building on </w:t>
            </w:r>
            <w:r w:rsidRPr="009F1D21">
              <w:rPr>
                <w:rFonts w:eastAsia="Calibri" w:cs="Segoe UI"/>
                <w:szCs w:val="24"/>
              </w:rPr>
              <w:t>lessons from the COVID-19 response</w:t>
            </w:r>
            <w:r>
              <w:rPr>
                <w:rFonts w:eastAsia="Calibri" w:cs="Segoe UI"/>
                <w:szCs w:val="24"/>
              </w:rPr>
              <w:t xml:space="preserve"> and </w:t>
            </w:r>
            <w:r w:rsidRPr="009F1D21">
              <w:rPr>
                <w:rFonts w:eastAsia="Calibri" w:cs="Segoe UI"/>
                <w:szCs w:val="24"/>
              </w:rPr>
              <w:t xml:space="preserve">improving </w:t>
            </w:r>
            <w:r>
              <w:rPr>
                <w:rFonts w:eastAsia="Calibri" w:cs="Segoe UI"/>
                <w:szCs w:val="24"/>
              </w:rPr>
              <w:t xml:space="preserve">the </w:t>
            </w:r>
            <w:r w:rsidRPr="009F1D21">
              <w:rPr>
                <w:rFonts w:eastAsia="Calibri" w:cs="Segoe UI"/>
                <w:szCs w:val="24"/>
              </w:rPr>
              <w:t xml:space="preserve">planning and response to infectious disease outbreaks is a </w:t>
            </w:r>
            <w:r>
              <w:rPr>
                <w:rFonts w:eastAsia="Calibri" w:cs="Segoe UI"/>
                <w:szCs w:val="24"/>
              </w:rPr>
              <w:t>main</w:t>
            </w:r>
            <w:r w:rsidRPr="009F1D21">
              <w:rPr>
                <w:rFonts w:eastAsia="Calibri" w:cs="Segoe UI"/>
                <w:szCs w:val="24"/>
              </w:rPr>
              <w:t xml:space="preserve"> focus </w:t>
            </w:r>
            <w:r>
              <w:rPr>
                <w:rFonts w:eastAsia="Calibri" w:cs="Segoe UI"/>
                <w:szCs w:val="24"/>
              </w:rPr>
              <w:t>for</w:t>
            </w:r>
            <w:r w:rsidRPr="009F1D21">
              <w:rPr>
                <w:rFonts w:eastAsia="Calibri" w:cs="Segoe UI"/>
                <w:szCs w:val="24"/>
              </w:rPr>
              <w:t xml:space="preserve"> the reformed health system</w:t>
            </w:r>
            <w:r>
              <w:rPr>
                <w:rFonts w:eastAsia="Calibri" w:cs="Segoe UI"/>
                <w:szCs w:val="24"/>
              </w:rPr>
              <w:t xml:space="preserve">. It is also </w:t>
            </w:r>
            <w:r w:rsidRPr="009F1D21">
              <w:rPr>
                <w:rFonts w:eastAsia="Calibri" w:cs="Segoe UI"/>
                <w:szCs w:val="24"/>
              </w:rPr>
              <w:t xml:space="preserve">a key role </w:t>
            </w:r>
            <w:r>
              <w:rPr>
                <w:rFonts w:eastAsia="Calibri" w:cs="Segoe UI"/>
                <w:szCs w:val="24"/>
              </w:rPr>
              <w:t>for</w:t>
            </w:r>
            <w:r w:rsidRPr="009F1D21">
              <w:rPr>
                <w:rFonts w:eastAsia="Calibri" w:cs="Segoe UI"/>
                <w:szCs w:val="24"/>
              </w:rPr>
              <w:t xml:space="preserve"> the Public Health Agency and the</w:t>
            </w:r>
            <w:r>
              <w:rPr>
                <w:rFonts w:eastAsia="Calibri" w:cs="Segoe UI"/>
              </w:rPr>
              <w:t xml:space="preserve"> </w:t>
            </w:r>
            <w:r w:rsidRPr="009F1D21">
              <w:rPr>
                <w:rFonts w:eastAsia="Calibri" w:cs="Segoe UI"/>
                <w:szCs w:val="24"/>
              </w:rPr>
              <w:t>National Public Health Service (NPHS)</w:t>
            </w:r>
            <w:r>
              <w:rPr>
                <w:rFonts w:eastAsia="Calibri" w:cs="Segoe UI"/>
                <w:szCs w:val="24"/>
              </w:rPr>
              <w:t xml:space="preserve"> within Health NZ</w:t>
            </w:r>
            <w:r w:rsidRPr="009F1D21">
              <w:rPr>
                <w:rFonts w:eastAsia="Calibri" w:cs="Segoe UI"/>
                <w:szCs w:val="24"/>
              </w:rPr>
              <w:t xml:space="preserve">. The NPHS </w:t>
            </w:r>
            <w:r>
              <w:rPr>
                <w:rFonts w:eastAsia="Calibri" w:cs="Segoe UI"/>
                <w:szCs w:val="24"/>
              </w:rPr>
              <w:t>unites</w:t>
            </w:r>
            <w:r w:rsidRPr="009F1D21">
              <w:rPr>
                <w:rFonts w:eastAsia="Calibri" w:cs="Segoe UI"/>
                <w:szCs w:val="24"/>
              </w:rPr>
              <w:t xml:space="preserve"> </w:t>
            </w:r>
            <w:r>
              <w:rPr>
                <w:rFonts w:eastAsia="Calibri" w:cs="Segoe UI"/>
                <w:szCs w:val="24"/>
              </w:rPr>
              <w:t xml:space="preserve">the former </w:t>
            </w:r>
            <w:r w:rsidRPr="009F1D21">
              <w:rPr>
                <w:rFonts w:eastAsia="Calibri" w:cs="Segoe UI"/>
                <w:szCs w:val="24"/>
              </w:rPr>
              <w:t xml:space="preserve">public health units into a single operational service </w:t>
            </w:r>
            <w:r>
              <w:rPr>
                <w:rFonts w:eastAsia="Calibri" w:cs="Segoe UI"/>
                <w:szCs w:val="24"/>
              </w:rPr>
              <w:t xml:space="preserve">to enable </w:t>
            </w:r>
            <w:r w:rsidRPr="009F1D21">
              <w:rPr>
                <w:rFonts w:eastAsia="Calibri" w:cs="Segoe UI"/>
                <w:szCs w:val="24"/>
              </w:rPr>
              <w:t xml:space="preserve">better coordination of public health services and responses to threats </w:t>
            </w:r>
            <w:r w:rsidRPr="00322E4B">
              <w:rPr>
                <w:rFonts w:eastAsia="Calibri" w:cs="Segoe UI"/>
                <w:szCs w:val="24"/>
              </w:rPr>
              <w:t xml:space="preserve">and hazards including communicable disease outbreaks. The NPHS has a dedicated National Protection </w:t>
            </w:r>
            <w:r>
              <w:rPr>
                <w:rFonts w:eastAsia="Calibri" w:cs="Segoe UI"/>
                <w:szCs w:val="24"/>
              </w:rPr>
              <w:t>D</w:t>
            </w:r>
            <w:r w:rsidRPr="00322E4B">
              <w:rPr>
                <w:rFonts w:eastAsia="Calibri" w:cs="Segoe UI"/>
                <w:szCs w:val="24"/>
              </w:rPr>
              <w:t>irectorate</w:t>
            </w:r>
            <w:r>
              <w:rPr>
                <w:rFonts w:eastAsia="Calibri" w:cs="Segoe UI"/>
                <w:szCs w:val="24"/>
              </w:rPr>
              <w:t xml:space="preserve"> responsible for protecting populations against health threats and communicable disease, and responding to national and regional public health emergencies. </w:t>
            </w:r>
          </w:p>
          <w:p w14:paraId="37FD2B59" w14:textId="77777777" w:rsidR="0059468F" w:rsidRDefault="0059468F" w:rsidP="0059468F">
            <w:pPr>
              <w:spacing w:before="80" w:after="80" w:line="240" w:lineRule="auto"/>
              <w:rPr>
                <w:rFonts w:eastAsia="Calibri" w:cs="Segoe UI"/>
              </w:rPr>
            </w:pPr>
            <w:r>
              <w:rPr>
                <w:rFonts w:eastAsia="Calibri" w:cs="Segoe UI"/>
              </w:rPr>
              <w:t>MPI is working with the Ministry of Health on updating existing systems to include potential AMR threats to human health when it needs to inform the Ministry of Health of these.</w:t>
            </w:r>
          </w:p>
        </w:tc>
      </w:tr>
    </w:tbl>
    <w:p w14:paraId="1E9C87BA" w14:textId="77777777" w:rsidR="0059468F" w:rsidRDefault="0059468F" w:rsidP="0059468F">
      <w:pPr>
        <w:pStyle w:val="Heading2"/>
        <w:spacing w:before="360"/>
        <w:rPr>
          <w:sz w:val="36"/>
          <w:szCs w:val="36"/>
        </w:rPr>
        <w:sectPr w:rsidR="0059468F" w:rsidSect="003309CA">
          <w:headerReference w:type="default" r:id="rId23"/>
          <w:footerReference w:type="even" r:id="rId24"/>
          <w:footerReference w:type="default" r:id="rId25"/>
          <w:pgSz w:w="11907" w:h="16834" w:code="9"/>
          <w:pgMar w:top="1418" w:right="1701" w:bottom="1134" w:left="1843" w:header="284" w:footer="425" w:gutter="284"/>
          <w:pgNumType w:start="1"/>
          <w:cols w:space="720"/>
        </w:sectPr>
      </w:pPr>
    </w:p>
    <w:p w14:paraId="47513E48" w14:textId="0ACABC0A" w:rsidR="0059468F" w:rsidRPr="0059468F" w:rsidRDefault="0059468F" w:rsidP="0059468F">
      <w:pPr>
        <w:pStyle w:val="Heading2"/>
        <w:spacing w:before="0"/>
      </w:pPr>
      <w:bookmarkStart w:id="8" w:name="_Toc190160817"/>
      <w:r w:rsidRPr="0059468F">
        <w:lastRenderedPageBreak/>
        <w:t>Theme 3: Strengthen infection prevention and control</w:t>
      </w:r>
      <w:bookmarkEnd w:id="8"/>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6"/>
      </w:tblGrid>
      <w:tr w:rsidR="0059468F" w:rsidRPr="0059468F" w14:paraId="453169AE" w14:textId="77777777" w:rsidTr="0059468F">
        <w:trPr>
          <w:tblHeader/>
        </w:trPr>
        <w:tc>
          <w:tcPr>
            <w:tcW w:w="3114" w:type="dxa"/>
            <w:tcBorders>
              <w:top w:val="nil"/>
              <w:bottom w:val="nil"/>
            </w:tcBorders>
            <w:shd w:val="clear" w:color="auto" w:fill="D9D9D9" w:themeFill="background1" w:themeFillShade="D9"/>
          </w:tcPr>
          <w:p w14:paraId="12CF26DA"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Recommendation</w:t>
            </w:r>
          </w:p>
        </w:tc>
        <w:tc>
          <w:tcPr>
            <w:tcW w:w="4966" w:type="dxa"/>
            <w:tcBorders>
              <w:top w:val="nil"/>
              <w:bottom w:val="nil"/>
            </w:tcBorders>
            <w:shd w:val="clear" w:color="auto" w:fill="D9D9D9" w:themeFill="background1" w:themeFillShade="D9"/>
          </w:tcPr>
          <w:p w14:paraId="301232BE" w14:textId="77777777" w:rsidR="0059468F" w:rsidRPr="0059468F" w:rsidRDefault="0059468F" w:rsidP="0059468F">
            <w:pPr>
              <w:spacing w:before="80" w:after="80" w:line="240" w:lineRule="auto"/>
              <w:rPr>
                <w:rFonts w:eastAsia="Calibri" w:cs="Segoe UI"/>
                <w:b/>
                <w:bCs/>
                <w:szCs w:val="21"/>
              </w:rPr>
            </w:pPr>
            <w:r w:rsidRPr="0059468F">
              <w:rPr>
                <w:rFonts w:eastAsia="Calibri" w:cs="Segoe UI"/>
                <w:b/>
                <w:bCs/>
                <w:szCs w:val="21"/>
              </w:rPr>
              <w:t>Activity</w:t>
            </w:r>
          </w:p>
        </w:tc>
      </w:tr>
      <w:tr w:rsidR="0059468F" w:rsidRPr="00CF595F" w14:paraId="58D1F18D" w14:textId="77777777" w:rsidTr="0059468F">
        <w:tc>
          <w:tcPr>
            <w:tcW w:w="3114" w:type="dxa"/>
            <w:tcBorders>
              <w:top w:val="nil"/>
            </w:tcBorders>
          </w:tcPr>
          <w:p w14:paraId="13B01D11"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3(a)</w:t>
            </w:r>
            <w:r w:rsidRPr="0059468F">
              <w:rPr>
                <w:rFonts w:cs="Segoe UI"/>
                <w:bCs/>
                <w:i/>
                <w:iCs/>
                <w:szCs w:val="21"/>
              </w:rPr>
              <w:t xml:space="preserve"> </w:t>
            </w:r>
            <w:r w:rsidRPr="0059468F">
              <w:rPr>
                <w:rFonts w:cs="Segoe UI"/>
                <w:bCs/>
                <w:szCs w:val="21"/>
              </w:rPr>
              <w:t>Develop a coordinated national</w:t>
            </w:r>
            <w:r w:rsidRPr="0059468F">
              <w:rPr>
                <w:rFonts w:cs="Segoe UI"/>
                <w:bCs/>
                <w:i/>
                <w:iCs/>
                <w:szCs w:val="21"/>
              </w:rPr>
              <w:t xml:space="preserve"> </w:t>
            </w:r>
            <w:r w:rsidRPr="0059468F">
              <w:rPr>
                <w:rFonts w:cs="Segoe UI"/>
                <w:bCs/>
                <w:szCs w:val="21"/>
              </w:rPr>
              <w:t>approach to IPC to provide overarching governance and leadership.</w:t>
            </w:r>
          </w:p>
        </w:tc>
        <w:tc>
          <w:tcPr>
            <w:tcW w:w="4966" w:type="dxa"/>
            <w:tcBorders>
              <w:top w:val="nil"/>
            </w:tcBorders>
          </w:tcPr>
          <w:p w14:paraId="6657DB62" w14:textId="77777777" w:rsidR="0059468F" w:rsidRPr="0059468F" w:rsidRDefault="0059468F" w:rsidP="0059468F">
            <w:pPr>
              <w:spacing w:before="80" w:after="80" w:line="240" w:lineRule="auto"/>
              <w:rPr>
                <w:rFonts w:cs="Segoe UI"/>
                <w:szCs w:val="21"/>
              </w:rPr>
            </w:pPr>
            <w:r w:rsidRPr="0059468F">
              <w:rPr>
                <w:rFonts w:cs="Segoe UI"/>
                <w:szCs w:val="21"/>
              </w:rPr>
              <w:t xml:space="preserve">The Infectious Services Clinical Network established by Health NZ will support national initiatives and leadership in infection prevention and control (IPC). </w:t>
            </w:r>
          </w:p>
          <w:p w14:paraId="2840CBAA"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Examples of national approaches implemented by Health NZ include the development of guidance for multidrug resistant organism admission screening and hospital placement; and an IPC assessment tool for multidrug resistant organism outbreak readiness.</w:t>
            </w:r>
          </w:p>
        </w:tc>
      </w:tr>
      <w:tr w:rsidR="0059468F" w:rsidRPr="00CF595F" w14:paraId="16313C14" w14:textId="77777777" w:rsidTr="0059468F">
        <w:tc>
          <w:tcPr>
            <w:tcW w:w="3114" w:type="dxa"/>
          </w:tcPr>
          <w:p w14:paraId="092CA24A"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3(b) </w:t>
            </w:r>
            <w:r w:rsidRPr="0059468F">
              <w:rPr>
                <w:rFonts w:cs="Segoe UI"/>
                <w:bCs/>
                <w:szCs w:val="21"/>
              </w:rPr>
              <w:t>Strengthen and expand standards related to IPC.</w:t>
            </w:r>
          </w:p>
        </w:tc>
        <w:tc>
          <w:tcPr>
            <w:tcW w:w="4966" w:type="dxa"/>
          </w:tcPr>
          <w:p w14:paraId="0273F72C" w14:textId="05166899" w:rsidR="0059468F" w:rsidRPr="0059468F" w:rsidRDefault="0059468F" w:rsidP="0059468F">
            <w:pPr>
              <w:spacing w:before="80" w:after="80" w:line="240" w:lineRule="auto"/>
              <w:rPr>
                <w:rFonts w:eastAsia="Calibri" w:cs="Segoe UI"/>
                <w:szCs w:val="21"/>
              </w:rPr>
            </w:pPr>
            <w:r w:rsidRPr="0059468F">
              <w:rPr>
                <w:rFonts w:eastAsia="Calibri" w:cs="Segoe UI"/>
                <w:szCs w:val="21"/>
              </w:rPr>
              <w:t>After an extensive review and update process, the</w:t>
            </w:r>
            <w:r>
              <w:rPr>
                <w:rFonts w:eastAsia="Calibri" w:cs="Segoe UI"/>
                <w:szCs w:val="21"/>
              </w:rPr>
              <w:t xml:space="preserve"> </w:t>
            </w:r>
            <w:r w:rsidRPr="0059468F">
              <w:rPr>
                <w:rFonts w:eastAsia="Calibri" w:cs="Segoe UI"/>
                <w:szCs w:val="21"/>
              </w:rPr>
              <w:t xml:space="preserve"> Ngā Paerewa Health and Disability Services Standards took effect in February 2022. The new standards included revised standards for Infection Prevention and Antimicrobial Stewardship.</w:t>
            </w:r>
          </w:p>
          <w:p w14:paraId="225446EA"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In response to a localised rise in Vancomycin-resistant Enterococci (VRE) cases, Health NZ published infection prevention and control guidelines for VRE in April 2024.  </w:t>
            </w:r>
          </w:p>
        </w:tc>
      </w:tr>
      <w:tr w:rsidR="0059468F" w:rsidRPr="00CF595F" w14:paraId="0304E342" w14:textId="77777777" w:rsidTr="0059468F">
        <w:tc>
          <w:tcPr>
            <w:tcW w:w="3114" w:type="dxa"/>
          </w:tcPr>
          <w:p w14:paraId="79DA8029"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3(c)(viii) </w:t>
            </w:r>
            <w:r w:rsidRPr="0059468F">
              <w:rPr>
                <w:rFonts w:cs="Segoe UI"/>
                <w:szCs w:val="21"/>
              </w:rPr>
              <w:t>Support farmers to implement alternatives to antimicrobials, such as for dry cow therapy and treatment of necrotic enteritis in poultry.</w:t>
            </w:r>
          </w:p>
        </w:tc>
        <w:tc>
          <w:tcPr>
            <w:tcW w:w="4966" w:type="dxa"/>
          </w:tcPr>
          <w:p w14:paraId="4E73AE3D"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MPI has acquired technical expertise and outreach and training resources on the use of existing antibiotic alternatives to prevent and treat bacterial diseases. These new resources will inform and educate veterinarians, farmers and industry in the use of antibiotic alternatives.</w:t>
            </w:r>
          </w:p>
          <w:p w14:paraId="07BCF90A"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Support is likely to include information sharing on infection prevention and control, given that a limited number of antibiotic alternatives are currently available.</w:t>
            </w:r>
          </w:p>
          <w:p w14:paraId="67BE1A53"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To date, MPI has promoted these activities through its Antimicrobial Resistance Coordination Group (AMRCG) and the Mastitis Advisory Council. MPI provides the secretariat and experts from various business units for the Mastitis Advisory Council, with best practice recommendations for mastitis management promoted via experts and industry groups.</w:t>
            </w:r>
          </w:p>
        </w:tc>
      </w:tr>
      <w:tr w:rsidR="0059468F" w:rsidRPr="00CF595F" w14:paraId="5732768F" w14:textId="77777777" w:rsidTr="0059468F">
        <w:tc>
          <w:tcPr>
            <w:tcW w:w="3114" w:type="dxa"/>
          </w:tcPr>
          <w:p w14:paraId="6D8F0D2D" w14:textId="77777777" w:rsidR="0059468F" w:rsidRPr="0059468F" w:rsidRDefault="0059468F" w:rsidP="00396E26">
            <w:pPr>
              <w:keepNext/>
              <w:spacing w:before="80" w:after="80" w:line="240" w:lineRule="auto"/>
              <w:rPr>
                <w:rFonts w:eastAsia="Calibri" w:cs="Segoe UI"/>
                <w:szCs w:val="21"/>
              </w:rPr>
            </w:pPr>
            <w:r w:rsidRPr="0059468F">
              <w:rPr>
                <w:rFonts w:eastAsia="Calibri" w:cs="Segoe UI"/>
                <w:szCs w:val="21"/>
              </w:rPr>
              <w:lastRenderedPageBreak/>
              <w:t xml:space="preserve">3(c)(x) </w:t>
            </w:r>
            <w:r w:rsidRPr="0059468F">
              <w:rPr>
                <w:rFonts w:cs="Segoe UI"/>
                <w:szCs w:val="21"/>
              </w:rPr>
              <w:t>Review current animal husbandry practices and investigate ways these could be improved to reduce infection.</w:t>
            </w:r>
          </w:p>
        </w:tc>
        <w:tc>
          <w:tcPr>
            <w:tcW w:w="4966" w:type="dxa"/>
          </w:tcPr>
          <w:p w14:paraId="23F96C04" w14:textId="77777777" w:rsidR="0059468F" w:rsidRPr="0059468F" w:rsidRDefault="0059468F" w:rsidP="00396E26">
            <w:pPr>
              <w:keepNext/>
              <w:spacing w:before="80" w:after="80" w:line="240" w:lineRule="auto"/>
              <w:rPr>
                <w:rFonts w:eastAsia="Calibri" w:cs="Segoe UI"/>
                <w:szCs w:val="21"/>
              </w:rPr>
            </w:pPr>
            <w:r w:rsidRPr="0059468F">
              <w:rPr>
                <w:rFonts w:eastAsia="Calibri" w:cs="Segoe UI"/>
                <w:szCs w:val="21"/>
              </w:rPr>
              <w:t xml:space="preserve">MPI is continuing to work with appropriate industry bodies and stakeholders to review and improve husbandry practices to reduce infection rates in animals. </w:t>
            </w:r>
          </w:p>
          <w:p w14:paraId="624048B7" w14:textId="77777777" w:rsidR="0059468F" w:rsidRPr="0059468F" w:rsidRDefault="0059468F" w:rsidP="00396E26">
            <w:pPr>
              <w:keepNext/>
              <w:spacing w:before="80" w:after="80" w:line="240" w:lineRule="auto"/>
              <w:rPr>
                <w:rFonts w:eastAsia="Calibri"/>
              </w:rPr>
            </w:pPr>
            <w:r w:rsidRPr="0059468F">
              <w:rPr>
                <w:rFonts w:eastAsia="Calibri"/>
              </w:rPr>
              <w:t>It has recently set up an endemic diseases forum which includes relevant industries, laboratories and research facilities. The forum is focused on preventing and controlling infection and investigates how to improve animal husbandry practices to reduce or even eradicate infection. The AMR team will take an active role in the forum in future.</w:t>
            </w:r>
          </w:p>
        </w:tc>
      </w:tr>
      <w:tr w:rsidR="0059468F" w:rsidRPr="00CF595F" w14:paraId="124413C2" w14:textId="77777777" w:rsidTr="0059468F">
        <w:tc>
          <w:tcPr>
            <w:tcW w:w="3114" w:type="dxa"/>
          </w:tcPr>
          <w:p w14:paraId="45FB433C" w14:textId="77777777" w:rsidR="0059468F" w:rsidRPr="0059468F" w:rsidRDefault="0059468F" w:rsidP="0059468F">
            <w:pPr>
              <w:pStyle w:val="TableParagraph"/>
              <w:spacing w:before="80" w:after="80" w:line="240" w:lineRule="auto"/>
              <w:ind w:right="204"/>
              <w:rPr>
                <w:rFonts w:ascii="Segoe UI" w:hAnsi="Segoe UI" w:cs="Segoe UI"/>
                <w:bCs/>
                <w:sz w:val="21"/>
                <w:szCs w:val="21"/>
              </w:rPr>
            </w:pPr>
            <w:r w:rsidRPr="0059468F">
              <w:rPr>
                <w:rFonts w:ascii="Segoe UI" w:hAnsi="Segoe UI" w:cs="Segoe UI"/>
                <w:sz w:val="21"/>
                <w:szCs w:val="21"/>
              </w:rPr>
              <w:t xml:space="preserve">3(d)(i) </w:t>
            </w:r>
            <w:r w:rsidRPr="0059468F">
              <w:rPr>
                <w:rFonts w:ascii="Segoe UI" w:eastAsiaTheme="minorHAnsi" w:hAnsi="Segoe UI" w:cs="Segoe UI"/>
                <w:sz w:val="21"/>
                <w:szCs w:val="21"/>
                <w:lang w:val="en-NZ"/>
              </w:rPr>
              <w:t>Standardise national reporting for surgical site infections (SSIs) and (ii) Build on and expand existing point prevalence surveys and ensure these are carried out regularly.</w:t>
            </w:r>
          </w:p>
          <w:p w14:paraId="534F353B" w14:textId="77777777" w:rsidR="0059468F" w:rsidRPr="0059468F" w:rsidRDefault="0059468F" w:rsidP="0059468F">
            <w:pPr>
              <w:spacing w:before="80" w:after="80" w:line="240" w:lineRule="auto"/>
              <w:rPr>
                <w:rFonts w:eastAsia="Calibri" w:cs="Segoe UI"/>
                <w:szCs w:val="21"/>
              </w:rPr>
            </w:pPr>
          </w:p>
        </w:tc>
        <w:tc>
          <w:tcPr>
            <w:tcW w:w="4966" w:type="dxa"/>
          </w:tcPr>
          <w:p w14:paraId="20B9E982"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Te Tāhū Hauora - Health Quality &amp; Safety Commission is an independent Crown entity which is responsible for helping the health and disability sector to improve service safety and quality.</w:t>
            </w:r>
          </w:p>
          <w:p w14:paraId="09BD0EA1"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Under its Infection Prevention and Control programme, Te Tāhū Hauora has a Surgical Site Infection (SSI) Improvement Programme. As part of this programme, it has developed and implemented a consistent, evidence-based approach for collecting and reporting data about SSIs for orthopaedic (hip and knee) and cardiac surgery. </w:t>
            </w:r>
          </w:p>
          <w:p w14:paraId="1CDAD5AD"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In 2021, the Infection Prevention and Control programme also conducted Aotearoa New Zealand’s first national point prevalence survey of healthcare-associated infections across all former district health boards (DHBs).  </w:t>
            </w:r>
          </w:p>
        </w:tc>
      </w:tr>
      <w:tr w:rsidR="0059468F" w:rsidRPr="00CF595F" w14:paraId="605C1B98" w14:textId="77777777" w:rsidTr="0059468F">
        <w:tc>
          <w:tcPr>
            <w:tcW w:w="3114" w:type="dxa"/>
          </w:tcPr>
          <w:p w14:paraId="58B6BF02" w14:textId="77777777" w:rsidR="0059468F" w:rsidRPr="0059468F" w:rsidRDefault="0059468F" w:rsidP="0059468F">
            <w:pPr>
              <w:spacing w:before="80" w:after="80" w:line="240" w:lineRule="auto"/>
              <w:rPr>
                <w:rFonts w:eastAsia="Calibri" w:cs="Segoe UI"/>
                <w:szCs w:val="21"/>
              </w:rPr>
            </w:pPr>
            <w:bookmarkStart w:id="9" w:name="_Hlk168844183"/>
            <w:r w:rsidRPr="0059468F">
              <w:rPr>
                <w:rFonts w:eastAsia="Calibri" w:cs="Segoe UI"/>
                <w:szCs w:val="21"/>
              </w:rPr>
              <w:t>3(e) Enhance vaccine use.</w:t>
            </w:r>
          </w:p>
        </w:tc>
        <w:tc>
          <w:tcPr>
            <w:tcW w:w="4966" w:type="dxa"/>
          </w:tcPr>
          <w:p w14:paraId="75CA9F24"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Achieving high rates of immunisation for priority populations is a key goal of Te Pae Tata (the interim New Zealand Health Plan 2022).</w:t>
            </w:r>
          </w:p>
          <w:p w14:paraId="42FE2DA5" w14:textId="15589319" w:rsidR="0059468F" w:rsidRPr="0059468F" w:rsidRDefault="0059468F" w:rsidP="0059468F">
            <w:pPr>
              <w:spacing w:before="80" w:after="80" w:line="240" w:lineRule="auto"/>
              <w:rPr>
                <w:rFonts w:eastAsia="Calibri" w:cs="Segoe UI"/>
                <w:szCs w:val="21"/>
              </w:rPr>
            </w:pPr>
            <w:r w:rsidRPr="0059468F">
              <w:rPr>
                <w:rFonts w:eastAsia="Calibri" w:cs="Segoe UI"/>
                <w:szCs w:val="21"/>
              </w:rPr>
              <w:t>A national immunisation taskforce delivered 54 recommendations to Health NZ in response to falling rates of childhood immunisation and challenges arising from the COVID-19 pandemic</w:t>
            </w:r>
            <w:r w:rsidRPr="0059468F">
              <w:rPr>
                <w:rStyle w:val="FootnoteReference"/>
                <w:rFonts w:eastAsia="Calibri" w:cs="Segoe UI"/>
                <w:szCs w:val="21"/>
              </w:rPr>
              <w:footnoteReference w:id="5"/>
            </w:r>
            <w:r w:rsidRPr="0059468F">
              <w:rPr>
                <w:rFonts w:eastAsia="Calibri" w:cs="Segoe UI"/>
                <w:szCs w:val="21"/>
              </w:rPr>
              <w:t>. The taskforce’s priorities include more pro-active outreach immunisation services, a focus on catch-up and antenatal immunisations and increasing the vaccinator workforce.</w:t>
            </w:r>
          </w:p>
          <w:p w14:paraId="2C29F300"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A strategic framework is being developed to guide the overall direction of the immunisation programme. In the meantime, the National Public </w:t>
            </w:r>
            <w:r w:rsidRPr="0059468F">
              <w:rPr>
                <w:rFonts w:eastAsia="Calibri" w:cs="Segoe UI"/>
                <w:szCs w:val="21"/>
              </w:rPr>
              <w:lastRenderedPageBreak/>
              <w:t>Health Service continues to prioritise and progress key work areas to address the taskforce’s priorities.</w:t>
            </w:r>
          </w:p>
        </w:tc>
      </w:tr>
      <w:bookmarkEnd w:id="9"/>
      <w:tr w:rsidR="0059468F" w:rsidRPr="00CF595F" w14:paraId="57EFF4AC" w14:textId="77777777" w:rsidTr="0059468F">
        <w:tc>
          <w:tcPr>
            <w:tcW w:w="3114" w:type="dxa"/>
          </w:tcPr>
          <w:p w14:paraId="489B72D4"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lastRenderedPageBreak/>
              <w:t xml:space="preserve">3(e)(v) </w:t>
            </w:r>
            <w:r w:rsidRPr="0059468F">
              <w:rPr>
                <w:rFonts w:cs="Segoe UI"/>
                <w:szCs w:val="21"/>
              </w:rPr>
              <w:t>Prioritise the development and acquisition of a vaccine for group A Streptococcus (GAS).</w:t>
            </w:r>
          </w:p>
        </w:tc>
        <w:tc>
          <w:tcPr>
            <w:tcW w:w="4966" w:type="dxa"/>
          </w:tcPr>
          <w:p w14:paraId="0E911C57"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A $10 million investment into the development of a vaccine against </w:t>
            </w:r>
            <w:r w:rsidRPr="0059468F">
              <w:rPr>
                <w:rFonts w:cs="Segoe UI"/>
                <w:szCs w:val="21"/>
              </w:rPr>
              <w:t>group A Streptococcus (GAS) was announced in November 2021</w:t>
            </w:r>
            <w:r w:rsidRPr="0059468F">
              <w:rPr>
                <w:rFonts w:eastAsia="Calibri" w:cs="Segoe UI"/>
                <w:szCs w:val="21"/>
              </w:rPr>
              <w:t xml:space="preserve">. The University of Auckland is leading this work, leveraging off existing relationships with ESR and Australian colleagues involved in the vaccine’s pre-development. </w:t>
            </w:r>
          </w:p>
          <w:p w14:paraId="3B26BB65"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Work began in late 2021, with a contract in place until 30 June 2025.</w:t>
            </w:r>
          </w:p>
        </w:tc>
      </w:tr>
      <w:tr w:rsidR="0059468F" w:rsidRPr="00CF595F" w14:paraId="11554DFF" w14:textId="77777777" w:rsidTr="0059468F">
        <w:tc>
          <w:tcPr>
            <w:tcW w:w="3114" w:type="dxa"/>
          </w:tcPr>
          <w:p w14:paraId="2B8A424D"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 xml:space="preserve">3(e)(vii) </w:t>
            </w:r>
            <w:r w:rsidRPr="0059468F">
              <w:rPr>
                <w:rFonts w:cs="Segoe UI"/>
                <w:szCs w:val="21"/>
              </w:rPr>
              <w:t>Investigate barriers to vaccine use in animal husbandry and implement strategies to increase vaccine coverage. This may involve subsidising animal vaccine for zoonotic diseases.</w:t>
            </w:r>
          </w:p>
        </w:tc>
        <w:tc>
          <w:tcPr>
            <w:tcW w:w="4966" w:type="dxa"/>
          </w:tcPr>
          <w:p w14:paraId="721E5950" w14:textId="77777777" w:rsidR="0059468F" w:rsidRPr="0059468F" w:rsidRDefault="0059468F" w:rsidP="0059468F">
            <w:pPr>
              <w:spacing w:before="80" w:after="80" w:line="240" w:lineRule="auto"/>
              <w:rPr>
                <w:rFonts w:eastAsia="Calibri" w:cs="Segoe UI"/>
                <w:szCs w:val="21"/>
              </w:rPr>
            </w:pPr>
            <w:r w:rsidRPr="0059468F">
              <w:rPr>
                <w:rFonts w:eastAsia="Calibri" w:cs="Segoe UI"/>
                <w:szCs w:val="21"/>
              </w:rPr>
              <w:t>MPI’s AMR outreach and training staff will work alongside veterinarians, industry groups (such as the New Zealand Veterinary Association) and end-users to investigate barriers to use of available vaccines. This action will be incorporated with communication on disease prevention and control.</w:t>
            </w:r>
          </w:p>
        </w:tc>
      </w:tr>
    </w:tbl>
    <w:p w14:paraId="109DF3E6" w14:textId="77777777" w:rsidR="0059468F" w:rsidRPr="0059468F" w:rsidRDefault="0059468F" w:rsidP="0059468F">
      <w:pPr>
        <w:pStyle w:val="Heading2"/>
      </w:pPr>
      <w:bookmarkStart w:id="10" w:name="_Toc190160818"/>
      <w:r w:rsidRPr="0059468F">
        <w:t>Theme 4: Grow Aotearoa Zealand’s infectious diseases capability and engage internationally</w:t>
      </w:r>
      <w:bookmarkEnd w:id="10"/>
    </w:p>
    <w:tbl>
      <w:tblPr>
        <w:tblStyle w:val="TableGrid"/>
        <w:tblW w:w="807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1"/>
      </w:tblGrid>
      <w:tr w:rsidR="0059468F" w:rsidRPr="0059468F" w14:paraId="725E8095" w14:textId="77777777" w:rsidTr="0059468F">
        <w:trPr>
          <w:tblHeader/>
        </w:trPr>
        <w:tc>
          <w:tcPr>
            <w:tcW w:w="3114" w:type="dxa"/>
            <w:tcBorders>
              <w:top w:val="nil"/>
              <w:bottom w:val="nil"/>
            </w:tcBorders>
            <w:shd w:val="clear" w:color="auto" w:fill="D9D9D9" w:themeFill="background1" w:themeFillShade="D9"/>
          </w:tcPr>
          <w:p w14:paraId="16A2843E" w14:textId="77777777" w:rsidR="0059468F" w:rsidRPr="0059468F" w:rsidRDefault="0059468F" w:rsidP="00396E26">
            <w:pPr>
              <w:spacing w:before="80" w:after="80" w:line="240" w:lineRule="auto"/>
              <w:rPr>
                <w:rFonts w:eastAsia="Calibri"/>
                <w:b/>
                <w:bCs/>
              </w:rPr>
            </w:pPr>
            <w:r w:rsidRPr="0059468F">
              <w:rPr>
                <w:rFonts w:eastAsia="Calibri"/>
                <w:b/>
                <w:bCs/>
              </w:rPr>
              <w:t>Recommendation</w:t>
            </w:r>
          </w:p>
        </w:tc>
        <w:tc>
          <w:tcPr>
            <w:tcW w:w="4961" w:type="dxa"/>
            <w:tcBorders>
              <w:top w:val="nil"/>
              <w:bottom w:val="nil"/>
            </w:tcBorders>
            <w:shd w:val="clear" w:color="auto" w:fill="D9D9D9" w:themeFill="background1" w:themeFillShade="D9"/>
          </w:tcPr>
          <w:p w14:paraId="73B7EF26" w14:textId="77777777" w:rsidR="0059468F" w:rsidRPr="0059468F" w:rsidRDefault="0059468F" w:rsidP="00396E26">
            <w:pPr>
              <w:spacing w:before="80" w:after="80" w:line="240" w:lineRule="auto"/>
              <w:rPr>
                <w:rFonts w:eastAsia="Calibri"/>
                <w:b/>
                <w:bCs/>
              </w:rPr>
            </w:pPr>
            <w:r w:rsidRPr="0059468F">
              <w:rPr>
                <w:rFonts w:eastAsia="Calibri"/>
                <w:b/>
                <w:bCs/>
              </w:rPr>
              <w:t>Activity</w:t>
            </w:r>
          </w:p>
        </w:tc>
      </w:tr>
      <w:tr w:rsidR="0059468F" w:rsidRPr="00CF595F" w14:paraId="3AB21A1E" w14:textId="77777777" w:rsidTr="0059468F">
        <w:tc>
          <w:tcPr>
            <w:tcW w:w="3114" w:type="dxa"/>
            <w:tcBorders>
              <w:top w:val="nil"/>
            </w:tcBorders>
          </w:tcPr>
          <w:p w14:paraId="2E77D708" w14:textId="77777777" w:rsidR="0059468F" w:rsidRDefault="0059468F" w:rsidP="00396E26">
            <w:pPr>
              <w:spacing w:before="80" w:after="80" w:line="240" w:lineRule="auto"/>
              <w:rPr>
                <w:rFonts w:cs="Segoe UI"/>
                <w:szCs w:val="24"/>
              </w:rPr>
            </w:pPr>
            <w:r>
              <w:rPr>
                <w:rFonts w:eastAsia="Calibri" w:cs="Segoe UI"/>
              </w:rPr>
              <w:t xml:space="preserve">4(a) </w:t>
            </w:r>
            <w:r w:rsidRPr="00DD69DE">
              <w:rPr>
                <w:rFonts w:cs="Segoe UI"/>
                <w:bCs/>
                <w:szCs w:val="24"/>
              </w:rPr>
              <w:t>Build on the newly announced Strategic Science Investment Fund to establish an inclusive infectious diseases network with diverse representation from academia and frontline practitioners, focused on both capacity building and research</w:t>
            </w:r>
            <w:r>
              <w:rPr>
                <w:rFonts w:cs="Segoe UI"/>
                <w:bCs/>
                <w:szCs w:val="24"/>
              </w:rPr>
              <w:t>.</w:t>
            </w:r>
          </w:p>
        </w:tc>
        <w:tc>
          <w:tcPr>
            <w:tcW w:w="4961" w:type="dxa"/>
            <w:tcBorders>
              <w:top w:val="nil"/>
            </w:tcBorders>
          </w:tcPr>
          <w:p w14:paraId="46810DF8" w14:textId="77777777" w:rsidR="0059468F" w:rsidRDefault="0059468F" w:rsidP="00396E26">
            <w:pPr>
              <w:spacing w:before="80" w:after="80" w:line="240" w:lineRule="auto"/>
              <w:rPr>
                <w:rFonts w:cs="Segoe UI"/>
                <w:szCs w:val="24"/>
              </w:rPr>
            </w:pPr>
            <w:r>
              <w:rPr>
                <w:rFonts w:cs="Segoe UI"/>
                <w:szCs w:val="24"/>
              </w:rPr>
              <w:t xml:space="preserve">Te Niwha: the </w:t>
            </w:r>
            <w:r w:rsidRPr="003C5DAC">
              <w:rPr>
                <w:rFonts w:cs="Segoe UI"/>
                <w:szCs w:val="24"/>
              </w:rPr>
              <w:t xml:space="preserve">Infectious Disease Research Platform, funded through the </w:t>
            </w:r>
            <w:r>
              <w:rPr>
                <w:rFonts w:cs="Segoe UI"/>
                <w:szCs w:val="24"/>
              </w:rPr>
              <w:t>Ministry of Business, Innovation and Emplyoment’s Strategic Science Investment Fund</w:t>
            </w:r>
            <w:r w:rsidRPr="003C5DAC">
              <w:rPr>
                <w:rFonts w:cs="Segoe UI"/>
                <w:szCs w:val="24"/>
              </w:rPr>
              <w:t>, was announced in September 2021</w:t>
            </w:r>
            <w:r>
              <w:rPr>
                <w:rFonts w:cs="Segoe UI"/>
                <w:szCs w:val="24"/>
              </w:rPr>
              <w:t>. It</w:t>
            </w:r>
            <w:r w:rsidRPr="003C5DAC">
              <w:rPr>
                <w:rFonts w:cs="Segoe UI"/>
                <w:szCs w:val="24"/>
              </w:rPr>
              <w:t xml:space="preserve"> is co-hosted by ESR and the University of Otago. </w:t>
            </w:r>
            <w:r>
              <w:rPr>
                <w:rFonts w:cs="Segoe UI"/>
                <w:szCs w:val="24"/>
              </w:rPr>
              <w:t>The aims of the platform are to:</w:t>
            </w:r>
          </w:p>
          <w:p w14:paraId="6001C88C" w14:textId="77777777" w:rsidR="0059468F" w:rsidRPr="006E161F" w:rsidRDefault="0059468F" w:rsidP="00396E26">
            <w:pPr>
              <w:pStyle w:val="Bullet"/>
              <w:spacing w:before="80" w:after="80" w:line="240" w:lineRule="auto"/>
            </w:pPr>
            <w:r>
              <w:t xml:space="preserve">build and coordinate domestic research </w:t>
            </w:r>
            <w:r w:rsidRPr="006E161F">
              <w:t>capability in infectious diseases</w:t>
            </w:r>
          </w:p>
          <w:p w14:paraId="3F777A73" w14:textId="77777777" w:rsidR="0059468F" w:rsidRPr="006E161F" w:rsidRDefault="0059468F" w:rsidP="00396E26">
            <w:pPr>
              <w:pStyle w:val="Bullet"/>
              <w:spacing w:before="80" w:after="80" w:line="240" w:lineRule="auto"/>
            </w:pPr>
            <w:r>
              <w:t>c</w:t>
            </w:r>
            <w:r w:rsidRPr="006E161F">
              <w:t>ontinue to address COVID-19 and other serious infectious diseases in Aotearoa New Zealand</w:t>
            </w:r>
          </w:p>
          <w:p w14:paraId="65A17494" w14:textId="77777777" w:rsidR="0059468F" w:rsidRPr="006E161F" w:rsidRDefault="0059468F" w:rsidP="00396E26">
            <w:pPr>
              <w:pStyle w:val="Bullet"/>
              <w:spacing w:before="80" w:after="80" w:line="240" w:lineRule="auto"/>
            </w:pPr>
            <w:r>
              <w:t>i</w:t>
            </w:r>
            <w:r w:rsidRPr="006E161F">
              <w:t>mprove preparedness for future pandemics</w:t>
            </w:r>
          </w:p>
          <w:p w14:paraId="7E0233B2" w14:textId="77777777" w:rsidR="0059468F" w:rsidRPr="006E161F" w:rsidRDefault="0059468F" w:rsidP="00396E26">
            <w:pPr>
              <w:pStyle w:val="Bullet"/>
              <w:spacing w:before="80" w:after="80" w:line="240" w:lineRule="auto"/>
            </w:pPr>
            <w:r>
              <w:t>s</w:t>
            </w:r>
            <w:r w:rsidRPr="006E161F">
              <w:t>upport Aotearoa New Zealand</w:t>
            </w:r>
            <w:r>
              <w:t>’</w:t>
            </w:r>
            <w:r w:rsidRPr="006E161F">
              <w:t>s Health Research Strategy and infectious diseases of key stakeholders and M</w:t>
            </w:r>
            <w:r>
              <w:t>ā</w:t>
            </w:r>
            <w:r w:rsidRPr="006E161F">
              <w:t>ori as Treaty partners</w:t>
            </w:r>
          </w:p>
          <w:p w14:paraId="35861D04" w14:textId="77777777" w:rsidR="0059468F" w:rsidRDefault="0059468F" w:rsidP="00396E26">
            <w:pPr>
              <w:pStyle w:val="Bullet"/>
              <w:spacing w:before="80" w:after="80" w:line="240" w:lineRule="auto"/>
            </w:pPr>
            <w:r>
              <w:t>l</w:t>
            </w:r>
            <w:r w:rsidRPr="006E161F">
              <w:t>ink with international research.</w:t>
            </w:r>
          </w:p>
          <w:p w14:paraId="1741C345" w14:textId="77777777" w:rsidR="0059468F" w:rsidRPr="00A6340F" w:rsidRDefault="0059468F" w:rsidP="00396E26">
            <w:pPr>
              <w:spacing w:before="80" w:after="80" w:line="240" w:lineRule="auto"/>
              <w:rPr>
                <w:rFonts w:cs="Segoe UI"/>
              </w:rPr>
            </w:pPr>
            <w:r w:rsidRPr="00A6340F">
              <w:rPr>
                <w:rFonts w:cs="Segoe UI"/>
              </w:rPr>
              <w:lastRenderedPageBreak/>
              <w:t>A range of research spanning biomedical, public health and community-based research approaches is currently underway.</w:t>
            </w:r>
          </w:p>
          <w:p w14:paraId="2D80C18B" w14:textId="77777777" w:rsidR="0059468F" w:rsidRPr="00A6340F" w:rsidRDefault="0059468F" w:rsidP="00396E26">
            <w:pPr>
              <w:spacing w:before="80" w:after="80" w:line="240" w:lineRule="auto"/>
              <w:rPr>
                <w:rFonts w:cs="Segoe UI"/>
              </w:rPr>
            </w:pPr>
            <w:r w:rsidRPr="00A6340F">
              <w:rPr>
                <w:rFonts w:cs="Segoe UI"/>
              </w:rPr>
              <w:t xml:space="preserve">Examples of building an infectious diseases network include: </w:t>
            </w:r>
          </w:p>
          <w:p w14:paraId="3F8DCD95" w14:textId="77777777" w:rsidR="0059468F" w:rsidRPr="00A6340F" w:rsidRDefault="0059468F" w:rsidP="00396E26">
            <w:pPr>
              <w:pStyle w:val="Bullet"/>
              <w:spacing w:before="80" w:after="80" w:line="240" w:lineRule="auto"/>
            </w:pPr>
            <w:r w:rsidRPr="00A6340F">
              <w:t xml:space="preserve">a comprehensive report on what are the likely pathogens that will cause future pandemics in New Zealand, and how to prepare for and respond effectively to </w:t>
            </w:r>
            <w:r>
              <w:t>these</w:t>
            </w:r>
            <w:r w:rsidRPr="00A6340F">
              <w:t xml:space="preserve"> pandemics, </w:t>
            </w:r>
            <w:r>
              <w:t xml:space="preserve">so as to inform </w:t>
            </w:r>
            <w:r w:rsidRPr="00A6340F">
              <w:t>health agency preparations for pandemics</w:t>
            </w:r>
            <w:r>
              <w:rPr>
                <w:rStyle w:val="FootnoteReference"/>
                <w:rFonts w:cs="Segoe UI"/>
                <w:szCs w:val="24"/>
              </w:rPr>
              <w:footnoteReference w:id="6"/>
            </w:r>
            <w:r w:rsidRPr="00A6340F">
              <w:t xml:space="preserve"> </w:t>
            </w:r>
          </w:p>
          <w:p w14:paraId="3E14B009" w14:textId="77777777" w:rsidR="0059468F" w:rsidRPr="00A6340F" w:rsidRDefault="0059468F" w:rsidP="00396E26">
            <w:pPr>
              <w:pStyle w:val="Bullet"/>
              <w:spacing w:before="80" w:after="80" w:line="240" w:lineRule="auto"/>
            </w:pPr>
            <w:r w:rsidRPr="00A6340F">
              <w:t>a project on surveillance and modelling for high pathogenicity avian influenza (HPAI H5N1)</w:t>
            </w:r>
            <w:r>
              <w:t xml:space="preserve"> to support</w:t>
            </w:r>
            <w:r w:rsidRPr="00A6340F">
              <w:t xml:space="preserve"> the Ministry of Health, Health New Zealand, MPI and </w:t>
            </w:r>
            <w:r>
              <w:t>the Department of Conservation</w:t>
            </w:r>
            <w:r w:rsidRPr="00A6340F">
              <w:t xml:space="preserve"> in their response to the current global spread of that pathogen.</w:t>
            </w:r>
          </w:p>
        </w:tc>
      </w:tr>
      <w:tr w:rsidR="0059468F" w:rsidRPr="00CF595F" w14:paraId="5B6432D0" w14:textId="77777777" w:rsidTr="0059468F">
        <w:tc>
          <w:tcPr>
            <w:tcW w:w="3114" w:type="dxa"/>
          </w:tcPr>
          <w:p w14:paraId="5DA0CA5D" w14:textId="77777777" w:rsidR="0059468F" w:rsidRDefault="0059468F" w:rsidP="00396E26">
            <w:pPr>
              <w:spacing w:before="80" w:after="80" w:line="240" w:lineRule="auto"/>
              <w:rPr>
                <w:rFonts w:eastAsia="Calibri" w:cs="Segoe UI"/>
              </w:rPr>
            </w:pPr>
            <w:r>
              <w:rPr>
                <w:rFonts w:eastAsia="Calibri" w:cs="Segoe UI"/>
              </w:rPr>
              <w:lastRenderedPageBreak/>
              <w:t xml:space="preserve">4(e)(ii) </w:t>
            </w:r>
            <w:r w:rsidRPr="00182F14">
              <w:rPr>
                <w:rFonts w:cs="Segoe UI"/>
              </w:rPr>
              <w:t>Support researchers, practitioners and policymakers to connect and engage internationally to inform best practice.</w:t>
            </w:r>
          </w:p>
        </w:tc>
        <w:tc>
          <w:tcPr>
            <w:tcW w:w="4961" w:type="dxa"/>
          </w:tcPr>
          <w:p w14:paraId="7C8026FA" w14:textId="77777777" w:rsidR="0059468F" w:rsidRPr="000641F0" w:rsidRDefault="0059468F" w:rsidP="00396E26">
            <w:pPr>
              <w:spacing w:before="80" w:after="80" w:line="240" w:lineRule="auto"/>
              <w:rPr>
                <w:rFonts w:eastAsia="Calibri" w:cs="Segoe UI"/>
              </w:rPr>
            </w:pPr>
            <w:r>
              <w:rPr>
                <w:rFonts w:eastAsia="Calibri" w:cs="Segoe UI"/>
              </w:rPr>
              <w:t>One Health Aotearoa,</w:t>
            </w:r>
            <w:r>
              <w:rPr>
                <w:rStyle w:val="FootnoteReference"/>
                <w:rFonts w:eastAsia="Calibri" w:cs="Segoe UI"/>
              </w:rPr>
              <w:footnoteReference w:id="7"/>
            </w:r>
            <w:r>
              <w:rPr>
                <w:rFonts w:eastAsia="Calibri" w:cs="Segoe UI"/>
              </w:rPr>
              <w:t xml:space="preserve"> a t</w:t>
            </w:r>
            <w:r w:rsidRPr="00CE2031">
              <w:rPr>
                <w:rFonts w:eastAsia="Calibri" w:cs="Segoe UI"/>
              </w:rPr>
              <w:t>hree-way alliance between the University of Otago’s medical school, Massey University’s veterinary school and ESR</w:t>
            </w:r>
            <w:r>
              <w:rPr>
                <w:rFonts w:eastAsia="Calibri" w:cs="Segoe UI"/>
              </w:rPr>
              <w:t>, was set up to bring together leading researchers to support infectious disease research, education and advocacy. It is also intended to provide a main point of contact in Aotearoa New Zealand for international engagement and collaboration in One Health.</w:t>
            </w:r>
          </w:p>
        </w:tc>
      </w:tr>
      <w:tr w:rsidR="0059468F" w:rsidRPr="00CF595F" w14:paraId="09D117BB" w14:textId="77777777" w:rsidTr="0059468F">
        <w:tc>
          <w:tcPr>
            <w:tcW w:w="3114" w:type="dxa"/>
          </w:tcPr>
          <w:p w14:paraId="2DFE4847" w14:textId="77777777" w:rsidR="0059468F" w:rsidRPr="00C50D3A" w:rsidRDefault="0059468F" w:rsidP="00396E26">
            <w:pPr>
              <w:spacing w:before="80" w:after="80" w:line="240" w:lineRule="auto"/>
              <w:rPr>
                <w:rFonts w:cs="Segoe UI"/>
                <w:szCs w:val="24"/>
              </w:rPr>
            </w:pPr>
            <w:r>
              <w:rPr>
                <w:rFonts w:eastAsia="Calibri" w:cs="Segoe UI"/>
              </w:rPr>
              <w:t xml:space="preserve">4(f)(i) </w:t>
            </w:r>
            <w:r w:rsidRPr="001221A1">
              <w:rPr>
                <w:rFonts w:cs="Segoe UI"/>
              </w:rPr>
              <w:t>Investigate the costs and benefits of developing onshore capability to manufacture biomedical products under an emerging scenario of a globally distributed model (e.g. to manufacture mRNA vaccines under license for local use).</w:t>
            </w:r>
          </w:p>
        </w:tc>
        <w:tc>
          <w:tcPr>
            <w:tcW w:w="4961" w:type="dxa"/>
          </w:tcPr>
          <w:p w14:paraId="7F912371" w14:textId="3A167876" w:rsidR="0059468F" w:rsidRPr="0059468F" w:rsidRDefault="0059468F" w:rsidP="00396E26">
            <w:pPr>
              <w:spacing w:before="80" w:after="80" w:line="240" w:lineRule="auto"/>
              <w:rPr>
                <w:rFonts w:cs="Segoe UI"/>
                <w:szCs w:val="24"/>
              </w:rPr>
            </w:pPr>
            <w:r w:rsidRPr="00C50D3A">
              <w:rPr>
                <w:rFonts w:cs="Segoe UI"/>
                <w:szCs w:val="24"/>
              </w:rPr>
              <w:t>The</w:t>
            </w:r>
            <w:r>
              <w:rPr>
                <w:rFonts w:cs="Segoe UI"/>
                <w:szCs w:val="24"/>
              </w:rPr>
              <w:t xml:space="preserve"> Ribonucleic Acid</w:t>
            </w:r>
            <w:r w:rsidRPr="00C50D3A">
              <w:rPr>
                <w:rFonts w:cs="Segoe UI"/>
                <w:szCs w:val="24"/>
              </w:rPr>
              <w:t xml:space="preserve"> </w:t>
            </w:r>
            <w:r>
              <w:rPr>
                <w:rFonts w:cs="Segoe UI"/>
                <w:szCs w:val="24"/>
              </w:rPr>
              <w:t>(</w:t>
            </w:r>
            <w:r w:rsidRPr="00C50D3A">
              <w:rPr>
                <w:rFonts w:cs="Segoe UI"/>
                <w:szCs w:val="24"/>
              </w:rPr>
              <w:t>RNA</w:t>
            </w:r>
            <w:r>
              <w:rPr>
                <w:rFonts w:cs="Segoe UI"/>
                <w:szCs w:val="24"/>
              </w:rPr>
              <w:t>)</w:t>
            </w:r>
            <w:r w:rsidRPr="00C50D3A">
              <w:rPr>
                <w:rFonts w:cs="Segoe UI"/>
                <w:szCs w:val="24"/>
              </w:rPr>
              <w:t xml:space="preserve"> Development Platform, </w:t>
            </w:r>
            <w:r>
              <w:rPr>
                <w:rFonts w:cs="Segoe UI"/>
                <w:szCs w:val="24"/>
              </w:rPr>
              <w:t xml:space="preserve">also </w:t>
            </w:r>
            <w:r w:rsidRPr="00C50D3A">
              <w:rPr>
                <w:rFonts w:cs="Segoe UI"/>
                <w:szCs w:val="24"/>
              </w:rPr>
              <w:t>funded through the</w:t>
            </w:r>
            <w:r>
              <w:rPr>
                <w:rFonts w:cs="Segoe UI"/>
                <w:szCs w:val="24"/>
              </w:rPr>
              <w:t xml:space="preserve"> </w:t>
            </w:r>
            <w:r w:rsidRPr="00C50D3A">
              <w:rPr>
                <w:rFonts w:cs="Segoe UI"/>
                <w:szCs w:val="24"/>
              </w:rPr>
              <w:t>Strategic Science Investment Fund, was announced in May 2022</w:t>
            </w:r>
            <w:r>
              <w:rPr>
                <w:rFonts w:cs="Segoe UI"/>
                <w:szCs w:val="24"/>
              </w:rPr>
              <w:t xml:space="preserve">. It seeks </w:t>
            </w:r>
            <w:r w:rsidRPr="00C50D3A">
              <w:rPr>
                <w:rFonts w:cs="Segoe UI"/>
                <w:szCs w:val="24"/>
              </w:rPr>
              <w:t xml:space="preserve">to build on the research expertise and industry connections in this area. </w:t>
            </w:r>
            <w:r>
              <w:rPr>
                <w:rFonts w:cs="Segoe UI"/>
                <w:szCs w:val="24"/>
              </w:rPr>
              <w:t>Co-hosted by Te Herenga Waka - Victoria University of Wellington and Waipapa Taumata Rau – the University of Auckland, i</w:t>
            </w:r>
            <w:r w:rsidRPr="00C50D3A">
              <w:rPr>
                <w:rFonts w:cs="Segoe UI"/>
                <w:szCs w:val="24"/>
              </w:rPr>
              <w:t xml:space="preserve">ts mission is to ensure </w:t>
            </w:r>
            <w:r>
              <w:rPr>
                <w:rFonts w:cs="Segoe UI"/>
                <w:szCs w:val="24"/>
              </w:rPr>
              <w:t xml:space="preserve">Aotearoa </w:t>
            </w:r>
            <w:r w:rsidRPr="00C50D3A">
              <w:rPr>
                <w:rFonts w:cs="Segoe UI"/>
                <w:szCs w:val="24"/>
              </w:rPr>
              <w:t>New Zealand has well-connected and world-class research capability to strengthen the use and commercialisation of RNA technology.</w:t>
            </w:r>
          </w:p>
          <w:p w14:paraId="7E09A3ED" w14:textId="77777777" w:rsidR="0059468F" w:rsidRPr="00AE0C81" w:rsidRDefault="0059468F" w:rsidP="00396E26">
            <w:pPr>
              <w:spacing w:before="80" w:after="80" w:line="240" w:lineRule="auto"/>
              <w:rPr>
                <w:rStyle w:val="ui-provider"/>
                <w:rFonts w:cs="Segoe UI"/>
              </w:rPr>
            </w:pPr>
            <w:r w:rsidRPr="00AE0C81">
              <w:rPr>
                <w:rFonts w:cs="Segoe UI"/>
              </w:rPr>
              <w:t>Initial research funded through the platform includes:</w:t>
            </w:r>
          </w:p>
          <w:p w14:paraId="52E2C14B" w14:textId="77777777" w:rsidR="0059468F" w:rsidRPr="00134A1A" w:rsidRDefault="0059468F" w:rsidP="00396E26">
            <w:pPr>
              <w:pStyle w:val="Bullet"/>
              <w:spacing w:before="80" w:after="80" w:line="240" w:lineRule="auto"/>
            </w:pPr>
            <w:r w:rsidRPr="00396273">
              <w:t>developing</w:t>
            </w:r>
            <w:r w:rsidRPr="00134A1A">
              <w:t xml:space="preserve"> mRNA vaccines </w:t>
            </w:r>
          </w:p>
          <w:p w14:paraId="601E405F" w14:textId="77777777" w:rsidR="0059468F" w:rsidRPr="00AE0C81" w:rsidRDefault="0059468F" w:rsidP="00396E26">
            <w:pPr>
              <w:pStyle w:val="Bullet"/>
              <w:spacing w:before="80" w:after="80" w:line="240" w:lineRule="auto"/>
            </w:pPr>
            <w:r>
              <w:t xml:space="preserve">exploring </w:t>
            </w:r>
            <w:r w:rsidRPr="00AE0C81">
              <w:t>disease drivers</w:t>
            </w:r>
          </w:p>
          <w:p w14:paraId="03986C75" w14:textId="77777777" w:rsidR="0059468F" w:rsidRPr="00AE0C81" w:rsidRDefault="0059468F" w:rsidP="00396E26">
            <w:pPr>
              <w:pStyle w:val="Bullet"/>
              <w:spacing w:before="80" w:after="80" w:line="240" w:lineRule="auto"/>
            </w:pPr>
            <w:r>
              <w:t>formulating</w:t>
            </w:r>
            <w:r w:rsidRPr="00AE0C81">
              <w:t xml:space="preserve"> non-mRNA therapeutics</w:t>
            </w:r>
          </w:p>
          <w:p w14:paraId="09858638" w14:textId="77777777" w:rsidR="0059468F" w:rsidRPr="00AE0C81" w:rsidRDefault="0059468F" w:rsidP="00396E26">
            <w:pPr>
              <w:pStyle w:val="Bullet"/>
              <w:spacing w:before="80" w:after="80" w:line="240" w:lineRule="auto"/>
            </w:pPr>
            <w:r w:rsidRPr="00AE0C81">
              <w:lastRenderedPageBreak/>
              <w:t xml:space="preserve">improving technologies in the RNA manufacturing chain </w:t>
            </w:r>
          </w:p>
          <w:p w14:paraId="1CBBA72D" w14:textId="1B158E20" w:rsidR="0059468F" w:rsidRPr="0059468F" w:rsidRDefault="0059468F" w:rsidP="00396E26">
            <w:pPr>
              <w:pStyle w:val="Bullet"/>
              <w:spacing w:before="80" w:after="80" w:line="240" w:lineRule="auto"/>
            </w:pPr>
            <w:r>
              <w:t>synthesising</w:t>
            </w:r>
            <w:r w:rsidRPr="00AE0C81">
              <w:t xml:space="preserve"> critical reagents for the platform.</w:t>
            </w:r>
          </w:p>
          <w:p w14:paraId="66093207" w14:textId="77777777" w:rsidR="0059468F" w:rsidRPr="00A9150E" w:rsidRDefault="0059468F" w:rsidP="00396E26">
            <w:pPr>
              <w:spacing w:before="80" w:after="80" w:line="240" w:lineRule="auto"/>
              <w:rPr>
                <w:rFonts w:cs="Segoe UI"/>
                <w:szCs w:val="24"/>
              </w:rPr>
            </w:pPr>
            <w:r w:rsidRPr="00AE0C81">
              <w:rPr>
                <w:rFonts w:cs="Segoe UI"/>
              </w:rPr>
              <w:t xml:space="preserve">The </w:t>
            </w:r>
            <w:r>
              <w:rPr>
                <w:rFonts w:cs="Segoe UI"/>
              </w:rPr>
              <w:t>p</w:t>
            </w:r>
            <w:r w:rsidRPr="00AE0C81">
              <w:rPr>
                <w:rFonts w:cs="Segoe UI"/>
              </w:rPr>
              <w:t>latform will develop a full programme of research by the end of 2024.</w:t>
            </w:r>
          </w:p>
        </w:tc>
      </w:tr>
    </w:tbl>
    <w:p w14:paraId="3E254D1B" w14:textId="77777777" w:rsidR="0059468F" w:rsidRPr="0059468F" w:rsidRDefault="0059468F" w:rsidP="0059468F">
      <w:pPr>
        <w:pStyle w:val="Heading2"/>
      </w:pPr>
      <w:bookmarkStart w:id="11" w:name="_Toc190160819"/>
      <w:r w:rsidRPr="0059468F">
        <w:lastRenderedPageBreak/>
        <w:t>Theme 5: Enhance health literacy</w:t>
      </w:r>
      <w:bookmarkEnd w:id="11"/>
    </w:p>
    <w:tbl>
      <w:tblPr>
        <w:tblStyle w:val="TableGrid"/>
        <w:tblW w:w="807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1"/>
      </w:tblGrid>
      <w:tr w:rsidR="0059468F" w:rsidRPr="0059468F" w14:paraId="37B1B490" w14:textId="77777777" w:rsidTr="0059468F">
        <w:trPr>
          <w:tblHeader/>
        </w:trPr>
        <w:tc>
          <w:tcPr>
            <w:tcW w:w="3114" w:type="dxa"/>
            <w:tcBorders>
              <w:top w:val="nil"/>
              <w:bottom w:val="nil"/>
            </w:tcBorders>
            <w:shd w:val="clear" w:color="auto" w:fill="D9D9D9" w:themeFill="background1" w:themeFillShade="D9"/>
          </w:tcPr>
          <w:p w14:paraId="380BD163" w14:textId="77777777" w:rsidR="0059468F" w:rsidRPr="0059468F" w:rsidRDefault="0059468F" w:rsidP="00396E26">
            <w:pPr>
              <w:spacing w:before="80" w:after="80" w:line="240" w:lineRule="auto"/>
              <w:rPr>
                <w:rFonts w:eastAsia="Calibri"/>
                <w:b/>
                <w:bCs/>
              </w:rPr>
            </w:pPr>
            <w:r w:rsidRPr="0059468F">
              <w:rPr>
                <w:rFonts w:eastAsia="Calibri"/>
                <w:b/>
                <w:bCs/>
              </w:rPr>
              <w:t>Recommendation</w:t>
            </w:r>
          </w:p>
        </w:tc>
        <w:tc>
          <w:tcPr>
            <w:tcW w:w="4961" w:type="dxa"/>
            <w:tcBorders>
              <w:top w:val="nil"/>
              <w:bottom w:val="nil"/>
            </w:tcBorders>
            <w:shd w:val="clear" w:color="auto" w:fill="D9D9D9" w:themeFill="background1" w:themeFillShade="D9"/>
          </w:tcPr>
          <w:p w14:paraId="386C8EDE" w14:textId="77777777" w:rsidR="0059468F" w:rsidRPr="0059468F" w:rsidRDefault="0059468F" w:rsidP="00396E26">
            <w:pPr>
              <w:spacing w:before="80" w:after="80" w:line="240" w:lineRule="auto"/>
              <w:rPr>
                <w:rFonts w:eastAsia="Calibri"/>
                <w:b/>
                <w:bCs/>
              </w:rPr>
            </w:pPr>
            <w:r w:rsidRPr="0059468F">
              <w:rPr>
                <w:rFonts w:eastAsia="Calibri"/>
                <w:b/>
                <w:bCs/>
              </w:rPr>
              <w:t>Activity</w:t>
            </w:r>
          </w:p>
        </w:tc>
      </w:tr>
      <w:tr w:rsidR="0059468F" w:rsidRPr="00CF595F" w14:paraId="4B0EF1E2" w14:textId="77777777" w:rsidTr="0059468F">
        <w:tc>
          <w:tcPr>
            <w:tcW w:w="3114" w:type="dxa"/>
            <w:tcBorders>
              <w:top w:val="nil"/>
            </w:tcBorders>
          </w:tcPr>
          <w:p w14:paraId="3768D0F4" w14:textId="77777777" w:rsidR="0059468F" w:rsidRDefault="0059468F" w:rsidP="00396E26">
            <w:pPr>
              <w:spacing w:before="80" w:after="80" w:line="240" w:lineRule="auto"/>
              <w:rPr>
                <w:rFonts w:eastAsia="Calibri" w:cs="Segoe UI"/>
              </w:rPr>
            </w:pPr>
            <w:r>
              <w:rPr>
                <w:rFonts w:eastAsia="Calibri" w:cs="Segoe UI"/>
              </w:rPr>
              <w:t xml:space="preserve">5(a)(iii) </w:t>
            </w:r>
            <w:r w:rsidRPr="005B0433">
              <w:rPr>
                <w:rFonts w:cs="Segoe UI"/>
                <w:szCs w:val="24"/>
              </w:rPr>
              <w:t xml:space="preserve">Increase support for primary, intermediate, and secondary school teachers to access resources on AMR and infectious diseases for teaching science, and to utilise them in integrated, student-centred pedagogies. </w:t>
            </w:r>
          </w:p>
        </w:tc>
        <w:tc>
          <w:tcPr>
            <w:tcW w:w="4961" w:type="dxa"/>
            <w:tcBorders>
              <w:top w:val="nil"/>
            </w:tcBorders>
          </w:tcPr>
          <w:p w14:paraId="4B24F5E9" w14:textId="77777777" w:rsidR="0059468F" w:rsidRDefault="0059468F" w:rsidP="00396E26">
            <w:pPr>
              <w:spacing w:before="80" w:after="80" w:line="240" w:lineRule="auto"/>
              <w:rPr>
                <w:rFonts w:eastAsia="Calibri" w:cs="Segoe UI"/>
              </w:rPr>
            </w:pPr>
            <w:r>
              <w:rPr>
                <w:rFonts w:eastAsia="Calibri" w:cs="Segoe UI"/>
              </w:rPr>
              <w:t>Agencies participate in and promote World AMR Awareness Week which runs from 18-24 November each year.</w:t>
            </w:r>
          </w:p>
          <w:p w14:paraId="24C7CB1F" w14:textId="77777777" w:rsidR="0059468F" w:rsidRDefault="0059468F" w:rsidP="00396E26">
            <w:pPr>
              <w:spacing w:before="80" w:after="80" w:line="240" w:lineRule="auto"/>
              <w:rPr>
                <w:rFonts w:eastAsia="Calibri" w:cs="Segoe UI"/>
              </w:rPr>
            </w:pPr>
            <w:r>
              <w:rPr>
                <w:rFonts w:eastAsia="Calibri" w:cs="Segoe UI"/>
              </w:rPr>
              <w:t xml:space="preserve">For World AMR Awareness Week 2023, the Ministry of Health and MPI collaborated to develop a number of resources to support schools and teachers with educating and engaging </w:t>
            </w:r>
            <w:r w:rsidRPr="004F2D4B">
              <w:rPr>
                <w:rFonts w:eastAsia="Calibri" w:cs="Segoe UI"/>
              </w:rPr>
              <w:t xml:space="preserve">rangatahi and tamariki </w:t>
            </w:r>
            <w:r>
              <w:rPr>
                <w:rFonts w:eastAsia="Calibri" w:cs="Segoe UI"/>
              </w:rPr>
              <w:t xml:space="preserve">on infectious disease and the meaning of AMR, including </w:t>
            </w:r>
            <w:r w:rsidRPr="004F2D4B">
              <w:rPr>
                <w:rFonts w:eastAsia="Calibri" w:cs="Segoe UI"/>
              </w:rPr>
              <w:t>how we can all become good antimicrobial stewards.</w:t>
            </w:r>
            <w:r>
              <w:rPr>
                <w:rFonts w:eastAsia="Calibri" w:cs="Segoe UI"/>
              </w:rPr>
              <w:t xml:space="preserve"> </w:t>
            </w:r>
          </w:p>
          <w:p w14:paraId="5AD8F89B" w14:textId="77777777" w:rsidR="0059468F" w:rsidRDefault="0059468F" w:rsidP="00396E26">
            <w:pPr>
              <w:spacing w:before="80" w:after="80" w:line="240" w:lineRule="auto"/>
              <w:rPr>
                <w:rFonts w:eastAsia="Calibri" w:cs="Segoe UI"/>
              </w:rPr>
            </w:pPr>
            <w:r>
              <w:rPr>
                <w:rFonts w:eastAsia="Calibri" w:cs="Segoe UI"/>
              </w:rPr>
              <w:t>This included:</w:t>
            </w:r>
          </w:p>
          <w:p w14:paraId="50C63B95" w14:textId="77777777" w:rsidR="0059468F" w:rsidRPr="00086721" w:rsidRDefault="0059468F" w:rsidP="00396E26">
            <w:pPr>
              <w:pStyle w:val="Bullet"/>
              <w:spacing w:before="80" w:after="80" w:line="240" w:lineRule="auto"/>
              <w:rPr>
                <w:szCs w:val="24"/>
              </w:rPr>
            </w:pPr>
            <w:r>
              <w:rPr>
                <w:szCs w:val="24"/>
              </w:rPr>
              <w:t xml:space="preserve">updating resources on the government-funded Science Learning Hub, which </w:t>
            </w:r>
            <w:r w:rsidRPr="004F2D4B">
              <w:rPr>
                <w:rFonts w:eastAsia="Calibri"/>
              </w:rPr>
              <w:t>provides peer-reviewed teaching resources to make science, technology and engineering more accessible and visible</w:t>
            </w:r>
          </w:p>
          <w:p w14:paraId="5FE8A4D5" w14:textId="77777777" w:rsidR="0059468F" w:rsidRPr="00D365EA" w:rsidRDefault="0059468F" w:rsidP="00396E26">
            <w:pPr>
              <w:pStyle w:val="Bullet"/>
              <w:spacing w:before="80" w:after="80" w:line="240" w:lineRule="auto"/>
              <w:rPr>
                <w:szCs w:val="24"/>
              </w:rPr>
            </w:pPr>
            <w:r>
              <w:rPr>
                <w:szCs w:val="24"/>
              </w:rPr>
              <w:t xml:space="preserve">publishing an article in </w:t>
            </w:r>
            <w:r w:rsidRPr="00D365EA">
              <w:rPr>
                <w:szCs w:val="24"/>
              </w:rPr>
              <w:t>Starters &amp; Strategies</w:t>
            </w:r>
            <w:r>
              <w:rPr>
                <w:szCs w:val="24"/>
              </w:rPr>
              <w:t>, the New Zealand teachers’ magazine (including its online version) which is distributed to 27,000 teachers of students aged 5 to 14</w:t>
            </w:r>
          </w:p>
          <w:p w14:paraId="7B087A2F" w14:textId="77777777" w:rsidR="0059468F" w:rsidRPr="00031E5C" w:rsidRDefault="0059468F" w:rsidP="00396E26">
            <w:pPr>
              <w:pStyle w:val="Bullet"/>
              <w:spacing w:before="80" w:after="80" w:line="240" w:lineRule="auto"/>
              <w:rPr>
                <w:rFonts w:eastAsia="Calibri"/>
              </w:rPr>
            </w:pPr>
            <w:r>
              <w:rPr>
                <w:szCs w:val="24"/>
              </w:rPr>
              <w:t>conducting a webinar with Associate Professor Siouxsie Wiles which gave</w:t>
            </w:r>
            <w:r w:rsidRPr="00585A85">
              <w:rPr>
                <w:szCs w:val="24"/>
              </w:rPr>
              <w:t xml:space="preserve"> participants an understanding of AMR and teaching resources available on the Science Learning Hub website</w:t>
            </w:r>
            <w:r>
              <w:rPr>
                <w:szCs w:val="24"/>
              </w:rPr>
              <w:t xml:space="preserve"> (with a recording of the webinar published on the hub also)</w:t>
            </w:r>
            <w:r w:rsidRPr="00585A85">
              <w:rPr>
                <w:szCs w:val="24"/>
              </w:rPr>
              <w:t xml:space="preserve"> </w:t>
            </w:r>
          </w:p>
          <w:p w14:paraId="0F44521E" w14:textId="77777777" w:rsidR="0059468F" w:rsidRPr="00396E26" w:rsidRDefault="0059468F" w:rsidP="00396E26">
            <w:pPr>
              <w:pStyle w:val="Bullet"/>
              <w:spacing w:before="80" w:after="80" w:line="240" w:lineRule="auto"/>
              <w:rPr>
                <w:rFonts w:eastAsia="Calibri"/>
              </w:rPr>
            </w:pPr>
            <w:r w:rsidRPr="00396E26">
              <w:rPr>
                <w:rFonts w:eastAsia="Calibri"/>
              </w:rPr>
              <w:t>promoting engagement with rangatahi, including releasing an animated video on the use of antibiotics in pets; and engagement with primary and secondary school teachers to encourage participation through classroom activities.</w:t>
            </w:r>
          </w:p>
        </w:tc>
      </w:tr>
      <w:tr w:rsidR="0059468F" w:rsidRPr="00CF595F" w14:paraId="2CE582FB" w14:textId="77777777" w:rsidTr="0059468F">
        <w:tc>
          <w:tcPr>
            <w:tcW w:w="3114" w:type="dxa"/>
          </w:tcPr>
          <w:p w14:paraId="176252A8" w14:textId="77777777" w:rsidR="0059468F" w:rsidRPr="00932738" w:rsidRDefault="0059468F" w:rsidP="00396E26">
            <w:pPr>
              <w:spacing w:before="80" w:after="80" w:line="240" w:lineRule="auto"/>
              <w:rPr>
                <w:rFonts w:eastAsia="Calibri" w:cs="Segoe UI"/>
              </w:rPr>
            </w:pPr>
            <w:r>
              <w:rPr>
                <w:rFonts w:eastAsia="Calibri" w:cs="Segoe UI"/>
              </w:rPr>
              <w:lastRenderedPageBreak/>
              <w:t>5(b)</w:t>
            </w:r>
            <w:r w:rsidRPr="004A3325">
              <w:rPr>
                <w:rFonts w:cs="Segoe UI"/>
                <w:bCs/>
                <w:i/>
                <w:iCs/>
                <w:szCs w:val="28"/>
              </w:rPr>
              <w:t xml:space="preserve"> </w:t>
            </w:r>
            <w:r w:rsidRPr="002F3A01">
              <w:rPr>
                <w:rFonts w:cs="Segoe UI"/>
                <w:bCs/>
                <w:szCs w:val="28"/>
              </w:rPr>
              <w:t xml:space="preserve">Strengthen communications: </w:t>
            </w:r>
            <w:r>
              <w:rPr>
                <w:rFonts w:cs="Segoe UI"/>
                <w:bCs/>
                <w:szCs w:val="28"/>
              </w:rPr>
              <w:t>a</w:t>
            </w:r>
            <w:r w:rsidRPr="002F3A01">
              <w:rPr>
                <w:rFonts w:cs="Segoe UI"/>
                <w:bCs/>
                <w:szCs w:val="28"/>
              </w:rPr>
              <w:t>nimal health and agriculture.</w:t>
            </w:r>
          </w:p>
        </w:tc>
        <w:tc>
          <w:tcPr>
            <w:tcW w:w="4961" w:type="dxa"/>
          </w:tcPr>
          <w:p w14:paraId="3209AB8F" w14:textId="77777777" w:rsidR="0059468F" w:rsidRPr="00932738" w:rsidRDefault="0059468F" w:rsidP="00396E26">
            <w:pPr>
              <w:spacing w:before="80" w:after="80" w:line="240" w:lineRule="auto"/>
              <w:rPr>
                <w:rFonts w:eastAsia="Calibri" w:cs="Segoe UI"/>
              </w:rPr>
            </w:pPr>
            <w:r w:rsidRPr="00932738">
              <w:rPr>
                <w:rFonts w:eastAsia="Calibri" w:cs="Segoe UI"/>
              </w:rPr>
              <w:t xml:space="preserve">MPI’s AMR </w:t>
            </w:r>
            <w:r>
              <w:rPr>
                <w:rFonts w:eastAsia="Calibri" w:cs="Segoe UI"/>
              </w:rPr>
              <w:t>o</w:t>
            </w:r>
            <w:r w:rsidRPr="00932738">
              <w:rPr>
                <w:rFonts w:eastAsia="Calibri" w:cs="Segoe UI"/>
              </w:rPr>
              <w:t xml:space="preserve">utreach </w:t>
            </w:r>
            <w:r>
              <w:rPr>
                <w:rFonts w:eastAsia="Calibri" w:cs="Segoe UI"/>
              </w:rPr>
              <w:t>and t</w:t>
            </w:r>
            <w:r w:rsidRPr="00932738">
              <w:rPr>
                <w:rFonts w:eastAsia="Calibri" w:cs="Segoe UI"/>
              </w:rPr>
              <w:t xml:space="preserve">raining </w:t>
            </w:r>
            <w:r>
              <w:rPr>
                <w:rFonts w:eastAsia="Calibri" w:cs="Segoe UI"/>
              </w:rPr>
              <w:t>staff</w:t>
            </w:r>
            <w:r w:rsidRPr="00932738">
              <w:rPr>
                <w:rFonts w:eastAsia="Calibri" w:cs="Segoe UI"/>
              </w:rPr>
              <w:t xml:space="preserve"> </w:t>
            </w:r>
            <w:r>
              <w:rPr>
                <w:rFonts w:eastAsia="Calibri" w:cs="Segoe UI"/>
              </w:rPr>
              <w:t>and AMR auditors have been communicating</w:t>
            </w:r>
            <w:r w:rsidRPr="00932738">
              <w:rPr>
                <w:rFonts w:eastAsia="Calibri" w:cs="Segoe UI"/>
              </w:rPr>
              <w:t xml:space="preserve"> with veterinarians </w:t>
            </w:r>
            <w:r>
              <w:rPr>
                <w:rFonts w:eastAsia="Calibri" w:cs="Segoe UI"/>
              </w:rPr>
              <w:t xml:space="preserve">and other animal health care professionals (including farmers) to help increase knowledge of AMR, antimicrobial use and stewardship, and IPC. </w:t>
            </w:r>
          </w:p>
          <w:p w14:paraId="0B25316B" w14:textId="77777777" w:rsidR="0059468F" w:rsidRPr="002F3A01" w:rsidRDefault="0059468F" w:rsidP="00396E26">
            <w:pPr>
              <w:spacing w:before="80" w:after="80" w:line="240" w:lineRule="auto"/>
              <w:rPr>
                <w:rFonts w:eastAsia="Calibri" w:cs="Segoe UI"/>
              </w:rPr>
            </w:pPr>
            <w:r w:rsidRPr="00932738">
              <w:rPr>
                <w:rFonts w:eastAsia="Calibri" w:cs="Segoe UI"/>
              </w:rPr>
              <w:t xml:space="preserve">MPI is investigating options to collect antibiotic use data and collecting continual AMR monitoring data which will help inform </w:t>
            </w:r>
            <w:r>
              <w:rPr>
                <w:rFonts w:eastAsia="Calibri" w:cs="Segoe UI"/>
              </w:rPr>
              <w:t>what</w:t>
            </w:r>
            <w:r w:rsidRPr="00932738">
              <w:rPr>
                <w:rFonts w:eastAsia="Calibri" w:cs="Segoe UI"/>
              </w:rPr>
              <w:t xml:space="preserve"> communication </w:t>
            </w:r>
            <w:r>
              <w:rPr>
                <w:rFonts w:eastAsia="Calibri" w:cs="Segoe UI"/>
              </w:rPr>
              <w:t>is needed</w:t>
            </w:r>
            <w:r w:rsidRPr="00932738">
              <w:rPr>
                <w:rFonts w:eastAsia="Calibri" w:cs="Segoe UI"/>
              </w:rPr>
              <w:t xml:space="preserve"> and </w:t>
            </w:r>
            <w:r>
              <w:rPr>
                <w:rFonts w:eastAsia="Calibri" w:cs="Segoe UI"/>
              </w:rPr>
              <w:t>for</w:t>
            </w:r>
            <w:r w:rsidRPr="00932738">
              <w:rPr>
                <w:rFonts w:eastAsia="Calibri" w:cs="Segoe UI"/>
              </w:rPr>
              <w:t xml:space="preserve"> what audience.</w:t>
            </w:r>
          </w:p>
        </w:tc>
      </w:tr>
    </w:tbl>
    <w:p w14:paraId="2579F00C" w14:textId="77777777" w:rsidR="0059468F" w:rsidRPr="0059468F" w:rsidRDefault="0059468F" w:rsidP="0059468F">
      <w:pPr>
        <w:pStyle w:val="Heading2"/>
      </w:pPr>
      <w:bookmarkStart w:id="12" w:name="_Toc190160820"/>
      <w:r w:rsidRPr="0059468F">
        <w:t>Theme 6: Reimagining primary care</w:t>
      </w:r>
      <w:bookmarkEnd w:id="12"/>
    </w:p>
    <w:tbl>
      <w:tblPr>
        <w:tblStyle w:val="TableGrid"/>
        <w:tblW w:w="807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4"/>
        <w:gridCol w:w="4961"/>
      </w:tblGrid>
      <w:tr w:rsidR="0059468F" w:rsidRPr="0059468F" w14:paraId="68434159" w14:textId="77777777" w:rsidTr="0059468F">
        <w:trPr>
          <w:tblHeader/>
        </w:trPr>
        <w:tc>
          <w:tcPr>
            <w:tcW w:w="3114" w:type="dxa"/>
            <w:tcBorders>
              <w:top w:val="nil"/>
              <w:bottom w:val="nil"/>
            </w:tcBorders>
            <w:shd w:val="clear" w:color="auto" w:fill="D9D9D9" w:themeFill="background1" w:themeFillShade="D9"/>
          </w:tcPr>
          <w:p w14:paraId="51FAD11A" w14:textId="77777777" w:rsidR="0059468F" w:rsidRPr="0059468F" w:rsidRDefault="0059468F" w:rsidP="00396E26">
            <w:pPr>
              <w:spacing w:before="80" w:after="80" w:line="240" w:lineRule="auto"/>
              <w:rPr>
                <w:rFonts w:eastAsia="Calibri"/>
                <w:b/>
                <w:bCs/>
              </w:rPr>
            </w:pPr>
            <w:r w:rsidRPr="0059468F">
              <w:rPr>
                <w:rFonts w:eastAsia="Calibri"/>
                <w:b/>
                <w:bCs/>
              </w:rPr>
              <w:t>Recommendation</w:t>
            </w:r>
          </w:p>
        </w:tc>
        <w:tc>
          <w:tcPr>
            <w:tcW w:w="4961" w:type="dxa"/>
            <w:tcBorders>
              <w:top w:val="nil"/>
              <w:bottom w:val="nil"/>
            </w:tcBorders>
            <w:shd w:val="clear" w:color="auto" w:fill="D9D9D9" w:themeFill="background1" w:themeFillShade="D9"/>
          </w:tcPr>
          <w:p w14:paraId="1E34BCFF" w14:textId="77777777" w:rsidR="0059468F" w:rsidRPr="0059468F" w:rsidRDefault="0059468F" w:rsidP="00396E26">
            <w:pPr>
              <w:spacing w:before="80" w:after="80" w:line="240" w:lineRule="auto"/>
              <w:rPr>
                <w:rFonts w:eastAsia="Calibri"/>
                <w:b/>
                <w:bCs/>
              </w:rPr>
            </w:pPr>
            <w:r w:rsidRPr="0059468F">
              <w:rPr>
                <w:rFonts w:eastAsia="Calibri"/>
                <w:b/>
                <w:bCs/>
              </w:rPr>
              <w:t>Activity</w:t>
            </w:r>
          </w:p>
        </w:tc>
      </w:tr>
      <w:tr w:rsidR="0059468F" w:rsidRPr="00CF595F" w14:paraId="365A3898" w14:textId="77777777" w:rsidTr="0059468F">
        <w:tc>
          <w:tcPr>
            <w:tcW w:w="3114" w:type="dxa"/>
            <w:tcBorders>
              <w:top w:val="nil"/>
            </w:tcBorders>
          </w:tcPr>
          <w:p w14:paraId="772EF4CE" w14:textId="77777777" w:rsidR="0059468F" w:rsidRDefault="0059468F" w:rsidP="00396E26">
            <w:pPr>
              <w:spacing w:before="80" w:after="80" w:line="240" w:lineRule="auto"/>
              <w:rPr>
                <w:rFonts w:eastAsia="Calibri" w:cs="Segoe UI"/>
                <w:szCs w:val="24"/>
              </w:rPr>
            </w:pPr>
            <w:r w:rsidRPr="008A3132">
              <w:rPr>
                <w:rFonts w:eastAsia="Calibri" w:cs="Segoe UI"/>
              </w:rPr>
              <w:t>6(a)</w:t>
            </w:r>
            <w:r w:rsidRPr="00185336">
              <w:rPr>
                <w:rFonts w:cs="Segoe UI"/>
                <w:bCs/>
                <w:i/>
                <w:iCs/>
                <w:szCs w:val="28"/>
              </w:rPr>
              <w:t xml:space="preserve"> </w:t>
            </w:r>
            <w:r w:rsidRPr="005C22B9">
              <w:rPr>
                <w:rFonts w:cs="Segoe UI"/>
                <w:bCs/>
                <w:szCs w:val="28"/>
              </w:rPr>
              <w:t>Enhance equity and remove barriers to accessing healthcare and appropriate antimicrobial therapies.</w:t>
            </w:r>
          </w:p>
        </w:tc>
        <w:tc>
          <w:tcPr>
            <w:tcW w:w="4961" w:type="dxa"/>
            <w:tcBorders>
              <w:top w:val="nil"/>
            </w:tcBorders>
          </w:tcPr>
          <w:p w14:paraId="5F727E3E" w14:textId="77777777" w:rsidR="0059468F" w:rsidRDefault="0059468F" w:rsidP="00396E26">
            <w:pPr>
              <w:spacing w:before="80" w:after="80" w:line="240" w:lineRule="auto"/>
              <w:rPr>
                <w:rFonts w:eastAsia="Calibri" w:cs="Segoe UI"/>
                <w:szCs w:val="24"/>
              </w:rPr>
            </w:pPr>
            <w:r>
              <w:rPr>
                <w:rFonts w:eastAsia="Calibri" w:cs="Segoe UI"/>
                <w:szCs w:val="24"/>
              </w:rPr>
              <w:t>In general, this</w:t>
            </w:r>
            <w:r w:rsidRPr="005262D0">
              <w:rPr>
                <w:rFonts w:eastAsia="Calibri" w:cs="Segoe UI"/>
                <w:szCs w:val="24"/>
              </w:rPr>
              <w:t xml:space="preserve"> recommendation align</w:t>
            </w:r>
            <w:r>
              <w:rPr>
                <w:rFonts w:eastAsia="Calibri" w:cs="Segoe UI"/>
                <w:szCs w:val="24"/>
              </w:rPr>
              <w:t>s</w:t>
            </w:r>
            <w:r w:rsidRPr="005262D0">
              <w:rPr>
                <w:rFonts w:eastAsia="Calibri" w:cs="Segoe UI"/>
                <w:szCs w:val="24"/>
              </w:rPr>
              <w:t xml:space="preserve"> with the objectives of the health and disability reforms and activity already underway </w:t>
            </w:r>
            <w:r>
              <w:rPr>
                <w:rFonts w:eastAsia="Calibri" w:cs="Segoe UI"/>
                <w:szCs w:val="24"/>
              </w:rPr>
              <w:t>which build</w:t>
            </w:r>
            <w:r w:rsidRPr="005262D0">
              <w:rPr>
                <w:rFonts w:eastAsia="Calibri" w:cs="Segoe UI"/>
                <w:szCs w:val="24"/>
              </w:rPr>
              <w:t xml:space="preserve"> on the learnings from </w:t>
            </w:r>
            <w:r>
              <w:rPr>
                <w:rFonts w:eastAsia="Calibri" w:cs="Segoe UI"/>
                <w:szCs w:val="24"/>
              </w:rPr>
              <w:t xml:space="preserve">the </w:t>
            </w:r>
            <w:r w:rsidRPr="005262D0">
              <w:rPr>
                <w:rFonts w:eastAsia="Calibri" w:cs="Segoe UI"/>
                <w:szCs w:val="24"/>
              </w:rPr>
              <w:t>Covid-19</w:t>
            </w:r>
            <w:r>
              <w:rPr>
                <w:rFonts w:eastAsia="Calibri" w:cs="Segoe UI"/>
                <w:szCs w:val="24"/>
              </w:rPr>
              <w:t xml:space="preserve"> response – for example</w:t>
            </w:r>
            <w:r w:rsidRPr="005262D0">
              <w:rPr>
                <w:rFonts w:eastAsia="Calibri" w:cs="Segoe UI"/>
                <w:szCs w:val="24"/>
              </w:rPr>
              <w:t xml:space="preserve">, </w:t>
            </w:r>
            <w:r>
              <w:rPr>
                <w:rFonts w:eastAsia="Calibri" w:cs="Segoe UI"/>
                <w:szCs w:val="24"/>
              </w:rPr>
              <w:t>supporting</w:t>
            </w:r>
            <w:r w:rsidRPr="005262D0">
              <w:rPr>
                <w:rFonts w:eastAsia="Calibri" w:cs="Segoe UI"/>
                <w:szCs w:val="24"/>
              </w:rPr>
              <w:t xml:space="preserve"> </w:t>
            </w:r>
            <w:r>
              <w:rPr>
                <w:rFonts w:eastAsia="Calibri" w:cs="Segoe UI"/>
                <w:szCs w:val="24"/>
              </w:rPr>
              <w:t>increased</w:t>
            </w:r>
            <w:r w:rsidRPr="005262D0">
              <w:rPr>
                <w:rFonts w:eastAsia="Calibri" w:cs="Segoe UI"/>
                <w:szCs w:val="24"/>
              </w:rPr>
              <w:t xml:space="preserve"> use of virtual consultations and ensuring services are accessible and convenient for all New Zealanders.</w:t>
            </w:r>
          </w:p>
          <w:p w14:paraId="4661F0A8" w14:textId="77777777" w:rsidR="0059468F" w:rsidRPr="00CC7C42" w:rsidRDefault="0059468F" w:rsidP="00396E26">
            <w:pPr>
              <w:spacing w:before="80" w:after="80" w:line="240" w:lineRule="auto"/>
              <w:rPr>
                <w:rFonts w:eastAsia="Calibri" w:cs="Segoe UI"/>
                <w:szCs w:val="24"/>
              </w:rPr>
            </w:pPr>
            <w:r w:rsidRPr="007C459D">
              <w:rPr>
                <w:rFonts w:eastAsia="Calibri" w:cs="Segoe UI"/>
                <w:szCs w:val="24"/>
              </w:rPr>
              <w:t xml:space="preserve">Virtual consultations continue to be used in primary and secondary </w:t>
            </w:r>
            <w:r>
              <w:rPr>
                <w:rFonts w:eastAsia="Calibri" w:cs="Segoe UI"/>
                <w:szCs w:val="24"/>
              </w:rPr>
              <w:t>health</w:t>
            </w:r>
            <w:r w:rsidRPr="007C459D">
              <w:rPr>
                <w:rFonts w:eastAsia="Calibri" w:cs="Segoe UI"/>
                <w:szCs w:val="24"/>
              </w:rPr>
              <w:t xml:space="preserve"> setting</w:t>
            </w:r>
            <w:r>
              <w:rPr>
                <w:rFonts w:eastAsia="Calibri" w:cs="Segoe UI"/>
                <w:szCs w:val="24"/>
              </w:rPr>
              <w:t>s</w:t>
            </w:r>
            <w:r w:rsidRPr="007C459D">
              <w:rPr>
                <w:rFonts w:eastAsia="Calibri" w:cs="Segoe UI"/>
                <w:szCs w:val="24"/>
              </w:rPr>
              <w:t xml:space="preserve"> where care can be adequately delivered this way. </w:t>
            </w:r>
            <w:r>
              <w:rPr>
                <w:rFonts w:eastAsia="Calibri" w:cs="Segoe UI"/>
                <w:szCs w:val="24"/>
              </w:rPr>
              <w:t>Ensuring e</w:t>
            </w:r>
            <w:r w:rsidRPr="007C459D">
              <w:rPr>
                <w:rFonts w:eastAsia="Calibri" w:cs="Segoe UI"/>
                <w:szCs w:val="24"/>
              </w:rPr>
              <w:t xml:space="preserve">quity of access and cultural safety </w:t>
            </w:r>
            <w:r>
              <w:rPr>
                <w:rFonts w:eastAsia="Calibri" w:cs="Segoe UI"/>
                <w:szCs w:val="24"/>
              </w:rPr>
              <w:t>are considerations that need to be</w:t>
            </w:r>
            <w:r w:rsidRPr="007C459D">
              <w:rPr>
                <w:rFonts w:eastAsia="Calibri" w:cs="Segoe UI"/>
                <w:szCs w:val="24"/>
              </w:rPr>
              <w:t xml:space="preserve"> factored in.</w:t>
            </w:r>
          </w:p>
        </w:tc>
      </w:tr>
      <w:tr w:rsidR="0059468F" w:rsidRPr="00CF595F" w14:paraId="5A76BA9E" w14:textId="77777777" w:rsidTr="0059468F">
        <w:tc>
          <w:tcPr>
            <w:tcW w:w="3114" w:type="dxa"/>
          </w:tcPr>
          <w:p w14:paraId="3E39F7B6" w14:textId="77777777" w:rsidR="0059468F" w:rsidRDefault="0059468F" w:rsidP="00396E26">
            <w:pPr>
              <w:spacing w:before="80" w:after="80" w:line="240" w:lineRule="auto"/>
              <w:rPr>
                <w:rFonts w:eastAsia="Calibri" w:cs="Segoe UI"/>
                <w:szCs w:val="24"/>
              </w:rPr>
            </w:pPr>
            <w:r>
              <w:rPr>
                <w:rFonts w:eastAsia="Calibri" w:cs="Segoe UI"/>
              </w:rPr>
              <w:t xml:space="preserve">6(a)(iv) </w:t>
            </w:r>
            <w:r w:rsidRPr="005262D0">
              <w:rPr>
                <w:rFonts w:cs="Segoe UI"/>
                <w:szCs w:val="24"/>
              </w:rPr>
              <w:t>Investigate mechanisms for removing financial barriers to prescription antimicrobials.</w:t>
            </w:r>
          </w:p>
        </w:tc>
        <w:tc>
          <w:tcPr>
            <w:tcW w:w="4961" w:type="dxa"/>
          </w:tcPr>
          <w:p w14:paraId="50E0C873" w14:textId="77777777" w:rsidR="0059468F" w:rsidRDefault="0059468F" w:rsidP="00396E26">
            <w:pPr>
              <w:spacing w:before="80" w:after="80" w:line="240" w:lineRule="auto"/>
              <w:rPr>
                <w:rFonts w:eastAsia="Calibri" w:cs="Segoe UI"/>
                <w:szCs w:val="24"/>
              </w:rPr>
            </w:pPr>
            <w:r>
              <w:rPr>
                <w:rFonts w:eastAsia="Calibri" w:cs="Segoe UI"/>
                <w:szCs w:val="24"/>
              </w:rPr>
              <w:t>From 1 July 2024, prescriptions are free for people with Community Services Cards, people under 14 and people aged 65 and over.</w:t>
            </w:r>
          </w:p>
        </w:tc>
      </w:tr>
    </w:tbl>
    <w:p w14:paraId="17E22D3F" w14:textId="77777777" w:rsidR="0059468F" w:rsidRDefault="0059468F" w:rsidP="0059468F">
      <w:pPr>
        <w:tabs>
          <w:tab w:val="left" w:pos="5535"/>
        </w:tabs>
        <w:spacing w:before="360"/>
        <w:rPr>
          <w:rFonts w:cs="Segoe UI"/>
          <w:b/>
          <w:bCs/>
          <w:color w:val="2F5496"/>
          <w:sz w:val="28"/>
          <w:szCs w:val="28"/>
        </w:rPr>
      </w:pPr>
    </w:p>
    <w:p w14:paraId="5AEE884D" w14:textId="77777777" w:rsidR="0059468F" w:rsidRDefault="0059468F" w:rsidP="0059468F">
      <w:pPr>
        <w:rPr>
          <w:rFonts w:cs="Segoe UI"/>
          <w:b/>
          <w:bCs/>
          <w:color w:val="2F5496"/>
          <w:sz w:val="28"/>
          <w:szCs w:val="28"/>
        </w:rPr>
      </w:pPr>
      <w:r>
        <w:rPr>
          <w:rFonts w:cs="Segoe UI"/>
          <w:b/>
          <w:bCs/>
          <w:color w:val="2F5496"/>
          <w:sz w:val="28"/>
          <w:szCs w:val="28"/>
        </w:rPr>
        <w:br w:type="page"/>
      </w:r>
    </w:p>
    <w:p w14:paraId="0BEFD794" w14:textId="5CD462FD" w:rsidR="0059468F" w:rsidRPr="006B107E" w:rsidRDefault="0059468F" w:rsidP="0059468F">
      <w:pPr>
        <w:pStyle w:val="Heading1"/>
        <w:rPr>
          <w:rFonts w:ascii="Calibri Light" w:hAnsi="Calibri Light"/>
        </w:rPr>
      </w:pPr>
      <w:bookmarkStart w:id="13" w:name="_Toc190160821"/>
      <w:r>
        <w:lastRenderedPageBreak/>
        <w:t xml:space="preserve">There is more work </w:t>
      </w:r>
      <w:r>
        <w:br/>
        <w:t>to do</w:t>
      </w:r>
      <w:bookmarkEnd w:id="13"/>
    </w:p>
    <w:p w14:paraId="0B2E07EF" w14:textId="770F5573" w:rsidR="0059468F" w:rsidRDefault="0059468F" w:rsidP="0059468F">
      <w:r w:rsidRPr="0013006F">
        <w:t>The World Health Organization (WHO) has declared AMR one of the top 10 global public health threats facing humanity.</w:t>
      </w:r>
    </w:p>
    <w:p w14:paraId="224E0A40" w14:textId="77777777" w:rsidR="0059468F" w:rsidRPr="0013006F" w:rsidRDefault="0059468F" w:rsidP="0059468F"/>
    <w:p w14:paraId="7FF31404" w14:textId="77777777" w:rsidR="0059468F" w:rsidRPr="0013006F" w:rsidRDefault="0059468F" w:rsidP="0059468F">
      <w:r w:rsidRPr="0013006F">
        <w:t>Published by the WHO in June 2023</w:t>
      </w:r>
      <w:r>
        <w:t>,</w:t>
      </w:r>
      <w:r w:rsidRPr="0013006F">
        <w:t xml:space="preserve"> </w:t>
      </w:r>
      <w:r w:rsidRPr="0059468F">
        <w:rPr>
          <w:i/>
          <w:iCs/>
        </w:rPr>
        <w:t>Health and Economic Impacts of Antimicrobial Resistance in the Western Pacific Region, 2020–2030</w:t>
      </w:r>
      <w:r w:rsidRPr="0013006F">
        <w:t xml:space="preserve"> estimates that:</w:t>
      </w:r>
    </w:p>
    <w:p w14:paraId="2B53E680" w14:textId="77777777" w:rsidR="0059468F" w:rsidRPr="0013006F" w:rsidRDefault="0059468F" w:rsidP="0059468F">
      <w:pPr>
        <w:pStyle w:val="Bullet"/>
      </w:pPr>
      <w:r w:rsidRPr="0013006F">
        <w:t>5.2 million people in the Western Pacific Region will die as a result of drug-resistant bacterial infections between now and the end of 2030</w:t>
      </w:r>
    </w:p>
    <w:p w14:paraId="4CBE7884" w14:textId="77777777" w:rsidR="0059468F" w:rsidRPr="0013006F" w:rsidRDefault="0059468F" w:rsidP="0059468F">
      <w:pPr>
        <w:pStyle w:val="Bullet"/>
      </w:pPr>
      <w:r w:rsidRPr="0013006F">
        <w:t xml:space="preserve">AMR will cost the Western Pacific Region a total of US$148 billion (NZ$248b) between 2020 and 2030 – nearly 10% of the </w:t>
      </w:r>
      <w:r>
        <w:t>r</w:t>
      </w:r>
      <w:r w:rsidRPr="0013006F">
        <w:t>egion’s total health expenditure in 2019 – due to lost productivity and additional health-care expenses</w:t>
      </w:r>
    </w:p>
    <w:p w14:paraId="42224CC0" w14:textId="77777777" w:rsidR="0059468F" w:rsidRPr="0013006F" w:rsidRDefault="0059468F" w:rsidP="0059468F">
      <w:pPr>
        <w:pStyle w:val="Bullet"/>
      </w:pPr>
      <w:r w:rsidRPr="0013006F">
        <w:t xml:space="preserve">by the end of 2030, patients with antimicrobial-resistant infections in the </w:t>
      </w:r>
      <w:r>
        <w:t>r</w:t>
      </w:r>
      <w:r w:rsidRPr="0013006F">
        <w:t>egion will spend an estimated 172 million extra days in hospital.</w:t>
      </w:r>
    </w:p>
    <w:p w14:paraId="46131427" w14:textId="77777777" w:rsidR="0059468F" w:rsidRDefault="0059468F" w:rsidP="0059468F"/>
    <w:p w14:paraId="38E731B3" w14:textId="64F8FBB3" w:rsidR="0059468F" w:rsidRDefault="0059468F" w:rsidP="0059468F">
      <w:r w:rsidRPr="0013006F">
        <w:t>COVID-19 highlighted the need for a regional, national</w:t>
      </w:r>
      <w:r>
        <w:t>,</w:t>
      </w:r>
      <w:r w:rsidRPr="0013006F">
        <w:t xml:space="preserve"> global </w:t>
      </w:r>
      <w:r>
        <w:t xml:space="preserve">and cross-species </w:t>
      </w:r>
      <w:r w:rsidRPr="0013006F">
        <w:t xml:space="preserve">approach when fighting disease. It also </w:t>
      </w:r>
      <w:r>
        <w:t>emphasised</w:t>
      </w:r>
      <w:r w:rsidRPr="0013006F">
        <w:t xml:space="preserve"> the same social and economic effects</w:t>
      </w:r>
      <w:r>
        <w:t xml:space="preserve"> and inequities</w:t>
      </w:r>
      <w:r w:rsidRPr="0013006F">
        <w:t xml:space="preserve"> </w:t>
      </w:r>
      <w:r>
        <w:t>that</w:t>
      </w:r>
      <w:r w:rsidRPr="0013006F">
        <w:t xml:space="preserve"> occur with </w:t>
      </w:r>
      <w:r>
        <w:t>AMR</w:t>
      </w:r>
      <w:r w:rsidRPr="0013006F">
        <w:t>. These effects will increase greatly unless we work together to fight AMR.</w:t>
      </w:r>
    </w:p>
    <w:p w14:paraId="3EDCF292" w14:textId="77777777" w:rsidR="0059468F" w:rsidRPr="0013006F" w:rsidRDefault="0059468F" w:rsidP="0059468F"/>
    <w:p w14:paraId="186A729A" w14:textId="3D529E23" w:rsidR="0059468F" w:rsidRDefault="0059468F" w:rsidP="0059468F">
      <w:r>
        <w:t>An</w:t>
      </w:r>
      <w:r w:rsidRPr="0013006F">
        <w:t xml:space="preserve"> </w:t>
      </w:r>
      <w:r>
        <w:t>ongoing, localised</w:t>
      </w:r>
      <w:r w:rsidRPr="0013006F">
        <w:t xml:space="preserve"> outbreak of VRE (Vancomycin-resistant Enterococcus) demonstrates the need for New Zealand to not be complacent and act proactively to minimise the risk of AMR and ensure the appropriate use of antimicrobials.</w:t>
      </w:r>
    </w:p>
    <w:p w14:paraId="2589690D" w14:textId="77777777" w:rsidR="0059468F" w:rsidRDefault="0059468F" w:rsidP="0059468F"/>
    <w:p w14:paraId="46BB37DD" w14:textId="238FE460" w:rsidR="0059468F" w:rsidRDefault="0059468F" w:rsidP="0059468F">
      <w:r w:rsidRPr="005F47F8">
        <w:t>The last few years have</w:t>
      </w:r>
      <w:r>
        <w:t xml:space="preserve"> also</w:t>
      </w:r>
      <w:r w:rsidRPr="005F47F8">
        <w:t xml:space="preserve"> seen MRSA</w:t>
      </w:r>
      <w:r>
        <w:t xml:space="preserve"> (Methicillin-resistant Staphylococcus aureus)</w:t>
      </w:r>
      <w:r w:rsidRPr="005F47F8">
        <w:t xml:space="preserve"> infections in dairy herds, where genetic analysis suggests the infection spread from humans to cattle. This highlights the need for a One Health approach to AMR, as well as the need for further education in infection prevention and control. </w:t>
      </w:r>
    </w:p>
    <w:p w14:paraId="623909BE" w14:textId="77777777" w:rsidR="0059468F" w:rsidRPr="005F47F8" w:rsidRDefault="0059468F" w:rsidP="0059468F"/>
    <w:p w14:paraId="175B02C9" w14:textId="4137BA2E" w:rsidR="0059468F" w:rsidRDefault="0059468F" w:rsidP="0059468F">
      <w:r w:rsidRPr="0013006F">
        <w:t xml:space="preserve">In addition to the actions noted in this report, the Kotahitanga report will inform and be a key input to </w:t>
      </w:r>
      <w:r>
        <w:t>developing</w:t>
      </w:r>
      <w:r w:rsidRPr="0013006F">
        <w:t xml:space="preserve"> </w:t>
      </w:r>
      <w:r>
        <w:t>future AMR strategies and action plans</w:t>
      </w:r>
      <w:r w:rsidRPr="0013006F">
        <w:t>.</w:t>
      </w:r>
      <w:r>
        <w:t xml:space="preserve"> The Kotahitanga report also emphasised the increasing recognition of the role and impact of the environment on AMR. We anticipate that being an increasing part of our One Health approach.</w:t>
      </w:r>
    </w:p>
    <w:p w14:paraId="11EE4FBB" w14:textId="77777777" w:rsidR="0059468F" w:rsidRDefault="0059468F" w:rsidP="0059468F"/>
    <w:p w14:paraId="28235804" w14:textId="7E756450" w:rsidR="009A42D5" w:rsidRDefault="0059468F" w:rsidP="0059468F">
      <w:r>
        <w:t xml:space="preserve">Finally, future work on AMR will also reflect the significant changes to New Zealand’s health and disability system since the publication of the first Action Plan and the </w:t>
      </w:r>
      <w:r w:rsidRPr="005B5FB3">
        <w:t>Kotahitanga</w:t>
      </w:r>
      <w:r>
        <w:t xml:space="preserve"> report. Health NZ now leads the day-to-day running of the health system across New Zealand and manages all health services, including hospital and specialist services, and primary and community care. The Ministry of Health advises the Government on policy, sets direction, and regulates and monitors the health system to ensure it performs well and delivers better health outcomes for everyone. </w:t>
      </w:r>
    </w:p>
    <w:sectPr w:rsidR="009A42D5" w:rsidSect="0059468F">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BD69" w14:textId="77777777" w:rsidR="004221F5" w:rsidRDefault="004221F5">
      <w:r>
        <w:separator/>
      </w:r>
    </w:p>
    <w:p w14:paraId="41264906" w14:textId="77777777" w:rsidR="004221F5" w:rsidRDefault="004221F5"/>
  </w:endnote>
  <w:endnote w:type="continuationSeparator" w:id="0">
    <w:p w14:paraId="5C3B7A15" w14:textId="77777777" w:rsidR="004221F5" w:rsidRDefault="004221F5">
      <w:r>
        <w:continuationSeparator/>
      </w:r>
    </w:p>
    <w:p w14:paraId="70C751C4" w14:textId="77777777" w:rsidR="004221F5" w:rsidRDefault="0042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6A436329"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59468F">
      <w:rPr>
        <w:b/>
      </w:rPr>
      <w:t>5</w:t>
    </w:r>
    <w:r w:rsidRPr="00581136">
      <w:rPr>
        <w:b/>
      </w:rPr>
      <w:tab/>
      <w:t>health.govt.nz</w:t>
    </w:r>
  </w:p>
  <w:p w14:paraId="524869F6" w14:textId="77777777" w:rsidR="005A79E5" w:rsidRPr="005A79E5" w:rsidRDefault="005A79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77777777" w:rsidR="00D662F8" w:rsidRDefault="00D662F8" w:rsidP="00926083">
          <w:pPr>
            <w:pStyle w:val="RectoFooter"/>
            <w:jc w:val="left"/>
          </w:pPr>
          <w:r>
            <w:t>[INSERT TITLE]</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11C42C23" w14:textId="77777777" w:rsidR="0059468F" w:rsidRPr="009300E9" w:rsidRDefault="0059468F" w:rsidP="0059468F">
          <w:pPr>
            <w:pStyle w:val="RectoFooter"/>
          </w:pPr>
          <w:r w:rsidRPr="009300E9">
            <w:t xml:space="preserve">Government response to the report from the Prime Minister’s Chief Science Advisor: </w:t>
          </w:r>
        </w:p>
        <w:p w14:paraId="20E2F0CC" w14:textId="38521C18" w:rsidR="00D662F8" w:rsidRPr="009300E9" w:rsidRDefault="0059468F" w:rsidP="0059468F">
          <w:pPr>
            <w:pStyle w:val="RectoFooter"/>
          </w:pPr>
          <w:r w:rsidRPr="009300E9">
            <w:t>Kotahitanga: Uniting Aotearoa against infectious disease and antimicrobial resistance</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396E26" w14:paraId="549FD25B" w14:textId="77777777" w:rsidTr="00DE058F">
      <w:trPr>
        <w:cantSplit/>
      </w:trPr>
      <w:tc>
        <w:tcPr>
          <w:tcW w:w="675" w:type="dxa"/>
          <w:vAlign w:val="center"/>
        </w:tcPr>
        <w:p w14:paraId="23FF319D" w14:textId="77777777" w:rsidR="00396E26" w:rsidRPr="00931466" w:rsidRDefault="00396E26" w:rsidP="00396E2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01F269C" w14:textId="77777777" w:rsidR="00396E26" w:rsidRPr="009300E9" w:rsidRDefault="00396E26" w:rsidP="00396E26">
          <w:pPr>
            <w:pStyle w:val="RectoFooter"/>
            <w:jc w:val="left"/>
          </w:pPr>
          <w:r w:rsidRPr="009300E9">
            <w:t xml:space="preserve">Government response to the report from the Prime Minister’s Chief Science Advisor: </w:t>
          </w:r>
        </w:p>
        <w:p w14:paraId="1618E898" w14:textId="77777777" w:rsidR="00396E26" w:rsidRDefault="00396E26" w:rsidP="00396E26">
          <w:pPr>
            <w:pStyle w:val="RectoFooter"/>
            <w:jc w:val="left"/>
          </w:pPr>
          <w:r w:rsidRPr="009300E9">
            <w:t>Kotahitanga: Uniting Aotearoa against infectious disease and antimicrobial resistance</w:t>
          </w:r>
        </w:p>
      </w:tc>
    </w:tr>
  </w:tbl>
  <w:p w14:paraId="7CA52C00" w14:textId="77777777" w:rsidR="00926083" w:rsidRPr="00396E26" w:rsidRDefault="00926083" w:rsidP="00396E26">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6C0726A5" w14:textId="77777777" w:rsidR="0059468F" w:rsidRPr="009300E9" w:rsidRDefault="0059468F" w:rsidP="0059468F">
          <w:pPr>
            <w:pStyle w:val="RectoFooter"/>
            <w:jc w:val="left"/>
          </w:pPr>
          <w:r w:rsidRPr="009300E9">
            <w:t xml:space="preserve">Government response to the report from the Prime Minister’s Chief Science Advisor: </w:t>
          </w:r>
        </w:p>
        <w:p w14:paraId="27262A64" w14:textId="69627F00" w:rsidR="00D662F8" w:rsidRDefault="0059468F" w:rsidP="0059468F">
          <w:pPr>
            <w:pStyle w:val="RectoFooter"/>
            <w:jc w:val="left"/>
          </w:pPr>
          <w:r w:rsidRPr="009300E9">
            <w:t>Kotahitanga: Uniting Aotearoa against infectious disease and antimicrobial resistance</w:t>
          </w:r>
        </w:p>
      </w:tc>
    </w:tr>
  </w:tbl>
  <w:p w14:paraId="5177CEA2" w14:textId="77777777" w:rsidR="00926083" w:rsidRPr="00571223" w:rsidRDefault="00926083"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7337729" w14:textId="77777777" w:rsidTr="00D662F8">
      <w:trPr>
        <w:cantSplit/>
      </w:trPr>
      <w:tc>
        <w:tcPr>
          <w:tcW w:w="8080" w:type="dxa"/>
          <w:vAlign w:val="center"/>
        </w:tcPr>
        <w:p w14:paraId="145C9A55" w14:textId="42082100" w:rsidR="0059468F" w:rsidRPr="009300E9" w:rsidRDefault="0059468F" w:rsidP="0059468F">
          <w:pPr>
            <w:pStyle w:val="RectoFooter"/>
          </w:pPr>
          <w:r w:rsidRPr="009300E9">
            <w:t xml:space="preserve">Government response to the report from the Prime Minister’s Chief Science Advisor: </w:t>
          </w:r>
        </w:p>
        <w:p w14:paraId="1A33CBD1" w14:textId="7EBA13B0" w:rsidR="00D662F8" w:rsidRPr="009300E9" w:rsidRDefault="0059468F" w:rsidP="0059468F">
          <w:pPr>
            <w:pStyle w:val="RectoFooter"/>
          </w:pPr>
          <w:r w:rsidRPr="009300E9">
            <w:t>Kotahitanga: Uniting Aotearoa against infectious disease and antimicrobial resistance</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F82A" w14:textId="77777777" w:rsidR="004221F5" w:rsidRPr="00A26E6B" w:rsidRDefault="004221F5" w:rsidP="00A26E6B"/>
  </w:footnote>
  <w:footnote w:type="continuationSeparator" w:id="0">
    <w:p w14:paraId="6FDCCB87" w14:textId="77777777" w:rsidR="004221F5" w:rsidRDefault="004221F5">
      <w:r>
        <w:continuationSeparator/>
      </w:r>
    </w:p>
    <w:p w14:paraId="0478EF3C" w14:textId="77777777" w:rsidR="004221F5" w:rsidRDefault="004221F5"/>
  </w:footnote>
  <w:footnote w:id="1">
    <w:p w14:paraId="54BCCDF9" w14:textId="0147B188" w:rsidR="0059468F" w:rsidRDefault="0059468F" w:rsidP="0059468F">
      <w:pPr>
        <w:pStyle w:val="FootnoteText"/>
      </w:pPr>
      <w:r>
        <w:rPr>
          <w:rStyle w:val="FootnoteReference"/>
        </w:rPr>
        <w:footnoteRef/>
      </w:r>
      <w:r>
        <w:t xml:space="preserve"> </w:t>
      </w:r>
      <w:hyperlink r:id="rId1" w:history="1">
        <w:r w:rsidRPr="005761A8">
          <w:rPr>
            <w:rStyle w:val="Hyperlink"/>
            <w:rFonts w:cs="Segoe UI"/>
          </w:rPr>
          <w:t>pmcsa.ac.nz/topics/antimicrobial-resistance-and-infectious-disease</w:t>
        </w:r>
      </w:hyperlink>
    </w:p>
  </w:footnote>
  <w:footnote w:id="2">
    <w:p w14:paraId="6A36A265" w14:textId="61FB14EB" w:rsidR="0059468F" w:rsidRDefault="0059468F" w:rsidP="0059468F">
      <w:pPr>
        <w:pStyle w:val="FootnoteText"/>
        <w:spacing w:after="120"/>
      </w:pPr>
      <w:r>
        <w:rPr>
          <w:rStyle w:val="FootnoteReference"/>
        </w:rPr>
        <w:footnoteRef/>
      </w:r>
      <w:r>
        <w:t xml:space="preserve"> </w:t>
      </w:r>
      <w:hyperlink r:id="rId2" w:history="1">
        <w:r w:rsidR="001C281F">
          <w:rPr>
            <w:rStyle w:val="Hyperlink"/>
            <w:rFonts w:cs="Segoe UI"/>
          </w:rPr>
          <w:t>health.govt.nz/publications/new-zealand-antimicrobial-resistance-action-plan</w:t>
        </w:r>
      </w:hyperlink>
    </w:p>
  </w:footnote>
  <w:footnote w:id="3">
    <w:p w14:paraId="6D92759A" w14:textId="019F9DB1" w:rsidR="0059468F" w:rsidRDefault="0059468F" w:rsidP="0059468F">
      <w:pPr>
        <w:pStyle w:val="FootnoteText"/>
      </w:pPr>
      <w:r>
        <w:rPr>
          <w:rStyle w:val="FootnoteReference"/>
        </w:rPr>
        <w:footnoteRef/>
      </w:r>
      <w:r>
        <w:t xml:space="preserve"> </w:t>
      </w:r>
      <w:hyperlink r:id="rId3" w:history="1">
        <w:r w:rsidR="00127885">
          <w:rPr>
            <w:rStyle w:val="Hyperlink"/>
            <w:rFonts w:eastAsia="Calibri" w:cs="Segoe UI"/>
          </w:rPr>
          <w:t>teniwha.com/research-projects/addressing-inequity-in-antibiotic-use-strengthening-antimicrobial-stewardship-throughout-aotearoa-to-improve-the-health-of-new-zealanders</w:t>
        </w:r>
      </w:hyperlink>
    </w:p>
  </w:footnote>
  <w:footnote w:id="4">
    <w:p w14:paraId="62BF4056" w14:textId="08213E6B" w:rsidR="00560F23" w:rsidRDefault="00560F23">
      <w:pPr>
        <w:pStyle w:val="FootnoteText"/>
      </w:pPr>
      <w:r>
        <w:rPr>
          <w:rStyle w:val="FootnoteReference"/>
        </w:rPr>
        <w:footnoteRef/>
      </w:r>
      <w:r>
        <w:t xml:space="preserve"> </w:t>
      </w:r>
      <w:hyperlink r:id="rId4" w:history="1">
        <w:r w:rsidR="00D51E38" w:rsidRPr="00D51E38">
          <w:rPr>
            <w:rStyle w:val="Hyperlink"/>
          </w:rPr>
          <w:t>health.govt.nz/publications/public-health-surveillance-strategy-2025-2030</w:t>
        </w:r>
      </w:hyperlink>
    </w:p>
  </w:footnote>
  <w:footnote w:id="5">
    <w:p w14:paraId="26B67FF2" w14:textId="36F48C7D" w:rsidR="0059468F" w:rsidRDefault="0059468F" w:rsidP="0059468F">
      <w:pPr>
        <w:pStyle w:val="FootnoteText"/>
      </w:pPr>
      <w:r>
        <w:rPr>
          <w:rStyle w:val="FootnoteReference"/>
        </w:rPr>
        <w:footnoteRef/>
      </w:r>
      <w:r>
        <w:t xml:space="preserve"> </w:t>
      </w:r>
      <w:hyperlink r:id="rId5" w:history="1">
        <w:r w:rsidRPr="0077710A">
          <w:rPr>
            <w:rStyle w:val="Hyperlink"/>
          </w:rPr>
          <w:t>tewhatuora.govt.nz/publications/initial-priorities-for-the-national-immunisation-programme-in-aotearoa</w:t>
        </w:r>
      </w:hyperlink>
    </w:p>
  </w:footnote>
  <w:footnote w:id="6">
    <w:p w14:paraId="42572913" w14:textId="45AB40AA" w:rsidR="0059468F" w:rsidRDefault="0059468F" w:rsidP="0059468F">
      <w:pPr>
        <w:pStyle w:val="FootnoteText"/>
      </w:pPr>
      <w:r>
        <w:rPr>
          <w:rStyle w:val="FootnoteReference"/>
        </w:rPr>
        <w:footnoteRef/>
      </w:r>
      <w:r>
        <w:t xml:space="preserve"> </w:t>
      </w:r>
      <w:hyperlink r:id="rId6" w:history="1">
        <w:r w:rsidR="00BE13A4">
          <w:rPr>
            <w:rStyle w:val="Hyperlink"/>
          </w:rPr>
          <w:t>teniwha.com/assets/Uploads/Te-Niwha_Full-Report_Likely-future-pandemic-agents-and-scenarios_Web.pdf</w:t>
        </w:r>
      </w:hyperlink>
    </w:p>
  </w:footnote>
  <w:footnote w:id="7">
    <w:p w14:paraId="24CFA6A7" w14:textId="66299F0B" w:rsidR="0059468F" w:rsidRDefault="0059468F" w:rsidP="0059468F">
      <w:pPr>
        <w:pStyle w:val="FootnoteText"/>
      </w:pPr>
      <w:r>
        <w:rPr>
          <w:rStyle w:val="FootnoteReference"/>
        </w:rPr>
        <w:footnoteRef/>
      </w:r>
      <w:r>
        <w:t xml:space="preserve"> </w:t>
      </w:r>
      <w:hyperlink r:id="rId7" w:history="1">
        <w:r w:rsidR="002045D3">
          <w:rPr>
            <w:rStyle w:val="Hyperlink"/>
          </w:rPr>
          <w:t>onehealth.org.nz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B81172" w14:paraId="37BDB813" w14:textId="77777777" w:rsidTr="00563BF6">
      <w:trPr>
        <w:cantSplit/>
      </w:trPr>
      <w:tc>
        <w:tcPr>
          <w:tcW w:w="5210" w:type="dxa"/>
          <w:vAlign w:val="center"/>
        </w:tcPr>
        <w:p w14:paraId="00449E1D" w14:textId="2F935954" w:rsidR="00B81172" w:rsidRDefault="00B81172" w:rsidP="00B81172">
          <w:pPr>
            <w:pStyle w:val="Header"/>
          </w:pPr>
          <w:r>
            <w:rPr>
              <w:noProof/>
              <w:lang w:eastAsia="en-NZ"/>
            </w:rPr>
            <w:drawing>
              <wp:inline distT="0" distB="0" distL="0" distR="0" wp14:anchorId="044B8E7E" wp14:editId="584AB3B2">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3726C9D" w14:textId="2A8E08F9" w:rsidR="00B81172" w:rsidRDefault="00B81172" w:rsidP="00B81172">
          <w:pPr>
            <w:pStyle w:val="Header"/>
            <w:jc w:val="right"/>
          </w:pPr>
          <w:r>
            <w:rPr>
              <w:noProof/>
            </w:rPr>
            <w:drawing>
              <wp:anchor distT="0" distB="0" distL="114300" distR="114300" simplePos="0" relativeHeight="251658240" behindDoc="0" locked="0" layoutInCell="1" allowOverlap="1" wp14:anchorId="1425F541" wp14:editId="4DEF9C83">
                <wp:simplePos x="0" y="0"/>
                <wp:positionH relativeFrom="column">
                  <wp:posOffset>-821690</wp:posOffset>
                </wp:positionH>
                <wp:positionV relativeFrom="paragraph">
                  <wp:posOffset>29210</wp:posOffset>
                </wp:positionV>
                <wp:extent cx="1800860" cy="447675"/>
                <wp:effectExtent l="0" t="0" r="8890" b="9525"/>
                <wp:wrapNone/>
                <wp:docPr id="1995471049" name="Picture 1995471049" descr="Ministry for Primary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71049" name="Picture 1995471049" descr="Ministry for Primary Industri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86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E157096" wp14:editId="18080D94">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7D7C747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2F7853CB"/>
    <w:multiLevelType w:val="hybridMultilevel"/>
    <w:tmpl w:val="0C40356A"/>
    <w:lvl w:ilvl="0" w:tplc="D3586346">
      <w:numFmt w:val="bullet"/>
      <w:lvlText w:val="•"/>
      <w:lvlJc w:val="left"/>
      <w:pPr>
        <w:ind w:left="1080" w:hanging="72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ACE6593"/>
    <w:multiLevelType w:val="hybridMultilevel"/>
    <w:tmpl w:val="0C78C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5" w15:restartNumberingAfterBreak="0">
    <w:nsid w:val="5FD40368"/>
    <w:multiLevelType w:val="multilevel"/>
    <w:tmpl w:val="B84CE266"/>
    <w:lvl w:ilvl="0">
      <w:start w:val="1"/>
      <w:numFmt w:val="decimal"/>
      <w:lvlText w:val="%1"/>
      <w:lvlJc w:val="left"/>
      <w:pPr>
        <w:tabs>
          <w:tab w:val="num" w:pos="493"/>
        </w:tabs>
        <w:ind w:left="493" w:hanging="493"/>
      </w:pPr>
      <w:rPr>
        <w:rFonts w:hint="default"/>
      </w:rPr>
    </w:lvl>
    <w:lvl w:ilvl="1">
      <w:numFmt w:val="bullet"/>
      <w:lvlText w:val="•"/>
      <w:lvlJc w:val="left"/>
      <w:pPr>
        <w:ind w:left="1080" w:hanging="720"/>
      </w:pPr>
      <w:rPr>
        <w:rFonts w:ascii="Segoe UI" w:eastAsiaTheme="minorHAnsi" w:hAnsi="Segoe UI" w:cs="Segoe UI"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7"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8"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9"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0"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4"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5"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3472318">
    <w:abstractNumId w:val="33"/>
  </w:num>
  <w:num w:numId="2" w16cid:durableId="1063796792">
    <w:abstractNumId w:val="26"/>
  </w:num>
  <w:num w:numId="3" w16cid:durableId="686753112">
    <w:abstractNumId w:val="17"/>
  </w:num>
  <w:num w:numId="4" w16cid:durableId="76172612">
    <w:abstractNumId w:val="18"/>
  </w:num>
  <w:num w:numId="5" w16cid:durableId="1779834408">
    <w:abstractNumId w:val="0"/>
  </w:num>
  <w:num w:numId="6" w16cid:durableId="1243445124">
    <w:abstractNumId w:val="35"/>
  </w:num>
  <w:num w:numId="7" w16cid:durableId="377245928">
    <w:abstractNumId w:val="12"/>
  </w:num>
  <w:num w:numId="8" w16cid:durableId="690570209">
    <w:abstractNumId w:val="2"/>
  </w:num>
  <w:num w:numId="9" w16cid:durableId="1361710605">
    <w:abstractNumId w:val="32"/>
  </w:num>
  <w:num w:numId="10" w16cid:durableId="1239634483">
    <w:abstractNumId w:val="1"/>
  </w:num>
  <w:num w:numId="11" w16cid:durableId="618949695">
    <w:abstractNumId w:val="30"/>
  </w:num>
  <w:num w:numId="12" w16cid:durableId="301468125">
    <w:abstractNumId w:val="3"/>
  </w:num>
  <w:num w:numId="13" w16cid:durableId="463163150">
    <w:abstractNumId w:val="7"/>
  </w:num>
  <w:num w:numId="14" w16cid:durableId="1115951920">
    <w:abstractNumId w:val="5"/>
  </w:num>
  <w:num w:numId="15" w16cid:durableId="2019647598">
    <w:abstractNumId w:val="8"/>
  </w:num>
  <w:num w:numId="16" w16cid:durableId="1591696460">
    <w:abstractNumId w:val="22"/>
  </w:num>
  <w:num w:numId="17" w16cid:durableId="1894585707">
    <w:abstractNumId w:val="10"/>
  </w:num>
  <w:num w:numId="18" w16cid:durableId="843324161">
    <w:abstractNumId w:val="28"/>
  </w:num>
  <w:num w:numId="19" w16cid:durableId="1414469241">
    <w:abstractNumId w:val="11"/>
  </w:num>
  <w:num w:numId="20" w16cid:durableId="2114543833">
    <w:abstractNumId w:val="20"/>
  </w:num>
  <w:num w:numId="21" w16cid:durableId="676737269">
    <w:abstractNumId w:val="6"/>
  </w:num>
  <w:num w:numId="22" w16cid:durableId="423109998">
    <w:abstractNumId w:val="4"/>
  </w:num>
  <w:num w:numId="23" w16cid:durableId="782114515">
    <w:abstractNumId w:val="24"/>
  </w:num>
  <w:num w:numId="24" w16cid:durableId="163709438">
    <w:abstractNumId w:val="23"/>
  </w:num>
  <w:num w:numId="25" w16cid:durableId="1358848831">
    <w:abstractNumId w:val="34"/>
  </w:num>
  <w:num w:numId="26" w16cid:durableId="500899728">
    <w:abstractNumId w:val="13"/>
  </w:num>
  <w:num w:numId="27" w16cid:durableId="679553506">
    <w:abstractNumId w:val="29"/>
  </w:num>
  <w:num w:numId="28" w16cid:durableId="905720363">
    <w:abstractNumId w:val="27"/>
  </w:num>
  <w:num w:numId="29" w16cid:durableId="456532338">
    <w:abstractNumId w:val="19"/>
  </w:num>
  <w:num w:numId="30" w16cid:durableId="1967663337">
    <w:abstractNumId w:val="9"/>
  </w:num>
  <w:num w:numId="31" w16cid:durableId="396632076">
    <w:abstractNumId w:val="31"/>
  </w:num>
  <w:num w:numId="32" w16cid:durableId="1487235765">
    <w:abstractNumId w:val="15"/>
  </w:num>
  <w:num w:numId="33" w16cid:durableId="278025004">
    <w:abstractNumId w:val="21"/>
  </w:num>
  <w:num w:numId="34" w16cid:durableId="1524630417">
    <w:abstractNumId w:val="16"/>
    <w:lvlOverride w:ilvl="0">
      <w:lvl w:ilvl="0">
        <w:start w:val="1"/>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16cid:durableId="317155414">
    <w:abstractNumId w:val="14"/>
  </w:num>
  <w:num w:numId="36" w16cid:durableId="64535236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4836"/>
    <w:rsid w:val="00005BB5"/>
    <w:rsid w:val="0001702F"/>
    <w:rsid w:val="00025A6F"/>
    <w:rsid w:val="0002618D"/>
    <w:rsid w:val="00030B26"/>
    <w:rsid w:val="00030E84"/>
    <w:rsid w:val="00032C0A"/>
    <w:rsid w:val="00035257"/>
    <w:rsid w:val="00035D68"/>
    <w:rsid w:val="00036B43"/>
    <w:rsid w:val="00054B44"/>
    <w:rsid w:val="0006228D"/>
    <w:rsid w:val="000715D5"/>
    <w:rsid w:val="00072BD6"/>
    <w:rsid w:val="00073531"/>
    <w:rsid w:val="00075B78"/>
    <w:rsid w:val="000763E9"/>
    <w:rsid w:val="00081E9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27885"/>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281F"/>
    <w:rsid w:val="001C4326"/>
    <w:rsid w:val="001C665E"/>
    <w:rsid w:val="001D3541"/>
    <w:rsid w:val="001D3E4E"/>
    <w:rsid w:val="001E254A"/>
    <w:rsid w:val="001E7386"/>
    <w:rsid w:val="001F45A7"/>
    <w:rsid w:val="00201A01"/>
    <w:rsid w:val="002045D3"/>
    <w:rsid w:val="0020570B"/>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A4FED"/>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398C"/>
    <w:rsid w:val="00377264"/>
    <w:rsid w:val="003779D2"/>
    <w:rsid w:val="00385E38"/>
    <w:rsid w:val="00396E26"/>
    <w:rsid w:val="003A26A5"/>
    <w:rsid w:val="003A3761"/>
    <w:rsid w:val="003A512D"/>
    <w:rsid w:val="003A5FEA"/>
    <w:rsid w:val="003B1D10"/>
    <w:rsid w:val="003C76D4"/>
    <w:rsid w:val="003D137D"/>
    <w:rsid w:val="003D2CC5"/>
    <w:rsid w:val="003D7765"/>
    <w:rsid w:val="003E04C1"/>
    <w:rsid w:val="003E0887"/>
    <w:rsid w:val="003E74C8"/>
    <w:rsid w:val="003E7C46"/>
    <w:rsid w:val="003F2106"/>
    <w:rsid w:val="003F52A7"/>
    <w:rsid w:val="003F7013"/>
    <w:rsid w:val="0040240C"/>
    <w:rsid w:val="00413021"/>
    <w:rsid w:val="004221F5"/>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3AB"/>
    <w:rsid w:val="004B48C7"/>
    <w:rsid w:val="004C2E6A"/>
    <w:rsid w:val="004C64B8"/>
    <w:rsid w:val="004C6D27"/>
    <w:rsid w:val="004D2A2D"/>
    <w:rsid w:val="004D479F"/>
    <w:rsid w:val="004D6689"/>
    <w:rsid w:val="004E1D1D"/>
    <w:rsid w:val="004E7AC8"/>
    <w:rsid w:val="004F0C94"/>
    <w:rsid w:val="004F6C9F"/>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0F23"/>
    <w:rsid w:val="00561516"/>
    <w:rsid w:val="005621F2"/>
    <w:rsid w:val="005665FD"/>
    <w:rsid w:val="00567B58"/>
    <w:rsid w:val="00571223"/>
    <w:rsid w:val="005763E0"/>
    <w:rsid w:val="00581136"/>
    <w:rsid w:val="00581EB8"/>
    <w:rsid w:val="0059468F"/>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7710A"/>
    <w:rsid w:val="0078171E"/>
    <w:rsid w:val="0078658E"/>
    <w:rsid w:val="007920E2"/>
    <w:rsid w:val="0079566E"/>
    <w:rsid w:val="00795B34"/>
    <w:rsid w:val="007A067F"/>
    <w:rsid w:val="007B1770"/>
    <w:rsid w:val="007B4D3E"/>
    <w:rsid w:val="007B7C70"/>
    <w:rsid w:val="007B7DEB"/>
    <w:rsid w:val="007C0449"/>
    <w:rsid w:val="007C6D41"/>
    <w:rsid w:val="007D2151"/>
    <w:rsid w:val="007D3B90"/>
    <w:rsid w:val="007D42CC"/>
    <w:rsid w:val="007D5DE4"/>
    <w:rsid w:val="007D7C3A"/>
    <w:rsid w:val="007E0777"/>
    <w:rsid w:val="007E1341"/>
    <w:rsid w:val="007E1B41"/>
    <w:rsid w:val="007E1EC4"/>
    <w:rsid w:val="007E30B9"/>
    <w:rsid w:val="007E35D0"/>
    <w:rsid w:val="007E74F1"/>
    <w:rsid w:val="007F0F0C"/>
    <w:rsid w:val="007F1288"/>
    <w:rsid w:val="00800A8A"/>
    <w:rsid w:val="0080155C"/>
    <w:rsid w:val="008052E1"/>
    <w:rsid w:val="00815765"/>
    <w:rsid w:val="0082149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0E9"/>
    <w:rsid w:val="00930D08"/>
    <w:rsid w:val="00931466"/>
    <w:rsid w:val="00932D69"/>
    <w:rsid w:val="00935589"/>
    <w:rsid w:val="00944647"/>
    <w:rsid w:val="0095565C"/>
    <w:rsid w:val="00964AB6"/>
    <w:rsid w:val="00966F9A"/>
    <w:rsid w:val="00977B8A"/>
    <w:rsid w:val="00982971"/>
    <w:rsid w:val="009845AD"/>
    <w:rsid w:val="00984835"/>
    <w:rsid w:val="0098639B"/>
    <w:rsid w:val="009864C7"/>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762F4"/>
    <w:rsid w:val="00A80363"/>
    <w:rsid w:val="00A80939"/>
    <w:rsid w:val="00A83E9D"/>
    <w:rsid w:val="00A86620"/>
    <w:rsid w:val="00A87C05"/>
    <w:rsid w:val="00A9169D"/>
    <w:rsid w:val="00AA240C"/>
    <w:rsid w:val="00AC101C"/>
    <w:rsid w:val="00AC4C1A"/>
    <w:rsid w:val="00AD4CF1"/>
    <w:rsid w:val="00AD5988"/>
    <w:rsid w:val="00AD6293"/>
    <w:rsid w:val="00AE3D89"/>
    <w:rsid w:val="00AF1BA8"/>
    <w:rsid w:val="00AF2AE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1172"/>
    <w:rsid w:val="00B86AB1"/>
    <w:rsid w:val="00B97F07"/>
    <w:rsid w:val="00BA7EBA"/>
    <w:rsid w:val="00BB2A06"/>
    <w:rsid w:val="00BB2CBB"/>
    <w:rsid w:val="00BB4198"/>
    <w:rsid w:val="00BC03EE"/>
    <w:rsid w:val="00BC59F1"/>
    <w:rsid w:val="00BE13A4"/>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387B"/>
    <w:rsid w:val="00C66296"/>
    <w:rsid w:val="00C7394D"/>
    <w:rsid w:val="00C77282"/>
    <w:rsid w:val="00C84DE5"/>
    <w:rsid w:val="00C8620D"/>
    <w:rsid w:val="00C86248"/>
    <w:rsid w:val="00C90B31"/>
    <w:rsid w:val="00C97226"/>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1E38"/>
    <w:rsid w:val="00D54D50"/>
    <w:rsid w:val="00D560B4"/>
    <w:rsid w:val="00D662F8"/>
    <w:rsid w:val="00D66797"/>
    <w:rsid w:val="00D7074B"/>
    <w:rsid w:val="00D7087C"/>
    <w:rsid w:val="00D70C3C"/>
    <w:rsid w:val="00D71DF7"/>
    <w:rsid w:val="00D72BE5"/>
    <w:rsid w:val="00D802EA"/>
    <w:rsid w:val="00D81462"/>
    <w:rsid w:val="00D82F26"/>
    <w:rsid w:val="00D863D0"/>
    <w:rsid w:val="00D86B00"/>
    <w:rsid w:val="00D86FB9"/>
    <w:rsid w:val="00D87C87"/>
    <w:rsid w:val="00D90BB4"/>
    <w:rsid w:val="00D90E07"/>
    <w:rsid w:val="00D932C2"/>
    <w:rsid w:val="00DA04B8"/>
    <w:rsid w:val="00DB39CF"/>
    <w:rsid w:val="00DB7256"/>
    <w:rsid w:val="00DC0401"/>
    <w:rsid w:val="00DC20BD"/>
    <w:rsid w:val="00DD0BCD"/>
    <w:rsid w:val="00DD447A"/>
    <w:rsid w:val="00DE3B20"/>
    <w:rsid w:val="00DE6C94"/>
    <w:rsid w:val="00DE6FD7"/>
    <w:rsid w:val="00E23271"/>
    <w:rsid w:val="00E24F80"/>
    <w:rsid w:val="00E259F3"/>
    <w:rsid w:val="00E25C90"/>
    <w:rsid w:val="00E30985"/>
    <w:rsid w:val="00E33238"/>
    <w:rsid w:val="00E376B7"/>
    <w:rsid w:val="00E42F5D"/>
    <w:rsid w:val="00E4486C"/>
    <w:rsid w:val="00E460B6"/>
    <w:rsid w:val="00E511D5"/>
    <w:rsid w:val="00E53A9F"/>
    <w:rsid w:val="00E60249"/>
    <w:rsid w:val="00E65269"/>
    <w:rsid w:val="00E76D66"/>
    <w:rsid w:val="00EA608C"/>
    <w:rsid w:val="00EA796A"/>
    <w:rsid w:val="00EB1856"/>
    <w:rsid w:val="00EC50CE"/>
    <w:rsid w:val="00EC5B34"/>
    <w:rsid w:val="00ED021E"/>
    <w:rsid w:val="00ED323C"/>
    <w:rsid w:val="00EE1FD7"/>
    <w:rsid w:val="00EE2D5C"/>
    <w:rsid w:val="00EE4ADE"/>
    <w:rsid w:val="00EE4DE8"/>
    <w:rsid w:val="00EE5CB7"/>
    <w:rsid w:val="00EF46A0"/>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aliases w:val="List Paragraph numbered,Rec para,List Paragraph1,List Bullet indent,List Paragraph11,NFP GP Bulleted List,F5 List Paragraph,Dot pt,No Spacing1,List Paragraph Char Char Char,Indicator Text,Colorful List - Accent 11,Numbered Para 1,L,Body"/>
    <w:basedOn w:val="Normal"/>
    <w:link w:val="ListParagraphChar"/>
    <w:uiPriority w:val="34"/>
    <w:qFormat/>
    <w:rsid w:val="0059468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numbered Char,Rec para Char,List Paragraph1 Char,List Bullet indent Char,List Paragraph11 Char,NFP GP Bulleted List Char,F5 List Paragraph Char,Dot pt Char,No Spacing1 Char,List Paragraph Char Char Char Char,L Char"/>
    <w:basedOn w:val="DefaultParagraphFont"/>
    <w:link w:val="ListParagraph"/>
    <w:uiPriority w:val="34"/>
    <w:locked/>
    <w:rsid w:val="0059468F"/>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59468F"/>
    <w:pPr>
      <w:widowControl w:val="0"/>
      <w:autoSpaceDE w:val="0"/>
      <w:autoSpaceDN w:val="0"/>
      <w:ind w:left="107"/>
    </w:pPr>
    <w:rPr>
      <w:rFonts w:ascii="Calibri" w:eastAsia="Calibri" w:hAnsi="Calibri" w:cs="Calibri"/>
      <w:sz w:val="22"/>
      <w:szCs w:val="22"/>
      <w:lang w:val="en-US" w:eastAsia="en-US"/>
    </w:rPr>
  </w:style>
  <w:style w:type="paragraph" w:customStyle="1" w:styleId="NumberedParagraphs-MOH">
    <w:name w:val="Numbered Paragraphs - MOH"/>
    <w:basedOn w:val="Normal"/>
    <w:link w:val="NumberedParagraphs-MOHChar"/>
    <w:qFormat/>
    <w:rsid w:val="0059468F"/>
    <w:pPr>
      <w:numPr>
        <w:numId w:val="34"/>
      </w:numPr>
      <w:spacing w:before="120"/>
      <w:ind w:right="284"/>
    </w:pPr>
    <w:rPr>
      <w:rFonts w:cs="Segoe UI"/>
      <w:kern w:val="22"/>
      <w:sz w:val="22"/>
      <w:szCs w:val="22"/>
      <w:lang w:eastAsia="en-NZ"/>
    </w:rPr>
  </w:style>
  <w:style w:type="paragraph" w:customStyle="1" w:styleId="ReportBody2-MOH">
    <w:name w:val="Report Body 2 - MOH"/>
    <w:basedOn w:val="NumberedParagraphs-MOH"/>
    <w:qFormat/>
    <w:rsid w:val="0059468F"/>
    <w:pPr>
      <w:numPr>
        <w:ilvl w:val="1"/>
      </w:numPr>
      <w:tabs>
        <w:tab w:val="num" w:pos="1440"/>
      </w:tabs>
      <w:ind w:left="1440" w:hanging="360"/>
    </w:pPr>
  </w:style>
  <w:style w:type="character" w:customStyle="1" w:styleId="NumberedParagraphs-MOHChar">
    <w:name w:val="Numbered Paragraphs - MOH Char"/>
    <w:basedOn w:val="DefaultParagraphFont"/>
    <w:link w:val="NumberedParagraphs-MOH"/>
    <w:rsid w:val="0059468F"/>
    <w:rPr>
      <w:rFonts w:ascii="Segoe UI" w:hAnsi="Segoe UI" w:cs="Segoe UI"/>
      <w:kern w:val="22"/>
      <w:sz w:val="22"/>
      <w:szCs w:val="22"/>
    </w:rPr>
  </w:style>
  <w:style w:type="paragraph" w:customStyle="1" w:styleId="SecondLevelBullets-MOH">
    <w:name w:val="Second Level Bullets - MOH"/>
    <w:basedOn w:val="Normal"/>
    <w:qFormat/>
    <w:rsid w:val="0059468F"/>
    <w:pPr>
      <w:numPr>
        <w:ilvl w:val="2"/>
        <w:numId w:val="34"/>
      </w:numPr>
      <w:spacing w:before="120"/>
      <w:ind w:right="284"/>
    </w:pPr>
    <w:rPr>
      <w:rFonts w:cs="Segoe UI"/>
      <w:kern w:val="22"/>
      <w:sz w:val="22"/>
      <w:szCs w:val="22"/>
      <w:lang w:eastAsia="en-NZ"/>
    </w:rPr>
  </w:style>
  <w:style w:type="character" w:customStyle="1" w:styleId="ui-provider">
    <w:name w:val="ui-provider"/>
    <w:basedOn w:val="DefaultParagraphFont"/>
    <w:rsid w:val="0059468F"/>
  </w:style>
  <w:style w:type="character" w:styleId="FollowedHyperlink">
    <w:name w:val="FollowedHyperlink"/>
    <w:basedOn w:val="DefaultParagraphFont"/>
    <w:uiPriority w:val="99"/>
    <w:semiHidden/>
    <w:unhideWhenUsed/>
    <w:rsid w:val="002A4FED"/>
    <w:rPr>
      <w:color w:val="800080" w:themeColor="followedHyperlink"/>
      <w:u w:val="single"/>
    </w:rPr>
  </w:style>
  <w:style w:type="character" w:styleId="UnresolvedMention">
    <w:name w:val="Unresolved Mention"/>
    <w:basedOn w:val="DefaultParagraphFont"/>
    <w:uiPriority w:val="99"/>
    <w:semiHidden/>
    <w:unhideWhenUsed/>
    <w:rsid w:val="0077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niwha.com/research-projects/addressing-inequity-in-antibiotic-use-strengthening-antimicrobial-stewardship-throughout-aotearoa-to-improve-the-health-of-new-zealanders" TargetMode="External"/><Relationship Id="rId7" Type="http://schemas.openxmlformats.org/officeDocument/2006/relationships/hyperlink" Target="https://onehealth.org.nz/" TargetMode="External"/><Relationship Id="rId2" Type="http://schemas.openxmlformats.org/officeDocument/2006/relationships/hyperlink" Target="https://www.health.govt.nz/publications/new-zealand-antimicrobial-resistance-action-plan" TargetMode="External"/><Relationship Id="rId1" Type="http://schemas.openxmlformats.org/officeDocument/2006/relationships/hyperlink" Target="https://www.pmcsa.ac.nz/topics/antimicrobial-resistance-and-infectious-disease/" TargetMode="External"/><Relationship Id="rId6" Type="http://schemas.openxmlformats.org/officeDocument/2006/relationships/hyperlink" Target="https://www.teniwha.com/assets/Uploads/Te-Niwha_Full-Report_Likely-future-pandemic-agents-and-scenarios_Web.pdf" TargetMode="External"/><Relationship Id="rId5" Type="http://schemas.openxmlformats.org/officeDocument/2006/relationships/hyperlink" Target="https://www.tewhatuora.govt.nz/publications/initial-priorities-for-the-national-immunisation-programme-in-aotearoa" TargetMode="External"/><Relationship Id="rId4" Type="http://schemas.openxmlformats.org/officeDocument/2006/relationships/hyperlink" Target="https://www.health.govt.nz/publications/public-health-surveillance-strategy-2025-20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Templates</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MOHECM-2060122139-3453</_dlc_DocId>
    <_dlc_DocIdUrl xmlns="a92161ee-a867-43fa-afc4-ef021add4eae">
      <Url>https://mohgovtnz.sharepoint.com/sites/moh-ecm-StratComms/_layouts/15/DocIdRedir.aspx?ID=MOHECM-2060122139-3453</Url>
      <Description>MOHECM-2060122139-3453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352" ma:contentTypeDescription="Create a new document." ma:contentTypeScope="" ma:versionID="e661e1c7dae7aec020c022b16442541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55104c60a0983416acb9c4aae37a7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69FB8D08-374B-4339-A342-8C1BDA2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47BE128A-4E51-447D-A206-342B12F3F0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TotalTime>
  <Pages>15</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Report from the Prime Minister’s Chief Science Advisor: Kotahitanga: Uniting Aotearoa against infectious disease and antimicrobial resistance</dc:title>
  <dc:creator>Ministry of Health</dc:creator>
  <cp:lastModifiedBy>Ministry of Health</cp:lastModifiedBy>
  <cp:revision>6</cp:revision>
  <cp:lastPrinted>2025-02-13T22:54:00Z</cp:lastPrinted>
  <dcterms:created xsi:type="dcterms:W3CDTF">2025-02-13T22:49:00Z</dcterms:created>
  <dcterms:modified xsi:type="dcterms:W3CDTF">2025-02-13T22:54:00Z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101e0034-4939-4aa9-a033-1e1c325655a4</vt:lpwstr>
  </property>
  <property fmtid="{D5CDD505-2E9C-101B-9397-08002B2CF9AE}" pid="4" name="MediaServiceImageTags">
    <vt:lpwstr/>
  </property>
</Properties>
</file>