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55161" w14:textId="1E2F3292" w:rsidR="00C86248" w:rsidRPr="0098221C" w:rsidRDefault="00FB1623" w:rsidP="00926083">
      <w:pPr>
        <w:pStyle w:val="Title"/>
        <w:rPr>
          <w:sz w:val="60"/>
          <w:szCs w:val="60"/>
        </w:rPr>
      </w:pPr>
      <w:r>
        <w:rPr>
          <w:sz w:val="60"/>
          <w:szCs w:val="60"/>
        </w:rPr>
        <w:t xml:space="preserve">The </w:t>
      </w:r>
      <w:r w:rsidR="007B6463" w:rsidRPr="0098221C">
        <w:rPr>
          <w:sz w:val="60"/>
          <w:szCs w:val="60"/>
        </w:rPr>
        <w:t xml:space="preserve">Risk of Adverse Events Associated with Mesh and Non-Mesh Repair of Groin Hernias: A literature </w:t>
      </w:r>
      <w:proofErr w:type="gramStart"/>
      <w:r w:rsidR="007B6463" w:rsidRPr="0098221C">
        <w:rPr>
          <w:sz w:val="60"/>
          <w:szCs w:val="60"/>
        </w:rPr>
        <w:t>review</w:t>
      </w:r>
      <w:proofErr w:type="gramEnd"/>
    </w:p>
    <w:p w14:paraId="14903707" w14:textId="77777777" w:rsidR="007B6463" w:rsidRDefault="007B6463" w:rsidP="00926083">
      <w:pPr>
        <w:pStyle w:val="Subhead"/>
      </w:pPr>
      <w:r w:rsidRPr="007B6463">
        <w:t>Office of the Chief Science Advisor</w:t>
      </w:r>
    </w:p>
    <w:p w14:paraId="2B4FAC6A" w14:textId="3EA20AB1" w:rsidR="00C05132" w:rsidRDefault="007B6463" w:rsidP="007B6463">
      <w:pPr>
        <w:pStyle w:val="Subhead"/>
        <w:spacing w:before="240"/>
      </w:pPr>
      <w:r w:rsidRPr="007B6463">
        <w:t xml:space="preserve">Evidence, Research and Innovation </w:t>
      </w:r>
      <w:proofErr w:type="gramStart"/>
      <w:r w:rsidR="0063469F">
        <w:t xml:space="preserve">– </w:t>
      </w:r>
      <w:r w:rsidRPr="007B6463">
        <w:t xml:space="preserve"> </w:t>
      </w:r>
      <w:proofErr w:type="spellStart"/>
      <w:r w:rsidRPr="007B6463">
        <w:t>Te</w:t>
      </w:r>
      <w:proofErr w:type="spellEnd"/>
      <w:proofErr w:type="gramEnd"/>
      <w:r w:rsidRPr="007B6463">
        <w:t xml:space="preserve"> </w:t>
      </w:r>
      <w:proofErr w:type="spellStart"/>
      <w:r w:rsidRPr="007B6463">
        <w:t>Pou</w:t>
      </w:r>
      <w:proofErr w:type="spellEnd"/>
      <w:r w:rsidRPr="007B6463">
        <w:t xml:space="preserve"> </w:t>
      </w:r>
      <w:proofErr w:type="spellStart"/>
      <w:r w:rsidRPr="007B6463">
        <w:t>Whakamārama</w:t>
      </w:r>
      <w:proofErr w:type="spellEnd"/>
    </w:p>
    <w:p w14:paraId="5C1CCC9F" w14:textId="77777777" w:rsidR="00C05132" w:rsidRDefault="00C05132" w:rsidP="00A06BE4"/>
    <w:p w14:paraId="57E2CB79" w14:textId="77777777" w:rsidR="00142954" w:rsidRPr="00142954" w:rsidRDefault="00142954" w:rsidP="00142954">
      <w:pPr>
        <w:sectPr w:rsidR="00142954" w:rsidRPr="00142954" w:rsidSect="005A79E5">
          <w:headerReference w:type="default" r:id="rId12"/>
          <w:footerReference w:type="default" r:id="rId13"/>
          <w:pgSz w:w="11907" w:h="16834" w:code="9"/>
          <w:pgMar w:top="5670" w:right="1134" w:bottom="1134" w:left="1134" w:header="567" w:footer="851" w:gutter="0"/>
          <w:pgNumType w:start="1"/>
          <w:cols w:space="720"/>
        </w:sectPr>
      </w:pPr>
    </w:p>
    <w:p w14:paraId="358CE3BA" w14:textId="16F70A41"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0E43C7">
        <w:rPr>
          <w:rFonts w:cs="Segoe UI"/>
        </w:rPr>
        <w:t>202</w:t>
      </w:r>
      <w:r w:rsidR="00BF206E">
        <w:rPr>
          <w:rFonts w:cs="Segoe UI"/>
        </w:rPr>
        <w:t>5</w:t>
      </w:r>
      <w:r w:rsidR="00442C1C" w:rsidRPr="00C05132">
        <w:rPr>
          <w:rFonts w:cs="Segoe UI"/>
        </w:rPr>
        <w:t xml:space="preserve">. </w:t>
      </w:r>
      <w:r w:rsidR="00FB1623">
        <w:rPr>
          <w:rFonts w:cs="Segoe UI"/>
          <w:i/>
          <w:iCs/>
        </w:rPr>
        <w:t xml:space="preserve">The </w:t>
      </w:r>
      <w:r w:rsidR="000E43C7" w:rsidRPr="000E43C7">
        <w:rPr>
          <w:rFonts w:cs="Segoe UI"/>
          <w:i/>
        </w:rPr>
        <w:t>Risk of Adverse Events Associated with Mesh and Non-Mesh Repair of Groin Hernias: A literature review</w:t>
      </w:r>
      <w:r w:rsidR="00442C1C" w:rsidRPr="00C05132">
        <w:rPr>
          <w:rFonts w:cs="Segoe UI"/>
        </w:rPr>
        <w:t>. Wellington: Ministry of Health.</w:t>
      </w:r>
    </w:p>
    <w:p w14:paraId="7909192E" w14:textId="01CA483A" w:rsidR="00C86248" w:rsidRDefault="00C86248">
      <w:pPr>
        <w:pStyle w:val="Imprint"/>
      </w:pPr>
      <w:r>
        <w:t xml:space="preserve">Published in </w:t>
      </w:r>
      <w:r w:rsidR="00FD0B16">
        <w:t>February</w:t>
      </w:r>
      <w:r w:rsidR="001232DB">
        <w:t xml:space="preserve"> 2025</w:t>
      </w:r>
      <w:r w:rsidR="004D2933">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5FAB2E7C" w:rsidR="00082CD6" w:rsidRPr="009C0F2D" w:rsidRDefault="009A42D5" w:rsidP="00082CD6">
      <w:pPr>
        <w:pStyle w:val="Imprint"/>
      </w:pPr>
      <w:r w:rsidRPr="00F5286A">
        <w:t xml:space="preserve">ISBN </w:t>
      </w:r>
      <w:r w:rsidR="00F5286A" w:rsidRPr="00F5286A">
        <w:t>978-1-991324-04-7</w:t>
      </w:r>
      <w:r w:rsidRPr="00F5286A">
        <w:t xml:space="preserve"> </w:t>
      </w:r>
      <w:r w:rsidR="00D863D0" w:rsidRPr="00F5286A">
        <w:t>(</w:t>
      </w:r>
      <w:r w:rsidR="00442C1C" w:rsidRPr="00F5286A">
        <w:t>online</w:t>
      </w:r>
      <w:r w:rsidR="00D863D0" w:rsidRPr="00F5286A">
        <w:t>)</w:t>
      </w:r>
      <w:r w:rsidR="00082CD6" w:rsidRPr="00F5286A">
        <w:br/>
        <w:t xml:space="preserve">HP </w:t>
      </w:r>
      <w:r w:rsidR="002B4A5A">
        <w:t>9097</w:t>
      </w:r>
    </w:p>
    <w:p w14:paraId="48DBDA36" w14:textId="77777777" w:rsidR="00C86248" w:rsidRDefault="008C64C4" w:rsidP="00A63DFF">
      <w:r>
        <w:rPr>
          <w:noProof/>
          <w:lang w:eastAsia="en-NZ"/>
        </w:rPr>
        <w:drawing>
          <wp:inline distT="0" distB="0" distL="0" distR="0" wp14:anchorId="6EF4539D" wp14:editId="7EA0B230">
            <wp:extent cx="1216825" cy="493307"/>
            <wp:effectExtent l="0" t="0" r="2540" b="254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216825" cy="493307"/>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 xml:space="preserve">This document is available at </w:t>
      </w:r>
      <w:proofErr w:type="gramStart"/>
      <w:r>
        <w:t>health.govt.nz</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 xml:space="preserve">You must give appropriate credit, provide a link to the </w:t>
            </w:r>
            <w:proofErr w:type="gramStart"/>
            <w:r w:rsidRPr="00A63DFF">
              <w:rPr>
                <w:rFonts w:cs="Segoe UI"/>
                <w:bCs/>
                <w:sz w:val="15"/>
                <w:szCs w:val="15"/>
              </w:rPr>
              <w:t>licence</w:t>
            </w:r>
            <w:proofErr w:type="gramEnd"/>
            <w:r w:rsidRPr="00A63DFF">
              <w:rPr>
                <w:rFonts w:cs="Segoe UI"/>
                <w:bCs/>
                <w:sz w:val="15"/>
                <w:szCs w:val="15"/>
              </w:rPr>
              <w:t xml:space="preserv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6"/>
          <w:footerReference w:type="default" r:id="rId17"/>
          <w:pgSz w:w="11907" w:h="16834" w:code="9"/>
          <w:pgMar w:top="1701" w:right="2268" w:bottom="1134" w:left="2268" w:header="0" w:footer="0" w:gutter="0"/>
          <w:cols w:space="720"/>
          <w:vAlign w:val="bottom"/>
        </w:sectPr>
      </w:pPr>
    </w:p>
    <w:p w14:paraId="648D4F84" w14:textId="77777777" w:rsidR="00C86248" w:rsidRDefault="00C86248" w:rsidP="00025A6F">
      <w:pPr>
        <w:pStyle w:val="IntroHead"/>
      </w:pPr>
      <w:bookmarkStart w:id="0" w:name="_Toc405792991"/>
      <w:bookmarkStart w:id="1" w:name="_Toc405793224"/>
      <w:r>
        <w:t>Contents</w:t>
      </w:r>
      <w:bookmarkEnd w:id="0"/>
      <w:bookmarkEnd w:id="1"/>
    </w:p>
    <w:p w14:paraId="6C4528B6" w14:textId="22114264" w:rsidR="00CF6F7C" w:rsidRDefault="00CF6F7C">
      <w:pPr>
        <w:pStyle w:val="TOC1"/>
        <w:rPr>
          <w:rFonts w:asciiTheme="minorHAnsi" w:eastAsiaTheme="minorEastAsia" w:hAnsiTheme="minorHAnsi" w:cstheme="minorBidi"/>
          <w:noProof/>
          <w:kern w:val="2"/>
          <w:sz w:val="22"/>
          <w:szCs w:val="22"/>
          <w:lang w:eastAsia="en-NZ"/>
          <w14:ligatures w14:val="standardContextual"/>
        </w:rPr>
      </w:pPr>
      <w:r>
        <w:rPr>
          <w:b/>
        </w:rPr>
        <w:fldChar w:fldCharType="begin"/>
      </w:r>
      <w:r>
        <w:rPr>
          <w:b/>
        </w:rPr>
        <w:instrText xml:space="preserve"> TOC \o "1-2" \h \z </w:instrText>
      </w:r>
      <w:r>
        <w:rPr>
          <w:b/>
        </w:rPr>
        <w:fldChar w:fldCharType="separate"/>
      </w:r>
      <w:hyperlink w:anchor="_Toc181712988" w:history="1">
        <w:r w:rsidRPr="00474C8C">
          <w:rPr>
            <w:rStyle w:val="Hyperlink"/>
            <w:noProof/>
          </w:rPr>
          <w:t>Executive summary</w:t>
        </w:r>
        <w:r>
          <w:rPr>
            <w:noProof/>
            <w:webHidden/>
          </w:rPr>
          <w:tab/>
        </w:r>
        <w:r>
          <w:rPr>
            <w:noProof/>
            <w:webHidden/>
          </w:rPr>
          <w:fldChar w:fldCharType="begin"/>
        </w:r>
        <w:r>
          <w:rPr>
            <w:noProof/>
            <w:webHidden/>
          </w:rPr>
          <w:instrText xml:space="preserve"> PAGEREF _Toc181712988 \h </w:instrText>
        </w:r>
        <w:r>
          <w:rPr>
            <w:noProof/>
            <w:webHidden/>
          </w:rPr>
        </w:r>
        <w:r>
          <w:rPr>
            <w:noProof/>
            <w:webHidden/>
          </w:rPr>
          <w:fldChar w:fldCharType="separate"/>
        </w:r>
        <w:r w:rsidR="00A94319">
          <w:rPr>
            <w:noProof/>
            <w:webHidden/>
          </w:rPr>
          <w:t>1</w:t>
        </w:r>
        <w:r>
          <w:rPr>
            <w:noProof/>
            <w:webHidden/>
          </w:rPr>
          <w:fldChar w:fldCharType="end"/>
        </w:r>
      </w:hyperlink>
    </w:p>
    <w:p w14:paraId="3437C747" w14:textId="795349B1" w:rsidR="00CF6F7C" w:rsidRDefault="00FD0B16">
      <w:pPr>
        <w:pStyle w:val="TOC1"/>
        <w:rPr>
          <w:rFonts w:asciiTheme="minorHAnsi" w:eastAsiaTheme="minorEastAsia" w:hAnsiTheme="minorHAnsi" w:cstheme="minorBidi"/>
          <w:noProof/>
          <w:kern w:val="2"/>
          <w:sz w:val="22"/>
          <w:szCs w:val="22"/>
          <w:lang w:eastAsia="en-NZ"/>
          <w14:ligatures w14:val="standardContextual"/>
        </w:rPr>
      </w:pPr>
      <w:hyperlink w:anchor="_Toc181712989" w:history="1">
        <w:r w:rsidR="00CF6F7C" w:rsidRPr="00474C8C">
          <w:rPr>
            <w:rStyle w:val="Hyperlink"/>
            <w:noProof/>
          </w:rPr>
          <w:t>Abstract</w:t>
        </w:r>
        <w:r w:rsidR="00CF6F7C">
          <w:rPr>
            <w:noProof/>
            <w:webHidden/>
          </w:rPr>
          <w:tab/>
        </w:r>
        <w:r w:rsidR="00CF6F7C">
          <w:rPr>
            <w:noProof/>
            <w:webHidden/>
          </w:rPr>
          <w:fldChar w:fldCharType="begin"/>
        </w:r>
        <w:r w:rsidR="00CF6F7C">
          <w:rPr>
            <w:noProof/>
            <w:webHidden/>
          </w:rPr>
          <w:instrText xml:space="preserve"> PAGEREF _Toc181712989 \h </w:instrText>
        </w:r>
        <w:r w:rsidR="00CF6F7C">
          <w:rPr>
            <w:noProof/>
            <w:webHidden/>
          </w:rPr>
        </w:r>
        <w:r w:rsidR="00CF6F7C">
          <w:rPr>
            <w:noProof/>
            <w:webHidden/>
          </w:rPr>
          <w:fldChar w:fldCharType="separate"/>
        </w:r>
        <w:r w:rsidR="00A94319">
          <w:rPr>
            <w:noProof/>
            <w:webHidden/>
          </w:rPr>
          <w:t>2</w:t>
        </w:r>
        <w:r w:rsidR="00CF6F7C">
          <w:rPr>
            <w:noProof/>
            <w:webHidden/>
          </w:rPr>
          <w:fldChar w:fldCharType="end"/>
        </w:r>
      </w:hyperlink>
    </w:p>
    <w:p w14:paraId="5AE4BDB1" w14:textId="09C666ED" w:rsidR="00CF6F7C" w:rsidRDefault="00FD0B16">
      <w:pPr>
        <w:pStyle w:val="TOC2"/>
        <w:rPr>
          <w:rFonts w:asciiTheme="minorHAnsi" w:eastAsiaTheme="minorEastAsia" w:hAnsiTheme="minorHAnsi" w:cstheme="minorBidi"/>
          <w:noProof/>
          <w:kern w:val="2"/>
          <w:szCs w:val="22"/>
          <w:lang w:eastAsia="en-NZ"/>
          <w14:ligatures w14:val="standardContextual"/>
        </w:rPr>
      </w:pPr>
      <w:hyperlink w:anchor="_Toc181712990" w:history="1">
        <w:r w:rsidR="00CF6F7C" w:rsidRPr="00474C8C">
          <w:rPr>
            <w:rStyle w:val="Hyperlink"/>
            <w:noProof/>
          </w:rPr>
          <w:t>Background</w:t>
        </w:r>
        <w:r w:rsidR="00CF6F7C">
          <w:rPr>
            <w:noProof/>
            <w:webHidden/>
          </w:rPr>
          <w:tab/>
        </w:r>
        <w:r w:rsidR="00CF6F7C">
          <w:rPr>
            <w:noProof/>
            <w:webHidden/>
          </w:rPr>
          <w:fldChar w:fldCharType="begin"/>
        </w:r>
        <w:r w:rsidR="00CF6F7C">
          <w:rPr>
            <w:noProof/>
            <w:webHidden/>
          </w:rPr>
          <w:instrText xml:space="preserve"> PAGEREF _Toc181712990 \h </w:instrText>
        </w:r>
        <w:r w:rsidR="00CF6F7C">
          <w:rPr>
            <w:noProof/>
            <w:webHidden/>
          </w:rPr>
        </w:r>
        <w:r w:rsidR="00CF6F7C">
          <w:rPr>
            <w:noProof/>
            <w:webHidden/>
          </w:rPr>
          <w:fldChar w:fldCharType="separate"/>
        </w:r>
        <w:r w:rsidR="00A94319">
          <w:rPr>
            <w:noProof/>
            <w:webHidden/>
          </w:rPr>
          <w:t>2</w:t>
        </w:r>
        <w:r w:rsidR="00CF6F7C">
          <w:rPr>
            <w:noProof/>
            <w:webHidden/>
          </w:rPr>
          <w:fldChar w:fldCharType="end"/>
        </w:r>
      </w:hyperlink>
    </w:p>
    <w:p w14:paraId="144E1368" w14:textId="63A88CCA" w:rsidR="00CF6F7C" w:rsidRDefault="00FD0B16">
      <w:pPr>
        <w:pStyle w:val="TOC2"/>
        <w:rPr>
          <w:rFonts w:asciiTheme="minorHAnsi" w:eastAsiaTheme="minorEastAsia" w:hAnsiTheme="minorHAnsi" w:cstheme="minorBidi"/>
          <w:noProof/>
          <w:kern w:val="2"/>
          <w:szCs w:val="22"/>
          <w:lang w:eastAsia="en-NZ"/>
          <w14:ligatures w14:val="standardContextual"/>
        </w:rPr>
      </w:pPr>
      <w:hyperlink w:anchor="_Toc181712991" w:history="1">
        <w:r w:rsidR="00CF6F7C" w:rsidRPr="00474C8C">
          <w:rPr>
            <w:rStyle w:val="Hyperlink"/>
            <w:noProof/>
          </w:rPr>
          <w:t>Objectives</w:t>
        </w:r>
        <w:r w:rsidR="00CF6F7C">
          <w:rPr>
            <w:noProof/>
            <w:webHidden/>
          </w:rPr>
          <w:tab/>
        </w:r>
        <w:r w:rsidR="00CF6F7C">
          <w:rPr>
            <w:noProof/>
            <w:webHidden/>
          </w:rPr>
          <w:fldChar w:fldCharType="begin"/>
        </w:r>
        <w:r w:rsidR="00CF6F7C">
          <w:rPr>
            <w:noProof/>
            <w:webHidden/>
          </w:rPr>
          <w:instrText xml:space="preserve"> PAGEREF _Toc181712991 \h </w:instrText>
        </w:r>
        <w:r w:rsidR="00CF6F7C">
          <w:rPr>
            <w:noProof/>
            <w:webHidden/>
          </w:rPr>
        </w:r>
        <w:r w:rsidR="00CF6F7C">
          <w:rPr>
            <w:noProof/>
            <w:webHidden/>
          </w:rPr>
          <w:fldChar w:fldCharType="separate"/>
        </w:r>
        <w:r w:rsidR="00A94319">
          <w:rPr>
            <w:noProof/>
            <w:webHidden/>
          </w:rPr>
          <w:t>2</w:t>
        </w:r>
        <w:r w:rsidR="00CF6F7C">
          <w:rPr>
            <w:noProof/>
            <w:webHidden/>
          </w:rPr>
          <w:fldChar w:fldCharType="end"/>
        </w:r>
      </w:hyperlink>
    </w:p>
    <w:p w14:paraId="124B4A09" w14:textId="0472DB38" w:rsidR="00CF6F7C" w:rsidRDefault="00FD0B16">
      <w:pPr>
        <w:pStyle w:val="TOC2"/>
        <w:rPr>
          <w:rFonts w:asciiTheme="minorHAnsi" w:eastAsiaTheme="minorEastAsia" w:hAnsiTheme="minorHAnsi" w:cstheme="minorBidi"/>
          <w:noProof/>
          <w:kern w:val="2"/>
          <w:szCs w:val="22"/>
          <w:lang w:eastAsia="en-NZ"/>
          <w14:ligatures w14:val="standardContextual"/>
        </w:rPr>
      </w:pPr>
      <w:hyperlink w:anchor="_Toc181712992" w:history="1">
        <w:r w:rsidR="00CF6F7C" w:rsidRPr="00474C8C">
          <w:rPr>
            <w:rStyle w:val="Hyperlink"/>
            <w:noProof/>
          </w:rPr>
          <w:t>Methods</w:t>
        </w:r>
        <w:r w:rsidR="00CF6F7C">
          <w:rPr>
            <w:noProof/>
            <w:webHidden/>
          </w:rPr>
          <w:tab/>
        </w:r>
        <w:r w:rsidR="00CF6F7C">
          <w:rPr>
            <w:noProof/>
            <w:webHidden/>
          </w:rPr>
          <w:fldChar w:fldCharType="begin"/>
        </w:r>
        <w:r w:rsidR="00CF6F7C">
          <w:rPr>
            <w:noProof/>
            <w:webHidden/>
          </w:rPr>
          <w:instrText xml:space="preserve"> PAGEREF _Toc181712992 \h </w:instrText>
        </w:r>
        <w:r w:rsidR="00CF6F7C">
          <w:rPr>
            <w:noProof/>
            <w:webHidden/>
          </w:rPr>
        </w:r>
        <w:r w:rsidR="00CF6F7C">
          <w:rPr>
            <w:noProof/>
            <w:webHidden/>
          </w:rPr>
          <w:fldChar w:fldCharType="separate"/>
        </w:r>
        <w:r w:rsidR="00A94319">
          <w:rPr>
            <w:noProof/>
            <w:webHidden/>
          </w:rPr>
          <w:t>2</w:t>
        </w:r>
        <w:r w:rsidR="00CF6F7C">
          <w:rPr>
            <w:noProof/>
            <w:webHidden/>
          </w:rPr>
          <w:fldChar w:fldCharType="end"/>
        </w:r>
      </w:hyperlink>
    </w:p>
    <w:p w14:paraId="6D63F928" w14:textId="3F95D50F" w:rsidR="00CF6F7C" w:rsidRDefault="00FD0B16">
      <w:pPr>
        <w:pStyle w:val="TOC2"/>
        <w:rPr>
          <w:rFonts w:asciiTheme="minorHAnsi" w:eastAsiaTheme="minorEastAsia" w:hAnsiTheme="minorHAnsi" w:cstheme="minorBidi"/>
          <w:noProof/>
          <w:kern w:val="2"/>
          <w:szCs w:val="22"/>
          <w:lang w:eastAsia="en-NZ"/>
          <w14:ligatures w14:val="standardContextual"/>
        </w:rPr>
      </w:pPr>
      <w:hyperlink w:anchor="_Toc181712993" w:history="1">
        <w:r w:rsidR="00CF6F7C" w:rsidRPr="00474C8C">
          <w:rPr>
            <w:rStyle w:val="Hyperlink"/>
            <w:noProof/>
          </w:rPr>
          <w:t>Results</w:t>
        </w:r>
        <w:r w:rsidR="00CF6F7C">
          <w:rPr>
            <w:noProof/>
            <w:webHidden/>
          </w:rPr>
          <w:tab/>
        </w:r>
        <w:r w:rsidR="00CF6F7C">
          <w:rPr>
            <w:noProof/>
            <w:webHidden/>
          </w:rPr>
          <w:fldChar w:fldCharType="begin"/>
        </w:r>
        <w:r w:rsidR="00CF6F7C">
          <w:rPr>
            <w:noProof/>
            <w:webHidden/>
          </w:rPr>
          <w:instrText xml:space="preserve"> PAGEREF _Toc181712993 \h </w:instrText>
        </w:r>
        <w:r w:rsidR="00CF6F7C">
          <w:rPr>
            <w:noProof/>
            <w:webHidden/>
          </w:rPr>
        </w:r>
        <w:r w:rsidR="00CF6F7C">
          <w:rPr>
            <w:noProof/>
            <w:webHidden/>
          </w:rPr>
          <w:fldChar w:fldCharType="separate"/>
        </w:r>
        <w:r w:rsidR="00A94319">
          <w:rPr>
            <w:noProof/>
            <w:webHidden/>
          </w:rPr>
          <w:t>2</w:t>
        </w:r>
        <w:r w:rsidR="00CF6F7C">
          <w:rPr>
            <w:noProof/>
            <w:webHidden/>
          </w:rPr>
          <w:fldChar w:fldCharType="end"/>
        </w:r>
      </w:hyperlink>
    </w:p>
    <w:p w14:paraId="2F5A7515" w14:textId="24181015" w:rsidR="00CF6F7C" w:rsidRDefault="00FD0B16">
      <w:pPr>
        <w:pStyle w:val="TOC2"/>
        <w:rPr>
          <w:rFonts w:asciiTheme="minorHAnsi" w:eastAsiaTheme="minorEastAsia" w:hAnsiTheme="minorHAnsi" w:cstheme="minorBidi"/>
          <w:noProof/>
          <w:kern w:val="2"/>
          <w:szCs w:val="22"/>
          <w:lang w:eastAsia="en-NZ"/>
          <w14:ligatures w14:val="standardContextual"/>
        </w:rPr>
      </w:pPr>
      <w:hyperlink w:anchor="_Toc181712994" w:history="1">
        <w:r w:rsidR="00CF6F7C" w:rsidRPr="00474C8C">
          <w:rPr>
            <w:rStyle w:val="Hyperlink"/>
            <w:noProof/>
          </w:rPr>
          <w:t>Conclusions</w:t>
        </w:r>
        <w:r w:rsidR="00CF6F7C">
          <w:rPr>
            <w:noProof/>
            <w:webHidden/>
          </w:rPr>
          <w:tab/>
        </w:r>
        <w:r w:rsidR="00CF6F7C">
          <w:rPr>
            <w:noProof/>
            <w:webHidden/>
          </w:rPr>
          <w:fldChar w:fldCharType="begin"/>
        </w:r>
        <w:r w:rsidR="00CF6F7C">
          <w:rPr>
            <w:noProof/>
            <w:webHidden/>
          </w:rPr>
          <w:instrText xml:space="preserve"> PAGEREF _Toc181712994 \h </w:instrText>
        </w:r>
        <w:r w:rsidR="00CF6F7C">
          <w:rPr>
            <w:noProof/>
            <w:webHidden/>
          </w:rPr>
        </w:r>
        <w:r w:rsidR="00CF6F7C">
          <w:rPr>
            <w:noProof/>
            <w:webHidden/>
          </w:rPr>
          <w:fldChar w:fldCharType="separate"/>
        </w:r>
        <w:r w:rsidR="00A94319">
          <w:rPr>
            <w:noProof/>
            <w:webHidden/>
          </w:rPr>
          <w:t>3</w:t>
        </w:r>
        <w:r w:rsidR="00CF6F7C">
          <w:rPr>
            <w:noProof/>
            <w:webHidden/>
          </w:rPr>
          <w:fldChar w:fldCharType="end"/>
        </w:r>
      </w:hyperlink>
    </w:p>
    <w:p w14:paraId="3C4A82B7" w14:textId="5666AF57" w:rsidR="00CF6F7C" w:rsidRDefault="00FD0B16">
      <w:pPr>
        <w:pStyle w:val="TOC1"/>
        <w:rPr>
          <w:rFonts w:asciiTheme="minorHAnsi" w:eastAsiaTheme="minorEastAsia" w:hAnsiTheme="minorHAnsi" w:cstheme="minorBidi"/>
          <w:noProof/>
          <w:kern w:val="2"/>
          <w:sz w:val="22"/>
          <w:szCs w:val="22"/>
          <w:lang w:eastAsia="en-NZ"/>
          <w14:ligatures w14:val="standardContextual"/>
        </w:rPr>
      </w:pPr>
      <w:hyperlink w:anchor="_Toc181712995" w:history="1">
        <w:r w:rsidR="00CF6F7C" w:rsidRPr="00474C8C">
          <w:rPr>
            <w:rStyle w:val="Hyperlink"/>
            <w:noProof/>
          </w:rPr>
          <w:t>Background</w:t>
        </w:r>
        <w:r w:rsidR="00CF6F7C">
          <w:rPr>
            <w:noProof/>
            <w:webHidden/>
          </w:rPr>
          <w:tab/>
        </w:r>
        <w:r w:rsidR="00CF6F7C">
          <w:rPr>
            <w:noProof/>
            <w:webHidden/>
          </w:rPr>
          <w:fldChar w:fldCharType="begin"/>
        </w:r>
        <w:r w:rsidR="00CF6F7C">
          <w:rPr>
            <w:noProof/>
            <w:webHidden/>
          </w:rPr>
          <w:instrText xml:space="preserve"> PAGEREF _Toc181712995 \h </w:instrText>
        </w:r>
        <w:r w:rsidR="00CF6F7C">
          <w:rPr>
            <w:noProof/>
            <w:webHidden/>
          </w:rPr>
        </w:r>
        <w:r w:rsidR="00CF6F7C">
          <w:rPr>
            <w:noProof/>
            <w:webHidden/>
          </w:rPr>
          <w:fldChar w:fldCharType="separate"/>
        </w:r>
        <w:r w:rsidR="00A94319">
          <w:rPr>
            <w:noProof/>
            <w:webHidden/>
          </w:rPr>
          <w:t>4</w:t>
        </w:r>
        <w:r w:rsidR="00CF6F7C">
          <w:rPr>
            <w:noProof/>
            <w:webHidden/>
          </w:rPr>
          <w:fldChar w:fldCharType="end"/>
        </w:r>
      </w:hyperlink>
    </w:p>
    <w:p w14:paraId="11858964" w14:textId="028DFF24" w:rsidR="00CF6F7C" w:rsidRDefault="00FD0B16">
      <w:pPr>
        <w:pStyle w:val="TOC1"/>
        <w:rPr>
          <w:rFonts w:asciiTheme="minorHAnsi" w:eastAsiaTheme="minorEastAsia" w:hAnsiTheme="minorHAnsi" w:cstheme="minorBidi"/>
          <w:noProof/>
          <w:kern w:val="2"/>
          <w:sz w:val="22"/>
          <w:szCs w:val="22"/>
          <w:lang w:eastAsia="en-NZ"/>
          <w14:ligatures w14:val="standardContextual"/>
        </w:rPr>
      </w:pPr>
      <w:hyperlink w:anchor="_Toc181712996" w:history="1">
        <w:r w:rsidR="00CF6F7C" w:rsidRPr="00474C8C">
          <w:rPr>
            <w:rStyle w:val="Hyperlink"/>
            <w:noProof/>
          </w:rPr>
          <w:t>Objectives</w:t>
        </w:r>
        <w:r w:rsidR="00CF6F7C">
          <w:rPr>
            <w:noProof/>
            <w:webHidden/>
          </w:rPr>
          <w:tab/>
        </w:r>
        <w:r w:rsidR="00CF6F7C">
          <w:rPr>
            <w:noProof/>
            <w:webHidden/>
          </w:rPr>
          <w:fldChar w:fldCharType="begin"/>
        </w:r>
        <w:r w:rsidR="00CF6F7C">
          <w:rPr>
            <w:noProof/>
            <w:webHidden/>
          </w:rPr>
          <w:instrText xml:space="preserve"> PAGEREF _Toc181712996 \h </w:instrText>
        </w:r>
        <w:r w:rsidR="00CF6F7C">
          <w:rPr>
            <w:noProof/>
            <w:webHidden/>
          </w:rPr>
        </w:r>
        <w:r w:rsidR="00CF6F7C">
          <w:rPr>
            <w:noProof/>
            <w:webHidden/>
          </w:rPr>
          <w:fldChar w:fldCharType="separate"/>
        </w:r>
        <w:r w:rsidR="00A94319">
          <w:rPr>
            <w:noProof/>
            <w:webHidden/>
          </w:rPr>
          <w:t>7</w:t>
        </w:r>
        <w:r w:rsidR="00CF6F7C">
          <w:rPr>
            <w:noProof/>
            <w:webHidden/>
          </w:rPr>
          <w:fldChar w:fldCharType="end"/>
        </w:r>
      </w:hyperlink>
    </w:p>
    <w:p w14:paraId="4AF46BD0" w14:textId="384A0528" w:rsidR="00CF6F7C" w:rsidRDefault="00FD0B16">
      <w:pPr>
        <w:pStyle w:val="TOC1"/>
        <w:rPr>
          <w:rFonts w:asciiTheme="minorHAnsi" w:eastAsiaTheme="minorEastAsia" w:hAnsiTheme="minorHAnsi" w:cstheme="minorBidi"/>
          <w:noProof/>
          <w:kern w:val="2"/>
          <w:sz w:val="22"/>
          <w:szCs w:val="22"/>
          <w:lang w:eastAsia="en-NZ"/>
          <w14:ligatures w14:val="standardContextual"/>
        </w:rPr>
      </w:pPr>
      <w:hyperlink w:anchor="_Toc181712997" w:history="1">
        <w:r w:rsidR="00CF6F7C" w:rsidRPr="00474C8C">
          <w:rPr>
            <w:rStyle w:val="Hyperlink"/>
            <w:noProof/>
          </w:rPr>
          <w:t>Methods</w:t>
        </w:r>
        <w:r w:rsidR="00CF6F7C">
          <w:rPr>
            <w:noProof/>
            <w:webHidden/>
          </w:rPr>
          <w:tab/>
        </w:r>
        <w:r w:rsidR="00CF6F7C">
          <w:rPr>
            <w:noProof/>
            <w:webHidden/>
          </w:rPr>
          <w:fldChar w:fldCharType="begin"/>
        </w:r>
        <w:r w:rsidR="00CF6F7C">
          <w:rPr>
            <w:noProof/>
            <w:webHidden/>
          </w:rPr>
          <w:instrText xml:space="preserve"> PAGEREF _Toc181712997 \h </w:instrText>
        </w:r>
        <w:r w:rsidR="00CF6F7C">
          <w:rPr>
            <w:noProof/>
            <w:webHidden/>
          </w:rPr>
        </w:r>
        <w:r w:rsidR="00CF6F7C">
          <w:rPr>
            <w:noProof/>
            <w:webHidden/>
          </w:rPr>
          <w:fldChar w:fldCharType="separate"/>
        </w:r>
        <w:r w:rsidR="00A94319">
          <w:rPr>
            <w:noProof/>
            <w:webHidden/>
          </w:rPr>
          <w:t>8</w:t>
        </w:r>
        <w:r w:rsidR="00CF6F7C">
          <w:rPr>
            <w:noProof/>
            <w:webHidden/>
          </w:rPr>
          <w:fldChar w:fldCharType="end"/>
        </w:r>
      </w:hyperlink>
    </w:p>
    <w:p w14:paraId="1DD8E407" w14:textId="4FE0D289" w:rsidR="00CF6F7C" w:rsidRDefault="00FD0B16">
      <w:pPr>
        <w:pStyle w:val="TOC2"/>
        <w:rPr>
          <w:rFonts w:asciiTheme="minorHAnsi" w:eastAsiaTheme="minorEastAsia" w:hAnsiTheme="minorHAnsi" w:cstheme="minorBidi"/>
          <w:noProof/>
          <w:kern w:val="2"/>
          <w:szCs w:val="22"/>
          <w:lang w:eastAsia="en-NZ"/>
          <w14:ligatures w14:val="standardContextual"/>
        </w:rPr>
      </w:pPr>
      <w:hyperlink w:anchor="_Toc181712998" w:history="1">
        <w:r w:rsidR="00CF6F7C" w:rsidRPr="00474C8C">
          <w:rPr>
            <w:rStyle w:val="Hyperlink"/>
            <w:rFonts w:eastAsiaTheme="minorHAnsi"/>
            <w:bCs/>
            <w:noProof/>
          </w:rPr>
          <w:t>Literature search</w:t>
        </w:r>
        <w:r w:rsidR="00CF6F7C">
          <w:rPr>
            <w:noProof/>
            <w:webHidden/>
          </w:rPr>
          <w:tab/>
        </w:r>
        <w:r w:rsidR="00CF6F7C">
          <w:rPr>
            <w:noProof/>
            <w:webHidden/>
          </w:rPr>
          <w:fldChar w:fldCharType="begin"/>
        </w:r>
        <w:r w:rsidR="00CF6F7C">
          <w:rPr>
            <w:noProof/>
            <w:webHidden/>
          </w:rPr>
          <w:instrText xml:space="preserve"> PAGEREF _Toc181712998 \h </w:instrText>
        </w:r>
        <w:r w:rsidR="00CF6F7C">
          <w:rPr>
            <w:noProof/>
            <w:webHidden/>
          </w:rPr>
        </w:r>
        <w:r w:rsidR="00CF6F7C">
          <w:rPr>
            <w:noProof/>
            <w:webHidden/>
          </w:rPr>
          <w:fldChar w:fldCharType="separate"/>
        </w:r>
        <w:r w:rsidR="00A94319">
          <w:rPr>
            <w:noProof/>
            <w:webHidden/>
          </w:rPr>
          <w:t>8</w:t>
        </w:r>
        <w:r w:rsidR="00CF6F7C">
          <w:rPr>
            <w:noProof/>
            <w:webHidden/>
          </w:rPr>
          <w:fldChar w:fldCharType="end"/>
        </w:r>
      </w:hyperlink>
    </w:p>
    <w:p w14:paraId="24B0B5BD" w14:textId="4DD15378" w:rsidR="00CF6F7C" w:rsidRDefault="00FD0B16">
      <w:pPr>
        <w:pStyle w:val="TOC2"/>
        <w:rPr>
          <w:rFonts w:asciiTheme="minorHAnsi" w:eastAsiaTheme="minorEastAsia" w:hAnsiTheme="minorHAnsi" w:cstheme="minorBidi"/>
          <w:noProof/>
          <w:kern w:val="2"/>
          <w:szCs w:val="22"/>
          <w:lang w:eastAsia="en-NZ"/>
          <w14:ligatures w14:val="standardContextual"/>
        </w:rPr>
      </w:pPr>
      <w:hyperlink w:anchor="_Toc181712999" w:history="1">
        <w:r w:rsidR="00CF6F7C" w:rsidRPr="00474C8C">
          <w:rPr>
            <w:rStyle w:val="Hyperlink"/>
            <w:rFonts w:eastAsiaTheme="minorHAnsi"/>
            <w:noProof/>
          </w:rPr>
          <w:t>Criteria for study inclusion</w:t>
        </w:r>
        <w:r w:rsidR="00CF6F7C">
          <w:rPr>
            <w:noProof/>
            <w:webHidden/>
          </w:rPr>
          <w:tab/>
        </w:r>
        <w:r w:rsidR="00CF6F7C">
          <w:rPr>
            <w:noProof/>
            <w:webHidden/>
          </w:rPr>
          <w:fldChar w:fldCharType="begin"/>
        </w:r>
        <w:r w:rsidR="00CF6F7C">
          <w:rPr>
            <w:noProof/>
            <w:webHidden/>
          </w:rPr>
          <w:instrText xml:space="preserve"> PAGEREF _Toc181712999 \h </w:instrText>
        </w:r>
        <w:r w:rsidR="00CF6F7C">
          <w:rPr>
            <w:noProof/>
            <w:webHidden/>
          </w:rPr>
        </w:r>
        <w:r w:rsidR="00CF6F7C">
          <w:rPr>
            <w:noProof/>
            <w:webHidden/>
          </w:rPr>
          <w:fldChar w:fldCharType="separate"/>
        </w:r>
        <w:r w:rsidR="00A94319">
          <w:rPr>
            <w:noProof/>
            <w:webHidden/>
          </w:rPr>
          <w:t>8</w:t>
        </w:r>
        <w:r w:rsidR="00CF6F7C">
          <w:rPr>
            <w:noProof/>
            <w:webHidden/>
          </w:rPr>
          <w:fldChar w:fldCharType="end"/>
        </w:r>
      </w:hyperlink>
    </w:p>
    <w:p w14:paraId="2A38DB4B" w14:textId="1A92B45C" w:rsidR="00CF6F7C" w:rsidRDefault="00FD0B16">
      <w:pPr>
        <w:pStyle w:val="TOC2"/>
        <w:rPr>
          <w:rFonts w:asciiTheme="minorHAnsi" w:eastAsiaTheme="minorEastAsia" w:hAnsiTheme="minorHAnsi" w:cstheme="minorBidi"/>
          <w:noProof/>
          <w:kern w:val="2"/>
          <w:szCs w:val="22"/>
          <w:lang w:eastAsia="en-NZ"/>
          <w14:ligatures w14:val="standardContextual"/>
        </w:rPr>
      </w:pPr>
      <w:hyperlink w:anchor="_Toc181713000" w:history="1">
        <w:r w:rsidR="00CF6F7C" w:rsidRPr="00474C8C">
          <w:rPr>
            <w:rStyle w:val="Hyperlink"/>
            <w:noProof/>
          </w:rPr>
          <w:t>Analysis</w:t>
        </w:r>
        <w:r w:rsidR="00CF6F7C">
          <w:rPr>
            <w:noProof/>
            <w:webHidden/>
          </w:rPr>
          <w:tab/>
        </w:r>
        <w:r w:rsidR="00CF6F7C">
          <w:rPr>
            <w:noProof/>
            <w:webHidden/>
          </w:rPr>
          <w:fldChar w:fldCharType="begin"/>
        </w:r>
        <w:r w:rsidR="00CF6F7C">
          <w:rPr>
            <w:noProof/>
            <w:webHidden/>
          </w:rPr>
          <w:instrText xml:space="preserve"> PAGEREF _Toc181713000 \h </w:instrText>
        </w:r>
        <w:r w:rsidR="00CF6F7C">
          <w:rPr>
            <w:noProof/>
            <w:webHidden/>
          </w:rPr>
        </w:r>
        <w:r w:rsidR="00CF6F7C">
          <w:rPr>
            <w:noProof/>
            <w:webHidden/>
          </w:rPr>
          <w:fldChar w:fldCharType="separate"/>
        </w:r>
        <w:r w:rsidR="00A94319">
          <w:rPr>
            <w:noProof/>
            <w:webHidden/>
          </w:rPr>
          <w:t>8</w:t>
        </w:r>
        <w:r w:rsidR="00CF6F7C">
          <w:rPr>
            <w:noProof/>
            <w:webHidden/>
          </w:rPr>
          <w:fldChar w:fldCharType="end"/>
        </w:r>
      </w:hyperlink>
    </w:p>
    <w:p w14:paraId="62419899" w14:textId="5C211404" w:rsidR="00CF6F7C" w:rsidRDefault="00FD0B16">
      <w:pPr>
        <w:pStyle w:val="TOC1"/>
        <w:rPr>
          <w:rFonts w:asciiTheme="minorHAnsi" w:eastAsiaTheme="minorEastAsia" w:hAnsiTheme="minorHAnsi" w:cstheme="minorBidi"/>
          <w:noProof/>
          <w:kern w:val="2"/>
          <w:sz w:val="22"/>
          <w:szCs w:val="22"/>
          <w:lang w:eastAsia="en-NZ"/>
          <w14:ligatures w14:val="standardContextual"/>
        </w:rPr>
      </w:pPr>
      <w:hyperlink w:anchor="_Toc181713001" w:history="1">
        <w:r w:rsidR="00CF6F7C" w:rsidRPr="00474C8C">
          <w:rPr>
            <w:rStyle w:val="Hyperlink"/>
            <w:noProof/>
          </w:rPr>
          <w:t>Results</w:t>
        </w:r>
        <w:r w:rsidR="00CF6F7C">
          <w:rPr>
            <w:noProof/>
            <w:webHidden/>
          </w:rPr>
          <w:tab/>
        </w:r>
        <w:r w:rsidR="00CF6F7C">
          <w:rPr>
            <w:noProof/>
            <w:webHidden/>
          </w:rPr>
          <w:fldChar w:fldCharType="begin"/>
        </w:r>
        <w:r w:rsidR="00CF6F7C">
          <w:rPr>
            <w:noProof/>
            <w:webHidden/>
          </w:rPr>
          <w:instrText xml:space="preserve"> PAGEREF _Toc181713001 \h </w:instrText>
        </w:r>
        <w:r w:rsidR="00CF6F7C">
          <w:rPr>
            <w:noProof/>
            <w:webHidden/>
          </w:rPr>
        </w:r>
        <w:r w:rsidR="00CF6F7C">
          <w:rPr>
            <w:noProof/>
            <w:webHidden/>
          </w:rPr>
          <w:fldChar w:fldCharType="separate"/>
        </w:r>
        <w:r w:rsidR="00A94319">
          <w:rPr>
            <w:noProof/>
            <w:webHidden/>
          </w:rPr>
          <w:t>9</w:t>
        </w:r>
        <w:r w:rsidR="00CF6F7C">
          <w:rPr>
            <w:noProof/>
            <w:webHidden/>
          </w:rPr>
          <w:fldChar w:fldCharType="end"/>
        </w:r>
      </w:hyperlink>
    </w:p>
    <w:p w14:paraId="098802F2" w14:textId="1DEBB159" w:rsidR="00CF6F7C" w:rsidRDefault="00FD0B16">
      <w:pPr>
        <w:pStyle w:val="TOC2"/>
        <w:rPr>
          <w:rFonts w:asciiTheme="minorHAnsi" w:eastAsiaTheme="minorEastAsia" w:hAnsiTheme="minorHAnsi" w:cstheme="minorBidi"/>
          <w:noProof/>
          <w:kern w:val="2"/>
          <w:szCs w:val="22"/>
          <w:lang w:eastAsia="en-NZ"/>
          <w14:ligatures w14:val="standardContextual"/>
        </w:rPr>
      </w:pPr>
      <w:hyperlink w:anchor="_Toc181713002" w:history="1">
        <w:r w:rsidR="00CF6F7C" w:rsidRPr="00474C8C">
          <w:rPr>
            <w:rStyle w:val="Hyperlink"/>
            <w:noProof/>
          </w:rPr>
          <w:t>Systematic reviews and meta analyses of mesh versus non-mesh groin hernia repair</w:t>
        </w:r>
        <w:r w:rsidR="00CF6F7C">
          <w:rPr>
            <w:noProof/>
            <w:webHidden/>
          </w:rPr>
          <w:tab/>
        </w:r>
        <w:r w:rsidR="00CF6F7C">
          <w:rPr>
            <w:noProof/>
            <w:webHidden/>
          </w:rPr>
          <w:fldChar w:fldCharType="begin"/>
        </w:r>
        <w:r w:rsidR="00CF6F7C">
          <w:rPr>
            <w:noProof/>
            <w:webHidden/>
          </w:rPr>
          <w:instrText xml:space="preserve"> PAGEREF _Toc181713002 \h </w:instrText>
        </w:r>
        <w:r w:rsidR="00CF6F7C">
          <w:rPr>
            <w:noProof/>
            <w:webHidden/>
          </w:rPr>
        </w:r>
        <w:r w:rsidR="00CF6F7C">
          <w:rPr>
            <w:noProof/>
            <w:webHidden/>
          </w:rPr>
          <w:fldChar w:fldCharType="separate"/>
        </w:r>
        <w:r w:rsidR="00A94319">
          <w:rPr>
            <w:noProof/>
            <w:webHidden/>
          </w:rPr>
          <w:t>9</w:t>
        </w:r>
        <w:r w:rsidR="00CF6F7C">
          <w:rPr>
            <w:noProof/>
            <w:webHidden/>
          </w:rPr>
          <w:fldChar w:fldCharType="end"/>
        </w:r>
      </w:hyperlink>
    </w:p>
    <w:p w14:paraId="41E5BDD4" w14:textId="6304EE97" w:rsidR="00CF6F7C" w:rsidRDefault="00FD0B16">
      <w:pPr>
        <w:pStyle w:val="TOC2"/>
        <w:rPr>
          <w:rFonts w:asciiTheme="minorHAnsi" w:eastAsiaTheme="minorEastAsia" w:hAnsiTheme="minorHAnsi" w:cstheme="minorBidi"/>
          <w:noProof/>
          <w:kern w:val="2"/>
          <w:szCs w:val="22"/>
          <w:lang w:eastAsia="en-NZ"/>
          <w14:ligatures w14:val="standardContextual"/>
        </w:rPr>
      </w:pPr>
      <w:hyperlink w:anchor="_Toc181713003" w:history="1">
        <w:r w:rsidR="00CF6F7C" w:rsidRPr="00474C8C">
          <w:rPr>
            <w:rStyle w:val="Hyperlink"/>
            <w:noProof/>
          </w:rPr>
          <w:t>Mesh versus non-mesh emergency repair of groin hernia</w:t>
        </w:r>
        <w:r w:rsidR="00CF6F7C">
          <w:rPr>
            <w:noProof/>
            <w:webHidden/>
          </w:rPr>
          <w:tab/>
        </w:r>
        <w:r w:rsidR="00CF6F7C">
          <w:rPr>
            <w:noProof/>
            <w:webHidden/>
          </w:rPr>
          <w:fldChar w:fldCharType="begin"/>
        </w:r>
        <w:r w:rsidR="00CF6F7C">
          <w:rPr>
            <w:noProof/>
            <w:webHidden/>
          </w:rPr>
          <w:instrText xml:space="preserve"> PAGEREF _Toc181713003 \h </w:instrText>
        </w:r>
        <w:r w:rsidR="00CF6F7C">
          <w:rPr>
            <w:noProof/>
            <w:webHidden/>
          </w:rPr>
        </w:r>
        <w:r w:rsidR="00CF6F7C">
          <w:rPr>
            <w:noProof/>
            <w:webHidden/>
          </w:rPr>
          <w:fldChar w:fldCharType="separate"/>
        </w:r>
        <w:r w:rsidR="00A94319">
          <w:rPr>
            <w:noProof/>
            <w:webHidden/>
          </w:rPr>
          <w:t>10</w:t>
        </w:r>
        <w:r w:rsidR="00CF6F7C">
          <w:rPr>
            <w:noProof/>
            <w:webHidden/>
          </w:rPr>
          <w:fldChar w:fldCharType="end"/>
        </w:r>
      </w:hyperlink>
    </w:p>
    <w:p w14:paraId="25B04589" w14:textId="30DB2168" w:rsidR="00CF6F7C" w:rsidRDefault="00FD0B16">
      <w:pPr>
        <w:pStyle w:val="TOC2"/>
        <w:rPr>
          <w:rFonts w:asciiTheme="minorHAnsi" w:eastAsiaTheme="minorEastAsia" w:hAnsiTheme="minorHAnsi" w:cstheme="minorBidi"/>
          <w:noProof/>
          <w:kern w:val="2"/>
          <w:szCs w:val="22"/>
          <w:lang w:eastAsia="en-NZ"/>
          <w14:ligatures w14:val="standardContextual"/>
        </w:rPr>
      </w:pPr>
      <w:hyperlink w:anchor="_Toc181713004" w:history="1">
        <w:r w:rsidR="00CF6F7C" w:rsidRPr="00474C8C">
          <w:rPr>
            <w:rStyle w:val="Hyperlink"/>
            <w:noProof/>
          </w:rPr>
          <w:t>Systematic review of laparoscopic versus open repair of groin hernias</w:t>
        </w:r>
        <w:r w:rsidR="00CF6F7C">
          <w:rPr>
            <w:noProof/>
            <w:webHidden/>
          </w:rPr>
          <w:tab/>
        </w:r>
        <w:r w:rsidR="00CF6F7C">
          <w:rPr>
            <w:noProof/>
            <w:webHidden/>
          </w:rPr>
          <w:fldChar w:fldCharType="begin"/>
        </w:r>
        <w:r w:rsidR="00CF6F7C">
          <w:rPr>
            <w:noProof/>
            <w:webHidden/>
          </w:rPr>
          <w:instrText xml:space="preserve"> PAGEREF _Toc181713004 \h </w:instrText>
        </w:r>
        <w:r w:rsidR="00CF6F7C">
          <w:rPr>
            <w:noProof/>
            <w:webHidden/>
          </w:rPr>
        </w:r>
        <w:r w:rsidR="00CF6F7C">
          <w:rPr>
            <w:noProof/>
            <w:webHidden/>
          </w:rPr>
          <w:fldChar w:fldCharType="separate"/>
        </w:r>
        <w:r w:rsidR="00A94319">
          <w:rPr>
            <w:noProof/>
            <w:webHidden/>
          </w:rPr>
          <w:t>11</w:t>
        </w:r>
        <w:r w:rsidR="00CF6F7C">
          <w:rPr>
            <w:noProof/>
            <w:webHidden/>
          </w:rPr>
          <w:fldChar w:fldCharType="end"/>
        </w:r>
      </w:hyperlink>
    </w:p>
    <w:p w14:paraId="7668523D" w14:textId="6B07535A" w:rsidR="00CF6F7C" w:rsidRDefault="00FD0B16">
      <w:pPr>
        <w:pStyle w:val="TOC2"/>
        <w:rPr>
          <w:rFonts w:asciiTheme="minorHAnsi" w:eastAsiaTheme="minorEastAsia" w:hAnsiTheme="minorHAnsi" w:cstheme="minorBidi"/>
          <w:noProof/>
          <w:kern w:val="2"/>
          <w:szCs w:val="22"/>
          <w:lang w:eastAsia="en-NZ"/>
          <w14:ligatures w14:val="standardContextual"/>
        </w:rPr>
      </w:pPr>
      <w:hyperlink w:anchor="_Toc181713005" w:history="1">
        <w:r w:rsidR="00CF6F7C" w:rsidRPr="00474C8C">
          <w:rPr>
            <w:rStyle w:val="Hyperlink"/>
            <w:noProof/>
          </w:rPr>
          <w:t>Studies investigating patient reported outcomes</w:t>
        </w:r>
        <w:r w:rsidR="00CF6F7C">
          <w:rPr>
            <w:noProof/>
            <w:webHidden/>
          </w:rPr>
          <w:tab/>
        </w:r>
        <w:r w:rsidR="00CF6F7C">
          <w:rPr>
            <w:noProof/>
            <w:webHidden/>
          </w:rPr>
          <w:fldChar w:fldCharType="begin"/>
        </w:r>
        <w:r w:rsidR="00CF6F7C">
          <w:rPr>
            <w:noProof/>
            <w:webHidden/>
          </w:rPr>
          <w:instrText xml:space="preserve"> PAGEREF _Toc181713005 \h </w:instrText>
        </w:r>
        <w:r w:rsidR="00CF6F7C">
          <w:rPr>
            <w:noProof/>
            <w:webHidden/>
          </w:rPr>
        </w:r>
        <w:r w:rsidR="00CF6F7C">
          <w:rPr>
            <w:noProof/>
            <w:webHidden/>
          </w:rPr>
          <w:fldChar w:fldCharType="separate"/>
        </w:r>
        <w:r w:rsidR="00A94319">
          <w:rPr>
            <w:noProof/>
            <w:webHidden/>
          </w:rPr>
          <w:t>11</w:t>
        </w:r>
        <w:r w:rsidR="00CF6F7C">
          <w:rPr>
            <w:noProof/>
            <w:webHidden/>
          </w:rPr>
          <w:fldChar w:fldCharType="end"/>
        </w:r>
      </w:hyperlink>
    </w:p>
    <w:p w14:paraId="1B27D437" w14:textId="3D18A483" w:rsidR="00CF6F7C" w:rsidRDefault="00FD0B16">
      <w:pPr>
        <w:pStyle w:val="TOC1"/>
        <w:rPr>
          <w:rFonts w:asciiTheme="minorHAnsi" w:eastAsiaTheme="minorEastAsia" w:hAnsiTheme="minorHAnsi" w:cstheme="minorBidi"/>
          <w:noProof/>
          <w:kern w:val="2"/>
          <w:sz w:val="22"/>
          <w:szCs w:val="22"/>
          <w:lang w:eastAsia="en-NZ"/>
          <w14:ligatures w14:val="standardContextual"/>
        </w:rPr>
      </w:pPr>
      <w:hyperlink w:anchor="_Toc181713006" w:history="1">
        <w:r w:rsidR="00CF6F7C" w:rsidRPr="00474C8C">
          <w:rPr>
            <w:rStyle w:val="Hyperlink"/>
            <w:noProof/>
          </w:rPr>
          <w:t>Discussion</w:t>
        </w:r>
        <w:r w:rsidR="00CF6F7C">
          <w:rPr>
            <w:noProof/>
            <w:webHidden/>
          </w:rPr>
          <w:tab/>
        </w:r>
        <w:r w:rsidR="00CF6F7C">
          <w:rPr>
            <w:noProof/>
            <w:webHidden/>
          </w:rPr>
          <w:fldChar w:fldCharType="begin"/>
        </w:r>
        <w:r w:rsidR="00CF6F7C">
          <w:rPr>
            <w:noProof/>
            <w:webHidden/>
          </w:rPr>
          <w:instrText xml:space="preserve"> PAGEREF _Toc181713006 \h </w:instrText>
        </w:r>
        <w:r w:rsidR="00CF6F7C">
          <w:rPr>
            <w:noProof/>
            <w:webHidden/>
          </w:rPr>
        </w:r>
        <w:r w:rsidR="00CF6F7C">
          <w:rPr>
            <w:noProof/>
            <w:webHidden/>
          </w:rPr>
          <w:fldChar w:fldCharType="separate"/>
        </w:r>
        <w:r w:rsidR="00A94319">
          <w:rPr>
            <w:noProof/>
            <w:webHidden/>
          </w:rPr>
          <w:t>14</w:t>
        </w:r>
        <w:r w:rsidR="00CF6F7C">
          <w:rPr>
            <w:noProof/>
            <w:webHidden/>
          </w:rPr>
          <w:fldChar w:fldCharType="end"/>
        </w:r>
      </w:hyperlink>
    </w:p>
    <w:p w14:paraId="620504BD" w14:textId="4F05D035" w:rsidR="00CF6F7C" w:rsidRDefault="00FD0B16">
      <w:pPr>
        <w:pStyle w:val="TOC2"/>
        <w:rPr>
          <w:rFonts w:asciiTheme="minorHAnsi" w:eastAsiaTheme="minorEastAsia" w:hAnsiTheme="minorHAnsi" w:cstheme="minorBidi"/>
          <w:noProof/>
          <w:kern w:val="2"/>
          <w:szCs w:val="22"/>
          <w:lang w:eastAsia="en-NZ"/>
          <w14:ligatures w14:val="standardContextual"/>
        </w:rPr>
      </w:pPr>
      <w:hyperlink w:anchor="_Toc181713007" w:history="1">
        <w:r w:rsidR="00CF6F7C" w:rsidRPr="00474C8C">
          <w:rPr>
            <w:rStyle w:val="Hyperlink"/>
            <w:noProof/>
          </w:rPr>
          <w:t>Mesh versus non-mesh repair of groin hernias</w:t>
        </w:r>
        <w:r w:rsidR="00CF6F7C">
          <w:rPr>
            <w:noProof/>
            <w:webHidden/>
          </w:rPr>
          <w:tab/>
        </w:r>
        <w:r w:rsidR="00CF6F7C">
          <w:rPr>
            <w:noProof/>
            <w:webHidden/>
          </w:rPr>
          <w:fldChar w:fldCharType="begin"/>
        </w:r>
        <w:r w:rsidR="00CF6F7C">
          <w:rPr>
            <w:noProof/>
            <w:webHidden/>
          </w:rPr>
          <w:instrText xml:space="preserve"> PAGEREF _Toc181713007 \h </w:instrText>
        </w:r>
        <w:r w:rsidR="00CF6F7C">
          <w:rPr>
            <w:noProof/>
            <w:webHidden/>
          </w:rPr>
        </w:r>
        <w:r w:rsidR="00CF6F7C">
          <w:rPr>
            <w:noProof/>
            <w:webHidden/>
          </w:rPr>
          <w:fldChar w:fldCharType="separate"/>
        </w:r>
        <w:r w:rsidR="00A94319">
          <w:rPr>
            <w:noProof/>
            <w:webHidden/>
          </w:rPr>
          <w:t>14</w:t>
        </w:r>
        <w:r w:rsidR="00CF6F7C">
          <w:rPr>
            <w:noProof/>
            <w:webHidden/>
          </w:rPr>
          <w:fldChar w:fldCharType="end"/>
        </w:r>
      </w:hyperlink>
    </w:p>
    <w:p w14:paraId="7593C0CA" w14:textId="0FE02260" w:rsidR="00CF6F7C" w:rsidRDefault="00FD0B16">
      <w:pPr>
        <w:pStyle w:val="TOC2"/>
        <w:rPr>
          <w:rFonts w:asciiTheme="minorHAnsi" w:eastAsiaTheme="minorEastAsia" w:hAnsiTheme="minorHAnsi" w:cstheme="minorBidi"/>
          <w:noProof/>
          <w:kern w:val="2"/>
          <w:szCs w:val="22"/>
          <w:lang w:eastAsia="en-NZ"/>
          <w14:ligatures w14:val="standardContextual"/>
        </w:rPr>
      </w:pPr>
      <w:hyperlink w:anchor="_Toc181713008" w:history="1">
        <w:r w:rsidR="00CF6F7C" w:rsidRPr="00474C8C">
          <w:rPr>
            <w:rStyle w:val="Hyperlink"/>
            <w:noProof/>
          </w:rPr>
          <w:t>Confounders – method of entry and emergency repairs</w:t>
        </w:r>
        <w:r w:rsidR="00CF6F7C">
          <w:rPr>
            <w:noProof/>
            <w:webHidden/>
          </w:rPr>
          <w:tab/>
        </w:r>
        <w:r w:rsidR="00CF6F7C">
          <w:rPr>
            <w:noProof/>
            <w:webHidden/>
          </w:rPr>
          <w:fldChar w:fldCharType="begin"/>
        </w:r>
        <w:r w:rsidR="00CF6F7C">
          <w:rPr>
            <w:noProof/>
            <w:webHidden/>
          </w:rPr>
          <w:instrText xml:space="preserve"> PAGEREF _Toc181713008 \h </w:instrText>
        </w:r>
        <w:r w:rsidR="00CF6F7C">
          <w:rPr>
            <w:noProof/>
            <w:webHidden/>
          </w:rPr>
        </w:r>
        <w:r w:rsidR="00CF6F7C">
          <w:rPr>
            <w:noProof/>
            <w:webHidden/>
          </w:rPr>
          <w:fldChar w:fldCharType="separate"/>
        </w:r>
        <w:r w:rsidR="00A94319">
          <w:rPr>
            <w:noProof/>
            <w:webHidden/>
          </w:rPr>
          <w:t>15</w:t>
        </w:r>
        <w:r w:rsidR="00CF6F7C">
          <w:rPr>
            <w:noProof/>
            <w:webHidden/>
          </w:rPr>
          <w:fldChar w:fldCharType="end"/>
        </w:r>
      </w:hyperlink>
    </w:p>
    <w:p w14:paraId="4058086F" w14:textId="46868729" w:rsidR="00CF6F7C" w:rsidRDefault="00FD0B16">
      <w:pPr>
        <w:pStyle w:val="TOC2"/>
        <w:rPr>
          <w:rFonts w:asciiTheme="minorHAnsi" w:eastAsiaTheme="minorEastAsia" w:hAnsiTheme="minorHAnsi" w:cstheme="minorBidi"/>
          <w:noProof/>
          <w:kern w:val="2"/>
          <w:szCs w:val="22"/>
          <w:lang w:eastAsia="en-NZ"/>
          <w14:ligatures w14:val="standardContextual"/>
        </w:rPr>
      </w:pPr>
      <w:hyperlink w:anchor="_Toc181713009" w:history="1">
        <w:r w:rsidR="00CF6F7C" w:rsidRPr="00474C8C">
          <w:rPr>
            <w:rStyle w:val="Hyperlink"/>
            <w:noProof/>
          </w:rPr>
          <w:t>Patient-reported outcomes</w:t>
        </w:r>
        <w:r w:rsidR="00CF6F7C">
          <w:rPr>
            <w:noProof/>
            <w:webHidden/>
          </w:rPr>
          <w:tab/>
        </w:r>
        <w:r w:rsidR="00CF6F7C">
          <w:rPr>
            <w:noProof/>
            <w:webHidden/>
          </w:rPr>
          <w:fldChar w:fldCharType="begin"/>
        </w:r>
        <w:r w:rsidR="00CF6F7C">
          <w:rPr>
            <w:noProof/>
            <w:webHidden/>
          </w:rPr>
          <w:instrText xml:space="preserve"> PAGEREF _Toc181713009 \h </w:instrText>
        </w:r>
        <w:r w:rsidR="00CF6F7C">
          <w:rPr>
            <w:noProof/>
            <w:webHidden/>
          </w:rPr>
        </w:r>
        <w:r w:rsidR="00CF6F7C">
          <w:rPr>
            <w:noProof/>
            <w:webHidden/>
          </w:rPr>
          <w:fldChar w:fldCharType="separate"/>
        </w:r>
        <w:r w:rsidR="00A94319">
          <w:rPr>
            <w:noProof/>
            <w:webHidden/>
          </w:rPr>
          <w:t>15</w:t>
        </w:r>
        <w:r w:rsidR="00CF6F7C">
          <w:rPr>
            <w:noProof/>
            <w:webHidden/>
          </w:rPr>
          <w:fldChar w:fldCharType="end"/>
        </w:r>
      </w:hyperlink>
    </w:p>
    <w:p w14:paraId="0C485854" w14:textId="2EBD6F92" w:rsidR="00CF6F7C" w:rsidRDefault="00FD0B16">
      <w:pPr>
        <w:pStyle w:val="TOC2"/>
        <w:rPr>
          <w:rFonts w:asciiTheme="minorHAnsi" w:eastAsiaTheme="minorEastAsia" w:hAnsiTheme="minorHAnsi" w:cstheme="minorBidi"/>
          <w:noProof/>
          <w:kern w:val="2"/>
          <w:szCs w:val="22"/>
          <w:lang w:eastAsia="en-NZ"/>
          <w14:ligatures w14:val="standardContextual"/>
        </w:rPr>
      </w:pPr>
      <w:hyperlink w:anchor="_Toc181713010" w:history="1">
        <w:r w:rsidR="00CF6F7C" w:rsidRPr="00474C8C">
          <w:rPr>
            <w:rStyle w:val="Hyperlink"/>
            <w:noProof/>
          </w:rPr>
          <w:t>Treatment of groin hernias – HerniaSurge 2023 guidelines</w:t>
        </w:r>
        <w:r w:rsidR="00CF6F7C">
          <w:rPr>
            <w:noProof/>
            <w:webHidden/>
          </w:rPr>
          <w:tab/>
        </w:r>
        <w:r w:rsidR="00CF6F7C">
          <w:rPr>
            <w:noProof/>
            <w:webHidden/>
          </w:rPr>
          <w:fldChar w:fldCharType="begin"/>
        </w:r>
        <w:r w:rsidR="00CF6F7C">
          <w:rPr>
            <w:noProof/>
            <w:webHidden/>
          </w:rPr>
          <w:instrText xml:space="preserve"> PAGEREF _Toc181713010 \h </w:instrText>
        </w:r>
        <w:r w:rsidR="00CF6F7C">
          <w:rPr>
            <w:noProof/>
            <w:webHidden/>
          </w:rPr>
        </w:r>
        <w:r w:rsidR="00CF6F7C">
          <w:rPr>
            <w:noProof/>
            <w:webHidden/>
          </w:rPr>
          <w:fldChar w:fldCharType="separate"/>
        </w:r>
        <w:r w:rsidR="00A94319">
          <w:rPr>
            <w:noProof/>
            <w:webHidden/>
          </w:rPr>
          <w:t>16</w:t>
        </w:r>
        <w:r w:rsidR="00CF6F7C">
          <w:rPr>
            <w:noProof/>
            <w:webHidden/>
          </w:rPr>
          <w:fldChar w:fldCharType="end"/>
        </w:r>
      </w:hyperlink>
    </w:p>
    <w:p w14:paraId="4E71455D" w14:textId="7C5F4AAF" w:rsidR="00CF6F7C" w:rsidRDefault="00FD0B16">
      <w:pPr>
        <w:pStyle w:val="TOC1"/>
        <w:rPr>
          <w:rFonts w:asciiTheme="minorHAnsi" w:eastAsiaTheme="minorEastAsia" w:hAnsiTheme="minorHAnsi" w:cstheme="minorBidi"/>
          <w:noProof/>
          <w:kern w:val="2"/>
          <w:sz w:val="22"/>
          <w:szCs w:val="22"/>
          <w:lang w:eastAsia="en-NZ"/>
          <w14:ligatures w14:val="standardContextual"/>
        </w:rPr>
      </w:pPr>
      <w:hyperlink w:anchor="_Toc181713011" w:history="1">
        <w:r w:rsidR="00CF6F7C" w:rsidRPr="00474C8C">
          <w:rPr>
            <w:rStyle w:val="Hyperlink"/>
            <w:noProof/>
          </w:rPr>
          <w:t>Conclusion</w:t>
        </w:r>
        <w:r w:rsidR="00CF6F7C">
          <w:rPr>
            <w:noProof/>
            <w:webHidden/>
          </w:rPr>
          <w:tab/>
        </w:r>
        <w:r w:rsidR="00CF6F7C">
          <w:rPr>
            <w:noProof/>
            <w:webHidden/>
          </w:rPr>
          <w:fldChar w:fldCharType="begin"/>
        </w:r>
        <w:r w:rsidR="00CF6F7C">
          <w:rPr>
            <w:noProof/>
            <w:webHidden/>
          </w:rPr>
          <w:instrText xml:space="preserve"> PAGEREF _Toc181713011 \h </w:instrText>
        </w:r>
        <w:r w:rsidR="00CF6F7C">
          <w:rPr>
            <w:noProof/>
            <w:webHidden/>
          </w:rPr>
        </w:r>
        <w:r w:rsidR="00CF6F7C">
          <w:rPr>
            <w:noProof/>
            <w:webHidden/>
          </w:rPr>
          <w:fldChar w:fldCharType="separate"/>
        </w:r>
        <w:r w:rsidR="00A94319">
          <w:rPr>
            <w:noProof/>
            <w:webHidden/>
          </w:rPr>
          <w:t>17</w:t>
        </w:r>
        <w:r w:rsidR="00CF6F7C">
          <w:rPr>
            <w:noProof/>
            <w:webHidden/>
          </w:rPr>
          <w:fldChar w:fldCharType="end"/>
        </w:r>
      </w:hyperlink>
    </w:p>
    <w:p w14:paraId="6A7ED920" w14:textId="008A3C19" w:rsidR="00CF6F7C" w:rsidRDefault="00FD0B16">
      <w:pPr>
        <w:pStyle w:val="TOC1"/>
        <w:rPr>
          <w:rFonts w:asciiTheme="minorHAnsi" w:eastAsiaTheme="minorEastAsia" w:hAnsiTheme="minorHAnsi" w:cstheme="minorBidi"/>
          <w:noProof/>
          <w:kern w:val="2"/>
          <w:sz w:val="22"/>
          <w:szCs w:val="22"/>
          <w:lang w:eastAsia="en-NZ"/>
          <w14:ligatures w14:val="standardContextual"/>
        </w:rPr>
      </w:pPr>
      <w:hyperlink w:anchor="_Toc181713012" w:history="1">
        <w:r w:rsidR="00CF6F7C" w:rsidRPr="00474C8C">
          <w:rPr>
            <w:rStyle w:val="Hyperlink"/>
            <w:noProof/>
          </w:rPr>
          <w:t>References</w:t>
        </w:r>
        <w:r w:rsidR="00CF6F7C">
          <w:rPr>
            <w:noProof/>
            <w:webHidden/>
          </w:rPr>
          <w:tab/>
        </w:r>
        <w:r w:rsidR="00CF6F7C">
          <w:rPr>
            <w:noProof/>
            <w:webHidden/>
          </w:rPr>
          <w:fldChar w:fldCharType="begin"/>
        </w:r>
        <w:r w:rsidR="00CF6F7C">
          <w:rPr>
            <w:noProof/>
            <w:webHidden/>
          </w:rPr>
          <w:instrText xml:space="preserve"> PAGEREF _Toc181713012 \h </w:instrText>
        </w:r>
        <w:r w:rsidR="00CF6F7C">
          <w:rPr>
            <w:noProof/>
            <w:webHidden/>
          </w:rPr>
        </w:r>
        <w:r w:rsidR="00CF6F7C">
          <w:rPr>
            <w:noProof/>
            <w:webHidden/>
          </w:rPr>
          <w:fldChar w:fldCharType="separate"/>
        </w:r>
        <w:r w:rsidR="00A94319">
          <w:rPr>
            <w:noProof/>
            <w:webHidden/>
          </w:rPr>
          <w:t>18</w:t>
        </w:r>
        <w:r w:rsidR="00CF6F7C">
          <w:rPr>
            <w:noProof/>
            <w:webHidden/>
          </w:rPr>
          <w:fldChar w:fldCharType="end"/>
        </w:r>
      </w:hyperlink>
    </w:p>
    <w:p w14:paraId="1F5C8063" w14:textId="1E169A0F" w:rsidR="00CF6F7C" w:rsidRDefault="00FD0B16">
      <w:pPr>
        <w:pStyle w:val="TOC1"/>
        <w:rPr>
          <w:rFonts w:asciiTheme="minorHAnsi" w:eastAsiaTheme="minorEastAsia" w:hAnsiTheme="minorHAnsi" w:cstheme="minorBidi"/>
          <w:noProof/>
          <w:kern w:val="2"/>
          <w:sz w:val="22"/>
          <w:szCs w:val="22"/>
          <w:lang w:eastAsia="en-NZ"/>
          <w14:ligatures w14:val="standardContextual"/>
        </w:rPr>
      </w:pPr>
      <w:hyperlink w:anchor="_Toc181713013" w:history="1">
        <w:r w:rsidR="00CF6F7C" w:rsidRPr="00474C8C">
          <w:rPr>
            <w:rStyle w:val="Hyperlink"/>
            <w:noProof/>
          </w:rPr>
          <w:t>Appendix 1: Search criteria</w:t>
        </w:r>
        <w:r w:rsidR="00CF6F7C">
          <w:rPr>
            <w:noProof/>
            <w:webHidden/>
          </w:rPr>
          <w:tab/>
        </w:r>
        <w:r w:rsidR="00CF6F7C">
          <w:rPr>
            <w:noProof/>
            <w:webHidden/>
          </w:rPr>
          <w:fldChar w:fldCharType="begin"/>
        </w:r>
        <w:r w:rsidR="00CF6F7C">
          <w:rPr>
            <w:noProof/>
            <w:webHidden/>
          </w:rPr>
          <w:instrText xml:space="preserve"> PAGEREF _Toc181713013 \h </w:instrText>
        </w:r>
        <w:r w:rsidR="00CF6F7C">
          <w:rPr>
            <w:noProof/>
            <w:webHidden/>
          </w:rPr>
        </w:r>
        <w:r w:rsidR="00CF6F7C">
          <w:rPr>
            <w:noProof/>
            <w:webHidden/>
          </w:rPr>
          <w:fldChar w:fldCharType="separate"/>
        </w:r>
        <w:r w:rsidR="00A94319">
          <w:rPr>
            <w:noProof/>
            <w:webHidden/>
          </w:rPr>
          <w:t>23</w:t>
        </w:r>
        <w:r w:rsidR="00CF6F7C">
          <w:rPr>
            <w:noProof/>
            <w:webHidden/>
          </w:rPr>
          <w:fldChar w:fldCharType="end"/>
        </w:r>
      </w:hyperlink>
    </w:p>
    <w:p w14:paraId="3AB60EB0" w14:textId="5E797891" w:rsidR="00CF6F7C" w:rsidRDefault="00FD0B16">
      <w:pPr>
        <w:pStyle w:val="TOC1"/>
        <w:rPr>
          <w:rFonts w:asciiTheme="minorHAnsi" w:eastAsiaTheme="minorEastAsia" w:hAnsiTheme="minorHAnsi" w:cstheme="minorBidi"/>
          <w:noProof/>
          <w:kern w:val="2"/>
          <w:sz w:val="22"/>
          <w:szCs w:val="22"/>
          <w:lang w:eastAsia="en-NZ"/>
          <w14:ligatures w14:val="standardContextual"/>
        </w:rPr>
      </w:pPr>
      <w:hyperlink w:anchor="_Toc181713014" w:history="1">
        <w:r w:rsidR="00CF6F7C" w:rsidRPr="00474C8C">
          <w:rPr>
            <w:rStyle w:val="Hyperlink"/>
            <w:noProof/>
          </w:rPr>
          <w:t>Appendix 2: Outcome tables</w:t>
        </w:r>
        <w:r w:rsidR="00CF6F7C">
          <w:rPr>
            <w:noProof/>
            <w:webHidden/>
          </w:rPr>
          <w:tab/>
        </w:r>
        <w:r w:rsidR="00CF6F7C">
          <w:rPr>
            <w:noProof/>
            <w:webHidden/>
          </w:rPr>
          <w:fldChar w:fldCharType="begin"/>
        </w:r>
        <w:r w:rsidR="00CF6F7C">
          <w:rPr>
            <w:noProof/>
            <w:webHidden/>
          </w:rPr>
          <w:instrText xml:space="preserve"> PAGEREF _Toc181713014 \h </w:instrText>
        </w:r>
        <w:r w:rsidR="00CF6F7C">
          <w:rPr>
            <w:noProof/>
            <w:webHidden/>
          </w:rPr>
        </w:r>
        <w:r w:rsidR="00CF6F7C">
          <w:rPr>
            <w:noProof/>
            <w:webHidden/>
          </w:rPr>
          <w:fldChar w:fldCharType="separate"/>
        </w:r>
        <w:r w:rsidR="00A94319">
          <w:rPr>
            <w:noProof/>
            <w:webHidden/>
          </w:rPr>
          <w:t>25</w:t>
        </w:r>
        <w:r w:rsidR="00CF6F7C">
          <w:rPr>
            <w:noProof/>
            <w:webHidden/>
          </w:rPr>
          <w:fldChar w:fldCharType="end"/>
        </w:r>
      </w:hyperlink>
    </w:p>
    <w:p w14:paraId="755E3CAB" w14:textId="7FA78732" w:rsidR="00CF6F7C" w:rsidRDefault="00FD0B16">
      <w:pPr>
        <w:pStyle w:val="TOC1"/>
        <w:rPr>
          <w:rFonts w:asciiTheme="minorHAnsi" w:eastAsiaTheme="minorEastAsia" w:hAnsiTheme="minorHAnsi" w:cstheme="minorBidi"/>
          <w:noProof/>
          <w:kern w:val="2"/>
          <w:sz w:val="22"/>
          <w:szCs w:val="22"/>
          <w:lang w:eastAsia="en-NZ"/>
          <w14:ligatures w14:val="standardContextual"/>
        </w:rPr>
      </w:pPr>
      <w:hyperlink w:anchor="_Toc181713015" w:history="1">
        <w:r w:rsidR="00CF6F7C" w:rsidRPr="00474C8C">
          <w:rPr>
            <w:rStyle w:val="Hyperlink"/>
            <w:noProof/>
          </w:rPr>
          <w:t>Appendix 3: Relevant international information</w:t>
        </w:r>
        <w:r w:rsidR="00CF6F7C">
          <w:rPr>
            <w:noProof/>
            <w:webHidden/>
          </w:rPr>
          <w:tab/>
        </w:r>
        <w:r w:rsidR="00CF6F7C">
          <w:rPr>
            <w:noProof/>
            <w:webHidden/>
          </w:rPr>
          <w:fldChar w:fldCharType="begin"/>
        </w:r>
        <w:r w:rsidR="00CF6F7C">
          <w:rPr>
            <w:noProof/>
            <w:webHidden/>
          </w:rPr>
          <w:instrText xml:space="preserve"> PAGEREF _Toc181713015 \h </w:instrText>
        </w:r>
        <w:r w:rsidR="00CF6F7C">
          <w:rPr>
            <w:noProof/>
            <w:webHidden/>
          </w:rPr>
        </w:r>
        <w:r w:rsidR="00CF6F7C">
          <w:rPr>
            <w:noProof/>
            <w:webHidden/>
          </w:rPr>
          <w:fldChar w:fldCharType="separate"/>
        </w:r>
        <w:r w:rsidR="00A94319">
          <w:rPr>
            <w:noProof/>
            <w:webHidden/>
          </w:rPr>
          <w:t>28</w:t>
        </w:r>
        <w:r w:rsidR="00CF6F7C">
          <w:rPr>
            <w:noProof/>
            <w:webHidden/>
          </w:rPr>
          <w:fldChar w:fldCharType="end"/>
        </w:r>
      </w:hyperlink>
    </w:p>
    <w:p w14:paraId="3B4A57F2" w14:textId="1B2792EB" w:rsidR="00CF6F7C" w:rsidRDefault="00FD0B16">
      <w:pPr>
        <w:pStyle w:val="TOC1"/>
        <w:rPr>
          <w:rFonts w:asciiTheme="minorHAnsi" w:eastAsiaTheme="minorEastAsia" w:hAnsiTheme="minorHAnsi" w:cstheme="minorBidi"/>
          <w:noProof/>
          <w:kern w:val="2"/>
          <w:sz w:val="22"/>
          <w:szCs w:val="22"/>
          <w:lang w:eastAsia="en-NZ"/>
          <w14:ligatures w14:val="standardContextual"/>
        </w:rPr>
      </w:pPr>
      <w:hyperlink w:anchor="_Toc181713016" w:history="1">
        <w:r w:rsidR="00CF6F7C" w:rsidRPr="00474C8C">
          <w:rPr>
            <w:rStyle w:val="Hyperlink"/>
            <w:noProof/>
          </w:rPr>
          <w:t>Appendix 4: Glossary of terms used in footnotes</w:t>
        </w:r>
        <w:r w:rsidR="00CF6F7C">
          <w:rPr>
            <w:noProof/>
            <w:webHidden/>
          </w:rPr>
          <w:tab/>
        </w:r>
        <w:r w:rsidR="00CF6F7C">
          <w:rPr>
            <w:noProof/>
            <w:webHidden/>
          </w:rPr>
          <w:fldChar w:fldCharType="begin"/>
        </w:r>
        <w:r w:rsidR="00CF6F7C">
          <w:rPr>
            <w:noProof/>
            <w:webHidden/>
          </w:rPr>
          <w:instrText xml:space="preserve"> PAGEREF _Toc181713016 \h </w:instrText>
        </w:r>
        <w:r w:rsidR="00CF6F7C">
          <w:rPr>
            <w:noProof/>
            <w:webHidden/>
          </w:rPr>
        </w:r>
        <w:r w:rsidR="00CF6F7C">
          <w:rPr>
            <w:noProof/>
            <w:webHidden/>
          </w:rPr>
          <w:fldChar w:fldCharType="separate"/>
        </w:r>
        <w:r w:rsidR="00A94319">
          <w:rPr>
            <w:noProof/>
            <w:webHidden/>
          </w:rPr>
          <w:t>31</w:t>
        </w:r>
        <w:r w:rsidR="00CF6F7C">
          <w:rPr>
            <w:noProof/>
            <w:webHidden/>
          </w:rPr>
          <w:fldChar w:fldCharType="end"/>
        </w:r>
      </w:hyperlink>
    </w:p>
    <w:p w14:paraId="133A9219" w14:textId="2E1CA114" w:rsidR="00C86248" w:rsidRDefault="00CF6F7C">
      <w:r>
        <w:rPr>
          <w:rFonts w:ascii="Segoe UI Semibold" w:hAnsi="Segoe UI Semibold"/>
          <w:b/>
          <w:sz w:val="24"/>
        </w:rPr>
        <w:fldChar w:fldCharType="end"/>
      </w:r>
    </w:p>
    <w:p w14:paraId="05CC63FD" w14:textId="66D89A6A" w:rsidR="003A5FEA" w:rsidRDefault="003A5FEA" w:rsidP="003A5FEA"/>
    <w:p w14:paraId="0D248541" w14:textId="77777777" w:rsidR="002B76A7" w:rsidRDefault="002B76A7" w:rsidP="002B76A7">
      <w:pPr>
        <w:pStyle w:val="TOC1"/>
        <w:keepNext/>
      </w:pPr>
      <w:r>
        <w:t>List of Tables</w:t>
      </w:r>
    </w:p>
    <w:p w14:paraId="6B2A07EC" w14:textId="7AF59CE0" w:rsidR="000E43C7" w:rsidRDefault="002B76A7">
      <w:pPr>
        <w:pStyle w:val="TOC3"/>
        <w:rPr>
          <w:rFonts w:asciiTheme="minorHAnsi" w:eastAsiaTheme="minorEastAsia" w:hAnsiTheme="minorHAnsi" w:cstheme="minorBidi"/>
          <w:noProof/>
          <w:sz w:val="22"/>
          <w:szCs w:val="22"/>
          <w:lang w:val="en-AU" w:eastAsia="en-AU"/>
        </w:rPr>
      </w:pPr>
      <w:r>
        <w:rPr>
          <w:sz w:val="20"/>
        </w:rPr>
        <w:fldChar w:fldCharType="begin"/>
      </w:r>
      <w:r>
        <w:instrText xml:space="preserve"> TOC \t "Table,3" </w:instrText>
      </w:r>
      <w:r>
        <w:rPr>
          <w:sz w:val="20"/>
        </w:rPr>
        <w:fldChar w:fldCharType="separate"/>
      </w:r>
      <w:r w:rsidR="000E43C7">
        <w:rPr>
          <w:noProof/>
        </w:rPr>
        <w:t>Table 1: Outcomes reported by 25 RCTs comparing mesh and non-mesh hernia repair</w:t>
      </w:r>
      <w:r w:rsidR="000E43C7">
        <w:rPr>
          <w:noProof/>
        </w:rPr>
        <w:tab/>
      </w:r>
      <w:r w:rsidR="000E43C7">
        <w:rPr>
          <w:noProof/>
        </w:rPr>
        <w:fldChar w:fldCharType="begin"/>
      </w:r>
      <w:r w:rsidR="000E43C7">
        <w:rPr>
          <w:noProof/>
        </w:rPr>
        <w:instrText xml:space="preserve"> PAGEREF _Toc181675641 \h </w:instrText>
      </w:r>
      <w:r w:rsidR="000E43C7">
        <w:rPr>
          <w:noProof/>
        </w:rPr>
      </w:r>
      <w:r w:rsidR="000E43C7">
        <w:rPr>
          <w:noProof/>
        </w:rPr>
        <w:fldChar w:fldCharType="separate"/>
      </w:r>
      <w:r w:rsidR="00A94319">
        <w:rPr>
          <w:noProof/>
        </w:rPr>
        <w:t>26</w:t>
      </w:r>
      <w:r w:rsidR="000E43C7">
        <w:rPr>
          <w:noProof/>
        </w:rPr>
        <w:fldChar w:fldCharType="end"/>
      </w:r>
    </w:p>
    <w:p w14:paraId="467ED5C1" w14:textId="277D49C1" w:rsidR="000E43C7" w:rsidRDefault="000E43C7">
      <w:pPr>
        <w:pStyle w:val="TOC3"/>
        <w:rPr>
          <w:rFonts w:asciiTheme="minorHAnsi" w:eastAsiaTheme="minorEastAsia" w:hAnsiTheme="minorHAnsi" w:cstheme="minorBidi"/>
          <w:noProof/>
          <w:sz w:val="22"/>
          <w:szCs w:val="22"/>
          <w:lang w:val="en-AU" w:eastAsia="en-AU"/>
        </w:rPr>
      </w:pPr>
      <w:r>
        <w:rPr>
          <w:noProof/>
        </w:rPr>
        <w:t>Table 2: Outcomes reported by 25 RCTs comparing mesh and non-mesh hernia repair</w:t>
      </w:r>
      <w:r>
        <w:rPr>
          <w:noProof/>
        </w:rPr>
        <w:tab/>
      </w:r>
      <w:r>
        <w:rPr>
          <w:noProof/>
        </w:rPr>
        <w:fldChar w:fldCharType="begin"/>
      </w:r>
      <w:r>
        <w:rPr>
          <w:noProof/>
        </w:rPr>
        <w:instrText xml:space="preserve"> PAGEREF _Toc181675642 \h </w:instrText>
      </w:r>
      <w:r>
        <w:rPr>
          <w:noProof/>
        </w:rPr>
      </w:r>
      <w:r>
        <w:rPr>
          <w:noProof/>
        </w:rPr>
        <w:fldChar w:fldCharType="separate"/>
      </w:r>
      <w:r w:rsidR="00A94319">
        <w:rPr>
          <w:noProof/>
        </w:rPr>
        <w:t>26</w:t>
      </w:r>
      <w:r>
        <w:rPr>
          <w:noProof/>
        </w:rPr>
        <w:fldChar w:fldCharType="end"/>
      </w:r>
    </w:p>
    <w:p w14:paraId="0ADB320C" w14:textId="1FF41173" w:rsidR="000E43C7" w:rsidRDefault="000E43C7">
      <w:pPr>
        <w:pStyle w:val="TOC3"/>
        <w:rPr>
          <w:rFonts w:asciiTheme="minorHAnsi" w:eastAsiaTheme="minorEastAsia" w:hAnsiTheme="minorHAnsi" w:cstheme="minorBidi"/>
          <w:noProof/>
          <w:sz w:val="22"/>
          <w:szCs w:val="22"/>
          <w:lang w:val="en-AU" w:eastAsia="en-AU"/>
        </w:rPr>
      </w:pPr>
      <w:r>
        <w:rPr>
          <w:noProof/>
        </w:rPr>
        <w:t>Table 3: Outcomes reported by 25 RCTs comparing mesh and non-mesh hernia repair</w:t>
      </w:r>
      <w:r>
        <w:rPr>
          <w:noProof/>
        </w:rPr>
        <w:tab/>
      </w:r>
      <w:r>
        <w:rPr>
          <w:noProof/>
        </w:rPr>
        <w:fldChar w:fldCharType="begin"/>
      </w:r>
      <w:r>
        <w:rPr>
          <w:noProof/>
        </w:rPr>
        <w:instrText xml:space="preserve"> PAGEREF _Toc181675643 \h </w:instrText>
      </w:r>
      <w:r>
        <w:rPr>
          <w:noProof/>
        </w:rPr>
      </w:r>
      <w:r>
        <w:rPr>
          <w:noProof/>
        </w:rPr>
        <w:fldChar w:fldCharType="separate"/>
      </w:r>
      <w:r w:rsidR="00A94319">
        <w:rPr>
          <w:noProof/>
        </w:rPr>
        <w:t>27</w:t>
      </w:r>
      <w:r>
        <w:rPr>
          <w:noProof/>
        </w:rPr>
        <w:fldChar w:fldCharType="end"/>
      </w:r>
    </w:p>
    <w:p w14:paraId="161B9D2D" w14:textId="5F5EFB99" w:rsidR="000E43C7" w:rsidRDefault="000E43C7">
      <w:pPr>
        <w:pStyle w:val="TOC3"/>
        <w:rPr>
          <w:rFonts w:asciiTheme="minorHAnsi" w:eastAsiaTheme="minorEastAsia" w:hAnsiTheme="minorHAnsi" w:cstheme="minorBidi"/>
          <w:noProof/>
          <w:sz w:val="22"/>
          <w:szCs w:val="22"/>
          <w:lang w:val="en-AU" w:eastAsia="en-AU"/>
        </w:rPr>
      </w:pPr>
      <w:r>
        <w:rPr>
          <w:noProof/>
        </w:rPr>
        <w:t>Table 4: Outcomes reported by 25 RCTs comparing mesh and non-mesh hernia repair</w:t>
      </w:r>
      <w:r>
        <w:rPr>
          <w:noProof/>
        </w:rPr>
        <w:tab/>
      </w:r>
      <w:r>
        <w:rPr>
          <w:noProof/>
        </w:rPr>
        <w:fldChar w:fldCharType="begin"/>
      </w:r>
      <w:r>
        <w:rPr>
          <w:noProof/>
        </w:rPr>
        <w:instrText xml:space="preserve"> PAGEREF _Toc181675644 \h </w:instrText>
      </w:r>
      <w:r>
        <w:rPr>
          <w:noProof/>
        </w:rPr>
      </w:r>
      <w:r>
        <w:rPr>
          <w:noProof/>
        </w:rPr>
        <w:fldChar w:fldCharType="separate"/>
      </w:r>
      <w:r w:rsidR="00A94319">
        <w:rPr>
          <w:noProof/>
        </w:rPr>
        <w:t>27</w:t>
      </w:r>
      <w:r>
        <w:rPr>
          <w:noProof/>
        </w:rPr>
        <w:fldChar w:fldCharType="end"/>
      </w:r>
    </w:p>
    <w:p w14:paraId="4A6797B1" w14:textId="3C697E45" w:rsidR="002B76A7" w:rsidRDefault="002B76A7" w:rsidP="003A5FEA">
      <w:r>
        <w:fldChar w:fldCharType="end"/>
      </w:r>
    </w:p>
    <w:p w14:paraId="03333094" w14:textId="77777777" w:rsidR="001D3E4E" w:rsidRDefault="001D3E4E" w:rsidP="003A5FEA">
      <w:pPr>
        <w:sectPr w:rsidR="001D3E4E" w:rsidSect="0078658E">
          <w:headerReference w:type="even" r:id="rId18"/>
          <w:headerReference w:type="default" r:id="rId19"/>
          <w:footerReference w:type="even" r:id="rId20"/>
          <w:footerReference w:type="default" r:id="rId21"/>
          <w:pgSz w:w="11907" w:h="16840" w:code="9"/>
          <w:pgMar w:top="1418" w:right="1701" w:bottom="1134" w:left="1843" w:header="284" w:footer="425" w:gutter="284"/>
          <w:pgNumType w:fmt="lowerRoman"/>
          <w:cols w:space="720"/>
        </w:sectPr>
      </w:pPr>
    </w:p>
    <w:p w14:paraId="0A056DB8" w14:textId="77777777" w:rsidR="009A42D5" w:rsidRDefault="009A42D5" w:rsidP="001D3E4E">
      <w:pPr>
        <w:pStyle w:val="Heading1"/>
        <w:spacing w:before="0"/>
      </w:pPr>
      <w:bookmarkStart w:id="2" w:name="_Toc181712988"/>
      <w:r>
        <w:t>Executive summary</w:t>
      </w:r>
      <w:bookmarkEnd w:id="2"/>
    </w:p>
    <w:p w14:paraId="0D4EEC5C" w14:textId="29C23E9F" w:rsidR="009A42D5" w:rsidRDefault="007B6463" w:rsidP="00926083">
      <w:pPr>
        <w:rPr>
          <w:w w:val="105"/>
        </w:rPr>
      </w:pPr>
      <w:proofErr w:type="gramStart"/>
      <w:r w:rsidRPr="007B6463">
        <w:rPr>
          <w:w w:val="105"/>
        </w:rPr>
        <w:t>In light of</w:t>
      </w:r>
      <w:proofErr w:type="gramEnd"/>
      <w:r w:rsidRPr="007B6463">
        <w:rPr>
          <w:w w:val="105"/>
        </w:rPr>
        <w:t xml:space="preserve"> the pause on use of mesh in urogynaecology procedures in New Zealand and the hernia mesh report in Australia (Health Issues Centre 2019), the Ministry of Health began a review of the literature on the use of mesh in inguinal hernia repair. This showed that use of mesh in groin hernia repair was associated with reduced rates of hernia recurrence, neurovascular </w:t>
      </w:r>
      <w:proofErr w:type="gramStart"/>
      <w:r w:rsidRPr="007B6463">
        <w:rPr>
          <w:w w:val="105"/>
        </w:rPr>
        <w:t>injury</w:t>
      </w:r>
      <w:proofErr w:type="gramEnd"/>
      <w:r w:rsidRPr="007B6463">
        <w:rPr>
          <w:w w:val="105"/>
        </w:rPr>
        <w:t xml:space="preserve"> and urinary retention (with no gender difference) and reduced or similar rates of post-operative pain, operative time, hospital stay length and time to return to usual activities compared to non-mesh groin hernia repair. Non-mesh repair was associated with a lower risk of seroma formation (fluid collection). Ongoing pain affecting activities of daily living was self-reported in a proportion of patients in whom mesh was used in groin hernia repair</w:t>
      </w:r>
      <w:r>
        <w:rPr>
          <w:w w:val="105"/>
        </w:rPr>
        <w:t>.</w:t>
      </w:r>
    </w:p>
    <w:p w14:paraId="735C1D9E" w14:textId="77777777" w:rsidR="007B6463" w:rsidRDefault="007B6463" w:rsidP="00926083">
      <w:pPr>
        <w:sectPr w:rsidR="007B6463" w:rsidSect="007B6463">
          <w:footerReference w:type="even" r:id="rId22"/>
          <w:footerReference w:type="default" r:id="rId23"/>
          <w:pgSz w:w="11907" w:h="16840" w:code="9"/>
          <w:pgMar w:top="1418" w:right="1701" w:bottom="1134" w:left="1843" w:header="284" w:footer="425" w:gutter="284"/>
          <w:pgNumType w:start="1"/>
          <w:cols w:space="720"/>
        </w:sectPr>
      </w:pPr>
    </w:p>
    <w:p w14:paraId="2E395A83" w14:textId="77777777" w:rsidR="007B6463" w:rsidRPr="00627EC8" w:rsidRDefault="007B6463" w:rsidP="007B6463">
      <w:pPr>
        <w:pStyle w:val="Heading1"/>
        <w:spacing w:before="0"/>
      </w:pPr>
      <w:bookmarkStart w:id="3" w:name="_Toc181371210"/>
      <w:bookmarkStart w:id="4" w:name="_Toc181712989"/>
      <w:r w:rsidRPr="00627EC8">
        <w:t>Abstract</w:t>
      </w:r>
      <w:bookmarkEnd w:id="3"/>
      <w:bookmarkEnd w:id="4"/>
    </w:p>
    <w:p w14:paraId="50EC0DE2" w14:textId="6D1195E9" w:rsidR="007B6463" w:rsidRDefault="007B6463" w:rsidP="007B6463">
      <w:pPr>
        <w:pStyle w:val="Heading2"/>
      </w:pPr>
      <w:bookmarkStart w:id="5" w:name="_Toc181712990"/>
      <w:r w:rsidRPr="00D04CB3">
        <w:t>Background</w:t>
      </w:r>
      <w:bookmarkEnd w:id="5"/>
    </w:p>
    <w:p w14:paraId="5CD646FB" w14:textId="77777777" w:rsidR="007B6463" w:rsidRDefault="007B6463" w:rsidP="007B6463">
      <w:r w:rsidRPr="00D04CB3">
        <w:t>Hernias represent one of the most common medical problems globally</w:t>
      </w:r>
      <w:r>
        <w:t>. G</w:t>
      </w:r>
      <w:r w:rsidRPr="00D04CB3">
        <w:t xml:space="preserve">roin hernias (inguinal and femoral) </w:t>
      </w:r>
      <w:r>
        <w:t xml:space="preserve">are </w:t>
      </w:r>
      <w:r w:rsidRPr="00D04CB3">
        <w:t xml:space="preserve">the most common form of abdominal wall hernias. Abdominal wall hernias usually occur due to a weakness or attenuation of the fascia of the abdominal wall. Groin hernia repair can be performed with or without mesh. Groin hernias can be repaired either with an open technique or laparoscopically. Changes in surgical </w:t>
      </w:r>
      <w:r w:rsidRPr="00274A2B">
        <w:t>technique, such</w:t>
      </w:r>
      <w:r w:rsidRPr="00D04CB3">
        <w:t xml:space="preserve"> as </w:t>
      </w:r>
      <w:r>
        <w:t xml:space="preserve">in </w:t>
      </w:r>
      <w:r w:rsidRPr="00D04CB3">
        <w:t xml:space="preserve">the use of mesh, surgical </w:t>
      </w:r>
      <w:proofErr w:type="gramStart"/>
      <w:r w:rsidRPr="00D04CB3">
        <w:t>approach</w:t>
      </w:r>
      <w:proofErr w:type="gramEnd"/>
      <w:r w:rsidRPr="00D04CB3">
        <w:t xml:space="preserve"> or type of mesh fixation, may be associated with changes in the risk or rate of complications. Therefore, it is important to continually monitor clinical outcomes and patient experiences to identify changes to the risk-benefit profile associated with new technologies or methodologies. </w:t>
      </w:r>
    </w:p>
    <w:p w14:paraId="487E4A02" w14:textId="77777777" w:rsidR="007B6463" w:rsidRDefault="007B6463" w:rsidP="007B6463">
      <w:pPr>
        <w:pStyle w:val="Heading2"/>
      </w:pPr>
      <w:bookmarkStart w:id="6" w:name="_Toc181712991"/>
      <w:r w:rsidRPr="00D04CB3">
        <w:t>Objectives</w:t>
      </w:r>
      <w:bookmarkEnd w:id="6"/>
    </w:p>
    <w:p w14:paraId="404EE033" w14:textId="77777777" w:rsidR="007B6463" w:rsidRDefault="007B6463" w:rsidP="007B6463">
      <w:pPr>
        <w:rPr>
          <w:b/>
        </w:rPr>
      </w:pPr>
      <w:r>
        <w:rPr>
          <w:bCs/>
        </w:rPr>
        <w:t xml:space="preserve">We </w:t>
      </w:r>
      <w:r w:rsidRPr="00274A2B">
        <w:rPr>
          <w:bCs/>
        </w:rPr>
        <w:t>aimed</w:t>
      </w:r>
      <w:r>
        <w:rPr>
          <w:b/>
        </w:rPr>
        <w:t xml:space="preserve"> </w:t>
      </w:r>
      <w:r>
        <w:t>t</w:t>
      </w:r>
      <w:r w:rsidRPr="00D04CB3">
        <w:t xml:space="preserve">o evaluate the current literature investigating the risks and benefits of mesh versus non-mesh groin hernia repair, in the context of both clinically assessed outcomes and patient experiences. </w:t>
      </w:r>
      <w:r w:rsidRPr="007B7822">
        <w:t xml:space="preserve">This literature review aims to provide a contemporary evidence base on which a discussion of </w:t>
      </w:r>
      <w:r>
        <w:t xml:space="preserve">the </w:t>
      </w:r>
      <w:r w:rsidRPr="007B7822">
        <w:t>implications</w:t>
      </w:r>
      <w:r>
        <w:t xml:space="preserve"> of these outcomes</w:t>
      </w:r>
      <w:r w:rsidRPr="007B7822">
        <w:t xml:space="preserve"> might occur in Aotearoa New Zealand</w:t>
      </w:r>
      <w:r>
        <w:t>.</w:t>
      </w:r>
      <w:r w:rsidRPr="007B7822">
        <w:rPr>
          <w:b/>
        </w:rPr>
        <w:t xml:space="preserve"> </w:t>
      </w:r>
    </w:p>
    <w:p w14:paraId="57CC4DFB" w14:textId="77777777" w:rsidR="007B6463" w:rsidRDefault="007B6463" w:rsidP="007B6463">
      <w:pPr>
        <w:pStyle w:val="Heading2"/>
      </w:pPr>
      <w:bookmarkStart w:id="7" w:name="_Toc181712992"/>
      <w:r w:rsidRPr="00D04CB3">
        <w:t>Methods</w:t>
      </w:r>
      <w:bookmarkEnd w:id="7"/>
    </w:p>
    <w:p w14:paraId="307F712A" w14:textId="77777777" w:rsidR="007B6463" w:rsidRDefault="007B6463" w:rsidP="007B6463">
      <w:r>
        <w:t xml:space="preserve">Our </w:t>
      </w:r>
      <w:r w:rsidRPr="00D04CB3">
        <w:t xml:space="preserve">scoping review </w:t>
      </w:r>
      <w:r>
        <w:t xml:space="preserve">sought </w:t>
      </w:r>
      <w:r w:rsidRPr="00D04CB3">
        <w:t>systematic reviews and randomised controlled trials (</w:t>
      </w:r>
      <w:bookmarkStart w:id="8" w:name="_Hlk179530370"/>
      <w:r w:rsidRPr="00D04CB3">
        <w:t>RCT</w:t>
      </w:r>
      <w:bookmarkEnd w:id="8"/>
      <w:r w:rsidRPr="00D04CB3">
        <w:t xml:space="preserve">s) published within the last </w:t>
      </w:r>
      <w:r>
        <w:t xml:space="preserve">five </w:t>
      </w:r>
      <w:r w:rsidRPr="00D04CB3">
        <w:t xml:space="preserve">years comparing mesh and non-mesh repair for groin hernias. </w:t>
      </w:r>
      <w:r>
        <w:t>We searched t</w:t>
      </w:r>
      <w:r w:rsidRPr="00D04CB3">
        <w:t>he following databases: MEDLINE, Embase, Cochrane Reviews</w:t>
      </w:r>
      <w:r>
        <w:t xml:space="preserve"> and </w:t>
      </w:r>
      <w:r w:rsidRPr="00D04CB3">
        <w:t xml:space="preserve">Scopus. </w:t>
      </w:r>
      <w:r>
        <w:t>We analysed t</w:t>
      </w:r>
      <w:r w:rsidRPr="00D04CB3">
        <w:t xml:space="preserve">he systematic reviews to identify the range of clinical complications. </w:t>
      </w:r>
      <w:r>
        <w:t>We undertook a</w:t>
      </w:r>
      <w:r w:rsidRPr="00D04CB3">
        <w:t xml:space="preserve"> further review focusing on laparoscopic versus open hernia repair techniques, emergency groin hernia repair and patient</w:t>
      </w:r>
      <w:r>
        <w:t>-</w:t>
      </w:r>
      <w:r w:rsidRPr="00D04CB3">
        <w:t xml:space="preserve">reported outcomes not identified in the initial search. </w:t>
      </w:r>
    </w:p>
    <w:p w14:paraId="3C51414C" w14:textId="77777777" w:rsidR="007B6463" w:rsidRDefault="007B6463" w:rsidP="007B6463">
      <w:pPr>
        <w:pStyle w:val="Heading2"/>
      </w:pPr>
      <w:bookmarkStart w:id="9" w:name="_Toc181712993"/>
      <w:r w:rsidRPr="00D04CB3">
        <w:t>Results</w:t>
      </w:r>
      <w:bookmarkEnd w:id="9"/>
    </w:p>
    <w:p w14:paraId="48B27E15" w14:textId="77777777" w:rsidR="007B6463" w:rsidRDefault="007B6463" w:rsidP="007B6463">
      <w:r>
        <w:t>We included t</w:t>
      </w:r>
      <w:r w:rsidRPr="00D04CB3">
        <w:t>hree systematic reviews investigating clinical outcomes after mesh versus non-mesh groin hernia repair in our analysis</w:t>
      </w:r>
      <w:r>
        <w:t>,</w:t>
      </w:r>
      <w:r w:rsidRPr="00D04CB3">
        <w:t xml:space="preserve"> along with two systematic reviews investigating laparoscopic versus open groin hernia repair and mesh versus non-mesh in emergency operation. </w:t>
      </w:r>
      <w:r>
        <w:t>We also included f</w:t>
      </w:r>
      <w:r w:rsidRPr="00D04CB3">
        <w:t xml:space="preserve">our studies and one report discussing patient experiences after mesh/non-mesh groin hernia repair. </w:t>
      </w:r>
      <w:r>
        <w:t xml:space="preserve">We analysed 25 </w:t>
      </w:r>
      <w:r w:rsidRPr="00D04CB3">
        <w:t xml:space="preserve">RCTs separately and </w:t>
      </w:r>
      <w:r>
        <w:t xml:space="preserve">tabulated </w:t>
      </w:r>
      <w:r w:rsidRPr="00D04CB3">
        <w:t xml:space="preserve">their results. Analysis of </w:t>
      </w:r>
      <w:r>
        <w:t>the literature</w:t>
      </w:r>
      <w:r w:rsidRPr="00D04CB3">
        <w:t xml:space="preserve"> showed that use of mesh in groin hernia repair was associated with reduced rates of hernia recurrence, neurovascular </w:t>
      </w:r>
      <w:proofErr w:type="gramStart"/>
      <w:r w:rsidRPr="00D04CB3">
        <w:t>injury</w:t>
      </w:r>
      <w:proofErr w:type="gramEnd"/>
      <w:r w:rsidRPr="00D04CB3">
        <w:t xml:space="preserve"> and urinary retention (with no gender difference) and reduced or similar rates of post-operative pain, operative time, hospital stay length and time to return to usual activities compared to non-mesh groin hernia repair. Non-mesh repair was associated with a lower risk of seroma formation (fluid collection). Ongoing pain affecting activities of daily living was self-reported in a proportion of patients in whom mesh was used in groin hernia repair. </w:t>
      </w:r>
    </w:p>
    <w:p w14:paraId="36411560" w14:textId="029BD1D6" w:rsidR="007B6463" w:rsidRPr="007B6463" w:rsidRDefault="007B6463" w:rsidP="007B6463">
      <w:pPr>
        <w:pStyle w:val="Heading2"/>
        <w:rPr>
          <w:rStyle w:val="Heading2Char"/>
          <w:b/>
        </w:rPr>
      </w:pPr>
      <w:bookmarkStart w:id="10" w:name="_Toc181712994"/>
      <w:r w:rsidRPr="007B6463">
        <w:rPr>
          <w:rStyle w:val="Heading2Char"/>
          <w:b/>
        </w:rPr>
        <w:t>Conclusions</w:t>
      </w:r>
      <w:bookmarkEnd w:id="10"/>
    </w:p>
    <w:p w14:paraId="69521320" w14:textId="49023AF9" w:rsidR="007B6463" w:rsidRDefault="007B6463" w:rsidP="007B6463">
      <w:r w:rsidRPr="00D04CB3">
        <w:t xml:space="preserve">Mesh use in groin hernia repair is associated with a low overall rate of complications and may produce superior post-operative clinical outcomes to non-mesh groin hernia repair. However, </w:t>
      </w:r>
      <w:r>
        <w:t xml:space="preserve">for </w:t>
      </w:r>
      <w:r w:rsidRPr="00D04CB3">
        <w:t>those who do experience complications or pain post-operatively, the impact can be profound.</w:t>
      </w:r>
    </w:p>
    <w:p w14:paraId="20C881C4" w14:textId="77777777" w:rsidR="007B6463" w:rsidRDefault="007B6463" w:rsidP="007B6463">
      <w:pPr>
        <w:rPr>
          <w:rFonts w:cs="Segoe UI"/>
          <w:sz w:val="22"/>
        </w:rPr>
        <w:sectPr w:rsidR="007B6463" w:rsidSect="007B6463">
          <w:pgSz w:w="11907" w:h="16840" w:code="9"/>
          <w:pgMar w:top="1418" w:right="1701" w:bottom="1134" w:left="1843" w:header="284" w:footer="425" w:gutter="284"/>
          <w:cols w:space="720"/>
        </w:sectPr>
      </w:pPr>
    </w:p>
    <w:p w14:paraId="40E4A347" w14:textId="77777777" w:rsidR="007B6463" w:rsidRDefault="007B6463" w:rsidP="007B6463">
      <w:pPr>
        <w:pStyle w:val="Heading1"/>
        <w:spacing w:before="0"/>
      </w:pPr>
      <w:bookmarkStart w:id="11" w:name="_Toc181371211"/>
      <w:bookmarkStart w:id="12" w:name="_Toc181712995"/>
      <w:r w:rsidRPr="00627EC8">
        <w:t>Background</w:t>
      </w:r>
      <w:bookmarkEnd w:id="11"/>
      <w:bookmarkEnd w:id="12"/>
    </w:p>
    <w:p w14:paraId="1E58B7A2" w14:textId="372418BC" w:rsidR="007B6463" w:rsidRDefault="007B6463" w:rsidP="007B6463">
      <w:r w:rsidRPr="00013B37">
        <w:t xml:space="preserve">The use of mesh in surgical procedures has been the subject of much public discussion worldwide in recent years. In New Zealand, </w:t>
      </w:r>
      <w:proofErr w:type="gramStart"/>
      <w:r w:rsidRPr="00013B37">
        <w:t>the majority of</w:t>
      </w:r>
      <w:proofErr w:type="gramEnd"/>
      <w:r w:rsidRPr="00013B37">
        <w:t xml:space="preserve"> adverse event reports relating to surgical mesh implants have been in the combined group of patients suffering from urinary incontinence and pelvic organ prolapse (</w:t>
      </w:r>
      <w:proofErr w:type="spellStart"/>
      <w:r w:rsidRPr="00013B37">
        <w:t>Medsafe</w:t>
      </w:r>
      <w:proofErr w:type="spellEnd"/>
      <w:r w:rsidRPr="00013B37">
        <w:t xml:space="preserve"> 2019). Mesh injured patients who received mesh for abdominal hernia repair comprise another group within the adverse events reported and compensated by ACC (</w:t>
      </w:r>
      <w:proofErr w:type="spellStart"/>
      <w:r w:rsidRPr="00013B37">
        <w:t>Medsafe</w:t>
      </w:r>
      <w:proofErr w:type="spellEnd"/>
      <w:r w:rsidRPr="00013B37">
        <w:t xml:space="preserve"> 2019). </w:t>
      </w:r>
      <w:r>
        <w:t>The</w:t>
      </w:r>
      <w:r w:rsidRPr="00013B37">
        <w:t xml:space="preserve"> use of </w:t>
      </w:r>
      <w:r>
        <w:t>m</w:t>
      </w:r>
      <w:r w:rsidRPr="00013B37">
        <w:t>esh in groin hernia repair is the specific subject of this literature review.</w:t>
      </w:r>
      <w:r>
        <w:t xml:space="preserve"> </w:t>
      </w:r>
    </w:p>
    <w:p w14:paraId="7ED5B178" w14:textId="77777777" w:rsidR="007B6463" w:rsidRDefault="007B6463" w:rsidP="007B6463"/>
    <w:p w14:paraId="4C89775A" w14:textId="67064C3E" w:rsidR="007B6463" w:rsidRDefault="007B6463" w:rsidP="007B6463">
      <w:r>
        <w:t>The</w:t>
      </w:r>
      <w:r w:rsidRPr="00013B37">
        <w:t xml:space="preserve"> context within which this literature review </w:t>
      </w:r>
      <w:r>
        <w:t xml:space="preserve">took </w:t>
      </w:r>
      <w:r w:rsidRPr="00013B37">
        <w:t>place is crucial to understanding the impetus for the review.</w:t>
      </w:r>
    </w:p>
    <w:p w14:paraId="77A7C5E7" w14:textId="77777777" w:rsidR="007B6463" w:rsidRPr="00013B37" w:rsidRDefault="007B6463" w:rsidP="007B6463"/>
    <w:p w14:paraId="50B485B2" w14:textId="75A03880" w:rsidR="007B6463" w:rsidRDefault="007B6463" w:rsidP="007B6463">
      <w:r w:rsidRPr="00013B37">
        <w:t>In 2019, The Ministry of Health initiated a restorative justice approach to exploring the harm caused by surgical mesh in Aotearoa New Zealand (</w:t>
      </w:r>
      <w:proofErr w:type="spellStart"/>
      <w:r w:rsidRPr="00013B37">
        <w:t>Wail</w:t>
      </w:r>
      <w:r>
        <w:t>l</w:t>
      </w:r>
      <w:r w:rsidRPr="00013B37">
        <w:t>ing</w:t>
      </w:r>
      <w:proofErr w:type="spellEnd"/>
      <w:r w:rsidRPr="00013B37">
        <w:t xml:space="preserve"> et al 2019).</w:t>
      </w:r>
      <w:r w:rsidRPr="00013B37">
        <w:rPr>
          <w:rStyle w:val="FootnoteReference"/>
          <w:rFonts w:cs="Segoe UI"/>
          <w:sz w:val="22"/>
        </w:rPr>
        <w:footnoteReference w:id="1"/>
      </w:r>
      <w:r w:rsidRPr="00013B37">
        <w:t xml:space="preserve"> This was in response to growing concern, within New Zealand and internationally, about the impact of surgical mesh on the lives of those who had undergone a surgical procedure utilising mesh.</w:t>
      </w:r>
      <w:r>
        <w:t xml:space="preserve"> </w:t>
      </w:r>
      <w:r w:rsidRPr="00013B37">
        <w:t xml:space="preserve">The process was co-designed by the advocacy group Mesh Down Under, the restorative justice team at </w:t>
      </w:r>
      <w:proofErr w:type="spellStart"/>
      <w:r w:rsidRPr="00013B37">
        <w:t>Te</w:t>
      </w:r>
      <w:proofErr w:type="spellEnd"/>
      <w:r w:rsidRPr="00013B37">
        <w:t xml:space="preserve"> Herenga Waka</w:t>
      </w:r>
      <w:r>
        <w:t xml:space="preserve"> – </w:t>
      </w:r>
      <w:r w:rsidRPr="00013B37">
        <w:t xml:space="preserve">Victoria University of Wellington and the Ministry of Health. The approach incorporated three phases: listening and understanding, </w:t>
      </w:r>
      <w:proofErr w:type="gramStart"/>
      <w:r w:rsidRPr="00013B37">
        <w:t>planning</w:t>
      </w:r>
      <w:proofErr w:type="gramEnd"/>
      <w:r w:rsidRPr="00013B37">
        <w:t xml:space="preserve"> and acting, and reporting and evaluation. In the latter part of 2019</w:t>
      </w:r>
      <w:r>
        <w:t>,</w:t>
      </w:r>
      <w:r w:rsidRPr="00013B37">
        <w:t xml:space="preserve"> over 600 mesh injured people shared their stories (based on a public survey identifying people affected). Facilitated listening circles were held between those harmed by surgical mesh and the Chief Medical Officer, Chief Nursing </w:t>
      </w:r>
      <w:proofErr w:type="gramStart"/>
      <w:r w:rsidRPr="00013B37">
        <w:t>Officer</w:t>
      </w:r>
      <w:proofErr w:type="gramEnd"/>
      <w:r w:rsidRPr="00013B37">
        <w:t xml:space="preserve"> and their Principal Advisor from the Ministry of Health. Representatives of other agencies identified by consumers as having a share in the responsibility for the harm were also invited to attend. </w:t>
      </w:r>
    </w:p>
    <w:p w14:paraId="1EA4826F" w14:textId="77777777" w:rsidR="007B6463" w:rsidRDefault="007B6463" w:rsidP="007B6463"/>
    <w:p w14:paraId="3879DAE0" w14:textId="282CA096" w:rsidR="007B6463" w:rsidRDefault="007B6463" w:rsidP="007B6463">
      <w:r w:rsidRPr="00013B37">
        <w:t xml:space="preserve">Organisations that agreed to participate included ACC, </w:t>
      </w:r>
      <w:r>
        <w:t xml:space="preserve">the </w:t>
      </w:r>
      <w:r w:rsidRPr="00013B37">
        <w:t xml:space="preserve">Royal Australasian College of Surgeons, </w:t>
      </w:r>
      <w:r>
        <w:t xml:space="preserve">the </w:t>
      </w:r>
      <w:r w:rsidRPr="00013B37">
        <w:t xml:space="preserve">Royal Australian </w:t>
      </w:r>
      <w:r>
        <w:t>and</w:t>
      </w:r>
      <w:r w:rsidRPr="00013B37">
        <w:t xml:space="preserve"> New Zealand College of Obstetricians and Gynaecologists, </w:t>
      </w:r>
      <w:r>
        <w:t xml:space="preserve">the </w:t>
      </w:r>
      <w:r w:rsidRPr="00013B37">
        <w:t xml:space="preserve">Royal New Zealand College of General </w:t>
      </w:r>
      <w:proofErr w:type="gramStart"/>
      <w:r w:rsidRPr="00013B37">
        <w:t>Practitioners</w:t>
      </w:r>
      <w:proofErr w:type="gramEnd"/>
      <w:r w:rsidRPr="00013B37">
        <w:t xml:space="preserve"> and the Medical Council. </w:t>
      </w:r>
    </w:p>
    <w:p w14:paraId="5319602D" w14:textId="77777777" w:rsidR="007B6463" w:rsidRDefault="007B6463" w:rsidP="007B6463"/>
    <w:p w14:paraId="35CE9BB7" w14:textId="0F8B7558" w:rsidR="007B6463" w:rsidRDefault="007B6463" w:rsidP="007B6463">
      <w:proofErr w:type="gramStart"/>
      <w:r w:rsidRPr="00013B37">
        <w:t>In light of</w:t>
      </w:r>
      <w:proofErr w:type="gramEnd"/>
      <w:r w:rsidRPr="00013B37">
        <w:t xml:space="preserve"> the number of patient safety issues involved, the Health Quality &amp; Safety Commission was also invited to attend.</w:t>
      </w:r>
      <w:r>
        <w:t xml:space="preserve"> Listening c</w:t>
      </w:r>
      <w:r w:rsidRPr="00013B37">
        <w:t>ircles were provided in all the major centres identified by survey respondents. ACC provided financial support for participants’ travel and accommodation</w:t>
      </w:r>
      <w:r>
        <w:t xml:space="preserve"> to attend listening circles</w:t>
      </w:r>
      <w:r w:rsidRPr="00013B37">
        <w:t>. For those too sick to travel, interviews were conducted in hospital or in people’s homes. A Victoria University researcher transcribed stories. As a summary of this process</w:t>
      </w:r>
      <w:r>
        <w:t>,</w:t>
      </w:r>
      <w:r w:rsidRPr="00013B37">
        <w:t xml:space="preserve"> in December 2019, the research team dedicated to the surgical mesh project at the Chair produced a report titled: </w:t>
      </w:r>
      <w:r w:rsidRPr="00D74D61">
        <w:rPr>
          <w:i/>
          <w:iCs/>
        </w:rPr>
        <w:t xml:space="preserve">Hearing and Responding to the Stories of Survivors of Surgical Mesh: </w:t>
      </w:r>
      <w:proofErr w:type="spellStart"/>
      <w:r w:rsidRPr="00D74D61">
        <w:rPr>
          <w:i/>
          <w:iCs/>
        </w:rPr>
        <w:t>Ngā</w:t>
      </w:r>
      <w:proofErr w:type="spellEnd"/>
      <w:r w:rsidRPr="00D74D61">
        <w:rPr>
          <w:i/>
          <w:iCs/>
        </w:rPr>
        <w:t xml:space="preserve"> kōrero a </w:t>
      </w:r>
      <w:proofErr w:type="spellStart"/>
      <w:r w:rsidRPr="00D74D61">
        <w:rPr>
          <w:i/>
          <w:iCs/>
        </w:rPr>
        <w:t>ngā</w:t>
      </w:r>
      <w:proofErr w:type="spellEnd"/>
      <w:r w:rsidRPr="00D74D61">
        <w:rPr>
          <w:i/>
          <w:iCs/>
        </w:rPr>
        <w:t xml:space="preserve"> </w:t>
      </w:r>
      <w:proofErr w:type="spellStart"/>
      <w:r w:rsidRPr="00D74D61">
        <w:rPr>
          <w:i/>
          <w:iCs/>
        </w:rPr>
        <w:t>mōrehu</w:t>
      </w:r>
      <w:proofErr w:type="spellEnd"/>
      <w:r w:rsidRPr="00D74D61">
        <w:rPr>
          <w:i/>
          <w:iCs/>
        </w:rPr>
        <w:t xml:space="preserve"> –</w:t>
      </w:r>
      <w:r>
        <w:rPr>
          <w:i/>
          <w:iCs/>
        </w:rPr>
        <w:t xml:space="preserve"> </w:t>
      </w:r>
      <w:r w:rsidRPr="00D74D61">
        <w:rPr>
          <w:i/>
          <w:iCs/>
        </w:rPr>
        <w:t xml:space="preserve">he </w:t>
      </w:r>
      <w:proofErr w:type="spellStart"/>
      <w:r w:rsidRPr="00D74D61">
        <w:rPr>
          <w:i/>
          <w:iCs/>
        </w:rPr>
        <w:t>urupare</w:t>
      </w:r>
      <w:proofErr w:type="spellEnd"/>
      <w:r w:rsidRPr="00013B37">
        <w:t xml:space="preserve"> (</w:t>
      </w:r>
      <w:proofErr w:type="spellStart"/>
      <w:r w:rsidRPr="00013B37">
        <w:t>Wai</w:t>
      </w:r>
      <w:r>
        <w:t>l</w:t>
      </w:r>
      <w:r w:rsidRPr="00013B37">
        <w:t>ling</w:t>
      </w:r>
      <w:proofErr w:type="spellEnd"/>
      <w:r w:rsidRPr="00013B37">
        <w:t xml:space="preserve"> et al 2019). The report concluded with 19 actions that would be taken to address the harm caused</w:t>
      </w:r>
      <w:r>
        <w:t>,</w:t>
      </w:r>
      <w:r w:rsidRPr="00013B37">
        <w:t xml:space="preserve"> including (but not limited to) an apology, the establishment of a credentialling process for surgeons performing mesh</w:t>
      </w:r>
      <w:r>
        <w:t>-</w:t>
      </w:r>
      <w:r w:rsidRPr="00013B37">
        <w:t xml:space="preserve">related procedures, advocacy and psychosocial support, more </w:t>
      </w:r>
      <w:proofErr w:type="gramStart"/>
      <w:r w:rsidRPr="00013B37">
        <w:t>research</w:t>
      </w:r>
      <w:proofErr w:type="gramEnd"/>
      <w:r w:rsidRPr="00013B37">
        <w:t xml:space="preserve"> and the </w:t>
      </w:r>
      <w:r w:rsidRPr="005A3BA7">
        <w:t>Therapeutics Products Bill</w:t>
      </w:r>
      <w:r w:rsidRPr="00013B37">
        <w:t>. In 2020</w:t>
      </w:r>
      <w:r>
        <w:t>,</w:t>
      </w:r>
      <w:r w:rsidRPr="00013B37">
        <w:t xml:space="preserve"> an evaluation report of the restorative justice process was written (</w:t>
      </w:r>
      <w:proofErr w:type="spellStart"/>
      <w:r w:rsidRPr="00013B37">
        <w:t>Wai</w:t>
      </w:r>
      <w:r>
        <w:t>l</w:t>
      </w:r>
      <w:r w:rsidRPr="00013B37">
        <w:t>ling</w:t>
      </w:r>
      <w:proofErr w:type="spellEnd"/>
      <w:r>
        <w:t xml:space="preserve"> </w:t>
      </w:r>
      <w:r w:rsidRPr="00013B37">
        <w:t xml:space="preserve">J 2020). It was released in May 2022. Subsequently, in 2023, </w:t>
      </w:r>
      <w:r>
        <w:t>t</w:t>
      </w:r>
      <w:r w:rsidRPr="00013B37">
        <w:t xml:space="preserve">he Ministry of Health convened </w:t>
      </w:r>
      <w:r>
        <w:t>t</w:t>
      </w:r>
      <w:r w:rsidRPr="00013B37">
        <w:t xml:space="preserve">he Surgical Mesh Roundtable, an oversight and monitoring group tasked with </w:t>
      </w:r>
      <w:r>
        <w:t xml:space="preserve">responding to harm from the use of mesh and </w:t>
      </w:r>
      <w:r w:rsidRPr="00013B37">
        <w:t xml:space="preserve">investigating a pause on the use of surgical mesh. The </w:t>
      </w:r>
      <w:r>
        <w:t xml:space="preserve">Roundtable’s </w:t>
      </w:r>
      <w:r w:rsidRPr="00013B37">
        <w:t xml:space="preserve">assessment was that the balance of benefit and harm from the use of mesh in the treatment of stress urinary incontinence would be improved by </w:t>
      </w:r>
      <w:r>
        <w:t>‘</w:t>
      </w:r>
      <w:r w:rsidRPr="00013B37">
        <w:t>additional measures</w:t>
      </w:r>
      <w:r>
        <w:t>’</w:t>
      </w:r>
      <w:r w:rsidRPr="00013B37">
        <w:t xml:space="preserve"> related to the 19 actions stipulated by the restorative justice process. </w:t>
      </w:r>
    </w:p>
    <w:p w14:paraId="74216005" w14:textId="77777777" w:rsidR="007B6463" w:rsidRDefault="007B6463" w:rsidP="007B6463"/>
    <w:p w14:paraId="52389B3D" w14:textId="3F6DA2B7" w:rsidR="007B6463" w:rsidRDefault="007B6463" w:rsidP="007B6463">
      <w:r w:rsidRPr="00013B37">
        <w:t>In August 2023, a time-limited pause on the use of mesh for stress urinary incontinence came into effect to give time for those measures to be put in place (Ministry of Health 2023)</w:t>
      </w:r>
      <w:r>
        <w:t>.</w:t>
      </w:r>
      <w:r>
        <w:rPr>
          <w:rStyle w:val="FootnoteReference"/>
          <w:rFonts w:cs="Segoe UI"/>
          <w:sz w:val="22"/>
        </w:rPr>
        <w:footnoteReference w:id="2"/>
      </w:r>
      <w:r>
        <w:t xml:space="preserve"> </w:t>
      </w:r>
    </w:p>
    <w:p w14:paraId="6C082CE8" w14:textId="77777777" w:rsidR="007B6463" w:rsidRDefault="007B6463" w:rsidP="007B6463"/>
    <w:p w14:paraId="60A8523E" w14:textId="77777777" w:rsidR="007B6463" w:rsidRDefault="007B6463" w:rsidP="007B6463">
      <w:r w:rsidRPr="00013B37">
        <w:t>A similar process to the restorative justice process in New Zealand has taken place in Australia, focused specifically on mesh use in hernia repair. In February 2019</w:t>
      </w:r>
      <w:r>
        <w:t>,</w:t>
      </w:r>
      <w:r w:rsidRPr="00013B37">
        <w:t xml:space="preserve"> the Health Issues Centre in Australia produced a report titled </w:t>
      </w:r>
      <w:r w:rsidRPr="00D74D61">
        <w:rPr>
          <w:i/>
          <w:iCs/>
        </w:rPr>
        <w:t xml:space="preserve">Adverse </w:t>
      </w:r>
      <w:r>
        <w:rPr>
          <w:i/>
          <w:iCs/>
        </w:rPr>
        <w:t>O</w:t>
      </w:r>
      <w:r w:rsidRPr="00D74D61">
        <w:rPr>
          <w:i/>
          <w:iCs/>
        </w:rPr>
        <w:t xml:space="preserve">utcomes from </w:t>
      </w:r>
      <w:r>
        <w:rPr>
          <w:i/>
          <w:iCs/>
        </w:rPr>
        <w:t>H</w:t>
      </w:r>
      <w:r w:rsidRPr="00D74D61">
        <w:rPr>
          <w:i/>
          <w:iCs/>
        </w:rPr>
        <w:t xml:space="preserve">ernia </w:t>
      </w:r>
      <w:r>
        <w:rPr>
          <w:i/>
          <w:iCs/>
        </w:rPr>
        <w:t>M</w:t>
      </w:r>
      <w:r w:rsidRPr="00D74D61">
        <w:rPr>
          <w:i/>
          <w:iCs/>
        </w:rPr>
        <w:t>esh: A report on the consumer experience of mesh implants used for treatment of hernia</w:t>
      </w:r>
      <w:r w:rsidRPr="00013B37">
        <w:t xml:space="preserve"> (Health Issues Centre 2019). In a process </w:t>
      </w:r>
      <w:proofErr w:type="gramStart"/>
      <w:r w:rsidRPr="00013B37">
        <w:t>similar to</w:t>
      </w:r>
      <w:proofErr w:type="gramEnd"/>
      <w:r w:rsidRPr="00013B37">
        <w:t xml:space="preserve"> the listening circles in New Zealand, mesh injured patients had an opportunity to identify themselves and have their concerns heard by medical regulatory communities. Patient concerns </w:t>
      </w:r>
      <w:r>
        <w:t xml:space="preserve">included </w:t>
      </w:r>
      <w:r w:rsidRPr="00013B37">
        <w:t>lack of informed consent, adverse outcomes including chronic pain, negative responses from clinicians to patient complaints and lack of appropriate remediation. The authors of the report spoke of the broader implications of the findings: regardless of the procedure or outcome, the health system must always act to minimise risk, provide informed consent, validate patient experiences, respond empathetically, and provide remediation when harm occurs.</w:t>
      </w:r>
    </w:p>
    <w:p w14:paraId="3468019F" w14:textId="77777777" w:rsidR="007B6463" w:rsidRPr="001F1424" w:rsidRDefault="007B6463" w:rsidP="007B6463"/>
    <w:p w14:paraId="1512F639" w14:textId="77777777" w:rsidR="007B6463" w:rsidRDefault="007B6463" w:rsidP="007B6463">
      <w:r w:rsidRPr="00D04CB3">
        <w:t xml:space="preserve">Hernias are protrusions of all or part of an organ through the body wall. Hernias occur when the fascia encompassing a body cavity becomes weak or develops an opening through which the contents of that body cavity can protrude. Groin hernias (inguinal and femoral) are the most common subset of hernias. Inguinal hernia is the most common type of hernia in both men and women. The lifetime risk of developing inguinal hernias is 27% for men and 3% for women (Fitzgibbons </w:t>
      </w:r>
      <w:r>
        <w:t xml:space="preserve">and </w:t>
      </w:r>
      <w:proofErr w:type="spellStart"/>
      <w:r w:rsidRPr="00D04CB3">
        <w:t>Forse</w:t>
      </w:r>
      <w:proofErr w:type="spellEnd"/>
      <w:r w:rsidRPr="00D04CB3">
        <w:t xml:space="preserve"> 2015). Inguinal hernia can be congenital, due to a failure of the processus vaginalis to close</w:t>
      </w:r>
      <w:r>
        <w:t>,</w:t>
      </w:r>
      <w:r w:rsidRPr="00D04CB3">
        <w:t xml:space="preserve"> or acquired, caused by a weakening or disruption of the abdominal wall. Femoral hernias are the other type of groin hernia</w:t>
      </w:r>
      <w:r>
        <w:t xml:space="preserve">; they can </w:t>
      </w:r>
      <w:r w:rsidRPr="00D04CB3">
        <w:t>occur when the herniated sac passes through the femoral canal. Femoral hernias are much less common than inguinal hernias overall but are more frequent in women and more likely to develop complications such as obstruction or strangulation. The definitive treatment for groin hernia is surgery. Open operation techniques for the treatment of groin hernias were developed in the late 19</w:t>
      </w:r>
      <w:r w:rsidRPr="00FE60B7">
        <w:t>th</w:t>
      </w:r>
      <w:r w:rsidRPr="00D04CB3">
        <w:t xml:space="preserve"> century. </w:t>
      </w:r>
      <w:r>
        <w:t>T</w:t>
      </w:r>
      <w:r w:rsidRPr="00D04CB3">
        <w:t>echniques using surgical mesh to augment the strength of the groin hernia repair were first utili</w:t>
      </w:r>
      <w:r>
        <w:t>s</w:t>
      </w:r>
      <w:r w:rsidRPr="00D04CB3">
        <w:t xml:space="preserve">ed </w:t>
      </w:r>
      <w:r>
        <w:t>a</w:t>
      </w:r>
      <w:r w:rsidRPr="00D04CB3">
        <w:t xml:space="preserve">t the </w:t>
      </w:r>
      <w:r>
        <w:t>beginning</w:t>
      </w:r>
      <w:r w:rsidRPr="00D04CB3">
        <w:t xml:space="preserve"> of the 20</w:t>
      </w:r>
      <w:r w:rsidRPr="003A2FC9">
        <w:t>th</w:t>
      </w:r>
      <w:r w:rsidRPr="00D04CB3">
        <w:t xml:space="preserve"> century (Hori </w:t>
      </w:r>
      <w:r>
        <w:t>and</w:t>
      </w:r>
      <w:r w:rsidRPr="00D04CB3">
        <w:t xml:space="preserve"> Yasukawa 2021). Currently, both mesh and non-mesh hernia repair methods are employed in clinical practice. The international </w:t>
      </w:r>
      <w:proofErr w:type="spellStart"/>
      <w:r w:rsidRPr="00D04CB3">
        <w:t>HerniaSurge</w:t>
      </w:r>
      <w:proofErr w:type="spellEnd"/>
      <w:r w:rsidRPr="00D04CB3">
        <w:t xml:space="preserve"> guidelines for groin hernia management recommend laparoscopic mesh repair as the first choice for groin hernia treatment (</w:t>
      </w:r>
      <w:proofErr w:type="spellStart"/>
      <w:r w:rsidRPr="00D04CB3">
        <w:t>Stabilini</w:t>
      </w:r>
      <w:proofErr w:type="spellEnd"/>
      <w:r w:rsidRPr="00D04CB3">
        <w:t xml:space="preserve"> et al 2023). </w:t>
      </w:r>
    </w:p>
    <w:p w14:paraId="137CAACC" w14:textId="77777777" w:rsidR="007B6463" w:rsidRDefault="007B6463" w:rsidP="007B6463"/>
    <w:p w14:paraId="30B10F87" w14:textId="10AFA5BD" w:rsidR="007B6463" w:rsidRPr="00D04CB3" w:rsidRDefault="007B6463" w:rsidP="007B6463">
      <w:r w:rsidRPr="00D04CB3">
        <w:t xml:space="preserve">However, open non-mesh procedures may be preferred in some situations, particularly in low-income settings, as the cost of laparoscopic mesh repair of hernias is significantly higher than open non-mesh repair techniques (Bittner et al 2005). All surgical procedures are associated with a risk of complications. Changes in surgical procedures over time may alter the risk of complications associated with the procedure. In the context of hernia repair, the use of mesh, a laparoscopic </w:t>
      </w:r>
      <w:proofErr w:type="gramStart"/>
      <w:r w:rsidRPr="00D04CB3">
        <w:t>approach</w:t>
      </w:r>
      <w:proofErr w:type="gramEnd"/>
      <w:r w:rsidRPr="00D04CB3">
        <w:t xml:space="preserve"> and the urgency of the procedure (emergency or elective) may </w:t>
      </w:r>
      <w:r>
        <w:t xml:space="preserve">all </w:t>
      </w:r>
      <w:r w:rsidRPr="00D04CB3">
        <w:t xml:space="preserve">influence outcomes. Therefore, there is a need to evaluate the potential benefits and harms of mesh and non-mesh hernia repair methods to establish a baseline understanding of the risk of </w:t>
      </w:r>
      <w:r>
        <w:t xml:space="preserve">associated </w:t>
      </w:r>
      <w:r w:rsidRPr="00D04CB3">
        <w:t>complications</w:t>
      </w:r>
      <w:r>
        <w:t>.</w:t>
      </w:r>
    </w:p>
    <w:p w14:paraId="71464F01" w14:textId="77777777" w:rsidR="007B6463" w:rsidRDefault="007B6463" w:rsidP="007B6463">
      <w:pPr>
        <w:pStyle w:val="Heading1"/>
        <w:sectPr w:rsidR="007B6463" w:rsidSect="007B6463">
          <w:pgSz w:w="11907" w:h="16840" w:code="9"/>
          <w:pgMar w:top="1418" w:right="1701" w:bottom="1134" w:left="1843" w:header="284" w:footer="425" w:gutter="284"/>
          <w:cols w:space="720"/>
        </w:sectPr>
      </w:pPr>
      <w:bookmarkStart w:id="13" w:name="_Toc181371212"/>
    </w:p>
    <w:p w14:paraId="13AD8975" w14:textId="3D75F50A" w:rsidR="007B6463" w:rsidRPr="00627EC8" w:rsidRDefault="007B6463" w:rsidP="007B6463">
      <w:pPr>
        <w:pStyle w:val="Heading1"/>
        <w:spacing w:before="0"/>
      </w:pPr>
      <w:bookmarkStart w:id="14" w:name="_Toc181712996"/>
      <w:r w:rsidRPr="00627EC8">
        <w:t>Objectives</w:t>
      </w:r>
      <w:bookmarkEnd w:id="13"/>
      <w:bookmarkEnd w:id="14"/>
    </w:p>
    <w:p w14:paraId="037F1810" w14:textId="77777777" w:rsidR="007B6463" w:rsidRDefault="007B6463" w:rsidP="007B6463">
      <w:r w:rsidRPr="00D04CB3">
        <w:t xml:space="preserve">The primary objective of this report is to summarise the current peer-reviewed literature </w:t>
      </w:r>
      <w:r>
        <w:t xml:space="preserve">on </w:t>
      </w:r>
      <w:r w:rsidRPr="00D04CB3">
        <w:t xml:space="preserve">the </w:t>
      </w:r>
      <w:r>
        <w:t xml:space="preserve">risks and benefits of mesh versus non-mesh surgical repair of groin hernias, as well as patient experiences after mesh and non-mesh groin hernia repair. </w:t>
      </w:r>
      <w:r w:rsidRPr="00D04CB3">
        <w:t>The clinical outcomes assessed include</w:t>
      </w:r>
      <w:r>
        <w:t>d</w:t>
      </w:r>
      <w:r w:rsidRPr="00D04CB3">
        <w:t xml:space="preserve"> complications reported after mesh and non-mesh repairs</w:t>
      </w:r>
      <w:r>
        <w:t>.</w:t>
      </w:r>
      <w:r w:rsidRPr="00D04CB3">
        <w:rPr>
          <w:rStyle w:val="FootnoteReference"/>
          <w:rFonts w:cs="Segoe UI"/>
          <w:sz w:val="22"/>
        </w:rPr>
        <w:footnoteReference w:id="3"/>
      </w:r>
      <w:r w:rsidRPr="00D04CB3">
        <w:t xml:space="preserve"> In addition to the medical complications from surgery, </w:t>
      </w:r>
      <w:r>
        <w:t xml:space="preserve">we identified </w:t>
      </w:r>
      <w:r w:rsidRPr="00D04CB3">
        <w:t>patient</w:t>
      </w:r>
      <w:r>
        <w:t>-</w:t>
      </w:r>
      <w:r w:rsidRPr="00D04CB3">
        <w:t>reported outcomes</w:t>
      </w:r>
      <w:r>
        <w:t>.</w:t>
      </w:r>
      <w:r w:rsidRPr="00D04CB3">
        <w:rPr>
          <w:rStyle w:val="FootnoteReference"/>
          <w:rFonts w:cs="Segoe UI"/>
          <w:sz w:val="22"/>
        </w:rPr>
        <w:footnoteReference w:id="4"/>
      </w:r>
      <w:r w:rsidRPr="00D04CB3">
        <w:t xml:space="preserve"> The secondary objective of this report is to investigate the impact of an open versus laparoscopic approach and the use of mesh in an emergency setting.</w:t>
      </w:r>
    </w:p>
    <w:p w14:paraId="2C0EA1AF" w14:textId="77777777" w:rsidR="007B6463" w:rsidRDefault="007B6463" w:rsidP="007B6463">
      <w:pPr>
        <w:pStyle w:val="Heading1"/>
        <w:sectPr w:rsidR="007B6463" w:rsidSect="007B6463">
          <w:pgSz w:w="11907" w:h="16840" w:code="9"/>
          <w:pgMar w:top="1418" w:right="1701" w:bottom="1134" w:left="1843" w:header="284" w:footer="425" w:gutter="284"/>
          <w:cols w:space="720"/>
        </w:sectPr>
      </w:pPr>
      <w:bookmarkStart w:id="15" w:name="_Toc181371213"/>
    </w:p>
    <w:p w14:paraId="27420746" w14:textId="3151D96B" w:rsidR="007B6463" w:rsidRPr="00627EC8" w:rsidRDefault="007B6463" w:rsidP="007B6463">
      <w:pPr>
        <w:pStyle w:val="Heading1"/>
        <w:spacing w:before="0"/>
      </w:pPr>
      <w:bookmarkStart w:id="16" w:name="_Toc181712997"/>
      <w:r w:rsidRPr="00627EC8">
        <w:t>Methods</w:t>
      </w:r>
      <w:bookmarkEnd w:id="15"/>
      <w:bookmarkEnd w:id="16"/>
    </w:p>
    <w:p w14:paraId="2B1DD6F5" w14:textId="77777777" w:rsidR="007B6463" w:rsidRPr="001764E2" w:rsidRDefault="007B6463" w:rsidP="007B6463">
      <w:pPr>
        <w:pStyle w:val="Heading2"/>
        <w:spacing w:before="0"/>
        <w:rPr>
          <w:rFonts w:eastAsiaTheme="minorHAnsi"/>
          <w:bCs/>
          <w:szCs w:val="24"/>
        </w:rPr>
      </w:pPr>
      <w:bookmarkStart w:id="17" w:name="_Toc181371214"/>
      <w:bookmarkStart w:id="18" w:name="_Toc181712998"/>
      <w:r w:rsidRPr="001764E2">
        <w:rPr>
          <w:rFonts w:eastAsiaTheme="minorHAnsi"/>
          <w:bCs/>
          <w:szCs w:val="24"/>
        </w:rPr>
        <w:t>Literature search</w:t>
      </w:r>
      <w:bookmarkEnd w:id="17"/>
      <w:bookmarkEnd w:id="18"/>
    </w:p>
    <w:p w14:paraId="32CC3645" w14:textId="485D78D0" w:rsidR="007B6463" w:rsidRDefault="007B6463" w:rsidP="007B6463">
      <w:r>
        <w:t>We identified s</w:t>
      </w:r>
      <w:r w:rsidRPr="00D04CB3">
        <w:t xml:space="preserve">ystematic reviews and randomised controlled trials </w:t>
      </w:r>
      <w:r>
        <w:t xml:space="preserve">(RCTs) </w:t>
      </w:r>
      <w:r w:rsidRPr="00D04CB3">
        <w:t>comparing mes</w:t>
      </w:r>
      <w:r>
        <w:t>h</w:t>
      </w:r>
      <w:r w:rsidRPr="00D04CB3">
        <w:t xml:space="preserve"> and non-mesh surgical approaches to hernia repair, the use of mesh in emergency hernia repairs and comparisons of open compared to laparoscopic hernia repair through a search of peer reviewed literature. </w:t>
      </w:r>
      <w:r>
        <w:t>Appendix 1 provides d</w:t>
      </w:r>
      <w:r w:rsidRPr="00D04CB3">
        <w:t xml:space="preserve">etails of </w:t>
      </w:r>
      <w:r>
        <w:t xml:space="preserve">our </w:t>
      </w:r>
      <w:r w:rsidRPr="00D04CB3">
        <w:t xml:space="preserve">search criteria. </w:t>
      </w:r>
      <w:r>
        <w:t>We examined t</w:t>
      </w:r>
      <w:r w:rsidRPr="00D04CB3">
        <w:t>he reference</w:t>
      </w:r>
      <w:r>
        <w:t>s</w:t>
      </w:r>
      <w:r w:rsidRPr="00D04CB3">
        <w:t xml:space="preserve"> from the original studies within the systematic reviews to identify further relevant publications. </w:t>
      </w:r>
      <w:r>
        <w:t>We identified r</w:t>
      </w:r>
      <w:r w:rsidRPr="00D04CB3">
        <w:t>eports or trials of patient</w:t>
      </w:r>
      <w:r>
        <w:t>-</w:t>
      </w:r>
      <w:r w:rsidRPr="00D04CB3">
        <w:t>reported qualitative outcomes after groin hernia repair through the original search criteria to identify non</w:t>
      </w:r>
      <w:r>
        <w:t>-</w:t>
      </w:r>
      <w:r w:rsidRPr="00D04CB3">
        <w:t xml:space="preserve">randomised trials or registry data evaluating patient experiences. </w:t>
      </w:r>
    </w:p>
    <w:p w14:paraId="5F4AB08F" w14:textId="77777777" w:rsidR="007B6463" w:rsidRPr="007B6463" w:rsidRDefault="007B6463" w:rsidP="007B6463">
      <w:pPr>
        <w:pStyle w:val="Heading2"/>
        <w:rPr>
          <w:rFonts w:eastAsiaTheme="minorHAnsi"/>
        </w:rPr>
      </w:pPr>
      <w:bookmarkStart w:id="19" w:name="_Toc181371215"/>
      <w:bookmarkStart w:id="20" w:name="_Toc181712999"/>
      <w:r w:rsidRPr="007B6463">
        <w:rPr>
          <w:rFonts w:eastAsiaTheme="minorHAnsi"/>
        </w:rPr>
        <w:t>Criteria for study inclusion</w:t>
      </w:r>
      <w:bookmarkEnd w:id="19"/>
      <w:bookmarkEnd w:id="20"/>
    </w:p>
    <w:p w14:paraId="4F644054" w14:textId="77777777" w:rsidR="007B6463" w:rsidRPr="006B54C5" w:rsidRDefault="007B6463" w:rsidP="007B6463">
      <w:r>
        <w:t xml:space="preserve">In </w:t>
      </w:r>
      <w:r w:rsidRPr="006B54C5">
        <w:t>searching randomised trials</w:t>
      </w:r>
      <w:r>
        <w:t>, our criteria</w:t>
      </w:r>
      <w:r w:rsidRPr="006B54C5">
        <w:t xml:space="preserve"> included:</w:t>
      </w:r>
    </w:p>
    <w:p w14:paraId="5404C350" w14:textId="77777777" w:rsidR="007B6463" w:rsidRPr="006B54C5" w:rsidRDefault="007B6463" w:rsidP="007B6463">
      <w:pPr>
        <w:pStyle w:val="Bullet"/>
      </w:pPr>
      <w:r>
        <w:t>h</w:t>
      </w:r>
      <w:r w:rsidRPr="006B54C5">
        <w:t>ernia repair with mesh or non-mesh closure of groin hernias</w:t>
      </w:r>
    </w:p>
    <w:p w14:paraId="55C5A403" w14:textId="77777777" w:rsidR="007B6463" w:rsidRPr="006B54C5" w:rsidRDefault="007B6463" w:rsidP="007B6463">
      <w:pPr>
        <w:pStyle w:val="Bullet"/>
      </w:pPr>
      <w:r>
        <w:t>p</w:t>
      </w:r>
      <w:r w:rsidRPr="006B54C5">
        <w:t xml:space="preserve">ublished in the last five </w:t>
      </w:r>
      <w:proofErr w:type="gramStart"/>
      <w:r w:rsidRPr="006B54C5">
        <w:t>years</w:t>
      </w:r>
      <w:proofErr w:type="gramEnd"/>
    </w:p>
    <w:p w14:paraId="1A31D9AA" w14:textId="77777777" w:rsidR="007B6463" w:rsidRPr="006B54C5" w:rsidRDefault="007B6463" w:rsidP="007B6463">
      <w:pPr>
        <w:pStyle w:val="Bullet"/>
      </w:pPr>
      <w:r w:rsidRPr="006B54C5">
        <w:t>English language.</w:t>
      </w:r>
    </w:p>
    <w:p w14:paraId="057808AE" w14:textId="77777777" w:rsidR="007B6463" w:rsidRPr="007B6463" w:rsidRDefault="007B6463" w:rsidP="007B6463">
      <w:pPr>
        <w:pStyle w:val="Heading2"/>
      </w:pPr>
      <w:bookmarkStart w:id="21" w:name="_Toc181371216"/>
      <w:bookmarkStart w:id="22" w:name="_Toc181713000"/>
      <w:r w:rsidRPr="007B6463">
        <w:t>Analysis</w:t>
      </w:r>
      <w:bookmarkEnd w:id="21"/>
      <w:bookmarkEnd w:id="22"/>
    </w:p>
    <w:p w14:paraId="68F1BE58" w14:textId="77777777" w:rsidR="007B6463" w:rsidRPr="006B54C5" w:rsidRDefault="007B6463" w:rsidP="007B6463">
      <w:r>
        <w:t>We reviewed a</w:t>
      </w:r>
      <w:r w:rsidRPr="006B54C5">
        <w:t xml:space="preserve">ll </w:t>
      </w:r>
      <w:r>
        <w:t xml:space="preserve">the </w:t>
      </w:r>
      <w:r w:rsidRPr="006B54C5">
        <w:t xml:space="preserve">RCTs </w:t>
      </w:r>
      <w:r>
        <w:t xml:space="preserve">we </w:t>
      </w:r>
      <w:r w:rsidRPr="006B54C5">
        <w:t xml:space="preserve">identified and </w:t>
      </w:r>
      <w:r>
        <w:t xml:space="preserve">extracted </w:t>
      </w:r>
      <w:r w:rsidRPr="006B54C5">
        <w:t xml:space="preserve">the outcomes </w:t>
      </w:r>
      <w:r>
        <w:t xml:space="preserve">they </w:t>
      </w:r>
      <w:r w:rsidRPr="006B54C5">
        <w:t>reported</w:t>
      </w:r>
      <w:r>
        <w:t xml:space="preserve">, then </w:t>
      </w:r>
      <w:r w:rsidRPr="006B54C5">
        <w:t xml:space="preserve">entered </w:t>
      </w:r>
      <w:r>
        <w:t xml:space="preserve">them </w:t>
      </w:r>
      <w:r w:rsidRPr="006B54C5">
        <w:t xml:space="preserve">into an </w:t>
      </w:r>
      <w:r>
        <w:t>E</w:t>
      </w:r>
      <w:r w:rsidRPr="006B54C5">
        <w:t>xcel database</w:t>
      </w:r>
      <w:r>
        <w:t xml:space="preserve"> (see Appendix 2)</w:t>
      </w:r>
      <w:r w:rsidRPr="006B54C5">
        <w:t xml:space="preserve">. </w:t>
      </w:r>
      <w:r>
        <w:t>We compared t</w:t>
      </w:r>
      <w:r w:rsidRPr="006B54C5">
        <w:t xml:space="preserve">he results of the meta-analyses. </w:t>
      </w:r>
      <w:r>
        <w:t>We recorded a</w:t>
      </w:r>
      <w:r w:rsidRPr="006B54C5">
        <w:t xml:space="preserve"> significant difference between the mesh and non-mesh repair method for a given outcome when the 95% confidence intervals of the reported outcomes did not cross the value of 1.0. </w:t>
      </w:r>
    </w:p>
    <w:p w14:paraId="494B2DCC" w14:textId="77777777" w:rsidR="007B6463" w:rsidRDefault="007B6463" w:rsidP="007B6463">
      <w:pPr>
        <w:pStyle w:val="Heading1"/>
        <w:sectPr w:rsidR="007B6463" w:rsidSect="007B6463">
          <w:pgSz w:w="11907" w:h="16840" w:code="9"/>
          <w:pgMar w:top="1418" w:right="1701" w:bottom="1134" w:left="1843" w:header="284" w:footer="425" w:gutter="284"/>
          <w:cols w:space="720"/>
        </w:sectPr>
      </w:pPr>
      <w:bookmarkStart w:id="23" w:name="_Toc181371217"/>
    </w:p>
    <w:p w14:paraId="1D202C95" w14:textId="5B5AE68A" w:rsidR="007B6463" w:rsidRPr="00FD7669" w:rsidRDefault="007B6463" w:rsidP="007B6463">
      <w:pPr>
        <w:pStyle w:val="Heading1"/>
        <w:spacing w:before="0"/>
        <w:rPr>
          <w:szCs w:val="24"/>
        </w:rPr>
      </w:pPr>
      <w:bookmarkStart w:id="24" w:name="_Toc181713001"/>
      <w:r w:rsidRPr="00627EC8">
        <w:t>Results</w:t>
      </w:r>
      <w:bookmarkEnd w:id="23"/>
      <w:bookmarkEnd w:id="24"/>
      <w:r>
        <w:t xml:space="preserve"> </w:t>
      </w:r>
    </w:p>
    <w:p w14:paraId="765B1835" w14:textId="77777777" w:rsidR="007B6463" w:rsidRDefault="007B6463" w:rsidP="007B6463">
      <w:r w:rsidRPr="006B54C5">
        <w:t xml:space="preserve">After excluding all duplicates and false drops, </w:t>
      </w:r>
      <w:r>
        <w:t xml:space="preserve">we identified </w:t>
      </w:r>
      <w:r w:rsidRPr="006B54C5">
        <w:t>55 studies for inclusion</w:t>
      </w:r>
      <w:r>
        <w:t xml:space="preserve"> in our review</w:t>
      </w:r>
      <w:r w:rsidRPr="006B54C5">
        <w:t>. From these</w:t>
      </w:r>
      <w:r>
        <w:t>,</w:t>
      </w:r>
      <w:r w:rsidRPr="006B54C5">
        <w:t xml:space="preserve"> </w:t>
      </w:r>
      <w:r>
        <w:t xml:space="preserve">we identified three </w:t>
      </w:r>
      <w:r w:rsidRPr="006B54C5">
        <w:t xml:space="preserve">systematic reviews containing 25 English language RCTs. </w:t>
      </w:r>
      <w:r>
        <w:t xml:space="preserve">We did not identify any </w:t>
      </w:r>
      <w:r w:rsidRPr="006B54C5">
        <w:t xml:space="preserve">RCTs </w:t>
      </w:r>
      <w:r>
        <w:t>published in the last five years that</w:t>
      </w:r>
      <w:r w:rsidRPr="006B54C5">
        <w:t xml:space="preserve"> were not included within these</w:t>
      </w:r>
      <w:r>
        <w:t xml:space="preserve"> systematic reviews.</w:t>
      </w:r>
    </w:p>
    <w:p w14:paraId="223C9095" w14:textId="77777777" w:rsidR="007B6463" w:rsidRPr="007B6463" w:rsidRDefault="007B6463" w:rsidP="007B6463">
      <w:pPr>
        <w:pStyle w:val="Heading2"/>
      </w:pPr>
      <w:bookmarkStart w:id="25" w:name="_Toc181371218"/>
      <w:bookmarkStart w:id="26" w:name="_Toc181713002"/>
      <w:r w:rsidRPr="007B6463">
        <w:t xml:space="preserve">Systematic reviews and </w:t>
      </w:r>
      <w:proofErr w:type="gramStart"/>
      <w:r w:rsidRPr="007B6463">
        <w:t>meta analyses</w:t>
      </w:r>
      <w:proofErr w:type="gramEnd"/>
      <w:r w:rsidRPr="007B6463">
        <w:t xml:space="preserve"> of mesh versus non-mesh groin hernia repair</w:t>
      </w:r>
      <w:bookmarkEnd w:id="25"/>
      <w:bookmarkEnd w:id="26"/>
    </w:p>
    <w:p w14:paraId="08836D43" w14:textId="54573A87" w:rsidR="007B6463" w:rsidRDefault="007B6463" w:rsidP="007B6463">
      <w:r w:rsidRPr="006B54C5">
        <w:t xml:space="preserve">A comprehensive </w:t>
      </w:r>
      <w:r>
        <w:t>s</w:t>
      </w:r>
      <w:r w:rsidRPr="006B54C5">
        <w:t xml:space="preserve">ystematic Cochrane Review and meta-analysis of the risks of mesh versus non-mesh inguinal hernia repairs was published in 2018 (Lockhart et al 2018). </w:t>
      </w:r>
      <w:r>
        <w:t xml:space="preserve">It </w:t>
      </w:r>
      <w:r w:rsidRPr="006B54C5">
        <w:t xml:space="preserve">included 25 </w:t>
      </w:r>
      <w:r>
        <w:t xml:space="preserve">RCTs involving </w:t>
      </w:r>
      <w:r w:rsidRPr="006B54C5">
        <w:t>a total of 6</w:t>
      </w:r>
      <w:r>
        <w:t>,</w:t>
      </w:r>
      <w:r w:rsidRPr="006B54C5">
        <w:t>293 patients who had either an inguinal or femoral hernia repair. The RCTs analysed included a range of studies performed in both low- and high-income settings. The meta-analysis reported that for mesh repair compared to non-mesh repair, there was a statistically significant reduction in the risk of hernia recurrence</w:t>
      </w:r>
      <w:r>
        <w:t>,</w:t>
      </w:r>
      <w:r w:rsidRPr="006B54C5">
        <w:rPr>
          <w:rStyle w:val="FootnoteReference"/>
          <w:rFonts w:cs="Segoe UI"/>
          <w:sz w:val="22"/>
        </w:rPr>
        <w:footnoteReference w:id="5"/>
      </w:r>
      <w:r w:rsidRPr="006B54C5">
        <w:t xml:space="preserve"> neurovascular or visceral injury</w:t>
      </w:r>
      <w:r>
        <w:t>,</w:t>
      </w:r>
      <w:r w:rsidRPr="006B54C5">
        <w:rPr>
          <w:rStyle w:val="FootnoteReference"/>
          <w:rFonts w:cs="Segoe UI"/>
          <w:sz w:val="22"/>
        </w:rPr>
        <w:footnoteReference w:id="6"/>
      </w:r>
      <w:r w:rsidRPr="006B54C5">
        <w:t xml:space="preserve"> </w:t>
      </w:r>
      <w:r>
        <w:t xml:space="preserve">and </w:t>
      </w:r>
      <w:r w:rsidRPr="006B54C5">
        <w:t>urinary retention</w:t>
      </w:r>
      <w:r>
        <w:t>;</w:t>
      </w:r>
      <w:r w:rsidRPr="006B54C5">
        <w:rPr>
          <w:rStyle w:val="FootnoteReference"/>
          <w:rFonts w:cs="Segoe UI"/>
          <w:sz w:val="22"/>
        </w:rPr>
        <w:footnoteReference w:id="7"/>
      </w:r>
      <w:r w:rsidRPr="006B54C5">
        <w:t xml:space="preserve"> a shorter mean duration of surgery</w:t>
      </w:r>
      <w:r>
        <w:t>;</w:t>
      </w:r>
      <w:r w:rsidRPr="006B54C5">
        <w:rPr>
          <w:rStyle w:val="FootnoteReference"/>
          <w:rFonts w:cs="Segoe UI"/>
          <w:sz w:val="22"/>
        </w:rPr>
        <w:footnoteReference w:id="8"/>
      </w:r>
      <w:r w:rsidRPr="006B54C5">
        <w:t xml:space="preserve"> a shorter mean length of hospital </w:t>
      </w:r>
      <w:proofErr w:type="gramStart"/>
      <w:r w:rsidRPr="006B54C5">
        <w:t>stay</w:t>
      </w:r>
      <w:proofErr w:type="gramEnd"/>
      <w:r>
        <w:t>;</w:t>
      </w:r>
      <w:r w:rsidRPr="006B54C5">
        <w:rPr>
          <w:rStyle w:val="FootnoteReference"/>
          <w:rFonts w:cs="Segoe UI"/>
          <w:sz w:val="22"/>
        </w:rPr>
        <w:footnoteReference w:id="9"/>
      </w:r>
      <w:r w:rsidRPr="006B54C5">
        <w:t xml:space="preserve"> and a shorter mean time to return to usual activities</w:t>
      </w:r>
      <w:r w:rsidRPr="006B54C5">
        <w:rPr>
          <w:rStyle w:val="FootnoteReference"/>
          <w:rFonts w:cs="Segoe UI"/>
          <w:sz w:val="22"/>
        </w:rPr>
        <w:footnoteReference w:id="10"/>
      </w:r>
      <w:r w:rsidRPr="006B54C5">
        <w:t xml:space="preserve"> when compared with non-mesh repair. However, </w:t>
      </w:r>
      <w:r>
        <w:t xml:space="preserve">the review </w:t>
      </w:r>
      <w:r w:rsidRPr="006B54C5">
        <w:t>noted that the quality of evidence</w:t>
      </w:r>
      <w:r>
        <w:t>,</w:t>
      </w:r>
      <w:r w:rsidRPr="006B54C5">
        <w:t xml:space="preserve"> </w:t>
      </w:r>
      <w:r>
        <w:t xml:space="preserve">excluding </w:t>
      </w:r>
      <w:r w:rsidRPr="006B54C5">
        <w:t>the risk of neurovascular or visceral injury (high quality) and the risk of recurrence and the risk of urinary retention (moderate quality), was considered low. Compared to non-mesh repair, mesh repair resulted in a statistically significant increase in the rate of post-operative seromas</w:t>
      </w:r>
      <w:r w:rsidRPr="006B54C5">
        <w:rPr>
          <w:rStyle w:val="FootnoteReference"/>
          <w:rFonts w:cs="Segoe UI"/>
          <w:sz w:val="22"/>
        </w:rPr>
        <w:footnoteReference w:id="11"/>
      </w:r>
      <w:r w:rsidRPr="006B54C5">
        <w:t xml:space="preserve"> and wound swelling</w:t>
      </w:r>
      <w:r>
        <w:t>.</w:t>
      </w:r>
      <w:r w:rsidRPr="006B54C5">
        <w:rPr>
          <w:rStyle w:val="FootnoteReference"/>
          <w:rFonts w:cs="Segoe UI"/>
          <w:sz w:val="22"/>
        </w:rPr>
        <w:footnoteReference w:id="12"/>
      </w:r>
      <w:r w:rsidRPr="006B54C5">
        <w:t xml:space="preserve"> </w:t>
      </w:r>
    </w:p>
    <w:p w14:paraId="316D2A41" w14:textId="77777777" w:rsidR="007B6463" w:rsidRDefault="007B6463" w:rsidP="007B6463"/>
    <w:p w14:paraId="3503619B" w14:textId="43FAD7F4" w:rsidR="007B6463" w:rsidRDefault="007B6463" w:rsidP="007B6463">
      <w:r w:rsidRPr="006B54C5">
        <w:t>The meta-analysis did not find a statistically significant difference in rates of testicular complications</w:t>
      </w:r>
      <w:r>
        <w:t>,</w:t>
      </w:r>
      <w:r w:rsidRPr="006B54C5">
        <w:rPr>
          <w:rStyle w:val="FootnoteReference"/>
          <w:rFonts w:cs="Segoe UI"/>
          <w:sz w:val="22"/>
        </w:rPr>
        <w:footnoteReference w:id="13"/>
      </w:r>
      <w:r>
        <w:t xml:space="preserve"> </w:t>
      </w:r>
      <w:r w:rsidRPr="006B54C5">
        <w:t>wound infection</w:t>
      </w:r>
      <w:r>
        <w:t>,</w:t>
      </w:r>
      <w:r w:rsidRPr="006B54C5">
        <w:rPr>
          <w:rStyle w:val="FootnoteReference"/>
          <w:rFonts w:cs="Segoe UI"/>
          <w:sz w:val="22"/>
        </w:rPr>
        <w:footnoteReference w:id="14"/>
      </w:r>
      <w:r w:rsidRPr="006B54C5">
        <w:t xml:space="preserve"> hematoma</w:t>
      </w:r>
      <w:r>
        <w:t>,</w:t>
      </w:r>
      <w:r w:rsidRPr="006B54C5">
        <w:rPr>
          <w:rStyle w:val="FootnoteReference"/>
          <w:rFonts w:cs="Segoe UI"/>
          <w:sz w:val="22"/>
        </w:rPr>
        <w:footnoteReference w:id="15"/>
      </w:r>
      <w:r w:rsidRPr="006B54C5">
        <w:t xml:space="preserve"> or wound dehiscence</w:t>
      </w:r>
      <w:r w:rsidRPr="006B54C5">
        <w:rPr>
          <w:rStyle w:val="FootnoteReference"/>
          <w:rFonts w:cs="Segoe UI"/>
          <w:sz w:val="22"/>
        </w:rPr>
        <w:footnoteReference w:id="16"/>
      </w:r>
      <w:r w:rsidRPr="006B54C5">
        <w:t xml:space="preserve"> after mesh versus non-mesh repair. </w:t>
      </w:r>
    </w:p>
    <w:p w14:paraId="093B8B67" w14:textId="77777777" w:rsidR="007B6463" w:rsidRDefault="007B6463" w:rsidP="007B6463"/>
    <w:p w14:paraId="5DC44EF9" w14:textId="4C5FA723" w:rsidR="007B6463" w:rsidRDefault="007B6463" w:rsidP="007B6463">
      <w:r w:rsidRPr="006B54C5">
        <w:t xml:space="preserve">Finch et al (2019) was a systematic review and meta-analysis of open inguinal hernia repair. The study included </w:t>
      </w:r>
      <w:r>
        <w:t xml:space="preserve">six </w:t>
      </w:r>
      <w:r w:rsidRPr="006B54C5">
        <w:t xml:space="preserve">RCTs and </w:t>
      </w:r>
      <w:r>
        <w:t xml:space="preserve">involved </w:t>
      </w:r>
      <w:r w:rsidRPr="006B54C5">
        <w:t>1</w:t>
      </w:r>
      <w:r>
        <w:t>,</w:t>
      </w:r>
      <w:r w:rsidRPr="006B54C5">
        <w:t xml:space="preserve">480 patients treated either with open darn repair (non-mesh) or open mesh repair. The </w:t>
      </w:r>
      <w:r>
        <w:t xml:space="preserve">three </w:t>
      </w:r>
      <w:r w:rsidRPr="006B54C5">
        <w:t xml:space="preserve">largest RCTs included Finch et al </w:t>
      </w:r>
      <w:r>
        <w:t xml:space="preserve">included </w:t>
      </w:r>
      <w:r w:rsidRPr="006B54C5">
        <w:t xml:space="preserve">were also included in Lockhart et al (2018). The studies included were </w:t>
      </w:r>
      <w:r>
        <w:t xml:space="preserve">carried out </w:t>
      </w:r>
      <w:r w:rsidRPr="006B54C5">
        <w:t xml:space="preserve">in a range of low- and high-income countries. </w:t>
      </w:r>
      <w:r>
        <w:t>M</w:t>
      </w:r>
      <w:r w:rsidRPr="006B54C5">
        <w:t xml:space="preserve">eta-analysis of the </w:t>
      </w:r>
      <w:r>
        <w:t xml:space="preserve">six </w:t>
      </w:r>
      <w:r w:rsidRPr="006B54C5">
        <w:t xml:space="preserve">reported no statistically significant difference in any of the outcome measures. </w:t>
      </w:r>
    </w:p>
    <w:p w14:paraId="0C9BD6D0" w14:textId="77777777" w:rsidR="007B6463" w:rsidRDefault="007B6463" w:rsidP="007B6463"/>
    <w:p w14:paraId="4F16943A" w14:textId="77777777" w:rsidR="007B6463" w:rsidRDefault="007B6463" w:rsidP="007B6463">
      <w:proofErr w:type="spellStart"/>
      <w:r w:rsidRPr="007D4092">
        <w:rPr>
          <w:color w:val="000000" w:themeColor="text1"/>
        </w:rPr>
        <w:t>Ö</w:t>
      </w:r>
      <w:r w:rsidRPr="006B54C5">
        <w:t>berg</w:t>
      </w:r>
      <w:proofErr w:type="spellEnd"/>
      <w:r w:rsidRPr="006B54C5">
        <w:t xml:space="preserve"> et al (2018) performed a systematic review and meta-analysis of 23 RCTs </w:t>
      </w:r>
      <w:r>
        <w:t xml:space="preserve">involving </w:t>
      </w:r>
      <w:r w:rsidRPr="006B54C5">
        <w:t xml:space="preserve">a total of 5,444 patients presenting with inguinal hernia and treated with a variety of mesh and non-mesh repair </w:t>
      </w:r>
      <w:proofErr w:type="gramStart"/>
      <w:r w:rsidRPr="006B54C5">
        <w:t>methods</w:t>
      </w:r>
      <w:r>
        <w:t>,</w:t>
      </w:r>
      <w:r w:rsidRPr="006B54C5">
        <w:t xml:space="preserve"> and</w:t>
      </w:r>
      <w:proofErr w:type="gramEnd"/>
      <w:r w:rsidRPr="006B54C5">
        <w:t xml:space="preserve"> included studies </w:t>
      </w:r>
      <w:r>
        <w:t xml:space="preserve">from </w:t>
      </w:r>
      <w:r w:rsidRPr="006B54C5">
        <w:t xml:space="preserve">both low- and high-income settings. Seven of the RCTs included in </w:t>
      </w:r>
      <w:proofErr w:type="spellStart"/>
      <w:r w:rsidRPr="007D4092">
        <w:rPr>
          <w:color w:val="000000" w:themeColor="text1"/>
        </w:rPr>
        <w:t>Ö</w:t>
      </w:r>
      <w:r w:rsidRPr="006B54C5">
        <w:t>berg</w:t>
      </w:r>
      <w:proofErr w:type="spellEnd"/>
      <w:r w:rsidRPr="006B54C5">
        <w:t xml:space="preserve"> et al (2018) were also included in Lockhart et al. (2018)</w:t>
      </w:r>
      <w:r>
        <w:t>;</w:t>
      </w:r>
      <w:r w:rsidRPr="006B54C5">
        <w:t xml:space="preserve"> 16 were not. The primary outcome </w:t>
      </w:r>
      <w:proofErr w:type="spellStart"/>
      <w:r w:rsidRPr="007D4092">
        <w:rPr>
          <w:color w:val="000000" w:themeColor="text1"/>
        </w:rPr>
        <w:t>Ö</w:t>
      </w:r>
      <w:r w:rsidRPr="006B54C5">
        <w:t>berg</w:t>
      </w:r>
      <w:proofErr w:type="spellEnd"/>
      <w:r w:rsidRPr="006B54C5">
        <w:t xml:space="preserve"> et al investigated was chronic pain after hernia repair with mesh or without mesh insertion. The median follow-up was 1.4 years (range 0.5–10). The median (range) prevalence of pain after non-mesh repairs was 3.5% (0%–16.2%)</w:t>
      </w:r>
      <w:r>
        <w:t>,</w:t>
      </w:r>
      <w:r w:rsidRPr="006B54C5">
        <w:t xml:space="preserve"> compared to a median of 2.9% (0%–27.6%) for mesh repairs. The meta-analysis reported that the difference between the median prevalence of pain after mesh and non-mesh repair methods was not statistically significant. </w:t>
      </w:r>
    </w:p>
    <w:p w14:paraId="55156B76" w14:textId="77777777" w:rsidR="007B6463" w:rsidRPr="0093245D" w:rsidRDefault="007B6463" w:rsidP="007B6463">
      <w:pPr>
        <w:pStyle w:val="Heading2"/>
      </w:pPr>
      <w:bookmarkStart w:id="27" w:name="_Toc181371219"/>
      <w:bookmarkStart w:id="28" w:name="_Toc181713003"/>
      <w:r w:rsidRPr="0093245D">
        <w:t xml:space="preserve">Mesh versus </w:t>
      </w:r>
      <w:r>
        <w:t>n</w:t>
      </w:r>
      <w:r w:rsidRPr="0093245D">
        <w:t>on-</w:t>
      </w:r>
      <w:r>
        <w:t>m</w:t>
      </w:r>
      <w:r w:rsidRPr="0093245D">
        <w:t xml:space="preserve">esh </w:t>
      </w:r>
      <w:r>
        <w:t>e</w:t>
      </w:r>
      <w:r w:rsidRPr="0093245D">
        <w:t xml:space="preserve">mergency </w:t>
      </w:r>
      <w:r>
        <w:t>r</w:t>
      </w:r>
      <w:r w:rsidRPr="0093245D">
        <w:t xml:space="preserve">epair of </w:t>
      </w:r>
      <w:r>
        <w:t>g</w:t>
      </w:r>
      <w:r w:rsidRPr="0093245D">
        <w:t xml:space="preserve">roin </w:t>
      </w:r>
      <w:proofErr w:type="gramStart"/>
      <w:r>
        <w:t>h</w:t>
      </w:r>
      <w:r w:rsidRPr="0093245D">
        <w:t>ernia</w:t>
      </w:r>
      <w:bookmarkEnd w:id="27"/>
      <w:bookmarkEnd w:id="28"/>
      <w:proofErr w:type="gramEnd"/>
    </w:p>
    <w:p w14:paraId="31C87306" w14:textId="518CAF05" w:rsidR="007B6463" w:rsidRDefault="007B6463" w:rsidP="007B6463">
      <w:proofErr w:type="spellStart"/>
      <w:r w:rsidRPr="006B54C5">
        <w:t>S</w:t>
      </w:r>
      <w:r w:rsidRPr="00FC7B51">
        <w:rPr>
          <w:rStyle w:val="Emphasis"/>
          <w:rFonts w:cs="Segoe UI"/>
          <w:sz w:val="22"/>
          <w:shd w:val="clear" w:color="auto" w:fill="FFFFFF"/>
        </w:rPr>
        <w:t>æ</w:t>
      </w:r>
      <w:r w:rsidRPr="006B54C5">
        <w:t>t</w:t>
      </w:r>
      <w:r>
        <w:t>e</w:t>
      </w:r>
      <w:r w:rsidRPr="006B54C5">
        <w:t>r</w:t>
      </w:r>
      <w:proofErr w:type="spellEnd"/>
      <w:r w:rsidRPr="006B54C5">
        <w:t xml:space="preserve"> et al (2022) </w:t>
      </w:r>
      <w:r>
        <w:t xml:space="preserve">carried out </w:t>
      </w:r>
      <w:r w:rsidRPr="006B54C5">
        <w:t>a systematic review and meta-analysis of 15 RCTs comparing mesh and non-mesh emergency groin hernia repair</w:t>
      </w:r>
      <w:r>
        <w:t xml:space="preserve">, involving </w:t>
      </w:r>
      <w:r w:rsidRPr="006B54C5">
        <w:t>1</w:t>
      </w:r>
      <w:r>
        <w:t>,</w:t>
      </w:r>
      <w:r w:rsidRPr="006B54C5">
        <w:t xml:space="preserve">241 patients presenting with obstructed, </w:t>
      </w:r>
      <w:proofErr w:type="gramStart"/>
      <w:r w:rsidRPr="006B54C5">
        <w:t>strangulated</w:t>
      </w:r>
      <w:proofErr w:type="gramEnd"/>
      <w:r w:rsidRPr="006B54C5">
        <w:t xml:space="preserve"> or incarcerated groin hernias requiring emergency surgical repair. The RCTs included in this systematic review were conducted in China, the Middle </w:t>
      </w:r>
      <w:proofErr w:type="gramStart"/>
      <w:r w:rsidRPr="006B54C5">
        <w:t>East</w:t>
      </w:r>
      <w:proofErr w:type="gramEnd"/>
      <w:r w:rsidRPr="006B54C5">
        <w:t xml:space="preserve"> and South Asia. </w:t>
      </w:r>
    </w:p>
    <w:p w14:paraId="1D233B45" w14:textId="77777777" w:rsidR="007B6463" w:rsidRDefault="007B6463" w:rsidP="007B6463"/>
    <w:p w14:paraId="71F168E5" w14:textId="6BA5817B" w:rsidR="007B6463" w:rsidRDefault="007B6463" w:rsidP="007B6463">
      <w:r w:rsidRPr="006B54C5">
        <w:t>The meta-analysis reported no statistically significant difference in the risk of post-operative wound infection within 30 days of repair</w:t>
      </w:r>
      <w:r>
        <w:t>,</w:t>
      </w:r>
      <w:r w:rsidRPr="006B54C5">
        <w:rPr>
          <w:rStyle w:val="FootnoteReference"/>
          <w:rFonts w:cs="Segoe UI"/>
          <w:sz w:val="22"/>
        </w:rPr>
        <w:footnoteReference w:id="17"/>
      </w:r>
      <w:r w:rsidRPr="006B54C5">
        <w:t xml:space="preserve"> post-operative wound infection within 90 days of repair</w:t>
      </w:r>
      <w:r>
        <w:t>,</w:t>
      </w:r>
      <w:r w:rsidRPr="006B54C5">
        <w:rPr>
          <w:rStyle w:val="FootnoteReference"/>
          <w:rFonts w:cs="Segoe UI"/>
          <w:sz w:val="22"/>
        </w:rPr>
        <w:footnoteReference w:id="18"/>
      </w:r>
      <w:r w:rsidRPr="006B54C5">
        <w:t xml:space="preserve"> mortality</w:t>
      </w:r>
      <w:r w:rsidRPr="006B54C5">
        <w:rPr>
          <w:rStyle w:val="FootnoteReference"/>
          <w:rFonts w:cs="Segoe UI"/>
          <w:sz w:val="22"/>
        </w:rPr>
        <w:footnoteReference w:id="19"/>
      </w:r>
      <w:r w:rsidRPr="006B54C5">
        <w:t>or hernia recurrence</w:t>
      </w:r>
      <w:r w:rsidRPr="006B54C5">
        <w:rPr>
          <w:rStyle w:val="FootnoteReference"/>
          <w:rFonts w:cs="Segoe UI"/>
          <w:sz w:val="22"/>
        </w:rPr>
        <w:footnoteReference w:id="20"/>
      </w:r>
      <w:r w:rsidRPr="006B54C5">
        <w:t xml:space="preserve"> after emergency mesh repair of groin hernias when compared with emergency non-mesh repair of groin hernias. However,</w:t>
      </w:r>
      <w:r>
        <w:t xml:space="preserve"> </w:t>
      </w:r>
      <w:r w:rsidRPr="006B54C5">
        <w:t xml:space="preserve">the authors assessed the evidence to be of a low-quality, and therefore concluded that the effect of mesh versus non-mesh emergency groin hernia repair was uncertain for the outcomes investigated. </w:t>
      </w:r>
    </w:p>
    <w:p w14:paraId="47654D76" w14:textId="77777777" w:rsidR="007B6463" w:rsidRDefault="007B6463" w:rsidP="007B6463"/>
    <w:p w14:paraId="5552107A" w14:textId="77777777" w:rsidR="007B6463" w:rsidRPr="006B54C5" w:rsidRDefault="007B6463" w:rsidP="007B6463">
      <w:pPr>
        <w:rPr>
          <w:rFonts w:cs="Segoe UI"/>
          <w:sz w:val="22"/>
        </w:rPr>
      </w:pPr>
    </w:p>
    <w:p w14:paraId="484EF8C1" w14:textId="77777777" w:rsidR="007B6463" w:rsidRPr="007B6463" w:rsidRDefault="007B6463" w:rsidP="007B6463">
      <w:pPr>
        <w:pStyle w:val="Heading2"/>
      </w:pPr>
      <w:bookmarkStart w:id="29" w:name="_Toc181371220"/>
      <w:bookmarkStart w:id="30" w:name="_Toc181713004"/>
      <w:r w:rsidRPr="007B6463">
        <w:t>Systematic review of laparoscopic versus open repair of groin hernias</w:t>
      </w:r>
      <w:bookmarkEnd w:id="29"/>
      <w:bookmarkEnd w:id="30"/>
      <w:r w:rsidRPr="007B6463">
        <w:t xml:space="preserve"> </w:t>
      </w:r>
    </w:p>
    <w:p w14:paraId="18A9D530" w14:textId="1459726D" w:rsidR="007B6463" w:rsidRDefault="007B6463" w:rsidP="007B6463">
      <w:r w:rsidRPr="006B54C5">
        <w:t>Bittner et al (2005) conducted a systematic review and meta-analysis of 27 RCTs comparing clinical outcomes after laparoscopic groin hernia repair methods (trans-abdominal preperitoneal (TAPP) and totally extraperitoneal repair (TEP)), with Shouldice repair or other (non-Shouldice) open groin hernia repair methods. Fifteen of these RCTs compared TAPP/TEP with Shouldice repair. Meta-analysis of the</w:t>
      </w:r>
      <w:r>
        <w:t>se</w:t>
      </w:r>
      <w:r w:rsidRPr="006B54C5">
        <w:t xml:space="preserve"> 15 RCTs found a significant reduction in chronic pain</w:t>
      </w:r>
      <w:r w:rsidRPr="006B54C5">
        <w:rPr>
          <w:rStyle w:val="FootnoteReference"/>
          <w:rFonts w:cs="Segoe UI"/>
          <w:sz w:val="22"/>
        </w:rPr>
        <w:footnoteReference w:id="21"/>
      </w:r>
      <w:r w:rsidRPr="006B54C5">
        <w:t xml:space="preserve"> and time to return to work</w:t>
      </w:r>
      <w:r w:rsidRPr="006B54C5">
        <w:rPr>
          <w:rStyle w:val="FootnoteReference"/>
          <w:rFonts w:cs="Segoe UI"/>
          <w:sz w:val="22"/>
        </w:rPr>
        <w:footnoteReference w:id="22"/>
      </w:r>
      <w:r w:rsidRPr="006B54C5">
        <w:t xml:space="preserve"> with </w:t>
      </w:r>
      <w:r>
        <w:t xml:space="preserve">laparoscopic </w:t>
      </w:r>
      <w:r w:rsidRPr="006B54C5">
        <w:t xml:space="preserve">TAPP/TEP repair when compared with </w:t>
      </w:r>
      <w:r>
        <w:t xml:space="preserve">open </w:t>
      </w:r>
      <w:r w:rsidRPr="006B54C5">
        <w:t>Shouldice repair. Nine of the RCTs compared TAPP/TEP with non-Shouldice open groin hernia repair methods. Meta-analysis of these nine also found a significant reduction in chronic pain</w:t>
      </w:r>
      <w:r w:rsidRPr="006B54C5">
        <w:rPr>
          <w:rStyle w:val="FootnoteReference"/>
          <w:rFonts w:cs="Segoe UI"/>
          <w:sz w:val="22"/>
        </w:rPr>
        <w:footnoteReference w:id="23"/>
      </w:r>
      <w:r w:rsidRPr="006B54C5">
        <w:t xml:space="preserve"> and time to return to work</w:t>
      </w:r>
      <w:r w:rsidRPr="006B54C5">
        <w:rPr>
          <w:rStyle w:val="FootnoteReference"/>
          <w:rFonts w:cs="Segoe UI"/>
          <w:sz w:val="22"/>
        </w:rPr>
        <w:footnoteReference w:id="24"/>
      </w:r>
      <w:r w:rsidRPr="006B54C5">
        <w:t xml:space="preserve"> with TAPP/TEP repair. </w:t>
      </w:r>
    </w:p>
    <w:p w14:paraId="468768CF" w14:textId="77777777" w:rsidR="007B6463" w:rsidRDefault="007B6463" w:rsidP="007B6463"/>
    <w:p w14:paraId="46645A72" w14:textId="77777777" w:rsidR="007B6463" w:rsidRDefault="007B6463" w:rsidP="007B6463">
      <w:r w:rsidRPr="006B54C5">
        <w:t>Across all the RCTs, Bittner et al</w:t>
      </w:r>
      <w:r w:rsidRPr="006B54C5" w:rsidDel="00157D08">
        <w:t xml:space="preserve"> </w:t>
      </w:r>
      <w:r>
        <w:t xml:space="preserve">found </w:t>
      </w:r>
      <w:r w:rsidRPr="006B54C5">
        <w:t xml:space="preserve">no significant difference between operating times with laparoscopic versus open hernia repair methods after accounting for the experience difference between different surgical teams. There was no statistically significant difference in mortality between the laparoscopic hernia repair methods when compared with open hernia repair methods, largely due to the very small number of mortality events recorded across the RCTs. </w:t>
      </w:r>
    </w:p>
    <w:p w14:paraId="652089A4" w14:textId="77777777" w:rsidR="007B6463" w:rsidRPr="0093245D" w:rsidRDefault="007B6463" w:rsidP="007B6463">
      <w:pPr>
        <w:pStyle w:val="Heading2"/>
      </w:pPr>
      <w:bookmarkStart w:id="31" w:name="_Toc181371221"/>
      <w:bookmarkStart w:id="32" w:name="_Toc181713005"/>
      <w:r w:rsidRPr="0093245D">
        <w:t xml:space="preserve">Studies </w:t>
      </w:r>
      <w:r>
        <w:t>i</w:t>
      </w:r>
      <w:r w:rsidRPr="0093245D">
        <w:t xml:space="preserve">nvestigating </w:t>
      </w:r>
      <w:r>
        <w:t>p</w:t>
      </w:r>
      <w:r w:rsidRPr="0093245D">
        <w:t xml:space="preserve">atient </w:t>
      </w:r>
      <w:r>
        <w:t>r</w:t>
      </w:r>
      <w:r w:rsidRPr="0093245D">
        <w:t xml:space="preserve">eported </w:t>
      </w:r>
      <w:proofErr w:type="gramStart"/>
      <w:r>
        <w:t>o</w:t>
      </w:r>
      <w:r w:rsidRPr="0093245D">
        <w:t>utcomes</w:t>
      </w:r>
      <w:bookmarkEnd w:id="31"/>
      <w:bookmarkEnd w:id="32"/>
      <w:proofErr w:type="gramEnd"/>
    </w:p>
    <w:p w14:paraId="2C4D40BB" w14:textId="53CCA34A" w:rsidR="007B6463" w:rsidRDefault="007B6463" w:rsidP="007B6463">
      <w:r w:rsidRPr="006B54C5">
        <w:t xml:space="preserve">Forester et al (2022) </w:t>
      </w:r>
      <w:r>
        <w:t xml:space="preserve">investigated </w:t>
      </w:r>
      <w:r w:rsidRPr="006B54C5">
        <w:t>prospectively collected patient</w:t>
      </w:r>
      <w:r>
        <w:t>-</w:t>
      </w:r>
      <w:r w:rsidRPr="006B54C5">
        <w:t xml:space="preserve">reported outcomes </w:t>
      </w:r>
      <w:r>
        <w:t xml:space="preserve">for </w:t>
      </w:r>
      <w:r w:rsidRPr="006B54C5">
        <w:t>1</w:t>
      </w:r>
      <w:r>
        <w:t>,</w:t>
      </w:r>
      <w:r w:rsidRPr="006B54C5">
        <w:t xml:space="preserve">720 patients who underwent mesh hernia repair for inguinal hernia between 2008 and 2019 at a single institution in the United States. All operations were performed by </w:t>
      </w:r>
      <w:r>
        <w:t xml:space="preserve">four </w:t>
      </w:r>
      <w:r w:rsidRPr="006B54C5">
        <w:t>board</w:t>
      </w:r>
      <w:r>
        <w:t>-</w:t>
      </w:r>
      <w:r w:rsidRPr="006B54C5">
        <w:t xml:space="preserve">certified surgeons of similar experience. </w:t>
      </w:r>
    </w:p>
    <w:p w14:paraId="6CA142C5" w14:textId="77777777" w:rsidR="007B6463" w:rsidRDefault="007B6463" w:rsidP="007B6463"/>
    <w:p w14:paraId="2AB90BD8" w14:textId="2CA5C180" w:rsidR="007B6463" w:rsidRDefault="007B6463" w:rsidP="001B62FB">
      <w:pPr>
        <w:ind w:right="-143"/>
      </w:pPr>
      <w:r w:rsidRPr="006B54C5">
        <w:t xml:space="preserve">Patients were surveyed on the impact of pain on their life quality, level of chronic pain (pain quality), fatigue and physical functioning using the Surgical Outcomes Measurement System (SOMS) questionnaire. Experiences were assessed pre-operatively and again at </w:t>
      </w:r>
      <w:r>
        <w:t xml:space="preserve">three </w:t>
      </w:r>
      <w:r w:rsidRPr="006B54C5">
        <w:t xml:space="preserve">weeks, </w:t>
      </w:r>
      <w:r>
        <w:t xml:space="preserve">six </w:t>
      </w:r>
      <w:r w:rsidRPr="006B54C5">
        <w:t xml:space="preserve">months, </w:t>
      </w:r>
      <w:r>
        <w:t xml:space="preserve">one </w:t>
      </w:r>
      <w:r w:rsidRPr="006B54C5">
        <w:t xml:space="preserve">year, </w:t>
      </w:r>
      <w:r>
        <w:t xml:space="preserve">two </w:t>
      </w:r>
      <w:r w:rsidRPr="006B54C5">
        <w:t xml:space="preserve">years, </w:t>
      </w:r>
      <w:r>
        <w:t xml:space="preserve">three </w:t>
      </w:r>
      <w:r w:rsidRPr="006B54C5">
        <w:t xml:space="preserve">years, </w:t>
      </w:r>
      <w:r>
        <w:t xml:space="preserve">four </w:t>
      </w:r>
      <w:proofErr w:type="gramStart"/>
      <w:r w:rsidRPr="006B54C5">
        <w:t>years</w:t>
      </w:r>
      <w:proofErr w:type="gramEnd"/>
      <w:r w:rsidRPr="006B54C5">
        <w:t xml:space="preserve"> and </w:t>
      </w:r>
      <w:r>
        <w:t xml:space="preserve">five </w:t>
      </w:r>
      <w:r w:rsidRPr="006B54C5">
        <w:t>years post</w:t>
      </w:r>
      <w:r>
        <w:t>-</w:t>
      </w:r>
      <w:r w:rsidRPr="006B54C5">
        <w:t xml:space="preserve">operatively. In SOMS, a </w:t>
      </w:r>
      <w:r w:rsidRPr="00FC7B51">
        <w:rPr>
          <w:iCs/>
        </w:rPr>
        <w:t>decrease</w:t>
      </w:r>
      <w:r w:rsidRPr="006B54C5">
        <w:t xml:space="preserve"> in reported scores for pain impact on quality</w:t>
      </w:r>
      <w:r>
        <w:t xml:space="preserve"> </w:t>
      </w:r>
      <w:r w:rsidRPr="006B54C5">
        <w:t>of</w:t>
      </w:r>
      <w:r>
        <w:t xml:space="preserve"> </w:t>
      </w:r>
      <w:r w:rsidRPr="006B54C5">
        <w:t xml:space="preserve">life, pain quality and fatigue </w:t>
      </w:r>
      <w:proofErr w:type="gramStart"/>
      <w:r w:rsidRPr="006B54C5">
        <w:t>indicates</w:t>
      </w:r>
      <w:proofErr w:type="gramEnd"/>
      <w:r w:rsidRPr="006B54C5">
        <w:t xml:space="preserve"> an </w:t>
      </w:r>
      <w:r w:rsidRPr="00FC7B51">
        <w:rPr>
          <w:iCs/>
        </w:rPr>
        <w:t>improvement</w:t>
      </w:r>
      <w:r w:rsidRPr="006B54C5">
        <w:t>, whil</w:t>
      </w:r>
      <w:r>
        <w:t>e</w:t>
      </w:r>
      <w:r w:rsidRPr="006B54C5">
        <w:t xml:space="preserve"> an </w:t>
      </w:r>
      <w:r w:rsidRPr="00FC7B51">
        <w:rPr>
          <w:iCs/>
        </w:rPr>
        <w:t>increase</w:t>
      </w:r>
      <w:r w:rsidRPr="006B54C5">
        <w:t xml:space="preserve"> in the reported score for physical functioning indicates </w:t>
      </w:r>
      <w:r w:rsidRPr="00FC7B51">
        <w:rPr>
          <w:iCs/>
        </w:rPr>
        <w:t>improvement</w:t>
      </w:r>
      <w:r w:rsidRPr="006B54C5">
        <w:t xml:space="preserve">. The study </w:t>
      </w:r>
      <w:r>
        <w:t xml:space="preserve">found </w:t>
      </w:r>
      <w:r w:rsidRPr="006B54C5">
        <w:t xml:space="preserve">that the pain impact on </w:t>
      </w:r>
      <w:r>
        <w:t xml:space="preserve">the </w:t>
      </w:r>
      <w:r w:rsidRPr="006B54C5">
        <w:t>quality-of-life score reported by patients improved after inguinal hernia mesh repair when compared to the pre-operative baseline.</w:t>
      </w:r>
      <w:r w:rsidRPr="006B54C5">
        <w:rPr>
          <w:rStyle w:val="FootnoteReference"/>
          <w:rFonts w:cs="Segoe UI"/>
          <w:sz w:val="22"/>
        </w:rPr>
        <w:footnoteReference w:id="25"/>
      </w:r>
      <w:r w:rsidRPr="006B54C5">
        <w:t xml:space="preserve"> Patient</w:t>
      </w:r>
      <w:r>
        <w:t>-</w:t>
      </w:r>
      <w:r w:rsidRPr="006B54C5">
        <w:t>reported pain quality scores also improved after inguinal hernia mesh repair when compared to the pre-operative baseline.</w:t>
      </w:r>
      <w:r w:rsidRPr="006B54C5">
        <w:rPr>
          <w:rStyle w:val="FootnoteReference"/>
          <w:rFonts w:cs="Segoe UI"/>
          <w:sz w:val="22"/>
        </w:rPr>
        <w:footnoteReference w:id="26"/>
      </w:r>
      <w:r w:rsidRPr="006B54C5">
        <w:t xml:space="preserve"> Patient-reported fatigue scores improved significantly after inguinal hernia mesh repair when compared to the pre-operative baseline.</w:t>
      </w:r>
      <w:r w:rsidRPr="006B54C5">
        <w:rPr>
          <w:rStyle w:val="FootnoteReference"/>
          <w:rFonts w:cs="Segoe UI"/>
          <w:sz w:val="22"/>
        </w:rPr>
        <w:footnoteReference w:id="27"/>
      </w:r>
      <w:r w:rsidRPr="006B54C5">
        <w:t xml:space="preserve"> </w:t>
      </w:r>
    </w:p>
    <w:p w14:paraId="6DFD0E55" w14:textId="77777777" w:rsidR="00357E97" w:rsidRDefault="00357E97" w:rsidP="007B6463"/>
    <w:p w14:paraId="18082301" w14:textId="201BD3FC" w:rsidR="007B6463" w:rsidRDefault="007B6463" w:rsidP="007B6463">
      <w:r w:rsidRPr="006B54C5">
        <w:t xml:space="preserve">Furthermore, Forester et al </w:t>
      </w:r>
      <w:r>
        <w:t xml:space="preserve">found that </w:t>
      </w:r>
      <w:r w:rsidRPr="006B54C5">
        <w:t>patient-reported physical functioning scores also improved significantly after inguinal hernia mesh repair when compared to the pre-operative baseline.</w:t>
      </w:r>
      <w:r w:rsidRPr="006B54C5">
        <w:rPr>
          <w:rStyle w:val="FootnoteReference"/>
          <w:rFonts w:cs="Segoe UI"/>
          <w:sz w:val="22"/>
        </w:rPr>
        <w:footnoteReference w:id="28"/>
      </w:r>
      <w:r w:rsidRPr="006B54C5">
        <w:t xml:space="preserve"> At </w:t>
      </w:r>
      <w:r>
        <w:t xml:space="preserve">five </w:t>
      </w:r>
      <w:r w:rsidRPr="006B54C5">
        <w:t xml:space="preserve">years post-operatively, 3.9% of patients reported severe/disabling sensation of mesh, 3.2% reported significant pain and 31% of patients reported movement limitations. Forester et al (2022) thus concluded that patients generally reported a significant improvement in their life quality, impact of pain, chronic pain level, </w:t>
      </w:r>
      <w:proofErr w:type="gramStart"/>
      <w:r w:rsidRPr="006B54C5">
        <w:t>fatigue</w:t>
      </w:r>
      <w:proofErr w:type="gramEnd"/>
      <w:r w:rsidRPr="006B54C5">
        <w:t xml:space="preserve"> and physical functioning after undergoing inguinal hernia mesh repair. However, a minority of patients did report severe or disabling symptoms at the </w:t>
      </w:r>
      <w:r>
        <w:t>five</w:t>
      </w:r>
      <w:r w:rsidRPr="006B54C5">
        <w:t xml:space="preserve">-year follow-up. </w:t>
      </w:r>
    </w:p>
    <w:p w14:paraId="66A01CD2" w14:textId="77777777" w:rsidR="00357E97" w:rsidRDefault="00357E97" w:rsidP="007B6463"/>
    <w:p w14:paraId="0B33A66C" w14:textId="277E9FEC" w:rsidR="007B6463" w:rsidRDefault="007B6463" w:rsidP="007B6463">
      <w:proofErr w:type="spellStart"/>
      <w:r w:rsidRPr="006B54C5">
        <w:t>Matikainen</w:t>
      </w:r>
      <w:proofErr w:type="spellEnd"/>
      <w:r w:rsidRPr="006B54C5">
        <w:t xml:space="preserve"> et al (2021) was </w:t>
      </w:r>
      <w:r>
        <w:t xml:space="preserve">an RCT </w:t>
      </w:r>
      <w:r w:rsidRPr="006B54C5">
        <w:t xml:space="preserve">of 625 patients who underwent Lichtenstein mesh hernioplasty </w:t>
      </w:r>
      <w:r>
        <w:t>(</w:t>
      </w:r>
      <w:r w:rsidRPr="006B54C5">
        <w:rPr>
          <w:rStyle w:val="normaltextrun"/>
          <w:rFonts w:cs="Segoe UI"/>
          <w:sz w:val="22"/>
        </w:rPr>
        <w:t>a tension</w:t>
      </w:r>
      <w:r>
        <w:rPr>
          <w:rStyle w:val="normaltextrun"/>
          <w:rFonts w:cs="Segoe UI"/>
          <w:sz w:val="22"/>
        </w:rPr>
        <w:t>-</w:t>
      </w:r>
      <w:r w:rsidRPr="006B54C5">
        <w:rPr>
          <w:rStyle w:val="normaltextrun"/>
          <w:rFonts w:cs="Segoe UI"/>
          <w:sz w:val="22"/>
        </w:rPr>
        <w:t xml:space="preserve">free mesh repair typically performed laparoscopically) </w:t>
      </w:r>
      <w:r w:rsidRPr="006B54C5">
        <w:t>for inguinal hernia with a cyanoacrylate glue (</w:t>
      </w:r>
      <w:r w:rsidRPr="006B54C5">
        <w:rPr>
          <w:i/>
          <w:iCs/>
        </w:rPr>
        <w:t>n</w:t>
      </w:r>
      <w:r w:rsidRPr="006B54C5">
        <w:t xml:space="preserve"> = 216), self-gripping mesh (</w:t>
      </w:r>
      <w:r w:rsidRPr="006B54C5">
        <w:rPr>
          <w:i/>
          <w:iCs/>
        </w:rPr>
        <w:t>n</w:t>
      </w:r>
      <w:r w:rsidRPr="006B54C5">
        <w:t xml:space="preserve"> = 202) or non-absorbable 3-0 polypropylene suture fixed mesh (</w:t>
      </w:r>
      <w:r w:rsidRPr="006B54C5">
        <w:rPr>
          <w:i/>
        </w:rPr>
        <w:t xml:space="preserve">n = </w:t>
      </w:r>
      <w:r w:rsidRPr="006B54C5">
        <w:t xml:space="preserve">216). </w:t>
      </w:r>
      <w:r>
        <w:t>The study</w:t>
      </w:r>
      <w:r w:rsidRPr="006B54C5">
        <w:t xml:space="preserve"> investigated patient</w:t>
      </w:r>
      <w:r>
        <w:t>-</w:t>
      </w:r>
      <w:r w:rsidRPr="006B54C5">
        <w:t xml:space="preserve">reported outcomes after mesh hernia repair based on the type of mesh and the method of mesh fixation. </w:t>
      </w:r>
      <w:r>
        <w:t xml:space="preserve">It employed </w:t>
      </w:r>
      <w:r w:rsidRPr="006B54C5">
        <w:t xml:space="preserve">a standardised telephone interview or postal questionnaire at </w:t>
      </w:r>
      <w:r>
        <w:t>five</w:t>
      </w:r>
      <w:r w:rsidRPr="006B54C5">
        <w:t>-years post-operation. The patient</w:t>
      </w:r>
      <w:r>
        <w:t>-</w:t>
      </w:r>
      <w:r w:rsidRPr="006B54C5">
        <w:t xml:space="preserve">reported outcomes measured included chronic pain, analgesic </w:t>
      </w:r>
      <w:proofErr w:type="gramStart"/>
      <w:r w:rsidRPr="006B54C5">
        <w:t>need</w:t>
      </w:r>
      <w:proofErr w:type="gramEnd"/>
      <w:r w:rsidRPr="006B54C5">
        <w:t xml:space="preserve"> and sensation of a foreign object. The results reported no statistically significant difference in </w:t>
      </w:r>
      <w:r>
        <w:t xml:space="preserve">any of these measures </w:t>
      </w:r>
      <w:r w:rsidRPr="006B54C5">
        <w:t xml:space="preserve">between the different mesh types and methods of mesh fixation. </w:t>
      </w:r>
    </w:p>
    <w:p w14:paraId="3FC9EF56" w14:textId="77777777" w:rsidR="00357E97" w:rsidRDefault="00357E97" w:rsidP="007B6463"/>
    <w:p w14:paraId="57843488" w14:textId="40EF7E79" w:rsidR="007B6463" w:rsidRDefault="007B6463" w:rsidP="007B6463">
      <w:pPr>
        <w:rPr>
          <w:i/>
        </w:rPr>
      </w:pPr>
      <w:proofErr w:type="spellStart"/>
      <w:r w:rsidRPr="006B54C5">
        <w:t>Melkemichel</w:t>
      </w:r>
      <w:proofErr w:type="spellEnd"/>
      <w:r w:rsidRPr="006B54C5">
        <w:t xml:space="preserve"> et al (2020) </w:t>
      </w:r>
      <w:r>
        <w:t xml:space="preserve">was </w:t>
      </w:r>
      <w:r w:rsidRPr="006B54C5">
        <w:t xml:space="preserve">a prospective study of 23,259 patients in the Swedish Hernia Register who </w:t>
      </w:r>
      <w:r w:rsidRPr="0078067E">
        <w:t>underwent open</w:t>
      </w:r>
      <w:r w:rsidRPr="006B54C5">
        <w:t xml:space="preserve"> inguinal hernia repair with regular polypropylene lightweight mesh (LWM-PP), composite (poliglecaprone-25) polypropylene lightweight mesh (LWM-PP/PGC) or polypropylene heavyweight mesh (HWM-PP). </w:t>
      </w:r>
      <w:r>
        <w:t xml:space="preserve">The study </w:t>
      </w:r>
      <w:r w:rsidRPr="006B54C5">
        <w:t>investigated patient</w:t>
      </w:r>
      <w:r>
        <w:t>-</w:t>
      </w:r>
      <w:r w:rsidRPr="006B54C5">
        <w:t xml:space="preserve">reported chronic pain at </w:t>
      </w:r>
      <w:proofErr w:type="gramStart"/>
      <w:r>
        <w:t xml:space="preserve">one </w:t>
      </w:r>
      <w:r w:rsidRPr="006B54C5">
        <w:t>year</w:t>
      </w:r>
      <w:proofErr w:type="gramEnd"/>
      <w:r w:rsidRPr="006B54C5">
        <w:t xml:space="preserve"> post-operation. Patients who met the eligibility criteria were sent a questionnaire asking</w:t>
      </w:r>
      <w:r>
        <w:t xml:space="preserve"> them to</w:t>
      </w:r>
      <w:r w:rsidRPr="006B54C5">
        <w:t xml:space="preserve"> </w:t>
      </w:r>
      <w:r>
        <w:t>‘</w:t>
      </w:r>
      <w:r w:rsidRPr="00FC7B51">
        <w:rPr>
          <w:iCs/>
        </w:rPr>
        <w:t>Grade the worst pain you have felt in the operated groin during the past week</w:t>
      </w:r>
      <w:r>
        <w:rPr>
          <w:iCs/>
        </w:rPr>
        <w:t>’</w:t>
      </w:r>
      <w:r w:rsidRPr="00FC7B51">
        <w:rPr>
          <w:iCs/>
        </w:rPr>
        <w:t>.</w:t>
      </w:r>
      <w:r w:rsidRPr="006B54C5">
        <w:rPr>
          <w:i/>
        </w:rPr>
        <w:t xml:space="preserve"> </w:t>
      </w:r>
    </w:p>
    <w:p w14:paraId="3ED3C5B1" w14:textId="77777777" w:rsidR="00357E97" w:rsidRDefault="00357E97" w:rsidP="007B6463">
      <w:pPr>
        <w:rPr>
          <w:i/>
        </w:rPr>
      </w:pPr>
    </w:p>
    <w:p w14:paraId="05E02133" w14:textId="77777777" w:rsidR="007B6463" w:rsidRDefault="007B6463" w:rsidP="007B6463">
      <w:r w:rsidRPr="006B54C5">
        <w:t>Pain was graded on a scale from 1</w:t>
      </w:r>
      <w:r>
        <w:t xml:space="preserve"> to </w:t>
      </w:r>
      <w:r w:rsidRPr="006B54C5">
        <w:t>7</w:t>
      </w:r>
      <w:r>
        <w:t>, as follows</w:t>
      </w:r>
      <w:r w:rsidRPr="006B54C5">
        <w:t xml:space="preserve">: </w:t>
      </w:r>
    </w:p>
    <w:p w14:paraId="02664233" w14:textId="77777777" w:rsidR="007B6463" w:rsidRPr="001B62FB" w:rsidRDefault="007B6463" w:rsidP="001B62FB">
      <w:pPr>
        <w:pStyle w:val="Bullet"/>
      </w:pPr>
      <w:r w:rsidRPr="001B62FB">
        <w:t>level 1 – no pain</w:t>
      </w:r>
    </w:p>
    <w:p w14:paraId="2806597F" w14:textId="77777777" w:rsidR="007B6463" w:rsidRPr="001B62FB" w:rsidRDefault="007B6463" w:rsidP="001B62FB">
      <w:pPr>
        <w:pStyle w:val="Bullet"/>
      </w:pPr>
      <w:r w:rsidRPr="001B62FB">
        <w:t xml:space="preserve">level 2 – pain present but easily </w:t>
      </w:r>
      <w:proofErr w:type="gramStart"/>
      <w:r w:rsidRPr="001B62FB">
        <w:t>ignored</w:t>
      </w:r>
      <w:proofErr w:type="gramEnd"/>
    </w:p>
    <w:p w14:paraId="16A4351C" w14:textId="77777777" w:rsidR="007B6463" w:rsidRPr="001B62FB" w:rsidRDefault="007B6463" w:rsidP="001B62FB">
      <w:pPr>
        <w:pStyle w:val="Bullet"/>
      </w:pPr>
      <w:r w:rsidRPr="001B62FB">
        <w:t xml:space="preserve">level 3 – pain present, cannot be ignored, but does not interfere with everyday </w:t>
      </w:r>
      <w:proofErr w:type="gramStart"/>
      <w:r w:rsidRPr="001B62FB">
        <w:t>activities</w:t>
      </w:r>
      <w:proofErr w:type="gramEnd"/>
    </w:p>
    <w:p w14:paraId="349620BB" w14:textId="77777777" w:rsidR="007B6463" w:rsidRPr="001B62FB" w:rsidRDefault="007B6463" w:rsidP="001B62FB">
      <w:pPr>
        <w:pStyle w:val="Bullet"/>
      </w:pPr>
      <w:r w:rsidRPr="001B62FB">
        <w:t xml:space="preserve">level 4 – pain present, cannot be ignored and interferes with concentration on everyday </w:t>
      </w:r>
      <w:proofErr w:type="gramStart"/>
      <w:r w:rsidRPr="001B62FB">
        <w:t>activities</w:t>
      </w:r>
      <w:proofErr w:type="gramEnd"/>
    </w:p>
    <w:p w14:paraId="7E726A31" w14:textId="77777777" w:rsidR="007B6463" w:rsidRPr="001B62FB" w:rsidRDefault="007B6463" w:rsidP="001B62FB">
      <w:pPr>
        <w:pStyle w:val="Bullet"/>
      </w:pPr>
      <w:r w:rsidRPr="001B62FB">
        <w:t xml:space="preserve">level 5 – pain present, interferes with most </w:t>
      </w:r>
      <w:proofErr w:type="gramStart"/>
      <w:r w:rsidRPr="001B62FB">
        <w:t>activities</w:t>
      </w:r>
      <w:proofErr w:type="gramEnd"/>
      <w:r w:rsidRPr="001B62FB">
        <w:t xml:space="preserve"> </w:t>
      </w:r>
    </w:p>
    <w:p w14:paraId="0660C5DA" w14:textId="77777777" w:rsidR="007B6463" w:rsidRPr="001B62FB" w:rsidRDefault="007B6463" w:rsidP="001B62FB">
      <w:pPr>
        <w:pStyle w:val="Bullet"/>
      </w:pPr>
      <w:r w:rsidRPr="001B62FB">
        <w:t xml:space="preserve">level 6 – pain present, necessitating bed </w:t>
      </w:r>
      <w:proofErr w:type="gramStart"/>
      <w:r w:rsidRPr="001B62FB">
        <w:t>rest</w:t>
      </w:r>
      <w:proofErr w:type="gramEnd"/>
      <w:r w:rsidRPr="001B62FB">
        <w:t xml:space="preserve"> </w:t>
      </w:r>
    </w:p>
    <w:p w14:paraId="4992ECF9" w14:textId="77777777" w:rsidR="007B6463" w:rsidRPr="001B62FB" w:rsidRDefault="007B6463" w:rsidP="001B62FB">
      <w:pPr>
        <w:pStyle w:val="Bullet"/>
      </w:pPr>
      <w:r w:rsidRPr="001B62FB">
        <w:t xml:space="preserve">level 7 – pain present, prompt medical advice sought. </w:t>
      </w:r>
    </w:p>
    <w:p w14:paraId="2499EFD0" w14:textId="5CD5BC3F" w:rsidR="007B6463" w:rsidRDefault="007B6463" w:rsidP="00357E97">
      <w:r w:rsidRPr="006B54C5">
        <w:t xml:space="preserve">The </w:t>
      </w:r>
      <w:r>
        <w:t xml:space="preserve">study found </w:t>
      </w:r>
      <w:r w:rsidRPr="006B54C5">
        <w:t xml:space="preserve">no statistically significant difference in the odds of developing chronic pain at </w:t>
      </w:r>
      <w:proofErr w:type="gramStart"/>
      <w:r>
        <w:t xml:space="preserve">one </w:t>
      </w:r>
      <w:r w:rsidRPr="006B54C5">
        <w:t>year</w:t>
      </w:r>
      <w:proofErr w:type="gramEnd"/>
      <w:r w:rsidRPr="006B54C5">
        <w:t xml:space="preserve"> post-operation with HWM-PP (OR 1.00) compared with LWM-PP</w:t>
      </w:r>
      <w:r w:rsidRPr="006B54C5">
        <w:rPr>
          <w:rStyle w:val="FootnoteReference"/>
          <w:rFonts w:cs="Segoe UI"/>
          <w:sz w:val="22"/>
        </w:rPr>
        <w:footnoteReference w:id="29"/>
      </w:r>
      <w:r w:rsidRPr="006B54C5">
        <w:t xml:space="preserve"> or LWM-PP/PGC.</w:t>
      </w:r>
      <w:r w:rsidRPr="006B54C5">
        <w:rPr>
          <w:rStyle w:val="FootnoteReference"/>
          <w:rFonts w:cs="Segoe UI"/>
          <w:sz w:val="22"/>
        </w:rPr>
        <w:footnoteReference w:id="30"/>
      </w:r>
      <w:r w:rsidRPr="006B54C5">
        <w:t xml:space="preserve"> Therefore, </w:t>
      </w:r>
      <w:r>
        <w:t>the study</w:t>
      </w:r>
      <w:r w:rsidRPr="006B54C5">
        <w:t xml:space="preserve"> concluded that the type of mesh used did not significantly change the rates of chronic pain at </w:t>
      </w:r>
      <w:r>
        <w:t xml:space="preserve">one </w:t>
      </w:r>
      <w:r w:rsidRPr="006B54C5">
        <w:t xml:space="preserve">year post-operation. The study also reported that 15.9% of patients reported persistent pain at </w:t>
      </w:r>
      <w:proofErr w:type="gramStart"/>
      <w:r>
        <w:t xml:space="preserve">one </w:t>
      </w:r>
      <w:r w:rsidRPr="006B54C5">
        <w:t>year</w:t>
      </w:r>
      <w:proofErr w:type="gramEnd"/>
      <w:r w:rsidRPr="006B54C5">
        <w:t xml:space="preserve"> post-operation and 6.9% reported severe chronic pain at </w:t>
      </w:r>
      <w:r>
        <w:t>that time</w:t>
      </w:r>
      <w:r w:rsidRPr="006B54C5">
        <w:t xml:space="preserve">. </w:t>
      </w:r>
    </w:p>
    <w:p w14:paraId="0EA3B347" w14:textId="77777777" w:rsidR="00357E97" w:rsidRDefault="00357E97" w:rsidP="00357E97"/>
    <w:p w14:paraId="759D425D" w14:textId="39215DF8" w:rsidR="007B6463" w:rsidRDefault="007B6463" w:rsidP="00357E97">
      <w:r w:rsidRPr="006B54C5">
        <w:t xml:space="preserve">Lawrence et al (1997) </w:t>
      </w:r>
      <w:r>
        <w:t xml:space="preserve">was </w:t>
      </w:r>
      <w:r w:rsidRPr="006B54C5">
        <w:t xml:space="preserve">a </w:t>
      </w:r>
      <w:r>
        <w:t xml:space="preserve">RCT </w:t>
      </w:r>
      <w:r w:rsidRPr="006B54C5">
        <w:t>of 140 patients who underwent inguinal hernia repair with an open (</w:t>
      </w:r>
      <w:r w:rsidRPr="006B54C5">
        <w:rPr>
          <w:i/>
        </w:rPr>
        <w:t xml:space="preserve">n = </w:t>
      </w:r>
      <w:r w:rsidRPr="006B54C5">
        <w:t>73) or laparoscopic technique (</w:t>
      </w:r>
      <w:r w:rsidRPr="006B54C5">
        <w:rPr>
          <w:i/>
        </w:rPr>
        <w:t xml:space="preserve">n = </w:t>
      </w:r>
      <w:r w:rsidRPr="006B54C5">
        <w:t>67)</w:t>
      </w:r>
      <w:r>
        <w:t>.</w:t>
      </w:r>
      <w:r w:rsidRPr="006B54C5">
        <w:t xml:space="preserve"> </w:t>
      </w:r>
      <w:r>
        <w:t xml:space="preserve">The study </w:t>
      </w:r>
      <w:r w:rsidRPr="006B54C5">
        <w:t>investiga</w:t>
      </w:r>
      <w:r>
        <w:t>ted</w:t>
      </w:r>
      <w:r w:rsidRPr="006B54C5">
        <w:t xml:space="preserve"> patient</w:t>
      </w:r>
      <w:r>
        <w:t>-</w:t>
      </w:r>
      <w:r w:rsidRPr="006B54C5">
        <w:t xml:space="preserve">reported outcomes recorded using the Short Form 36 (SF36) questionnaire. The questionnaire was completed pre-operatively and at </w:t>
      </w:r>
      <w:proofErr w:type="gramStart"/>
      <w:r>
        <w:t xml:space="preserve">three and six </w:t>
      </w:r>
      <w:r w:rsidRPr="006B54C5">
        <w:t>months</w:t>
      </w:r>
      <w:proofErr w:type="gramEnd"/>
      <w:r w:rsidRPr="006B54C5">
        <w:t xml:space="preserve"> post-operation. The SF36 is a 36-item questionnaire </w:t>
      </w:r>
      <w:r>
        <w:t xml:space="preserve">that </w:t>
      </w:r>
      <w:r w:rsidRPr="006B54C5">
        <w:t>measures eight dimensions of patient health and wellbeing on multi-item scales</w:t>
      </w:r>
      <w:r>
        <w:t>:</w:t>
      </w:r>
      <w:r w:rsidRPr="006B54C5">
        <w:t xml:space="preserve"> physical functioning, social functioning, role limitations </w:t>
      </w:r>
      <w:r>
        <w:t xml:space="preserve">because of </w:t>
      </w:r>
      <w:r w:rsidRPr="006B54C5">
        <w:t xml:space="preserve">physical problems, role limitations because of emotional problems, mental health, energy/vitality, </w:t>
      </w:r>
      <w:proofErr w:type="gramStart"/>
      <w:r w:rsidRPr="006B54C5">
        <w:t>pain</w:t>
      </w:r>
      <w:proofErr w:type="gramEnd"/>
      <w:r w:rsidRPr="006B54C5">
        <w:t xml:space="preserve"> and general health perception</w:t>
      </w:r>
      <w:r>
        <w:t>. A</w:t>
      </w:r>
      <w:r w:rsidRPr="006B54C5">
        <w:t xml:space="preserve"> further dimension </w:t>
      </w:r>
      <w:r>
        <w:t xml:space="preserve">is </w:t>
      </w:r>
      <w:r w:rsidRPr="006B54C5">
        <w:t>on a single</w:t>
      </w:r>
      <w:r>
        <w:t>-</w:t>
      </w:r>
      <w:r w:rsidRPr="006B54C5">
        <w:t>item scale</w:t>
      </w:r>
      <w:r>
        <w:t xml:space="preserve"> and </w:t>
      </w:r>
      <w:r w:rsidRPr="006B54C5">
        <w:t xml:space="preserve">measures change in health over the last year. </w:t>
      </w:r>
      <w:r>
        <w:t xml:space="preserve">The study found </w:t>
      </w:r>
      <w:r w:rsidRPr="006B54C5">
        <w:t xml:space="preserve">no statistically significant difference in the reported mean SF36 scores after laparoscopic versus open hernia repair. However, </w:t>
      </w:r>
      <w:r>
        <w:t xml:space="preserve">it did find </w:t>
      </w:r>
      <w:r w:rsidRPr="006B54C5">
        <w:t>a statistically significant increase in reported mean SF36 scores for health perception</w:t>
      </w:r>
      <w:r>
        <w:t>,</w:t>
      </w:r>
      <w:r w:rsidRPr="006B54C5">
        <w:rPr>
          <w:rStyle w:val="FootnoteReference"/>
          <w:rFonts w:cs="Segoe UI"/>
          <w:sz w:val="22"/>
        </w:rPr>
        <w:footnoteReference w:id="31"/>
      </w:r>
      <w:r w:rsidRPr="006B54C5">
        <w:t xml:space="preserve"> physical mobility</w:t>
      </w:r>
      <w:r>
        <w:t>,</w:t>
      </w:r>
      <w:r w:rsidRPr="006B54C5">
        <w:rPr>
          <w:rStyle w:val="FootnoteReference"/>
          <w:rFonts w:cs="Segoe UI"/>
          <w:sz w:val="22"/>
        </w:rPr>
        <w:footnoteReference w:id="32"/>
      </w:r>
      <w:r w:rsidRPr="006B54C5">
        <w:t xml:space="preserve"> social functions</w:t>
      </w:r>
      <w:r>
        <w:t>,</w:t>
      </w:r>
      <w:r w:rsidRPr="006B54C5">
        <w:rPr>
          <w:rStyle w:val="FootnoteReference"/>
          <w:rFonts w:cs="Segoe UI"/>
          <w:sz w:val="22"/>
        </w:rPr>
        <w:footnoteReference w:id="33"/>
      </w:r>
      <w:r w:rsidRPr="006B54C5">
        <w:t xml:space="preserve"> physical role limitations</w:t>
      </w:r>
      <w:r>
        <w:t>,</w:t>
      </w:r>
      <w:r w:rsidRPr="006B54C5">
        <w:rPr>
          <w:rStyle w:val="FootnoteReference"/>
          <w:rFonts w:cs="Segoe UI"/>
          <w:sz w:val="22"/>
        </w:rPr>
        <w:footnoteReference w:id="34"/>
      </w:r>
      <w:r w:rsidRPr="006B54C5">
        <w:t xml:space="preserve"> mental role limitations</w:t>
      </w:r>
      <w:r>
        <w:t>,</w:t>
      </w:r>
      <w:r w:rsidRPr="006B54C5">
        <w:rPr>
          <w:rStyle w:val="FootnoteReference"/>
          <w:rFonts w:cs="Segoe UI"/>
          <w:sz w:val="22"/>
        </w:rPr>
        <w:footnoteReference w:id="35"/>
      </w:r>
      <w:r w:rsidRPr="006B54C5">
        <w:t xml:space="preserve"> pain</w:t>
      </w:r>
      <w:r>
        <w:t>,</w:t>
      </w:r>
      <w:r w:rsidRPr="006B54C5">
        <w:rPr>
          <w:rStyle w:val="FootnoteReference"/>
          <w:rFonts w:cs="Segoe UI"/>
          <w:sz w:val="22"/>
        </w:rPr>
        <w:footnoteReference w:id="36"/>
      </w:r>
      <w:r w:rsidRPr="006B54C5">
        <w:t xml:space="preserve"> mental health</w:t>
      </w:r>
      <w:r w:rsidRPr="006B54C5">
        <w:rPr>
          <w:rStyle w:val="FootnoteReference"/>
          <w:rFonts w:cs="Segoe UI"/>
          <w:sz w:val="22"/>
        </w:rPr>
        <w:footnoteReference w:id="37"/>
      </w:r>
      <w:r w:rsidRPr="006B54C5">
        <w:t xml:space="preserve"> and vitality/energy level</w:t>
      </w:r>
      <w:r w:rsidRPr="006B54C5">
        <w:rPr>
          <w:rStyle w:val="FootnoteReference"/>
          <w:rFonts w:cs="Segoe UI"/>
          <w:sz w:val="22"/>
        </w:rPr>
        <w:footnoteReference w:id="38"/>
      </w:r>
      <w:r w:rsidRPr="006B54C5">
        <w:t xml:space="preserve"> </w:t>
      </w:r>
      <w:r>
        <w:t xml:space="preserve">between </w:t>
      </w:r>
      <w:r w:rsidRPr="006B54C5">
        <w:t xml:space="preserve">the pre-operative baseline </w:t>
      </w:r>
      <w:r>
        <w:t xml:space="preserve">and six </w:t>
      </w:r>
      <w:r w:rsidRPr="006B54C5">
        <w:t>months post-operation. These results suggest that</w:t>
      </w:r>
      <w:r>
        <w:t>,</w:t>
      </w:r>
      <w:r w:rsidRPr="006B54C5">
        <w:t xml:space="preserve"> regardless of technique, surgical repair for inguinal hernia resulted in a significant improvement in patient</w:t>
      </w:r>
      <w:r>
        <w:t>-</w:t>
      </w:r>
      <w:r w:rsidRPr="006B54C5">
        <w:t xml:space="preserve">reported health and wellbeing. </w:t>
      </w:r>
    </w:p>
    <w:p w14:paraId="394D40DF" w14:textId="77777777" w:rsidR="00357E97" w:rsidRDefault="00357E97" w:rsidP="00357E97">
      <w:pPr>
        <w:sectPr w:rsidR="00357E97" w:rsidSect="007B6463">
          <w:pgSz w:w="11907" w:h="16840" w:code="9"/>
          <w:pgMar w:top="1418" w:right="1701" w:bottom="1134" w:left="1843" w:header="284" w:footer="425" w:gutter="284"/>
          <w:cols w:space="720"/>
        </w:sectPr>
      </w:pPr>
    </w:p>
    <w:p w14:paraId="63BE7DA8" w14:textId="77777777" w:rsidR="00357E97" w:rsidRPr="00627EC8" w:rsidRDefault="00357E97" w:rsidP="00357E97">
      <w:pPr>
        <w:pStyle w:val="Heading1"/>
        <w:spacing w:before="0"/>
      </w:pPr>
      <w:bookmarkStart w:id="33" w:name="_Toc181371222"/>
      <w:bookmarkStart w:id="34" w:name="_Toc181713006"/>
      <w:r w:rsidRPr="00627EC8">
        <w:t>Discussion</w:t>
      </w:r>
      <w:bookmarkEnd w:id="33"/>
      <w:bookmarkEnd w:id="34"/>
    </w:p>
    <w:p w14:paraId="1DE77D49" w14:textId="77777777" w:rsidR="00357E97" w:rsidRPr="0093245D" w:rsidRDefault="00357E97" w:rsidP="00357E97">
      <w:pPr>
        <w:pStyle w:val="Heading2"/>
      </w:pPr>
      <w:bookmarkStart w:id="35" w:name="_Toc181371223"/>
      <w:bookmarkStart w:id="36" w:name="_Toc181713007"/>
      <w:r w:rsidRPr="0093245D">
        <w:t xml:space="preserve">Mesh versus </w:t>
      </w:r>
      <w:r>
        <w:t>n</w:t>
      </w:r>
      <w:r w:rsidRPr="0093245D">
        <w:t>on-</w:t>
      </w:r>
      <w:r>
        <w:t>m</w:t>
      </w:r>
      <w:r w:rsidRPr="0093245D">
        <w:t xml:space="preserve">esh </w:t>
      </w:r>
      <w:r>
        <w:t>r</w:t>
      </w:r>
      <w:r w:rsidRPr="0093245D">
        <w:t xml:space="preserve">epair of </w:t>
      </w:r>
      <w:r>
        <w:t>g</w:t>
      </w:r>
      <w:r w:rsidRPr="0093245D">
        <w:t xml:space="preserve">roin </w:t>
      </w:r>
      <w:proofErr w:type="gramStart"/>
      <w:r>
        <w:t>h</w:t>
      </w:r>
      <w:r w:rsidRPr="0093245D">
        <w:t>ernias</w:t>
      </w:r>
      <w:bookmarkEnd w:id="35"/>
      <w:bookmarkEnd w:id="36"/>
      <w:proofErr w:type="gramEnd"/>
    </w:p>
    <w:p w14:paraId="54BE1889" w14:textId="7AEC3F7B" w:rsidR="00357E97" w:rsidRDefault="00357E97" w:rsidP="00357E97">
      <w:r w:rsidRPr="006B54C5">
        <w:t xml:space="preserve">To investigate clinical outcomes after mesh versus non-mesh repair of groin hernias, we analysed and discussed </w:t>
      </w:r>
      <w:r>
        <w:t xml:space="preserve">three </w:t>
      </w:r>
      <w:r w:rsidRPr="006B54C5">
        <w:t xml:space="preserve">systematic reviews: Lockhart et al (2018), Finch et al (2019) and </w:t>
      </w:r>
      <w:proofErr w:type="spellStart"/>
      <w:r w:rsidRPr="007D4092">
        <w:rPr>
          <w:color w:val="000000" w:themeColor="text1"/>
        </w:rPr>
        <w:t>Ö</w:t>
      </w:r>
      <w:r w:rsidRPr="006B54C5">
        <w:t>berg</w:t>
      </w:r>
      <w:proofErr w:type="spellEnd"/>
      <w:r w:rsidRPr="006B54C5">
        <w:t xml:space="preserve"> et al. (2018). These reviews </w:t>
      </w:r>
      <w:r>
        <w:t xml:space="preserve">involved </w:t>
      </w:r>
      <w:r w:rsidRPr="006B54C5">
        <w:t xml:space="preserve">a total of 14,781 participants </w:t>
      </w:r>
      <w:r>
        <w:t xml:space="preserve">across both </w:t>
      </w:r>
      <w:r w:rsidRPr="006B54C5">
        <w:t xml:space="preserve">high- and low-income countries. </w:t>
      </w:r>
    </w:p>
    <w:p w14:paraId="544C3ACF" w14:textId="77777777" w:rsidR="00357E97" w:rsidRDefault="00357E97" w:rsidP="00357E97"/>
    <w:p w14:paraId="1BC01065" w14:textId="0B78EB0C" w:rsidR="00357E97" w:rsidRDefault="00357E97" w:rsidP="00357E97">
      <w:r w:rsidRPr="006B54C5">
        <w:t>Lockhart et al a systematic review and meta-analysis of 25 RCTs (</w:t>
      </w:r>
      <w:r w:rsidRPr="006B54C5">
        <w:rPr>
          <w:i/>
        </w:rPr>
        <w:t xml:space="preserve">n = </w:t>
      </w:r>
      <w:r w:rsidRPr="006B54C5">
        <w:t>6</w:t>
      </w:r>
      <w:r>
        <w:t>,</w:t>
      </w:r>
      <w:r w:rsidRPr="006B54C5">
        <w:t>293), found a statistically significant decrease in hernia recurrence, neurovascular or visceral injury and urinary retention, with a high quality of evidence.</w:t>
      </w:r>
      <w:r>
        <w:t xml:space="preserve"> </w:t>
      </w:r>
      <w:r w:rsidRPr="006B54C5">
        <w:t>The review also found a statistically significant decrease in operating time, hospital stay length and time to return to usual activities with mesh repair when compared with non-mesh repair</w:t>
      </w:r>
      <w:r>
        <w:t xml:space="preserve">; </w:t>
      </w:r>
      <w:r w:rsidRPr="006B54C5">
        <w:t>however</w:t>
      </w:r>
      <w:r>
        <w:t>,</w:t>
      </w:r>
      <w:r w:rsidRPr="006B54C5">
        <w:t xml:space="preserve"> </w:t>
      </w:r>
      <w:r>
        <w:t xml:space="preserve">the </w:t>
      </w:r>
      <w:r w:rsidRPr="006B54C5">
        <w:t>quality of evidence</w:t>
      </w:r>
      <w:r>
        <w:t xml:space="preserve"> was </w:t>
      </w:r>
      <w:r w:rsidRPr="006B54C5">
        <w:t>very low</w:t>
      </w:r>
      <w:r>
        <w:t>–</w:t>
      </w:r>
      <w:r w:rsidRPr="006B54C5">
        <w:t>medium. Lockhart et al</w:t>
      </w:r>
      <w:r w:rsidRPr="006B54C5" w:rsidDel="00751D84">
        <w:t xml:space="preserve"> </w:t>
      </w:r>
      <w:r w:rsidRPr="006B54C5">
        <w:t xml:space="preserve">found a statistically significant decrease in seroma and wound swelling with non-mesh repair when compared with mesh repair. </w:t>
      </w:r>
      <w:r>
        <w:t xml:space="preserve">It </w:t>
      </w:r>
      <w:r w:rsidRPr="006B54C5">
        <w:t>found no statistically significant difference for all other post-operative complications. The evidence for rates of mortality, post-operative pain and chronic pain was uncertain. The quality of evidence for the lower rate of neurovascular or visceral injury with mesh repair was assessed to be high. The quality of evidence for all other outcomes was assessed to be very low</w:t>
      </w:r>
      <w:r>
        <w:t>–</w:t>
      </w:r>
      <w:r w:rsidRPr="006B54C5">
        <w:t>moderate</w:t>
      </w:r>
      <w:r>
        <w:t>,</w:t>
      </w:r>
      <w:r w:rsidRPr="006B54C5">
        <w:t xml:space="preserve"> due to a lack of blinding in many studies, wide confidence intervals, </w:t>
      </w:r>
      <w:proofErr w:type="gramStart"/>
      <w:r w:rsidRPr="006B54C5">
        <w:t>heterogeneity</w:t>
      </w:r>
      <w:proofErr w:type="gramEnd"/>
      <w:r w:rsidRPr="006B54C5">
        <w:t xml:space="preserve"> and inconsistencies within studies. However, the overall methodological quality of the RCTs investigated in Lockhart et al. (2018) was assessed to be strong. </w:t>
      </w:r>
    </w:p>
    <w:p w14:paraId="38DDE8A7" w14:textId="77777777" w:rsidR="00357E97" w:rsidRDefault="00357E97" w:rsidP="00357E97"/>
    <w:p w14:paraId="3241B741" w14:textId="34331879" w:rsidR="00357E97" w:rsidRDefault="00357E97" w:rsidP="00357E97">
      <w:r w:rsidRPr="006B54C5">
        <w:t xml:space="preserve">Finch et al (2019) </w:t>
      </w:r>
      <w:r>
        <w:t xml:space="preserve">was </w:t>
      </w:r>
      <w:r w:rsidRPr="006B54C5">
        <w:t>a systematic review and meta-analysis of ten studies (</w:t>
      </w:r>
      <w:r w:rsidRPr="006B54C5">
        <w:rPr>
          <w:i/>
        </w:rPr>
        <w:t xml:space="preserve">n = </w:t>
      </w:r>
      <w:r w:rsidRPr="006B54C5">
        <w:t>3</w:t>
      </w:r>
      <w:r>
        <w:t>,</w:t>
      </w:r>
      <w:r w:rsidRPr="006B54C5">
        <w:t>044), including six RCTs (</w:t>
      </w:r>
      <w:r w:rsidRPr="006B54C5">
        <w:rPr>
          <w:i/>
        </w:rPr>
        <w:t xml:space="preserve">n = </w:t>
      </w:r>
      <w:r w:rsidRPr="006B54C5">
        <w:t>1</w:t>
      </w:r>
      <w:r>
        <w:t>,</w:t>
      </w:r>
      <w:r w:rsidRPr="006B54C5">
        <w:t xml:space="preserve">480). The meta-analysis found no significant difference in rates of any of the assessed outcomes (hernia recurrence, hematoma, wound infection, urinary retention, neuralgia, testicular atrophy, length of hospital </w:t>
      </w:r>
      <w:proofErr w:type="gramStart"/>
      <w:r w:rsidRPr="006B54C5">
        <w:t>stay</w:t>
      </w:r>
      <w:proofErr w:type="gramEnd"/>
      <w:r w:rsidRPr="006B54C5">
        <w:t>, time to return to usual activities and operative time) after mesh repair versus non-mesh repair. The risk of chronic pain with mesh versus non-mesh repair was uncertain. The certainty of these results was assessed to be moderate</w:t>
      </w:r>
      <w:r>
        <w:t>–</w:t>
      </w:r>
      <w:r w:rsidRPr="006B54C5">
        <w:t>high</w:t>
      </w:r>
      <w:r>
        <w:t xml:space="preserve">; there was </w:t>
      </w:r>
      <w:r w:rsidRPr="006B54C5">
        <w:t xml:space="preserve">low heterogeneity between the analysed RCTs. </w:t>
      </w:r>
    </w:p>
    <w:p w14:paraId="273EB093" w14:textId="77777777" w:rsidR="00357E97" w:rsidRDefault="00357E97" w:rsidP="00357E97"/>
    <w:p w14:paraId="1E1FF3CF" w14:textId="2B08D058" w:rsidR="00357E97" w:rsidRDefault="00357E97" w:rsidP="00357E97">
      <w:r w:rsidRPr="006B54C5">
        <w:t>Although the studies in Finch et al did not show a significant statistical difference</w:t>
      </w:r>
      <w:r w:rsidRPr="006B54C5">
        <w:rPr>
          <w:b/>
          <w:bCs/>
        </w:rPr>
        <w:t xml:space="preserve"> </w:t>
      </w:r>
      <w:r w:rsidRPr="006B54C5">
        <w:t xml:space="preserve">in any outcomes after mesh repair versus non-mesh in open hernia repair, the </w:t>
      </w:r>
      <w:r>
        <w:t xml:space="preserve">three </w:t>
      </w:r>
      <w:r w:rsidRPr="006B54C5">
        <w:t xml:space="preserve">RCTs included </w:t>
      </w:r>
      <w:r>
        <w:t xml:space="preserve">by </w:t>
      </w:r>
      <w:r w:rsidRPr="006B54C5">
        <w:t xml:space="preserve">Finch et al that were not included </w:t>
      </w:r>
      <w:r>
        <w:t xml:space="preserve">by </w:t>
      </w:r>
      <w:r w:rsidRPr="006B54C5">
        <w:t>Lockhart et al were small</w:t>
      </w:r>
      <w:r>
        <w:t xml:space="preserve">, involving </w:t>
      </w:r>
      <w:r w:rsidRPr="006B54C5">
        <w:t>only 301 patients in total. Furthermore, Finch et al only investigated outcomes after open mesh and open darn repair of groin hernias</w:t>
      </w:r>
      <w:r>
        <w:t>;</w:t>
      </w:r>
      <w:r w:rsidRPr="006B54C5">
        <w:t xml:space="preserve"> no laparoscopic techniques were included in the analysis. Therefore, it is probable that a portion of the complications reported in the RCTs analysed in Finch et al were related to the type of incision made and not to whether mesh or non-mesh was used. This may be the reason behind the differing results between Finch et al and Lockhart et al. </w:t>
      </w:r>
    </w:p>
    <w:p w14:paraId="0C2D8AC0" w14:textId="77777777" w:rsidR="00357E97" w:rsidRDefault="00357E97" w:rsidP="00357E97"/>
    <w:p w14:paraId="4AD912B5" w14:textId="77777777" w:rsidR="00357E97" w:rsidRPr="006B54C5" w:rsidRDefault="00357E97" w:rsidP="00357E97">
      <w:proofErr w:type="spellStart"/>
      <w:r w:rsidRPr="007D4092">
        <w:rPr>
          <w:color w:val="000000" w:themeColor="text1"/>
        </w:rPr>
        <w:t>Ö</w:t>
      </w:r>
      <w:r w:rsidRPr="006B54C5">
        <w:t>berg</w:t>
      </w:r>
      <w:proofErr w:type="spellEnd"/>
      <w:r w:rsidRPr="006B54C5">
        <w:t xml:space="preserve"> et al (2018) </w:t>
      </w:r>
      <w:r>
        <w:t xml:space="preserve">was </w:t>
      </w:r>
      <w:r w:rsidRPr="006B54C5">
        <w:t>a systematic review and meta-analysis of 23 RCTs (</w:t>
      </w:r>
      <w:r w:rsidRPr="006B54C5">
        <w:rPr>
          <w:i/>
          <w:iCs/>
        </w:rPr>
        <w:t xml:space="preserve">n = </w:t>
      </w:r>
      <w:r w:rsidRPr="006B54C5">
        <w:t xml:space="preserve">5,444) investigating rates of chronic pain after mesh versus non-mesh repair of groin hernias. </w:t>
      </w:r>
      <w:r>
        <w:t xml:space="preserve">The study </w:t>
      </w:r>
      <w:r w:rsidRPr="006B54C5">
        <w:t>found no significant difference in the</w:t>
      </w:r>
      <w:r>
        <w:t>se</w:t>
      </w:r>
      <w:r w:rsidRPr="006B54C5">
        <w:t xml:space="preserve"> rates. A significant weakness in the evidence presented by </w:t>
      </w:r>
      <w:proofErr w:type="spellStart"/>
      <w:r w:rsidRPr="007D4092">
        <w:rPr>
          <w:color w:val="000000" w:themeColor="text1"/>
        </w:rPr>
        <w:t>Ö</w:t>
      </w:r>
      <w:r w:rsidRPr="006B54C5">
        <w:t>berg</w:t>
      </w:r>
      <w:proofErr w:type="spellEnd"/>
      <w:r w:rsidRPr="006B54C5">
        <w:t xml:space="preserve"> et al was the different definitions and standards for measuring pain used in the RCTs analysed. This reduced the certainty of the evidence. However, </w:t>
      </w:r>
      <w:proofErr w:type="spellStart"/>
      <w:r w:rsidRPr="007D4092">
        <w:rPr>
          <w:color w:val="000000" w:themeColor="text1"/>
        </w:rPr>
        <w:t>Ö</w:t>
      </w:r>
      <w:r w:rsidRPr="006B54C5">
        <w:t>berg</w:t>
      </w:r>
      <w:proofErr w:type="spellEnd"/>
      <w:r w:rsidRPr="006B54C5">
        <w:t xml:space="preserve"> et al assessed a low level of attrition, reporting bias and selection</w:t>
      </w:r>
      <w:r>
        <w:t xml:space="preserve"> bias</w:t>
      </w:r>
      <w:r w:rsidRPr="006B54C5">
        <w:t xml:space="preserve"> in the RCTs that were analysed. </w:t>
      </w:r>
    </w:p>
    <w:p w14:paraId="04AF80AD" w14:textId="77777777" w:rsidR="00357E97" w:rsidRPr="0093245D" w:rsidRDefault="00357E97" w:rsidP="00357E97">
      <w:pPr>
        <w:pStyle w:val="Heading2"/>
      </w:pPr>
      <w:bookmarkStart w:id="37" w:name="_Toc181371224"/>
      <w:bookmarkStart w:id="38" w:name="_Toc181713008"/>
      <w:r w:rsidRPr="0093245D">
        <w:t xml:space="preserve">Confounders – </w:t>
      </w:r>
      <w:r>
        <w:t>m</w:t>
      </w:r>
      <w:r w:rsidRPr="0093245D">
        <w:t xml:space="preserve">ethod of </w:t>
      </w:r>
      <w:r>
        <w:t>e</w:t>
      </w:r>
      <w:r w:rsidRPr="0093245D">
        <w:t xml:space="preserve">ntry and </w:t>
      </w:r>
      <w:r>
        <w:t>e</w:t>
      </w:r>
      <w:r w:rsidRPr="0093245D">
        <w:t xml:space="preserve">mergency </w:t>
      </w:r>
      <w:r>
        <w:t>r</w:t>
      </w:r>
      <w:r w:rsidRPr="0093245D">
        <w:t>epairs</w:t>
      </w:r>
      <w:bookmarkEnd w:id="37"/>
      <w:bookmarkEnd w:id="38"/>
    </w:p>
    <w:p w14:paraId="5BE814EF" w14:textId="48ABA600" w:rsidR="00357E97" w:rsidRDefault="00357E97" w:rsidP="00357E97">
      <w:r w:rsidRPr="006B54C5">
        <w:t xml:space="preserve">We analysed </w:t>
      </w:r>
      <w:r>
        <w:t xml:space="preserve">two </w:t>
      </w:r>
      <w:r w:rsidRPr="006B54C5">
        <w:t>systematic reviews that investigated emergency groin hernia repair with and without mesh (</w:t>
      </w:r>
      <w:proofErr w:type="spellStart"/>
      <w:r w:rsidRPr="006B54C5">
        <w:t>S</w:t>
      </w:r>
      <w:r w:rsidRPr="00CD38E4">
        <w:rPr>
          <w:rStyle w:val="Emphasis"/>
          <w:rFonts w:cs="Segoe UI"/>
          <w:i w:val="0"/>
          <w:iCs w:val="0"/>
          <w:sz w:val="22"/>
          <w:shd w:val="clear" w:color="auto" w:fill="FFFFFF"/>
        </w:rPr>
        <w:t>æ</w:t>
      </w:r>
      <w:r w:rsidRPr="006B54C5">
        <w:t>t</w:t>
      </w:r>
      <w:r>
        <w:t>e</w:t>
      </w:r>
      <w:r w:rsidRPr="006B54C5">
        <w:t>r</w:t>
      </w:r>
      <w:proofErr w:type="spellEnd"/>
      <w:r w:rsidRPr="006B54C5">
        <w:t xml:space="preserve"> et al 2022) and outcomes after laparoscopic versus open groin hernia repair (Bittner et al 2005) </w:t>
      </w:r>
      <w:r>
        <w:t xml:space="preserve">respectively </w:t>
      </w:r>
      <w:r w:rsidRPr="006B54C5">
        <w:t>to establish the impact of recogni</w:t>
      </w:r>
      <w:r>
        <w:t>s</w:t>
      </w:r>
      <w:r w:rsidRPr="006B54C5">
        <w:t xml:space="preserve">ed confounders on clinical outcomes after hernia repair. </w:t>
      </w:r>
    </w:p>
    <w:p w14:paraId="7C0C29A2" w14:textId="77777777" w:rsidR="00357E97" w:rsidRDefault="00357E97" w:rsidP="00357E97"/>
    <w:p w14:paraId="7177F57B" w14:textId="79A631AC" w:rsidR="00357E97" w:rsidRDefault="00357E97" w:rsidP="00357E97">
      <w:proofErr w:type="spellStart"/>
      <w:r w:rsidRPr="006B54C5">
        <w:t>S</w:t>
      </w:r>
      <w:r w:rsidRPr="00CD38E4">
        <w:rPr>
          <w:rStyle w:val="Emphasis"/>
          <w:rFonts w:cs="Segoe UI"/>
          <w:i w:val="0"/>
          <w:iCs w:val="0"/>
          <w:sz w:val="22"/>
          <w:shd w:val="clear" w:color="auto" w:fill="FFFFFF"/>
        </w:rPr>
        <w:t>æ</w:t>
      </w:r>
      <w:r w:rsidRPr="006B54C5">
        <w:t>t</w:t>
      </w:r>
      <w:r>
        <w:t>e</w:t>
      </w:r>
      <w:r w:rsidRPr="006B54C5">
        <w:t>r</w:t>
      </w:r>
      <w:proofErr w:type="spellEnd"/>
      <w:r w:rsidRPr="006B54C5">
        <w:t xml:space="preserve"> et al (2022), a systematic review and meta-analysis of 15 RCTs (</w:t>
      </w:r>
      <w:r w:rsidRPr="006B54C5">
        <w:rPr>
          <w:i/>
          <w:iCs/>
        </w:rPr>
        <w:t xml:space="preserve">n = </w:t>
      </w:r>
      <w:r w:rsidRPr="006B54C5">
        <w:t>1</w:t>
      </w:r>
      <w:r>
        <w:t>,</w:t>
      </w:r>
      <w:r w:rsidRPr="006B54C5">
        <w:t xml:space="preserve">241), found no statistically significant difference in the rates of wound infection, hernia recurrence or mortality after emergency mesh repair versus emergency non-mesh repair. However, this evidence was assessed to be </w:t>
      </w:r>
      <w:r>
        <w:t xml:space="preserve">of </w:t>
      </w:r>
      <w:r w:rsidRPr="006B54C5">
        <w:t>low</w:t>
      </w:r>
      <w:r>
        <w:t xml:space="preserve"> </w:t>
      </w:r>
      <w:r w:rsidRPr="006B54C5">
        <w:t>quality</w:t>
      </w:r>
      <w:r>
        <w:t>,</w:t>
      </w:r>
      <w:r w:rsidRPr="006B54C5">
        <w:t xml:space="preserve"> and therefore the study concluded that the rates of post-operative complications of emergency mesh repair versus emergency non-mesh repair were unclear. </w:t>
      </w:r>
    </w:p>
    <w:p w14:paraId="77CC7D35" w14:textId="77777777" w:rsidR="00357E97" w:rsidRDefault="00357E97" w:rsidP="00357E97"/>
    <w:p w14:paraId="0E10167B" w14:textId="78B81286" w:rsidR="00357E97" w:rsidRPr="006B54C5" w:rsidRDefault="00357E97" w:rsidP="00357E97">
      <w:r>
        <w:t xml:space="preserve">Bittner et </w:t>
      </w:r>
      <w:proofErr w:type="spellStart"/>
      <w:r>
        <w:t>al’s</w:t>
      </w:r>
      <w:proofErr w:type="spellEnd"/>
      <w:r>
        <w:t xml:space="preserve"> </w:t>
      </w:r>
      <w:r w:rsidRPr="006B54C5">
        <w:t>investigation into the impact of operative approach (laparoscopic or open) on post-operative clinical outcomes showed that the rates of chronic pain and time to return to work were significantly reduced after laparoscopic repair of groin hernias when compared with open repair of groin hernias, regardless of the method of open repair used. This is likely a result of the lower invasiveness of laparoscopic procedures. Operating time was shorter with laparoscopic repair when compared with open repair</w:t>
      </w:r>
      <w:r>
        <w:t>;</w:t>
      </w:r>
      <w:r w:rsidRPr="006B54C5">
        <w:t xml:space="preserve"> however, Bittner et al attributed this to skill differences between surgical teams. Current literature does not report a significant difference in rates of hernia recurrence between laparoscopic and open repair of hernias. The evidence of rates of mortality is unclear due to the very low incidence of mortality across RCTs investigating groin hernia repairs. </w:t>
      </w:r>
    </w:p>
    <w:p w14:paraId="1A3B173F" w14:textId="77777777" w:rsidR="00357E97" w:rsidRPr="0093245D" w:rsidRDefault="00357E97" w:rsidP="00357E97">
      <w:pPr>
        <w:pStyle w:val="Heading2"/>
      </w:pPr>
      <w:bookmarkStart w:id="39" w:name="_Toc181371225"/>
      <w:bookmarkStart w:id="40" w:name="_Toc181713009"/>
      <w:r w:rsidRPr="0093245D">
        <w:t>Patient</w:t>
      </w:r>
      <w:r>
        <w:t>-r</w:t>
      </w:r>
      <w:r w:rsidRPr="0093245D">
        <w:t xml:space="preserve">eported </w:t>
      </w:r>
      <w:r>
        <w:t>o</w:t>
      </w:r>
      <w:r w:rsidRPr="0093245D">
        <w:t>utcomes</w:t>
      </w:r>
      <w:bookmarkEnd w:id="39"/>
      <w:bookmarkEnd w:id="40"/>
    </w:p>
    <w:p w14:paraId="67F785F4" w14:textId="71EE4565" w:rsidR="00357E97" w:rsidRDefault="00357E97" w:rsidP="00357E97">
      <w:r>
        <w:t xml:space="preserve">Our </w:t>
      </w:r>
      <w:r w:rsidRPr="006B54C5">
        <w:t>investigation of patient</w:t>
      </w:r>
      <w:r>
        <w:t>-</w:t>
      </w:r>
      <w:r w:rsidRPr="006B54C5">
        <w:t>reported outcomes found significant improvement across a wide variety of patient</w:t>
      </w:r>
      <w:r>
        <w:t>-</w:t>
      </w:r>
      <w:r w:rsidRPr="006B54C5">
        <w:t>reported quality</w:t>
      </w:r>
      <w:r>
        <w:t>-</w:t>
      </w:r>
      <w:r w:rsidRPr="006B54C5">
        <w:t>of</w:t>
      </w:r>
      <w:r>
        <w:t>-</w:t>
      </w:r>
      <w:r w:rsidRPr="006B54C5">
        <w:t>life outcomes</w:t>
      </w:r>
      <w:r>
        <w:t xml:space="preserve"> </w:t>
      </w:r>
      <w:r w:rsidRPr="006B54C5">
        <w:t xml:space="preserve">after repair of groin hernias with mesh when compared to a pre-operative baseline. </w:t>
      </w:r>
      <w:r>
        <w:t>These outcomes</w:t>
      </w:r>
      <w:r w:rsidRPr="006B54C5">
        <w:t xml:space="preserve"> includ</w:t>
      </w:r>
      <w:r>
        <w:t xml:space="preserve">e </w:t>
      </w:r>
      <w:r w:rsidRPr="006B54C5">
        <w:t xml:space="preserve">self-reported pain level, impact of pain on wellbeing, mental and physical health perception, </w:t>
      </w:r>
      <w:proofErr w:type="gramStart"/>
      <w:r w:rsidRPr="006B54C5">
        <w:t>fatigue</w:t>
      </w:r>
      <w:proofErr w:type="gramEnd"/>
      <w:r w:rsidRPr="006B54C5">
        <w:t xml:space="preserve"> and impediment caused to work and social interactions</w:t>
      </w:r>
      <w:r>
        <w:t>.</w:t>
      </w:r>
      <w:r w:rsidRPr="006B54C5">
        <w:t xml:space="preserve"> Forrester et al (2022) concluded that</w:t>
      </w:r>
      <w:r>
        <w:t>,</w:t>
      </w:r>
      <w:r w:rsidRPr="006B54C5">
        <w:t xml:space="preserve"> for patients with inguinal hernias, mesh repair would produce a significant improvement in their quality of life. The results of Lawrence et al (1997) concur. </w:t>
      </w:r>
    </w:p>
    <w:p w14:paraId="5CE92EDF" w14:textId="77777777" w:rsidR="00357E97" w:rsidRDefault="00357E97" w:rsidP="00357E97"/>
    <w:p w14:paraId="6FC69C45" w14:textId="6A26EA10" w:rsidR="00357E97" w:rsidRPr="006B54C5" w:rsidRDefault="00357E97" w:rsidP="00357E97">
      <w:proofErr w:type="spellStart"/>
      <w:r w:rsidRPr="006B54C5">
        <w:t>Matikainen</w:t>
      </w:r>
      <w:proofErr w:type="spellEnd"/>
      <w:r w:rsidRPr="006B54C5">
        <w:t xml:space="preserve"> et al (2021) and </w:t>
      </w:r>
      <w:proofErr w:type="spellStart"/>
      <w:r w:rsidRPr="006B54C5">
        <w:t>Melkemichel</w:t>
      </w:r>
      <w:proofErr w:type="spellEnd"/>
      <w:r w:rsidRPr="006B54C5">
        <w:t xml:space="preserve"> et al (2020) reported that the type of mesh and the method of mesh fixation used ha</w:t>
      </w:r>
      <w:r>
        <w:t>d</w:t>
      </w:r>
      <w:r w:rsidRPr="006B54C5">
        <w:t xml:space="preserve"> no significant impact on any of the assessed clinical outcomes. </w:t>
      </w:r>
      <w:r>
        <w:t>T</w:t>
      </w:r>
      <w:r w:rsidRPr="006B54C5">
        <w:t xml:space="preserve">hese </w:t>
      </w:r>
      <w:r>
        <w:t xml:space="preserve">studies </w:t>
      </w:r>
      <w:r w:rsidRPr="006B54C5">
        <w:t>note</w:t>
      </w:r>
      <w:r>
        <w:t>d</w:t>
      </w:r>
      <w:r w:rsidRPr="006B54C5">
        <w:t xml:space="preserve">, however, that some proportion of patients </w:t>
      </w:r>
      <w:r>
        <w:t xml:space="preserve">(between 3 and 18%) did </w:t>
      </w:r>
      <w:r w:rsidRPr="006B54C5">
        <w:t xml:space="preserve">report significant ongoing pain or impact on </w:t>
      </w:r>
      <w:r>
        <w:t xml:space="preserve">their </w:t>
      </w:r>
      <w:r w:rsidRPr="006B54C5">
        <w:t>daily living after a mesh repair.</w:t>
      </w:r>
    </w:p>
    <w:p w14:paraId="3165F243" w14:textId="77777777" w:rsidR="00357E97" w:rsidRPr="00357E97" w:rsidRDefault="00357E97" w:rsidP="00357E97">
      <w:pPr>
        <w:pStyle w:val="Heading2"/>
      </w:pPr>
      <w:bookmarkStart w:id="41" w:name="_Toc181371226"/>
      <w:bookmarkStart w:id="42" w:name="_Toc181713010"/>
      <w:r w:rsidRPr="00357E97">
        <w:t xml:space="preserve">Treatment of groin hernias – </w:t>
      </w:r>
      <w:proofErr w:type="spellStart"/>
      <w:r w:rsidRPr="00357E97">
        <w:t>HerniaSurge</w:t>
      </w:r>
      <w:proofErr w:type="spellEnd"/>
      <w:r w:rsidRPr="00357E97">
        <w:t xml:space="preserve"> 2023 guidelines</w:t>
      </w:r>
      <w:bookmarkEnd w:id="41"/>
      <w:bookmarkEnd w:id="42"/>
      <w:r w:rsidRPr="00357E97">
        <w:t xml:space="preserve"> </w:t>
      </w:r>
    </w:p>
    <w:p w14:paraId="2F0BBD19" w14:textId="77777777" w:rsidR="00357E97" w:rsidRPr="00357E97" w:rsidRDefault="00357E97" w:rsidP="00357E97">
      <w:pPr>
        <w:rPr>
          <w:rStyle w:val="eop"/>
          <w:rFonts w:cs="Segoe UI"/>
          <w:szCs w:val="21"/>
        </w:rPr>
      </w:pPr>
      <w:r w:rsidRPr="00357E97">
        <w:rPr>
          <w:rStyle w:val="normaltextrun"/>
          <w:rFonts w:cs="Segoe UI"/>
          <w:szCs w:val="21"/>
        </w:rPr>
        <w:t>The European Hernia Society publishes a widely referenced guideline on hernia management, initially published in 2018 (</w:t>
      </w:r>
      <w:proofErr w:type="spellStart"/>
      <w:r w:rsidRPr="00357E97">
        <w:rPr>
          <w:color w:val="000000" w:themeColor="text1"/>
          <w:szCs w:val="21"/>
        </w:rPr>
        <w:t>HerniaSurge</w:t>
      </w:r>
      <w:proofErr w:type="spellEnd"/>
      <w:r w:rsidRPr="00357E97">
        <w:rPr>
          <w:color w:val="000000" w:themeColor="text1"/>
          <w:szCs w:val="21"/>
        </w:rPr>
        <w:t xml:space="preserve"> Group 2018) </w:t>
      </w:r>
      <w:r w:rsidRPr="00357E97">
        <w:rPr>
          <w:rStyle w:val="normaltextrun"/>
          <w:rFonts w:cs="Segoe UI"/>
          <w:szCs w:val="21"/>
        </w:rPr>
        <w:t>and updated in October 2023 (</w:t>
      </w:r>
      <w:proofErr w:type="spellStart"/>
      <w:r w:rsidRPr="00357E97">
        <w:rPr>
          <w:szCs w:val="21"/>
        </w:rPr>
        <w:t>Stabilini</w:t>
      </w:r>
      <w:proofErr w:type="spellEnd"/>
      <w:r w:rsidRPr="00357E97">
        <w:rPr>
          <w:szCs w:val="21"/>
        </w:rPr>
        <w:t xml:space="preserve"> et al 2023</w:t>
      </w:r>
      <w:r w:rsidRPr="00357E97">
        <w:rPr>
          <w:rStyle w:val="normaltextrun"/>
          <w:rFonts w:cs="Segoe UI"/>
          <w:szCs w:val="21"/>
        </w:rPr>
        <w:t>).</w:t>
      </w:r>
      <w:r w:rsidRPr="00357E97">
        <w:rPr>
          <w:rStyle w:val="eop"/>
          <w:rFonts w:cs="Segoe UI"/>
          <w:szCs w:val="21"/>
        </w:rPr>
        <w:t> </w:t>
      </w:r>
      <w:r w:rsidRPr="00357E97">
        <w:rPr>
          <w:rStyle w:val="normaltextrun"/>
          <w:rFonts w:cs="Segoe UI"/>
          <w:szCs w:val="21"/>
        </w:rPr>
        <w:t xml:space="preserve">With a strong level of evidence, the </w:t>
      </w:r>
      <w:proofErr w:type="spellStart"/>
      <w:r w:rsidRPr="00357E97">
        <w:rPr>
          <w:rStyle w:val="normaltextrun"/>
          <w:rFonts w:cs="Segoe UI"/>
          <w:szCs w:val="21"/>
        </w:rPr>
        <w:t>HerniaSurge</w:t>
      </w:r>
      <w:proofErr w:type="spellEnd"/>
      <w:r w:rsidRPr="00357E97">
        <w:rPr>
          <w:rStyle w:val="normaltextrun"/>
          <w:rFonts w:cs="Segoe UI"/>
          <w:szCs w:val="21"/>
        </w:rPr>
        <w:t xml:space="preserve"> guidelines recommend a ‘mesh-based repair technique for the majority of patients undergoing inguinal hernia repair’.</w:t>
      </w:r>
      <w:r w:rsidRPr="00357E97">
        <w:rPr>
          <w:rStyle w:val="eop"/>
          <w:rFonts w:cs="Segoe UI"/>
          <w:i/>
          <w:iCs/>
          <w:szCs w:val="21"/>
        </w:rPr>
        <w:t> </w:t>
      </w:r>
      <w:r w:rsidRPr="00357E97">
        <w:rPr>
          <w:rStyle w:val="normaltextrun"/>
          <w:rFonts w:cs="Segoe UI"/>
          <w:szCs w:val="21"/>
        </w:rPr>
        <w:t>The guidelines also recommend (noting a weak level of evidence) that ‘a non-mesh repair for inguinal hernia repair can be suggested after careful patient selection and shared decision-making if expertise is available’.</w:t>
      </w:r>
      <w:r w:rsidRPr="00357E97">
        <w:rPr>
          <w:rStyle w:val="eop"/>
          <w:rFonts w:cs="Segoe UI"/>
          <w:szCs w:val="21"/>
        </w:rPr>
        <w:t xml:space="preserve"> </w:t>
      </w:r>
      <w:r w:rsidRPr="00357E97">
        <w:rPr>
          <w:rStyle w:val="normaltextrun"/>
          <w:rFonts w:cs="Segoe UI"/>
          <w:szCs w:val="21"/>
        </w:rPr>
        <w:t>Of note, the guidelines recommend, with a strong level of evidence, that the Shouldice technique (a four-layered non-mesh technique using two separate sutures) should be used for non-mesh inguinal hernia repair. The guidelines also note that the Shouldice technique has a long learning curve, and this should be taken into consideration depending on local/country-specific training environments.</w:t>
      </w:r>
      <w:r w:rsidRPr="00357E97">
        <w:rPr>
          <w:rStyle w:val="eop"/>
          <w:rFonts w:cs="Segoe UI"/>
          <w:szCs w:val="21"/>
        </w:rPr>
        <w:t xml:space="preserve"> </w:t>
      </w:r>
      <w:r w:rsidRPr="00357E97">
        <w:rPr>
          <w:rStyle w:val="normaltextrun"/>
          <w:rFonts w:cs="Segoe UI"/>
          <w:szCs w:val="21"/>
        </w:rPr>
        <w:t>In terms of type of mesh, the recommendation (with a strong level of evidence) is for lightweight mesh in Lichtenstein repair to reduce the occurrence of chronic post-operative pain and foreign body sensation. However, in laparo-endoscopic repair, a heavyweight mesh is recommended (especially in large or direct hernias), to reduce the risk of recurrence. The guidelines note that, in this case, lightweight mesh increases the risk of recurrence without reducing post-operative pain.</w:t>
      </w:r>
      <w:r w:rsidRPr="00357E97">
        <w:rPr>
          <w:rStyle w:val="eop"/>
          <w:rFonts w:cs="Segoe UI"/>
          <w:szCs w:val="21"/>
        </w:rPr>
        <w:t> </w:t>
      </w:r>
      <w:r w:rsidRPr="00357E97">
        <w:rPr>
          <w:rStyle w:val="normaltextrun"/>
          <w:rFonts w:cs="Segoe UI"/>
          <w:szCs w:val="21"/>
        </w:rPr>
        <w:t>The guidelines also make recommendations on the use of antibiotics, anaesthetic choice, surgical approaches, diagnostic imaging, pain control, emergency treatment of acute hernias and predictors of bowel ischaemia.</w:t>
      </w:r>
      <w:r w:rsidRPr="00357E97">
        <w:rPr>
          <w:rStyle w:val="eop"/>
          <w:rFonts w:cs="Segoe UI"/>
          <w:szCs w:val="21"/>
        </w:rPr>
        <w:t> </w:t>
      </w:r>
    </w:p>
    <w:p w14:paraId="706229DE" w14:textId="77777777" w:rsidR="00357E97" w:rsidRPr="006B54C5" w:rsidRDefault="00357E97" w:rsidP="00357E97">
      <w:pPr>
        <w:rPr>
          <w:rFonts w:cs="Segoe UI"/>
          <w:sz w:val="22"/>
        </w:rPr>
      </w:pPr>
    </w:p>
    <w:p w14:paraId="07EFF3E0" w14:textId="77777777" w:rsidR="00357E97" w:rsidRDefault="00357E97" w:rsidP="00357E97">
      <w:pPr>
        <w:pStyle w:val="Heading1"/>
        <w:sectPr w:rsidR="00357E97" w:rsidSect="007B6463">
          <w:pgSz w:w="11907" w:h="16840" w:code="9"/>
          <w:pgMar w:top="1418" w:right="1701" w:bottom="1134" w:left="1843" w:header="284" w:footer="425" w:gutter="284"/>
          <w:cols w:space="720"/>
        </w:sectPr>
      </w:pPr>
      <w:bookmarkStart w:id="43" w:name="_Toc181371227"/>
    </w:p>
    <w:p w14:paraId="00ED15ED" w14:textId="5B2A7C50" w:rsidR="00357E97" w:rsidRPr="00627EC8" w:rsidRDefault="00357E97" w:rsidP="00663391">
      <w:pPr>
        <w:pStyle w:val="Heading1"/>
        <w:spacing w:before="0"/>
      </w:pPr>
      <w:bookmarkStart w:id="44" w:name="_Toc181713011"/>
      <w:r w:rsidRPr="00AA07D0">
        <w:t>Conclusion</w:t>
      </w:r>
      <w:bookmarkEnd w:id="43"/>
      <w:bookmarkEnd w:id="44"/>
    </w:p>
    <w:p w14:paraId="226EC458" w14:textId="77777777" w:rsidR="00357E97" w:rsidRPr="006B54C5" w:rsidRDefault="00357E97" w:rsidP="00357E97">
      <w:r>
        <w:t xml:space="preserve">Our </w:t>
      </w:r>
      <w:r w:rsidRPr="006B54C5">
        <w:t xml:space="preserve">investigation found that there does not appear to be a substantial difference in </w:t>
      </w:r>
      <w:r>
        <w:t xml:space="preserve">clinical </w:t>
      </w:r>
      <w:r w:rsidRPr="006B54C5">
        <w:t>outcomes after mesh groin hernia repair when compared with non-mesh groin hernia repair. Mesh repair does reduce the rate of hernia recurrence, urinary retention and neurovascular or visceral complications (with RR</w:t>
      </w:r>
      <w:r>
        <w:t>s</w:t>
      </w:r>
      <w:r w:rsidRPr="006B54C5">
        <w:t xml:space="preserve"> of 0.46, 0.53, and 0.61 respectively). Mesh repair increases the rate of seroma formation (RR 1.63). However, the poor quality of a large portion of the current evidence on this subject makes the margin of difference between outcomes after mesh versus non-mesh repair uncertain.</w:t>
      </w:r>
      <w:r w:rsidRPr="00147B69">
        <w:t xml:space="preserve"> </w:t>
      </w:r>
      <w:r>
        <w:t xml:space="preserve">Our </w:t>
      </w:r>
      <w:r w:rsidRPr="00147B69">
        <w:t>investigation also found that there is evidence to suggest that the use of laparoscopy in groin hernia repair produces significantly superior outcomes for patients.</w:t>
      </w:r>
      <w:r w:rsidRPr="006B54C5">
        <w:t xml:space="preserve"> Although</w:t>
      </w:r>
      <w:r>
        <w:t>,</w:t>
      </w:r>
      <w:r w:rsidRPr="006B54C5">
        <w:t xml:space="preserve"> from a quantitative </w:t>
      </w:r>
      <w:r>
        <w:t xml:space="preserve">and qualitative </w:t>
      </w:r>
      <w:r w:rsidRPr="006B54C5">
        <w:t>perspective, outcomes after mesh repairs are probably similar or marginally superior to outcomes after non-mesh repairs of groin hernias, those who do suffer complications post-operatively after mesh groin hernia repair face a significant impediment to their quality of life.</w:t>
      </w:r>
      <w:r>
        <w:t xml:space="preserve"> This highlights the importance of informed consent, patient </w:t>
      </w:r>
      <w:proofErr w:type="gramStart"/>
      <w:r>
        <w:t>voice</w:t>
      </w:r>
      <w:proofErr w:type="gramEnd"/>
      <w:r>
        <w:t xml:space="preserve"> and the value of lived experience in any consideration of mesh use for groin hernia repair.</w:t>
      </w:r>
      <w:r w:rsidRPr="006B54C5">
        <w:t xml:space="preserve"> </w:t>
      </w:r>
    </w:p>
    <w:p w14:paraId="7C6BC0BF" w14:textId="77777777" w:rsidR="00663391" w:rsidRDefault="00663391" w:rsidP="00357E97">
      <w:pPr>
        <w:rPr>
          <w:rFonts w:cs="Segoe UI"/>
          <w:sz w:val="22"/>
        </w:rPr>
        <w:sectPr w:rsidR="00663391" w:rsidSect="007B6463">
          <w:pgSz w:w="11907" w:h="16840" w:code="9"/>
          <w:pgMar w:top="1418" w:right="1701" w:bottom="1134" w:left="1843" w:header="284" w:footer="425" w:gutter="284"/>
          <w:cols w:space="720"/>
        </w:sectPr>
      </w:pPr>
    </w:p>
    <w:p w14:paraId="221655D9" w14:textId="77777777" w:rsidR="00663391" w:rsidRPr="001913F6" w:rsidRDefault="00663391" w:rsidP="00663391">
      <w:pPr>
        <w:pStyle w:val="Heading1"/>
        <w:spacing w:before="0"/>
        <w:rPr>
          <w:sz w:val="28"/>
          <w:szCs w:val="28"/>
        </w:rPr>
      </w:pPr>
      <w:bookmarkStart w:id="45" w:name="_Toc181371228"/>
      <w:bookmarkStart w:id="46" w:name="_Toc181713012"/>
      <w:r w:rsidRPr="00627EC8">
        <w:t>References</w:t>
      </w:r>
      <w:bookmarkEnd w:id="45"/>
      <w:bookmarkEnd w:id="46"/>
    </w:p>
    <w:p w14:paraId="4DE838DA" w14:textId="77777777" w:rsidR="00663391" w:rsidRPr="001B62FB" w:rsidRDefault="00663391" w:rsidP="00663391">
      <w:pPr>
        <w:pStyle w:val="References"/>
      </w:pPr>
      <w:r w:rsidRPr="001B62FB">
        <w:t>Al-</w:t>
      </w:r>
      <w:proofErr w:type="spellStart"/>
      <w:r w:rsidRPr="001B62FB">
        <w:t>Saiegh</w:t>
      </w:r>
      <w:proofErr w:type="spellEnd"/>
      <w:r w:rsidRPr="001B62FB">
        <w:t xml:space="preserve"> AM, Al-</w:t>
      </w:r>
      <w:proofErr w:type="spellStart"/>
      <w:r w:rsidRPr="001B62FB">
        <w:t>Saffar</w:t>
      </w:r>
      <w:proofErr w:type="spellEnd"/>
      <w:r w:rsidRPr="001B62FB">
        <w:t xml:space="preserve"> RS, Al-</w:t>
      </w:r>
      <w:proofErr w:type="spellStart"/>
      <w:r w:rsidRPr="001B62FB">
        <w:t>Khassaki</w:t>
      </w:r>
      <w:proofErr w:type="spellEnd"/>
      <w:r w:rsidRPr="001B62FB">
        <w:t xml:space="preserve"> HT. 2009. Tension-free inguinal hernia repair comparing ‘mesh’ with ‘darn’ a prospective randomized clinical trial. </w:t>
      </w:r>
      <w:r w:rsidRPr="001B62FB">
        <w:rPr>
          <w:i/>
          <w:iCs/>
        </w:rPr>
        <w:t>Iraqi Postgraduate Medical Journal</w:t>
      </w:r>
      <w:r w:rsidRPr="001B62FB">
        <w:t xml:space="preserve"> 8(3): 220–7.</w:t>
      </w:r>
    </w:p>
    <w:p w14:paraId="60D9E6EC" w14:textId="77777777" w:rsidR="00663391" w:rsidRPr="001B62FB" w:rsidRDefault="00663391" w:rsidP="00663391">
      <w:pPr>
        <w:pStyle w:val="References"/>
      </w:pPr>
      <w:r w:rsidRPr="001B62FB">
        <w:t>American College of Surgeons. (</w:t>
      </w:r>
      <w:proofErr w:type="spellStart"/>
      <w:r w:rsidRPr="001B62FB">
        <w:t>nd</w:t>
      </w:r>
      <w:proofErr w:type="spellEnd"/>
      <w:r w:rsidRPr="001B62FB">
        <w:t xml:space="preserve">). Surgical Risk Calculator. URL: </w:t>
      </w:r>
      <w:hyperlink r:id="rId24" w:history="1">
        <w:r w:rsidRPr="001B62FB">
          <w:rPr>
            <w:rStyle w:val="Hyperlink"/>
          </w:rPr>
          <w:t>https://riskcalculator.facs.org/RiskCalculator/</w:t>
        </w:r>
      </w:hyperlink>
      <w:r w:rsidRPr="001B62FB">
        <w:t xml:space="preserve"> (accessed 11 October 2024).</w:t>
      </w:r>
    </w:p>
    <w:p w14:paraId="227CE2DF" w14:textId="77777777" w:rsidR="00663391" w:rsidRPr="001B62FB" w:rsidRDefault="00663391" w:rsidP="00663391">
      <w:pPr>
        <w:pStyle w:val="References"/>
      </w:pPr>
      <w:r w:rsidRPr="001B62FB">
        <w:t xml:space="preserve">American Hernia Society. 2018. Mesh Advisory Statement. URL: </w:t>
      </w:r>
      <w:hyperlink r:id="rId25" w:history="1">
        <w:r w:rsidRPr="001B62FB">
          <w:rPr>
            <w:rStyle w:val="Hyperlink"/>
          </w:rPr>
          <w:t>https://www.americanherniasociety.org/mesh-advisory</w:t>
        </w:r>
      </w:hyperlink>
      <w:r w:rsidRPr="001B62FB">
        <w:t xml:space="preserve"> (accessed 11 October 2024).</w:t>
      </w:r>
    </w:p>
    <w:p w14:paraId="2C185782" w14:textId="77777777" w:rsidR="00663391" w:rsidRPr="001B62FB" w:rsidRDefault="00663391" w:rsidP="00663391">
      <w:pPr>
        <w:pStyle w:val="References"/>
      </w:pPr>
      <w:r w:rsidRPr="001B62FB">
        <w:t xml:space="preserve">Barth RJ Jr, Burchard KW, </w:t>
      </w:r>
      <w:proofErr w:type="spellStart"/>
      <w:r w:rsidRPr="001B62FB">
        <w:t>Tosteson</w:t>
      </w:r>
      <w:proofErr w:type="spellEnd"/>
      <w:r w:rsidRPr="001B62FB">
        <w:t xml:space="preserve"> A, et al. 1998. Short-term outcome after mesh or Shouldice herniorrhaphy: A randomized, prospective study. </w:t>
      </w:r>
      <w:r w:rsidRPr="001B62FB">
        <w:rPr>
          <w:i/>
          <w:iCs/>
        </w:rPr>
        <w:t>Surgery</w:t>
      </w:r>
      <w:r w:rsidRPr="001B62FB">
        <w:t xml:space="preserve"> 123(2): 121–6. </w:t>
      </w:r>
    </w:p>
    <w:p w14:paraId="3CE1EF8B" w14:textId="77777777" w:rsidR="00663391" w:rsidRPr="001B62FB" w:rsidRDefault="00663391" w:rsidP="00663391">
      <w:pPr>
        <w:pStyle w:val="References"/>
      </w:pPr>
      <w:proofErr w:type="spellStart"/>
      <w:r w:rsidRPr="001B62FB">
        <w:t>Berndsen</w:t>
      </w:r>
      <w:proofErr w:type="spellEnd"/>
      <w:r w:rsidRPr="001B62FB">
        <w:t xml:space="preserve"> FH, </w:t>
      </w:r>
      <w:proofErr w:type="spellStart"/>
      <w:r w:rsidRPr="001B62FB">
        <w:t>Petersson</w:t>
      </w:r>
      <w:proofErr w:type="spellEnd"/>
      <w:r w:rsidRPr="001B62FB">
        <w:t xml:space="preserve"> U, Arvidsson D, et al. 2007. Discomfort five years after laparoscopic and Shouldice inguinal hernia repair: a randomised trial with 867 patients. A report from the SMIL study group. </w:t>
      </w:r>
      <w:r w:rsidRPr="001B62FB">
        <w:rPr>
          <w:i/>
          <w:iCs/>
        </w:rPr>
        <w:t>Hernia</w:t>
      </w:r>
      <w:r w:rsidRPr="001B62FB">
        <w:t xml:space="preserve"> 11(4): 307–13. </w:t>
      </w:r>
    </w:p>
    <w:p w14:paraId="42AF6EC1" w14:textId="77777777" w:rsidR="00663391" w:rsidRPr="001B62FB" w:rsidRDefault="00663391" w:rsidP="00663391">
      <w:pPr>
        <w:pStyle w:val="References"/>
      </w:pPr>
      <w:r w:rsidRPr="001B62FB">
        <w:t xml:space="preserve">Bittner R, Sauerland S, </w:t>
      </w:r>
      <w:proofErr w:type="spellStart"/>
      <w:r w:rsidRPr="001B62FB">
        <w:t>Schmedt</w:t>
      </w:r>
      <w:proofErr w:type="spellEnd"/>
      <w:r w:rsidRPr="001B62FB">
        <w:t xml:space="preserve"> C-G. 2005. Comparison of endoscopic techniques vs Shouldice and other open </w:t>
      </w:r>
      <w:proofErr w:type="spellStart"/>
      <w:r w:rsidRPr="001B62FB">
        <w:t>nonmesh</w:t>
      </w:r>
      <w:proofErr w:type="spellEnd"/>
      <w:r w:rsidRPr="001B62FB">
        <w:t xml:space="preserve"> techniques for inguinal hernia repair: a meta-analysis of randomized controlled trials. </w:t>
      </w:r>
      <w:r w:rsidRPr="001B62FB">
        <w:rPr>
          <w:i/>
          <w:iCs/>
        </w:rPr>
        <w:t>Surgical Endoscopy</w:t>
      </w:r>
      <w:r w:rsidRPr="001B62FB">
        <w:t xml:space="preserve"> 19(5): 605–15. </w:t>
      </w:r>
    </w:p>
    <w:p w14:paraId="5F38B1FC" w14:textId="77777777" w:rsidR="00663391" w:rsidRPr="001B62FB" w:rsidRDefault="00663391" w:rsidP="00663391">
      <w:pPr>
        <w:pStyle w:val="References"/>
      </w:pPr>
      <w:r w:rsidRPr="001B62FB">
        <w:t xml:space="preserve">Butters M, </w:t>
      </w:r>
      <w:proofErr w:type="spellStart"/>
      <w:r w:rsidRPr="001B62FB">
        <w:t>Redecke</w:t>
      </w:r>
      <w:proofErr w:type="spellEnd"/>
      <w:r w:rsidRPr="001B62FB">
        <w:t xml:space="preserve"> J, </w:t>
      </w:r>
      <w:proofErr w:type="spellStart"/>
      <w:r w:rsidRPr="001B62FB">
        <w:t>Koninger</w:t>
      </w:r>
      <w:proofErr w:type="spellEnd"/>
      <w:r w:rsidRPr="001B62FB">
        <w:t xml:space="preserve"> J. 2007. Long-term results of a randomised clinical trial of Shouldice, Lichtenstein and transabdominal preperitoneal hernia repairs. </w:t>
      </w:r>
      <w:r w:rsidRPr="001B62FB">
        <w:rPr>
          <w:i/>
          <w:iCs/>
        </w:rPr>
        <w:t>British Journal of Surgery</w:t>
      </w:r>
      <w:r w:rsidRPr="001B62FB">
        <w:t xml:space="preserve"> 94: 562–5.</w:t>
      </w:r>
    </w:p>
    <w:p w14:paraId="1D110284" w14:textId="77777777" w:rsidR="00663391" w:rsidRPr="001B62FB" w:rsidRDefault="00663391" w:rsidP="00663391">
      <w:pPr>
        <w:pStyle w:val="References"/>
      </w:pPr>
      <w:r w:rsidRPr="001B62FB">
        <w:t xml:space="preserve">Chakraborty S, Mukherjee A, Bhattacharya M. 2007. Tension-free inguinal hernia repair comparing darn with mesh: a prospective randomised controlled clinical trial. </w:t>
      </w:r>
      <w:r w:rsidRPr="001B62FB">
        <w:rPr>
          <w:i/>
          <w:iCs/>
        </w:rPr>
        <w:t>Indian Journal of Surgery</w:t>
      </w:r>
      <w:r w:rsidRPr="001B62FB">
        <w:t xml:space="preserve"> 69(2): 52–6.</w:t>
      </w:r>
    </w:p>
    <w:p w14:paraId="309A3FFF" w14:textId="77777777" w:rsidR="00663391" w:rsidRPr="001B62FB" w:rsidRDefault="00663391" w:rsidP="00663391">
      <w:pPr>
        <w:pStyle w:val="References"/>
      </w:pPr>
      <w:r w:rsidRPr="001B62FB">
        <w:t xml:space="preserve">Dirksen CD, Beets GL, Go PM, et al. 1998. </w:t>
      </w:r>
      <w:proofErr w:type="spellStart"/>
      <w:r w:rsidRPr="001B62FB">
        <w:t>Bassini</w:t>
      </w:r>
      <w:proofErr w:type="spellEnd"/>
      <w:r w:rsidRPr="001B62FB">
        <w:t xml:space="preserve"> repair compared with laparoscopic repair for primary inguinal hernia: a randomised controlled trial. </w:t>
      </w:r>
      <w:r w:rsidRPr="001B62FB">
        <w:rPr>
          <w:i/>
          <w:iCs/>
        </w:rPr>
        <w:t>European Journal of Surgery</w:t>
      </w:r>
      <w:r w:rsidRPr="001B62FB">
        <w:t xml:space="preserve"> 164(6): 439–47. </w:t>
      </w:r>
    </w:p>
    <w:p w14:paraId="2895DC66" w14:textId="77777777" w:rsidR="00663391" w:rsidRPr="001B62FB" w:rsidRDefault="00663391" w:rsidP="00663391">
      <w:pPr>
        <w:pStyle w:val="References"/>
      </w:pPr>
      <w:proofErr w:type="spellStart"/>
      <w:r w:rsidRPr="001B62FB">
        <w:t>Elsebae</w:t>
      </w:r>
      <w:proofErr w:type="spellEnd"/>
      <w:r w:rsidRPr="001B62FB">
        <w:t xml:space="preserve"> MMA, Nasr M, Said M. 2008. Tension-free repair versus </w:t>
      </w:r>
      <w:proofErr w:type="spellStart"/>
      <w:r w:rsidRPr="001B62FB">
        <w:t>Bassini</w:t>
      </w:r>
      <w:proofErr w:type="spellEnd"/>
      <w:r w:rsidRPr="001B62FB">
        <w:t xml:space="preserve"> technique for strangulated inguinal hernia: A controlled randomized study. </w:t>
      </w:r>
      <w:r w:rsidRPr="001B62FB">
        <w:rPr>
          <w:i/>
          <w:iCs/>
        </w:rPr>
        <w:t xml:space="preserve">International Journal of </w:t>
      </w:r>
      <w:proofErr w:type="gramStart"/>
      <w:r w:rsidRPr="001B62FB">
        <w:rPr>
          <w:i/>
          <w:iCs/>
        </w:rPr>
        <w:t>Surgery</w:t>
      </w:r>
      <w:r w:rsidRPr="001B62FB">
        <w:t xml:space="preserve">  6</w:t>
      </w:r>
      <w:proofErr w:type="gramEnd"/>
      <w:r w:rsidRPr="001B62FB">
        <w:t xml:space="preserve">(4): 302–5. </w:t>
      </w:r>
    </w:p>
    <w:p w14:paraId="183508D4" w14:textId="77777777" w:rsidR="00663391" w:rsidRPr="001B62FB" w:rsidRDefault="00663391" w:rsidP="00663391">
      <w:pPr>
        <w:pStyle w:val="References"/>
      </w:pPr>
      <w:r w:rsidRPr="001B62FB">
        <w:t xml:space="preserve">Finch DA, Misra VA, </w:t>
      </w:r>
      <w:proofErr w:type="spellStart"/>
      <w:r w:rsidRPr="001B62FB">
        <w:t>Hajibandeh</w:t>
      </w:r>
      <w:proofErr w:type="spellEnd"/>
      <w:r w:rsidRPr="001B62FB">
        <w:t xml:space="preserve"> S. 2019. Open darn repair vs open mesh repair of inguinal hernia: a systematic review and meta-analysis of randomised and non-randomised studies. </w:t>
      </w:r>
      <w:r w:rsidRPr="001B62FB">
        <w:rPr>
          <w:i/>
          <w:iCs/>
        </w:rPr>
        <w:t>Hernia</w:t>
      </w:r>
      <w:r w:rsidRPr="001B62FB">
        <w:t xml:space="preserve"> 23(3): 523–39. </w:t>
      </w:r>
    </w:p>
    <w:p w14:paraId="45A06357" w14:textId="77777777" w:rsidR="00663391" w:rsidRPr="001B62FB" w:rsidRDefault="00663391" w:rsidP="00663391">
      <w:pPr>
        <w:pStyle w:val="References"/>
      </w:pPr>
      <w:r w:rsidRPr="001B62FB">
        <w:t xml:space="preserve">Fitzgibbons RJ Jr, </w:t>
      </w:r>
      <w:proofErr w:type="spellStart"/>
      <w:r w:rsidRPr="001B62FB">
        <w:t>Forse</w:t>
      </w:r>
      <w:proofErr w:type="spellEnd"/>
      <w:r w:rsidRPr="001B62FB">
        <w:t xml:space="preserve"> RA. 2015. Groin hernias in adults. </w:t>
      </w:r>
      <w:r w:rsidRPr="001B62FB">
        <w:rPr>
          <w:i/>
          <w:iCs/>
        </w:rPr>
        <w:t>New England Journal of Medicine</w:t>
      </w:r>
      <w:r w:rsidRPr="001B62FB">
        <w:t xml:space="preserve"> 372(8): 756–63. </w:t>
      </w:r>
    </w:p>
    <w:p w14:paraId="350FCE88" w14:textId="77777777" w:rsidR="00663391" w:rsidRPr="001B62FB" w:rsidRDefault="00663391" w:rsidP="00663391">
      <w:pPr>
        <w:pStyle w:val="References"/>
      </w:pPr>
      <w:r w:rsidRPr="001B62FB">
        <w:t xml:space="preserve">Forester B, </w:t>
      </w:r>
      <w:proofErr w:type="spellStart"/>
      <w:r w:rsidRPr="001B62FB">
        <w:t>Attaar</w:t>
      </w:r>
      <w:proofErr w:type="spellEnd"/>
      <w:r w:rsidRPr="001B62FB">
        <w:t xml:space="preserve"> M, </w:t>
      </w:r>
      <w:proofErr w:type="spellStart"/>
      <w:r w:rsidRPr="001B62FB">
        <w:t>Lach</w:t>
      </w:r>
      <w:proofErr w:type="spellEnd"/>
      <w:r w:rsidRPr="001B62FB">
        <w:t xml:space="preserve"> M, et al. 2022. Inguinal hernia mesh is safe in 1720 patients. </w:t>
      </w:r>
      <w:r w:rsidRPr="001B62FB">
        <w:rPr>
          <w:i/>
          <w:iCs/>
        </w:rPr>
        <w:t>Surgical Endoscopy</w:t>
      </w:r>
      <w:r w:rsidRPr="001B62FB">
        <w:t xml:space="preserve"> 36(2): 1609–18. </w:t>
      </w:r>
    </w:p>
    <w:p w14:paraId="63DEE52B" w14:textId="77777777" w:rsidR="001B62FB" w:rsidRDefault="001B62FB" w:rsidP="00663391">
      <w:pPr>
        <w:pStyle w:val="References"/>
      </w:pPr>
    </w:p>
    <w:p w14:paraId="3A730DA6" w14:textId="73176732" w:rsidR="00663391" w:rsidRPr="001B62FB" w:rsidRDefault="00663391" w:rsidP="00663391">
      <w:pPr>
        <w:pStyle w:val="References"/>
      </w:pPr>
      <w:r w:rsidRPr="001B62FB">
        <w:t xml:space="preserve">Hassan, A M, Lu S-C, Asaad M, et al. 2022. Novel machine learning approach for the prediction of hernia recurrence, surgical complication, and 30-day readmission after abdominal wall reconstruction. </w:t>
      </w:r>
      <w:r w:rsidRPr="001B62FB">
        <w:rPr>
          <w:i/>
          <w:iCs/>
        </w:rPr>
        <w:t>Journal of the American College of Surgeons</w:t>
      </w:r>
      <w:r w:rsidRPr="001B62FB">
        <w:t xml:space="preserve"> 234(5): 918–27. </w:t>
      </w:r>
    </w:p>
    <w:p w14:paraId="6ADF75C4" w14:textId="77777777" w:rsidR="00663391" w:rsidRPr="001B62FB" w:rsidRDefault="00663391" w:rsidP="00663391">
      <w:pPr>
        <w:pStyle w:val="References"/>
      </w:pPr>
      <w:r w:rsidRPr="001B62FB">
        <w:t xml:space="preserve">Henriksen NA, Montgomery A, Kaufmann </w:t>
      </w:r>
      <w:proofErr w:type="gramStart"/>
      <w:r w:rsidRPr="001B62FB">
        <w:t>R,.</w:t>
      </w:r>
      <w:proofErr w:type="gramEnd"/>
      <w:r w:rsidRPr="001B62FB">
        <w:t xml:space="preserve"> 2020. Guidelines for treatment of umbilical and epigastric hernias from the European Hernia Society and Americas Hernia Society. </w:t>
      </w:r>
      <w:r w:rsidRPr="001B62FB">
        <w:rPr>
          <w:i/>
          <w:iCs/>
        </w:rPr>
        <w:t>British Journal of Surgery</w:t>
      </w:r>
      <w:r w:rsidRPr="001B62FB">
        <w:t xml:space="preserve"> 107(3): 171–90. </w:t>
      </w:r>
    </w:p>
    <w:p w14:paraId="19B5BF97" w14:textId="77777777" w:rsidR="00663391" w:rsidRPr="001B62FB" w:rsidRDefault="00663391" w:rsidP="00663391">
      <w:pPr>
        <w:pStyle w:val="References"/>
      </w:pPr>
      <w:r w:rsidRPr="001B62FB">
        <w:t xml:space="preserve">Health Issues Centre. 2019. </w:t>
      </w:r>
      <w:r w:rsidRPr="001B62FB">
        <w:rPr>
          <w:i/>
          <w:iCs/>
          <w:sz w:val="22"/>
        </w:rPr>
        <w:t>Adverse Outcomes from Hernia Mesh: A report on the consumer experience of mesh implants used for treatment of hernia</w:t>
      </w:r>
      <w:r w:rsidRPr="001B62FB">
        <w:rPr>
          <w:sz w:val="22"/>
        </w:rPr>
        <w:t xml:space="preserve">. Melbourne: Health Issues Centre. </w:t>
      </w:r>
    </w:p>
    <w:p w14:paraId="6C83C02C" w14:textId="77777777" w:rsidR="00663391" w:rsidRPr="001B62FB" w:rsidRDefault="00663391" w:rsidP="00663391">
      <w:pPr>
        <w:pStyle w:val="References"/>
      </w:pPr>
      <w:proofErr w:type="spellStart"/>
      <w:r w:rsidRPr="001B62FB">
        <w:t>HerniaSurge</w:t>
      </w:r>
      <w:proofErr w:type="spellEnd"/>
      <w:r w:rsidRPr="001B62FB">
        <w:t xml:space="preserve"> Group. 2018. International guidelines for groin hernia management. </w:t>
      </w:r>
      <w:r w:rsidRPr="001B62FB">
        <w:rPr>
          <w:i/>
          <w:iCs/>
        </w:rPr>
        <w:t>Hernia</w:t>
      </w:r>
      <w:r w:rsidRPr="001B62FB">
        <w:t xml:space="preserve"> 22(1): 1–165. </w:t>
      </w:r>
    </w:p>
    <w:p w14:paraId="15703A4B" w14:textId="77777777" w:rsidR="00663391" w:rsidRPr="001B62FB" w:rsidRDefault="00663391" w:rsidP="00663391">
      <w:pPr>
        <w:pStyle w:val="References"/>
      </w:pPr>
      <w:r w:rsidRPr="001B62FB">
        <w:t xml:space="preserve">Hori T, Yasukawa D. 2021. Fascinating history of groin hernias: Comprehensive recognition of anatomy, classic considerations for herniorrhaphy, and current controversies in hernioplasty. </w:t>
      </w:r>
      <w:r w:rsidRPr="001B62FB">
        <w:rPr>
          <w:i/>
          <w:iCs/>
        </w:rPr>
        <w:t>World Journal of Methodology</w:t>
      </w:r>
      <w:r w:rsidRPr="001B62FB">
        <w:t xml:space="preserve"> 11(4): 160–86. </w:t>
      </w:r>
    </w:p>
    <w:p w14:paraId="0D790EB7" w14:textId="77777777" w:rsidR="00663391" w:rsidRPr="001B62FB" w:rsidRDefault="00663391" w:rsidP="00663391">
      <w:pPr>
        <w:pStyle w:val="References"/>
      </w:pPr>
      <w:r w:rsidRPr="001B62FB">
        <w:t xml:space="preserve">Juul P, Christensen K. 1999. Randomized clinical trial of laparoscopic versus open inguinal hernia repair: Laparoscopic versus open inguinal hernia repair. </w:t>
      </w:r>
      <w:r w:rsidRPr="001B62FB">
        <w:rPr>
          <w:i/>
          <w:iCs/>
        </w:rPr>
        <w:t>British Journal of Surgery</w:t>
      </w:r>
      <w:r w:rsidRPr="001B62FB">
        <w:t xml:space="preserve"> 86(3): 316–19. </w:t>
      </w:r>
    </w:p>
    <w:p w14:paraId="7836302F" w14:textId="77777777" w:rsidR="00663391" w:rsidRPr="001B62FB" w:rsidRDefault="00663391" w:rsidP="00663391">
      <w:pPr>
        <w:pStyle w:val="References"/>
      </w:pPr>
      <w:r w:rsidRPr="001B62FB">
        <w:t xml:space="preserve">Kaynak B, Celik F, </w:t>
      </w:r>
      <w:proofErr w:type="spellStart"/>
      <w:r w:rsidRPr="001B62FB">
        <w:t>Guner</w:t>
      </w:r>
      <w:proofErr w:type="spellEnd"/>
      <w:r w:rsidRPr="001B62FB">
        <w:t xml:space="preserve"> A, et al. 2007. Moloney darn repair versus Lichtenstein mesh hernioplasty for open inguinal hernia repair. </w:t>
      </w:r>
      <w:r w:rsidRPr="001B62FB">
        <w:rPr>
          <w:i/>
          <w:iCs/>
        </w:rPr>
        <w:t>Surgery Today</w:t>
      </w:r>
      <w:r w:rsidRPr="001B62FB">
        <w:t xml:space="preserve"> 37(11): 958–60. </w:t>
      </w:r>
    </w:p>
    <w:p w14:paraId="51E373A2" w14:textId="77777777" w:rsidR="00663391" w:rsidRPr="001B62FB" w:rsidRDefault="00663391" w:rsidP="00663391">
      <w:pPr>
        <w:pStyle w:val="References"/>
      </w:pPr>
      <w:proofErr w:type="spellStart"/>
      <w:r w:rsidRPr="001B62FB">
        <w:t>Koukourou</w:t>
      </w:r>
      <w:proofErr w:type="spellEnd"/>
      <w:r w:rsidRPr="001B62FB">
        <w:t xml:space="preserve"> A, Lyon W, Rice J, et al. 2001. Prospective randomized trial of polypropylene mesh compared with nylon darn in inguinal hernia repair: Mesh versus nylon darn for inguinal hernia repair. </w:t>
      </w:r>
      <w:r w:rsidRPr="001B62FB">
        <w:rPr>
          <w:i/>
          <w:iCs/>
        </w:rPr>
        <w:t>British Journal of Surgery</w:t>
      </w:r>
      <w:r w:rsidRPr="001B62FB">
        <w:t xml:space="preserve"> 88(7): 931–4. </w:t>
      </w:r>
    </w:p>
    <w:p w14:paraId="1DD7F1BC" w14:textId="77777777" w:rsidR="00663391" w:rsidRPr="001B62FB" w:rsidRDefault="00663391" w:rsidP="00663391">
      <w:pPr>
        <w:pStyle w:val="References"/>
      </w:pPr>
      <w:proofErr w:type="spellStart"/>
      <w:r w:rsidRPr="001B62FB">
        <w:t>Kucuk</w:t>
      </w:r>
      <w:proofErr w:type="spellEnd"/>
      <w:r w:rsidRPr="001B62FB">
        <w:t xml:space="preserve"> HF, Sikar HE, Kurt N, et </w:t>
      </w:r>
      <w:proofErr w:type="gramStart"/>
      <w:r w:rsidRPr="001B62FB">
        <w:t>al .</w:t>
      </w:r>
      <w:proofErr w:type="gramEnd"/>
      <w:r w:rsidRPr="001B62FB">
        <w:t xml:space="preserve"> 2010. Lichtenstein or darn procedure in inguinal hernia repair: a prospective randomized comparative study. </w:t>
      </w:r>
      <w:r w:rsidRPr="001B62FB">
        <w:rPr>
          <w:i/>
          <w:iCs/>
        </w:rPr>
        <w:t>Hernia</w:t>
      </w:r>
      <w:r w:rsidRPr="001B62FB">
        <w:t xml:space="preserve">14(4): 357–60. </w:t>
      </w:r>
    </w:p>
    <w:p w14:paraId="006171A6" w14:textId="77777777" w:rsidR="00663391" w:rsidRPr="001B62FB" w:rsidRDefault="00663391" w:rsidP="00663391">
      <w:pPr>
        <w:pStyle w:val="References"/>
      </w:pPr>
      <w:r w:rsidRPr="001B62FB">
        <w:t xml:space="preserve">Lawrence K, McWhinnie D, Jenkinson C, et al. 1997. Quality of life in patients undergoing inguinal hernia repair. </w:t>
      </w:r>
      <w:r w:rsidRPr="001B62FB">
        <w:rPr>
          <w:i/>
          <w:iCs/>
        </w:rPr>
        <w:t>Annals of the Royal College of Surgeons of England</w:t>
      </w:r>
      <w:r w:rsidRPr="001B62FB">
        <w:t xml:space="preserve"> 79(1): 40–45.</w:t>
      </w:r>
    </w:p>
    <w:p w14:paraId="35519132" w14:textId="77777777" w:rsidR="00663391" w:rsidRPr="001B62FB" w:rsidRDefault="00663391" w:rsidP="00663391">
      <w:pPr>
        <w:pStyle w:val="References"/>
      </w:pPr>
      <w:r w:rsidRPr="001B62FB">
        <w:t xml:space="preserve">Lockhart K, Dunn D, Teo S, et al. 2018. Mesh versus non-mesh for inguinal and femoral hernia repair. </w:t>
      </w:r>
      <w:r w:rsidRPr="001B62FB">
        <w:rPr>
          <w:i/>
          <w:iCs/>
        </w:rPr>
        <w:t>The Cochrane Library</w:t>
      </w:r>
      <w:r w:rsidRPr="001B62FB">
        <w:t xml:space="preserve"> 2018(9). DOI: </w:t>
      </w:r>
      <w:hyperlink r:id="rId26" w:history="1">
        <w:r w:rsidRPr="001B62FB">
          <w:rPr>
            <w:rStyle w:val="Hyperlink"/>
          </w:rPr>
          <w:t>10.1002/14651858.cd011517.pub2</w:t>
        </w:r>
      </w:hyperlink>
      <w:r w:rsidRPr="001B62FB">
        <w:t xml:space="preserve"> (accessed 11 October 2024).</w:t>
      </w:r>
    </w:p>
    <w:p w14:paraId="153C053B" w14:textId="77777777" w:rsidR="00663391" w:rsidRPr="001B62FB" w:rsidRDefault="00663391" w:rsidP="00663391">
      <w:pPr>
        <w:pStyle w:val="References"/>
      </w:pPr>
      <w:proofErr w:type="spellStart"/>
      <w:r w:rsidRPr="001B62FB">
        <w:t>Maksoud</w:t>
      </w:r>
      <w:proofErr w:type="spellEnd"/>
      <w:r w:rsidRPr="001B62FB">
        <w:t xml:space="preserve"> AE, Salam AE, Ahmed M. 2014. Comparative study between </w:t>
      </w:r>
      <w:proofErr w:type="spellStart"/>
      <w:r w:rsidRPr="001B62FB">
        <w:t>Liectenstein</w:t>
      </w:r>
      <w:proofErr w:type="spellEnd"/>
      <w:r w:rsidRPr="001B62FB">
        <w:t xml:space="preserve"> procedure and modified darn repair in treating primary inguinal hernia: a prospective randomised controlled trial. </w:t>
      </w:r>
      <w:r w:rsidRPr="001B62FB">
        <w:rPr>
          <w:i/>
          <w:iCs/>
        </w:rPr>
        <w:t>Hernia</w:t>
      </w:r>
      <w:r w:rsidRPr="001B62FB">
        <w:t xml:space="preserve"> 18(2): 231–6.</w:t>
      </w:r>
    </w:p>
    <w:p w14:paraId="3AA17709" w14:textId="77777777" w:rsidR="00663391" w:rsidRPr="001B62FB" w:rsidRDefault="00663391" w:rsidP="00663391">
      <w:pPr>
        <w:pStyle w:val="References"/>
      </w:pPr>
      <w:proofErr w:type="spellStart"/>
      <w:r w:rsidRPr="001B62FB">
        <w:t>Manyilirah</w:t>
      </w:r>
      <w:proofErr w:type="spellEnd"/>
      <w:r w:rsidRPr="001B62FB">
        <w:t xml:space="preserve"> W, </w:t>
      </w:r>
      <w:proofErr w:type="spellStart"/>
      <w:r w:rsidRPr="001B62FB">
        <w:t>Kijjambu</w:t>
      </w:r>
      <w:proofErr w:type="spellEnd"/>
      <w:r w:rsidRPr="001B62FB">
        <w:t xml:space="preserve"> S, </w:t>
      </w:r>
      <w:proofErr w:type="spellStart"/>
      <w:r w:rsidRPr="001B62FB">
        <w:t>Upoki</w:t>
      </w:r>
      <w:proofErr w:type="spellEnd"/>
      <w:r w:rsidRPr="001B62FB">
        <w:t xml:space="preserve"> A, et al. 2012. Comparison of non-mesh (</w:t>
      </w:r>
      <w:proofErr w:type="spellStart"/>
      <w:r w:rsidRPr="001B62FB">
        <w:t>Desarda</w:t>
      </w:r>
      <w:proofErr w:type="spellEnd"/>
      <w:r w:rsidRPr="001B62FB">
        <w:t xml:space="preserve">) and mesh (Lichtenstein) methods for inguinal hernia repair among black African patients: a short-term double-blind RCT. </w:t>
      </w:r>
      <w:r w:rsidRPr="001B62FB">
        <w:rPr>
          <w:i/>
          <w:iCs/>
        </w:rPr>
        <w:t>Hernia</w:t>
      </w:r>
      <w:r w:rsidRPr="001B62FB">
        <w:t xml:space="preserve"> 16(2): 133–44. </w:t>
      </w:r>
    </w:p>
    <w:p w14:paraId="5F605C80" w14:textId="77777777" w:rsidR="00663391" w:rsidRPr="001B62FB" w:rsidRDefault="00663391" w:rsidP="00663391">
      <w:pPr>
        <w:pStyle w:val="References"/>
      </w:pPr>
      <w:proofErr w:type="spellStart"/>
      <w:r w:rsidRPr="001B62FB">
        <w:t>Matikainen</w:t>
      </w:r>
      <w:proofErr w:type="spellEnd"/>
      <w:r w:rsidRPr="001B62FB">
        <w:t xml:space="preserve"> M, </w:t>
      </w:r>
      <w:proofErr w:type="spellStart"/>
      <w:r w:rsidRPr="001B62FB">
        <w:t>Vironen</w:t>
      </w:r>
      <w:proofErr w:type="spellEnd"/>
      <w:r w:rsidRPr="001B62FB">
        <w:t xml:space="preserve"> J, </w:t>
      </w:r>
      <w:proofErr w:type="spellStart"/>
      <w:r w:rsidRPr="001B62FB">
        <w:t>Kössi</w:t>
      </w:r>
      <w:proofErr w:type="spellEnd"/>
      <w:r w:rsidRPr="001B62FB">
        <w:t xml:space="preserve"> J, et al. 2021. Impact of mesh and fixation on chronic inguinal pain in Lichtenstein hernia repair: 5‐year outcomes from the Finn mesh study. </w:t>
      </w:r>
      <w:r w:rsidRPr="001B62FB">
        <w:rPr>
          <w:i/>
          <w:iCs/>
        </w:rPr>
        <w:t>World Journal of Surgery</w:t>
      </w:r>
      <w:r w:rsidRPr="001B62FB">
        <w:t xml:space="preserve"> 45(2): 459–64. </w:t>
      </w:r>
    </w:p>
    <w:p w14:paraId="25E1E3AD" w14:textId="77777777" w:rsidR="001B62FB" w:rsidRDefault="001B62FB" w:rsidP="00663391">
      <w:pPr>
        <w:pStyle w:val="References"/>
      </w:pPr>
    </w:p>
    <w:p w14:paraId="0EC9783D" w14:textId="790A9422" w:rsidR="00663391" w:rsidRPr="001B62FB" w:rsidRDefault="00663391" w:rsidP="00663391">
      <w:pPr>
        <w:pStyle w:val="References"/>
      </w:pPr>
      <w:r w:rsidRPr="001B62FB">
        <w:t>McCartney J. (</w:t>
      </w:r>
      <w:proofErr w:type="spellStart"/>
      <w:r w:rsidRPr="001B62FB">
        <w:t>nd</w:t>
      </w:r>
      <w:proofErr w:type="spellEnd"/>
      <w:r w:rsidRPr="001B62FB">
        <w:t xml:space="preserve">). New approaches, trends are emerging in hernia repair. URL: </w:t>
      </w:r>
      <w:hyperlink r:id="rId27" w:history="1">
        <w:r w:rsidRPr="001B62FB">
          <w:rPr>
            <w:rStyle w:val="Hyperlink"/>
          </w:rPr>
          <w:t>https://www.facs.org/for-medical-professionals/news-publications/news-and-articles/bulletin/2023/march-2023-volume-108-issue-3/new-approaches-trends-are-emerging-in-hernia-repair/</w:t>
        </w:r>
      </w:hyperlink>
      <w:r w:rsidRPr="001B62FB">
        <w:t xml:space="preserve"> (accessed 11 October 2024).</w:t>
      </w:r>
    </w:p>
    <w:p w14:paraId="6216788D" w14:textId="77777777" w:rsidR="00663391" w:rsidRPr="001B62FB" w:rsidRDefault="00663391" w:rsidP="00663391">
      <w:pPr>
        <w:pStyle w:val="References"/>
      </w:pPr>
      <w:proofErr w:type="spellStart"/>
      <w:r w:rsidRPr="001B62FB">
        <w:t>McGillicuddy</w:t>
      </w:r>
      <w:proofErr w:type="spellEnd"/>
      <w:r w:rsidRPr="001B62FB">
        <w:t xml:space="preserve"> JE. 1998. Prospective randomized comparison of the Shouldice and Lichtenstein hernia repair procedures. </w:t>
      </w:r>
      <w:r w:rsidRPr="001B62FB">
        <w:rPr>
          <w:i/>
          <w:iCs/>
        </w:rPr>
        <w:t>Archives of Surgery</w:t>
      </w:r>
      <w:r w:rsidRPr="001B62FB">
        <w:t xml:space="preserve"> 133(9): 974–8. </w:t>
      </w:r>
    </w:p>
    <w:p w14:paraId="131BA280" w14:textId="77777777" w:rsidR="00663391" w:rsidRPr="001B62FB" w:rsidRDefault="00663391" w:rsidP="00663391">
      <w:pPr>
        <w:pStyle w:val="References"/>
      </w:pPr>
      <w:proofErr w:type="spellStart"/>
      <w:r w:rsidRPr="001B62FB">
        <w:t>Medsafe</w:t>
      </w:r>
      <w:proofErr w:type="spellEnd"/>
      <w:r w:rsidRPr="001B62FB">
        <w:t xml:space="preserve">. 2019. </w:t>
      </w:r>
      <w:r w:rsidRPr="001B62FB">
        <w:rPr>
          <w:i/>
          <w:iCs/>
        </w:rPr>
        <w:t xml:space="preserve">Adverse Event Reports Relating to Surgical Mesh Implants: Summary of data received by </w:t>
      </w:r>
      <w:proofErr w:type="spellStart"/>
      <w:r w:rsidRPr="001B62FB">
        <w:rPr>
          <w:i/>
          <w:iCs/>
        </w:rPr>
        <w:t>Medsafe</w:t>
      </w:r>
      <w:proofErr w:type="spellEnd"/>
      <w:r w:rsidRPr="001B62FB">
        <w:t xml:space="preserve">. Wellington: Ministry of Health. </w:t>
      </w:r>
    </w:p>
    <w:p w14:paraId="2635C3D8" w14:textId="77777777" w:rsidR="00663391" w:rsidRPr="001B62FB" w:rsidRDefault="00663391" w:rsidP="00663391">
      <w:pPr>
        <w:pStyle w:val="References"/>
      </w:pPr>
      <w:proofErr w:type="spellStart"/>
      <w:r w:rsidRPr="001B62FB">
        <w:t>Melkemichel</w:t>
      </w:r>
      <w:proofErr w:type="spellEnd"/>
      <w:r w:rsidRPr="001B62FB">
        <w:t xml:space="preserve"> M, </w:t>
      </w:r>
      <w:proofErr w:type="spellStart"/>
      <w:r w:rsidRPr="001B62FB">
        <w:t>Bringman</w:t>
      </w:r>
      <w:proofErr w:type="spellEnd"/>
      <w:r w:rsidRPr="001B62FB">
        <w:t xml:space="preserve"> S, Nilsson </w:t>
      </w:r>
      <w:proofErr w:type="spellStart"/>
      <w:proofErr w:type="gramStart"/>
      <w:r w:rsidRPr="001B62FB">
        <w:t>H,et</w:t>
      </w:r>
      <w:proofErr w:type="spellEnd"/>
      <w:r w:rsidRPr="001B62FB">
        <w:t xml:space="preserve"> al.</w:t>
      </w:r>
      <w:proofErr w:type="gramEnd"/>
      <w:r w:rsidRPr="001B62FB">
        <w:t xml:space="preserve"> 2020. Patient-reported chronic pain after open inguinal hernia repair with lightweight or heavyweight mesh: a prospective, patient-reported outcomes study. </w:t>
      </w:r>
      <w:r w:rsidRPr="001B62FB">
        <w:rPr>
          <w:i/>
          <w:iCs/>
        </w:rPr>
        <w:t>British Journal of Surgery</w:t>
      </w:r>
      <w:r w:rsidRPr="001B62FB">
        <w:t xml:space="preserve"> 107(12): 1659–66. </w:t>
      </w:r>
    </w:p>
    <w:p w14:paraId="77A709E9" w14:textId="77777777" w:rsidR="00663391" w:rsidRPr="001B62FB" w:rsidRDefault="00663391" w:rsidP="00663391">
      <w:pPr>
        <w:pStyle w:val="References"/>
      </w:pPr>
      <w:r w:rsidRPr="001B62FB">
        <w:t xml:space="preserve">Memon GA, Ali Shah SK, Rehman H-U. 2017. An experience with mesh versus darn repair in inguinal hernias. </w:t>
      </w:r>
      <w:r w:rsidRPr="001B62FB">
        <w:rPr>
          <w:i/>
          <w:iCs/>
        </w:rPr>
        <w:t>Pakistan Journal of Medical Sciences Quarterly</w:t>
      </w:r>
      <w:r w:rsidRPr="001B62FB">
        <w:t xml:space="preserve"> 33(3). </w:t>
      </w:r>
    </w:p>
    <w:p w14:paraId="5E3424AE" w14:textId="77777777" w:rsidR="00663391" w:rsidRPr="001B62FB" w:rsidRDefault="00663391" w:rsidP="00663391">
      <w:pPr>
        <w:pStyle w:val="References"/>
      </w:pPr>
      <w:r w:rsidRPr="001B62FB">
        <w:t>Ministry of Health. (</w:t>
      </w:r>
      <w:proofErr w:type="spellStart"/>
      <w:r w:rsidRPr="001B62FB">
        <w:t>nd</w:t>
      </w:r>
      <w:proofErr w:type="spellEnd"/>
      <w:r w:rsidRPr="001B62FB">
        <w:t xml:space="preserve">). Surgical mesh. URL: </w:t>
      </w:r>
      <w:hyperlink r:id="rId28" w:history="1">
        <w:r w:rsidRPr="001B62FB">
          <w:rPr>
            <w:rStyle w:val="Hyperlink"/>
          </w:rPr>
          <w:t>https://www.health.govt.nz/strategies-initiatives/programmes-and-initiatives/surgical-mesh/about-the-use-of-surgical-mesh</w:t>
        </w:r>
      </w:hyperlink>
      <w:r w:rsidRPr="001B62FB">
        <w:t xml:space="preserve"> (accessed 31 October 2024).</w:t>
      </w:r>
    </w:p>
    <w:p w14:paraId="11701CED" w14:textId="77777777" w:rsidR="00663391" w:rsidRPr="001B62FB" w:rsidRDefault="00663391" w:rsidP="00663391">
      <w:pPr>
        <w:pStyle w:val="References"/>
      </w:pPr>
      <w:r w:rsidRPr="001B62FB">
        <w:t xml:space="preserve">Ministry of Health. 2023. Director-General of Health recommends time-limited pause on the use of female pelvic surgical mesh products to treat stress urinary incontinence. URL: </w:t>
      </w:r>
      <w:hyperlink r:id="rId29" w:history="1">
        <w:r w:rsidRPr="001B62FB">
          <w:rPr>
            <w:rStyle w:val="Hyperlink"/>
          </w:rPr>
          <w:t>https://www.health.govt.nz/news-media/media-releases/director-general-health-recommends-time-limited-pause-use-female-pelvic-surgical-mesh-products-treat</w:t>
        </w:r>
      </w:hyperlink>
      <w:r w:rsidRPr="001B62FB">
        <w:t xml:space="preserve"> (accessed 11 October 2024).</w:t>
      </w:r>
    </w:p>
    <w:p w14:paraId="1512714A" w14:textId="77777777" w:rsidR="00663391" w:rsidRPr="001B62FB" w:rsidRDefault="00663391" w:rsidP="00663391">
      <w:pPr>
        <w:pStyle w:val="References"/>
      </w:pPr>
      <w:r w:rsidRPr="001B62FB">
        <w:t xml:space="preserve">Nakagawa M, Nagase T, </w:t>
      </w:r>
      <w:proofErr w:type="spellStart"/>
      <w:r w:rsidRPr="001B62FB">
        <w:t>Akatsu</w:t>
      </w:r>
      <w:proofErr w:type="spellEnd"/>
      <w:r w:rsidRPr="001B62FB">
        <w:t xml:space="preserve"> T, et al. 2013. Randomized prospective trial comparing clinical outcomes 3 years after surgery by Marcy repair and </w:t>
      </w:r>
      <w:proofErr w:type="spellStart"/>
      <w:r w:rsidRPr="001B62FB">
        <w:t>Prolene</w:t>
      </w:r>
      <w:proofErr w:type="spellEnd"/>
      <w:r w:rsidRPr="001B62FB">
        <w:t xml:space="preserve"> Hernia System repair for adult indirect inguinal hernia. </w:t>
      </w:r>
      <w:r w:rsidRPr="001B62FB">
        <w:rPr>
          <w:i/>
          <w:iCs/>
        </w:rPr>
        <w:t>Surgery Today</w:t>
      </w:r>
      <w:r w:rsidRPr="001B62FB">
        <w:t xml:space="preserve"> 43(10): 1109–15. </w:t>
      </w:r>
    </w:p>
    <w:p w14:paraId="7F90D867" w14:textId="77777777" w:rsidR="00663391" w:rsidRPr="001B62FB" w:rsidRDefault="00663391" w:rsidP="00663391">
      <w:pPr>
        <w:pStyle w:val="References"/>
      </w:pPr>
      <w:r w:rsidRPr="001B62FB">
        <w:t xml:space="preserve">Naveen N, Srinath R. 2014. A comparative study between Modified </w:t>
      </w:r>
      <w:proofErr w:type="spellStart"/>
      <w:r w:rsidRPr="001B62FB">
        <w:t>Bassini’s</w:t>
      </w:r>
      <w:proofErr w:type="spellEnd"/>
      <w:r w:rsidRPr="001B62FB">
        <w:t xml:space="preserve"> Repair and Lichtenstein Mesh Repair (LMR) of inguinal hernias in rural population. </w:t>
      </w:r>
      <w:r w:rsidRPr="001B62FB">
        <w:rPr>
          <w:i/>
          <w:iCs/>
        </w:rPr>
        <w:t>Journal of Clinical and Diagnostic Research</w:t>
      </w:r>
      <w:r w:rsidRPr="001B62FB">
        <w:t xml:space="preserve"> 8(2): 88–91.</w:t>
      </w:r>
    </w:p>
    <w:p w14:paraId="72CAF448" w14:textId="77777777" w:rsidR="00663391" w:rsidRPr="001B62FB" w:rsidRDefault="00663391" w:rsidP="00663391">
      <w:pPr>
        <w:pStyle w:val="References"/>
      </w:pPr>
      <w:r w:rsidRPr="001B62FB">
        <w:t xml:space="preserve">NHS Supply Chain. 2022. NICE Guidance Recommends Move to Glues in Hernia Operations. URL: </w:t>
      </w:r>
      <w:hyperlink r:id="rId30" w:history="1">
        <w:r w:rsidRPr="001B62FB">
          <w:rPr>
            <w:rStyle w:val="Hyperlink"/>
          </w:rPr>
          <w:t>https://www.supplychain.nhs.uk/news-article/nice-guidance-recommends-move-to-glues-in-hernia-operations/</w:t>
        </w:r>
      </w:hyperlink>
      <w:r w:rsidRPr="001B62FB">
        <w:t xml:space="preserve"> (accessed 11 October 2024).</w:t>
      </w:r>
    </w:p>
    <w:p w14:paraId="6F0A5A93" w14:textId="77777777" w:rsidR="00663391" w:rsidRPr="001B62FB" w:rsidRDefault="00663391" w:rsidP="00663391">
      <w:pPr>
        <w:pStyle w:val="References"/>
      </w:pPr>
      <w:proofErr w:type="spellStart"/>
      <w:r w:rsidRPr="001B62FB">
        <w:t>Nordin</w:t>
      </w:r>
      <w:proofErr w:type="spellEnd"/>
      <w:r w:rsidRPr="001B62FB">
        <w:t xml:space="preserve"> P, </w:t>
      </w:r>
      <w:proofErr w:type="spellStart"/>
      <w:r w:rsidRPr="001B62FB">
        <w:t>Bartelmess</w:t>
      </w:r>
      <w:proofErr w:type="spellEnd"/>
      <w:r w:rsidRPr="001B62FB">
        <w:t xml:space="preserve"> P, Jansson C, et al. 2002. Randomized trial of Lichtenstein versus Shouldice hernia repair in general surgical practice: Lichtenstein versus Shouldice hernia repair. </w:t>
      </w:r>
      <w:r w:rsidRPr="001B62FB">
        <w:rPr>
          <w:i/>
          <w:iCs/>
        </w:rPr>
        <w:t>British Journal of Surgery</w:t>
      </w:r>
      <w:r w:rsidRPr="001B62FB">
        <w:t xml:space="preserve"> 89(1): 45–9. </w:t>
      </w:r>
    </w:p>
    <w:p w14:paraId="7B41B34F" w14:textId="77777777" w:rsidR="00663391" w:rsidRPr="001B62FB" w:rsidRDefault="00663391" w:rsidP="00663391">
      <w:pPr>
        <w:pStyle w:val="References"/>
      </w:pPr>
      <w:proofErr w:type="spellStart"/>
      <w:r w:rsidRPr="001B62FB">
        <w:t>Öberg</w:t>
      </w:r>
      <w:proofErr w:type="spellEnd"/>
      <w:r w:rsidRPr="001B62FB">
        <w:t xml:space="preserve"> S, Andresen K, </w:t>
      </w:r>
      <w:proofErr w:type="spellStart"/>
      <w:r w:rsidRPr="001B62FB">
        <w:t>Klausen</w:t>
      </w:r>
      <w:proofErr w:type="spellEnd"/>
      <w:r w:rsidRPr="001B62FB">
        <w:t xml:space="preserve"> TW, et al. 2018. Chronic pain after mesh versus </w:t>
      </w:r>
      <w:proofErr w:type="spellStart"/>
      <w:r w:rsidRPr="001B62FB">
        <w:t>nonmesh</w:t>
      </w:r>
      <w:proofErr w:type="spellEnd"/>
      <w:r w:rsidRPr="001B62FB">
        <w:t xml:space="preserve"> repair of inguinal hernias: A systematic review and a network meta-analysis of randomized controlled trials. </w:t>
      </w:r>
      <w:r w:rsidRPr="001B62FB">
        <w:rPr>
          <w:i/>
          <w:iCs/>
        </w:rPr>
        <w:t>Surgery</w:t>
      </w:r>
      <w:r w:rsidRPr="001B62FB">
        <w:t xml:space="preserve"> 163(5): 1151–9. </w:t>
      </w:r>
    </w:p>
    <w:p w14:paraId="2288CBEC" w14:textId="77777777" w:rsidR="00663391" w:rsidRPr="001B62FB" w:rsidRDefault="00663391" w:rsidP="00663391">
      <w:pPr>
        <w:pStyle w:val="References"/>
      </w:pPr>
      <w:r w:rsidRPr="001B62FB">
        <w:t xml:space="preserve">Panda N, Ghoshal DP, Das S, et al. 2012. Lichtenstein’s mesh versus </w:t>
      </w:r>
      <w:proofErr w:type="spellStart"/>
      <w:r w:rsidRPr="001B62FB">
        <w:t>Bassini</w:t>
      </w:r>
      <w:proofErr w:type="spellEnd"/>
      <w:r w:rsidRPr="001B62FB">
        <w:t xml:space="preserve"> tissue repair technique for obstructed inguinal hernia: a controlled randomized study. </w:t>
      </w:r>
      <w:r w:rsidRPr="001B62FB">
        <w:rPr>
          <w:i/>
          <w:iCs/>
        </w:rPr>
        <w:t>European Surgery</w:t>
      </w:r>
      <w:r w:rsidRPr="001B62FB">
        <w:t xml:space="preserve"> 44(5): 314–18. </w:t>
      </w:r>
    </w:p>
    <w:p w14:paraId="7503D7B3" w14:textId="77777777" w:rsidR="00663391" w:rsidRPr="001B62FB" w:rsidRDefault="00663391" w:rsidP="00663391">
      <w:pPr>
        <w:pStyle w:val="References"/>
      </w:pPr>
      <w:proofErr w:type="spellStart"/>
      <w:r w:rsidRPr="001B62FB">
        <w:t>Poulose</w:t>
      </w:r>
      <w:proofErr w:type="spellEnd"/>
      <w:r w:rsidRPr="001B62FB">
        <w:t xml:space="preserve"> BK, </w:t>
      </w:r>
      <w:proofErr w:type="spellStart"/>
      <w:r w:rsidRPr="001B62FB">
        <w:t>Adrales</w:t>
      </w:r>
      <w:proofErr w:type="spellEnd"/>
      <w:r w:rsidRPr="001B62FB">
        <w:t xml:space="preserve"> GL, Janis JE. 2020. Abdominal core health – A needed field in surgery. </w:t>
      </w:r>
      <w:r w:rsidRPr="001B62FB">
        <w:rPr>
          <w:i/>
          <w:iCs/>
        </w:rPr>
        <w:t>JAMA Surgery</w:t>
      </w:r>
      <w:r w:rsidRPr="001B62FB">
        <w:t xml:space="preserve"> 155(3): 185. </w:t>
      </w:r>
    </w:p>
    <w:p w14:paraId="2F76EC5C" w14:textId="77777777" w:rsidR="00663391" w:rsidRPr="001B62FB" w:rsidRDefault="00663391" w:rsidP="00663391">
      <w:pPr>
        <w:pStyle w:val="References"/>
      </w:pPr>
      <w:r w:rsidRPr="001B62FB">
        <w:t xml:space="preserve">Prieto-Diaz-Chavez E, Medina-Chavez JL, Anaya-Prado R. 2009. A cost-effective analysis of tension-free versus Shouldice inguinal hernia repair: a randomised double-blind clinical trial. </w:t>
      </w:r>
      <w:r w:rsidRPr="001B62FB">
        <w:rPr>
          <w:i/>
          <w:iCs/>
        </w:rPr>
        <w:t>Hernia</w:t>
      </w:r>
      <w:r w:rsidRPr="001B62FB">
        <w:t xml:space="preserve"> 13: 233–8.</w:t>
      </w:r>
    </w:p>
    <w:p w14:paraId="0056427E" w14:textId="77777777" w:rsidR="00663391" w:rsidRPr="001B62FB" w:rsidRDefault="00663391" w:rsidP="00663391">
      <w:pPr>
        <w:pStyle w:val="References"/>
      </w:pPr>
      <w:r w:rsidRPr="001B62FB">
        <w:t xml:space="preserve">Prior MJ, Williams EV, Shukla HS, et al. 1998. Prospective randomized controlled trial comparing Lichtenstein with modified </w:t>
      </w:r>
      <w:proofErr w:type="spellStart"/>
      <w:r w:rsidRPr="001B62FB">
        <w:t>Bassini</w:t>
      </w:r>
      <w:proofErr w:type="spellEnd"/>
      <w:r w:rsidRPr="001B62FB">
        <w:t xml:space="preserve"> repair of inguinal hernia. </w:t>
      </w:r>
      <w:r w:rsidRPr="001B62FB">
        <w:rPr>
          <w:i/>
          <w:iCs/>
        </w:rPr>
        <w:t>Journal of the Royal College of Surgeons of Edinburgh</w:t>
      </w:r>
      <w:r w:rsidRPr="001B62FB">
        <w:t xml:space="preserve"> 43(2): 82–6.</w:t>
      </w:r>
    </w:p>
    <w:p w14:paraId="084190AD" w14:textId="77777777" w:rsidR="00663391" w:rsidRPr="001B62FB" w:rsidRDefault="00663391" w:rsidP="00663391">
      <w:pPr>
        <w:pStyle w:val="References"/>
      </w:pPr>
      <w:r w:rsidRPr="001B62FB">
        <w:t xml:space="preserve">Royal College of Surgeons of England. 2019. RCS statement on hernia mesh complications. URL: </w:t>
      </w:r>
      <w:hyperlink r:id="rId31" w:history="1">
        <w:r w:rsidRPr="001B62FB">
          <w:rPr>
            <w:rStyle w:val="Hyperlink"/>
          </w:rPr>
          <w:t>https://www.rcseng.ac.uk/news-and-events/media-centre/press-releases/rcs-response-to-hernia-mesh-complications/</w:t>
        </w:r>
      </w:hyperlink>
      <w:r w:rsidRPr="001B62FB">
        <w:rPr>
          <w:rStyle w:val="Hyperlink"/>
          <w:rFonts w:cs="Segoe UI"/>
          <w:color w:val="auto"/>
          <w:sz w:val="20"/>
        </w:rPr>
        <w:t xml:space="preserve"> </w:t>
      </w:r>
      <w:r w:rsidRPr="001B62FB">
        <w:t>(accessed 11 October 2024).</w:t>
      </w:r>
      <w:r w:rsidRPr="001B62FB">
        <w:rPr>
          <w:rStyle w:val="Hyperlink"/>
          <w:rFonts w:cs="Segoe UI"/>
          <w:color w:val="auto"/>
          <w:sz w:val="20"/>
        </w:rPr>
        <w:t xml:space="preserve"> </w:t>
      </w:r>
    </w:p>
    <w:p w14:paraId="5657F977" w14:textId="77777777" w:rsidR="00663391" w:rsidRPr="001B62FB" w:rsidRDefault="00663391" w:rsidP="00663391">
      <w:pPr>
        <w:pStyle w:val="References"/>
      </w:pPr>
      <w:proofErr w:type="spellStart"/>
      <w:r w:rsidRPr="001B62FB">
        <w:t>Sæter</w:t>
      </w:r>
      <w:proofErr w:type="spellEnd"/>
      <w:r w:rsidRPr="001B62FB">
        <w:t xml:space="preserve"> AH, </w:t>
      </w:r>
      <w:proofErr w:type="spellStart"/>
      <w:r w:rsidRPr="001B62FB">
        <w:t>Fonnes</w:t>
      </w:r>
      <w:proofErr w:type="spellEnd"/>
      <w:r w:rsidRPr="001B62FB">
        <w:t xml:space="preserve"> S, Rosenberg </w:t>
      </w:r>
      <w:proofErr w:type="gramStart"/>
      <w:r w:rsidRPr="001B62FB">
        <w:t>J,.</w:t>
      </w:r>
      <w:proofErr w:type="gramEnd"/>
      <w:r w:rsidRPr="001B62FB">
        <w:t xml:space="preserve"> 2022. Mesh versus non-mesh for emergency groin hernia repair. </w:t>
      </w:r>
      <w:r w:rsidRPr="001B62FB">
        <w:rPr>
          <w:i/>
          <w:iCs/>
        </w:rPr>
        <w:t>The Cochrane Library</w:t>
      </w:r>
      <w:r w:rsidRPr="001B62FB">
        <w:t xml:space="preserve"> 2022(6). DOI: 10.1002/14651858.cd015160 (accessed 11 October 2024).</w:t>
      </w:r>
    </w:p>
    <w:p w14:paraId="080A306D" w14:textId="77777777" w:rsidR="00663391" w:rsidRPr="001B62FB" w:rsidRDefault="00663391" w:rsidP="00663391">
      <w:pPr>
        <w:pStyle w:val="References"/>
      </w:pPr>
      <w:r w:rsidRPr="001B62FB">
        <w:t xml:space="preserve">Sheetz KH, Claflin J, </w:t>
      </w:r>
      <w:proofErr w:type="spellStart"/>
      <w:r w:rsidRPr="001B62FB">
        <w:t>Dimick</w:t>
      </w:r>
      <w:proofErr w:type="spellEnd"/>
      <w:r w:rsidRPr="001B62FB">
        <w:t xml:space="preserve"> JB. 2020. Trends in the adoption of robotic surgery for common surgical procedures. </w:t>
      </w:r>
      <w:r w:rsidRPr="001B62FB">
        <w:rPr>
          <w:i/>
          <w:iCs/>
        </w:rPr>
        <w:t>JAMA Network Open</w:t>
      </w:r>
      <w:r w:rsidRPr="001B62FB">
        <w:t xml:space="preserve"> 3(1): e1918911. </w:t>
      </w:r>
    </w:p>
    <w:p w14:paraId="09F086DD" w14:textId="77777777" w:rsidR="00663391" w:rsidRPr="001B62FB" w:rsidRDefault="00663391" w:rsidP="00663391">
      <w:pPr>
        <w:pStyle w:val="References"/>
      </w:pPr>
      <w:r w:rsidRPr="001B62FB">
        <w:t xml:space="preserve">Shi Y, Su Z, Li L, et al. 2010. Comparing the effects of </w:t>
      </w:r>
      <w:proofErr w:type="spellStart"/>
      <w:r w:rsidRPr="001B62FB">
        <w:t>Bassini</w:t>
      </w:r>
      <w:proofErr w:type="spellEnd"/>
      <w:r w:rsidRPr="001B62FB">
        <w:t xml:space="preserve"> versus tension-free hernioplasty: 3 years’ follow up. </w:t>
      </w:r>
      <w:r w:rsidRPr="001B62FB">
        <w:rPr>
          <w:i/>
          <w:iCs/>
        </w:rPr>
        <w:t>Frontiers of Medicine in China</w:t>
      </w:r>
      <w:r w:rsidRPr="001B62FB">
        <w:t xml:space="preserve"> 4(4): 463–8.</w:t>
      </w:r>
    </w:p>
    <w:p w14:paraId="6B7287C7" w14:textId="77777777" w:rsidR="00663391" w:rsidRPr="001B62FB" w:rsidRDefault="00663391" w:rsidP="00663391">
      <w:pPr>
        <w:pStyle w:val="References"/>
      </w:pPr>
      <w:proofErr w:type="spellStart"/>
      <w:r w:rsidRPr="001B62FB">
        <w:t>Stabilini</w:t>
      </w:r>
      <w:proofErr w:type="spellEnd"/>
      <w:r w:rsidRPr="001B62FB">
        <w:t xml:space="preserve"> C, van </w:t>
      </w:r>
      <w:proofErr w:type="spellStart"/>
      <w:r w:rsidRPr="001B62FB">
        <w:t>Veenendaal</w:t>
      </w:r>
      <w:proofErr w:type="spellEnd"/>
      <w:r w:rsidRPr="001B62FB">
        <w:t xml:space="preserve"> N, </w:t>
      </w:r>
      <w:proofErr w:type="spellStart"/>
      <w:r w:rsidRPr="001B62FB">
        <w:t>Aasvang</w:t>
      </w:r>
      <w:proofErr w:type="spellEnd"/>
      <w:r w:rsidRPr="001B62FB">
        <w:t xml:space="preserve"> E, et al. 2023. Update of the international </w:t>
      </w:r>
      <w:proofErr w:type="spellStart"/>
      <w:r w:rsidRPr="001B62FB">
        <w:t>HerniaSurge</w:t>
      </w:r>
      <w:proofErr w:type="spellEnd"/>
      <w:r w:rsidRPr="001B62FB">
        <w:t xml:space="preserve"> guidelines for groin hernia management. </w:t>
      </w:r>
      <w:r w:rsidRPr="001B62FB">
        <w:rPr>
          <w:i/>
          <w:iCs/>
        </w:rPr>
        <w:t>BJS Open</w:t>
      </w:r>
      <w:r w:rsidRPr="001B62FB">
        <w:t xml:space="preserve"> 7(5). </w:t>
      </w:r>
    </w:p>
    <w:p w14:paraId="23CFBFAD" w14:textId="77777777" w:rsidR="00663391" w:rsidRPr="001B62FB" w:rsidRDefault="00663391" w:rsidP="00663391">
      <w:pPr>
        <w:pStyle w:val="References"/>
      </w:pPr>
      <w:r w:rsidRPr="001B62FB">
        <w:t xml:space="preserve">Therapeutic Goods Administration. 2018. </w:t>
      </w:r>
      <w:r w:rsidRPr="001B62FB">
        <w:rPr>
          <w:i/>
          <w:iCs/>
        </w:rPr>
        <w:t>Reclassifying Surgical Mesh Devices</w:t>
      </w:r>
      <w:r w:rsidRPr="001B62FB">
        <w:t xml:space="preserve">. Canberra: Australian Government Department of Health and Aged Care. </w:t>
      </w:r>
    </w:p>
    <w:p w14:paraId="73F9165A" w14:textId="77777777" w:rsidR="00663391" w:rsidRPr="001B62FB" w:rsidRDefault="00663391" w:rsidP="00663391">
      <w:pPr>
        <w:pStyle w:val="References"/>
      </w:pPr>
      <w:proofErr w:type="spellStart"/>
      <w:r w:rsidRPr="001B62FB">
        <w:t>Tumasz</w:t>
      </w:r>
      <w:proofErr w:type="spellEnd"/>
      <w:r w:rsidRPr="001B62FB">
        <w:t xml:space="preserve">-Jordan E, </w:t>
      </w:r>
      <w:proofErr w:type="spellStart"/>
      <w:r w:rsidRPr="001B62FB">
        <w:t>Mastikhina</w:t>
      </w:r>
      <w:proofErr w:type="spellEnd"/>
      <w:r w:rsidRPr="001B62FB">
        <w:t xml:space="preserve"> L, Farkas B, et al. 2019. </w:t>
      </w:r>
      <w:r w:rsidRPr="001B62FB">
        <w:rPr>
          <w:i/>
          <w:iCs/>
        </w:rPr>
        <w:t>Surgical Mesh for Inguinal Hernia Repair</w:t>
      </w:r>
      <w:r w:rsidRPr="001B62FB">
        <w:t xml:space="preserve">. Calgary: University of Calgary Cumming School of Medicine, University of Calgary O’Brien Institute for Public Health </w:t>
      </w:r>
      <w:proofErr w:type="spellStart"/>
      <w:r w:rsidRPr="001B62FB">
        <w:t>Health</w:t>
      </w:r>
      <w:proofErr w:type="spellEnd"/>
      <w:r w:rsidRPr="001B62FB">
        <w:t xml:space="preserve"> Technology Assessment Unit. </w:t>
      </w:r>
    </w:p>
    <w:p w14:paraId="35DB77FA" w14:textId="77777777" w:rsidR="00663391" w:rsidRPr="001B62FB" w:rsidRDefault="00663391" w:rsidP="00663391">
      <w:pPr>
        <w:pStyle w:val="References"/>
      </w:pPr>
      <w:r w:rsidRPr="001B62FB">
        <w:t xml:space="preserve">US Food and Drug Administration. 2023. Surgical Mesh Used for Hernia Repair. URL: </w:t>
      </w:r>
      <w:hyperlink r:id="rId32" w:history="1">
        <w:r w:rsidRPr="001B62FB">
          <w:rPr>
            <w:rStyle w:val="Hyperlink"/>
          </w:rPr>
          <w:t>https://www.fda.gov/medical-devices/implants-and-prosthetics/surgical-mesh-used-hernia-repair</w:t>
        </w:r>
      </w:hyperlink>
      <w:r w:rsidRPr="001B62FB">
        <w:t xml:space="preserve"> (accessed 11 October 2024). </w:t>
      </w:r>
    </w:p>
    <w:p w14:paraId="3F968045" w14:textId="77777777" w:rsidR="00663391" w:rsidRPr="001B62FB" w:rsidRDefault="00663391" w:rsidP="00663391">
      <w:pPr>
        <w:pStyle w:val="References"/>
      </w:pPr>
      <w:r w:rsidRPr="001B62FB">
        <w:t xml:space="preserve">van Veen RN, </w:t>
      </w:r>
      <w:proofErr w:type="spellStart"/>
      <w:r w:rsidRPr="001B62FB">
        <w:t>Wijsmuller</w:t>
      </w:r>
      <w:proofErr w:type="spellEnd"/>
      <w:r w:rsidRPr="001B62FB">
        <w:t xml:space="preserve"> AR, </w:t>
      </w:r>
      <w:proofErr w:type="spellStart"/>
      <w:r w:rsidRPr="001B62FB">
        <w:t>Vrijland</w:t>
      </w:r>
      <w:proofErr w:type="spellEnd"/>
      <w:r w:rsidRPr="001B62FB">
        <w:t xml:space="preserve"> WW, et al. 2007. Long-term follow-up of a randomized clinical trial of non-mesh versus mesh repair of primary inguinal hernia. </w:t>
      </w:r>
      <w:r w:rsidRPr="001B62FB">
        <w:rPr>
          <w:i/>
          <w:iCs/>
        </w:rPr>
        <w:t>British Journal of Surgery</w:t>
      </w:r>
      <w:r w:rsidRPr="001B62FB">
        <w:t xml:space="preserve"> 94(4): 506–10. </w:t>
      </w:r>
    </w:p>
    <w:p w14:paraId="0BC3B7BA" w14:textId="77777777" w:rsidR="00663391" w:rsidRPr="001B62FB" w:rsidRDefault="00663391" w:rsidP="00663391">
      <w:pPr>
        <w:pStyle w:val="References"/>
      </w:pPr>
      <w:proofErr w:type="spellStart"/>
      <w:r w:rsidRPr="001B62FB">
        <w:t>Wailling</w:t>
      </w:r>
      <w:proofErr w:type="spellEnd"/>
      <w:r w:rsidRPr="001B62FB">
        <w:t xml:space="preserve"> J, Marshall C, Wilkinson J. 2019. </w:t>
      </w:r>
      <w:r w:rsidRPr="001B62FB">
        <w:rPr>
          <w:i/>
          <w:iCs/>
        </w:rPr>
        <w:t xml:space="preserve">Hearing and Responding to the Stories of Survivors of Surgical Mesh: </w:t>
      </w:r>
      <w:proofErr w:type="spellStart"/>
      <w:r w:rsidRPr="001B62FB">
        <w:rPr>
          <w:i/>
          <w:iCs/>
        </w:rPr>
        <w:t>Ngā</w:t>
      </w:r>
      <w:proofErr w:type="spellEnd"/>
      <w:r w:rsidRPr="001B62FB">
        <w:rPr>
          <w:i/>
          <w:iCs/>
        </w:rPr>
        <w:t xml:space="preserve"> kōrero a </w:t>
      </w:r>
      <w:proofErr w:type="spellStart"/>
      <w:r w:rsidRPr="001B62FB">
        <w:rPr>
          <w:i/>
          <w:iCs/>
        </w:rPr>
        <w:t>ngā</w:t>
      </w:r>
      <w:proofErr w:type="spellEnd"/>
      <w:r w:rsidRPr="001B62FB">
        <w:rPr>
          <w:i/>
          <w:iCs/>
        </w:rPr>
        <w:t xml:space="preserve"> </w:t>
      </w:r>
      <w:proofErr w:type="spellStart"/>
      <w:r w:rsidRPr="001B62FB">
        <w:rPr>
          <w:i/>
          <w:iCs/>
        </w:rPr>
        <w:t>mōrehu</w:t>
      </w:r>
      <w:proofErr w:type="spellEnd"/>
      <w:r w:rsidRPr="001B62FB">
        <w:rPr>
          <w:i/>
          <w:iCs/>
        </w:rPr>
        <w:t xml:space="preserve"> – he </w:t>
      </w:r>
      <w:proofErr w:type="spellStart"/>
      <w:r w:rsidRPr="001B62FB">
        <w:rPr>
          <w:i/>
          <w:iCs/>
        </w:rPr>
        <w:t>urupare</w:t>
      </w:r>
      <w:proofErr w:type="spellEnd"/>
      <w:r w:rsidRPr="001B62FB">
        <w:t xml:space="preserve"> (A report for the Ministry of Health). Wellington: The Diana Unwin Chair in Restorative Justice, Victoria University of Wellington.</w:t>
      </w:r>
    </w:p>
    <w:p w14:paraId="6E6C1A2F" w14:textId="77777777" w:rsidR="00663391" w:rsidRPr="001B62FB" w:rsidRDefault="00663391" w:rsidP="00663391">
      <w:pPr>
        <w:pStyle w:val="References"/>
      </w:pPr>
      <w:proofErr w:type="spellStart"/>
      <w:r w:rsidRPr="001B62FB">
        <w:t>Wailling</w:t>
      </w:r>
      <w:proofErr w:type="spellEnd"/>
      <w:r w:rsidRPr="001B62FB">
        <w:t xml:space="preserve"> J, Wilkinson J, Marshall C. 2020. </w:t>
      </w:r>
      <w:r w:rsidRPr="001B62FB">
        <w:rPr>
          <w:i/>
          <w:iCs/>
        </w:rPr>
        <w:t xml:space="preserve">Healing after Harm: An evaluation of a restorative approach for addressing harm from surgical mesh. Kia ora </w:t>
      </w:r>
      <w:proofErr w:type="spellStart"/>
      <w:r w:rsidRPr="001B62FB">
        <w:rPr>
          <w:i/>
          <w:iCs/>
        </w:rPr>
        <w:t>te</w:t>
      </w:r>
      <w:proofErr w:type="spellEnd"/>
      <w:r w:rsidRPr="001B62FB">
        <w:rPr>
          <w:i/>
          <w:iCs/>
        </w:rPr>
        <w:t xml:space="preserve"> </w:t>
      </w:r>
      <w:proofErr w:type="spellStart"/>
      <w:r w:rsidRPr="001B62FB">
        <w:rPr>
          <w:i/>
          <w:iCs/>
        </w:rPr>
        <w:t>tangata</w:t>
      </w:r>
      <w:proofErr w:type="spellEnd"/>
      <w:r w:rsidRPr="001B62FB">
        <w:rPr>
          <w:i/>
          <w:iCs/>
        </w:rPr>
        <w:t xml:space="preserve">: He </w:t>
      </w:r>
      <w:proofErr w:type="spellStart"/>
      <w:r w:rsidRPr="001B62FB">
        <w:rPr>
          <w:i/>
          <w:iCs/>
        </w:rPr>
        <w:t>arotakenga</w:t>
      </w:r>
      <w:proofErr w:type="spellEnd"/>
      <w:r w:rsidRPr="001B62FB">
        <w:rPr>
          <w:i/>
          <w:iCs/>
        </w:rPr>
        <w:t xml:space="preserve"> i </w:t>
      </w:r>
      <w:proofErr w:type="spellStart"/>
      <w:r w:rsidRPr="001B62FB">
        <w:rPr>
          <w:i/>
          <w:iCs/>
        </w:rPr>
        <w:t>te</w:t>
      </w:r>
      <w:proofErr w:type="spellEnd"/>
      <w:r w:rsidRPr="001B62FB">
        <w:rPr>
          <w:i/>
          <w:iCs/>
        </w:rPr>
        <w:t xml:space="preserve"> </w:t>
      </w:r>
      <w:proofErr w:type="spellStart"/>
      <w:r w:rsidRPr="001B62FB">
        <w:rPr>
          <w:i/>
          <w:iCs/>
        </w:rPr>
        <w:t>whakahaumanu</w:t>
      </w:r>
      <w:proofErr w:type="spellEnd"/>
      <w:r w:rsidRPr="001B62FB">
        <w:t xml:space="preserve"> (A report for the Ministry of Health). Wellington: The Diana Unwin Chair in Restorative Justice, Victoria University of Wellington.</w:t>
      </w:r>
    </w:p>
    <w:p w14:paraId="44355F15" w14:textId="77777777" w:rsidR="00663391" w:rsidRPr="001B62FB" w:rsidRDefault="00663391" w:rsidP="00663391">
      <w:pPr>
        <w:pStyle w:val="References"/>
      </w:pPr>
      <w:r w:rsidRPr="001B62FB">
        <w:t xml:space="preserve">Welsh Government. 2019. Written Statement: Use of mesh in hernia repair. URL: </w:t>
      </w:r>
      <w:hyperlink r:id="rId33" w:history="1">
        <w:r w:rsidRPr="001B62FB">
          <w:rPr>
            <w:rStyle w:val="Hyperlink"/>
          </w:rPr>
          <w:t>https://www.gov.wales/written-statement-use-mesh-hernia-repair</w:t>
        </w:r>
      </w:hyperlink>
      <w:r w:rsidRPr="001B62FB">
        <w:rPr>
          <w:rStyle w:val="Hyperlink"/>
          <w:rFonts w:cs="Segoe UI"/>
          <w:color w:val="auto"/>
          <w:sz w:val="20"/>
        </w:rPr>
        <w:t xml:space="preserve"> </w:t>
      </w:r>
      <w:r w:rsidRPr="001B62FB">
        <w:t>(accessed 11 October 2024).</w:t>
      </w:r>
      <w:r w:rsidRPr="001B62FB">
        <w:rPr>
          <w:rStyle w:val="Hyperlink"/>
          <w:rFonts w:cs="Segoe UI"/>
          <w:color w:val="auto"/>
          <w:sz w:val="20"/>
        </w:rPr>
        <w:t xml:space="preserve"> </w:t>
      </w:r>
    </w:p>
    <w:p w14:paraId="4E8D7295" w14:textId="77777777" w:rsidR="00663391" w:rsidRPr="001B62FB" w:rsidRDefault="00663391" w:rsidP="00663391">
      <w:pPr>
        <w:pStyle w:val="References"/>
      </w:pPr>
      <w:r w:rsidRPr="001B62FB">
        <w:t xml:space="preserve">Witkowski P, </w:t>
      </w:r>
      <w:proofErr w:type="spellStart"/>
      <w:r w:rsidRPr="001B62FB">
        <w:t>Pirski</w:t>
      </w:r>
      <w:proofErr w:type="spellEnd"/>
      <w:r w:rsidRPr="001B62FB">
        <w:t xml:space="preserve"> MI, </w:t>
      </w:r>
      <w:proofErr w:type="spellStart"/>
      <w:r w:rsidRPr="001B62FB">
        <w:t>Adamonis</w:t>
      </w:r>
      <w:proofErr w:type="spellEnd"/>
      <w:r w:rsidRPr="001B62FB">
        <w:t xml:space="preserve"> W, et al. 2000. Mesh plug versus </w:t>
      </w:r>
      <w:proofErr w:type="spellStart"/>
      <w:r w:rsidRPr="001B62FB">
        <w:t>Bassini</w:t>
      </w:r>
      <w:proofErr w:type="spellEnd"/>
      <w:r w:rsidRPr="001B62FB">
        <w:t xml:space="preserve"> operation: a randomized prospective study. </w:t>
      </w:r>
      <w:r w:rsidRPr="001B62FB">
        <w:rPr>
          <w:i/>
          <w:iCs/>
        </w:rPr>
        <w:t>Hernia</w:t>
      </w:r>
      <w:r w:rsidRPr="001B62FB">
        <w:t xml:space="preserve"> 4(4): 305–310. </w:t>
      </w:r>
    </w:p>
    <w:p w14:paraId="015056BF" w14:textId="77777777" w:rsidR="00663391" w:rsidRPr="001B62FB" w:rsidRDefault="00663391" w:rsidP="00663391">
      <w:pPr>
        <w:pStyle w:val="References"/>
        <w:sectPr w:rsidR="00663391" w:rsidRPr="001B62FB" w:rsidSect="007B6463">
          <w:pgSz w:w="11907" w:h="16840" w:code="9"/>
          <w:pgMar w:top="1418" w:right="1701" w:bottom="1134" w:left="1843" w:header="284" w:footer="425" w:gutter="284"/>
          <w:cols w:space="720"/>
        </w:sectPr>
      </w:pPr>
      <w:proofErr w:type="spellStart"/>
      <w:r w:rsidRPr="001B62FB">
        <w:t>Zieren</w:t>
      </w:r>
      <w:proofErr w:type="spellEnd"/>
      <w:r w:rsidRPr="001B62FB">
        <w:t xml:space="preserve"> J, </w:t>
      </w:r>
      <w:proofErr w:type="spellStart"/>
      <w:r w:rsidRPr="001B62FB">
        <w:t>Zieren</w:t>
      </w:r>
      <w:proofErr w:type="spellEnd"/>
      <w:r w:rsidRPr="001B62FB">
        <w:t xml:space="preserve"> HU, Jacobi CA, et al. 1998. Prospective randomized study comparing laparoscopic and open tension-free inguinal hernia repair with Shouldice’s operation. </w:t>
      </w:r>
      <w:r w:rsidRPr="001B62FB">
        <w:rPr>
          <w:i/>
          <w:iCs/>
        </w:rPr>
        <w:t>American Journal of Surgery</w:t>
      </w:r>
      <w:r w:rsidRPr="001B62FB">
        <w:t xml:space="preserve"> 175(4): 330–3. </w:t>
      </w:r>
    </w:p>
    <w:p w14:paraId="2371A2AF" w14:textId="385661E3" w:rsidR="00663391" w:rsidRDefault="00663391" w:rsidP="00663391">
      <w:pPr>
        <w:pStyle w:val="Heading1"/>
        <w:spacing w:before="0"/>
      </w:pPr>
      <w:bookmarkStart w:id="47" w:name="_Toc181713013"/>
      <w:r w:rsidRPr="00663391">
        <w:t>Appendix 1: Search criteria</w:t>
      </w:r>
      <w:bookmarkEnd w:id="47"/>
    </w:p>
    <w:p w14:paraId="47D588F8" w14:textId="77777777" w:rsidR="00663391" w:rsidRDefault="00663391" w:rsidP="00663391">
      <w:r>
        <w:t>This appendix presents details of our search criteria.</w:t>
      </w:r>
    </w:p>
    <w:p w14:paraId="65F47047" w14:textId="77777777" w:rsidR="00663391" w:rsidRPr="00663391" w:rsidRDefault="00663391" w:rsidP="00663391">
      <w:pPr>
        <w:pStyle w:val="Heading3"/>
      </w:pPr>
      <w:bookmarkStart w:id="48" w:name="_Toc181371230"/>
      <w:r w:rsidRPr="00663391">
        <w:t>Databases</w:t>
      </w:r>
      <w:bookmarkEnd w:id="48"/>
      <w:r w:rsidRPr="00663391">
        <w:t xml:space="preserve"> </w:t>
      </w:r>
    </w:p>
    <w:p w14:paraId="0C5DA0EB" w14:textId="77777777" w:rsidR="00663391" w:rsidRDefault="00663391" w:rsidP="00663391">
      <w:pPr>
        <w:rPr>
          <w:rFonts w:eastAsia="Arial Unicode MS"/>
        </w:rPr>
      </w:pPr>
      <w:r w:rsidRPr="00663391">
        <w:rPr>
          <w:rFonts w:eastAsia="Arial Unicode MS"/>
        </w:rPr>
        <w:t xml:space="preserve">Ovid MEDLINE(R) and </w:t>
      </w:r>
      <w:proofErr w:type="spellStart"/>
      <w:r w:rsidRPr="00663391">
        <w:rPr>
          <w:rFonts w:eastAsia="Arial Unicode MS"/>
        </w:rPr>
        <w:t>Epub</w:t>
      </w:r>
      <w:proofErr w:type="spellEnd"/>
      <w:r w:rsidRPr="00663391">
        <w:rPr>
          <w:rFonts w:eastAsia="Arial Unicode MS"/>
        </w:rPr>
        <w:t xml:space="preserve"> ahead of print, in-process, in-data-</w:t>
      </w:r>
      <w:proofErr w:type="gramStart"/>
      <w:r w:rsidRPr="00663391">
        <w:rPr>
          <w:rFonts w:eastAsia="Arial Unicode MS"/>
        </w:rPr>
        <w:t>review</w:t>
      </w:r>
      <w:proofErr w:type="gramEnd"/>
      <w:r w:rsidRPr="00663391">
        <w:rPr>
          <w:rFonts w:eastAsia="Arial Unicode MS"/>
        </w:rPr>
        <w:t xml:space="preserve"> and other non-indexed citations, daily and versions &lt;1946 to November 03, 2023&gt; </w:t>
      </w:r>
    </w:p>
    <w:p w14:paraId="4BF703E2" w14:textId="3DDABF31" w:rsidR="00663391" w:rsidRDefault="00663391" w:rsidP="00663391">
      <w:pPr>
        <w:pStyle w:val="Heading3"/>
        <w:rPr>
          <w:rFonts w:eastAsia="Arial Unicode MS"/>
        </w:rPr>
      </w:pPr>
      <w:r>
        <w:rPr>
          <w:rFonts w:eastAsia="Arial Unicode MS"/>
        </w:rPr>
        <w:t xml:space="preserve">Search </w:t>
      </w:r>
      <w:proofErr w:type="gramStart"/>
      <w:r>
        <w:rPr>
          <w:rFonts w:eastAsia="Arial Unicode MS"/>
        </w:rPr>
        <w:t>strategy</w:t>
      </w:r>
      <w:proofErr w:type="gramEnd"/>
      <w:r>
        <w:rPr>
          <w:rFonts w:eastAsia="Arial Unicode MS"/>
        </w:rPr>
        <w:t xml:space="preserve"> </w:t>
      </w:r>
    </w:p>
    <w:p w14:paraId="64F60F3D" w14:textId="551AF9ED" w:rsidR="00663391" w:rsidRPr="00663391" w:rsidRDefault="00663391" w:rsidP="00663391">
      <w:pPr>
        <w:rPr>
          <w:rFonts w:eastAsia="Arial Unicode MS"/>
        </w:rPr>
      </w:pPr>
      <w:r w:rsidRPr="00BA4C8D">
        <w:rPr>
          <w:rFonts w:eastAsia="Arial Unicode MS"/>
          <w:b/>
        </w:rPr>
        <w:t>1</w:t>
      </w:r>
      <w:r w:rsidRPr="001A5C09">
        <w:rPr>
          <w:rFonts w:eastAsia="Arial Unicode MS"/>
          <w:bCs/>
        </w:rPr>
        <w:t>.</w:t>
      </w:r>
      <w:r w:rsidRPr="00BA4C8D">
        <w:rPr>
          <w:rFonts w:eastAsia="Arial Unicode MS"/>
          <w:b/>
        </w:rPr>
        <w:t xml:space="preserve"> </w:t>
      </w:r>
      <w:r w:rsidRPr="00BA4C8D">
        <w:rPr>
          <w:rFonts w:eastAsia="Arial Unicode MS"/>
        </w:rPr>
        <w:t>*Surgical Mesh/ae [</w:t>
      </w:r>
      <w:r>
        <w:rPr>
          <w:rFonts w:eastAsia="Arial Unicode MS"/>
        </w:rPr>
        <w:t>a</w:t>
      </w:r>
      <w:r w:rsidRPr="00BA4C8D">
        <w:rPr>
          <w:rFonts w:eastAsia="Arial Unicode MS"/>
        </w:rPr>
        <w:t xml:space="preserve">dverse </w:t>
      </w:r>
      <w:r>
        <w:rPr>
          <w:rFonts w:eastAsia="Arial Unicode MS"/>
        </w:rPr>
        <w:t>e</w:t>
      </w:r>
      <w:r w:rsidRPr="00BA4C8D">
        <w:rPr>
          <w:rFonts w:eastAsia="Arial Unicode MS"/>
        </w:rPr>
        <w:t xml:space="preserve">ffects] </w:t>
      </w:r>
      <w:r w:rsidRPr="00BA4C8D">
        <w:rPr>
          <w:rFonts w:eastAsia="Arial Unicode MS"/>
        </w:rPr>
        <w:br/>
      </w:r>
      <w:r w:rsidRPr="00BA4C8D">
        <w:rPr>
          <w:rFonts w:eastAsia="Arial Unicode MS"/>
          <w:b/>
        </w:rPr>
        <w:t>2</w:t>
      </w:r>
      <w:r w:rsidRPr="00BA4C8D">
        <w:rPr>
          <w:rFonts w:eastAsia="Arial Unicode MS"/>
        </w:rPr>
        <w:t>. *</w:t>
      </w:r>
      <w:proofErr w:type="gramStart"/>
      <w:r w:rsidRPr="00BA4C8D">
        <w:rPr>
          <w:rFonts w:eastAsia="Arial Unicode MS"/>
        </w:rPr>
        <w:t>surgical</w:t>
      </w:r>
      <w:proofErr w:type="gramEnd"/>
      <w:r w:rsidRPr="00BA4C8D">
        <w:rPr>
          <w:rFonts w:eastAsia="Arial Unicode MS"/>
        </w:rPr>
        <w:t xml:space="preserve"> mesh/ </w:t>
      </w:r>
      <w:r w:rsidRPr="00BA4C8D">
        <w:rPr>
          <w:rFonts w:eastAsia="Arial Unicode MS"/>
        </w:rPr>
        <w:br/>
      </w:r>
      <w:r w:rsidRPr="00BA4C8D">
        <w:rPr>
          <w:rFonts w:eastAsia="Arial Unicode MS"/>
          <w:b/>
        </w:rPr>
        <w:t>3</w:t>
      </w:r>
      <w:r w:rsidRPr="001A5C09">
        <w:rPr>
          <w:rFonts w:eastAsia="Arial Unicode MS"/>
          <w:bCs/>
        </w:rPr>
        <w:t>.</w:t>
      </w:r>
      <w:r w:rsidRPr="00BA4C8D">
        <w:rPr>
          <w:rFonts w:eastAsia="Arial Unicode MS"/>
        </w:rPr>
        <w:t> exp *</w:t>
      </w:r>
      <w:r>
        <w:rPr>
          <w:rFonts w:eastAsia="Arial Unicode MS"/>
        </w:rPr>
        <w:t>p</w:t>
      </w:r>
      <w:r w:rsidRPr="00BA4C8D">
        <w:rPr>
          <w:rFonts w:eastAsia="Arial Unicode MS"/>
        </w:rPr>
        <w:t xml:space="preserve">ostoperative </w:t>
      </w:r>
      <w:r>
        <w:rPr>
          <w:rFonts w:eastAsia="Arial Unicode MS"/>
        </w:rPr>
        <w:t>c</w:t>
      </w:r>
      <w:r w:rsidRPr="00BA4C8D">
        <w:rPr>
          <w:rFonts w:eastAsia="Arial Unicode MS"/>
        </w:rPr>
        <w:t xml:space="preserve">omplications/ </w:t>
      </w:r>
      <w:r w:rsidRPr="00BA4C8D">
        <w:rPr>
          <w:rFonts w:eastAsia="Arial Unicode MS"/>
        </w:rPr>
        <w:br/>
      </w:r>
      <w:r w:rsidRPr="00BA4C8D">
        <w:rPr>
          <w:rFonts w:eastAsia="Arial Unicode MS"/>
          <w:b/>
        </w:rPr>
        <w:t>4</w:t>
      </w:r>
      <w:r w:rsidRPr="001A5C09">
        <w:rPr>
          <w:rFonts w:eastAsia="Arial Unicode MS"/>
          <w:bCs/>
        </w:rPr>
        <w:t>.</w:t>
      </w:r>
      <w:r w:rsidRPr="00BA4C8D">
        <w:rPr>
          <w:rFonts w:eastAsia="Arial Unicode MS"/>
        </w:rPr>
        <w:t xml:space="preserve"> *Pain/ or *Chronic Pain/ </w:t>
      </w:r>
      <w:r w:rsidRPr="00BA4C8D">
        <w:rPr>
          <w:rFonts w:eastAsia="Arial Unicode MS"/>
        </w:rPr>
        <w:br/>
      </w:r>
      <w:r w:rsidRPr="00BA4C8D">
        <w:rPr>
          <w:rFonts w:eastAsia="Arial Unicode MS"/>
          <w:b/>
        </w:rPr>
        <w:t>5</w:t>
      </w:r>
      <w:r w:rsidRPr="00BA4C8D">
        <w:rPr>
          <w:rFonts w:eastAsia="Arial Unicode MS"/>
        </w:rPr>
        <w:t xml:space="preserve">. *Seroma/ </w:t>
      </w:r>
      <w:r w:rsidRPr="00BA4C8D">
        <w:rPr>
          <w:rFonts w:eastAsia="Arial Unicode MS"/>
        </w:rPr>
        <w:br/>
      </w:r>
      <w:r w:rsidRPr="00BA4C8D">
        <w:rPr>
          <w:rFonts w:eastAsia="Arial Unicode MS"/>
          <w:b/>
        </w:rPr>
        <w:t>6</w:t>
      </w:r>
      <w:r w:rsidRPr="00BA4C8D">
        <w:rPr>
          <w:rFonts w:eastAsia="Arial Unicode MS"/>
        </w:rPr>
        <w:t xml:space="preserve">. *Hematoma/ or haematoma.mp. </w:t>
      </w:r>
      <w:r w:rsidRPr="00BA4C8D">
        <w:rPr>
          <w:rFonts w:eastAsia="Arial Unicode MS"/>
        </w:rPr>
        <w:br/>
      </w:r>
      <w:r w:rsidRPr="00BA4C8D">
        <w:rPr>
          <w:rFonts w:eastAsia="Arial Unicode MS"/>
          <w:b/>
        </w:rPr>
        <w:t>7</w:t>
      </w:r>
      <w:r w:rsidRPr="00BA4C8D">
        <w:rPr>
          <w:rFonts w:eastAsia="Arial Unicode MS"/>
        </w:rPr>
        <w:t xml:space="preserve">. *Wound Infection/ </w:t>
      </w:r>
      <w:r w:rsidRPr="00BA4C8D">
        <w:rPr>
          <w:rFonts w:eastAsia="Arial Unicode MS"/>
        </w:rPr>
        <w:br/>
      </w:r>
      <w:r w:rsidRPr="00BA4C8D">
        <w:rPr>
          <w:rFonts w:eastAsia="Arial Unicode MS"/>
          <w:b/>
        </w:rPr>
        <w:t>8</w:t>
      </w:r>
      <w:r w:rsidRPr="00BA4C8D">
        <w:rPr>
          <w:rFonts w:eastAsia="Arial Unicode MS"/>
        </w:rPr>
        <w:t xml:space="preserve">. *Recurrence/ or recurrence.mp. </w:t>
      </w:r>
      <w:r w:rsidRPr="00BA4C8D">
        <w:rPr>
          <w:rFonts w:eastAsia="Arial Unicode MS"/>
        </w:rPr>
        <w:br/>
      </w:r>
      <w:r w:rsidRPr="00BA4C8D">
        <w:rPr>
          <w:rFonts w:eastAsia="Arial Unicode MS"/>
          <w:b/>
        </w:rPr>
        <w:t>9</w:t>
      </w:r>
      <w:r w:rsidRPr="00BA4C8D">
        <w:rPr>
          <w:rFonts w:eastAsia="Arial Unicode MS"/>
        </w:rPr>
        <w:t xml:space="preserve">. 3 or 4 or 5 or 6 or 7 or 8 </w:t>
      </w:r>
      <w:r w:rsidRPr="00BA4C8D">
        <w:rPr>
          <w:rFonts w:eastAsia="Arial Unicode MS"/>
        </w:rPr>
        <w:br/>
      </w:r>
      <w:r w:rsidRPr="00BA4C8D">
        <w:rPr>
          <w:rFonts w:eastAsia="Arial Unicode MS"/>
          <w:b/>
        </w:rPr>
        <w:t>10</w:t>
      </w:r>
      <w:r w:rsidRPr="00BA4C8D">
        <w:rPr>
          <w:rFonts w:eastAsia="Arial Unicode MS"/>
        </w:rPr>
        <w:t xml:space="preserve">. 2 and 9 </w:t>
      </w:r>
      <w:r w:rsidRPr="00BA4C8D">
        <w:rPr>
          <w:rFonts w:eastAsia="Arial Unicode MS"/>
        </w:rPr>
        <w:br/>
      </w:r>
      <w:r w:rsidRPr="00BA4C8D">
        <w:rPr>
          <w:rFonts w:eastAsia="Arial Unicode MS"/>
          <w:b/>
        </w:rPr>
        <w:t>11</w:t>
      </w:r>
      <w:r w:rsidRPr="00BA4C8D">
        <w:rPr>
          <w:rFonts w:eastAsia="Arial Unicode MS"/>
        </w:rPr>
        <w:t xml:space="preserve">. exp </w:t>
      </w:r>
      <w:r>
        <w:rPr>
          <w:rFonts w:eastAsia="Arial Unicode MS"/>
        </w:rPr>
        <w:t>h</w:t>
      </w:r>
      <w:r w:rsidRPr="00BA4C8D">
        <w:rPr>
          <w:rFonts w:eastAsia="Arial Unicode MS"/>
        </w:rPr>
        <w:t xml:space="preserve">ernia/ or hernia.mp. </w:t>
      </w:r>
      <w:r w:rsidRPr="00BA4C8D">
        <w:rPr>
          <w:rFonts w:eastAsia="Arial Unicode MS"/>
        </w:rPr>
        <w:br/>
      </w:r>
      <w:r w:rsidRPr="00BA4C8D">
        <w:rPr>
          <w:rFonts w:eastAsia="Arial Unicode MS"/>
          <w:b/>
        </w:rPr>
        <w:t>12</w:t>
      </w:r>
      <w:r w:rsidRPr="00BA4C8D">
        <w:rPr>
          <w:rFonts w:eastAsia="Arial Unicode MS"/>
        </w:rPr>
        <w:t>. (</w:t>
      </w:r>
      <w:proofErr w:type="spellStart"/>
      <w:r w:rsidRPr="00BA4C8D">
        <w:rPr>
          <w:rFonts w:eastAsia="Arial Unicode MS"/>
        </w:rPr>
        <w:t>nonurogyn</w:t>
      </w:r>
      <w:proofErr w:type="spellEnd"/>
      <w:r w:rsidRPr="00BA4C8D">
        <w:rPr>
          <w:rFonts w:eastAsia="Arial Unicode MS"/>
        </w:rPr>
        <w:t>* or non-</w:t>
      </w:r>
      <w:proofErr w:type="spellStart"/>
      <w:r w:rsidRPr="00BA4C8D">
        <w:rPr>
          <w:rFonts w:eastAsia="Arial Unicode MS"/>
        </w:rPr>
        <w:t>urogyn</w:t>
      </w:r>
      <w:proofErr w:type="spellEnd"/>
      <w:r w:rsidRPr="00BA4C8D">
        <w:rPr>
          <w:rFonts w:eastAsia="Arial Unicode MS"/>
        </w:rPr>
        <w:t>*).</w:t>
      </w:r>
      <w:proofErr w:type="spellStart"/>
      <w:r w:rsidRPr="00BA4C8D">
        <w:rPr>
          <w:rFonts w:eastAsia="Arial Unicode MS"/>
        </w:rPr>
        <w:t>mp</w:t>
      </w:r>
      <w:proofErr w:type="spellEnd"/>
      <w:r w:rsidRPr="00BA4C8D">
        <w:rPr>
          <w:rFonts w:eastAsia="Arial Unicode MS"/>
        </w:rPr>
        <w:t>. [</w:t>
      </w:r>
      <w:proofErr w:type="spellStart"/>
      <w:r w:rsidRPr="00BA4C8D">
        <w:rPr>
          <w:rFonts w:eastAsia="Arial Unicode MS"/>
        </w:rPr>
        <w:t>mp</w:t>
      </w:r>
      <w:proofErr w:type="spellEnd"/>
      <w:r w:rsidRPr="00BA4C8D">
        <w:rPr>
          <w:rFonts w:eastAsia="Arial Unicode MS"/>
        </w:rPr>
        <w:t xml:space="preserve">=title,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w:t>
      </w:r>
      <w:r w:rsidRPr="00BA4C8D">
        <w:rPr>
          <w:rFonts w:eastAsia="Arial Unicode MS"/>
        </w:rPr>
        <w:br/>
      </w:r>
      <w:r w:rsidRPr="00BA4C8D">
        <w:rPr>
          <w:rFonts w:eastAsia="Arial Unicode MS"/>
          <w:b/>
        </w:rPr>
        <w:t>13</w:t>
      </w:r>
      <w:r w:rsidRPr="00BA4C8D">
        <w:rPr>
          <w:rFonts w:eastAsia="Arial Unicode MS"/>
        </w:rPr>
        <w:t>. (</w:t>
      </w:r>
      <w:proofErr w:type="spellStart"/>
      <w:r w:rsidRPr="00BA4C8D">
        <w:rPr>
          <w:rFonts w:eastAsia="Arial Unicode MS"/>
        </w:rPr>
        <w:t>nonuro</w:t>
      </w:r>
      <w:proofErr w:type="spellEnd"/>
      <w:r w:rsidRPr="00BA4C8D">
        <w:rPr>
          <w:rFonts w:eastAsia="Arial Unicode MS"/>
        </w:rPr>
        <w:t xml:space="preserve"> or non-</w:t>
      </w:r>
      <w:proofErr w:type="spellStart"/>
      <w:r w:rsidRPr="00BA4C8D">
        <w:rPr>
          <w:rFonts w:eastAsia="Arial Unicode MS"/>
        </w:rPr>
        <w:t>uro</w:t>
      </w:r>
      <w:proofErr w:type="spellEnd"/>
      <w:r w:rsidRPr="00BA4C8D">
        <w:rPr>
          <w:rFonts w:eastAsia="Arial Unicode MS"/>
        </w:rPr>
        <w:t xml:space="preserve"> or </w:t>
      </w:r>
      <w:proofErr w:type="spellStart"/>
      <w:r w:rsidRPr="00BA4C8D">
        <w:rPr>
          <w:rFonts w:eastAsia="Arial Unicode MS"/>
        </w:rPr>
        <w:t>nongyn</w:t>
      </w:r>
      <w:proofErr w:type="spellEnd"/>
      <w:r w:rsidRPr="00BA4C8D">
        <w:rPr>
          <w:rFonts w:eastAsia="Arial Unicode MS"/>
        </w:rPr>
        <w:t xml:space="preserve"> or non-gyn*).</w:t>
      </w:r>
      <w:proofErr w:type="spellStart"/>
      <w:r w:rsidRPr="00BA4C8D">
        <w:rPr>
          <w:rFonts w:eastAsia="Arial Unicode MS"/>
        </w:rPr>
        <w:t>mp</w:t>
      </w:r>
      <w:proofErr w:type="spellEnd"/>
      <w:r w:rsidRPr="00BA4C8D">
        <w:rPr>
          <w:rFonts w:eastAsia="Arial Unicode MS"/>
        </w:rPr>
        <w:t>. [</w:t>
      </w:r>
      <w:proofErr w:type="spellStart"/>
      <w:r w:rsidRPr="00BA4C8D">
        <w:rPr>
          <w:rFonts w:eastAsia="Arial Unicode MS"/>
        </w:rPr>
        <w:t>mp</w:t>
      </w:r>
      <w:proofErr w:type="spellEnd"/>
      <w:r w:rsidRPr="00BA4C8D">
        <w:rPr>
          <w:rFonts w:eastAsia="Arial Unicode MS"/>
        </w:rPr>
        <w:t xml:space="preserve">=title,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w:t>
      </w:r>
    </w:p>
    <w:p w14:paraId="66F46486" w14:textId="77777777" w:rsidR="00663391" w:rsidRPr="00BA4C8D" w:rsidRDefault="00663391" w:rsidP="00663391">
      <w:pPr>
        <w:rPr>
          <w:rFonts w:eastAsia="Arial Unicode MS"/>
          <w:b/>
        </w:rPr>
      </w:pPr>
      <w:r w:rsidRPr="00BA4C8D">
        <w:rPr>
          <w:rFonts w:eastAsia="Arial Unicode MS"/>
          <w:b/>
        </w:rPr>
        <w:t>14</w:t>
      </w:r>
      <w:r w:rsidRPr="00BA4C8D">
        <w:rPr>
          <w:rFonts w:eastAsia="Arial Unicode MS"/>
        </w:rPr>
        <w:t xml:space="preserve">. ((bone or dental or </w:t>
      </w:r>
      <w:r>
        <w:rPr>
          <w:rFonts w:eastAsia="Arial Unicode MS"/>
        </w:rPr>
        <w:t>‘</w:t>
      </w:r>
      <w:r w:rsidRPr="00BA4C8D">
        <w:rPr>
          <w:rFonts w:eastAsia="Arial Unicode MS"/>
        </w:rPr>
        <w:t>soft tissue</w:t>
      </w:r>
      <w:r>
        <w:rPr>
          <w:rFonts w:eastAsia="Arial Unicode MS"/>
        </w:rPr>
        <w:t>’</w:t>
      </w:r>
      <w:r w:rsidRPr="00BA4C8D">
        <w:rPr>
          <w:rFonts w:eastAsia="Arial Unicode MS"/>
        </w:rPr>
        <w:t xml:space="preserve">) and </w:t>
      </w:r>
      <w:proofErr w:type="spellStart"/>
      <w:r w:rsidRPr="00BA4C8D">
        <w:rPr>
          <w:rFonts w:eastAsia="Arial Unicode MS"/>
        </w:rPr>
        <w:t>surger</w:t>
      </w:r>
      <w:proofErr w:type="spellEnd"/>
      <w:r w:rsidRPr="00BA4C8D">
        <w:rPr>
          <w:rFonts w:eastAsia="Arial Unicode MS"/>
        </w:rPr>
        <w:t>*).</w:t>
      </w:r>
      <w:proofErr w:type="spellStart"/>
      <w:r w:rsidRPr="00BA4C8D">
        <w:rPr>
          <w:rFonts w:eastAsia="Arial Unicode MS"/>
        </w:rPr>
        <w:t>mp</w:t>
      </w:r>
      <w:proofErr w:type="spellEnd"/>
      <w:r w:rsidRPr="00BA4C8D">
        <w:rPr>
          <w:rFonts w:eastAsia="Arial Unicode MS"/>
        </w:rPr>
        <w:t>. [</w:t>
      </w:r>
      <w:proofErr w:type="spellStart"/>
      <w:r w:rsidRPr="00BA4C8D">
        <w:rPr>
          <w:rFonts w:eastAsia="Arial Unicode MS"/>
        </w:rPr>
        <w:t>mp</w:t>
      </w:r>
      <w:proofErr w:type="spellEnd"/>
      <w:r w:rsidRPr="00BA4C8D">
        <w:rPr>
          <w:rFonts w:eastAsia="Arial Unicode MS"/>
        </w:rPr>
        <w:t xml:space="preserve">=title,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w:t>
      </w:r>
      <w:r w:rsidRPr="00BA4C8D">
        <w:rPr>
          <w:rFonts w:eastAsia="Arial Unicode MS"/>
        </w:rPr>
        <w:br/>
      </w:r>
      <w:r w:rsidRPr="00BA4C8D">
        <w:rPr>
          <w:rFonts w:eastAsia="Arial Unicode MS"/>
          <w:b/>
        </w:rPr>
        <w:t>15</w:t>
      </w:r>
      <w:r w:rsidRPr="00BA4C8D">
        <w:rPr>
          <w:rFonts w:eastAsia="Arial Unicode MS"/>
        </w:rPr>
        <w:t xml:space="preserve">. 11 or 12 or 13 or 14 </w:t>
      </w:r>
      <w:r w:rsidRPr="00BA4C8D">
        <w:rPr>
          <w:rFonts w:eastAsia="Arial Unicode MS"/>
        </w:rPr>
        <w:br/>
      </w:r>
      <w:r w:rsidRPr="00BA4C8D">
        <w:rPr>
          <w:rFonts w:eastAsia="Arial Unicode MS"/>
          <w:b/>
        </w:rPr>
        <w:t>16</w:t>
      </w:r>
      <w:r w:rsidRPr="00BA4C8D">
        <w:rPr>
          <w:rFonts w:eastAsia="Arial Unicode MS"/>
        </w:rPr>
        <w:t xml:space="preserve">. (1 or 10) and 15 </w:t>
      </w:r>
      <w:r w:rsidRPr="00BA4C8D">
        <w:rPr>
          <w:rFonts w:eastAsia="Arial Unicode MS"/>
        </w:rPr>
        <w:br/>
      </w:r>
      <w:r w:rsidRPr="00BA4C8D">
        <w:rPr>
          <w:rFonts w:eastAsia="Arial Unicode MS"/>
          <w:b/>
        </w:rPr>
        <w:t>17</w:t>
      </w:r>
      <w:r w:rsidRPr="00BA4C8D">
        <w:rPr>
          <w:rFonts w:eastAsia="Arial Unicode MS"/>
        </w:rPr>
        <w:t xml:space="preserve">. Prevalence/ or prevalence.mp. </w:t>
      </w:r>
      <w:r w:rsidRPr="00BA4C8D">
        <w:rPr>
          <w:rFonts w:eastAsia="Arial Unicode MS"/>
        </w:rPr>
        <w:br/>
      </w:r>
      <w:r w:rsidRPr="00BA4C8D">
        <w:rPr>
          <w:rFonts w:eastAsia="Arial Unicode MS"/>
          <w:b/>
        </w:rPr>
        <w:t>18</w:t>
      </w:r>
      <w:r w:rsidRPr="00BA4C8D">
        <w:rPr>
          <w:rFonts w:eastAsia="Arial Unicode MS"/>
        </w:rPr>
        <w:t xml:space="preserve">. incidence.mp. or Incidence/ </w:t>
      </w:r>
      <w:r w:rsidRPr="00BA4C8D">
        <w:rPr>
          <w:rFonts w:eastAsia="Arial Unicode MS"/>
        </w:rPr>
        <w:br/>
      </w:r>
      <w:r w:rsidRPr="00BA4C8D">
        <w:rPr>
          <w:rFonts w:eastAsia="Arial Unicode MS"/>
          <w:b/>
        </w:rPr>
        <w:t>19</w:t>
      </w:r>
      <w:r w:rsidRPr="00BA4C8D">
        <w:rPr>
          <w:rFonts w:eastAsia="Arial Unicode MS"/>
        </w:rPr>
        <w:t>. registries/ or registry.mp. or registries.mp. or hernia database*.</w:t>
      </w:r>
      <w:proofErr w:type="spellStart"/>
      <w:r w:rsidRPr="00BA4C8D">
        <w:rPr>
          <w:rFonts w:eastAsia="Arial Unicode MS"/>
        </w:rPr>
        <w:t>mp</w:t>
      </w:r>
      <w:proofErr w:type="spellEnd"/>
      <w:r w:rsidRPr="00BA4C8D">
        <w:rPr>
          <w:rFonts w:eastAsia="Arial Unicode MS"/>
        </w:rPr>
        <w:t>. [</w:t>
      </w:r>
      <w:proofErr w:type="spellStart"/>
      <w:r w:rsidRPr="00BA4C8D">
        <w:rPr>
          <w:rFonts w:eastAsia="Arial Unicode MS"/>
        </w:rPr>
        <w:t>mp</w:t>
      </w:r>
      <w:proofErr w:type="spellEnd"/>
      <w:r w:rsidRPr="00BA4C8D">
        <w:rPr>
          <w:rFonts w:eastAsia="Arial Unicode MS"/>
        </w:rPr>
        <w:t xml:space="preserve">=title,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w:t>
      </w:r>
      <w:r w:rsidRPr="00BA4C8D">
        <w:rPr>
          <w:rFonts w:eastAsia="Arial Unicode MS"/>
        </w:rPr>
        <w:br/>
      </w:r>
      <w:r w:rsidRPr="00BA4C8D">
        <w:rPr>
          <w:rFonts w:eastAsia="Arial Unicode MS"/>
          <w:b/>
        </w:rPr>
        <w:t>20</w:t>
      </w:r>
      <w:r w:rsidRPr="00BA4C8D">
        <w:rPr>
          <w:rFonts w:eastAsia="Arial Unicode MS"/>
        </w:rPr>
        <w:t xml:space="preserve">. (rate* adj7 (complication* or </w:t>
      </w:r>
      <w:r>
        <w:rPr>
          <w:rFonts w:eastAsia="Arial Unicode MS"/>
        </w:rPr>
        <w:t>‘</w:t>
      </w:r>
      <w:r w:rsidRPr="00BA4C8D">
        <w:rPr>
          <w:rFonts w:eastAsia="Arial Unicode MS"/>
        </w:rPr>
        <w:t>adverse event*</w:t>
      </w:r>
      <w:r>
        <w:rPr>
          <w:rFonts w:eastAsia="Arial Unicode MS"/>
        </w:rPr>
        <w:t>’</w:t>
      </w:r>
      <w:r w:rsidRPr="00BA4C8D">
        <w:rPr>
          <w:rFonts w:eastAsia="Arial Unicode MS"/>
        </w:rPr>
        <w:t>)).</w:t>
      </w:r>
      <w:proofErr w:type="spellStart"/>
      <w:r w:rsidRPr="00BA4C8D">
        <w:rPr>
          <w:rFonts w:eastAsia="Arial Unicode MS"/>
        </w:rPr>
        <w:t>mp</w:t>
      </w:r>
      <w:proofErr w:type="spellEnd"/>
      <w:r w:rsidRPr="00BA4C8D">
        <w:rPr>
          <w:rFonts w:eastAsia="Arial Unicode MS"/>
        </w:rPr>
        <w:t>. [</w:t>
      </w:r>
      <w:proofErr w:type="spellStart"/>
      <w:r w:rsidRPr="00BA4C8D">
        <w:rPr>
          <w:rFonts w:eastAsia="Arial Unicode MS"/>
        </w:rPr>
        <w:t>mp</w:t>
      </w:r>
      <w:proofErr w:type="spellEnd"/>
      <w:r w:rsidRPr="00BA4C8D">
        <w:rPr>
          <w:rFonts w:eastAsia="Arial Unicode MS"/>
        </w:rPr>
        <w:t xml:space="preserve">=title,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w:t>
      </w:r>
      <w:r w:rsidRPr="00BA4C8D">
        <w:rPr>
          <w:rFonts w:eastAsia="Arial Unicode MS"/>
        </w:rPr>
        <w:br/>
      </w:r>
      <w:r w:rsidRPr="00BA4C8D">
        <w:rPr>
          <w:rFonts w:eastAsia="Arial Unicode MS"/>
          <w:b/>
        </w:rPr>
        <w:t>21</w:t>
      </w:r>
      <w:r w:rsidRPr="00BA4C8D">
        <w:rPr>
          <w:rFonts w:eastAsia="Arial Unicode MS"/>
        </w:rPr>
        <w:t>. surgical mesh/</w:t>
      </w:r>
      <w:proofErr w:type="spellStart"/>
      <w:r w:rsidRPr="00BA4C8D">
        <w:rPr>
          <w:rFonts w:eastAsia="Arial Unicode MS"/>
        </w:rPr>
        <w:t>sn</w:t>
      </w:r>
      <w:proofErr w:type="spellEnd"/>
      <w:r w:rsidRPr="00BA4C8D">
        <w:rPr>
          <w:rFonts w:eastAsia="Arial Unicode MS"/>
        </w:rPr>
        <w:t xml:space="preserve"> </w:t>
      </w:r>
    </w:p>
    <w:p w14:paraId="48C1558D" w14:textId="77777777" w:rsidR="00663391" w:rsidRPr="00BA4C8D" w:rsidRDefault="00663391" w:rsidP="00663391">
      <w:pPr>
        <w:rPr>
          <w:rFonts w:eastAsia="Arial Unicode MS"/>
        </w:rPr>
      </w:pPr>
      <w:r w:rsidRPr="00BA4C8D">
        <w:rPr>
          <w:rFonts w:eastAsia="Arial Unicode MS"/>
          <w:b/>
        </w:rPr>
        <w:t>22</w:t>
      </w:r>
      <w:r w:rsidRPr="00BA4C8D">
        <w:rPr>
          <w:rFonts w:eastAsia="Arial Unicode MS"/>
        </w:rPr>
        <w:t xml:space="preserve">. ((prospective* adj7 (complication* or </w:t>
      </w:r>
      <w:r>
        <w:rPr>
          <w:rFonts w:eastAsia="Arial Unicode MS"/>
        </w:rPr>
        <w:t>‘</w:t>
      </w:r>
      <w:r w:rsidRPr="00BA4C8D">
        <w:rPr>
          <w:rFonts w:eastAsia="Arial Unicode MS"/>
        </w:rPr>
        <w:t>adverse event*</w:t>
      </w:r>
      <w:r>
        <w:rPr>
          <w:rFonts w:eastAsia="Arial Unicode MS"/>
        </w:rPr>
        <w:t>’</w:t>
      </w:r>
      <w:r w:rsidRPr="00BA4C8D">
        <w:rPr>
          <w:rFonts w:eastAsia="Arial Unicode MS"/>
        </w:rPr>
        <w:t xml:space="preserve">)) or (retrospective* adj7 (complication* or </w:t>
      </w:r>
      <w:r>
        <w:rPr>
          <w:rFonts w:eastAsia="Arial Unicode MS"/>
        </w:rPr>
        <w:t>‘</w:t>
      </w:r>
      <w:r w:rsidRPr="00BA4C8D">
        <w:rPr>
          <w:rFonts w:eastAsia="Arial Unicode MS"/>
        </w:rPr>
        <w:t>adverse event*</w:t>
      </w:r>
      <w:r>
        <w:rPr>
          <w:rFonts w:eastAsia="Arial Unicode MS"/>
        </w:rPr>
        <w:t>’</w:t>
      </w:r>
      <w:r w:rsidRPr="00BA4C8D">
        <w:rPr>
          <w:rFonts w:eastAsia="Arial Unicode MS"/>
        </w:rPr>
        <w:t>)).</w:t>
      </w:r>
      <w:proofErr w:type="spellStart"/>
      <w:r w:rsidRPr="00BA4C8D">
        <w:rPr>
          <w:rFonts w:eastAsia="Arial Unicode MS"/>
        </w:rPr>
        <w:t>mp</w:t>
      </w:r>
      <w:proofErr w:type="spellEnd"/>
      <w:r w:rsidRPr="00BA4C8D">
        <w:rPr>
          <w:rFonts w:eastAsia="Arial Unicode MS"/>
        </w:rPr>
        <w:t>. [</w:t>
      </w:r>
      <w:proofErr w:type="spellStart"/>
      <w:r w:rsidRPr="00BA4C8D">
        <w:rPr>
          <w:rFonts w:eastAsia="Arial Unicode MS"/>
        </w:rPr>
        <w:t>mp</w:t>
      </w:r>
      <w:proofErr w:type="spellEnd"/>
      <w:r w:rsidRPr="00BA4C8D">
        <w:rPr>
          <w:rFonts w:eastAsia="Arial Unicode MS"/>
        </w:rPr>
        <w:t xml:space="preserve">=title, book title, abstract, original title, name of substance word, subject heading word, floating sub-heading word, keyword heading word, organism supplementary concept word, protocol supplementary concept word, rare disease supplementary concept word, unique identifier, synonyms, population supplementary concept word, anatomy supplementary concept word] </w:t>
      </w:r>
      <w:r w:rsidRPr="00BA4C8D">
        <w:rPr>
          <w:rFonts w:eastAsia="Arial Unicode MS"/>
        </w:rPr>
        <w:br/>
      </w:r>
      <w:r w:rsidRPr="00BA4C8D">
        <w:rPr>
          <w:rFonts w:eastAsia="Arial Unicode MS"/>
          <w:b/>
        </w:rPr>
        <w:t>23</w:t>
      </w:r>
      <w:r w:rsidRPr="00BA4C8D">
        <w:rPr>
          <w:rFonts w:eastAsia="Arial Unicode MS"/>
        </w:rPr>
        <w:t xml:space="preserve">. 17 or 18 or 19 or 20 or 21 or 22 </w:t>
      </w:r>
      <w:r w:rsidRPr="00BA4C8D">
        <w:rPr>
          <w:rFonts w:eastAsia="Arial Unicode MS"/>
        </w:rPr>
        <w:br/>
      </w:r>
      <w:r w:rsidRPr="00BA4C8D">
        <w:rPr>
          <w:rFonts w:eastAsia="Arial Unicode MS"/>
          <w:b/>
        </w:rPr>
        <w:t>24</w:t>
      </w:r>
      <w:r w:rsidRPr="0069047D">
        <w:rPr>
          <w:rFonts w:eastAsia="Arial Unicode MS"/>
          <w:bCs/>
        </w:rPr>
        <w:t>.</w:t>
      </w:r>
      <w:r w:rsidRPr="00BA4C8D">
        <w:rPr>
          <w:rFonts w:eastAsia="Arial Unicode MS"/>
        </w:rPr>
        <w:t xml:space="preserve"> 16 and 23 </w:t>
      </w:r>
      <w:r w:rsidRPr="00BA4C8D">
        <w:rPr>
          <w:rFonts w:eastAsia="Arial Unicode MS"/>
        </w:rPr>
        <w:br/>
      </w:r>
      <w:r w:rsidRPr="00BA4C8D">
        <w:rPr>
          <w:rFonts w:eastAsia="Arial Unicode MS"/>
          <w:b/>
        </w:rPr>
        <w:t>25</w:t>
      </w:r>
      <w:r>
        <w:rPr>
          <w:rFonts w:eastAsia="Arial Unicode MS"/>
        </w:rPr>
        <w:t>.</w:t>
      </w:r>
      <w:r w:rsidRPr="00BA4C8D">
        <w:rPr>
          <w:rFonts w:eastAsia="Arial Unicode MS"/>
        </w:rPr>
        <w:t> limit 24 to (</w:t>
      </w:r>
      <w:proofErr w:type="spellStart"/>
      <w:r w:rsidRPr="00BA4C8D">
        <w:rPr>
          <w:rFonts w:eastAsia="Arial Unicode MS"/>
        </w:rPr>
        <w:t>english</w:t>
      </w:r>
      <w:proofErr w:type="spellEnd"/>
      <w:r w:rsidRPr="00BA4C8D">
        <w:rPr>
          <w:rFonts w:eastAsia="Arial Unicode MS"/>
        </w:rPr>
        <w:t xml:space="preserve"> language and </w:t>
      </w:r>
      <w:proofErr w:type="spellStart"/>
      <w:r w:rsidRPr="00BA4C8D">
        <w:rPr>
          <w:rFonts w:eastAsia="Arial Unicode MS"/>
        </w:rPr>
        <w:t>yr</w:t>
      </w:r>
      <w:proofErr w:type="spellEnd"/>
      <w:r w:rsidRPr="00BA4C8D">
        <w:rPr>
          <w:rFonts w:eastAsia="Arial Unicode MS"/>
        </w:rPr>
        <w:t>=</w:t>
      </w:r>
      <w:r>
        <w:rPr>
          <w:rFonts w:eastAsia="Arial Unicode MS"/>
        </w:rPr>
        <w:t>’</w:t>
      </w:r>
      <w:r w:rsidRPr="00BA4C8D">
        <w:rPr>
          <w:rFonts w:eastAsia="Arial Unicode MS"/>
        </w:rPr>
        <w:t>2018 -Current</w:t>
      </w:r>
      <w:r>
        <w:rPr>
          <w:rFonts w:eastAsia="Arial Unicode MS"/>
        </w:rPr>
        <w:t>’</w:t>
      </w:r>
      <w:r w:rsidRPr="00BA4C8D">
        <w:rPr>
          <w:rFonts w:eastAsia="Arial Unicode MS"/>
        </w:rPr>
        <w:t>)</w:t>
      </w:r>
    </w:p>
    <w:p w14:paraId="0E6F33FF" w14:textId="05FAAA81" w:rsidR="00357E97" w:rsidRPr="006B54C5" w:rsidRDefault="00357E97" w:rsidP="00663391">
      <w:pPr>
        <w:pStyle w:val="References"/>
        <w:rPr>
          <w:sz w:val="22"/>
        </w:rPr>
      </w:pPr>
    </w:p>
    <w:p w14:paraId="306466E4" w14:textId="77777777" w:rsidR="00663391" w:rsidRDefault="00663391" w:rsidP="00357E97">
      <w:pPr>
        <w:sectPr w:rsidR="00663391" w:rsidSect="007B6463">
          <w:pgSz w:w="11907" w:h="16840" w:code="9"/>
          <w:pgMar w:top="1418" w:right="1701" w:bottom="1134" w:left="1843" w:header="284" w:footer="425" w:gutter="284"/>
          <w:cols w:space="720"/>
        </w:sectPr>
      </w:pPr>
    </w:p>
    <w:p w14:paraId="6F8D209F" w14:textId="77777777" w:rsidR="00663391" w:rsidRPr="00663391" w:rsidRDefault="00663391" w:rsidP="00663391">
      <w:pPr>
        <w:pStyle w:val="Heading1"/>
        <w:spacing w:before="0"/>
      </w:pPr>
      <w:bookmarkStart w:id="49" w:name="_Toc181371231"/>
      <w:bookmarkStart w:id="50" w:name="_Toc181713014"/>
      <w:r w:rsidRPr="00663391">
        <w:t>Appendix 2: Outcome tables</w:t>
      </w:r>
      <w:bookmarkEnd w:id="49"/>
      <w:bookmarkEnd w:id="50"/>
    </w:p>
    <w:p w14:paraId="14296595" w14:textId="77777777" w:rsidR="00663391" w:rsidRDefault="00663391" w:rsidP="00663391">
      <w:r>
        <w:t xml:space="preserve">This appendix presents the outcomes we identified and extracted </w:t>
      </w:r>
      <w:proofErr w:type="gramStart"/>
      <w:r>
        <w:t>in the course of</w:t>
      </w:r>
      <w:proofErr w:type="gramEnd"/>
      <w:r>
        <w:t xml:space="preserve"> our review. </w:t>
      </w:r>
    </w:p>
    <w:p w14:paraId="132AB550" w14:textId="77777777" w:rsidR="00663391" w:rsidRPr="00E57FC9" w:rsidRDefault="00663391" w:rsidP="00663391">
      <w:pPr>
        <w:pStyle w:val="Heading4"/>
      </w:pPr>
      <w:r w:rsidRPr="00E57FC9">
        <w:t xml:space="preserve">General </w:t>
      </w:r>
      <w:r>
        <w:t>k</w:t>
      </w:r>
      <w:r w:rsidRPr="00E57FC9">
        <w:t>ey</w:t>
      </w:r>
    </w:p>
    <w:p w14:paraId="687A69AB" w14:textId="77777777" w:rsidR="00663391" w:rsidRPr="007B1D0C" w:rsidRDefault="00663391" w:rsidP="00663391">
      <w:pPr>
        <w:rPr>
          <w:sz w:val="28"/>
          <w:szCs w:val="24"/>
        </w:rPr>
      </w:pPr>
      <w:r w:rsidRPr="007B1D0C">
        <w:rPr>
          <w:noProof/>
          <w:sz w:val="28"/>
          <w:szCs w:val="24"/>
        </w:rPr>
        <w:drawing>
          <wp:inline distT="0" distB="0" distL="0" distR="0" wp14:anchorId="3B34BA62" wp14:editId="75E0E42E">
            <wp:extent cx="4087150" cy="5037666"/>
            <wp:effectExtent l="0" t="0" r="889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26327" cy="5085954"/>
                    </a:xfrm>
                    <a:prstGeom prst="rect">
                      <a:avLst/>
                    </a:prstGeom>
                    <a:noFill/>
                    <a:ln>
                      <a:noFill/>
                    </a:ln>
                  </pic:spPr>
                </pic:pic>
              </a:graphicData>
            </a:graphic>
          </wp:inline>
        </w:drawing>
      </w:r>
    </w:p>
    <w:p w14:paraId="76415954" w14:textId="77777777" w:rsidR="00663391" w:rsidRDefault="00663391" w:rsidP="00357E97">
      <w:pPr>
        <w:sectPr w:rsidR="00663391" w:rsidSect="00663391">
          <w:headerReference w:type="default" r:id="rId35"/>
          <w:footerReference w:type="even" r:id="rId36"/>
          <w:footerReference w:type="default" r:id="rId37"/>
          <w:pgSz w:w="11907" w:h="16840" w:code="9"/>
          <w:pgMar w:top="1418" w:right="1701" w:bottom="1134" w:left="1843" w:header="284" w:footer="425" w:gutter="284"/>
          <w:cols w:space="720"/>
        </w:sectPr>
      </w:pPr>
    </w:p>
    <w:p w14:paraId="717B54EF" w14:textId="0DF1E5AB" w:rsidR="00663391" w:rsidRPr="00BA4C8D" w:rsidRDefault="00663391" w:rsidP="00663391">
      <w:pPr>
        <w:pStyle w:val="Table"/>
      </w:pPr>
      <w:bookmarkStart w:id="51" w:name="_Toc181675641"/>
      <w:bookmarkStart w:id="52" w:name="_Hlk153815270"/>
      <w:r>
        <w:t xml:space="preserve">Table </w:t>
      </w:r>
      <w:r>
        <w:fldChar w:fldCharType="begin"/>
      </w:r>
      <w:r>
        <w:instrText xml:space="preserve"> SEQ Table \* ARABIC </w:instrText>
      </w:r>
      <w:r>
        <w:fldChar w:fldCharType="separate"/>
      </w:r>
      <w:r w:rsidR="00A94319">
        <w:rPr>
          <w:noProof/>
        </w:rPr>
        <w:t>1</w:t>
      </w:r>
      <w:r>
        <w:fldChar w:fldCharType="end"/>
      </w:r>
      <w:r>
        <w:t xml:space="preserve">: </w:t>
      </w:r>
      <w:r w:rsidRPr="00BA4C8D">
        <w:t xml:space="preserve">Outcomes </w:t>
      </w:r>
      <w:r>
        <w:t>r</w:t>
      </w:r>
      <w:r w:rsidRPr="00BA4C8D">
        <w:t xml:space="preserve">eported </w:t>
      </w:r>
      <w:r>
        <w:t>b</w:t>
      </w:r>
      <w:r w:rsidRPr="00BA4C8D">
        <w:t>y 25 RCT</w:t>
      </w:r>
      <w:r>
        <w:t>s</w:t>
      </w:r>
      <w:r w:rsidRPr="00BA4C8D">
        <w:t xml:space="preserve"> </w:t>
      </w:r>
      <w:r>
        <w:t>c</w:t>
      </w:r>
      <w:r w:rsidRPr="00BA4C8D">
        <w:t xml:space="preserve">omparing </w:t>
      </w:r>
      <w:r>
        <w:t>m</w:t>
      </w:r>
      <w:r w:rsidRPr="00BA4C8D">
        <w:t xml:space="preserve">esh </w:t>
      </w:r>
      <w:r>
        <w:t>and n</w:t>
      </w:r>
      <w:r w:rsidRPr="00BA4C8D">
        <w:t>on-</w:t>
      </w:r>
      <w:r>
        <w:t>m</w:t>
      </w:r>
      <w:r w:rsidRPr="00BA4C8D">
        <w:t xml:space="preserve">esh </w:t>
      </w:r>
      <w:r>
        <w:t>h</w:t>
      </w:r>
      <w:r w:rsidRPr="00BA4C8D">
        <w:t xml:space="preserve">ernia </w:t>
      </w:r>
      <w:proofErr w:type="gramStart"/>
      <w:r>
        <w:t>r</w:t>
      </w:r>
      <w:r w:rsidRPr="00BA4C8D">
        <w:t>epair</w:t>
      </w:r>
      <w:bookmarkEnd w:id="51"/>
      <w:proofErr w:type="gramEnd"/>
    </w:p>
    <w:bookmarkEnd w:id="52"/>
    <w:p w14:paraId="237645F8" w14:textId="77777777" w:rsidR="00663391" w:rsidRPr="008604A5" w:rsidRDefault="00663391" w:rsidP="00663391">
      <w:r w:rsidRPr="008604A5">
        <w:rPr>
          <w:noProof/>
        </w:rPr>
        <w:drawing>
          <wp:inline distT="0" distB="0" distL="0" distR="0" wp14:anchorId="46182114" wp14:editId="4F9EA595">
            <wp:extent cx="9973570" cy="2305878"/>
            <wp:effectExtent l="0" t="0" r="889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79059" cy="2307147"/>
                    </a:xfrm>
                    <a:prstGeom prst="rect">
                      <a:avLst/>
                    </a:prstGeom>
                    <a:noFill/>
                    <a:ln>
                      <a:noFill/>
                    </a:ln>
                  </pic:spPr>
                </pic:pic>
              </a:graphicData>
            </a:graphic>
          </wp:inline>
        </w:drawing>
      </w:r>
    </w:p>
    <w:p w14:paraId="0B66F95D" w14:textId="5D209574" w:rsidR="00663391" w:rsidRPr="00BA4C8D" w:rsidRDefault="00663391" w:rsidP="00663391">
      <w:pPr>
        <w:pStyle w:val="Table"/>
      </w:pPr>
      <w:bookmarkStart w:id="53" w:name="_Toc181675642"/>
      <w:r>
        <w:t xml:space="preserve">Table </w:t>
      </w:r>
      <w:r>
        <w:fldChar w:fldCharType="begin"/>
      </w:r>
      <w:r>
        <w:instrText xml:space="preserve"> SEQ Table \* ARABIC </w:instrText>
      </w:r>
      <w:r>
        <w:fldChar w:fldCharType="separate"/>
      </w:r>
      <w:r w:rsidR="00A94319">
        <w:rPr>
          <w:noProof/>
        </w:rPr>
        <w:t>2</w:t>
      </w:r>
      <w:r>
        <w:fldChar w:fldCharType="end"/>
      </w:r>
      <w:r>
        <w:t xml:space="preserve">: </w:t>
      </w:r>
      <w:r w:rsidRPr="00BA4C8D">
        <w:t xml:space="preserve">Outcomes </w:t>
      </w:r>
      <w:r>
        <w:t>r</w:t>
      </w:r>
      <w:r w:rsidRPr="00BA4C8D">
        <w:t xml:space="preserve">eported </w:t>
      </w:r>
      <w:r>
        <w:t>b</w:t>
      </w:r>
      <w:r w:rsidRPr="00BA4C8D">
        <w:t>y 25 RCT</w:t>
      </w:r>
      <w:r>
        <w:t>s</w:t>
      </w:r>
      <w:r w:rsidRPr="00BA4C8D">
        <w:t xml:space="preserve"> </w:t>
      </w:r>
      <w:r>
        <w:t>c</w:t>
      </w:r>
      <w:r w:rsidRPr="00BA4C8D">
        <w:t xml:space="preserve">omparing </w:t>
      </w:r>
      <w:r>
        <w:t>m</w:t>
      </w:r>
      <w:r w:rsidRPr="00BA4C8D">
        <w:t xml:space="preserve">esh </w:t>
      </w:r>
      <w:r>
        <w:t>and n</w:t>
      </w:r>
      <w:r w:rsidRPr="00BA4C8D">
        <w:t>on-</w:t>
      </w:r>
      <w:r>
        <w:t>m</w:t>
      </w:r>
      <w:r w:rsidRPr="00BA4C8D">
        <w:t xml:space="preserve">esh </w:t>
      </w:r>
      <w:r>
        <w:t>h</w:t>
      </w:r>
      <w:r w:rsidRPr="00BA4C8D">
        <w:t xml:space="preserve">ernia </w:t>
      </w:r>
      <w:proofErr w:type="gramStart"/>
      <w:r>
        <w:t>r</w:t>
      </w:r>
      <w:r w:rsidRPr="00BA4C8D">
        <w:t>epair</w:t>
      </w:r>
      <w:bookmarkEnd w:id="53"/>
      <w:proofErr w:type="gramEnd"/>
    </w:p>
    <w:p w14:paraId="08791617" w14:textId="77777777" w:rsidR="00663391" w:rsidRPr="00C15E2D" w:rsidRDefault="00663391" w:rsidP="00663391">
      <w:r w:rsidRPr="00C15E2D">
        <w:rPr>
          <w:noProof/>
        </w:rPr>
        <w:drawing>
          <wp:inline distT="0" distB="0" distL="0" distR="0" wp14:anchorId="41776591" wp14:editId="14431C20">
            <wp:extent cx="9777730" cy="2209165"/>
            <wp:effectExtent l="0" t="0" r="0" b="63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77730" cy="2209165"/>
                    </a:xfrm>
                    <a:prstGeom prst="rect">
                      <a:avLst/>
                    </a:prstGeom>
                    <a:noFill/>
                    <a:ln>
                      <a:noFill/>
                    </a:ln>
                  </pic:spPr>
                </pic:pic>
              </a:graphicData>
            </a:graphic>
          </wp:inline>
        </w:drawing>
      </w:r>
    </w:p>
    <w:p w14:paraId="285137C4" w14:textId="77777777" w:rsidR="00663391" w:rsidRDefault="00663391" w:rsidP="00663391">
      <w:pPr>
        <w:rPr>
          <w:rFonts w:cs="Segoe UI"/>
          <w:sz w:val="20"/>
        </w:rPr>
      </w:pPr>
      <w:bookmarkStart w:id="54" w:name="_Hlk153815365"/>
    </w:p>
    <w:p w14:paraId="4ED511A6" w14:textId="63B0BB11" w:rsidR="00663391" w:rsidRPr="000E43C7" w:rsidRDefault="00663391" w:rsidP="000E43C7">
      <w:pPr>
        <w:pStyle w:val="Table"/>
      </w:pPr>
      <w:bookmarkStart w:id="55" w:name="_Toc181675643"/>
      <w:r>
        <w:t xml:space="preserve">Table </w:t>
      </w:r>
      <w:r>
        <w:fldChar w:fldCharType="begin"/>
      </w:r>
      <w:r>
        <w:instrText xml:space="preserve"> SEQ Table \* ARABIC </w:instrText>
      </w:r>
      <w:r>
        <w:fldChar w:fldCharType="separate"/>
      </w:r>
      <w:r w:rsidR="00A94319">
        <w:rPr>
          <w:noProof/>
        </w:rPr>
        <w:t>3</w:t>
      </w:r>
      <w:r>
        <w:fldChar w:fldCharType="end"/>
      </w:r>
      <w:r>
        <w:t xml:space="preserve">: </w:t>
      </w:r>
      <w:r w:rsidRPr="000E43C7">
        <w:t xml:space="preserve">Outcomes reported by 25 RCTs comparing mesh and non-mesh hernia </w:t>
      </w:r>
      <w:proofErr w:type="gramStart"/>
      <w:r w:rsidRPr="000E43C7">
        <w:t>repair</w:t>
      </w:r>
      <w:bookmarkEnd w:id="55"/>
      <w:proofErr w:type="gramEnd"/>
    </w:p>
    <w:bookmarkEnd w:id="54"/>
    <w:p w14:paraId="5F12F707" w14:textId="77777777" w:rsidR="00663391" w:rsidRPr="00F90B4A" w:rsidRDefault="00663391" w:rsidP="00663391">
      <w:r w:rsidRPr="00F90B4A">
        <w:rPr>
          <w:noProof/>
        </w:rPr>
        <w:drawing>
          <wp:inline distT="0" distB="0" distL="0" distR="0" wp14:anchorId="02141251" wp14:editId="6D9AA6AD">
            <wp:extent cx="9777730" cy="2393375"/>
            <wp:effectExtent l="0" t="0" r="0" b="698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97932" cy="2398320"/>
                    </a:xfrm>
                    <a:prstGeom prst="rect">
                      <a:avLst/>
                    </a:prstGeom>
                    <a:noFill/>
                    <a:ln>
                      <a:noFill/>
                    </a:ln>
                  </pic:spPr>
                </pic:pic>
              </a:graphicData>
            </a:graphic>
          </wp:inline>
        </w:drawing>
      </w:r>
    </w:p>
    <w:p w14:paraId="759BACB1" w14:textId="19DD219A" w:rsidR="00663391" w:rsidRPr="000E43C7" w:rsidRDefault="00663391" w:rsidP="000E43C7">
      <w:pPr>
        <w:pStyle w:val="Table"/>
      </w:pPr>
      <w:bookmarkStart w:id="56" w:name="_Toc181675644"/>
      <w:r>
        <w:t xml:space="preserve">Table </w:t>
      </w:r>
      <w:r>
        <w:fldChar w:fldCharType="begin"/>
      </w:r>
      <w:r>
        <w:instrText xml:space="preserve"> SEQ Table \* ARABIC </w:instrText>
      </w:r>
      <w:r>
        <w:fldChar w:fldCharType="separate"/>
      </w:r>
      <w:r w:rsidR="00A94319">
        <w:rPr>
          <w:noProof/>
        </w:rPr>
        <w:t>4</w:t>
      </w:r>
      <w:r>
        <w:fldChar w:fldCharType="end"/>
      </w:r>
      <w:r>
        <w:t xml:space="preserve">: </w:t>
      </w:r>
      <w:r w:rsidRPr="000E43C7">
        <w:t xml:space="preserve">Outcomes reported by 25 RCTs comparing mesh and non-mesh hernia </w:t>
      </w:r>
      <w:proofErr w:type="gramStart"/>
      <w:r w:rsidRPr="000E43C7">
        <w:t>repair</w:t>
      </w:r>
      <w:bookmarkEnd w:id="56"/>
      <w:proofErr w:type="gramEnd"/>
    </w:p>
    <w:p w14:paraId="703D0ABE" w14:textId="19A907FF" w:rsidR="00663391" w:rsidRDefault="00663391" w:rsidP="00663391">
      <w:r w:rsidRPr="003B4C27">
        <w:rPr>
          <w:noProof/>
        </w:rPr>
        <w:drawing>
          <wp:inline distT="0" distB="0" distL="0" distR="0" wp14:anchorId="02D49D4E" wp14:editId="60F93DBF">
            <wp:extent cx="9777730" cy="2452370"/>
            <wp:effectExtent l="0" t="0" r="0" b="508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77730" cy="2452370"/>
                    </a:xfrm>
                    <a:prstGeom prst="rect">
                      <a:avLst/>
                    </a:prstGeom>
                    <a:noFill/>
                    <a:ln>
                      <a:noFill/>
                    </a:ln>
                  </pic:spPr>
                </pic:pic>
              </a:graphicData>
            </a:graphic>
          </wp:inline>
        </w:drawing>
      </w:r>
    </w:p>
    <w:p w14:paraId="04A47737" w14:textId="347E2796" w:rsidR="000E43C7" w:rsidRDefault="000E43C7" w:rsidP="00663391"/>
    <w:p w14:paraId="396E24B5" w14:textId="77777777" w:rsidR="000E43C7" w:rsidRDefault="000E43C7" w:rsidP="00663391">
      <w:pPr>
        <w:sectPr w:rsidR="000E43C7" w:rsidSect="000E43C7">
          <w:headerReference w:type="default" r:id="rId42"/>
          <w:footerReference w:type="even" r:id="rId43"/>
          <w:footerReference w:type="default" r:id="rId44"/>
          <w:pgSz w:w="16840" w:h="11907" w:orient="landscape" w:code="9"/>
          <w:pgMar w:top="1134" w:right="851" w:bottom="1134" w:left="851" w:header="284" w:footer="425" w:gutter="284"/>
          <w:cols w:space="720"/>
          <w:docGrid w:linePitch="286"/>
        </w:sectPr>
      </w:pPr>
    </w:p>
    <w:p w14:paraId="66C17E94" w14:textId="2821F2D9" w:rsidR="000E43C7" w:rsidRDefault="000E43C7" w:rsidP="00663391"/>
    <w:p w14:paraId="77779938" w14:textId="782B4242" w:rsidR="000E43C7" w:rsidRPr="000E43C7" w:rsidRDefault="000E43C7" w:rsidP="000E43C7">
      <w:pPr>
        <w:pStyle w:val="Heading1"/>
        <w:spacing w:before="0"/>
      </w:pPr>
      <w:bookmarkStart w:id="57" w:name="_Toc181371232"/>
      <w:bookmarkStart w:id="58" w:name="_Toc181713015"/>
      <w:r w:rsidRPr="000E43C7">
        <w:t>Appendix 3: Relevant international information</w:t>
      </w:r>
      <w:bookmarkEnd w:id="57"/>
      <w:bookmarkEnd w:id="58"/>
      <w:r w:rsidRPr="000E43C7">
        <w:t xml:space="preserve"> </w:t>
      </w:r>
    </w:p>
    <w:p w14:paraId="423E0084" w14:textId="77777777" w:rsidR="000E43C7" w:rsidRDefault="000E43C7" w:rsidP="000E43C7">
      <w:r w:rsidRPr="00BA4C8D">
        <w:t>Th</w:t>
      </w:r>
      <w:r>
        <w:t xml:space="preserve">is appendix sets out some relevant information from the international context: </w:t>
      </w:r>
    </w:p>
    <w:p w14:paraId="5FA69581" w14:textId="77777777" w:rsidR="000E43C7" w:rsidRPr="00BA6974" w:rsidRDefault="000E43C7" w:rsidP="000E43C7">
      <w:pPr>
        <w:pStyle w:val="Bullet"/>
      </w:pPr>
      <w:r w:rsidRPr="00BA6974">
        <w:t>polic</w:t>
      </w:r>
      <w:r>
        <w:t>ies</w:t>
      </w:r>
      <w:r w:rsidRPr="00BA6974">
        <w:t xml:space="preserve"> and guidelines on the use of mesh for groin hernia repair</w:t>
      </w:r>
    </w:p>
    <w:p w14:paraId="14C24FA1" w14:textId="77777777" w:rsidR="000E43C7" w:rsidRPr="00BA6974" w:rsidRDefault="000E43C7" w:rsidP="000E43C7">
      <w:pPr>
        <w:pStyle w:val="Bullet"/>
      </w:pPr>
      <w:r w:rsidRPr="00BA6974">
        <w:t>guidelines on the use of mesh for other hernias</w:t>
      </w:r>
    </w:p>
    <w:p w14:paraId="7D759E30" w14:textId="77777777" w:rsidR="000E43C7" w:rsidRPr="00BA6974" w:rsidRDefault="000E43C7" w:rsidP="000E43C7">
      <w:pPr>
        <w:pStyle w:val="Bullet"/>
      </w:pPr>
      <w:r w:rsidRPr="00BA6974">
        <w:t>peripheral guidelines of interest</w:t>
      </w:r>
    </w:p>
    <w:p w14:paraId="24429B50" w14:textId="77777777" w:rsidR="000E43C7" w:rsidRPr="00BA6974" w:rsidRDefault="000E43C7" w:rsidP="000E43C7">
      <w:pPr>
        <w:pStyle w:val="Bullet"/>
      </w:pPr>
      <w:r w:rsidRPr="00BA6974">
        <w:t xml:space="preserve">new trends in the approach to hernia repair. </w:t>
      </w:r>
    </w:p>
    <w:p w14:paraId="6AE7F548" w14:textId="77777777" w:rsidR="000E43C7" w:rsidRPr="000E43C7" w:rsidRDefault="000E43C7" w:rsidP="000E43C7">
      <w:pPr>
        <w:pStyle w:val="Heading3"/>
      </w:pPr>
      <w:bookmarkStart w:id="59" w:name="_Toc181371233"/>
      <w:r w:rsidRPr="000E43C7">
        <w:t>Policies and guidelines on use of mesh for groin hernia repair</w:t>
      </w:r>
      <w:bookmarkEnd w:id="59"/>
    </w:p>
    <w:p w14:paraId="5FB9ABBD" w14:textId="77777777" w:rsidR="000E43C7" w:rsidRPr="00BA4C8D" w:rsidRDefault="000E43C7" w:rsidP="000E43C7">
      <w:r w:rsidRPr="00BA4C8D">
        <w:t>The Welsh Government (</w:t>
      </w:r>
      <w:r>
        <w:t xml:space="preserve">Welsh Government </w:t>
      </w:r>
      <w:r w:rsidRPr="00BA4C8D">
        <w:t>2019)</w:t>
      </w:r>
      <w:r>
        <w:t xml:space="preserve"> sought opinions and advice from </w:t>
      </w:r>
      <w:r w:rsidRPr="00BA4C8D">
        <w:t xml:space="preserve">the Royal College of Surgeons, </w:t>
      </w:r>
      <w:r>
        <w:t xml:space="preserve">which was </w:t>
      </w:r>
      <w:r w:rsidRPr="00BA4C8D">
        <w:t>supported by review of evidence by Deputy Chief Medical Officer</w:t>
      </w:r>
      <w:r>
        <w:t>. It found the following.</w:t>
      </w:r>
      <w:r w:rsidRPr="00BA4C8D">
        <w:t xml:space="preserve"> </w:t>
      </w:r>
    </w:p>
    <w:p w14:paraId="70FE50BE" w14:textId="77777777" w:rsidR="000E43C7" w:rsidRPr="00BA4C8D" w:rsidRDefault="000E43C7" w:rsidP="000E43C7">
      <w:pPr>
        <w:pStyle w:val="Bullet"/>
      </w:pPr>
      <w:r>
        <w:t>‘</w:t>
      </w:r>
      <w:r w:rsidRPr="00BA4C8D">
        <w:t>Mesh based technique should be performed for adults with inguinal hernias.</w:t>
      </w:r>
      <w:r>
        <w:t>’</w:t>
      </w:r>
    </w:p>
    <w:p w14:paraId="676C761E" w14:textId="77777777" w:rsidR="000E43C7" w:rsidRPr="00BA4C8D" w:rsidRDefault="000E43C7" w:rsidP="000E43C7">
      <w:pPr>
        <w:pStyle w:val="Bullet"/>
      </w:pPr>
      <w:r>
        <w:t>‘</w:t>
      </w:r>
      <w:r w:rsidRPr="00BA4C8D">
        <w:t>The clear opinion and advice from the Royal College of Surgeons, which is supported by the available evidence, international guidance and practice, is that we must continue to be vigilant and listen to patient feedback as well as examine any new evidence, but at present, there is no indication to put a pause on the use of mesh in hernia repair.</w:t>
      </w:r>
      <w:r>
        <w:t>’</w:t>
      </w:r>
    </w:p>
    <w:p w14:paraId="46FC48B8" w14:textId="77777777" w:rsidR="000E43C7" w:rsidRPr="00BA4C8D" w:rsidRDefault="000E43C7" w:rsidP="000E43C7">
      <w:pPr>
        <w:pStyle w:val="Bullet"/>
      </w:pPr>
      <w:r>
        <w:t>There was a</w:t>
      </w:r>
      <w:r w:rsidRPr="00BA4C8D">
        <w:t>cknowledg</w:t>
      </w:r>
      <w:r>
        <w:t>ment</w:t>
      </w:r>
      <w:r w:rsidRPr="00BA4C8D">
        <w:t xml:space="preserve"> that for those who do suffer adverse outcomes, the impact can be severe. Considering this, those who suffer </w:t>
      </w:r>
      <w:r>
        <w:t>‘</w:t>
      </w:r>
      <w:r w:rsidRPr="00BA4C8D">
        <w:t xml:space="preserve">should raise these concerns through NHS Wales’ Putting Things Right </w:t>
      </w:r>
      <w:proofErr w:type="gramStart"/>
      <w:r w:rsidRPr="00BA4C8D">
        <w:t>arrangements</w:t>
      </w:r>
      <w:r>
        <w:t>’</w:t>
      </w:r>
      <w:proofErr w:type="gramEnd"/>
      <w:r w:rsidRPr="00BA4C8D">
        <w:t>.</w:t>
      </w:r>
    </w:p>
    <w:p w14:paraId="5F0A4699" w14:textId="77777777" w:rsidR="000E43C7" w:rsidRDefault="000E43C7" w:rsidP="000E43C7"/>
    <w:p w14:paraId="577EA34B" w14:textId="2E99D843" w:rsidR="000E43C7" w:rsidRPr="00BA4C8D" w:rsidRDefault="000E43C7" w:rsidP="000E43C7">
      <w:r>
        <w:t xml:space="preserve">The </w:t>
      </w:r>
      <w:r w:rsidRPr="00BA4C8D">
        <w:t xml:space="preserve">Royal College of Surgeons </w:t>
      </w:r>
      <w:r>
        <w:t xml:space="preserve">of </w:t>
      </w:r>
      <w:r w:rsidRPr="00BA4C8D">
        <w:t xml:space="preserve">England </w:t>
      </w:r>
      <w:r>
        <w:t xml:space="preserve">published a statement in 2019 </w:t>
      </w:r>
      <w:r w:rsidRPr="00BA4C8D">
        <w:t>(Royal College of Surgeons</w:t>
      </w:r>
      <w:r>
        <w:t xml:space="preserve"> of England</w:t>
      </w:r>
      <w:r w:rsidRPr="00BA4C8D">
        <w:t xml:space="preserve"> 2019)</w:t>
      </w:r>
      <w:r>
        <w:t xml:space="preserve"> that: </w:t>
      </w:r>
    </w:p>
    <w:p w14:paraId="304B5607" w14:textId="77777777" w:rsidR="000E43C7" w:rsidRPr="00BA4C8D" w:rsidRDefault="000E43C7" w:rsidP="000E43C7">
      <w:pPr>
        <w:pStyle w:val="Bullet"/>
      </w:pPr>
      <w:r w:rsidRPr="00BA4C8D">
        <w:t xml:space="preserve">stated </w:t>
      </w:r>
      <w:r>
        <w:t>‘</w:t>
      </w:r>
      <w:r w:rsidRPr="00BA4C8D">
        <w:t xml:space="preserve">A recent </w:t>
      </w:r>
      <w:r>
        <w:t xml:space="preserve">2018 </w:t>
      </w:r>
      <w:r w:rsidRPr="00BA4C8D">
        <w:t xml:space="preserve">study </w:t>
      </w:r>
      <w:r>
        <w:t xml:space="preserve">[referring to </w:t>
      </w:r>
      <w:proofErr w:type="spellStart"/>
      <w:r w:rsidRPr="007D4092">
        <w:rPr>
          <w:color w:val="000000" w:themeColor="text1"/>
        </w:rPr>
        <w:t>Ö</w:t>
      </w:r>
      <w:r w:rsidRPr="00BA4C8D">
        <w:t>berg</w:t>
      </w:r>
      <w:proofErr w:type="spellEnd"/>
      <w:r w:rsidRPr="00BA4C8D">
        <w:t xml:space="preserve"> et al </w:t>
      </w:r>
      <w:r>
        <w:t>(</w:t>
      </w:r>
      <w:r w:rsidRPr="00BA4C8D">
        <w:t>2018</w:t>
      </w:r>
      <w:r>
        <w:t xml:space="preserve">)] </w:t>
      </w:r>
      <w:r w:rsidRPr="00BA4C8D">
        <w:t>found that both mesh and non-mesh hernia repairs were effective for patients and are not associated with different rates of chronic pain</w:t>
      </w:r>
      <w:r>
        <w:t>’</w:t>
      </w:r>
      <w:r w:rsidRPr="00BA4C8D">
        <w:t>.</w:t>
      </w:r>
      <w:r>
        <w:t xml:space="preserve"> We note that </w:t>
      </w:r>
      <w:proofErr w:type="spellStart"/>
      <w:r w:rsidRPr="007D4092">
        <w:rPr>
          <w:color w:val="000000" w:themeColor="text1"/>
        </w:rPr>
        <w:t>Ö</w:t>
      </w:r>
      <w:r w:rsidRPr="00BA4C8D">
        <w:t>berg</w:t>
      </w:r>
      <w:proofErr w:type="spellEnd"/>
      <w:r w:rsidRPr="00BA4C8D">
        <w:t xml:space="preserve"> et al (201</w:t>
      </w:r>
      <w:r>
        <w:t>8)</w:t>
      </w:r>
      <w:r w:rsidRPr="00BA4C8D">
        <w:t xml:space="preserve"> do not make a clear statement in support of the continued use of mesh</w:t>
      </w:r>
      <w:r>
        <w:t xml:space="preserve">; but imply that </w:t>
      </w:r>
      <w:proofErr w:type="gramStart"/>
      <w:r>
        <w:t>s</w:t>
      </w:r>
      <w:r w:rsidRPr="00BA4C8D">
        <w:t>upport</w:t>
      </w:r>
      <w:proofErr w:type="gramEnd"/>
    </w:p>
    <w:p w14:paraId="553025F4" w14:textId="77777777" w:rsidR="000E43C7" w:rsidRPr="00BA4C8D" w:rsidRDefault="000E43C7" w:rsidP="000E43C7">
      <w:pPr>
        <w:pStyle w:val="Bullet"/>
      </w:pPr>
      <w:r>
        <w:t xml:space="preserve">stressed the </w:t>
      </w:r>
      <w:r w:rsidRPr="00BA4C8D">
        <w:t xml:space="preserve">importance of reporting adverse events, being vigilant of the literature and listening </w:t>
      </w:r>
      <w:r>
        <w:t xml:space="preserve">to </w:t>
      </w:r>
      <w:r w:rsidRPr="00BA4C8D">
        <w:t>patients’ experiences.</w:t>
      </w:r>
    </w:p>
    <w:p w14:paraId="381FC27B" w14:textId="77777777" w:rsidR="000E43C7" w:rsidRDefault="000E43C7" w:rsidP="000E43C7">
      <w:pPr>
        <w:spacing w:line="276" w:lineRule="auto"/>
        <w:rPr>
          <w:rFonts w:cs="Segoe UI"/>
          <w:sz w:val="22"/>
        </w:rPr>
      </w:pPr>
    </w:p>
    <w:p w14:paraId="332CF28F" w14:textId="284347A1" w:rsidR="000E43C7" w:rsidRPr="00BA4C8D" w:rsidRDefault="000E43C7" w:rsidP="000E43C7">
      <w:r>
        <w:t xml:space="preserve">The </w:t>
      </w:r>
      <w:r w:rsidRPr="00BA4C8D">
        <w:t xml:space="preserve">American Hernia Society </w:t>
      </w:r>
      <w:r>
        <w:t xml:space="preserve">published a statement in 2018 </w:t>
      </w:r>
      <w:r w:rsidRPr="00BA4C8D">
        <w:t>(American Hernia Society 2018)</w:t>
      </w:r>
      <w:r>
        <w:t xml:space="preserve"> that</w:t>
      </w:r>
      <w:r w:rsidRPr="00BA4C8D">
        <w:t>:</w:t>
      </w:r>
    </w:p>
    <w:p w14:paraId="5E622786" w14:textId="77777777" w:rsidR="000E43C7" w:rsidRPr="00BA4C8D" w:rsidRDefault="000E43C7" w:rsidP="000E43C7">
      <w:pPr>
        <w:pStyle w:val="Bullet"/>
      </w:pPr>
      <w:r>
        <w:t xml:space="preserve">stated that the </w:t>
      </w:r>
      <w:r w:rsidRPr="00BA4C8D">
        <w:t xml:space="preserve">Society </w:t>
      </w:r>
      <w:r>
        <w:t>‘</w:t>
      </w:r>
      <w:r w:rsidRPr="00BA4C8D">
        <w:t xml:space="preserve">supports the use of appropriately selected mesh reinforcement for the vast majority of both inguinal and ventral hernias to reduce the risk of hernia </w:t>
      </w:r>
      <w:proofErr w:type="gramStart"/>
      <w:r w:rsidRPr="00BA4C8D">
        <w:t>reoccurrence</w:t>
      </w:r>
      <w:r>
        <w:t>’</w:t>
      </w:r>
      <w:proofErr w:type="gramEnd"/>
    </w:p>
    <w:p w14:paraId="769315C5" w14:textId="77777777" w:rsidR="000E43C7" w:rsidRPr="00751662" w:rsidRDefault="000E43C7" w:rsidP="000E43C7">
      <w:pPr>
        <w:pStyle w:val="Bullet"/>
      </w:pPr>
      <w:r w:rsidRPr="00BA4C8D">
        <w:t>endorses shared decision making between surgeons and patients with respect to benefits and potential risks.</w:t>
      </w:r>
    </w:p>
    <w:p w14:paraId="5AADC7FB" w14:textId="77777777" w:rsidR="000E43C7" w:rsidRDefault="000E43C7" w:rsidP="000E43C7"/>
    <w:p w14:paraId="03B71B75" w14:textId="3574BE1A" w:rsidR="000E43C7" w:rsidRPr="00BA4C8D" w:rsidRDefault="000E43C7" w:rsidP="000E43C7">
      <w:r>
        <w:t xml:space="preserve">The United States Food and </w:t>
      </w:r>
      <w:r w:rsidRPr="00BA4C8D">
        <w:t xml:space="preserve">Drug Administration </w:t>
      </w:r>
      <w:r>
        <w:t xml:space="preserve">published a statement in 2023 </w:t>
      </w:r>
      <w:r w:rsidRPr="00BA4C8D">
        <w:t>(</w:t>
      </w:r>
      <w:r>
        <w:t>US Food and Drug Administration</w:t>
      </w:r>
      <w:r w:rsidRPr="00BA4C8D">
        <w:t xml:space="preserve"> 2023)</w:t>
      </w:r>
      <w:r>
        <w:t xml:space="preserve"> that</w:t>
      </w:r>
      <w:r w:rsidRPr="00BA4C8D">
        <w:t>:</w:t>
      </w:r>
    </w:p>
    <w:p w14:paraId="22A518C5" w14:textId="77777777" w:rsidR="000E43C7" w:rsidRPr="00BA4C8D" w:rsidRDefault="000E43C7" w:rsidP="000E43C7">
      <w:pPr>
        <w:pStyle w:val="Bullet"/>
      </w:pPr>
      <w:r w:rsidRPr="00BA4C8D">
        <w:t xml:space="preserve">stated that </w:t>
      </w:r>
      <w:r>
        <w:t>‘</w:t>
      </w:r>
      <w:r w:rsidRPr="00BA4C8D">
        <w:t>it is generally accepted that most hernia repair surgeries in the U.S. use mesh</w:t>
      </w:r>
      <w:r>
        <w:t>’.</w:t>
      </w:r>
    </w:p>
    <w:p w14:paraId="32B3F910" w14:textId="77777777" w:rsidR="000E43C7" w:rsidRDefault="000E43C7" w:rsidP="000E43C7">
      <w:pPr>
        <w:pStyle w:val="Bullet"/>
      </w:pPr>
      <w:r w:rsidRPr="00BA4C8D">
        <w:t>references literature from 2013.</w:t>
      </w:r>
    </w:p>
    <w:p w14:paraId="3D6696D5" w14:textId="77777777" w:rsidR="000E43C7" w:rsidRPr="00BA4C8D" w:rsidRDefault="000E43C7" w:rsidP="000E43C7"/>
    <w:p w14:paraId="23B52FD0" w14:textId="77777777" w:rsidR="000E43C7" w:rsidRPr="00BA4C8D" w:rsidRDefault="000E43C7" w:rsidP="000E43C7">
      <w:r>
        <w:t>A Canadian report on s</w:t>
      </w:r>
      <w:r w:rsidRPr="00B4614B">
        <w:t>urgical m</w:t>
      </w:r>
      <w:r w:rsidRPr="00BA4C8D">
        <w:t>esh for inguinal hernia repair (</w:t>
      </w:r>
      <w:proofErr w:type="spellStart"/>
      <w:r>
        <w:t>Tumasz</w:t>
      </w:r>
      <w:proofErr w:type="spellEnd"/>
      <w:r>
        <w:t>-Jordan et al 2019</w:t>
      </w:r>
      <w:r w:rsidRPr="00BA4C8D">
        <w:t>):</w:t>
      </w:r>
    </w:p>
    <w:p w14:paraId="78F80E82" w14:textId="77777777" w:rsidR="000E43C7" w:rsidRPr="00BA4C8D" w:rsidRDefault="000E43C7" w:rsidP="000E43C7">
      <w:pPr>
        <w:pStyle w:val="Bullet"/>
      </w:pPr>
      <w:r w:rsidRPr="00BA4C8D">
        <w:t xml:space="preserve">concluded that </w:t>
      </w:r>
      <w:r>
        <w:t>‘</w:t>
      </w:r>
      <w:r w:rsidRPr="00BA4C8D">
        <w:t xml:space="preserve">analyses of recurrence rates suggest that synthetic mesh is </w:t>
      </w:r>
      <w:proofErr w:type="gramStart"/>
      <w:r w:rsidRPr="00BA4C8D">
        <w:t>similar to</w:t>
      </w:r>
      <w:proofErr w:type="gramEnd"/>
      <w:r w:rsidRPr="00BA4C8D">
        <w:t xml:space="preserve"> suture repair (however, these results are associated with moderate-to-substantial heterogeneity after 1 year) and is comparable to porcine mesh. Risk profile of complications is similar and not significant across synthetic mesh and its comparators.</w:t>
      </w:r>
      <w:r>
        <w:t>’</w:t>
      </w:r>
    </w:p>
    <w:p w14:paraId="5F518A29" w14:textId="77777777" w:rsidR="000E43C7" w:rsidRPr="00BA4C8D" w:rsidRDefault="000E43C7" w:rsidP="000E43C7">
      <w:pPr>
        <w:pStyle w:val="Bullet"/>
      </w:pPr>
      <w:r w:rsidRPr="00BA4C8D">
        <w:t>comment</w:t>
      </w:r>
      <w:r>
        <w:t>ed</w:t>
      </w:r>
      <w:r w:rsidRPr="00BA4C8D">
        <w:t xml:space="preserve"> on the need for ongoing monitoring of reported adverse events and </w:t>
      </w:r>
      <w:r>
        <w:t xml:space="preserve">noted </w:t>
      </w:r>
      <w:r w:rsidRPr="00BA4C8D">
        <w:t>that Health Canada was in the process of establishing such a monitoring system.</w:t>
      </w:r>
    </w:p>
    <w:p w14:paraId="73493C40" w14:textId="77777777" w:rsidR="000E43C7" w:rsidRDefault="000E43C7" w:rsidP="000E43C7"/>
    <w:p w14:paraId="562E2754" w14:textId="57DDCE89" w:rsidR="000E43C7" w:rsidRPr="00BA4C8D" w:rsidRDefault="000E43C7" w:rsidP="000E43C7">
      <w:r>
        <w:t xml:space="preserve">The </w:t>
      </w:r>
      <w:r w:rsidRPr="00BA4C8D">
        <w:t>Australian Government</w:t>
      </w:r>
      <w:r>
        <w:t xml:space="preserve">’s report </w:t>
      </w:r>
      <w:r w:rsidRPr="00B4614B">
        <w:rPr>
          <w:i/>
          <w:iCs/>
          <w:color w:val="000000" w:themeColor="text1"/>
        </w:rPr>
        <w:t>Reclassifying Surgical Mesh Devices</w:t>
      </w:r>
      <w:r w:rsidRPr="00B4614B">
        <w:t xml:space="preserve"> (</w:t>
      </w:r>
      <w:r w:rsidRPr="00B4614B">
        <w:rPr>
          <w:color w:val="000000" w:themeColor="text1"/>
        </w:rPr>
        <w:t>Therapeutic Goods Administration 2018</w:t>
      </w:r>
      <w:r w:rsidRPr="00BA4C8D">
        <w:t>)</w:t>
      </w:r>
      <w:r>
        <w:t xml:space="preserve"> noted that in </w:t>
      </w:r>
      <w:r w:rsidRPr="00BA4C8D">
        <w:t xml:space="preserve">October 2017, the Therapeutic Goods Administration </w:t>
      </w:r>
      <w:r>
        <w:t xml:space="preserve">had </w:t>
      </w:r>
      <w:r w:rsidRPr="00BA4C8D">
        <w:t>reclassified surgical mesh from Class IIb (medium) to Class III (high risk)</w:t>
      </w:r>
      <w:r>
        <w:t xml:space="preserve">, </w:t>
      </w:r>
      <w:r w:rsidRPr="00BA4C8D">
        <w:t xml:space="preserve">due to </w:t>
      </w:r>
      <w:r>
        <w:t>‘</w:t>
      </w:r>
      <w:r w:rsidRPr="00BA4C8D">
        <w:t xml:space="preserve">serious concerns about the risk associated with the use of these </w:t>
      </w:r>
      <w:proofErr w:type="gramStart"/>
      <w:r w:rsidRPr="00BA4C8D">
        <w:t>devices</w:t>
      </w:r>
      <w:r>
        <w:t>’</w:t>
      </w:r>
      <w:proofErr w:type="gramEnd"/>
      <w:r w:rsidRPr="00BA4C8D">
        <w:t>.</w:t>
      </w:r>
    </w:p>
    <w:p w14:paraId="0EAF72DD" w14:textId="77777777" w:rsidR="000E43C7" w:rsidRPr="000E43C7" w:rsidRDefault="000E43C7" w:rsidP="000E43C7">
      <w:pPr>
        <w:pStyle w:val="Heading3"/>
      </w:pPr>
      <w:bookmarkStart w:id="60" w:name="_Toc181371234"/>
      <w:r w:rsidRPr="000E43C7">
        <w:t>Guidelines on use of mesh for other hernias</w:t>
      </w:r>
      <w:bookmarkEnd w:id="60"/>
    </w:p>
    <w:p w14:paraId="7BD6511D" w14:textId="77777777" w:rsidR="000E43C7" w:rsidRPr="00BA4C8D" w:rsidRDefault="000E43C7" w:rsidP="000E43C7">
      <w:r>
        <w:t xml:space="preserve">The </w:t>
      </w:r>
      <w:r w:rsidRPr="00BA4C8D">
        <w:t>European Hernia Society and Americas Hernia Society guidelines for treatment of umbilical and epigastric hernias (</w:t>
      </w:r>
      <w:r>
        <w:t>Henriksen et al</w:t>
      </w:r>
      <w:r w:rsidRPr="00B4614B">
        <w:rPr>
          <w:color w:val="000000" w:themeColor="text1"/>
          <w:sz w:val="20"/>
        </w:rPr>
        <w:t xml:space="preserve"> </w:t>
      </w:r>
      <w:r w:rsidRPr="00BA4C8D">
        <w:t>2020):</w:t>
      </w:r>
    </w:p>
    <w:p w14:paraId="67F2B4A7" w14:textId="77777777" w:rsidR="000E43C7" w:rsidRPr="00BA4C8D" w:rsidRDefault="000E43C7" w:rsidP="000E43C7">
      <w:pPr>
        <w:pStyle w:val="Bullet"/>
      </w:pPr>
      <w:r w:rsidRPr="00BA4C8D">
        <w:t>recommend</w:t>
      </w:r>
      <w:r>
        <w:t>ed</w:t>
      </w:r>
      <w:r w:rsidRPr="00BA4C8D">
        <w:t xml:space="preserve"> repair of umbilical and epigastric hernias by </w:t>
      </w:r>
      <w:r>
        <w:t>‘</w:t>
      </w:r>
      <w:r w:rsidRPr="00BA4C8D">
        <w:t xml:space="preserve">an open approach with a preperitoneal flat </w:t>
      </w:r>
      <w:proofErr w:type="gramStart"/>
      <w:r w:rsidRPr="00BA4C8D">
        <w:t>mesh</w:t>
      </w:r>
      <w:r>
        <w:t>’</w:t>
      </w:r>
      <w:proofErr w:type="gramEnd"/>
    </w:p>
    <w:p w14:paraId="650952E4" w14:textId="77777777" w:rsidR="000E43C7" w:rsidRPr="00BA4C8D" w:rsidRDefault="000E43C7" w:rsidP="000E43C7">
      <w:pPr>
        <w:pStyle w:val="Bullet"/>
      </w:pPr>
      <w:r w:rsidRPr="00BA4C8D">
        <w:t>strongly recommended that sutured repair be considered for hernias of &lt;1cm, with shared decision making</w:t>
      </w:r>
      <w:r>
        <w:t xml:space="preserve"> (</w:t>
      </w:r>
      <w:r w:rsidRPr="00BA4C8D">
        <w:t>due to the lack of evidence concerning hernias of this size</w:t>
      </w:r>
      <w:r>
        <w:t>)</w:t>
      </w:r>
    </w:p>
    <w:p w14:paraId="31BDE812" w14:textId="77777777" w:rsidR="000E43C7" w:rsidRPr="00BA4C8D" w:rsidRDefault="000E43C7" w:rsidP="000E43C7">
      <w:pPr>
        <w:pStyle w:val="Bullet"/>
      </w:pPr>
      <w:r w:rsidRPr="00BA4C8D">
        <w:t>contain</w:t>
      </w:r>
      <w:r>
        <w:t>ed</w:t>
      </w:r>
      <w:r w:rsidRPr="00BA4C8D">
        <w:t xml:space="preserve"> recommendations regarding antibiotics, anaesthetic choice, method of mesh fixation, type of mesh, surgical approach, emergency hernia repair, cost and learning curves.</w:t>
      </w:r>
    </w:p>
    <w:p w14:paraId="3FAA71EE" w14:textId="77777777" w:rsidR="000E43C7" w:rsidRDefault="000E43C7" w:rsidP="000E43C7"/>
    <w:p w14:paraId="5D7CBBF3" w14:textId="79406632" w:rsidR="000E43C7" w:rsidRDefault="000E43C7" w:rsidP="000E43C7">
      <w:r w:rsidRPr="00BA4C8D">
        <w:t xml:space="preserve">Most of the recommendations in this guideline, however, were </w:t>
      </w:r>
      <w:r>
        <w:t xml:space="preserve">classified as </w:t>
      </w:r>
      <w:r w:rsidRPr="00BA4C8D">
        <w:t>weak due to low</w:t>
      </w:r>
      <w:r>
        <w:t>-</w:t>
      </w:r>
      <w:r w:rsidRPr="00BA4C8D">
        <w:t>quality evidence.</w:t>
      </w:r>
    </w:p>
    <w:p w14:paraId="369D9390" w14:textId="77777777" w:rsidR="000E43C7" w:rsidRDefault="000E43C7" w:rsidP="000E43C7"/>
    <w:p w14:paraId="15434913" w14:textId="77777777" w:rsidR="000E43C7" w:rsidRPr="00BA4C8D" w:rsidRDefault="000E43C7" w:rsidP="000E43C7">
      <w:r w:rsidRPr="00BA4C8D">
        <w:t>European Hernia Society guidelines on other abdominal wall hernias (</w:t>
      </w:r>
      <w:r>
        <w:t>Henriksen et al 2020</w:t>
      </w:r>
      <w:r w:rsidRPr="00BA4C8D">
        <w:t>):</w:t>
      </w:r>
    </w:p>
    <w:p w14:paraId="515711AD" w14:textId="77777777" w:rsidR="000E43C7" w:rsidRPr="00BA4C8D" w:rsidRDefault="000E43C7" w:rsidP="000E43C7">
      <w:pPr>
        <w:pStyle w:val="Bullet"/>
      </w:pPr>
      <w:r w:rsidRPr="00BA4C8D">
        <w:t>The European Hernia Society ha</w:t>
      </w:r>
      <w:r>
        <w:t>s</w:t>
      </w:r>
      <w:r w:rsidRPr="00BA4C8D">
        <w:t xml:space="preserve"> regularly updated guidelines on multiple other hernias: incisional, parastomal, scrotal inguinal, ventral and rectus diastasis.</w:t>
      </w:r>
    </w:p>
    <w:p w14:paraId="5E989B4E" w14:textId="77777777" w:rsidR="000E43C7" w:rsidRPr="00BA4C8D" w:rsidRDefault="000E43C7" w:rsidP="000E43C7">
      <w:pPr>
        <w:pStyle w:val="Heading3"/>
      </w:pPr>
      <w:bookmarkStart w:id="61" w:name="_Toc181371235"/>
      <w:r w:rsidRPr="00BA4C8D">
        <w:t xml:space="preserve">Peripheral </w:t>
      </w:r>
      <w:r>
        <w:t>g</w:t>
      </w:r>
      <w:r w:rsidRPr="00BA4C8D">
        <w:t xml:space="preserve">uidelines of </w:t>
      </w:r>
      <w:r>
        <w:t>i</w:t>
      </w:r>
      <w:r w:rsidRPr="00BA4C8D">
        <w:t>nterest</w:t>
      </w:r>
      <w:bookmarkEnd w:id="61"/>
    </w:p>
    <w:p w14:paraId="1F8AE35E" w14:textId="77777777" w:rsidR="000E43C7" w:rsidRPr="00BA4C8D" w:rsidRDefault="000E43C7" w:rsidP="000E43C7">
      <w:r w:rsidRPr="00BA4C8D">
        <w:t>The British National Institute for Health and Care Excellence (NICE) guidance on the use of glue to secure mesh in inguinal hernia operations (</w:t>
      </w:r>
      <w:r>
        <w:t>NHS Supply Chain 2022</w:t>
      </w:r>
      <w:r w:rsidRPr="00BA4C8D">
        <w:t>):</w:t>
      </w:r>
    </w:p>
    <w:p w14:paraId="2E41536F" w14:textId="77777777" w:rsidR="000E43C7" w:rsidRPr="00BA4C8D" w:rsidRDefault="000E43C7" w:rsidP="000E43C7">
      <w:pPr>
        <w:pStyle w:val="Bullet"/>
      </w:pPr>
      <w:r w:rsidRPr="00BA4C8D">
        <w:t>recommend</w:t>
      </w:r>
      <w:r>
        <w:t>ed</w:t>
      </w:r>
      <w:r w:rsidRPr="00BA4C8D">
        <w:t xml:space="preserve"> that clinicians </w:t>
      </w:r>
      <w:r>
        <w:t>‘</w:t>
      </w:r>
      <w:r w:rsidRPr="00BA4C8D">
        <w:t>consider</w:t>
      </w:r>
      <w:r>
        <w:t>’</w:t>
      </w:r>
      <w:r w:rsidRPr="00BA4C8D">
        <w:t xml:space="preserve"> the use of glue to secure mesh in inguinal hernia repair, rather than traditional tacks (plastic or metal)</w:t>
      </w:r>
    </w:p>
    <w:p w14:paraId="1B2A8B57" w14:textId="77777777" w:rsidR="000E43C7" w:rsidRPr="0047020C" w:rsidRDefault="000E43C7" w:rsidP="000E43C7">
      <w:pPr>
        <w:pStyle w:val="Bullet"/>
      </w:pPr>
      <w:r w:rsidRPr="00BA4C8D">
        <w:t>cite</w:t>
      </w:r>
      <w:r>
        <w:t>d</w:t>
      </w:r>
      <w:r w:rsidRPr="00BA4C8D">
        <w:t xml:space="preserve"> </w:t>
      </w:r>
      <w:r>
        <w:t xml:space="preserve">three </w:t>
      </w:r>
      <w:r w:rsidRPr="00BA4C8D">
        <w:t xml:space="preserve">systematic reviews and </w:t>
      </w:r>
      <w:r>
        <w:t>two</w:t>
      </w:r>
      <w:r w:rsidRPr="00BA4C8D">
        <w:t xml:space="preserve"> randomised controlled trials (</w:t>
      </w:r>
      <w:r>
        <w:t xml:space="preserve">involving </w:t>
      </w:r>
      <w:r w:rsidRPr="00BA4C8D">
        <w:t>a total of 1,374 people) who were randomised to cyanoacrylate glue groups. These studies show</w:t>
      </w:r>
      <w:r>
        <w:t>ed</w:t>
      </w:r>
      <w:r w:rsidRPr="00BA4C8D">
        <w:t xml:space="preserve"> that cyanoacrylate glue </w:t>
      </w:r>
      <w:r>
        <w:t xml:space="preserve">was </w:t>
      </w:r>
      <w:r w:rsidRPr="00BA4C8D">
        <w:t>as effective as alternative methods of mesh fixation. The evidence does not show any advantage, however, of cyanoacrylate glue for the incidence of post</w:t>
      </w:r>
      <w:r>
        <w:t>-</w:t>
      </w:r>
      <w:r w:rsidRPr="00BA4C8D">
        <w:t>operative chronic pain.</w:t>
      </w:r>
    </w:p>
    <w:p w14:paraId="4A303D0E" w14:textId="77777777" w:rsidR="000E43C7" w:rsidRPr="00BA4C8D" w:rsidRDefault="000E43C7" w:rsidP="000E43C7">
      <w:pPr>
        <w:pStyle w:val="Heading3"/>
      </w:pPr>
      <w:bookmarkStart w:id="62" w:name="_Toc181371236"/>
      <w:r w:rsidRPr="00BA4C8D">
        <w:t xml:space="preserve">New </w:t>
      </w:r>
      <w:r>
        <w:t>t</w:t>
      </w:r>
      <w:r w:rsidRPr="00BA4C8D">
        <w:t xml:space="preserve">rends in the </w:t>
      </w:r>
      <w:r>
        <w:t>a</w:t>
      </w:r>
      <w:r w:rsidRPr="00BA4C8D">
        <w:t xml:space="preserve">pproach to </w:t>
      </w:r>
      <w:r>
        <w:t>h</w:t>
      </w:r>
      <w:r w:rsidRPr="00BA4C8D">
        <w:t xml:space="preserve">ernia </w:t>
      </w:r>
      <w:r>
        <w:t>r</w:t>
      </w:r>
      <w:r w:rsidRPr="00BA4C8D">
        <w:t>epair</w:t>
      </w:r>
      <w:bookmarkEnd w:id="62"/>
    </w:p>
    <w:p w14:paraId="37A3219F" w14:textId="77777777" w:rsidR="000E43C7" w:rsidRPr="00BA4C8D" w:rsidRDefault="000E43C7" w:rsidP="000E43C7">
      <w:pPr>
        <w:pStyle w:val="Heading4"/>
      </w:pPr>
      <w:bookmarkStart w:id="63" w:name="_Toc181371237"/>
      <w:r w:rsidRPr="00BA4C8D">
        <w:t>Robotics</w:t>
      </w:r>
      <w:bookmarkEnd w:id="63"/>
    </w:p>
    <w:p w14:paraId="084D9AF2" w14:textId="77777777" w:rsidR="000E43C7" w:rsidRPr="0069047D" w:rsidRDefault="000E43C7" w:rsidP="000E43C7">
      <w:r>
        <w:t xml:space="preserve">Over </w:t>
      </w:r>
      <w:r w:rsidRPr="0069047D">
        <w:t xml:space="preserve">the past decade, there has been an increase in the use of robotics in a broad range of surgical procedures, including hernia repair. However, there is a cost-benefit issue to be considered, as well as issues related to early adoption of robotic approaches </w:t>
      </w:r>
      <w:r>
        <w:t xml:space="preserve">in the absence of </w:t>
      </w:r>
      <w:r w:rsidRPr="0069047D">
        <w:t xml:space="preserve">sufficient evidence to support its superiority </w:t>
      </w:r>
      <w:r w:rsidRPr="00614FCA">
        <w:t>(</w:t>
      </w:r>
      <w:r w:rsidRPr="00614FCA">
        <w:rPr>
          <w:color w:val="000000" w:themeColor="text1"/>
        </w:rPr>
        <w:t>American College of Surgeons (</w:t>
      </w:r>
      <w:proofErr w:type="spellStart"/>
      <w:r w:rsidRPr="00614FCA">
        <w:rPr>
          <w:color w:val="000000" w:themeColor="text1"/>
        </w:rPr>
        <w:t>nd</w:t>
      </w:r>
      <w:proofErr w:type="spellEnd"/>
      <w:r w:rsidRPr="00614FCA">
        <w:rPr>
          <w:color w:val="000000" w:themeColor="text1"/>
        </w:rPr>
        <w:t>)).</w:t>
      </w:r>
      <w:r>
        <w:rPr>
          <w:color w:val="000000" w:themeColor="text1"/>
          <w:sz w:val="20"/>
        </w:rPr>
        <w:t xml:space="preserve"> </w:t>
      </w:r>
    </w:p>
    <w:p w14:paraId="243DE2A6" w14:textId="77777777" w:rsidR="000E43C7" w:rsidRPr="00BA4C8D" w:rsidRDefault="000E43C7" w:rsidP="000E43C7">
      <w:pPr>
        <w:pStyle w:val="Heading4"/>
      </w:pPr>
      <w:bookmarkStart w:id="64" w:name="_Toc181371238"/>
      <w:r w:rsidRPr="00BA4C8D">
        <w:t>Machine learning</w:t>
      </w:r>
      <w:bookmarkEnd w:id="64"/>
    </w:p>
    <w:p w14:paraId="752CBEA3" w14:textId="7AFE45E9" w:rsidR="000E43C7" w:rsidRDefault="000E43C7" w:rsidP="000E43C7">
      <w:r w:rsidRPr="000E43C7">
        <w:t>Machine learning is being used in some surgical settings to predict the risk of</w:t>
      </w:r>
      <w:r w:rsidRPr="0069047D">
        <w:t xml:space="preserve"> adverse outcomes</w:t>
      </w:r>
      <w:r>
        <w:t>;</w:t>
      </w:r>
      <w:r w:rsidRPr="0069047D">
        <w:t xml:space="preserve"> for example</w:t>
      </w:r>
      <w:r>
        <w:t>,</w:t>
      </w:r>
      <w:r w:rsidRPr="0069047D">
        <w:t xml:space="preserve"> the Surgical Risk Calculator used by the American College of Surgeons (Hassan et al 2022).</w:t>
      </w:r>
    </w:p>
    <w:p w14:paraId="07CCF050" w14:textId="77777777" w:rsidR="000E43C7" w:rsidRPr="0069047D" w:rsidRDefault="000E43C7" w:rsidP="000E43C7"/>
    <w:p w14:paraId="509A663B" w14:textId="77777777" w:rsidR="000E43C7" w:rsidRPr="0069047D" w:rsidRDefault="000E43C7" w:rsidP="000E43C7">
      <w:r w:rsidRPr="0069047D">
        <w:t xml:space="preserve">Validation studies are being done to evaluate the accuracy of machine learning tools for hernia repair (McCartney </w:t>
      </w:r>
      <w:r>
        <w:t>(</w:t>
      </w:r>
      <w:proofErr w:type="spellStart"/>
      <w:r w:rsidRPr="0069047D">
        <w:t>nd</w:t>
      </w:r>
      <w:proofErr w:type="spellEnd"/>
      <w:r>
        <w:t>)</w:t>
      </w:r>
      <w:r w:rsidRPr="0069047D">
        <w:t>).</w:t>
      </w:r>
    </w:p>
    <w:p w14:paraId="4E50B861" w14:textId="77777777" w:rsidR="000E43C7" w:rsidRPr="00BA4C8D" w:rsidRDefault="000E43C7" w:rsidP="000E43C7">
      <w:pPr>
        <w:pStyle w:val="Heading4"/>
      </w:pPr>
      <w:bookmarkStart w:id="65" w:name="_Toc181371239"/>
      <w:r w:rsidRPr="00BA4C8D">
        <w:t>Shared video learning technology</w:t>
      </w:r>
      <w:bookmarkEnd w:id="65"/>
    </w:p>
    <w:p w14:paraId="09BE3E01" w14:textId="77777777" w:rsidR="000E43C7" w:rsidRPr="0069047D" w:rsidRDefault="000E43C7" w:rsidP="000E43C7">
      <w:r w:rsidRPr="0069047D">
        <w:t xml:space="preserve">Video learning to teach surgical techniques is </w:t>
      </w:r>
      <w:r>
        <w:t xml:space="preserve">a </w:t>
      </w:r>
      <w:r w:rsidRPr="0069047D">
        <w:t>growing</w:t>
      </w:r>
      <w:r>
        <w:t xml:space="preserve"> trend</w:t>
      </w:r>
      <w:r w:rsidRPr="0069047D">
        <w:t>. There is, however, a need for a peer-review process to evaluate the quality of the wide range of videos available (</w:t>
      </w:r>
      <w:proofErr w:type="spellStart"/>
      <w:r w:rsidRPr="0069047D">
        <w:t>Poulose</w:t>
      </w:r>
      <w:proofErr w:type="spellEnd"/>
      <w:r w:rsidRPr="0069047D">
        <w:t xml:space="preserve"> et al 2020).</w:t>
      </w:r>
    </w:p>
    <w:p w14:paraId="625D5AE4" w14:textId="77777777" w:rsidR="000E43C7" w:rsidRDefault="000E43C7" w:rsidP="000E43C7">
      <w:pPr>
        <w:rPr>
          <w:rFonts w:cs="Segoe UI"/>
          <w:sz w:val="22"/>
        </w:rPr>
      </w:pPr>
    </w:p>
    <w:p w14:paraId="3274D550" w14:textId="77777777" w:rsidR="000E43C7" w:rsidRPr="00BA4C8D" w:rsidRDefault="000E43C7" w:rsidP="000E43C7">
      <w:pPr>
        <w:pStyle w:val="Heading4"/>
      </w:pPr>
      <w:bookmarkStart w:id="66" w:name="_Toc181371240"/>
      <w:r w:rsidRPr="00BA4C8D">
        <w:t>Holistic approach to hernia care</w:t>
      </w:r>
      <w:bookmarkEnd w:id="66"/>
    </w:p>
    <w:p w14:paraId="47283AE6" w14:textId="5C2BD97E" w:rsidR="000E43C7" w:rsidRDefault="000E43C7" w:rsidP="000E43C7">
      <w:r w:rsidRPr="0069047D">
        <w:t>There is a growing movement to broaden the approach to hernia care to encompass the idea of abdominal core health (</w:t>
      </w:r>
      <w:proofErr w:type="spellStart"/>
      <w:r w:rsidRPr="0069047D">
        <w:t>Wailling</w:t>
      </w:r>
      <w:proofErr w:type="spellEnd"/>
      <w:r w:rsidRPr="0069047D">
        <w:t xml:space="preserve"> et al 2019).</w:t>
      </w:r>
    </w:p>
    <w:p w14:paraId="1943ABF7" w14:textId="77777777" w:rsidR="000E43C7" w:rsidRPr="0069047D" w:rsidRDefault="000E43C7" w:rsidP="000E43C7"/>
    <w:p w14:paraId="6D68656A" w14:textId="77777777" w:rsidR="000E43C7" w:rsidRPr="0069047D" w:rsidRDefault="000E43C7" w:rsidP="000E43C7">
      <w:r w:rsidRPr="0069047D">
        <w:t>The holistic approach incorporates preventive strategies, core muscle strength and the interaction between pulmonary function, core strength and pelvic floor function.</w:t>
      </w:r>
    </w:p>
    <w:p w14:paraId="590787DF" w14:textId="77777777" w:rsidR="000E43C7" w:rsidRDefault="000E43C7" w:rsidP="000E43C7">
      <w:pPr>
        <w:spacing w:after="160" w:line="259" w:lineRule="auto"/>
        <w:rPr>
          <w:rFonts w:cs="Segoe UI"/>
          <w:sz w:val="22"/>
        </w:rPr>
      </w:pPr>
      <w:r>
        <w:rPr>
          <w:rFonts w:cs="Segoe UI"/>
          <w:sz w:val="22"/>
        </w:rPr>
        <w:br w:type="page"/>
      </w:r>
    </w:p>
    <w:p w14:paraId="10F4534D" w14:textId="77777777" w:rsidR="000E43C7" w:rsidRPr="000E43C7" w:rsidRDefault="000E43C7" w:rsidP="000E43C7">
      <w:pPr>
        <w:pStyle w:val="Heading1"/>
      </w:pPr>
      <w:bookmarkStart w:id="67" w:name="_Toc181371241"/>
      <w:bookmarkStart w:id="68" w:name="_Toc181713016"/>
      <w:r w:rsidRPr="000E43C7">
        <w:t xml:space="preserve">Appendix 4: Glossary of terms used in </w:t>
      </w:r>
      <w:proofErr w:type="gramStart"/>
      <w:r w:rsidRPr="000E43C7">
        <w:t>footnotes</w:t>
      </w:r>
      <w:bookmarkEnd w:id="67"/>
      <w:bookmarkEnd w:id="68"/>
      <w:proofErr w:type="gramEnd"/>
    </w:p>
    <w:p w14:paraId="082C69EC" w14:textId="5428D981" w:rsidR="000E43C7" w:rsidRDefault="000E43C7" w:rsidP="000E43C7">
      <w:r>
        <w:t>Terms used in footnotes are as follows.</w:t>
      </w:r>
    </w:p>
    <w:p w14:paraId="3E2CFB3C" w14:textId="77777777" w:rsidR="000E43C7" w:rsidRDefault="000E43C7" w:rsidP="000E43C7"/>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326"/>
        <w:gridCol w:w="6753"/>
      </w:tblGrid>
      <w:tr w:rsidR="000E43C7" w14:paraId="4D10E8A6" w14:textId="77777777" w:rsidTr="000E43C7">
        <w:tc>
          <w:tcPr>
            <w:tcW w:w="1413" w:type="dxa"/>
          </w:tcPr>
          <w:p w14:paraId="2AE83803" w14:textId="77777777" w:rsidR="000E43C7" w:rsidRDefault="000E43C7" w:rsidP="000E43C7">
            <w:pPr>
              <w:spacing w:before="40" w:after="40"/>
            </w:pPr>
            <w:r>
              <w:t>CI</w:t>
            </w:r>
          </w:p>
        </w:tc>
        <w:tc>
          <w:tcPr>
            <w:tcW w:w="7603" w:type="dxa"/>
          </w:tcPr>
          <w:p w14:paraId="29B98430" w14:textId="77777777" w:rsidR="000E43C7" w:rsidRDefault="000E43C7" w:rsidP="000E43C7">
            <w:pPr>
              <w:spacing w:before="40" w:after="40"/>
            </w:pPr>
            <w:r>
              <w:t>Confidence interval</w:t>
            </w:r>
          </w:p>
        </w:tc>
      </w:tr>
      <w:tr w:rsidR="000E43C7" w14:paraId="767012C0" w14:textId="77777777" w:rsidTr="000E43C7">
        <w:tc>
          <w:tcPr>
            <w:tcW w:w="1413" w:type="dxa"/>
          </w:tcPr>
          <w:p w14:paraId="1CB9FF86" w14:textId="77777777" w:rsidR="000E43C7" w:rsidRDefault="000E43C7" w:rsidP="000E43C7">
            <w:pPr>
              <w:spacing w:before="40" w:after="40"/>
            </w:pPr>
            <w:r>
              <w:t>MD</w:t>
            </w:r>
          </w:p>
        </w:tc>
        <w:tc>
          <w:tcPr>
            <w:tcW w:w="7603" w:type="dxa"/>
          </w:tcPr>
          <w:p w14:paraId="268C7BA4" w14:textId="77777777" w:rsidR="000E43C7" w:rsidRDefault="000E43C7" w:rsidP="000E43C7">
            <w:pPr>
              <w:spacing w:before="40" w:after="40"/>
            </w:pPr>
            <w:r>
              <w:t>Mean difference</w:t>
            </w:r>
          </w:p>
        </w:tc>
      </w:tr>
      <w:tr w:rsidR="000E43C7" w14:paraId="0350D768" w14:textId="77777777" w:rsidTr="000E43C7">
        <w:tc>
          <w:tcPr>
            <w:tcW w:w="1413" w:type="dxa"/>
          </w:tcPr>
          <w:p w14:paraId="448C373A" w14:textId="77777777" w:rsidR="000E43C7" w:rsidRDefault="000E43C7" w:rsidP="000E43C7">
            <w:pPr>
              <w:spacing w:before="40" w:after="40"/>
            </w:pPr>
            <w:r>
              <w:t>NNTB</w:t>
            </w:r>
          </w:p>
        </w:tc>
        <w:tc>
          <w:tcPr>
            <w:tcW w:w="7603" w:type="dxa"/>
          </w:tcPr>
          <w:p w14:paraId="522F8010" w14:textId="77777777" w:rsidR="000E43C7" w:rsidRDefault="000E43C7" w:rsidP="000E43C7">
            <w:pPr>
              <w:spacing w:before="40" w:after="40"/>
            </w:pPr>
            <w:r>
              <w:t>Number needed to benefit</w:t>
            </w:r>
          </w:p>
        </w:tc>
      </w:tr>
      <w:tr w:rsidR="000E43C7" w14:paraId="5C9FD924" w14:textId="77777777" w:rsidTr="000E43C7">
        <w:tc>
          <w:tcPr>
            <w:tcW w:w="1413" w:type="dxa"/>
          </w:tcPr>
          <w:p w14:paraId="4F647258" w14:textId="77777777" w:rsidR="000E43C7" w:rsidRDefault="000E43C7" w:rsidP="000E43C7">
            <w:pPr>
              <w:spacing w:before="40" w:after="40"/>
            </w:pPr>
            <w:r>
              <w:t>OR</w:t>
            </w:r>
          </w:p>
        </w:tc>
        <w:tc>
          <w:tcPr>
            <w:tcW w:w="7603" w:type="dxa"/>
          </w:tcPr>
          <w:p w14:paraId="5B837156" w14:textId="77777777" w:rsidR="000E43C7" w:rsidRDefault="000E43C7" w:rsidP="000E43C7">
            <w:pPr>
              <w:spacing w:before="40" w:after="40"/>
            </w:pPr>
            <w:r>
              <w:t>Odds ratio</w:t>
            </w:r>
          </w:p>
        </w:tc>
      </w:tr>
      <w:tr w:rsidR="000E43C7" w14:paraId="1D668EEB" w14:textId="77777777" w:rsidTr="000E43C7">
        <w:tc>
          <w:tcPr>
            <w:tcW w:w="1413" w:type="dxa"/>
          </w:tcPr>
          <w:p w14:paraId="7B5A1F4E" w14:textId="77777777" w:rsidR="000E43C7" w:rsidRDefault="000E43C7" w:rsidP="000E43C7">
            <w:pPr>
              <w:spacing w:before="40" w:after="40"/>
            </w:pPr>
            <w:r>
              <w:t>RR</w:t>
            </w:r>
          </w:p>
        </w:tc>
        <w:tc>
          <w:tcPr>
            <w:tcW w:w="7603" w:type="dxa"/>
          </w:tcPr>
          <w:p w14:paraId="4B6FDC63" w14:textId="77777777" w:rsidR="000E43C7" w:rsidRDefault="000E43C7" w:rsidP="000E43C7">
            <w:pPr>
              <w:spacing w:before="40" w:after="40"/>
            </w:pPr>
            <w:r>
              <w:t>Risk ratio</w:t>
            </w:r>
          </w:p>
        </w:tc>
      </w:tr>
      <w:tr w:rsidR="000E43C7" w14:paraId="6E6B53BF" w14:textId="77777777" w:rsidTr="000E43C7">
        <w:tc>
          <w:tcPr>
            <w:tcW w:w="1413" w:type="dxa"/>
          </w:tcPr>
          <w:p w14:paraId="028595C2" w14:textId="77777777" w:rsidR="000E43C7" w:rsidRDefault="000E43C7" w:rsidP="000E43C7">
            <w:pPr>
              <w:spacing w:before="40" w:after="40"/>
            </w:pPr>
            <w:r>
              <w:t>SD</w:t>
            </w:r>
          </w:p>
        </w:tc>
        <w:tc>
          <w:tcPr>
            <w:tcW w:w="7603" w:type="dxa"/>
          </w:tcPr>
          <w:p w14:paraId="59CED26C" w14:textId="77777777" w:rsidR="000E43C7" w:rsidRDefault="000E43C7" w:rsidP="000E43C7">
            <w:pPr>
              <w:spacing w:before="40" w:after="40"/>
            </w:pPr>
            <w:r>
              <w:t>Standard deviation</w:t>
            </w:r>
          </w:p>
        </w:tc>
      </w:tr>
      <w:tr w:rsidR="000E43C7" w14:paraId="0FFB40F9" w14:textId="77777777" w:rsidTr="000E43C7">
        <w:tc>
          <w:tcPr>
            <w:tcW w:w="1413" w:type="dxa"/>
          </w:tcPr>
          <w:p w14:paraId="2678C76A" w14:textId="77777777" w:rsidR="000E43C7" w:rsidRDefault="000E43C7" w:rsidP="000E43C7">
            <w:pPr>
              <w:spacing w:before="40" w:after="40"/>
            </w:pPr>
            <w:r>
              <w:t>WMD</w:t>
            </w:r>
          </w:p>
        </w:tc>
        <w:tc>
          <w:tcPr>
            <w:tcW w:w="7603" w:type="dxa"/>
          </w:tcPr>
          <w:p w14:paraId="0286FF42" w14:textId="77777777" w:rsidR="000E43C7" w:rsidRDefault="000E43C7" w:rsidP="000E43C7">
            <w:pPr>
              <w:spacing w:before="40" w:after="40"/>
            </w:pPr>
            <w:r>
              <w:t>Weighted mean difference</w:t>
            </w:r>
          </w:p>
        </w:tc>
      </w:tr>
    </w:tbl>
    <w:p w14:paraId="34F85A91" w14:textId="77777777" w:rsidR="000E43C7" w:rsidRPr="0069047D" w:rsidRDefault="000E43C7" w:rsidP="000E43C7">
      <w:pPr>
        <w:rPr>
          <w:rFonts w:cs="Segoe UI"/>
        </w:rPr>
      </w:pPr>
    </w:p>
    <w:p w14:paraId="501ECF41" w14:textId="36B72972" w:rsidR="00357E97" w:rsidRPr="00D04CB3" w:rsidRDefault="00357E97" w:rsidP="000E43C7"/>
    <w:sectPr w:rsidR="00357E97" w:rsidRPr="00D04CB3" w:rsidSect="000E43C7">
      <w:footerReference w:type="default" r:id="rId45"/>
      <w:pgSz w:w="11907" w:h="16840" w:code="9"/>
      <w:pgMar w:top="1418" w:right="1701" w:bottom="1134" w:left="1843" w:header="284" w:footer="425"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8E3FD" w14:textId="77777777" w:rsidR="000E43C7" w:rsidRDefault="000E43C7">
      <w:r>
        <w:separator/>
      </w:r>
    </w:p>
    <w:p w14:paraId="5A2F4FA7" w14:textId="77777777" w:rsidR="000E43C7" w:rsidRDefault="000E43C7"/>
  </w:endnote>
  <w:endnote w:type="continuationSeparator" w:id="0">
    <w:p w14:paraId="4746D51E" w14:textId="77777777" w:rsidR="000E43C7" w:rsidRDefault="000E43C7">
      <w:r>
        <w:continuationSeparator/>
      </w:r>
    </w:p>
    <w:p w14:paraId="036AC9ED" w14:textId="77777777" w:rsidR="000E43C7" w:rsidRDefault="000E43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Arial Mäori">
    <w:altName w:val="Times New Roman"/>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4437E37D" w:rsidR="000E43C7" w:rsidRPr="00581136" w:rsidRDefault="000E43C7" w:rsidP="005A79E5">
    <w:pPr>
      <w:pStyle w:val="Footer"/>
      <w:pBdr>
        <w:bottom w:val="single" w:sz="4" w:space="1" w:color="auto"/>
      </w:pBdr>
      <w:tabs>
        <w:tab w:val="right" w:pos="9639"/>
      </w:tabs>
      <w:rPr>
        <w:b/>
      </w:rPr>
    </w:pPr>
    <w:r w:rsidRPr="00581136">
      <w:rPr>
        <w:b/>
      </w:rPr>
      <w:t>Released 20</w:t>
    </w:r>
    <w:r>
      <w:rPr>
        <w:b/>
      </w:rPr>
      <w:t>2</w:t>
    </w:r>
    <w:r w:rsidR="001232DB">
      <w:rPr>
        <w:b/>
      </w:rPr>
      <w:t>5</w:t>
    </w:r>
    <w:r w:rsidRPr="00581136">
      <w:rPr>
        <w:b/>
      </w:rPr>
      <w:tab/>
      <w:t>health.govt.nz</w:t>
    </w:r>
  </w:p>
  <w:p w14:paraId="524869F6" w14:textId="77777777" w:rsidR="000E43C7" w:rsidRPr="005A79E5" w:rsidRDefault="000E43C7">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
      <w:gridCol w:w="9072"/>
    </w:tblGrid>
    <w:tr w:rsidR="000E43C7" w14:paraId="41D84476" w14:textId="77777777" w:rsidTr="000E43C7">
      <w:trPr>
        <w:cantSplit/>
      </w:trPr>
      <w:tc>
        <w:tcPr>
          <w:tcW w:w="710" w:type="dxa"/>
          <w:vAlign w:val="center"/>
        </w:tcPr>
        <w:p w14:paraId="1E49543C" w14:textId="77777777" w:rsidR="000E43C7" w:rsidRPr="00931466" w:rsidRDefault="000E43C7"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7E313C03" w14:textId="77777777" w:rsidR="000E43C7" w:rsidRDefault="000E43C7" w:rsidP="000D58DD">
          <w:pPr>
            <w:pStyle w:val="RectoFooter"/>
            <w:jc w:val="left"/>
          </w:pPr>
          <w:r w:rsidRPr="00663391">
            <w:t xml:space="preserve">The Risk of Adverse Events Associated with Mesh and Non-Mesh Repair of Groin Hernias: </w:t>
          </w:r>
          <w:r>
            <w:br/>
          </w:r>
          <w:r w:rsidRPr="00663391">
            <w:t>A literature review</w:t>
          </w:r>
        </w:p>
      </w:tc>
    </w:tr>
  </w:tbl>
  <w:p w14:paraId="20C748FF" w14:textId="77777777" w:rsidR="000E43C7" w:rsidRPr="00571223" w:rsidRDefault="000E43C7" w:rsidP="00571223">
    <w:pPr>
      <w:pStyle w:val="Verso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5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601"/>
      <w:gridCol w:w="709"/>
    </w:tblGrid>
    <w:tr w:rsidR="000E43C7" w14:paraId="63973AFD" w14:textId="77777777" w:rsidTr="000E43C7">
      <w:trPr>
        <w:cantSplit/>
      </w:trPr>
      <w:tc>
        <w:tcPr>
          <w:tcW w:w="14601" w:type="dxa"/>
          <w:vAlign w:val="center"/>
        </w:tcPr>
        <w:p w14:paraId="5D151591" w14:textId="77777777" w:rsidR="000E43C7" w:rsidRDefault="000E43C7" w:rsidP="000E43C7">
          <w:pPr>
            <w:pStyle w:val="RectoFooter"/>
          </w:pPr>
          <w:r>
            <w:t xml:space="preserve">THE RISK OF ADVERSE EVENTS ASSOCIATED WITH MESH AND NON-MESH REPAIR OF GROIN HERNIAS: </w:t>
          </w:r>
        </w:p>
        <w:p w14:paraId="0CE944F4" w14:textId="77777777" w:rsidR="000E43C7" w:rsidRDefault="000E43C7" w:rsidP="000E43C7">
          <w:pPr>
            <w:pStyle w:val="RectoFooter"/>
          </w:pPr>
          <w:r>
            <w:t>A LITERATURE REVIEW</w:t>
          </w:r>
        </w:p>
      </w:tc>
      <w:tc>
        <w:tcPr>
          <w:tcW w:w="709" w:type="dxa"/>
          <w:vAlign w:val="center"/>
        </w:tcPr>
        <w:p w14:paraId="6C06FFFB" w14:textId="77777777" w:rsidR="000E43C7" w:rsidRPr="00931466" w:rsidRDefault="000E43C7"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3BBEF106" w14:textId="77777777" w:rsidR="000E43C7" w:rsidRPr="00581EB8" w:rsidRDefault="000E43C7" w:rsidP="00581EB8">
    <w:pPr>
      <w:pStyle w:val="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0E43C7" w14:paraId="73BF0DA1" w14:textId="77777777" w:rsidTr="00D662F8">
      <w:trPr>
        <w:cantSplit/>
      </w:trPr>
      <w:tc>
        <w:tcPr>
          <w:tcW w:w="8080" w:type="dxa"/>
          <w:vAlign w:val="center"/>
        </w:tcPr>
        <w:p w14:paraId="408FB7A5" w14:textId="77777777" w:rsidR="000E43C7" w:rsidRDefault="000E43C7" w:rsidP="000E43C7">
          <w:pPr>
            <w:pStyle w:val="RectoFooter"/>
          </w:pPr>
          <w:r>
            <w:t xml:space="preserve">THE RISK OF ADVERSE EVENTS ASSOCIATED WITH MESH AND NON-MESH REPAIR OF GROIN HERNIAS: </w:t>
          </w:r>
        </w:p>
        <w:p w14:paraId="6484FE85" w14:textId="77777777" w:rsidR="000E43C7" w:rsidRDefault="000E43C7" w:rsidP="000E43C7">
          <w:pPr>
            <w:pStyle w:val="RectoFooter"/>
          </w:pPr>
          <w:r>
            <w:t>A LITERATURE REVIEW</w:t>
          </w:r>
        </w:p>
      </w:tc>
      <w:tc>
        <w:tcPr>
          <w:tcW w:w="709" w:type="dxa"/>
          <w:vAlign w:val="center"/>
        </w:tcPr>
        <w:p w14:paraId="5D251C64" w14:textId="77777777" w:rsidR="000E43C7" w:rsidRPr="00931466" w:rsidRDefault="000E43C7"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037AC983" w14:textId="77777777" w:rsidR="000E43C7" w:rsidRPr="00581EB8" w:rsidRDefault="000E43C7"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0E43C7" w:rsidRDefault="000E43C7"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0E43C7" w:rsidRDefault="000E43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0E43C7" w14:paraId="4C3A3BF7" w14:textId="77777777" w:rsidTr="00D662F8">
      <w:trPr>
        <w:cantSplit/>
      </w:trPr>
      <w:tc>
        <w:tcPr>
          <w:tcW w:w="709" w:type="dxa"/>
          <w:vAlign w:val="center"/>
        </w:tcPr>
        <w:p w14:paraId="28F87ED7" w14:textId="77777777" w:rsidR="000E43C7" w:rsidRPr="00931466" w:rsidRDefault="000E43C7"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6026D159" w14:textId="7158B4A7" w:rsidR="000E43C7" w:rsidRDefault="001B62FB" w:rsidP="00926083">
          <w:pPr>
            <w:pStyle w:val="RectoFooter"/>
            <w:jc w:val="left"/>
          </w:pPr>
          <w:r w:rsidRPr="00663391">
            <w:t xml:space="preserve">The Risk of Adverse Events Associated with Mesh and Non-Mesh Repair of Groin Hernias: </w:t>
          </w:r>
          <w:r>
            <w:br/>
          </w:r>
          <w:r w:rsidRPr="00663391">
            <w:t>A literature review</w:t>
          </w:r>
        </w:p>
      </w:tc>
    </w:tr>
  </w:tbl>
  <w:p w14:paraId="711B5D80" w14:textId="77777777" w:rsidR="000E43C7" w:rsidRPr="00571223" w:rsidRDefault="000E43C7"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0E43C7" w14:paraId="58AAB149" w14:textId="77777777" w:rsidTr="00D662F8">
      <w:trPr>
        <w:cantSplit/>
      </w:trPr>
      <w:tc>
        <w:tcPr>
          <w:tcW w:w="8080" w:type="dxa"/>
          <w:vAlign w:val="center"/>
        </w:tcPr>
        <w:p w14:paraId="20E2F0CC" w14:textId="5D6D986E" w:rsidR="000E43C7" w:rsidRDefault="000E43C7" w:rsidP="00926083">
          <w:pPr>
            <w:pStyle w:val="RectoFooter"/>
          </w:pPr>
          <w:r w:rsidRPr="00663391">
            <w:t xml:space="preserve">The Risk of Adverse Events Associated with Mesh and Non-Mesh Repair of Groin Hernias: </w:t>
          </w:r>
          <w:r>
            <w:br/>
          </w:r>
          <w:r w:rsidRPr="00663391">
            <w:t>A literature review</w:t>
          </w:r>
        </w:p>
      </w:tc>
      <w:tc>
        <w:tcPr>
          <w:tcW w:w="709" w:type="dxa"/>
          <w:vAlign w:val="center"/>
        </w:tcPr>
        <w:p w14:paraId="3D3C9847" w14:textId="77777777" w:rsidR="000E43C7" w:rsidRPr="00931466" w:rsidRDefault="000E43C7"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7602107" w14:textId="77777777" w:rsidR="000E43C7" w:rsidRPr="00581EB8" w:rsidRDefault="000E43C7"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0E43C7" w14:paraId="7DB74E0B" w14:textId="77777777" w:rsidTr="00D662F8">
      <w:trPr>
        <w:cantSplit/>
      </w:trPr>
      <w:tc>
        <w:tcPr>
          <w:tcW w:w="709" w:type="dxa"/>
          <w:vAlign w:val="center"/>
        </w:tcPr>
        <w:p w14:paraId="7FB9EB7B" w14:textId="77777777" w:rsidR="000E43C7" w:rsidRPr="00931466" w:rsidRDefault="000E43C7"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1A8BBBFB" w14:textId="2D114143" w:rsidR="000E43C7" w:rsidRDefault="000E43C7" w:rsidP="00926083">
          <w:pPr>
            <w:pStyle w:val="RectoFooter"/>
            <w:jc w:val="left"/>
          </w:pPr>
          <w:r w:rsidRPr="00663391">
            <w:t xml:space="preserve">The Risk of Adverse Events Associated with Mesh and Non-Mesh Repair of Groin Hernias: </w:t>
          </w:r>
          <w:r>
            <w:br/>
          </w:r>
          <w:r w:rsidRPr="00663391">
            <w:t>A literature review</w:t>
          </w:r>
        </w:p>
      </w:tc>
    </w:tr>
  </w:tbl>
  <w:p w14:paraId="7C39EF3C" w14:textId="77777777" w:rsidR="000E43C7" w:rsidRPr="00571223" w:rsidRDefault="000E43C7"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0E43C7" w14:paraId="423138CB" w14:textId="77777777" w:rsidTr="00D662F8">
      <w:trPr>
        <w:cantSplit/>
      </w:trPr>
      <w:tc>
        <w:tcPr>
          <w:tcW w:w="8080" w:type="dxa"/>
          <w:vAlign w:val="center"/>
        </w:tcPr>
        <w:p w14:paraId="520A68A6" w14:textId="00A79203" w:rsidR="000E43C7" w:rsidRDefault="000E43C7" w:rsidP="00926083">
          <w:pPr>
            <w:pStyle w:val="RectoFooter"/>
          </w:pPr>
          <w:r w:rsidRPr="00663391">
            <w:t xml:space="preserve">The Risk of Adverse Events Associated with Mesh and Non-Mesh Repair of Groin Hernias: </w:t>
          </w:r>
          <w:r>
            <w:br/>
          </w:r>
          <w:r w:rsidRPr="00663391">
            <w:t>A literature review</w:t>
          </w:r>
        </w:p>
      </w:tc>
      <w:tc>
        <w:tcPr>
          <w:tcW w:w="709" w:type="dxa"/>
          <w:vAlign w:val="center"/>
        </w:tcPr>
        <w:p w14:paraId="745D812B" w14:textId="77777777" w:rsidR="000E43C7" w:rsidRPr="00931466" w:rsidRDefault="000E43C7"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55CAC6B" w14:textId="77777777" w:rsidR="000E43C7" w:rsidRPr="00581EB8" w:rsidRDefault="000E43C7"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0E43C7" w14:paraId="7E34FA6B" w14:textId="77777777" w:rsidTr="00D662F8">
      <w:trPr>
        <w:cantSplit/>
      </w:trPr>
      <w:tc>
        <w:tcPr>
          <w:tcW w:w="675" w:type="dxa"/>
          <w:vAlign w:val="center"/>
        </w:tcPr>
        <w:p w14:paraId="6281C317" w14:textId="77777777" w:rsidR="000E43C7" w:rsidRPr="00931466" w:rsidRDefault="000E43C7"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27262A64" w14:textId="7243F873" w:rsidR="000E43C7" w:rsidRDefault="000E43C7" w:rsidP="000D58DD">
          <w:pPr>
            <w:pStyle w:val="RectoFooter"/>
            <w:jc w:val="left"/>
          </w:pPr>
          <w:r w:rsidRPr="00663391">
            <w:t xml:space="preserve">The Risk of Adverse Events Associated with Mesh and Non-Mesh Repair of Groin Hernias: </w:t>
          </w:r>
          <w:r>
            <w:br/>
          </w:r>
          <w:r w:rsidRPr="00663391">
            <w:t>A literature review</w:t>
          </w:r>
        </w:p>
      </w:tc>
    </w:tr>
  </w:tbl>
  <w:p w14:paraId="5177CEA2" w14:textId="77777777" w:rsidR="000E43C7" w:rsidRPr="00571223" w:rsidRDefault="000E43C7"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0E43C7" w14:paraId="47337729" w14:textId="77777777" w:rsidTr="00D662F8">
      <w:trPr>
        <w:cantSplit/>
      </w:trPr>
      <w:tc>
        <w:tcPr>
          <w:tcW w:w="8080" w:type="dxa"/>
          <w:vAlign w:val="center"/>
        </w:tcPr>
        <w:p w14:paraId="0F992793" w14:textId="77777777" w:rsidR="000E43C7" w:rsidRDefault="000E43C7" w:rsidP="000E43C7">
          <w:pPr>
            <w:pStyle w:val="RectoFooter"/>
          </w:pPr>
          <w:r>
            <w:t xml:space="preserve">THE RISK OF ADVERSE EVENTS ASSOCIATED WITH MESH AND NON-MESH REPAIR OF GROIN HERNIAS: </w:t>
          </w:r>
        </w:p>
        <w:p w14:paraId="1A33CBD1" w14:textId="067BB10C" w:rsidR="000E43C7" w:rsidRDefault="000E43C7" w:rsidP="000E43C7">
          <w:pPr>
            <w:pStyle w:val="RectoFooter"/>
          </w:pPr>
          <w:r>
            <w:t>A LITERATURE REVIEW</w:t>
          </w:r>
        </w:p>
      </w:tc>
      <w:tc>
        <w:tcPr>
          <w:tcW w:w="709" w:type="dxa"/>
          <w:vAlign w:val="center"/>
        </w:tcPr>
        <w:p w14:paraId="501EC334" w14:textId="77777777" w:rsidR="000E43C7" w:rsidRPr="00931466" w:rsidRDefault="000E43C7"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C6F2E7F" w14:textId="77777777" w:rsidR="000E43C7" w:rsidRPr="00581EB8" w:rsidRDefault="000E43C7"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C0BA6" w14:textId="77777777" w:rsidR="000E43C7" w:rsidRPr="00A26E6B" w:rsidRDefault="000E43C7" w:rsidP="00A26E6B"/>
  </w:footnote>
  <w:footnote w:type="continuationSeparator" w:id="0">
    <w:p w14:paraId="050712D3" w14:textId="77777777" w:rsidR="000E43C7" w:rsidRDefault="000E43C7">
      <w:r>
        <w:continuationSeparator/>
      </w:r>
    </w:p>
    <w:p w14:paraId="7B69CA38" w14:textId="77777777" w:rsidR="000E43C7" w:rsidRDefault="000E43C7"/>
  </w:footnote>
  <w:footnote w:id="1">
    <w:p w14:paraId="355302A9" w14:textId="77777777" w:rsidR="000E43C7" w:rsidRPr="00610CC3" w:rsidRDefault="000E43C7" w:rsidP="007B6463">
      <w:pPr>
        <w:pStyle w:val="FootnoteText"/>
        <w:rPr>
          <w:rFonts w:cs="Segoe UI"/>
        </w:rPr>
      </w:pPr>
      <w:r w:rsidRPr="00610CC3">
        <w:rPr>
          <w:rStyle w:val="FootnoteReference"/>
          <w:rFonts w:cs="Segoe UI"/>
        </w:rPr>
        <w:footnoteRef/>
      </w:r>
      <w:r w:rsidRPr="00610CC3">
        <w:rPr>
          <w:rFonts w:cs="Segoe UI"/>
        </w:rPr>
        <w:t xml:space="preserve"> In January 2014</w:t>
      </w:r>
      <w:r>
        <w:rPr>
          <w:rFonts w:cs="Segoe UI"/>
        </w:rPr>
        <w:t>,</w:t>
      </w:r>
      <w:r w:rsidRPr="00610CC3">
        <w:rPr>
          <w:rFonts w:cs="Segoe UI"/>
        </w:rPr>
        <w:t xml:space="preserve"> the Diana Unwin Chair in Restorative Justice, Victoria University of Wellington was established to serve as a focus for research and teaching on restorative justice theory and practice.</w:t>
      </w:r>
    </w:p>
  </w:footnote>
  <w:footnote w:id="2">
    <w:p w14:paraId="4C99E4D6" w14:textId="77777777" w:rsidR="000E43C7" w:rsidRPr="00610CC3" w:rsidRDefault="000E43C7" w:rsidP="007B6463">
      <w:pPr>
        <w:pStyle w:val="FootnoteText"/>
        <w:rPr>
          <w:rFonts w:cs="Segoe UI"/>
        </w:rPr>
      </w:pPr>
      <w:r w:rsidRPr="00610CC3">
        <w:rPr>
          <w:rStyle w:val="FootnoteReference"/>
          <w:rFonts w:cs="Segoe UI"/>
        </w:rPr>
        <w:footnoteRef/>
      </w:r>
      <w:r w:rsidRPr="00610CC3">
        <w:rPr>
          <w:rFonts w:cs="Segoe UI"/>
        </w:rPr>
        <w:t xml:space="preserve"> By January 2018</w:t>
      </w:r>
      <w:r>
        <w:rPr>
          <w:rFonts w:cs="Segoe UI"/>
        </w:rPr>
        <w:t>,</w:t>
      </w:r>
      <w:r w:rsidRPr="00610CC3">
        <w:rPr>
          <w:rFonts w:cs="Segoe UI"/>
        </w:rPr>
        <w:t xml:space="preserve"> all surgical mesh used for urogynaecologic procedures </w:t>
      </w:r>
      <w:r>
        <w:rPr>
          <w:rFonts w:cs="Segoe UI"/>
        </w:rPr>
        <w:t xml:space="preserve">had been </w:t>
      </w:r>
      <w:r w:rsidRPr="00610CC3">
        <w:rPr>
          <w:rFonts w:cs="Segoe UI"/>
        </w:rPr>
        <w:t>removed from the market in New Zealand.</w:t>
      </w:r>
    </w:p>
  </w:footnote>
  <w:footnote w:id="3">
    <w:p w14:paraId="46ECBE9B" w14:textId="77777777" w:rsidR="000E43C7" w:rsidRPr="0093245D" w:rsidRDefault="000E43C7" w:rsidP="007B6463">
      <w:pPr>
        <w:pStyle w:val="FootnoteText"/>
        <w:rPr>
          <w:rFonts w:cs="Segoe UI"/>
        </w:rPr>
      </w:pPr>
      <w:r w:rsidRPr="0093245D">
        <w:rPr>
          <w:rStyle w:val="FootnoteReference"/>
          <w:rFonts w:cs="Segoe UI"/>
        </w:rPr>
        <w:footnoteRef/>
      </w:r>
      <w:r w:rsidRPr="0093245D">
        <w:rPr>
          <w:rFonts w:cs="Segoe UI"/>
        </w:rPr>
        <w:t xml:space="preserve"> </w:t>
      </w:r>
      <w:r>
        <w:rPr>
          <w:rFonts w:cs="Segoe UI"/>
        </w:rPr>
        <w:t>G</w:t>
      </w:r>
      <w:r w:rsidRPr="0093245D">
        <w:rPr>
          <w:rFonts w:cs="Segoe UI"/>
        </w:rPr>
        <w:t xml:space="preserve">eneral rate of post-operative complications, post-operative pain, chronic pain, hernia recurrence rate, wound infection, wound swelling, hematoma, seroma, neuralgia, testicular complications, scrotal swelling </w:t>
      </w:r>
      <w:r>
        <w:rPr>
          <w:rFonts w:cs="Segoe UI"/>
        </w:rPr>
        <w:t xml:space="preserve">and </w:t>
      </w:r>
      <w:r w:rsidRPr="0093245D">
        <w:rPr>
          <w:rFonts w:cs="Segoe UI"/>
        </w:rPr>
        <w:t>oedema, analgesic requirements, operative time, hospital stay length and mortality.</w:t>
      </w:r>
    </w:p>
  </w:footnote>
  <w:footnote w:id="4">
    <w:p w14:paraId="03592A7C" w14:textId="77777777" w:rsidR="000E43C7" w:rsidRPr="0093245D" w:rsidRDefault="000E43C7" w:rsidP="007B6463">
      <w:pPr>
        <w:pStyle w:val="FootnoteText"/>
      </w:pPr>
      <w:r w:rsidRPr="0093245D">
        <w:rPr>
          <w:rStyle w:val="FootnoteReference"/>
          <w:rFonts w:cs="Segoe UI"/>
        </w:rPr>
        <w:footnoteRef/>
      </w:r>
      <w:r w:rsidRPr="0093245D">
        <w:rPr>
          <w:rFonts w:cs="Segoe UI"/>
        </w:rPr>
        <w:t xml:space="preserve"> </w:t>
      </w:r>
      <w:r>
        <w:rPr>
          <w:rFonts w:cs="Segoe UI"/>
        </w:rPr>
        <w:t>P</w:t>
      </w:r>
      <w:r w:rsidRPr="0093245D">
        <w:rPr>
          <w:rFonts w:cs="Segoe UI"/>
        </w:rPr>
        <w:t xml:space="preserve">atient satisfaction, time to return to work, time to resumption of usual activities, self-reported physical functioning, social functioning, role limitations </w:t>
      </w:r>
      <w:r>
        <w:rPr>
          <w:rFonts w:cs="Segoe UI"/>
        </w:rPr>
        <w:t xml:space="preserve">because of </w:t>
      </w:r>
      <w:r w:rsidRPr="0093245D">
        <w:rPr>
          <w:rFonts w:cs="Segoe UI"/>
        </w:rPr>
        <w:t>physical problems, role limitations because of emotional problems, mental health, energy, vitality, pain and general health perception.</w:t>
      </w:r>
    </w:p>
  </w:footnote>
  <w:footnote w:id="5">
    <w:p w14:paraId="0EBF9949" w14:textId="77777777" w:rsidR="000E43C7" w:rsidRPr="0093245D" w:rsidRDefault="000E43C7" w:rsidP="007B6463">
      <w:pPr>
        <w:pStyle w:val="FootnoteText"/>
        <w:rPr>
          <w:rFonts w:cs="Segoe UI"/>
        </w:rPr>
      </w:pPr>
      <w:r w:rsidRPr="0093245D">
        <w:rPr>
          <w:rStyle w:val="FootnoteReference"/>
          <w:rFonts w:cs="Segoe UI"/>
        </w:rPr>
        <w:footnoteRef/>
      </w:r>
      <w:r w:rsidRPr="0093245D">
        <w:rPr>
          <w:rFonts w:cs="Segoe UI"/>
        </w:rPr>
        <w:t xml:space="preserve"> 21 studies, 5</w:t>
      </w:r>
      <w:r>
        <w:rPr>
          <w:rFonts w:cs="Segoe UI"/>
        </w:rPr>
        <w:t>,</w:t>
      </w:r>
      <w:r w:rsidRPr="0093245D">
        <w:rPr>
          <w:rFonts w:cs="Segoe UI"/>
        </w:rPr>
        <w:t>575 patients; RR 0.46, 95% CI 0.26 to 0.80, I2 = 44%, moderate‐quality evidence</w:t>
      </w:r>
      <w:r>
        <w:rPr>
          <w:rFonts w:cs="Segoe UI"/>
        </w:rPr>
        <w:t>.</w:t>
      </w:r>
    </w:p>
  </w:footnote>
  <w:footnote w:id="6">
    <w:p w14:paraId="67684EDF" w14:textId="77777777" w:rsidR="000E43C7" w:rsidRPr="0093245D" w:rsidRDefault="000E43C7" w:rsidP="007B6463">
      <w:pPr>
        <w:pStyle w:val="FootnoteText"/>
        <w:rPr>
          <w:rFonts w:cs="Segoe UI"/>
        </w:rPr>
      </w:pPr>
      <w:r w:rsidRPr="0093245D">
        <w:rPr>
          <w:rStyle w:val="FootnoteReference"/>
          <w:rFonts w:cs="Segoe UI"/>
        </w:rPr>
        <w:footnoteRef/>
      </w:r>
      <w:r w:rsidRPr="0093245D">
        <w:rPr>
          <w:rFonts w:cs="Segoe UI"/>
        </w:rPr>
        <w:t xml:space="preserve"> 8 studies</w:t>
      </w:r>
      <w:r>
        <w:rPr>
          <w:rFonts w:cs="Segoe UI"/>
        </w:rPr>
        <w:t>;</w:t>
      </w:r>
      <w:r w:rsidRPr="0093245D">
        <w:rPr>
          <w:rFonts w:cs="Segoe UI"/>
        </w:rPr>
        <w:t xml:space="preserve"> RR 0.61, 95% CI 0.49 to 0.76, I2 = 0%, NNTB = 22, high‐quality evidence</w:t>
      </w:r>
      <w:r>
        <w:rPr>
          <w:rFonts w:cs="Segoe UI"/>
        </w:rPr>
        <w:t>.</w:t>
      </w:r>
    </w:p>
  </w:footnote>
  <w:footnote w:id="7">
    <w:p w14:paraId="27A6BA8C" w14:textId="77777777" w:rsidR="000E43C7" w:rsidRPr="0093245D" w:rsidRDefault="000E43C7" w:rsidP="007B6463">
      <w:pPr>
        <w:pStyle w:val="FootnoteText"/>
        <w:rPr>
          <w:rFonts w:cs="Segoe UI"/>
        </w:rPr>
      </w:pPr>
      <w:r w:rsidRPr="0093245D">
        <w:rPr>
          <w:rStyle w:val="FootnoteReference"/>
          <w:rFonts w:cs="Segoe UI"/>
        </w:rPr>
        <w:footnoteRef/>
      </w:r>
      <w:r w:rsidRPr="0093245D">
        <w:rPr>
          <w:rFonts w:cs="Segoe UI"/>
        </w:rPr>
        <w:t xml:space="preserve"> 8 studies, 1</w:t>
      </w:r>
      <w:r>
        <w:rPr>
          <w:rFonts w:cs="Segoe UI"/>
        </w:rPr>
        <w:t>,</w:t>
      </w:r>
      <w:r w:rsidRPr="0093245D">
        <w:rPr>
          <w:rFonts w:cs="Segoe UI"/>
        </w:rPr>
        <w:t>539 patients; RR 0.53, 95% CI 0.38 to 0.73, I2 = 56%, NNTB = 16, moderate‐quality evidence</w:t>
      </w:r>
      <w:r>
        <w:rPr>
          <w:rFonts w:cs="Segoe UI"/>
        </w:rPr>
        <w:t>.</w:t>
      </w:r>
    </w:p>
  </w:footnote>
  <w:footnote w:id="8">
    <w:p w14:paraId="424F582A" w14:textId="77777777" w:rsidR="000E43C7" w:rsidRPr="0093245D" w:rsidRDefault="000E43C7" w:rsidP="007B6463">
      <w:pPr>
        <w:pStyle w:val="FootnoteText"/>
        <w:rPr>
          <w:rFonts w:cs="Segoe UI"/>
        </w:rPr>
      </w:pPr>
      <w:r w:rsidRPr="0093245D">
        <w:rPr>
          <w:rStyle w:val="FootnoteReference"/>
          <w:rFonts w:cs="Segoe UI"/>
        </w:rPr>
        <w:footnoteRef/>
      </w:r>
      <w:r w:rsidRPr="0093245D">
        <w:rPr>
          <w:rFonts w:cs="Segoe UI"/>
        </w:rPr>
        <w:t xml:space="preserve"> </w:t>
      </w:r>
      <w:r w:rsidRPr="0093245D">
        <w:rPr>
          <w:rFonts w:cs="Segoe UI"/>
          <w:szCs w:val="24"/>
        </w:rPr>
        <w:t>20 studies, 4</w:t>
      </w:r>
      <w:r>
        <w:rPr>
          <w:rFonts w:cs="Segoe UI"/>
          <w:szCs w:val="24"/>
        </w:rPr>
        <w:t>,</w:t>
      </w:r>
      <w:r w:rsidRPr="0093245D">
        <w:rPr>
          <w:rFonts w:cs="Segoe UI"/>
          <w:szCs w:val="24"/>
        </w:rPr>
        <w:t>148 patients; 95% CI ‐6.85 to ‐1.60, I</w:t>
      </w:r>
      <w:r w:rsidRPr="00FC7B51">
        <w:rPr>
          <w:rFonts w:cs="Segoe UI"/>
          <w:szCs w:val="24"/>
        </w:rPr>
        <w:t>2</w:t>
      </w:r>
      <w:r w:rsidRPr="0093245D">
        <w:rPr>
          <w:rFonts w:cs="Segoe UI"/>
          <w:szCs w:val="24"/>
        </w:rPr>
        <w:t>= 97%, very low‐quality evidence</w:t>
      </w:r>
      <w:r>
        <w:rPr>
          <w:rFonts w:cs="Segoe UI"/>
          <w:szCs w:val="24"/>
        </w:rPr>
        <w:t>.</w:t>
      </w:r>
    </w:p>
  </w:footnote>
  <w:footnote w:id="9">
    <w:p w14:paraId="78F60BC9" w14:textId="77777777" w:rsidR="000E43C7" w:rsidRPr="0093245D" w:rsidRDefault="000E43C7" w:rsidP="007B6463">
      <w:pPr>
        <w:pStyle w:val="FootnoteText"/>
        <w:rPr>
          <w:rFonts w:cs="Segoe UI"/>
        </w:rPr>
      </w:pPr>
      <w:r w:rsidRPr="0093245D">
        <w:rPr>
          <w:rStyle w:val="FootnoteReference"/>
          <w:rFonts w:cs="Segoe UI"/>
        </w:rPr>
        <w:footnoteRef/>
      </w:r>
      <w:r w:rsidRPr="0093245D">
        <w:rPr>
          <w:rFonts w:cs="Segoe UI"/>
        </w:rPr>
        <w:t xml:space="preserve"> 12 studies, 2</w:t>
      </w:r>
      <w:r>
        <w:rPr>
          <w:rFonts w:cs="Segoe UI"/>
        </w:rPr>
        <w:t>,</w:t>
      </w:r>
      <w:r w:rsidRPr="0093245D">
        <w:rPr>
          <w:rFonts w:cs="Segoe UI"/>
        </w:rPr>
        <w:t>966 patients; 95% CI ‐0.86 to ‐0.34, I2 = 98%, low‐quality evidence</w:t>
      </w:r>
      <w:r>
        <w:rPr>
          <w:rFonts w:cs="Segoe UI"/>
        </w:rPr>
        <w:t>.</w:t>
      </w:r>
    </w:p>
  </w:footnote>
  <w:footnote w:id="10">
    <w:p w14:paraId="122F17A2" w14:textId="77777777" w:rsidR="000E43C7" w:rsidRPr="0093245D" w:rsidRDefault="000E43C7" w:rsidP="007B6463">
      <w:pPr>
        <w:pStyle w:val="FootnoteText"/>
        <w:rPr>
          <w:rFonts w:cs="Segoe UI"/>
        </w:rPr>
      </w:pPr>
      <w:r w:rsidRPr="0093245D">
        <w:rPr>
          <w:rStyle w:val="FootnoteReference"/>
          <w:rFonts w:cs="Segoe UI"/>
        </w:rPr>
        <w:footnoteRef/>
      </w:r>
      <w:r w:rsidRPr="0093245D">
        <w:rPr>
          <w:rFonts w:cs="Segoe UI"/>
        </w:rPr>
        <w:t xml:space="preserve"> 10 studies, 3</w:t>
      </w:r>
      <w:r>
        <w:rPr>
          <w:rFonts w:cs="Segoe UI"/>
        </w:rPr>
        <w:t>,</w:t>
      </w:r>
      <w:r w:rsidRPr="0093245D">
        <w:rPr>
          <w:rFonts w:cs="Segoe UI"/>
        </w:rPr>
        <w:t>183 patients; 95% CI ‐4.42 to ‐1.32, I2 = 96%, low‐quality evidence</w:t>
      </w:r>
      <w:r>
        <w:rPr>
          <w:rFonts w:cs="Segoe UI"/>
        </w:rPr>
        <w:t>.</w:t>
      </w:r>
    </w:p>
  </w:footnote>
  <w:footnote w:id="11">
    <w:p w14:paraId="33AA4DD6" w14:textId="77777777" w:rsidR="000E43C7" w:rsidRPr="0093245D" w:rsidRDefault="000E43C7" w:rsidP="007B6463">
      <w:pPr>
        <w:pStyle w:val="FootnoteText"/>
        <w:rPr>
          <w:rFonts w:cs="Segoe UI"/>
        </w:rPr>
      </w:pPr>
      <w:r w:rsidRPr="0093245D">
        <w:rPr>
          <w:rStyle w:val="FootnoteReference"/>
          <w:rFonts w:cs="Segoe UI"/>
        </w:rPr>
        <w:footnoteRef/>
      </w:r>
      <w:r w:rsidRPr="0093245D">
        <w:rPr>
          <w:rFonts w:cs="Segoe UI"/>
        </w:rPr>
        <w:t xml:space="preserve"> </w:t>
      </w:r>
      <w:r w:rsidRPr="0093245D">
        <w:rPr>
          <w:rFonts w:cs="Segoe UI"/>
          <w:szCs w:val="24"/>
        </w:rPr>
        <w:t>14 studies, 2</w:t>
      </w:r>
      <w:r>
        <w:rPr>
          <w:rFonts w:cs="Segoe UI"/>
          <w:szCs w:val="24"/>
        </w:rPr>
        <w:t>,</w:t>
      </w:r>
      <w:r w:rsidRPr="0093245D">
        <w:rPr>
          <w:rFonts w:cs="Segoe UI"/>
          <w:szCs w:val="24"/>
        </w:rPr>
        <w:t>640 patients; RR 1.63, 95% CI 1.03 to 2.59, I</w:t>
      </w:r>
      <w:r w:rsidRPr="0093245D">
        <w:rPr>
          <w:rFonts w:cs="Segoe UI"/>
          <w:szCs w:val="24"/>
          <w:vertAlign w:val="superscript"/>
        </w:rPr>
        <w:t>2</w:t>
      </w:r>
      <w:r w:rsidRPr="0093245D">
        <w:rPr>
          <w:rFonts w:cs="Segoe UI"/>
          <w:szCs w:val="24"/>
        </w:rPr>
        <w:t xml:space="preserve"> = 0%, NNTB = 72, moderate‐quality evidence</w:t>
      </w:r>
      <w:r>
        <w:rPr>
          <w:rFonts w:cs="Segoe UI"/>
          <w:szCs w:val="24"/>
        </w:rPr>
        <w:t>.</w:t>
      </w:r>
    </w:p>
  </w:footnote>
  <w:footnote w:id="12">
    <w:p w14:paraId="2778D61F" w14:textId="77777777" w:rsidR="000E43C7" w:rsidRPr="0093245D" w:rsidRDefault="000E43C7" w:rsidP="007B6463">
      <w:pPr>
        <w:pStyle w:val="FootnoteText"/>
        <w:rPr>
          <w:rFonts w:cs="Segoe UI"/>
        </w:rPr>
      </w:pPr>
      <w:r w:rsidRPr="0093245D">
        <w:rPr>
          <w:rStyle w:val="FootnoteReference"/>
          <w:rFonts w:cs="Segoe UI"/>
        </w:rPr>
        <w:footnoteRef/>
      </w:r>
      <w:r w:rsidRPr="0093245D">
        <w:rPr>
          <w:rFonts w:cs="Segoe UI"/>
        </w:rPr>
        <w:t xml:space="preserve"> </w:t>
      </w:r>
      <w:r>
        <w:rPr>
          <w:rFonts w:cs="Segoe UI"/>
          <w:szCs w:val="24"/>
        </w:rPr>
        <w:t>2</w:t>
      </w:r>
      <w:r w:rsidRPr="0093245D">
        <w:rPr>
          <w:rFonts w:cs="Segoe UI"/>
          <w:szCs w:val="24"/>
        </w:rPr>
        <w:t xml:space="preserve"> studies, 388 patients; RR 4.56, 95% CI 1.02 to 20.48, I</w:t>
      </w:r>
      <w:r w:rsidRPr="0093245D">
        <w:rPr>
          <w:rFonts w:cs="Segoe UI"/>
          <w:szCs w:val="24"/>
          <w:vertAlign w:val="superscript"/>
        </w:rPr>
        <w:t>2</w:t>
      </w:r>
      <w:r w:rsidRPr="0093245D">
        <w:rPr>
          <w:rFonts w:cs="Segoe UI"/>
          <w:szCs w:val="24"/>
        </w:rPr>
        <w:t xml:space="preserve"> = 33%, NNTB = 72, moderate‐quality evidence</w:t>
      </w:r>
      <w:r>
        <w:rPr>
          <w:rFonts w:cs="Segoe UI"/>
          <w:szCs w:val="24"/>
        </w:rPr>
        <w:t>.</w:t>
      </w:r>
    </w:p>
  </w:footnote>
  <w:footnote w:id="13">
    <w:p w14:paraId="61BB32C2" w14:textId="77777777" w:rsidR="000E43C7" w:rsidRPr="0093245D" w:rsidRDefault="000E43C7" w:rsidP="007B6463">
      <w:pPr>
        <w:pStyle w:val="FootnoteText"/>
        <w:rPr>
          <w:rFonts w:cs="Segoe UI"/>
        </w:rPr>
      </w:pPr>
      <w:r w:rsidRPr="0093245D">
        <w:rPr>
          <w:rStyle w:val="FootnoteReference"/>
          <w:rFonts w:cs="Segoe UI"/>
        </w:rPr>
        <w:footnoteRef/>
      </w:r>
      <w:r w:rsidRPr="0093245D">
        <w:rPr>
          <w:rFonts w:cs="Segoe UI"/>
        </w:rPr>
        <w:t xml:space="preserve"> 14 studies, 3</w:t>
      </w:r>
      <w:r>
        <w:rPr>
          <w:rFonts w:cs="Segoe UI"/>
        </w:rPr>
        <w:t>,</w:t>
      </w:r>
      <w:r w:rsidRPr="0093245D">
        <w:rPr>
          <w:rFonts w:cs="Segoe UI"/>
        </w:rPr>
        <w:t>741 patients; RR 1.06, 95% CI 0.63 to 1.76, I2 = 0%, NNTB = 2000, low‐quality evidence</w:t>
      </w:r>
      <w:r>
        <w:rPr>
          <w:rFonts w:cs="Segoe UI"/>
        </w:rPr>
        <w:t>.</w:t>
      </w:r>
    </w:p>
  </w:footnote>
  <w:footnote w:id="14">
    <w:p w14:paraId="659731F6" w14:textId="77777777" w:rsidR="000E43C7" w:rsidRPr="0093245D" w:rsidRDefault="000E43C7" w:rsidP="007B6463">
      <w:pPr>
        <w:pStyle w:val="FootnoteText"/>
        <w:rPr>
          <w:rFonts w:cs="Segoe UI"/>
        </w:rPr>
      </w:pPr>
      <w:r w:rsidRPr="0093245D">
        <w:rPr>
          <w:rStyle w:val="FootnoteReference"/>
          <w:rFonts w:cs="Segoe UI"/>
        </w:rPr>
        <w:footnoteRef/>
      </w:r>
      <w:r w:rsidRPr="0093245D">
        <w:rPr>
          <w:rFonts w:cs="Segoe UI"/>
        </w:rPr>
        <w:t xml:space="preserve"> 20 studies, 4</w:t>
      </w:r>
      <w:r>
        <w:rPr>
          <w:rFonts w:cs="Segoe UI"/>
        </w:rPr>
        <w:t>,</w:t>
      </w:r>
      <w:r w:rsidRPr="0093245D">
        <w:rPr>
          <w:rFonts w:cs="Segoe UI"/>
        </w:rPr>
        <w:t>540 patients; RR 1.29, 95% CI 0.89 to 1.86, I2 = 0%, NNTB = 200, low‐quality evidence</w:t>
      </w:r>
      <w:r>
        <w:rPr>
          <w:rFonts w:cs="Segoe UI"/>
        </w:rPr>
        <w:t>.</w:t>
      </w:r>
    </w:p>
  </w:footnote>
  <w:footnote w:id="15">
    <w:p w14:paraId="7464A360" w14:textId="77777777" w:rsidR="000E43C7" w:rsidRPr="0093245D" w:rsidRDefault="000E43C7" w:rsidP="007B6463">
      <w:pPr>
        <w:pStyle w:val="FootnoteText"/>
        <w:rPr>
          <w:rFonts w:cs="Segoe UI"/>
        </w:rPr>
      </w:pPr>
      <w:r w:rsidRPr="0093245D">
        <w:rPr>
          <w:rStyle w:val="FootnoteReference"/>
          <w:rFonts w:cs="Segoe UI"/>
        </w:rPr>
        <w:footnoteRef/>
      </w:r>
      <w:r w:rsidRPr="0093245D">
        <w:rPr>
          <w:rFonts w:cs="Segoe UI"/>
        </w:rPr>
        <w:t xml:space="preserve"> 15 studies, 3</w:t>
      </w:r>
      <w:r>
        <w:rPr>
          <w:rFonts w:cs="Segoe UI"/>
        </w:rPr>
        <w:t>,</w:t>
      </w:r>
      <w:r w:rsidRPr="0093245D">
        <w:rPr>
          <w:rFonts w:cs="Segoe UI"/>
        </w:rPr>
        <w:t>773 patients; RR 0.88, 95% CI 0.68 to 1.13, I2 = 0%, NNTB = 143, low‐quality evidence</w:t>
      </w:r>
      <w:r>
        <w:rPr>
          <w:rFonts w:cs="Segoe UI"/>
        </w:rPr>
        <w:t>.</w:t>
      </w:r>
    </w:p>
  </w:footnote>
  <w:footnote w:id="16">
    <w:p w14:paraId="53DC8120" w14:textId="77777777" w:rsidR="000E43C7" w:rsidRDefault="000E43C7" w:rsidP="007B6463">
      <w:pPr>
        <w:pStyle w:val="FootnoteText"/>
      </w:pPr>
      <w:r w:rsidRPr="0093245D">
        <w:rPr>
          <w:rStyle w:val="FootnoteReference"/>
          <w:rFonts w:cs="Segoe UI"/>
        </w:rPr>
        <w:footnoteRef/>
      </w:r>
      <w:r w:rsidRPr="0093245D">
        <w:rPr>
          <w:rFonts w:cs="Segoe UI"/>
        </w:rPr>
        <w:t xml:space="preserve"> </w:t>
      </w:r>
      <w:r>
        <w:rPr>
          <w:rFonts w:cs="Segoe UI"/>
        </w:rPr>
        <w:t>2</w:t>
      </w:r>
      <w:r w:rsidRPr="0093245D">
        <w:rPr>
          <w:rFonts w:cs="Segoe UI"/>
        </w:rPr>
        <w:t xml:space="preserve"> studies, 329 patients; RR 0.55, 95% CI 0.12 to 2.48, I2 = 37% NNTB = 77, low‐quality evidence</w:t>
      </w:r>
      <w:r>
        <w:rPr>
          <w:rFonts w:cs="Segoe UI"/>
        </w:rPr>
        <w:t>.</w:t>
      </w:r>
    </w:p>
  </w:footnote>
  <w:footnote w:id="17">
    <w:p w14:paraId="4D528E27" w14:textId="77777777" w:rsidR="000E43C7" w:rsidRPr="0093245D" w:rsidRDefault="000E43C7" w:rsidP="007B6463">
      <w:pPr>
        <w:pStyle w:val="FootnoteText"/>
        <w:rPr>
          <w:rFonts w:cs="Segoe UI"/>
        </w:rPr>
      </w:pPr>
      <w:r w:rsidRPr="0093245D">
        <w:rPr>
          <w:rStyle w:val="FootnoteReference"/>
          <w:rFonts w:cs="Segoe UI"/>
        </w:rPr>
        <w:footnoteRef/>
      </w:r>
      <w:r w:rsidRPr="0093245D">
        <w:rPr>
          <w:rFonts w:cs="Segoe UI"/>
        </w:rPr>
        <w:t xml:space="preserve"> </w:t>
      </w:r>
      <w:r w:rsidRPr="0093245D">
        <w:rPr>
          <w:rFonts w:cs="Segoe UI"/>
          <w:szCs w:val="24"/>
        </w:rPr>
        <w:t>2 studies, 454 patients; RR 1.66, 95% CI 0.96 to 2.88, I</w:t>
      </w:r>
      <w:r w:rsidRPr="003A2FC9">
        <w:rPr>
          <w:rFonts w:cs="Segoe UI"/>
          <w:szCs w:val="24"/>
        </w:rPr>
        <w:t>2</w:t>
      </w:r>
      <w:r w:rsidRPr="0093245D">
        <w:rPr>
          <w:rFonts w:cs="Segoe UI"/>
          <w:szCs w:val="24"/>
        </w:rPr>
        <w:t xml:space="preserve"> = 21%</w:t>
      </w:r>
      <w:r>
        <w:rPr>
          <w:rFonts w:cs="Segoe UI"/>
          <w:szCs w:val="24"/>
        </w:rPr>
        <w:t>.</w:t>
      </w:r>
    </w:p>
  </w:footnote>
  <w:footnote w:id="18">
    <w:p w14:paraId="73244CBA" w14:textId="77777777" w:rsidR="000E43C7" w:rsidRPr="0093245D" w:rsidRDefault="000E43C7" w:rsidP="007B6463">
      <w:pPr>
        <w:pStyle w:val="FootnoteText"/>
        <w:rPr>
          <w:rFonts w:cs="Segoe UI"/>
        </w:rPr>
      </w:pPr>
      <w:r w:rsidRPr="0093245D">
        <w:rPr>
          <w:rStyle w:val="FootnoteReference"/>
          <w:rFonts w:cs="Segoe UI"/>
        </w:rPr>
        <w:footnoteRef/>
      </w:r>
      <w:r w:rsidRPr="0093245D">
        <w:rPr>
          <w:rFonts w:cs="Segoe UI"/>
        </w:rPr>
        <w:t xml:space="preserve"> </w:t>
      </w:r>
      <w:r w:rsidRPr="0093245D">
        <w:rPr>
          <w:rFonts w:cs="Segoe UI"/>
          <w:szCs w:val="24"/>
        </w:rPr>
        <w:t>1 study, 30 patients; RR 1.00, 95% CI 0.15 to 6.64</w:t>
      </w:r>
      <w:r>
        <w:rPr>
          <w:rFonts w:cs="Segoe UI"/>
          <w:szCs w:val="24"/>
        </w:rPr>
        <w:t>.</w:t>
      </w:r>
    </w:p>
  </w:footnote>
  <w:footnote w:id="19">
    <w:p w14:paraId="52A05E40" w14:textId="77777777" w:rsidR="000E43C7" w:rsidRPr="0093245D" w:rsidRDefault="000E43C7" w:rsidP="007B6463">
      <w:pPr>
        <w:pStyle w:val="FootnoteText"/>
        <w:rPr>
          <w:rFonts w:cs="Segoe UI"/>
        </w:rPr>
      </w:pPr>
      <w:r w:rsidRPr="0093245D">
        <w:rPr>
          <w:rStyle w:val="FootnoteReference"/>
          <w:rFonts w:cs="Segoe UI"/>
        </w:rPr>
        <w:footnoteRef/>
      </w:r>
      <w:r w:rsidRPr="0093245D">
        <w:rPr>
          <w:rFonts w:cs="Segoe UI"/>
        </w:rPr>
        <w:t xml:space="preserve"> </w:t>
      </w:r>
      <w:r w:rsidRPr="0093245D">
        <w:rPr>
          <w:rFonts w:cs="Segoe UI"/>
          <w:szCs w:val="24"/>
        </w:rPr>
        <w:t>1 study, 208 patients; RR 1.38, 95% CI 0.58 to 3.28</w:t>
      </w:r>
      <w:r>
        <w:rPr>
          <w:rFonts w:cs="Segoe UI"/>
          <w:szCs w:val="24"/>
        </w:rPr>
        <w:t>.</w:t>
      </w:r>
    </w:p>
  </w:footnote>
  <w:footnote w:id="20">
    <w:p w14:paraId="6D4C9FA1" w14:textId="77777777" w:rsidR="000E43C7" w:rsidRDefault="000E43C7" w:rsidP="007B6463">
      <w:pPr>
        <w:pStyle w:val="FootnoteText"/>
      </w:pPr>
      <w:r w:rsidRPr="0093245D">
        <w:rPr>
          <w:rStyle w:val="FootnoteReference"/>
          <w:rFonts w:cs="Segoe UI"/>
        </w:rPr>
        <w:footnoteRef/>
      </w:r>
      <w:r w:rsidRPr="0093245D">
        <w:rPr>
          <w:rFonts w:cs="Segoe UI"/>
        </w:rPr>
        <w:t xml:space="preserve"> </w:t>
      </w:r>
      <w:r w:rsidRPr="0093245D">
        <w:rPr>
          <w:rFonts w:cs="Segoe UI"/>
          <w:szCs w:val="24"/>
        </w:rPr>
        <w:t>2 studies, 104 patients; RR 0.19, 95% CI 0.04 to 1.03, I</w:t>
      </w:r>
      <w:r w:rsidRPr="00FC7B51">
        <w:rPr>
          <w:rFonts w:cs="Segoe UI"/>
          <w:szCs w:val="24"/>
        </w:rPr>
        <w:t>2</w:t>
      </w:r>
      <w:r w:rsidRPr="0093245D">
        <w:rPr>
          <w:rFonts w:cs="Segoe UI"/>
          <w:szCs w:val="24"/>
        </w:rPr>
        <w:t xml:space="preserve"> = 0%</w:t>
      </w:r>
      <w:r>
        <w:rPr>
          <w:rFonts w:cs="Segoe UI"/>
          <w:szCs w:val="24"/>
        </w:rPr>
        <w:t>.</w:t>
      </w:r>
    </w:p>
  </w:footnote>
  <w:footnote w:id="21">
    <w:p w14:paraId="2F94D049" w14:textId="77777777" w:rsidR="000E43C7" w:rsidRPr="00001037" w:rsidRDefault="000E43C7" w:rsidP="007B6463">
      <w:pPr>
        <w:pStyle w:val="FootnoteText"/>
        <w:rPr>
          <w:rFonts w:cs="Segoe UI"/>
        </w:rPr>
      </w:pPr>
      <w:r w:rsidRPr="00001037">
        <w:rPr>
          <w:rStyle w:val="FootnoteReference"/>
          <w:rFonts w:cs="Segoe UI"/>
        </w:rPr>
        <w:footnoteRef/>
      </w:r>
      <w:r w:rsidRPr="00001037">
        <w:rPr>
          <w:rFonts w:cs="Segoe UI"/>
        </w:rPr>
        <w:t xml:space="preserve"> OR 0.41, 95% CI 0.26 to 0.63, P &lt; 0.00007</w:t>
      </w:r>
      <w:r>
        <w:rPr>
          <w:rFonts w:cs="Segoe UI"/>
        </w:rPr>
        <w:t>.</w:t>
      </w:r>
    </w:p>
  </w:footnote>
  <w:footnote w:id="22">
    <w:p w14:paraId="7B075077" w14:textId="77777777" w:rsidR="000E43C7" w:rsidRPr="00001037" w:rsidRDefault="000E43C7" w:rsidP="007B6463">
      <w:pPr>
        <w:pStyle w:val="FootnoteText"/>
        <w:rPr>
          <w:rFonts w:cs="Segoe UI"/>
        </w:rPr>
      </w:pPr>
      <w:r w:rsidRPr="00001037">
        <w:rPr>
          <w:rStyle w:val="FootnoteReference"/>
          <w:rFonts w:cs="Segoe UI"/>
        </w:rPr>
        <w:footnoteRef/>
      </w:r>
      <w:r w:rsidRPr="00001037">
        <w:rPr>
          <w:rFonts w:cs="Segoe UI"/>
        </w:rPr>
        <w:t xml:space="preserve"> </w:t>
      </w:r>
      <w:r w:rsidRPr="00001037">
        <w:rPr>
          <w:rFonts w:cs="Segoe UI"/>
          <w:szCs w:val="24"/>
        </w:rPr>
        <w:t xml:space="preserve">WMD -6.23 </w:t>
      </w:r>
      <w:r>
        <w:rPr>
          <w:rFonts w:cs="Segoe UI"/>
          <w:szCs w:val="24"/>
        </w:rPr>
        <w:t>(</w:t>
      </w:r>
      <w:r w:rsidRPr="00001037">
        <w:rPr>
          <w:rFonts w:cs="Segoe UI"/>
          <w:szCs w:val="24"/>
        </w:rPr>
        <w:t>days</w:t>
      </w:r>
      <w:r>
        <w:rPr>
          <w:rFonts w:cs="Segoe UI"/>
          <w:szCs w:val="24"/>
        </w:rPr>
        <w:t>)</w:t>
      </w:r>
      <w:r w:rsidRPr="00001037">
        <w:rPr>
          <w:rFonts w:cs="Segoe UI"/>
          <w:szCs w:val="24"/>
        </w:rPr>
        <w:t>, 95% CI -7.47 to -5.00, P &lt; 0.00001</w:t>
      </w:r>
      <w:r>
        <w:rPr>
          <w:rFonts w:cs="Segoe UI"/>
          <w:szCs w:val="24"/>
        </w:rPr>
        <w:t>.</w:t>
      </w:r>
    </w:p>
  </w:footnote>
  <w:footnote w:id="23">
    <w:p w14:paraId="62A6DE2A" w14:textId="77777777" w:rsidR="000E43C7" w:rsidRPr="00001037" w:rsidRDefault="000E43C7" w:rsidP="007B6463">
      <w:pPr>
        <w:pStyle w:val="FootnoteText"/>
        <w:rPr>
          <w:rFonts w:cs="Segoe UI"/>
        </w:rPr>
      </w:pPr>
      <w:r w:rsidRPr="00001037">
        <w:rPr>
          <w:rStyle w:val="FootnoteReference"/>
          <w:rFonts w:cs="Segoe UI"/>
        </w:rPr>
        <w:footnoteRef/>
      </w:r>
      <w:r w:rsidRPr="00001037">
        <w:rPr>
          <w:rFonts w:cs="Segoe UI"/>
        </w:rPr>
        <w:t xml:space="preserve"> POR 0.40, 95% CI 0.30 to 0.53, P &lt; 0.00001</w:t>
      </w:r>
      <w:r>
        <w:rPr>
          <w:rFonts w:cs="Segoe UI"/>
        </w:rPr>
        <w:t>.</w:t>
      </w:r>
    </w:p>
  </w:footnote>
  <w:footnote w:id="24">
    <w:p w14:paraId="36A5D1B1" w14:textId="77777777" w:rsidR="000E43C7" w:rsidRDefault="000E43C7" w:rsidP="007B6463">
      <w:pPr>
        <w:pStyle w:val="FootnoteText"/>
      </w:pPr>
      <w:r w:rsidRPr="00001037">
        <w:rPr>
          <w:rStyle w:val="FootnoteReference"/>
          <w:rFonts w:cs="Segoe UI"/>
        </w:rPr>
        <w:footnoteRef/>
      </w:r>
      <w:r w:rsidRPr="00001037">
        <w:rPr>
          <w:rFonts w:cs="Segoe UI"/>
        </w:rPr>
        <w:t xml:space="preserve"> WMD -6.53 </w:t>
      </w:r>
      <w:r>
        <w:rPr>
          <w:rFonts w:cs="Segoe UI"/>
        </w:rPr>
        <w:t>(</w:t>
      </w:r>
      <w:r w:rsidRPr="00001037">
        <w:rPr>
          <w:rFonts w:cs="Segoe UI"/>
        </w:rPr>
        <w:t>days</w:t>
      </w:r>
      <w:r>
        <w:rPr>
          <w:rFonts w:cs="Segoe UI"/>
        </w:rPr>
        <w:t>)</w:t>
      </w:r>
      <w:r w:rsidRPr="00001037">
        <w:rPr>
          <w:rFonts w:cs="Segoe UI"/>
        </w:rPr>
        <w:t>, 95% CI -7.46 to -5.61, P &lt; 0.00001</w:t>
      </w:r>
      <w:r>
        <w:rPr>
          <w:rFonts w:cs="Segoe UI"/>
        </w:rPr>
        <w:t>.</w:t>
      </w:r>
    </w:p>
  </w:footnote>
  <w:footnote w:id="25">
    <w:p w14:paraId="126A4460" w14:textId="77777777" w:rsidR="000E43C7" w:rsidRPr="00921E07" w:rsidRDefault="000E43C7" w:rsidP="007B6463">
      <w:pPr>
        <w:pStyle w:val="FootnoteText"/>
        <w:rPr>
          <w:rFonts w:cs="Segoe UI"/>
        </w:rPr>
      </w:pPr>
      <w:r w:rsidRPr="00921E07">
        <w:rPr>
          <w:rStyle w:val="FootnoteReference"/>
          <w:rFonts w:cs="Segoe UI"/>
        </w:rPr>
        <w:footnoteRef/>
      </w:r>
      <w:r w:rsidRPr="00921E07">
        <w:rPr>
          <w:rFonts w:cs="Segoe UI"/>
        </w:rPr>
        <w:t xml:space="preserve"> </w:t>
      </w:r>
      <w:r w:rsidRPr="00921E07">
        <w:rPr>
          <w:rFonts w:cs="Segoe UI"/>
          <w:szCs w:val="24"/>
        </w:rPr>
        <w:t>Mean ±</w:t>
      </w:r>
      <w:r w:rsidRPr="00921E07">
        <w:rPr>
          <w:rFonts w:cs="Segoe UI"/>
        </w:rPr>
        <w:t xml:space="preserve"> SD; 9.9 </w:t>
      </w:r>
      <w:r w:rsidRPr="00921E07">
        <w:rPr>
          <w:rFonts w:cs="Segoe UI"/>
          <w:szCs w:val="24"/>
        </w:rPr>
        <w:t>± 4.9. at 3 weeks (9.6 ± 4.6), 6 months (7.3 ± 2.9), 1 year (7.3 ± 3.2), 2 years (7.2 ± 2.9), 3 years (6.7 ± 2.1), 4 years (7.0 ± 2.3) and 5 years (7.9 ± 2.5) post-operatively (for all scores; p &lt; 0.05).</w:t>
      </w:r>
    </w:p>
  </w:footnote>
  <w:footnote w:id="26">
    <w:p w14:paraId="11CDDEE2" w14:textId="77777777" w:rsidR="000E43C7" w:rsidRPr="00921E07" w:rsidRDefault="000E43C7" w:rsidP="007B6463">
      <w:pPr>
        <w:pStyle w:val="FootnoteText"/>
        <w:rPr>
          <w:rFonts w:cs="Segoe UI"/>
        </w:rPr>
      </w:pPr>
      <w:r w:rsidRPr="00921E07">
        <w:rPr>
          <w:rStyle w:val="FootnoteReference"/>
          <w:rFonts w:cs="Segoe UI"/>
        </w:rPr>
        <w:footnoteRef/>
      </w:r>
      <w:r>
        <w:rPr>
          <w:rFonts w:cs="Segoe UI"/>
        </w:rPr>
        <w:t xml:space="preserve"> </w:t>
      </w:r>
      <w:r w:rsidRPr="00921E07">
        <w:rPr>
          <w:rFonts w:cs="Segoe UI"/>
          <w:szCs w:val="24"/>
        </w:rPr>
        <w:t>Mean ±</w:t>
      </w:r>
      <w:r w:rsidRPr="00921E07">
        <w:rPr>
          <w:rFonts w:cs="Segoe UI"/>
        </w:rPr>
        <w:t xml:space="preserve"> SD; 9.3 </w:t>
      </w:r>
      <w:r w:rsidRPr="00921E07">
        <w:rPr>
          <w:rFonts w:cs="Segoe UI"/>
          <w:szCs w:val="24"/>
        </w:rPr>
        <w:t>± 4.1, at 3 weeks (8.0 ± 3.1), 6 months (5.8 ± 2.7), 1 year (5.8 ± 2.6), 2 years (5.8 ± 2.5), 3 years (8.0 ± 3.1), 4 years (5.5 ± 2.2) and 5 years (6.0 ± 3.0) post-operatively (for all scores; p &lt; 0.05).</w:t>
      </w:r>
    </w:p>
  </w:footnote>
  <w:footnote w:id="27">
    <w:p w14:paraId="21EC4CEF" w14:textId="77777777" w:rsidR="000E43C7" w:rsidRPr="00921E07" w:rsidRDefault="000E43C7" w:rsidP="007B6463">
      <w:pPr>
        <w:pStyle w:val="FootnoteText"/>
        <w:rPr>
          <w:rFonts w:cs="Segoe UI"/>
        </w:rPr>
      </w:pPr>
      <w:r w:rsidRPr="00921E07">
        <w:rPr>
          <w:rStyle w:val="FootnoteReference"/>
          <w:rFonts w:cs="Segoe UI"/>
        </w:rPr>
        <w:footnoteRef/>
      </w:r>
      <w:r>
        <w:rPr>
          <w:rFonts w:cs="Segoe UI"/>
        </w:rPr>
        <w:t xml:space="preserve"> </w:t>
      </w:r>
      <w:r w:rsidRPr="00921E07">
        <w:rPr>
          <w:rFonts w:cs="Segoe UI"/>
          <w:szCs w:val="24"/>
        </w:rPr>
        <w:t>Mean ±</w:t>
      </w:r>
      <w:r w:rsidRPr="00921E07">
        <w:rPr>
          <w:rFonts w:cs="Segoe UI"/>
        </w:rPr>
        <w:t xml:space="preserve"> SD; 13.2 </w:t>
      </w:r>
      <w:r w:rsidRPr="00921E07">
        <w:rPr>
          <w:rFonts w:cs="Segoe UI"/>
          <w:szCs w:val="24"/>
        </w:rPr>
        <w:t>± 5.8, at 3 weeks (13.7 ± 5.5), 6 months (11.3 ± 4.5), 1 year (11.2 ± 4.2), 2 years (11.8 ± 4.5) and 5 years (12.4 ± 5.5) post-operatively (for all scores; p &lt; 0.05).</w:t>
      </w:r>
    </w:p>
  </w:footnote>
  <w:footnote w:id="28">
    <w:p w14:paraId="01503595" w14:textId="77777777" w:rsidR="000E43C7" w:rsidRPr="00921E07" w:rsidRDefault="000E43C7" w:rsidP="007B6463">
      <w:pPr>
        <w:pStyle w:val="FootnoteText"/>
        <w:rPr>
          <w:rFonts w:cs="Segoe UI"/>
        </w:rPr>
      </w:pPr>
      <w:r w:rsidRPr="00921E07">
        <w:rPr>
          <w:rStyle w:val="FootnoteReference"/>
          <w:rFonts w:cs="Segoe UI"/>
        </w:rPr>
        <w:footnoteRef/>
      </w:r>
      <w:r w:rsidRPr="00921E07">
        <w:rPr>
          <w:rFonts w:cs="Segoe UI"/>
        </w:rPr>
        <w:t xml:space="preserve"> </w:t>
      </w:r>
      <w:r w:rsidRPr="00921E07">
        <w:rPr>
          <w:rFonts w:cs="Segoe UI"/>
          <w:szCs w:val="24"/>
        </w:rPr>
        <w:t>Mean ±</w:t>
      </w:r>
      <w:r w:rsidRPr="00921E07">
        <w:rPr>
          <w:rFonts w:cs="Segoe UI"/>
        </w:rPr>
        <w:t xml:space="preserve"> SD; 32.7 </w:t>
      </w:r>
      <w:r w:rsidRPr="00921E07">
        <w:rPr>
          <w:rFonts w:cs="Segoe UI"/>
          <w:szCs w:val="24"/>
        </w:rPr>
        <w:t>± 4.8, at 3 weeks (32.5 ± 4.3), 6 months (34.4 ± 3.6), 1 year (34.0 ± 4.1), 2 years (34.2 ± 3.7) and 5 years (33.5 ± 5.2) post-operatively (for all scores; p &lt; 0.05).</w:t>
      </w:r>
    </w:p>
  </w:footnote>
  <w:footnote w:id="29">
    <w:p w14:paraId="7D2456EA" w14:textId="77777777" w:rsidR="000E43C7" w:rsidRPr="004A79BB" w:rsidRDefault="000E43C7" w:rsidP="007B6463">
      <w:pPr>
        <w:pStyle w:val="FootnoteText"/>
        <w:rPr>
          <w:rFonts w:cs="Segoe UI"/>
        </w:rPr>
      </w:pPr>
      <w:r w:rsidRPr="004A79BB">
        <w:rPr>
          <w:rStyle w:val="FootnoteReference"/>
          <w:rFonts w:cs="Segoe UI"/>
        </w:rPr>
        <w:footnoteRef/>
      </w:r>
      <w:r w:rsidRPr="004A79BB">
        <w:rPr>
          <w:rFonts w:cs="Segoe UI"/>
        </w:rPr>
        <w:t xml:space="preserve"> </w:t>
      </w:r>
      <w:r w:rsidRPr="004A79BB">
        <w:rPr>
          <w:rFonts w:cs="Segoe UI"/>
          <w:szCs w:val="24"/>
        </w:rPr>
        <w:t>OR 0.97, 95% CI 0.89 to 1.06, P = 0.535</w:t>
      </w:r>
      <w:r>
        <w:rPr>
          <w:rFonts w:cs="Segoe UI"/>
          <w:szCs w:val="24"/>
        </w:rPr>
        <w:t>.</w:t>
      </w:r>
    </w:p>
  </w:footnote>
  <w:footnote w:id="30">
    <w:p w14:paraId="76273B47" w14:textId="77777777" w:rsidR="000E43C7" w:rsidRPr="004A79BB" w:rsidRDefault="000E43C7" w:rsidP="007B6463">
      <w:pPr>
        <w:pStyle w:val="FootnoteText"/>
        <w:rPr>
          <w:rFonts w:cs="Segoe UI"/>
        </w:rPr>
      </w:pPr>
      <w:r w:rsidRPr="004A79BB">
        <w:rPr>
          <w:rStyle w:val="FootnoteReference"/>
          <w:rFonts w:cs="Segoe UI"/>
        </w:rPr>
        <w:footnoteRef/>
      </w:r>
      <w:r w:rsidRPr="004A79BB">
        <w:rPr>
          <w:rFonts w:cs="Segoe UI"/>
        </w:rPr>
        <w:t xml:space="preserve"> </w:t>
      </w:r>
      <w:r w:rsidRPr="004A79BB">
        <w:rPr>
          <w:rFonts w:cs="Segoe UI"/>
          <w:szCs w:val="24"/>
        </w:rPr>
        <w:t>OR 0.95, 95% CI 0.87 to 1.04, P = 0.295</w:t>
      </w:r>
      <w:r>
        <w:rPr>
          <w:rFonts w:cs="Segoe UI"/>
          <w:szCs w:val="24"/>
        </w:rPr>
        <w:t>.</w:t>
      </w:r>
    </w:p>
  </w:footnote>
  <w:footnote w:id="31">
    <w:p w14:paraId="5A1A0A4D" w14:textId="77777777" w:rsidR="000E43C7" w:rsidRPr="0093245D" w:rsidRDefault="000E43C7" w:rsidP="007B6463">
      <w:pPr>
        <w:pStyle w:val="FootnoteText"/>
        <w:rPr>
          <w:rFonts w:cs="Segoe UI"/>
        </w:rPr>
      </w:pPr>
      <w:r w:rsidRPr="0093245D">
        <w:rPr>
          <w:rStyle w:val="FootnoteReference"/>
          <w:rFonts w:cs="Segoe UI"/>
        </w:rPr>
        <w:footnoteRef/>
      </w:r>
      <w:r w:rsidRPr="0093245D">
        <w:rPr>
          <w:rFonts w:cs="Segoe UI"/>
        </w:rPr>
        <w:t xml:space="preserve"> </w:t>
      </w:r>
      <w:r w:rsidRPr="0093245D">
        <w:rPr>
          <w:rFonts w:cs="Segoe UI"/>
          <w:szCs w:val="24"/>
        </w:rPr>
        <w:t>MD 4, 95% CI 1 to 7, P = 0.005</w:t>
      </w:r>
      <w:r>
        <w:rPr>
          <w:rFonts w:cs="Segoe UI"/>
          <w:szCs w:val="24"/>
        </w:rPr>
        <w:t>.</w:t>
      </w:r>
    </w:p>
  </w:footnote>
  <w:footnote w:id="32">
    <w:p w14:paraId="340A2163" w14:textId="77777777" w:rsidR="000E43C7" w:rsidRPr="0093245D" w:rsidRDefault="000E43C7" w:rsidP="007B6463">
      <w:pPr>
        <w:pStyle w:val="FootnoteText"/>
        <w:rPr>
          <w:rFonts w:cs="Segoe UI"/>
        </w:rPr>
      </w:pPr>
      <w:r w:rsidRPr="0093245D">
        <w:rPr>
          <w:rStyle w:val="FootnoteReference"/>
          <w:rFonts w:cs="Segoe UI"/>
        </w:rPr>
        <w:footnoteRef/>
      </w:r>
      <w:r w:rsidRPr="0093245D">
        <w:rPr>
          <w:rFonts w:cs="Segoe UI"/>
        </w:rPr>
        <w:t xml:space="preserve"> </w:t>
      </w:r>
      <w:r w:rsidRPr="0093245D">
        <w:rPr>
          <w:rFonts w:cs="Segoe UI"/>
          <w:szCs w:val="24"/>
        </w:rPr>
        <w:t>MD 11, 95% CI 8 to 14, P &lt; 0.0001</w:t>
      </w:r>
      <w:r>
        <w:rPr>
          <w:rFonts w:cs="Segoe UI"/>
          <w:szCs w:val="24"/>
        </w:rPr>
        <w:t>.</w:t>
      </w:r>
    </w:p>
  </w:footnote>
  <w:footnote w:id="33">
    <w:p w14:paraId="03AF9EA5" w14:textId="77777777" w:rsidR="000E43C7" w:rsidRPr="0093245D" w:rsidRDefault="000E43C7" w:rsidP="007B6463">
      <w:pPr>
        <w:pStyle w:val="FootnoteText"/>
        <w:rPr>
          <w:rFonts w:cs="Segoe UI"/>
        </w:rPr>
      </w:pPr>
      <w:r w:rsidRPr="0093245D">
        <w:rPr>
          <w:rStyle w:val="FootnoteReference"/>
          <w:rFonts w:cs="Segoe UI"/>
        </w:rPr>
        <w:footnoteRef/>
      </w:r>
      <w:r w:rsidRPr="0093245D">
        <w:rPr>
          <w:rFonts w:cs="Segoe UI"/>
        </w:rPr>
        <w:t xml:space="preserve"> </w:t>
      </w:r>
      <w:r w:rsidRPr="0093245D">
        <w:rPr>
          <w:rFonts w:cs="Segoe UI"/>
          <w:szCs w:val="24"/>
        </w:rPr>
        <w:t>MD 4, 95% CI 1 to 7, P = 0.004</w:t>
      </w:r>
      <w:r>
        <w:rPr>
          <w:rFonts w:cs="Segoe UI"/>
          <w:szCs w:val="24"/>
        </w:rPr>
        <w:t>.</w:t>
      </w:r>
    </w:p>
  </w:footnote>
  <w:footnote w:id="34">
    <w:p w14:paraId="0365E4F4" w14:textId="77777777" w:rsidR="000E43C7" w:rsidRPr="0093245D" w:rsidRDefault="000E43C7" w:rsidP="007B6463">
      <w:pPr>
        <w:pStyle w:val="FootnoteText"/>
        <w:rPr>
          <w:rFonts w:cs="Segoe UI"/>
        </w:rPr>
      </w:pPr>
      <w:r w:rsidRPr="0093245D">
        <w:rPr>
          <w:rStyle w:val="FootnoteReference"/>
          <w:rFonts w:cs="Segoe UI"/>
        </w:rPr>
        <w:footnoteRef/>
      </w:r>
      <w:r w:rsidRPr="0093245D">
        <w:rPr>
          <w:rFonts w:cs="Segoe UI"/>
        </w:rPr>
        <w:t xml:space="preserve"> </w:t>
      </w:r>
      <w:r w:rsidRPr="0093245D">
        <w:rPr>
          <w:rFonts w:cs="Segoe UI"/>
          <w:szCs w:val="24"/>
        </w:rPr>
        <w:t>MD 20, 95% CI 12 to 27, P &lt; 0.0001</w:t>
      </w:r>
      <w:r>
        <w:rPr>
          <w:rFonts w:cs="Segoe UI"/>
          <w:szCs w:val="24"/>
        </w:rPr>
        <w:t>.</w:t>
      </w:r>
    </w:p>
  </w:footnote>
  <w:footnote w:id="35">
    <w:p w14:paraId="770D2347" w14:textId="77777777" w:rsidR="000E43C7" w:rsidRPr="0093245D" w:rsidRDefault="000E43C7" w:rsidP="007B6463">
      <w:pPr>
        <w:pStyle w:val="FootnoteText"/>
        <w:rPr>
          <w:rFonts w:cs="Segoe UI"/>
        </w:rPr>
      </w:pPr>
      <w:r w:rsidRPr="0093245D">
        <w:rPr>
          <w:rStyle w:val="FootnoteReference"/>
          <w:rFonts w:cs="Segoe UI"/>
        </w:rPr>
        <w:footnoteRef/>
      </w:r>
      <w:r w:rsidRPr="0093245D">
        <w:rPr>
          <w:rFonts w:cs="Segoe UI"/>
        </w:rPr>
        <w:t xml:space="preserve"> </w:t>
      </w:r>
      <w:r w:rsidRPr="0093245D">
        <w:rPr>
          <w:rFonts w:cs="Segoe UI"/>
          <w:szCs w:val="24"/>
        </w:rPr>
        <w:t>MD 6, 95% CI 2 to 11, P = 0.006</w:t>
      </w:r>
      <w:r>
        <w:rPr>
          <w:rFonts w:cs="Segoe UI"/>
          <w:szCs w:val="24"/>
        </w:rPr>
        <w:t>.</w:t>
      </w:r>
    </w:p>
  </w:footnote>
  <w:footnote w:id="36">
    <w:p w14:paraId="4E0F554D" w14:textId="77777777" w:rsidR="000E43C7" w:rsidRPr="0093245D" w:rsidRDefault="000E43C7" w:rsidP="007B6463">
      <w:pPr>
        <w:pStyle w:val="FootnoteText"/>
        <w:rPr>
          <w:rFonts w:cs="Segoe UI"/>
        </w:rPr>
      </w:pPr>
      <w:r w:rsidRPr="0093245D">
        <w:rPr>
          <w:rStyle w:val="FootnoteReference"/>
          <w:rFonts w:cs="Segoe UI"/>
        </w:rPr>
        <w:footnoteRef/>
      </w:r>
      <w:r w:rsidRPr="0093245D">
        <w:rPr>
          <w:rFonts w:cs="Segoe UI"/>
        </w:rPr>
        <w:t xml:space="preserve"> </w:t>
      </w:r>
      <w:r w:rsidRPr="0093245D">
        <w:rPr>
          <w:rFonts w:cs="Segoe UI"/>
          <w:szCs w:val="24"/>
        </w:rPr>
        <w:t>MD 17, 95% CI 12 to 22, P = 0.0001</w:t>
      </w:r>
      <w:r>
        <w:rPr>
          <w:rFonts w:cs="Segoe UI"/>
          <w:szCs w:val="24"/>
        </w:rPr>
        <w:t>.</w:t>
      </w:r>
    </w:p>
  </w:footnote>
  <w:footnote w:id="37">
    <w:p w14:paraId="3D484436" w14:textId="77777777" w:rsidR="000E43C7" w:rsidRPr="0093245D" w:rsidRDefault="000E43C7" w:rsidP="007B6463">
      <w:pPr>
        <w:pStyle w:val="FootnoteText"/>
        <w:rPr>
          <w:rFonts w:cs="Segoe UI"/>
        </w:rPr>
      </w:pPr>
      <w:r w:rsidRPr="0093245D">
        <w:rPr>
          <w:rStyle w:val="FootnoteReference"/>
          <w:rFonts w:cs="Segoe UI"/>
        </w:rPr>
        <w:footnoteRef/>
      </w:r>
      <w:r w:rsidRPr="0093245D">
        <w:rPr>
          <w:rFonts w:cs="Segoe UI"/>
        </w:rPr>
        <w:t xml:space="preserve"> </w:t>
      </w:r>
      <w:r w:rsidRPr="0093245D">
        <w:rPr>
          <w:rFonts w:cs="Segoe UI"/>
          <w:szCs w:val="24"/>
        </w:rPr>
        <w:t>MD 5, 95% CI 2 to 8, P = 0.001</w:t>
      </w:r>
      <w:r>
        <w:rPr>
          <w:rFonts w:cs="Segoe UI"/>
          <w:szCs w:val="24"/>
        </w:rPr>
        <w:t>.</w:t>
      </w:r>
    </w:p>
  </w:footnote>
  <w:footnote w:id="38">
    <w:p w14:paraId="186DB246" w14:textId="77777777" w:rsidR="000E43C7" w:rsidRPr="0093245D" w:rsidRDefault="000E43C7" w:rsidP="007B6463">
      <w:pPr>
        <w:pStyle w:val="FootnoteText"/>
        <w:rPr>
          <w:rFonts w:cs="Segoe UI"/>
        </w:rPr>
      </w:pPr>
      <w:r w:rsidRPr="0093245D">
        <w:rPr>
          <w:rStyle w:val="FootnoteReference"/>
          <w:rFonts w:cs="Segoe UI"/>
        </w:rPr>
        <w:footnoteRef/>
      </w:r>
      <w:r w:rsidRPr="0093245D">
        <w:rPr>
          <w:rFonts w:cs="Segoe UI"/>
        </w:rPr>
        <w:t xml:space="preserve"> </w:t>
      </w:r>
      <w:r w:rsidRPr="0093245D">
        <w:rPr>
          <w:rFonts w:cs="Segoe UI"/>
          <w:szCs w:val="24"/>
        </w:rPr>
        <w:t>MD 7, 95% CI 4 to 11, P &lt; 0.0001</w:t>
      </w:r>
      <w:r>
        <w:rPr>
          <w:rFonts w:cs="Segoe UI"/>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0E43C7" w14:paraId="11530A0D" w14:textId="77777777" w:rsidTr="008F2B72">
      <w:trPr>
        <w:cantSplit/>
      </w:trPr>
      <w:tc>
        <w:tcPr>
          <w:tcW w:w="5210" w:type="dxa"/>
          <w:vAlign w:val="center"/>
        </w:tcPr>
        <w:p w14:paraId="2BDE3162" w14:textId="4E67EED4" w:rsidR="000E43C7" w:rsidRDefault="000E43C7" w:rsidP="00B26F0F">
          <w:pPr>
            <w:pStyle w:val="Header"/>
          </w:pPr>
          <w:r>
            <w:rPr>
              <w:noProof/>
              <w:lang w:eastAsia="en-NZ"/>
            </w:rPr>
            <w:drawing>
              <wp:inline distT="0" distB="0" distL="0" distR="0" wp14:anchorId="04421456" wp14:editId="4D3DCB66">
                <wp:extent cx="2294626" cy="542925"/>
                <wp:effectExtent l="0" t="0" r="0" b="0"/>
                <wp:docPr id="1" name="Picture 1"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31929113" w:rsidR="000E43C7" w:rsidRDefault="000E43C7" w:rsidP="000E43C7">
          <w:pPr>
            <w:pStyle w:val="Header"/>
            <w:jc w:val="right"/>
          </w:pPr>
          <w:r>
            <w:rPr>
              <w:noProof/>
            </w:rPr>
            <w:drawing>
              <wp:anchor distT="0" distB="0" distL="114300" distR="114300" simplePos="0" relativeHeight="251658240" behindDoc="0" locked="0" layoutInCell="1" allowOverlap="1" wp14:anchorId="1D75C094" wp14:editId="5AB90548">
                <wp:simplePos x="0" y="0"/>
                <wp:positionH relativeFrom="column">
                  <wp:posOffset>1365885</wp:posOffset>
                </wp:positionH>
                <wp:positionV relativeFrom="paragraph">
                  <wp:posOffset>-2540</wp:posOffset>
                </wp:positionV>
                <wp:extent cx="1518285" cy="718185"/>
                <wp:effectExtent l="0" t="0" r="0" b="0"/>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1828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AC8EC99" w14:textId="1B35D83E" w:rsidR="000E43C7" w:rsidRDefault="000E43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0E43C7" w:rsidRDefault="000E43C7"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0E43C7" w:rsidRDefault="000E43C7"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0E43C7" w:rsidRDefault="000E43C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CDAEA" w14:textId="746A4F73" w:rsidR="000E43C7" w:rsidRDefault="000E43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2" w15:restartNumberingAfterBreak="0">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 w15:restartNumberingAfterBreak="0">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5" w15:restartNumberingAfterBreak="0">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7" w15:restartNumberingAfterBreak="0">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0"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2" w15:restartNumberingAfterBreak="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3" w15:restartNumberingAfterBreak="0">
    <w:nsid w:val="2A512020"/>
    <w:multiLevelType w:val="hybridMultilevel"/>
    <w:tmpl w:val="2974BD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15" w15:restartNumberingAfterBreak="0">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16" w15:restartNumberingAfterBreak="0">
    <w:nsid w:val="36E0616C"/>
    <w:multiLevelType w:val="hybridMultilevel"/>
    <w:tmpl w:val="E7EABC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8E2AF5"/>
    <w:multiLevelType w:val="hybridMultilevel"/>
    <w:tmpl w:val="6E02B2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3D17501"/>
    <w:multiLevelType w:val="hybridMultilevel"/>
    <w:tmpl w:val="B11286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5BA3C19"/>
    <w:multiLevelType w:val="hybridMultilevel"/>
    <w:tmpl w:val="71B479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23" w15:restartNumberingAfterBreak="0">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24" w15:restartNumberingAfterBreak="0">
    <w:nsid w:val="50E77DE9"/>
    <w:multiLevelType w:val="hybridMultilevel"/>
    <w:tmpl w:val="EEE67E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2095A26"/>
    <w:multiLevelType w:val="hybridMultilevel"/>
    <w:tmpl w:val="2A58B5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645569A"/>
    <w:multiLevelType w:val="hybridMultilevel"/>
    <w:tmpl w:val="F01CFA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29" w15:restartNumberingAfterBreak="0">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30"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31" w15:restartNumberingAfterBreak="0">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32" w15:restartNumberingAfterBreak="0">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33" w15:restartNumberingAfterBreak="0">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34" w15:restartNumberingAfterBreak="0">
    <w:nsid w:val="6FE74B66"/>
    <w:multiLevelType w:val="hybridMultilevel"/>
    <w:tmpl w:val="BB2877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13B3824"/>
    <w:multiLevelType w:val="hybridMultilevel"/>
    <w:tmpl w:val="FC088C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38" w15:restartNumberingAfterBreak="0">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9"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40" w15:restartNumberingAfterBreak="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41"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286007892">
    <w:abstractNumId w:val="39"/>
  </w:num>
  <w:num w:numId="2" w16cid:durableId="1612782520">
    <w:abstractNumId w:val="30"/>
  </w:num>
  <w:num w:numId="3" w16cid:durableId="695888147">
    <w:abstractNumId w:val="17"/>
  </w:num>
  <w:num w:numId="4" w16cid:durableId="1511987102">
    <w:abstractNumId w:val="18"/>
  </w:num>
  <w:num w:numId="5" w16cid:durableId="1905607707">
    <w:abstractNumId w:val="0"/>
  </w:num>
  <w:num w:numId="6" w16cid:durableId="318458849">
    <w:abstractNumId w:val="41"/>
  </w:num>
  <w:num w:numId="7" w16cid:durableId="2072271353">
    <w:abstractNumId w:val="12"/>
  </w:num>
  <w:num w:numId="8" w16cid:durableId="1029259156">
    <w:abstractNumId w:val="2"/>
  </w:num>
  <w:num w:numId="9" w16cid:durableId="1846087353">
    <w:abstractNumId w:val="38"/>
  </w:num>
  <w:num w:numId="10" w16cid:durableId="927926979">
    <w:abstractNumId w:val="1"/>
  </w:num>
  <w:num w:numId="11" w16cid:durableId="1425422091">
    <w:abstractNumId w:val="36"/>
  </w:num>
  <w:num w:numId="12" w16cid:durableId="2128573031">
    <w:abstractNumId w:val="3"/>
  </w:num>
  <w:num w:numId="13" w16cid:durableId="2012025060">
    <w:abstractNumId w:val="7"/>
  </w:num>
  <w:num w:numId="14" w16cid:durableId="1860314097">
    <w:abstractNumId w:val="5"/>
  </w:num>
  <w:num w:numId="15" w16cid:durableId="815296745">
    <w:abstractNumId w:val="8"/>
  </w:num>
  <w:num w:numId="16" w16cid:durableId="787893156">
    <w:abstractNumId w:val="27"/>
  </w:num>
  <w:num w:numId="17" w16cid:durableId="482310807">
    <w:abstractNumId w:val="10"/>
  </w:num>
  <w:num w:numId="18" w16cid:durableId="122775556">
    <w:abstractNumId w:val="32"/>
  </w:num>
  <w:num w:numId="19" w16cid:durableId="654650304">
    <w:abstractNumId w:val="11"/>
  </w:num>
  <w:num w:numId="20" w16cid:durableId="1810052867">
    <w:abstractNumId w:val="23"/>
  </w:num>
  <w:num w:numId="21" w16cid:durableId="2058704729">
    <w:abstractNumId w:val="6"/>
  </w:num>
  <w:num w:numId="22" w16cid:durableId="1834758845">
    <w:abstractNumId w:val="4"/>
  </w:num>
  <w:num w:numId="23" w16cid:durableId="460463794">
    <w:abstractNumId w:val="29"/>
  </w:num>
  <w:num w:numId="24" w16cid:durableId="752700578">
    <w:abstractNumId w:val="28"/>
  </w:num>
  <w:num w:numId="25" w16cid:durableId="632053843">
    <w:abstractNumId w:val="40"/>
  </w:num>
  <w:num w:numId="26" w16cid:durableId="1077482041">
    <w:abstractNumId w:val="14"/>
  </w:num>
  <w:num w:numId="27" w16cid:durableId="517741097">
    <w:abstractNumId w:val="33"/>
  </w:num>
  <w:num w:numId="28" w16cid:durableId="626202574">
    <w:abstractNumId w:val="31"/>
  </w:num>
  <w:num w:numId="29" w16cid:durableId="300303935">
    <w:abstractNumId w:val="22"/>
  </w:num>
  <w:num w:numId="30" w16cid:durableId="1570917077">
    <w:abstractNumId w:val="9"/>
  </w:num>
  <w:num w:numId="31" w16cid:durableId="1663042846">
    <w:abstractNumId w:val="37"/>
  </w:num>
  <w:num w:numId="32" w16cid:durableId="608588622">
    <w:abstractNumId w:val="15"/>
  </w:num>
  <w:num w:numId="33" w16cid:durableId="1171749842">
    <w:abstractNumId w:val="21"/>
  </w:num>
  <w:num w:numId="34" w16cid:durableId="131215339">
    <w:abstractNumId w:val="19"/>
  </w:num>
  <w:num w:numId="35" w16cid:durableId="1543327107">
    <w:abstractNumId w:val="34"/>
  </w:num>
  <w:num w:numId="36" w16cid:durableId="1011180324">
    <w:abstractNumId w:val="26"/>
  </w:num>
  <w:num w:numId="37" w16cid:durableId="1050302393">
    <w:abstractNumId w:val="16"/>
  </w:num>
  <w:num w:numId="38" w16cid:durableId="1730416883">
    <w:abstractNumId w:val="24"/>
  </w:num>
  <w:num w:numId="39" w16cid:durableId="455218933">
    <w:abstractNumId w:val="35"/>
  </w:num>
  <w:num w:numId="40" w16cid:durableId="1793278422">
    <w:abstractNumId w:val="25"/>
  </w:num>
  <w:num w:numId="41" w16cid:durableId="740297086">
    <w:abstractNumId w:val="20"/>
  </w:num>
  <w:num w:numId="42" w16cid:durableId="175392731">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25A6F"/>
    <w:rsid w:val="0002618D"/>
    <w:rsid w:val="00030B26"/>
    <w:rsid w:val="00030E84"/>
    <w:rsid w:val="00032C0A"/>
    <w:rsid w:val="00035257"/>
    <w:rsid w:val="00035D68"/>
    <w:rsid w:val="00054B44"/>
    <w:rsid w:val="0006228D"/>
    <w:rsid w:val="00072BD6"/>
    <w:rsid w:val="00075B78"/>
    <w:rsid w:val="000763E9"/>
    <w:rsid w:val="00082CD6"/>
    <w:rsid w:val="0008437D"/>
    <w:rsid w:val="00085AFE"/>
    <w:rsid w:val="00094800"/>
    <w:rsid w:val="000A41ED"/>
    <w:rsid w:val="000B0730"/>
    <w:rsid w:val="000D19F4"/>
    <w:rsid w:val="000D58DD"/>
    <w:rsid w:val="000E43C7"/>
    <w:rsid w:val="000F2AE2"/>
    <w:rsid w:val="000F2BFF"/>
    <w:rsid w:val="00102063"/>
    <w:rsid w:val="0010541C"/>
    <w:rsid w:val="00106F93"/>
    <w:rsid w:val="00111D50"/>
    <w:rsid w:val="00113B8E"/>
    <w:rsid w:val="0012053C"/>
    <w:rsid w:val="00122363"/>
    <w:rsid w:val="001232DB"/>
    <w:rsid w:val="001342C7"/>
    <w:rsid w:val="0013585C"/>
    <w:rsid w:val="00142261"/>
    <w:rsid w:val="00142954"/>
    <w:rsid w:val="001460E0"/>
    <w:rsid w:val="001472F0"/>
    <w:rsid w:val="00147F71"/>
    <w:rsid w:val="00150A6E"/>
    <w:rsid w:val="0016304B"/>
    <w:rsid w:val="0016468A"/>
    <w:rsid w:val="0018662D"/>
    <w:rsid w:val="00197427"/>
    <w:rsid w:val="001A21B4"/>
    <w:rsid w:val="001A5CF5"/>
    <w:rsid w:val="001B39D2"/>
    <w:rsid w:val="001B4BF8"/>
    <w:rsid w:val="001B62FB"/>
    <w:rsid w:val="001C4326"/>
    <w:rsid w:val="001C665E"/>
    <w:rsid w:val="001D3541"/>
    <w:rsid w:val="001D3E4E"/>
    <w:rsid w:val="001E254A"/>
    <w:rsid w:val="001E7386"/>
    <w:rsid w:val="001F45A7"/>
    <w:rsid w:val="00201A01"/>
    <w:rsid w:val="0020754B"/>
    <w:rsid w:val="002104D3"/>
    <w:rsid w:val="00213A33"/>
    <w:rsid w:val="0021763B"/>
    <w:rsid w:val="00246DB1"/>
    <w:rsid w:val="002476B5"/>
    <w:rsid w:val="002520CC"/>
    <w:rsid w:val="00253ECF"/>
    <w:rsid w:val="002546A1"/>
    <w:rsid w:val="002628F4"/>
    <w:rsid w:val="00275D08"/>
    <w:rsid w:val="002858E3"/>
    <w:rsid w:val="00286A2A"/>
    <w:rsid w:val="0029190A"/>
    <w:rsid w:val="00292C5A"/>
    <w:rsid w:val="00295241"/>
    <w:rsid w:val="002A4DFC"/>
    <w:rsid w:val="002B047D"/>
    <w:rsid w:val="002B4A5A"/>
    <w:rsid w:val="002B732B"/>
    <w:rsid w:val="002B76A7"/>
    <w:rsid w:val="002C2219"/>
    <w:rsid w:val="002C2552"/>
    <w:rsid w:val="002C380A"/>
    <w:rsid w:val="002D0DF2"/>
    <w:rsid w:val="002D23BD"/>
    <w:rsid w:val="002E0B47"/>
    <w:rsid w:val="002F4685"/>
    <w:rsid w:val="002F7213"/>
    <w:rsid w:val="0030382F"/>
    <w:rsid w:val="0030408D"/>
    <w:rsid w:val="003060E4"/>
    <w:rsid w:val="003160E7"/>
    <w:rsid w:val="0031739E"/>
    <w:rsid w:val="003309CA"/>
    <w:rsid w:val="003325AB"/>
    <w:rsid w:val="003332D1"/>
    <w:rsid w:val="0033412B"/>
    <w:rsid w:val="00341161"/>
    <w:rsid w:val="00341EA2"/>
    <w:rsid w:val="00343365"/>
    <w:rsid w:val="003445F4"/>
    <w:rsid w:val="00353501"/>
    <w:rsid w:val="00353734"/>
    <w:rsid w:val="00357E97"/>
    <w:rsid w:val="003606F8"/>
    <w:rsid w:val="003648EF"/>
    <w:rsid w:val="003673E6"/>
    <w:rsid w:val="00377264"/>
    <w:rsid w:val="003779D2"/>
    <w:rsid w:val="00385E38"/>
    <w:rsid w:val="003A26A5"/>
    <w:rsid w:val="003A3761"/>
    <w:rsid w:val="003A512D"/>
    <w:rsid w:val="003A5FEA"/>
    <w:rsid w:val="003B1D10"/>
    <w:rsid w:val="003C76D4"/>
    <w:rsid w:val="003D137D"/>
    <w:rsid w:val="003D2CC5"/>
    <w:rsid w:val="003E04C1"/>
    <w:rsid w:val="003E0887"/>
    <w:rsid w:val="003E74C8"/>
    <w:rsid w:val="003E7C46"/>
    <w:rsid w:val="003F2106"/>
    <w:rsid w:val="003F52A7"/>
    <w:rsid w:val="003F7013"/>
    <w:rsid w:val="0040240C"/>
    <w:rsid w:val="00413021"/>
    <w:rsid w:val="004301C6"/>
    <w:rsid w:val="0043478F"/>
    <w:rsid w:val="0043602B"/>
    <w:rsid w:val="00440BE0"/>
    <w:rsid w:val="00442C1C"/>
    <w:rsid w:val="0044584B"/>
    <w:rsid w:val="00447CB7"/>
    <w:rsid w:val="00455CC9"/>
    <w:rsid w:val="00460826"/>
    <w:rsid w:val="00460EA7"/>
    <w:rsid w:val="0046195B"/>
    <w:rsid w:val="0046362D"/>
    <w:rsid w:val="0046596D"/>
    <w:rsid w:val="00487C04"/>
    <w:rsid w:val="004907E1"/>
    <w:rsid w:val="004A035B"/>
    <w:rsid w:val="004A2108"/>
    <w:rsid w:val="004A38D7"/>
    <w:rsid w:val="004A778C"/>
    <w:rsid w:val="004B43AB"/>
    <w:rsid w:val="004B48C7"/>
    <w:rsid w:val="004C2E6A"/>
    <w:rsid w:val="004C64B8"/>
    <w:rsid w:val="004D2933"/>
    <w:rsid w:val="004D2A2D"/>
    <w:rsid w:val="004D479F"/>
    <w:rsid w:val="004D6689"/>
    <w:rsid w:val="004E1D1D"/>
    <w:rsid w:val="004E7AC8"/>
    <w:rsid w:val="004F0C94"/>
    <w:rsid w:val="005019AE"/>
    <w:rsid w:val="00503749"/>
    <w:rsid w:val="00504CF4"/>
    <w:rsid w:val="0050635B"/>
    <w:rsid w:val="005151C2"/>
    <w:rsid w:val="0053199F"/>
    <w:rsid w:val="00531E12"/>
    <w:rsid w:val="00533B90"/>
    <w:rsid w:val="005410F8"/>
    <w:rsid w:val="005448EC"/>
    <w:rsid w:val="00545963"/>
    <w:rsid w:val="00550256"/>
    <w:rsid w:val="00553165"/>
    <w:rsid w:val="00553958"/>
    <w:rsid w:val="00556BB7"/>
    <w:rsid w:val="0055763D"/>
    <w:rsid w:val="00561516"/>
    <w:rsid w:val="005621F2"/>
    <w:rsid w:val="005665FD"/>
    <w:rsid w:val="00567B58"/>
    <w:rsid w:val="00571223"/>
    <w:rsid w:val="005763E0"/>
    <w:rsid w:val="00580E6A"/>
    <w:rsid w:val="00581136"/>
    <w:rsid w:val="00581EB8"/>
    <w:rsid w:val="005843BF"/>
    <w:rsid w:val="005A27CA"/>
    <w:rsid w:val="005A43BD"/>
    <w:rsid w:val="005A79E5"/>
    <w:rsid w:val="005D034C"/>
    <w:rsid w:val="005E226E"/>
    <w:rsid w:val="005E2636"/>
    <w:rsid w:val="005F77FC"/>
    <w:rsid w:val="006015D7"/>
    <w:rsid w:val="00601B21"/>
    <w:rsid w:val="006041F0"/>
    <w:rsid w:val="00605C6D"/>
    <w:rsid w:val="006120CA"/>
    <w:rsid w:val="00624174"/>
    <w:rsid w:val="00626CF8"/>
    <w:rsid w:val="006314AF"/>
    <w:rsid w:val="0063469F"/>
    <w:rsid w:val="00634ED8"/>
    <w:rsid w:val="00636D7D"/>
    <w:rsid w:val="00637408"/>
    <w:rsid w:val="00642868"/>
    <w:rsid w:val="00647AFE"/>
    <w:rsid w:val="006512BC"/>
    <w:rsid w:val="00651CC6"/>
    <w:rsid w:val="00653A5A"/>
    <w:rsid w:val="006554AC"/>
    <w:rsid w:val="006575F4"/>
    <w:rsid w:val="006579E6"/>
    <w:rsid w:val="00660682"/>
    <w:rsid w:val="00660F74"/>
    <w:rsid w:val="00663391"/>
    <w:rsid w:val="00663EDC"/>
    <w:rsid w:val="00667E20"/>
    <w:rsid w:val="00671078"/>
    <w:rsid w:val="006758CA"/>
    <w:rsid w:val="0067720E"/>
    <w:rsid w:val="00680A04"/>
    <w:rsid w:val="00686D80"/>
    <w:rsid w:val="00694895"/>
    <w:rsid w:val="00697E2E"/>
    <w:rsid w:val="006A25A2"/>
    <w:rsid w:val="006A3B87"/>
    <w:rsid w:val="006B0E73"/>
    <w:rsid w:val="006B1E3D"/>
    <w:rsid w:val="006B4A4D"/>
    <w:rsid w:val="006B5695"/>
    <w:rsid w:val="006B7B2E"/>
    <w:rsid w:val="006C78EB"/>
    <w:rsid w:val="006D1660"/>
    <w:rsid w:val="006D63E5"/>
    <w:rsid w:val="006E1753"/>
    <w:rsid w:val="006E3911"/>
    <w:rsid w:val="006F1B67"/>
    <w:rsid w:val="006F4D9C"/>
    <w:rsid w:val="0070091D"/>
    <w:rsid w:val="00702854"/>
    <w:rsid w:val="0071741C"/>
    <w:rsid w:val="00742B90"/>
    <w:rsid w:val="0074434D"/>
    <w:rsid w:val="007570C4"/>
    <w:rsid w:val="007605B8"/>
    <w:rsid w:val="00771B1E"/>
    <w:rsid w:val="00773C95"/>
    <w:rsid w:val="0078171E"/>
    <w:rsid w:val="0078658E"/>
    <w:rsid w:val="007920E2"/>
    <w:rsid w:val="0079566E"/>
    <w:rsid w:val="00795B34"/>
    <w:rsid w:val="007A067F"/>
    <w:rsid w:val="007B1770"/>
    <w:rsid w:val="007B4D3E"/>
    <w:rsid w:val="007B6463"/>
    <w:rsid w:val="007B7C70"/>
    <w:rsid w:val="007B7DEB"/>
    <w:rsid w:val="007C0449"/>
    <w:rsid w:val="007D2151"/>
    <w:rsid w:val="007D3B90"/>
    <w:rsid w:val="007D42CC"/>
    <w:rsid w:val="007D5DE4"/>
    <w:rsid w:val="007D7C3A"/>
    <w:rsid w:val="007E0777"/>
    <w:rsid w:val="007E1341"/>
    <w:rsid w:val="007E1B41"/>
    <w:rsid w:val="007E1EC4"/>
    <w:rsid w:val="007E30B9"/>
    <w:rsid w:val="007E74F1"/>
    <w:rsid w:val="007F0F0C"/>
    <w:rsid w:val="007F1288"/>
    <w:rsid w:val="00800A8A"/>
    <w:rsid w:val="0080155C"/>
    <w:rsid w:val="008052E1"/>
    <w:rsid w:val="00815765"/>
    <w:rsid w:val="00822F2C"/>
    <w:rsid w:val="00823DEE"/>
    <w:rsid w:val="008305E8"/>
    <w:rsid w:val="00836165"/>
    <w:rsid w:val="0084640C"/>
    <w:rsid w:val="00856088"/>
    <w:rsid w:val="00860826"/>
    <w:rsid w:val="00860E21"/>
    <w:rsid w:val="00863117"/>
    <w:rsid w:val="0086388B"/>
    <w:rsid w:val="008642E5"/>
    <w:rsid w:val="00864488"/>
    <w:rsid w:val="00870A36"/>
    <w:rsid w:val="00872D93"/>
    <w:rsid w:val="00880470"/>
    <w:rsid w:val="00880D94"/>
    <w:rsid w:val="00886F64"/>
    <w:rsid w:val="008924DE"/>
    <w:rsid w:val="008A3755"/>
    <w:rsid w:val="008B19DC"/>
    <w:rsid w:val="008B264F"/>
    <w:rsid w:val="008B6F83"/>
    <w:rsid w:val="008B7FD8"/>
    <w:rsid w:val="008C1108"/>
    <w:rsid w:val="008C2973"/>
    <w:rsid w:val="008C6324"/>
    <w:rsid w:val="008C64C4"/>
    <w:rsid w:val="008D2CDD"/>
    <w:rsid w:val="008D74D5"/>
    <w:rsid w:val="008E0ED1"/>
    <w:rsid w:val="008E3A07"/>
    <w:rsid w:val="008E537B"/>
    <w:rsid w:val="008F29BE"/>
    <w:rsid w:val="008F2B72"/>
    <w:rsid w:val="008F4AE5"/>
    <w:rsid w:val="008F51EB"/>
    <w:rsid w:val="00900197"/>
    <w:rsid w:val="00902F55"/>
    <w:rsid w:val="0090582B"/>
    <w:rsid w:val="009060C0"/>
    <w:rsid w:val="009114A2"/>
    <w:rsid w:val="009133F5"/>
    <w:rsid w:val="0091756F"/>
    <w:rsid w:val="00920A27"/>
    <w:rsid w:val="00921216"/>
    <w:rsid w:val="009216CC"/>
    <w:rsid w:val="00926083"/>
    <w:rsid w:val="00930D08"/>
    <w:rsid w:val="00931466"/>
    <w:rsid w:val="00932D69"/>
    <w:rsid w:val="00935589"/>
    <w:rsid w:val="00944647"/>
    <w:rsid w:val="00955409"/>
    <w:rsid w:val="0095565C"/>
    <w:rsid w:val="00964AB6"/>
    <w:rsid w:val="00966F9A"/>
    <w:rsid w:val="00977B8A"/>
    <w:rsid w:val="0098221C"/>
    <w:rsid w:val="00982971"/>
    <w:rsid w:val="009845AD"/>
    <w:rsid w:val="00984835"/>
    <w:rsid w:val="0098639B"/>
    <w:rsid w:val="009933EF"/>
    <w:rsid w:val="00995BA0"/>
    <w:rsid w:val="009A148F"/>
    <w:rsid w:val="009A418B"/>
    <w:rsid w:val="009A426F"/>
    <w:rsid w:val="009A42D5"/>
    <w:rsid w:val="009A4473"/>
    <w:rsid w:val="009B05C9"/>
    <w:rsid w:val="009B286C"/>
    <w:rsid w:val="009C151C"/>
    <w:rsid w:val="009C440A"/>
    <w:rsid w:val="009D5125"/>
    <w:rsid w:val="009D60B8"/>
    <w:rsid w:val="009D7D4B"/>
    <w:rsid w:val="009E36ED"/>
    <w:rsid w:val="009E3C8C"/>
    <w:rsid w:val="009E6B77"/>
    <w:rsid w:val="009F460A"/>
    <w:rsid w:val="00A043FB"/>
    <w:rsid w:val="00A06BE4"/>
    <w:rsid w:val="00A0729C"/>
    <w:rsid w:val="00A07779"/>
    <w:rsid w:val="00A1166A"/>
    <w:rsid w:val="00A20B2E"/>
    <w:rsid w:val="00A24F33"/>
    <w:rsid w:val="00A25069"/>
    <w:rsid w:val="00A26E6B"/>
    <w:rsid w:val="00A3068F"/>
    <w:rsid w:val="00A3145B"/>
    <w:rsid w:val="00A339D0"/>
    <w:rsid w:val="00A41002"/>
    <w:rsid w:val="00A4201A"/>
    <w:rsid w:val="00A5465D"/>
    <w:rsid w:val="00A553CE"/>
    <w:rsid w:val="00A5677A"/>
    <w:rsid w:val="00A56DCC"/>
    <w:rsid w:val="00A625E8"/>
    <w:rsid w:val="00A63DFF"/>
    <w:rsid w:val="00A6490D"/>
    <w:rsid w:val="00A661BB"/>
    <w:rsid w:val="00A7415D"/>
    <w:rsid w:val="00A80363"/>
    <w:rsid w:val="00A80939"/>
    <w:rsid w:val="00A83E9D"/>
    <w:rsid w:val="00A87C05"/>
    <w:rsid w:val="00A9169D"/>
    <w:rsid w:val="00A94319"/>
    <w:rsid w:val="00AA240C"/>
    <w:rsid w:val="00AC101C"/>
    <w:rsid w:val="00AD4CF1"/>
    <w:rsid w:val="00AD5988"/>
    <w:rsid w:val="00AD6293"/>
    <w:rsid w:val="00AF1BA8"/>
    <w:rsid w:val="00AF7800"/>
    <w:rsid w:val="00B00CF5"/>
    <w:rsid w:val="00B072E0"/>
    <w:rsid w:val="00B1007E"/>
    <w:rsid w:val="00B253F6"/>
    <w:rsid w:val="00B26675"/>
    <w:rsid w:val="00B26F0F"/>
    <w:rsid w:val="00B305DB"/>
    <w:rsid w:val="00B332F8"/>
    <w:rsid w:val="00B3492B"/>
    <w:rsid w:val="00B4646F"/>
    <w:rsid w:val="00B55C7D"/>
    <w:rsid w:val="00B625D3"/>
    <w:rsid w:val="00B63038"/>
    <w:rsid w:val="00B64BD8"/>
    <w:rsid w:val="00B701D1"/>
    <w:rsid w:val="00B73AF2"/>
    <w:rsid w:val="00B7551A"/>
    <w:rsid w:val="00B773F1"/>
    <w:rsid w:val="00B86AB1"/>
    <w:rsid w:val="00B97F07"/>
    <w:rsid w:val="00BA7EBA"/>
    <w:rsid w:val="00BB2A06"/>
    <w:rsid w:val="00BB2CBB"/>
    <w:rsid w:val="00BB4198"/>
    <w:rsid w:val="00BC03EE"/>
    <w:rsid w:val="00BC59F1"/>
    <w:rsid w:val="00BF206E"/>
    <w:rsid w:val="00BF3DE1"/>
    <w:rsid w:val="00BF4843"/>
    <w:rsid w:val="00BF5205"/>
    <w:rsid w:val="00C05132"/>
    <w:rsid w:val="00C12508"/>
    <w:rsid w:val="00C23728"/>
    <w:rsid w:val="00C3026C"/>
    <w:rsid w:val="00C313A9"/>
    <w:rsid w:val="00C349DE"/>
    <w:rsid w:val="00C441CF"/>
    <w:rsid w:val="00C45AA2"/>
    <w:rsid w:val="00C4792C"/>
    <w:rsid w:val="00C55BEF"/>
    <w:rsid w:val="00C601AF"/>
    <w:rsid w:val="00C61A63"/>
    <w:rsid w:val="00C66296"/>
    <w:rsid w:val="00C7394D"/>
    <w:rsid w:val="00C77282"/>
    <w:rsid w:val="00C84DE5"/>
    <w:rsid w:val="00C86248"/>
    <w:rsid w:val="00C90B31"/>
    <w:rsid w:val="00CA0D6F"/>
    <w:rsid w:val="00CA4C33"/>
    <w:rsid w:val="00CA6F4A"/>
    <w:rsid w:val="00CB6427"/>
    <w:rsid w:val="00CC0FBE"/>
    <w:rsid w:val="00CD2119"/>
    <w:rsid w:val="00CD237A"/>
    <w:rsid w:val="00CD36AC"/>
    <w:rsid w:val="00CE13A3"/>
    <w:rsid w:val="00CE36BC"/>
    <w:rsid w:val="00CF1747"/>
    <w:rsid w:val="00CF60ED"/>
    <w:rsid w:val="00CF6F7C"/>
    <w:rsid w:val="00D05D74"/>
    <w:rsid w:val="00D20C59"/>
    <w:rsid w:val="00D23323"/>
    <w:rsid w:val="00D2392A"/>
    <w:rsid w:val="00D25FFE"/>
    <w:rsid w:val="00D37D80"/>
    <w:rsid w:val="00D4476F"/>
    <w:rsid w:val="00D50573"/>
    <w:rsid w:val="00D54D50"/>
    <w:rsid w:val="00D560B4"/>
    <w:rsid w:val="00D62768"/>
    <w:rsid w:val="00D662F8"/>
    <w:rsid w:val="00D66797"/>
    <w:rsid w:val="00D7074B"/>
    <w:rsid w:val="00D7087C"/>
    <w:rsid w:val="00D70C3C"/>
    <w:rsid w:val="00D71DF7"/>
    <w:rsid w:val="00D72BE5"/>
    <w:rsid w:val="00D81462"/>
    <w:rsid w:val="00D82F26"/>
    <w:rsid w:val="00D863D0"/>
    <w:rsid w:val="00D86B00"/>
    <w:rsid w:val="00D86FB9"/>
    <w:rsid w:val="00D87C87"/>
    <w:rsid w:val="00D90BB4"/>
    <w:rsid w:val="00D90E07"/>
    <w:rsid w:val="00D932C2"/>
    <w:rsid w:val="00DB39CF"/>
    <w:rsid w:val="00DB7256"/>
    <w:rsid w:val="00DC0401"/>
    <w:rsid w:val="00DC20BD"/>
    <w:rsid w:val="00DC6450"/>
    <w:rsid w:val="00DD0BCD"/>
    <w:rsid w:val="00DD447A"/>
    <w:rsid w:val="00DE3B20"/>
    <w:rsid w:val="00DE6C94"/>
    <w:rsid w:val="00DE6FD7"/>
    <w:rsid w:val="00E23271"/>
    <w:rsid w:val="00E24F80"/>
    <w:rsid w:val="00E259F3"/>
    <w:rsid w:val="00E30985"/>
    <w:rsid w:val="00E33238"/>
    <w:rsid w:val="00E376B7"/>
    <w:rsid w:val="00E42F5D"/>
    <w:rsid w:val="00E4486C"/>
    <w:rsid w:val="00E460B6"/>
    <w:rsid w:val="00E511D5"/>
    <w:rsid w:val="00E53A9F"/>
    <w:rsid w:val="00E60249"/>
    <w:rsid w:val="00E65269"/>
    <w:rsid w:val="00E76D66"/>
    <w:rsid w:val="00EA796A"/>
    <w:rsid w:val="00EB1856"/>
    <w:rsid w:val="00EC50CE"/>
    <w:rsid w:val="00EC5B34"/>
    <w:rsid w:val="00ED021E"/>
    <w:rsid w:val="00ED223D"/>
    <w:rsid w:val="00ED323C"/>
    <w:rsid w:val="00EE2D5C"/>
    <w:rsid w:val="00EE4ADE"/>
    <w:rsid w:val="00EE4DE8"/>
    <w:rsid w:val="00EE5CB7"/>
    <w:rsid w:val="00F024FE"/>
    <w:rsid w:val="00F05AD4"/>
    <w:rsid w:val="00F10EB6"/>
    <w:rsid w:val="00F13F07"/>
    <w:rsid w:val="00F140B2"/>
    <w:rsid w:val="00F25970"/>
    <w:rsid w:val="00F311A9"/>
    <w:rsid w:val="00F5180D"/>
    <w:rsid w:val="00F5286A"/>
    <w:rsid w:val="00F63781"/>
    <w:rsid w:val="00F67496"/>
    <w:rsid w:val="00F801BA"/>
    <w:rsid w:val="00F9366A"/>
    <w:rsid w:val="00F946C9"/>
    <w:rsid w:val="00FA0EA5"/>
    <w:rsid w:val="00FA74EE"/>
    <w:rsid w:val="00FB1623"/>
    <w:rsid w:val="00FC3711"/>
    <w:rsid w:val="00FC46E7"/>
    <w:rsid w:val="00FC5D25"/>
    <w:rsid w:val="00FD0B16"/>
    <w:rsid w:val="00FD0D7E"/>
    <w:rsid w:val="00FD4FFB"/>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uiPriority w:val="99"/>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17"/>
      </w:numPr>
      <w:spacing w:before="180"/>
    </w:pPr>
    <w:rPr>
      <w:szCs w:val="24"/>
    </w:rPr>
  </w:style>
  <w:style w:type="paragraph" w:customStyle="1" w:styleId="Letter">
    <w:name w:val="Letter"/>
    <w:basedOn w:val="Normal"/>
    <w:qFormat/>
    <w:rsid w:val="00F140B2"/>
    <w:pPr>
      <w:numPr>
        <w:ilvl w:val="1"/>
        <w:numId w:val="17"/>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17"/>
      </w:numPr>
      <w:spacing w:before="90"/>
    </w:pPr>
    <w:rPr>
      <w:rFonts w:eastAsia="Arial Unicode MS"/>
    </w:rPr>
  </w:style>
  <w:style w:type="paragraph" w:styleId="ListParagraph">
    <w:name w:val="List Paragraph"/>
    <w:basedOn w:val="Normal"/>
    <w:uiPriority w:val="34"/>
    <w:qFormat/>
    <w:rsid w:val="007B6463"/>
    <w:pPr>
      <w:spacing w:before="120" w:line="360" w:lineRule="auto"/>
      <w:ind w:left="720"/>
      <w:contextualSpacing/>
    </w:pPr>
    <w:rPr>
      <w:rFonts w:ascii="Times New Roman" w:eastAsiaTheme="minorHAnsi" w:hAnsi="Times New Roman" w:cstheme="minorBidi"/>
      <w:sz w:val="24"/>
      <w:szCs w:val="22"/>
      <w:lang w:eastAsia="en-US"/>
    </w:rPr>
  </w:style>
  <w:style w:type="character" w:styleId="Emphasis">
    <w:name w:val="Emphasis"/>
    <w:basedOn w:val="DefaultParagraphFont"/>
    <w:uiPriority w:val="20"/>
    <w:qFormat/>
    <w:rsid w:val="007B6463"/>
    <w:rPr>
      <w:i/>
      <w:iCs/>
    </w:rPr>
  </w:style>
  <w:style w:type="character" w:customStyle="1" w:styleId="normaltextrun">
    <w:name w:val="normaltextrun"/>
    <w:basedOn w:val="DefaultParagraphFont"/>
    <w:rsid w:val="007B6463"/>
  </w:style>
  <w:style w:type="character" w:customStyle="1" w:styleId="eop">
    <w:name w:val="eop"/>
    <w:basedOn w:val="DefaultParagraphFont"/>
    <w:rsid w:val="00357E97"/>
  </w:style>
  <w:style w:type="paragraph" w:styleId="Caption">
    <w:name w:val="caption"/>
    <w:basedOn w:val="Normal"/>
    <w:next w:val="Normal"/>
    <w:unhideWhenUsed/>
    <w:qFormat/>
    <w:rsid w:val="00663391"/>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yperlink" Target="https://doi.org/10.1002/14651858.cd011517.pub2" TargetMode="External"/><Relationship Id="rId39"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image" Target="media/image5.jpeg"/><Relationship Id="rId42" Type="http://schemas.openxmlformats.org/officeDocument/2006/relationships/header" Target="header5.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americanherniasociety.org/mesh-advisory" TargetMode="External"/><Relationship Id="rId33" Type="http://schemas.openxmlformats.org/officeDocument/2006/relationships/hyperlink" Target="https://www.gov.wales/written-statement-use-mesh-hernia-repair" TargetMode="External"/><Relationship Id="rId38" Type="http://schemas.openxmlformats.org/officeDocument/2006/relationships/image" Target="media/image6.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yperlink" Target="https://www.health.govt.nz/news-media/media-releases/director-general-health-recommends-time-limited-pause-use-female-pelvic-surgical-mesh-products-treat" TargetMode="Externa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riskcalculator.facs.org/RiskCalculator/" TargetMode="External"/><Relationship Id="rId32" Type="http://schemas.openxmlformats.org/officeDocument/2006/relationships/hyperlink" Target="https://www.fda.gov/medical-devices/implants-and-prosthetics/surgical-mesh-used-hernia-repair" TargetMode="External"/><Relationship Id="rId37" Type="http://schemas.openxmlformats.org/officeDocument/2006/relationships/footer" Target="footer9.xml"/><Relationship Id="rId40" Type="http://schemas.openxmlformats.org/officeDocument/2006/relationships/image" Target="media/image8.jpeg"/><Relationship Id="rId45" Type="http://schemas.openxmlformats.org/officeDocument/2006/relationships/footer" Target="footer1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7.xml"/><Relationship Id="rId28" Type="http://schemas.openxmlformats.org/officeDocument/2006/relationships/hyperlink" Target="https://www.health.govt.nz/strategies-initiatives/programmes-and-initiatives/surgical-mesh/about-the-use-of-surgical-mesh" TargetMode="External"/><Relationship Id="rId36"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yperlink" Target="https://www.rcseng.ac.uk/news-and-events/media-centre/press-releases/rcs-response-to-hernia-mesh-complications/" TargetMode="External"/><Relationship Id="rId44"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6.xml"/><Relationship Id="rId27" Type="http://schemas.openxmlformats.org/officeDocument/2006/relationships/hyperlink" Target="https://www.facs.org/for-medical-professionals/news-publications/news-and-articles/bulletin/2023/march-2023-volume-108-issue-3/new-approaches-trends-are-emerging-in-hernia-repair/" TargetMode="External"/><Relationship Id="rId30" Type="http://schemas.openxmlformats.org/officeDocument/2006/relationships/hyperlink" Target="https://www.supplychain.nhs.uk/news-article/nice-guidance-recommends-move-to-glues-in-hernia-operations/" TargetMode="External"/><Relationship Id="rId35" Type="http://schemas.openxmlformats.org/officeDocument/2006/relationships/header" Target="header4.xml"/><Relationship Id="rId43" Type="http://schemas.openxmlformats.org/officeDocument/2006/relationships/footer" Target="footer10.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ubactivity xmlns="4f9c820c-e7e2-444d-97ee-45f2b3485c1d">Publications</Subactivity>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ctivity xmlns="4f9c820c-e7e2-444d-97ee-45f2b3485c1d">Strategic Communications</Activity>
    <AggregationStatus xmlns="4f9c820c-e7e2-444d-97ee-45f2b3485c1d">Normal</AggregationStatus>
    <OverrideLabel xmlns="d0b61010-d6f3-4072-b934-7bbb13e97771" xsi:nil="true"/>
    <CategoryValue xmlns="4f9c820c-e7e2-444d-97ee-45f2b3485c1d">NA</CategoryValue>
    <PRADate2 xmlns="4f9c820c-e7e2-444d-97ee-45f2b3485c1d" xsi:nil="true"/>
    <zLegacyJSON xmlns="184c05c4-c568-455d-94a4-7e009b164348" xsi:nil="true"/>
    <Case xmlns="4f9c820c-e7e2-444d-97ee-45f2b3485c1d">Templates</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Strategic Communications</Team>
    <Project xmlns="4f9c820c-e7e2-444d-97ee-45f2b3485c1d">NA</Project>
    <TaxCatchAll xmlns="a92161ee-a867-43fa-afc4-ef021add4eae" xsi:nil="true"/>
    <HasNHI xmlns="184c05c4-c568-455d-94a4-7e009b164348">false</HasNHI>
    <lcf76f155ced4ddcb4097134ff3c332f xmlns="77fc9259-9bdd-4436-bdca-cbe80b037127">
      <Terms xmlns="http://schemas.microsoft.com/office/infopath/2007/PartnerControls"/>
    </lcf76f155ced4ddcb4097134ff3c332f>
    <FunctionGroup xmlns="4f9c820c-e7e2-444d-97ee-45f2b3485c1d">Corporate Support</FunctionGroup>
    <Function xmlns="4f9c820c-e7e2-444d-97ee-45f2b3485c1d">Communications</Function>
    <SetLabel xmlns="d0b61010-d6f3-4072-b934-7bbb13e97771">T10M</SetLabel>
    <RelatedPeople xmlns="4f9c820c-e7e2-444d-97ee-45f2b3485c1d">
      <UserInfo>
        <DisplayName/>
        <AccountId xsi:nil="true"/>
        <AccountType/>
      </UserInfo>
    </RelatedPeople>
    <AggregationNarrative xmlns="725c79e5-42ce-4aa0-ac78-b6418001f0d2" xsi:nil="true"/>
    <Channel xmlns="c91a514c-9034-4fa3-897a-8352025b26ed">Design and Publications</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NA</CategoryName>
    <PRADateTrigger xmlns="4f9c820c-e7e2-444d-97ee-45f2b3485c1d" xsi:nil="true"/>
    <PRAText2 xmlns="4f9c820c-e7e2-444d-97ee-45f2b3485c1d" xsi:nil="true"/>
    <zLegacyID xmlns="184c05c4-c568-455d-94a4-7e009b164348" xsi:nil="true"/>
    <_dlc_DocId xmlns="a92161ee-a867-43fa-afc4-ef021add4eae">MOHECM-2060122139-3453</_dlc_DocId>
    <_dlc_DocIdUrl xmlns="a92161ee-a867-43fa-afc4-ef021add4eae">
      <Url>https://mohgovtnz.sharepoint.com/sites/moh-ecm-StratComms/_layouts/15/DocIdRedir.aspx?ID=MOHECM-2060122139-3453</Url>
      <Description>MOHECM-2060122139-3453</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Document" ma:contentTypeID="0x0101007BA1164CF1528342A046E742A1DEEBFB" ma:contentTypeVersion="352" ma:contentTypeDescription="Create a new document." ma:contentTypeScope="" ma:versionID="e661e1c7dae7aec020c022b16442541c">
  <xsd:schema xmlns:xsd="http://www.w3.org/2001/XMLSchema" xmlns:xs="http://www.w3.org/2001/XMLSchema" xmlns:p="http://schemas.microsoft.com/office/2006/metadata/properties" xmlns:ns2="a92161ee-a867-43fa-afc4-ef021add4eae" xmlns:ns3="4f9c820c-e7e2-444d-97ee-45f2b3485c1d" xmlns:ns4="15ffb055-6eb4-45a1-bc20-bf2ac0d420da" xmlns:ns5="725c79e5-42ce-4aa0-ac78-b6418001f0d2" xmlns:ns6="c91a514c-9034-4fa3-897a-8352025b26ed" xmlns:ns7="d0b61010-d6f3-4072-b934-7bbb13e97771" xmlns:ns8="184c05c4-c568-455d-94a4-7e009b164348" xmlns:ns9="77fc9259-9bdd-4436-bdca-cbe80b037127" targetNamespace="http://schemas.microsoft.com/office/2006/metadata/properties" ma:root="true" ma:fieldsID="1455104c60a0983416acb9c4aae37a7c" ns2:_="" ns3:_="" ns4:_="" ns5:_="" ns6:_="" ns7:_="" ns8:_="" ns9:_="">
    <xsd:import namespace="a92161ee-a867-43fa-afc4-ef021add4eae"/>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77fc9259-9bdd-4436-bdca-cbe80b037127"/>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9:MediaServiceAutoKeyPoints" minOccurs="0"/>
                <xsd:element ref="ns9:MediaServiceKeyPoints" minOccurs="0"/>
                <xsd:element ref="ns2:SharedWithUsers" minOccurs="0"/>
                <xsd:element ref="ns2:SharedWithDetails" minOccurs="0"/>
                <xsd:element ref="ns9:lcf76f155ced4ddcb4097134ff3c332f" minOccurs="0"/>
                <xsd:element ref="ns2:TaxCatchAll" minOccurs="0"/>
                <xsd:element ref="ns9:MediaServiceDateTaken" minOccurs="0"/>
                <xsd:element ref="ns9:MediaServiceGenerationTime" minOccurs="0"/>
                <xsd:element ref="ns9:MediaServiceEventHashCode" minOccurs="0"/>
                <xsd:element ref="ns9:MediaLengthInSeconds" minOccurs="0"/>
                <xsd:element ref="ns9:MediaServiceOCR" minOccurs="0"/>
                <xsd:element ref="ns9:MediaServiceLocation" minOccurs="0"/>
                <xsd:element ref="ns9: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161ee-a867-43fa-afc4-ef021add4ea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6" nillable="true" ma:displayName="Shared With Details" ma:internalName="SharedWithDetails" ma:readOnly="true">
      <xsd:simpleType>
        <xsd:restriction base="dms:Note">
          <xsd:maxLength value="255"/>
        </xsd:restriction>
      </xsd:simpleType>
    </xsd:element>
    <xsd:element name="TaxCatchAll" ma:index="59" nillable="true" ma:displayName="Taxonomy Catch All Column" ma:hidden="true" ma:list="{c1f39fa3-e53e-4aaf-9341-465357fdeeb3}" ma:internalName="TaxCatchAll" ma:showField="CatchAllData" ma:web="a92161ee-a867-43fa-afc4-ef021add4e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Group" ma:index="21" nillable="true" ma:displayName="Function Group" ma:default="Corporate Support" ma:hidden="true" ma:internalName="FunctionGroup" ma:readOnly="false">
      <xsd:simpleType>
        <xsd:restriction base="dms:Text">
          <xsd:maxLength value="255"/>
        </xsd:restriction>
      </xsd:simpleType>
    </xsd:element>
    <xsd:element name="Function" ma:index="22" nillable="true" ma:displayName="Function" ma:default="Communications" ma:hidden="true" ma:internalName="Function" ma:readOnly="false">
      <xsd:simpleType>
        <xsd:restriction base="dms:Text">
          <xsd:maxLength value="255"/>
        </xsd:restriction>
      </xsd:simpleType>
    </xsd:element>
    <xsd:element name="PRAType" ma:index="23" nillable="true" ma:displayName="PRA Type" ma:default="Doc" ma:hidden="true" ma:indexed="true" ma:internalName="PRAType" ma:readOnly="fals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5" nillable="true" ma:displayName="Project" ma:default="NA" ma:hidden="true" ma:internalName="Project" ma:readOnly="false">
      <xsd:simpleType>
        <xsd:restriction base="dms:Text">
          <xsd:maxLength value="255"/>
        </xsd:restriction>
      </xsd:simpleType>
    </xsd:element>
    <xsd:element name="Activity" ma:index="36" nillable="true" ma:displayName="Activity" ma:default="Strategic Communications"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7"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8" nillable="true" ma:displayName="Channel" ma:default="NA" ma:hidden="true" ma:internalName="Channel" ma:readOnly="false">
      <xsd:simpleType>
        <xsd:restriction base="dms:Text">
          <xsd:maxLength value="255"/>
        </xsd:restriction>
      </xsd:simpleType>
    </xsd:element>
    <xsd:element name="Team" ma:index="39" nillable="true" ma:displayName="Team" ma:default="Strategic Communications" ma:hidden="true" ma:internalName="Team" ma:readOnly="false">
      <xsd:simpleType>
        <xsd:restriction base="dms:Text">
          <xsd:maxLength value="255"/>
        </xsd:restriction>
      </xsd:simpleType>
    </xsd:element>
    <xsd:element name="Level2" ma:index="40" nillable="true" ma:displayName="Level 2" ma:default="NA" ma:hidden="true" ma:internalName="Level2" ma:readOnly="false">
      <xsd:simpleType>
        <xsd:restriction base="dms:Text">
          <xsd:maxLength value="255"/>
        </xsd:restriction>
      </xsd:simpleType>
    </xsd:element>
    <xsd:element name="Level3" ma:index="41" nillable="true" ma:displayName="Level 3" ma:default="NA" ma:hidden="true" ma:internalName="Level3" ma:readOnly="false">
      <xsd:simpleType>
        <xsd:restriction base="dms:Text">
          <xsd:maxLength value="255"/>
        </xsd:restriction>
      </xsd:simpleType>
    </xsd:element>
    <xsd:element name="Year" ma:index="42"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3" nillable="true" ma:displayName="Set Label" ma:default="T10M" ma:hidden="true" ma:indexed="true" ma:internalName="SetLabel" ma:readOnly="false">
      <xsd:simpleType>
        <xsd:restriction base="dms:Text">
          <xsd:maxLength value="255"/>
        </xsd:restriction>
      </xsd:simpleType>
    </xsd:element>
    <xsd:element name="OverrideLabel" ma:index="44"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5" nillable="true" ma:displayName="Has NHI" ma:default="0" ma:internalName="HasNHI" ma:readOnly="false">
      <xsd:simpleType>
        <xsd:restriction base="dms:Boolean"/>
      </xsd:simpleType>
    </xsd:element>
    <xsd:element name="zLegacy" ma:index="46" nillable="true" ma:displayName="zLegacy" ma:hidden="true" ma:internalName="zLegacy" ma:readOnly="false">
      <xsd:simpleType>
        <xsd:restriction base="dms:Note"/>
      </xsd:simpleType>
    </xsd:element>
    <xsd:element name="zLegacyID" ma:index="47" nillable="true" ma:displayName="zLegacyID" ma:hidden="true" ma:indexed="true" ma:internalName="zLegacyID" ma:readOnly="false">
      <xsd:simpleType>
        <xsd:restriction base="dms:Text">
          <xsd:maxLength value="255"/>
        </xsd:restriction>
      </xsd:simpleType>
    </xsd:element>
    <xsd:element name="zLegacyJSON" ma:index="48" nillable="true" ma:displayName="zLegacyJSON" ma:hidden="true" ma:internalName="zLegacyJSON" ma:readOnly="false">
      <xsd:simpleType>
        <xsd:restriction base="dms:Note"/>
      </xsd:simpleType>
    </xsd:element>
    <xsd:element name="CopiedFrom" ma:index="49" nillable="true" ma:displayName="Copied From" ma:hidden="true" ma:internalName="CopiedFrom" ma:readOnly="false">
      <xsd:simpleType>
        <xsd:restriction base="dms:Text">
          <xsd:maxLength value="255"/>
        </xsd:restriction>
      </xsd:simpleType>
    </xsd:element>
    <xsd:element name="Endorsements" ma:index="50"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77fc9259-9bdd-4436-bdca-cbe80b037127"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MediaServiceAutoKeyPoints" ma:index="53" nillable="true" ma:displayName="MediaServiceAutoKeyPoints" ma:hidden="true" ma:internalName="MediaServiceAutoKeyPoints" ma:readOnly="true">
      <xsd:simpleType>
        <xsd:restriction base="dms:Note"/>
      </xsd:simpleType>
    </xsd:element>
    <xsd:element name="MediaServiceKeyPoints" ma:index="54" nillable="true" ma:displayName="KeyPoints" ma:internalName="MediaServiceKeyPoints" ma:readOnly="true">
      <xsd:simpleType>
        <xsd:restriction base="dms:Note">
          <xsd:maxLength value="255"/>
        </xsd:restriction>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DateTaken" ma:index="60" nillable="true" ma:displayName="MediaServiceDateTaken" ma:hidden="true" ma:internalName="MediaServiceDateTaken" ma:readOnly="true">
      <xsd:simpleType>
        <xsd:restriction base="dms:Text"/>
      </xsd:simpleType>
    </xsd:element>
    <xsd:element name="MediaServiceGenerationTime" ma:index="61" nillable="true" ma:displayName="MediaServiceGenerationTime" ma:hidden="true" ma:internalName="MediaServiceGenerationTime" ma:readOnly="true">
      <xsd:simpleType>
        <xsd:restriction base="dms:Text"/>
      </xsd:simpleType>
    </xsd:element>
    <xsd:element name="MediaServiceEventHashCode" ma:index="62" nillable="true" ma:displayName="MediaServiceEventHashCode" ma:hidden="true" ma:internalName="MediaServiceEventHashCode"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CR" ma:index="64" nillable="true" ma:displayName="Extracted Text" ma:internalName="MediaServiceOCR" ma:readOnly="true">
      <xsd:simpleType>
        <xsd:restriction base="dms:Note">
          <xsd:maxLength value="255"/>
        </xsd:restriction>
      </xsd:simpleType>
    </xsd:element>
    <xsd:element name="MediaServiceLocation" ma:index="65" nillable="true" ma:displayName="Location" ma:indexed="true" ma:internalName="MediaServiceLocation" ma:readOnly="true">
      <xsd:simpleType>
        <xsd:restriction base="dms:Text"/>
      </xsd:simpleType>
    </xsd:element>
    <xsd:element name="MediaServiceObjectDetectorVersions" ma:index="6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2.xml><?xml version="1.0" encoding="utf-8"?>
<ds:datastoreItem xmlns:ds="http://schemas.openxmlformats.org/officeDocument/2006/customXml" ds:itemID="{4577FFB0-260E-4BEB-AB23-5A43F0263A51}">
  <ds:schemaRefs>
    <ds:schemaRef ds:uri="http://schemas.microsoft.com/office/2006/metadata/properties"/>
    <ds:schemaRef ds:uri="http://schemas.microsoft.com/office/2006/documentManagement/types"/>
    <ds:schemaRef ds:uri="http://www.w3.org/XML/1998/namespace"/>
    <ds:schemaRef ds:uri="http://purl.org/dc/terms/"/>
    <ds:schemaRef ds:uri="77fc9259-9bdd-4436-bdca-cbe80b037127"/>
    <ds:schemaRef ds:uri="725c79e5-42ce-4aa0-ac78-b6418001f0d2"/>
    <ds:schemaRef ds:uri="http://schemas.openxmlformats.org/package/2006/metadata/core-properties"/>
    <ds:schemaRef ds:uri="d0b61010-d6f3-4072-b934-7bbb13e97771"/>
    <ds:schemaRef ds:uri="http://purl.org/dc/elements/1.1/"/>
    <ds:schemaRef ds:uri="http://schemas.microsoft.com/office/infopath/2007/PartnerControls"/>
    <ds:schemaRef ds:uri="15ffb055-6eb4-45a1-bc20-bf2ac0d420da"/>
    <ds:schemaRef ds:uri="4f9c820c-e7e2-444d-97ee-45f2b3485c1d"/>
    <ds:schemaRef ds:uri="http://purl.org/dc/dcmitype/"/>
    <ds:schemaRef ds:uri="c91a514c-9034-4fa3-897a-8352025b26ed"/>
    <ds:schemaRef ds:uri="a92161ee-a867-43fa-afc4-ef021add4eae"/>
    <ds:schemaRef ds:uri="184c05c4-c568-455d-94a4-7e009b164348"/>
  </ds:schemaRefs>
</ds:datastoreItem>
</file>

<file path=customXml/itemProps3.xml><?xml version="1.0" encoding="utf-8"?>
<ds:datastoreItem xmlns:ds="http://schemas.openxmlformats.org/officeDocument/2006/customXml" ds:itemID="{47BE128A-4E51-447D-A206-342B12F3F0F3}">
  <ds:schemaRefs>
    <ds:schemaRef ds:uri="http://schemas.microsoft.com/sharepoint/events"/>
  </ds:schemaRefs>
</ds:datastoreItem>
</file>

<file path=customXml/itemProps4.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5.xml><?xml version="1.0" encoding="utf-8"?>
<ds:datastoreItem xmlns:ds="http://schemas.openxmlformats.org/officeDocument/2006/customXml" ds:itemID="{69FB8D08-374B-4339-A342-8C1BDA21A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2161ee-a867-43fa-afc4-ef021add4eae"/>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77fc9259-9bdd-4436-bdca-cbe80b037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2</TotalTime>
  <Pages>35</Pages>
  <Words>8439</Words>
  <Characters>52319</Characters>
  <Application>Microsoft Office Word</Application>
  <DocSecurity>0</DocSecurity>
  <Lines>435</Lines>
  <Paragraphs>121</Paragraphs>
  <ScaleCrop>false</ScaleCrop>
  <HeadingPairs>
    <vt:vector size="2" baseType="variant">
      <vt:variant>
        <vt:lpstr>Title</vt:lpstr>
      </vt:variant>
      <vt:variant>
        <vt:i4>1</vt:i4>
      </vt:variant>
    </vt:vector>
  </HeadingPairs>
  <TitlesOfParts>
    <vt:vector size="1" baseType="lpstr">
      <vt:lpstr>The Risk of Adverse Events Associated with Mesh and Non-Mesh Repair of Groin Hernias</vt:lpstr>
    </vt:vector>
  </TitlesOfParts>
  <Company>Microsoft</Company>
  <LinksUpToDate>false</LinksUpToDate>
  <CharactersWithSpaces>60637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Risk of Adverse Events Associated with Mesh and Non-Mesh Repair of Groin Hernias</dc:title>
  <dc:creator>Ministry of Health</dc:creator>
  <cp:lastModifiedBy>Robyn Carmichael</cp:lastModifiedBy>
  <cp:revision>2</cp:revision>
  <cp:lastPrinted>2025-01-22T22:43:00Z</cp:lastPrinted>
  <dcterms:created xsi:type="dcterms:W3CDTF">2025-02-06T21:52:00Z</dcterms:created>
  <dcterms:modified xsi:type="dcterms:W3CDTF">2025-02-06T21:52:00Z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0x0101007BA1164CF1528342A046E742A1DEEBFB</vt:lpwstr>
  </property>
  <property fmtid="{D5CDD505-2E9C-101B-9397-08002B2CF9AE}" pid="3" name="_dlc_DocIdItemGuid">
    <vt:lpwstr>101e0034-4939-4aa9-a033-1e1c325655a4</vt:lpwstr>
  </property>
  <property fmtid="{D5CDD505-2E9C-101B-9397-08002B2CF9AE}" pid="4" name="MediaServiceImageTags">
    <vt:lpwstr/>
  </property>
</Properties>
</file>