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455161" w14:textId="1183C988" w:rsidR="00C86248" w:rsidRPr="00926083" w:rsidRDefault="00753A1F" w:rsidP="00926083">
      <w:pPr>
        <w:pStyle w:val="Title"/>
      </w:pPr>
      <w:r w:rsidRPr="00753A1F">
        <w:t>Office of the Director of Mental Health and Addiction Services</w:t>
      </w:r>
    </w:p>
    <w:p w14:paraId="70097830" w14:textId="77777777" w:rsidR="00753A1F" w:rsidRDefault="00753A1F" w:rsidP="00753A1F">
      <w:pPr>
        <w:pStyle w:val="Subhead"/>
      </w:pPr>
      <w:r w:rsidRPr="00D02402">
        <w:t xml:space="preserve">Regulatory Report </w:t>
      </w:r>
      <w:r>
        <w:br/>
      </w:r>
      <w:r w:rsidRPr="00D02402">
        <w:t>1 July 202</w:t>
      </w:r>
      <w:r>
        <w:t>2</w:t>
      </w:r>
      <w:r w:rsidRPr="00D02402">
        <w:t xml:space="preserve"> to 30 June 202</w:t>
      </w:r>
      <w:r>
        <w:t>3</w:t>
      </w:r>
    </w:p>
    <w:p w14:paraId="2A961E80" w14:textId="04F58760" w:rsidR="00531E12" w:rsidRPr="00531E12" w:rsidRDefault="00531E12" w:rsidP="00531E12">
      <w:pPr>
        <w:pStyle w:val="Year"/>
      </w:pPr>
    </w:p>
    <w:p w14:paraId="5C1CCC9F" w14:textId="77777777" w:rsidR="00C05132" w:rsidRDefault="00C05132" w:rsidP="00A06BE4"/>
    <w:p w14:paraId="57E2CB79" w14:textId="77777777" w:rsidR="00142954" w:rsidRPr="00142954" w:rsidRDefault="00142954" w:rsidP="00142954">
      <w:pPr>
        <w:sectPr w:rsidR="00142954" w:rsidRPr="00142954" w:rsidSect="005A79E5">
          <w:headerReference w:type="default" r:id="rId12"/>
          <w:footerReference w:type="default" r:id="rId13"/>
          <w:pgSz w:w="11907" w:h="16834" w:code="9"/>
          <w:pgMar w:top="5670" w:right="1134" w:bottom="1134" w:left="1134" w:header="567" w:footer="851" w:gutter="0"/>
          <w:pgNumType w:start="1"/>
          <w:cols w:space="720"/>
        </w:sectPr>
      </w:pPr>
    </w:p>
    <w:p w14:paraId="358CE3BA" w14:textId="71011592" w:rsidR="00A80363" w:rsidRPr="00C05132" w:rsidRDefault="00A80363" w:rsidP="00A63DFF">
      <w:pPr>
        <w:pStyle w:val="Imprint"/>
        <w:spacing w:before="1200"/>
        <w:rPr>
          <w:rFonts w:cs="Segoe UI"/>
        </w:rPr>
      </w:pPr>
      <w:r w:rsidRPr="00C05132">
        <w:rPr>
          <w:rFonts w:cs="Segoe UI"/>
        </w:rPr>
        <w:lastRenderedPageBreak/>
        <w:t xml:space="preserve">Citation: </w:t>
      </w:r>
      <w:r w:rsidR="00442C1C" w:rsidRPr="00C05132">
        <w:rPr>
          <w:rFonts w:cs="Segoe UI"/>
        </w:rPr>
        <w:t xml:space="preserve">Ministry of Health. </w:t>
      </w:r>
      <w:r w:rsidR="00753A1F">
        <w:rPr>
          <w:rFonts w:cs="Segoe UI"/>
        </w:rPr>
        <w:t>2025</w:t>
      </w:r>
      <w:r w:rsidR="00442C1C" w:rsidRPr="00C05132">
        <w:rPr>
          <w:rFonts w:cs="Segoe UI"/>
        </w:rPr>
        <w:t xml:space="preserve">. </w:t>
      </w:r>
      <w:r w:rsidR="00753A1F" w:rsidRPr="00753A1F">
        <w:rPr>
          <w:rFonts w:cs="Segoe UI"/>
          <w:i/>
        </w:rPr>
        <w:t>Office of the Director of Mental Health and Addiction Services: Regulatory Report 1 July 2022 to 30 June 2023</w:t>
      </w:r>
      <w:r w:rsidR="00442C1C" w:rsidRPr="00C05132">
        <w:rPr>
          <w:rFonts w:cs="Segoe UI"/>
        </w:rPr>
        <w:t>. Wellington: Ministry of Health.</w:t>
      </w:r>
    </w:p>
    <w:p w14:paraId="7909192E" w14:textId="6E81BB6E" w:rsidR="00C86248" w:rsidRDefault="00C86248">
      <w:pPr>
        <w:pStyle w:val="Imprint"/>
      </w:pPr>
      <w:r>
        <w:t xml:space="preserve">Published in </w:t>
      </w:r>
      <w:r w:rsidR="00753A1F" w:rsidRPr="006610E9">
        <w:t>February 2025</w:t>
      </w:r>
      <w:r w:rsidR="00A63DFF">
        <w:t xml:space="preserve"> </w:t>
      </w:r>
      <w:r>
        <w:t>by the</w:t>
      </w:r>
      <w:r w:rsidR="00442C1C">
        <w:t xml:space="preserve"> </w:t>
      </w:r>
      <w:r>
        <w:t>Ministry of Health</w:t>
      </w:r>
      <w:r>
        <w:br/>
        <w:t>PO Box 5013, Wellington</w:t>
      </w:r>
      <w:r w:rsidR="00A80363">
        <w:t xml:space="preserve"> 614</w:t>
      </w:r>
      <w:r w:rsidR="006041F0">
        <w:t>0</w:t>
      </w:r>
      <w:r>
        <w:t xml:space="preserve">, </w:t>
      </w:r>
      <w:r w:rsidR="00571223">
        <w:t>New Zealand</w:t>
      </w:r>
    </w:p>
    <w:p w14:paraId="5E92E04B" w14:textId="10B7CBCF" w:rsidR="00753A1F" w:rsidRPr="009C0F2D" w:rsidRDefault="00753A1F" w:rsidP="00753A1F">
      <w:pPr>
        <w:pStyle w:val="Imprint"/>
      </w:pPr>
      <w:r w:rsidRPr="00ED6F33">
        <w:t xml:space="preserve">ISBN </w:t>
      </w:r>
      <w:r w:rsidR="00AF0AEA" w:rsidRPr="00AF0AEA">
        <w:t>978-1-991324-20-7</w:t>
      </w:r>
      <w:r w:rsidRPr="00ED6F33">
        <w:t xml:space="preserve"> (online)</w:t>
      </w:r>
      <w:r w:rsidRPr="00ED6F33">
        <w:br/>
        <w:t xml:space="preserve">HP </w:t>
      </w:r>
      <w:r w:rsidR="007E603F">
        <w:t>9113</w:t>
      </w:r>
    </w:p>
    <w:p w14:paraId="48DBDA36" w14:textId="7263F306" w:rsidR="00C86248" w:rsidRDefault="00EA608C" w:rsidP="00A63DFF">
      <w:r w:rsidRPr="003D7765">
        <w:rPr>
          <w:noProof/>
        </w:rPr>
        <w:drawing>
          <wp:inline distT="0" distB="0" distL="0" distR="0" wp14:anchorId="7F6F146D" wp14:editId="1389585C">
            <wp:extent cx="1216800" cy="494305"/>
            <wp:effectExtent l="0" t="0" r="2540" b="1270"/>
            <wp:docPr id="1472750415" name="Picture 1472750415" descr="A blue and white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2750415" name="Picture 1472750415" descr="A blue and white sign with white text&#10;&#10;Description automatically generated"/>
                    <pic:cNvPicPr>
                      <a:picLocks noChangeAspect="1" noChangeArrowheads="1"/>
                    </pic:cNvPicPr>
                  </pic:nvPicPr>
                  <pic:blipFill>
                    <a:blip r:embed="rId14" cstate="print">
                      <a:grayscl/>
                      <a:extLst>
                        <a:ext uri="{28A0092B-C50C-407E-A947-70E740481C1C}">
                          <a14:useLocalDpi xmlns:a14="http://schemas.microsoft.com/office/drawing/2010/main" val="0"/>
                        </a:ext>
                      </a:extLst>
                    </a:blip>
                    <a:srcRect/>
                    <a:stretch>
                      <a:fillRect/>
                    </a:stretch>
                  </pic:blipFill>
                  <pic:spPr bwMode="auto">
                    <a:xfrm>
                      <a:off x="0" y="0"/>
                      <a:ext cx="1216800" cy="494305"/>
                    </a:xfrm>
                    <a:prstGeom prst="rect">
                      <a:avLst/>
                    </a:prstGeom>
                    <a:noFill/>
                    <a:ln>
                      <a:noFill/>
                    </a:ln>
                  </pic:spPr>
                </pic:pic>
              </a:graphicData>
            </a:graphic>
          </wp:inline>
        </w:drawing>
      </w:r>
    </w:p>
    <w:p w14:paraId="354F16DF" w14:textId="77777777" w:rsidR="00A63DFF" w:rsidRDefault="00A63DFF" w:rsidP="00A63DFF">
      <w:pPr>
        <w:pStyle w:val="Imprint"/>
        <w:spacing w:before="240" w:after="480"/>
      </w:pPr>
      <w:r>
        <w:t>This document is available at health.govt.nz</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26"/>
        <w:gridCol w:w="6061"/>
      </w:tblGrid>
      <w:tr w:rsidR="00A63DFF" w:rsidRPr="00A63DFF" w14:paraId="3FC6B2D2" w14:textId="77777777" w:rsidTr="00A63DFF">
        <w:trPr>
          <w:cantSplit/>
        </w:trPr>
        <w:tc>
          <w:tcPr>
            <w:tcW w:w="1526" w:type="dxa"/>
          </w:tcPr>
          <w:p w14:paraId="362D26E7" w14:textId="77777777" w:rsidR="00A63DFF" w:rsidRPr="00A63DFF" w:rsidRDefault="00A63DFF" w:rsidP="00A63DFF">
            <w:pPr>
              <w:rPr>
                <w:rFonts w:cs="Segoe UI"/>
                <w:sz w:val="15"/>
                <w:szCs w:val="15"/>
              </w:rPr>
            </w:pPr>
            <w:r w:rsidRPr="00A63DFF">
              <w:rPr>
                <w:rFonts w:cs="Segoe UI"/>
                <w:b/>
                <w:noProof/>
                <w:sz w:val="15"/>
                <w:szCs w:val="15"/>
                <w:lang w:eastAsia="en-NZ"/>
              </w:rPr>
              <w:drawing>
                <wp:inline distT="0" distB="0" distL="0" distR="0" wp14:anchorId="4BFD7476" wp14:editId="5569ABBB">
                  <wp:extent cx="809625" cy="285750"/>
                  <wp:effectExtent l="0" t="0" r="9525" b="0"/>
                  <wp:docPr id="3" name="Picture 3" descr="CC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BY"/>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09625" cy="285750"/>
                          </a:xfrm>
                          <a:prstGeom prst="rect">
                            <a:avLst/>
                          </a:prstGeom>
                          <a:noFill/>
                          <a:ln>
                            <a:noFill/>
                          </a:ln>
                        </pic:spPr>
                      </pic:pic>
                    </a:graphicData>
                  </a:graphic>
                </wp:inline>
              </w:drawing>
            </w:r>
          </w:p>
        </w:tc>
        <w:tc>
          <w:tcPr>
            <w:tcW w:w="6061" w:type="dxa"/>
          </w:tcPr>
          <w:p w14:paraId="7D3A471A" w14:textId="77777777" w:rsidR="00A63DFF" w:rsidRPr="00A63DFF" w:rsidRDefault="00A63DFF" w:rsidP="00A63DFF">
            <w:pPr>
              <w:rPr>
                <w:rFonts w:cs="Segoe UI"/>
                <w:sz w:val="15"/>
                <w:szCs w:val="15"/>
              </w:rPr>
            </w:pPr>
            <w:r w:rsidRPr="00A63DFF">
              <w:rPr>
                <w:rFonts w:cs="Segoe UI"/>
                <w:sz w:val="15"/>
                <w:szCs w:val="15"/>
              </w:rPr>
              <w:t xml:space="preserve">This work is licensed under the Creative Commons Attribution 4.0 International licence. In essence, </w:t>
            </w:r>
            <w:r w:rsidRPr="00A63DFF">
              <w:rPr>
                <w:rFonts w:cs="Segoe UI"/>
                <w:bCs/>
                <w:sz w:val="15"/>
                <w:szCs w:val="15"/>
              </w:rPr>
              <w:t xml:space="preserve">you are free to: </w:t>
            </w:r>
            <w:r w:rsidRPr="00A63DFF">
              <w:rPr>
                <w:rFonts w:cs="Segoe UI"/>
                <w:sz w:val="15"/>
                <w:szCs w:val="15"/>
              </w:rPr>
              <w:t xml:space="preserve">share ie, copy and redistribute the material in any medium or format; adapt ie, remix, transform and build upon the material. </w:t>
            </w:r>
            <w:r w:rsidRPr="00A63DFF">
              <w:rPr>
                <w:rFonts w:cs="Segoe UI"/>
                <w:bCs/>
                <w:sz w:val="15"/>
                <w:szCs w:val="15"/>
              </w:rPr>
              <w:t>You must give appropriate credit, provide a link to the licence and indicate if changes were made.</w:t>
            </w:r>
          </w:p>
        </w:tc>
      </w:tr>
    </w:tbl>
    <w:p w14:paraId="44C6FE3A" w14:textId="13E3A6E4" w:rsidR="007E74F1" w:rsidRPr="001F45A7" w:rsidRDefault="007E74F1" w:rsidP="00A63DFF"/>
    <w:p w14:paraId="2113CC0B" w14:textId="77777777" w:rsidR="00C86248" w:rsidRDefault="00C86248">
      <w:pPr>
        <w:jc w:val="center"/>
        <w:sectPr w:rsidR="00C86248" w:rsidSect="00C05132">
          <w:footerReference w:type="even" r:id="rId16"/>
          <w:footerReference w:type="default" r:id="rId17"/>
          <w:pgSz w:w="11907" w:h="16834" w:code="9"/>
          <w:pgMar w:top="1701" w:right="2268" w:bottom="1134" w:left="2268" w:header="0" w:footer="0" w:gutter="0"/>
          <w:cols w:space="720"/>
          <w:vAlign w:val="bottom"/>
        </w:sectPr>
      </w:pPr>
    </w:p>
    <w:p w14:paraId="0F8774BA" w14:textId="77777777" w:rsidR="00032C0A" w:rsidRDefault="008E3A07" w:rsidP="001D3E4E">
      <w:pPr>
        <w:pStyle w:val="Heading1"/>
        <w:spacing w:before="0"/>
      </w:pPr>
      <w:bookmarkStart w:id="0" w:name="_Toc405792991"/>
      <w:bookmarkStart w:id="1" w:name="_Toc405793224"/>
      <w:bookmarkStart w:id="2" w:name="_Toc189647882"/>
      <w:r>
        <w:lastRenderedPageBreak/>
        <w:t>Foreword</w:t>
      </w:r>
      <w:bookmarkEnd w:id="2"/>
    </w:p>
    <w:p w14:paraId="673BCA46" w14:textId="77777777" w:rsidR="00753A1F" w:rsidRDefault="00753A1F" w:rsidP="00535C2F">
      <w:pPr>
        <w:ind w:right="-180"/>
      </w:pPr>
      <w:r>
        <w:t>Welcome to our regulatory report for the financial year from 1 July 2022 to 30 June 2023. This report presents data about the use of compulsory assessment and treatment legislation in Aotearoa New Zealand under the Mental Health (Compulsory Assessment and Treatment) Act 1992 (the Mental Health Act), as well as related activities under the Intellectual Disability (Compulsory Care and Rehabilitation) Act 2003 (the Intellectual Disability Care Act) and the Misuse of Drugs Act 1975. For more information, see</w:t>
      </w:r>
      <w:r w:rsidDel="00FD6D9B">
        <w:t xml:space="preserve"> </w:t>
      </w:r>
      <w:hyperlink r:id="rId18">
        <w:r w:rsidRPr="00535C2F">
          <w:rPr>
            <w:rStyle w:val="Hyperlink"/>
          </w:rPr>
          <w:t>Mental health and addiction</w:t>
        </w:r>
      </w:hyperlink>
      <w:r>
        <w:t xml:space="preserve"> on the Ministry of Health – Manat</w:t>
      </w:r>
      <w:r>
        <w:rPr>
          <w:rFonts w:cs="Segoe UI"/>
        </w:rPr>
        <w:t>ū</w:t>
      </w:r>
      <w:r>
        <w:t xml:space="preserve"> Hauora website. </w:t>
      </w:r>
    </w:p>
    <w:p w14:paraId="7BCBD7D6" w14:textId="77777777" w:rsidR="00753A1F" w:rsidRDefault="00753A1F" w:rsidP="00535C2F">
      <w:pPr>
        <w:ind w:right="-180"/>
      </w:pPr>
    </w:p>
    <w:p w14:paraId="562428F9" w14:textId="77777777" w:rsidR="00753A1F" w:rsidRDefault="00753A1F" w:rsidP="00535C2F">
      <w:pPr>
        <w:ind w:right="-180"/>
      </w:pPr>
      <w:r>
        <w:t>The mental health, intellectual disability and addiction workforce in Aotearoa New Zealand continues to demonstrate passion and care for people during times of significant vulnerability, and I truly thank everyone for this.</w:t>
      </w:r>
      <w:r w:rsidDel="001D3305">
        <w:t xml:space="preserve"> </w:t>
      </w:r>
      <w:r>
        <w:t>As the demand for services continues to be high, the</w:t>
      </w:r>
      <w:r w:rsidDel="001D3305">
        <w:t xml:space="preserve"> </w:t>
      </w:r>
      <w:r>
        <w:t>pressure on our workforce increases. We know there are always improvements to be made to reduce this pressure, and we are working closely with our</w:t>
      </w:r>
      <w:r w:rsidRPr="001D3305">
        <w:t xml:space="preserve"> </w:t>
      </w:r>
      <w:r>
        <w:t xml:space="preserve">colleagues in Health New Zealand – Te Whatu Ora to provide sustainable solutions.  </w:t>
      </w:r>
    </w:p>
    <w:p w14:paraId="4444B897" w14:textId="77777777" w:rsidR="00753A1F" w:rsidRDefault="00753A1F" w:rsidP="00535C2F">
      <w:pPr>
        <w:ind w:right="-180"/>
      </w:pPr>
    </w:p>
    <w:p w14:paraId="1B6A546C" w14:textId="77777777" w:rsidR="00753A1F" w:rsidRDefault="00753A1F" w:rsidP="00535C2F">
      <w:pPr>
        <w:ind w:right="-180"/>
      </w:pPr>
      <w:r>
        <w:t>As the Director of Mental Health and Addiction, I am responsible for the general administration of the relevant</w:t>
      </w:r>
      <w:r w:rsidRPr="00EA3A7B">
        <w:t xml:space="preserve"> </w:t>
      </w:r>
      <w:r>
        <w:t>compulsory assessment, care and treatment legislation under the direction of the Minister of Health, the Director-General of Health and, following the establishment of the role in 2023, the Minister for Mental Health. My functions and powers under the Acts listed above, as well as under the Substance Addiction (Compulsory Assessment and Treatment) Act 2017 (the Substance Addiction Act), allow the Ministry of Health</w:t>
      </w:r>
      <w:r w:rsidDel="00EA3A7B">
        <w:t xml:space="preserve"> </w:t>
      </w:r>
      <w:r>
        <w:t>to provide guidance and oversight to mental health, addiction and intellectual disability services. It is my role to make sure that when people are under compulsory care or treatment in Aotearoa New Zealand, they are well cared for, their rights are upheld</w:t>
      </w:r>
      <w:r w:rsidDel="00442E79">
        <w:t>,</w:t>
      </w:r>
      <w:r>
        <w:t xml:space="preserve"> and their care or treatment services follow all legislative requirements. When needed, I can intervene to ensure this is what people experience.</w:t>
      </w:r>
    </w:p>
    <w:p w14:paraId="5935655C" w14:textId="77777777" w:rsidR="00753A1F" w:rsidRDefault="00753A1F" w:rsidP="00535C2F">
      <w:pPr>
        <w:ind w:right="-180"/>
      </w:pPr>
    </w:p>
    <w:p w14:paraId="707E681D" w14:textId="77777777" w:rsidR="00753A1F" w:rsidRDefault="00753A1F" w:rsidP="00535C2F">
      <w:pPr>
        <w:ind w:right="-180"/>
      </w:pPr>
      <w:r>
        <w:t>Since 2005, the Office of the Director of Mental Health and Addiction Services has been reporting each year on the activities we undertake. The main purpose of the report is to present information and statistics that serve as barometers of quality for our mental health, intellectual disability, and addiction services in the context of providing compulsory care. We monitor these services to assure ourselves and the public that people having compulsory assessment, care and treatment under the relevant legislation are receiving high-quality care.</w:t>
      </w:r>
    </w:p>
    <w:p w14:paraId="3C6D1DBE" w14:textId="77777777" w:rsidR="00753A1F" w:rsidRDefault="00753A1F" w:rsidP="00535C2F">
      <w:pPr>
        <w:ind w:right="-180"/>
      </w:pPr>
    </w:p>
    <w:p w14:paraId="411AC995" w14:textId="77777777" w:rsidR="00753A1F" w:rsidRDefault="00753A1F" w:rsidP="00535C2F">
      <w:pPr>
        <w:ind w:right="-180"/>
      </w:pPr>
      <w:r>
        <w:t>This report shows use of compulsory assessment and treatment remains steady compared with previous years, in line with</w:t>
      </w:r>
      <w:r w:rsidRPr="00042C3F">
        <w:t xml:space="preserve"> </w:t>
      </w:r>
      <w:r>
        <w:t xml:space="preserve">increases in both the population and service use. The number of people who have been secluded and the total hours people spend in seclusion have decreased, which are positive trends. We remain committed to working with Health New Zealand and Te Tāhū Hauora Health Quality &amp; Safety Commission to reduce and eliminate seclusion, in line with their </w:t>
      </w:r>
      <w:hyperlink r:id="rId19" w:history="1">
        <w:r w:rsidRPr="00535C2F">
          <w:rPr>
            <w:rStyle w:val="Hyperlink"/>
          </w:rPr>
          <w:t>Zero Seclusion: Safety and dignity for all</w:t>
        </w:r>
      </w:hyperlink>
      <w:r w:rsidRPr="00535C2F">
        <w:rPr>
          <w:rStyle w:val="Hyperlink"/>
        </w:rPr>
        <w:t xml:space="preserve"> </w:t>
      </w:r>
      <w:r w:rsidRPr="00042C3F">
        <w:t>project</w:t>
      </w:r>
      <w:r w:rsidRPr="00F018CD">
        <w:rPr>
          <w:i/>
          <w:iCs/>
        </w:rPr>
        <w:t>.</w:t>
      </w:r>
      <w:r>
        <w:t xml:space="preserve"> In April 2023, my office published the </w:t>
      </w:r>
      <w:hyperlink r:id="rId20" w:history="1">
        <w:r w:rsidRPr="00535C2F" w:rsidDel="00042C3F">
          <w:rPr>
            <w:rStyle w:val="Hyperlink"/>
            <w:i/>
            <w:iCs/>
          </w:rPr>
          <w:t xml:space="preserve">Guidelines for </w:t>
        </w:r>
        <w:r w:rsidRPr="00535C2F">
          <w:rPr>
            <w:rStyle w:val="Hyperlink"/>
            <w:i/>
            <w:iCs/>
          </w:rPr>
          <w:t>Reducing and Eliminating Seclusion and Restraint under the Mental Health Act</w:t>
        </w:r>
      </w:hyperlink>
      <w:r>
        <w:t>.</w:t>
      </w:r>
      <w:r>
        <w:rPr>
          <w:rStyle w:val="FootnoteReference"/>
        </w:rPr>
        <w:footnoteReference w:id="1"/>
      </w:r>
      <w:r>
        <w:t xml:space="preserve"> As this report </w:t>
      </w:r>
      <w:r>
        <w:lastRenderedPageBreak/>
        <w:t>covers up to only 30 June 2023, we do not yet have enough evidence to suggest that these guidelines have resulted in practice change. However, the sector has provided positive feedback on the implementation of the guidelines and the support for alternative approaches.</w:t>
      </w:r>
    </w:p>
    <w:p w14:paraId="3BB41E83" w14:textId="77777777" w:rsidR="00753A1F" w:rsidRDefault="00753A1F" w:rsidP="00535C2F">
      <w:pPr>
        <w:ind w:right="-180"/>
      </w:pPr>
    </w:p>
    <w:p w14:paraId="08036913" w14:textId="77777777" w:rsidR="00753A1F" w:rsidRDefault="00753A1F" w:rsidP="00535C2F">
      <w:pPr>
        <w:ind w:right="-180"/>
      </w:pPr>
      <w:r>
        <w:t xml:space="preserve">Work has continued on repealing and replacing the current Mental Health Act, as recommended in </w:t>
      </w:r>
      <w:r>
        <w:rPr>
          <w:i/>
          <w:iCs/>
        </w:rPr>
        <w:t>He Ara Oranga: Report of the Government Inquiry into Mental Health and Addiction</w:t>
      </w:r>
      <w:r>
        <w:t>.</w:t>
      </w:r>
      <w:r>
        <w:rPr>
          <w:rStyle w:val="FootnoteReference"/>
        </w:rPr>
        <w:footnoteReference w:id="2"/>
      </w:r>
      <w:r>
        <w:t xml:space="preserve"> The</w:t>
      </w:r>
      <w:r w:rsidRPr="00556205">
        <w:t xml:space="preserve"> </w:t>
      </w:r>
      <w:r>
        <w:t>Minister for Mental Health introduced the Mental Health Bill to the House of Representatives in October 2024. For updates on this work, see</w:t>
      </w:r>
      <w:r w:rsidDel="00556205">
        <w:t xml:space="preserve"> </w:t>
      </w:r>
      <w:hyperlink r:id="rId21" w:history="1">
        <w:r w:rsidRPr="00535C2F">
          <w:rPr>
            <w:rStyle w:val="Hyperlink"/>
          </w:rPr>
          <w:t>Repealing and replacing the Mental Health Act</w:t>
        </w:r>
      </w:hyperlink>
      <w:r>
        <w:t xml:space="preserve"> on the Ministry’s website</w:t>
      </w:r>
      <w:r w:rsidRPr="005C258E">
        <w:t>.</w:t>
      </w:r>
      <w:r>
        <w:t xml:space="preserve"> My office will continue to be involved in the development of the Bill, and we are looking forward to supporting legislation that promotes a recovery and wellbeing approach to care.</w:t>
      </w:r>
    </w:p>
    <w:p w14:paraId="05E2BD72" w14:textId="77777777" w:rsidR="00753A1F" w:rsidRDefault="00753A1F" w:rsidP="00535C2F">
      <w:pPr>
        <w:ind w:right="-180"/>
      </w:pPr>
    </w:p>
    <w:p w14:paraId="668A7316" w14:textId="77777777" w:rsidR="00753A1F" w:rsidRDefault="00753A1F" w:rsidP="00535C2F">
      <w:pPr>
        <w:ind w:right="-180"/>
      </w:pPr>
      <w:r>
        <w:t>We acknowledge that this report has been delayed.  To provide more timely reports, we aim to use only data that services submit electronically through the Programme for the Integration of Mental Health Data (PRIMHD).</w:t>
      </w:r>
      <w:r w:rsidDel="00C93153">
        <w:t xml:space="preserve"> </w:t>
      </w:r>
      <w:r>
        <w:t>However, because some services use manual data instead of PRIMHD, delays occur in the development of the report. We continue to work with Health New Zealand services to follow the PRIMHD standards more closely so data can be used to better inform services and practice.</w:t>
      </w:r>
    </w:p>
    <w:p w14:paraId="686E076E" w14:textId="77777777" w:rsidR="00753A1F" w:rsidRDefault="00753A1F" w:rsidP="00535C2F">
      <w:pPr>
        <w:ind w:right="-180"/>
      </w:pPr>
    </w:p>
    <w:p w14:paraId="601FEB23" w14:textId="77777777" w:rsidR="00753A1F" w:rsidRDefault="00753A1F" w:rsidP="00535C2F">
      <w:pPr>
        <w:ind w:right="-180"/>
      </w:pPr>
      <w:r>
        <w:t xml:space="preserve">To get a full picture of mental health and addiction services in Aotearoa New Zealand, including service use outside of compulsory legislation, I recommend you read this report in conjunction with updates on the Health New Zealand website, in particular the </w:t>
      </w:r>
      <w:hyperlink r:id="rId22">
        <w:r w:rsidRPr="00535C2F">
          <w:rPr>
            <w:rStyle w:val="Hyperlink"/>
          </w:rPr>
          <w:t>Mental health and addiction monitoring, reporting and data</w:t>
        </w:r>
      </w:hyperlink>
      <w:r>
        <w:t xml:space="preserve"> page.</w:t>
      </w:r>
      <w:r w:rsidRPr="00F32941">
        <w:t xml:space="preserve"> </w:t>
      </w:r>
      <w:r>
        <w:t xml:space="preserve">The </w:t>
      </w:r>
      <w:hyperlink r:id="rId23">
        <w:r w:rsidRPr="00535C2F">
          <w:rPr>
            <w:rStyle w:val="Hyperlink"/>
          </w:rPr>
          <w:t>Ministry of Health’s Annual Report</w:t>
        </w:r>
      </w:hyperlink>
      <w:r>
        <w:t xml:space="preserve"> includes information on the use of the Substance Addiction Act, and Te Hiringa Mahara – Mental Health and Wellbeing Commission publishes monitoring reports on the mental health and addiction system, which are available on its </w:t>
      </w:r>
      <w:hyperlink r:id="rId24">
        <w:r w:rsidRPr="00535C2F">
          <w:rPr>
            <w:rStyle w:val="Hyperlink"/>
          </w:rPr>
          <w:t>website</w:t>
        </w:r>
      </w:hyperlink>
      <w:r>
        <w:t xml:space="preserve">. </w:t>
      </w:r>
      <w:r w:rsidDel="00F32941">
        <w:br/>
      </w:r>
    </w:p>
    <w:p w14:paraId="03BB7BBF" w14:textId="77777777" w:rsidR="00753A1F" w:rsidRDefault="00753A1F" w:rsidP="00535C2F">
      <w:pPr>
        <w:ind w:right="-180"/>
      </w:pPr>
      <w:r>
        <w:t>This year’s report is the first to cover Health New Zealand districts, rather than district health boards. To maintain the ability to compare across years, we have separated the single district of Health New Zealand Capital, Coast and Hutt Valley into two services: Capital &amp; Coast, and Hutt Valley. In this way, data on this district aligns with the previous district health board areas. Future reports will combine data on these services.</w:t>
      </w:r>
    </w:p>
    <w:p w14:paraId="4A870396" w14:textId="77777777" w:rsidR="00753A1F" w:rsidRDefault="00753A1F" w:rsidP="00535C2F">
      <w:pPr>
        <w:ind w:right="-180"/>
      </w:pPr>
    </w:p>
    <w:p w14:paraId="38A169FC" w14:textId="77777777" w:rsidR="00753A1F" w:rsidRDefault="00753A1F" w:rsidP="00535C2F">
      <w:pPr>
        <w:ind w:right="-180"/>
      </w:pPr>
      <w:r>
        <w:t>My office has close working relationships with Health New Zealand, Whaikaha – Ministry of Disabled People and more recently, due to wider sector changes, the Ministry of Social Development to ensure tāngata whaiora (people seeking health) and tāngata whaikaha (people with disabilities)</w:t>
      </w:r>
      <w:r w:rsidDel="00F32941">
        <w:t xml:space="preserve"> </w:t>
      </w:r>
      <w:r>
        <w:t xml:space="preserve">are receiving a consistent level of high-quality care. While this report highlights areas where the sector has made improvements, sustained focus and efforts are needed to continue to improve the experiences of tāngata whaiora, tāngata whaikaha and their whānau. </w:t>
      </w:r>
    </w:p>
    <w:p w14:paraId="236BAFE1" w14:textId="77777777" w:rsidR="00753A1F" w:rsidRDefault="00753A1F" w:rsidP="00753A1F"/>
    <w:p w14:paraId="75472194" w14:textId="77777777" w:rsidR="00753A1F" w:rsidRDefault="00753A1F" w:rsidP="00753A1F">
      <w:r>
        <w:t>Noho ora mai</w:t>
      </w:r>
    </w:p>
    <w:p w14:paraId="44E0189C" w14:textId="77777777" w:rsidR="00753A1F" w:rsidRDefault="00753A1F" w:rsidP="00753A1F"/>
    <w:p w14:paraId="641CFD99" w14:textId="77777777" w:rsidR="00753A1F" w:rsidRDefault="00753A1F" w:rsidP="00753A1F">
      <w:r>
        <w:t>Dr John Crawshaw</w:t>
      </w:r>
    </w:p>
    <w:p w14:paraId="4739CA1F" w14:textId="77777777" w:rsidR="00753A1F" w:rsidRDefault="00753A1F" w:rsidP="00753A1F">
      <w:r>
        <w:t>Director of Mental Health and Addiction</w:t>
      </w:r>
    </w:p>
    <w:p w14:paraId="3C70FAF9" w14:textId="77777777" w:rsidR="00D662F8" w:rsidRDefault="00D662F8" w:rsidP="0046362D"/>
    <w:p w14:paraId="648D4F84" w14:textId="77777777" w:rsidR="00C86248" w:rsidRDefault="00C86248" w:rsidP="00025A6F">
      <w:pPr>
        <w:pStyle w:val="IntroHead"/>
      </w:pPr>
      <w:r>
        <w:t>Contents</w:t>
      </w:r>
      <w:bookmarkEnd w:id="0"/>
      <w:bookmarkEnd w:id="1"/>
    </w:p>
    <w:p w14:paraId="49B9D26C" w14:textId="5824E2DA" w:rsidR="00AE3F06" w:rsidRDefault="00AE3F06">
      <w:pPr>
        <w:pStyle w:val="TOC1"/>
        <w:rPr>
          <w:rFonts w:asciiTheme="minorHAnsi" w:eastAsiaTheme="minorEastAsia" w:hAnsiTheme="minorHAnsi" w:cstheme="minorBidi"/>
          <w:noProof/>
          <w:kern w:val="2"/>
          <w:sz w:val="22"/>
          <w:szCs w:val="22"/>
          <w:lang w:eastAsia="en-NZ"/>
          <w14:ligatures w14:val="standardContextual"/>
        </w:rPr>
      </w:pPr>
      <w:r>
        <w:rPr>
          <w:b/>
        </w:rPr>
        <w:fldChar w:fldCharType="begin"/>
      </w:r>
      <w:r>
        <w:rPr>
          <w:b/>
        </w:rPr>
        <w:instrText xml:space="preserve"> TOC \o "1-2" \h \z </w:instrText>
      </w:r>
      <w:r>
        <w:rPr>
          <w:b/>
        </w:rPr>
        <w:fldChar w:fldCharType="separate"/>
      </w:r>
      <w:hyperlink w:anchor="_Toc189647882" w:history="1">
        <w:r w:rsidRPr="00C80580">
          <w:rPr>
            <w:rStyle w:val="Hyperlink"/>
            <w:noProof/>
          </w:rPr>
          <w:t>Foreword</w:t>
        </w:r>
        <w:r>
          <w:rPr>
            <w:noProof/>
            <w:webHidden/>
          </w:rPr>
          <w:tab/>
        </w:r>
        <w:r>
          <w:rPr>
            <w:noProof/>
            <w:webHidden/>
          </w:rPr>
          <w:fldChar w:fldCharType="begin"/>
        </w:r>
        <w:r>
          <w:rPr>
            <w:noProof/>
            <w:webHidden/>
          </w:rPr>
          <w:instrText xml:space="preserve"> PAGEREF _Toc189647882 \h </w:instrText>
        </w:r>
        <w:r>
          <w:rPr>
            <w:noProof/>
            <w:webHidden/>
          </w:rPr>
        </w:r>
        <w:r>
          <w:rPr>
            <w:noProof/>
            <w:webHidden/>
          </w:rPr>
          <w:fldChar w:fldCharType="separate"/>
        </w:r>
        <w:r w:rsidR="00753BC8">
          <w:rPr>
            <w:noProof/>
            <w:webHidden/>
          </w:rPr>
          <w:t>iii</w:t>
        </w:r>
        <w:r>
          <w:rPr>
            <w:noProof/>
            <w:webHidden/>
          </w:rPr>
          <w:fldChar w:fldCharType="end"/>
        </w:r>
      </w:hyperlink>
    </w:p>
    <w:p w14:paraId="78CA4309" w14:textId="3231D041" w:rsidR="00AE3F06" w:rsidRDefault="00AE3F06">
      <w:pPr>
        <w:pStyle w:val="TOC1"/>
        <w:rPr>
          <w:rFonts w:asciiTheme="minorHAnsi" w:eastAsiaTheme="minorEastAsia" w:hAnsiTheme="minorHAnsi" w:cstheme="minorBidi"/>
          <w:noProof/>
          <w:kern w:val="2"/>
          <w:sz w:val="22"/>
          <w:szCs w:val="22"/>
          <w:lang w:eastAsia="en-NZ"/>
          <w14:ligatures w14:val="standardContextual"/>
        </w:rPr>
      </w:pPr>
      <w:hyperlink w:anchor="_Toc189647883" w:history="1">
        <w:r w:rsidRPr="00C80580">
          <w:rPr>
            <w:rStyle w:val="Hyperlink"/>
            <w:noProof/>
          </w:rPr>
          <w:t>Context</w:t>
        </w:r>
        <w:r>
          <w:rPr>
            <w:noProof/>
            <w:webHidden/>
          </w:rPr>
          <w:tab/>
        </w:r>
        <w:r>
          <w:rPr>
            <w:noProof/>
            <w:webHidden/>
          </w:rPr>
          <w:fldChar w:fldCharType="begin"/>
        </w:r>
        <w:r>
          <w:rPr>
            <w:noProof/>
            <w:webHidden/>
          </w:rPr>
          <w:instrText xml:space="preserve"> PAGEREF _Toc189647883 \h </w:instrText>
        </w:r>
        <w:r>
          <w:rPr>
            <w:noProof/>
            <w:webHidden/>
          </w:rPr>
        </w:r>
        <w:r>
          <w:rPr>
            <w:noProof/>
            <w:webHidden/>
          </w:rPr>
          <w:fldChar w:fldCharType="separate"/>
        </w:r>
        <w:r w:rsidR="00753BC8">
          <w:rPr>
            <w:noProof/>
            <w:webHidden/>
          </w:rPr>
          <w:t>1</w:t>
        </w:r>
        <w:r>
          <w:rPr>
            <w:noProof/>
            <w:webHidden/>
          </w:rPr>
          <w:fldChar w:fldCharType="end"/>
        </w:r>
      </w:hyperlink>
    </w:p>
    <w:p w14:paraId="027AAD41" w14:textId="28029183" w:rsidR="00AE3F06" w:rsidRDefault="00AE3F06">
      <w:pPr>
        <w:pStyle w:val="TOC1"/>
        <w:rPr>
          <w:rFonts w:asciiTheme="minorHAnsi" w:eastAsiaTheme="minorEastAsia" w:hAnsiTheme="minorHAnsi" w:cstheme="minorBidi"/>
          <w:noProof/>
          <w:kern w:val="2"/>
          <w:sz w:val="22"/>
          <w:szCs w:val="22"/>
          <w:lang w:eastAsia="en-NZ"/>
          <w14:ligatures w14:val="standardContextual"/>
        </w:rPr>
      </w:pPr>
      <w:hyperlink w:anchor="_Toc189647884" w:history="1">
        <w:r w:rsidRPr="00C80580">
          <w:rPr>
            <w:rStyle w:val="Hyperlink"/>
            <w:noProof/>
          </w:rPr>
          <w:t>The Mental Health Act process</w:t>
        </w:r>
        <w:r>
          <w:rPr>
            <w:noProof/>
            <w:webHidden/>
          </w:rPr>
          <w:tab/>
        </w:r>
        <w:r>
          <w:rPr>
            <w:noProof/>
            <w:webHidden/>
          </w:rPr>
          <w:fldChar w:fldCharType="begin"/>
        </w:r>
        <w:r>
          <w:rPr>
            <w:noProof/>
            <w:webHidden/>
          </w:rPr>
          <w:instrText xml:space="preserve"> PAGEREF _Toc189647884 \h </w:instrText>
        </w:r>
        <w:r>
          <w:rPr>
            <w:noProof/>
            <w:webHidden/>
          </w:rPr>
        </w:r>
        <w:r>
          <w:rPr>
            <w:noProof/>
            <w:webHidden/>
          </w:rPr>
          <w:fldChar w:fldCharType="separate"/>
        </w:r>
        <w:r w:rsidR="00753BC8">
          <w:rPr>
            <w:noProof/>
            <w:webHidden/>
          </w:rPr>
          <w:t>2</w:t>
        </w:r>
        <w:r>
          <w:rPr>
            <w:noProof/>
            <w:webHidden/>
          </w:rPr>
          <w:fldChar w:fldCharType="end"/>
        </w:r>
      </w:hyperlink>
    </w:p>
    <w:p w14:paraId="37554931" w14:textId="410CD162" w:rsidR="00AE3F06" w:rsidRDefault="00AE3F06">
      <w:pPr>
        <w:pStyle w:val="TOC2"/>
        <w:rPr>
          <w:rFonts w:asciiTheme="minorHAnsi" w:eastAsiaTheme="minorEastAsia" w:hAnsiTheme="minorHAnsi" w:cstheme="minorBidi"/>
          <w:noProof/>
          <w:kern w:val="2"/>
          <w:szCs w:val="22"/>
          <w:lang w:eastAsia="en-NZ"/>
          <w14:ligatures w14:val="standardContextual"/>
        </w:rPr>
      </w:pPr>
      <w:hyperlink w:anchor="_Toc189647885" w:history="1">
        <w:r w:rsidRPr="00C80580">
          <w:rPr>
            <w:rStyle w:val="Hyperlink"/>
            <w:noProof/>
          </w:rPr>
          <w:t>Court applications in 2022/23</w:t>
        </w:r>
        <w:r>
          <w:rPr>
            <w:noProof/>
            <w:webHidden/>
          </w:rPr>
          <w:tab/>
        </w:r>
        <w:r>
          <w:rPr>
            <w:noProof/>
            <w:webHidden/>
          </w:rPr>
          <w:fldChar w:fldCharType="begin"/>
        </w:r>
        <w:r>
          <w:rPr>
            <w:noProof/>
            <w:webHidden/>
          </w:rPr>
          <w:instrText xml:space="preserve"> PAGEREF _Toc189647885 \h </w:instrText>
        </w:r>
        <w:r>
          <w:rPr>
            <w:noProof/>
            <w:webHidden/>
          </w:rPr>
        </w:r>
        <w:r>
          <w:rPr>
            <w:noProof/>
            <w:webHidden/>
          </w:rPr>
          <w:fldChar w:fldCharType="separate"/>
        </w:r>
        <w:r w:rsidR="00753BC8">
          <w:rPr>
            <w:noProof/>
            <w:webHidden/>
          </w:rPr>
          <w:t>2</w:t>
        </w:r>
        <w:r>
          <w:rPr>
            <w:noProof/>
            <w:webHidden/>
          </w:rPr>
          <w:fldChar w:fldCharType="end"/>
        </w:r>
      </w:hyperlink>
    </w:p>
    <w:p w14:paraId="5DE5A794" w14:textId="009E3813" w:rsidR="00AE3F06" w:rsidRDefault="00AE3F06">
      <w:pPr>
        <w:pStyle w:val="TOC2"/>
        <w:rPr>
          <w:rFonts w:asciiTheme="minorHAnsi" w:eastAsiaTheme="minorEastAsia" w:hAnsiTheme="minorHAnsi" w:cstheme="minorBidi"/>
          <w:noProof/>
          <w:kern w:val="2"/>
          <w:szCs w:val="22"/>
          <w:lang w:eastAsia="en-NZ"/>
          <w14:ligatures w14:val="standardContextual"/>
        </w:rPr>
      </w:pPr>
      <w:hyperlink w:anchor="_Toc189647886" w:history="1">
        <w:r w:rsidRPr="00C80580">
          <w:rPr>
            <w:rStyle w:val="Hyperlink"/>
            <w:noProof/>
          </w:rPr>
          <w:t>Compulsory assessment and treatment in 2022/23</w:t>
        </w:r>
        <w:r>
          <w:rPr>
            <w:noProof/>
            <w:webHidden/>
          </w:rPr>
          <w:tab/>
        </w:r>
        <w:r>
          <w:rPr>
            <w:noProof/>
            <w:webHidden/>
          </w:rPr>
          <w:fldChar w:fldCharType="begin"/>
        </w:r>
        <w:r>
          <w:rPr>
            <w:noProof/>
            <w:webHidden/>
          </w:rPr>
          <w:instrText xml:space="preserve"> PAGEREF _Toc189647886 \h </w:instrText>
        </w:r>
        <w:r>
          <w:rPr>
            <w:noProof/>
            <w:webHidden/>
          </w:rPr>
        </w:r>
        <w:r>
          <w:rPr>
            <w:noProof/>
            <w:webHidden/>
          </w:rPr>
          <w:fldChar w:fldCharType="separate"/>
        </w:r>
        <w:r w:rsidR="00753BC8">
          <w:rPr>
            <w:noProof/>
            <w:webHidden/>
          </w:rPr>
          <w:t>2</w:t>
        </w:r>
        <w:r>
          <w:rPr>
            <w:noProof/>
            <w:webHidden/>
          </w:rPr>
          <w:fldChar w:fldCharType="end"/>
        </w:r>
      </w:hyperlink>
    </w:p>
    <w:p w14:paraId="4E5AD43F" w14:textId="525A6C11" w:rsidR="00AE3F06" w:rsidRDefault="00AE3F06">
      <w:pPr>
        <w:pStyle w:val="TOC2"/>
        <w:rPr>
          <w:rFonts w:asciiTheme="minorHAnsi" w:eastAsiaTheme="minorEastAsia" w:hAnsiTheme="minorHAnsi" w:cstheme="minorBidi"/>
          <w:noProof/>
          <w:kern w:val="2"/>
          <w:szCs w:val="22"/>
          <w:lang w:eastAsia="en-NZ"/>
          <w14:ligatures w14:val="standardContextual"/>
        </w:rPr>
      </w:pPr>
      <w:hyperlink w:anchor="_Toc189647887" w:history="1">
        <w:r w:rsidRPr="00C80580">
          <w:rPr>
            <w:rStyle w:val="Hyperlink"/>
            <w:noProof/>
          </w:rPr>
          <w:t>Compulsory treatment by age and gender</w:t>
        </w:r>
        <w:r>
          <w:rPr>
            <w:noProof/>
            <w:webHidden/>
          </w:rPr>
          <w:tab/>
        </w:r>
        <w:r>
          <w:rPr>
            <w:noProof/>
            <w:webHidden/>
          </w:rPr>
          <w:fldChar w:fldCharType="begin"/>
        </w:r>
        <w:r>
          <w:rPr>
            <w:noProof/>
            <w:webHidden/>
          </w:rPr>
          <w:instrText xml:space="preserve"> PAGEREF _Toc189647887 \h </w:instrText>
        </w:r>
        <w:r>
          <w:rPr>
            <w:noProof/>
            <w:webHidden/>
          </w:rPr>
        </w:r>
        <w:r>
          <w:rPr>
            <w:noProof/>
            <w:webHidden/>
          </w:rPr>
          <w:fldChar w:fldCharType="separate"/>
        </w:r>
        <w:r w:rsidR="00753BC8">
          <w:rPr>
            <w:noProof/>
            <w:webHidden/>
          </w:rPr>
          <w:t>7</w:t>
        </w:r>
        <w:r>
          <w:rPr>
            <w:noProof/>
            <w:webHidden/>
          </w:rPr>
          <w:fldChar w:fldCharType="end"/>
        </w:r>
      </w:hyperlink>
    </w:p>
    <w:p w14:paraId="0D8D5BEB" w14:textId="37142A2B" w:rsidR="00AE3F06" w:rsidRDefault="00AE3F06">
      <w:pPr>
        <w:pStyle w:val="TOC1"/>
        <w:rPr>
          <w:rFonts w:asciiTheme="minorHAnsi" w:eastAsiaTheme="minorEastAsia" w:hAnsiTheme="minorHAnsi" w:cstheme="minorBidi"/>
          <w:noProof/>
          <w:kern w:val="2"/>
          <w:sz w:val="22"/>
          <w:szCs w:val="22"/>
          <w:lang w:eastAsia="en-NZ"/>
          <w14:ligatures w14:val="standardContextual"/>
        </w:rPr>
      </w:pPr>
      <w:hyperlink w:anchor="_Toc189647888" w:history="1">
        <w:r w:rsidRPr="00C80580">
          <w:rPr>
            <w:rStyle w:val="Hyperlink"/>
            <w:noProof/>
          </w:rPr>
          <w:t>Use of the Mental Health Act</w:t>
        </w:r>
        <w:r>
          <w:rPr>
            <w:noProof/>
            <w:webHidden/>
          </w:rPr>
          <w:tab/>
        </w:r>
        <w:r>
          <w:rPr>
            <w:noProof/>
            <w:webHidden/>
          </w:rPr>
          <w:fldChar w:fldCharType="begin"/>
        </w:r>
        <w:r>
          <w:rPr>
            <w:noProof/>
            <w:webHidden/>
          </w:rPr>
          <w:instrText xml:space="preserve"> PAGEREF _Toc189647888 \h </w:instrText>
        </w:r>
        <w:r>
          <w:rPr>
            <w:noProof/>
            <w:webHidden/>
          </w:rPr>
        </w:r>
        <w:r>
          <w:rPr>
            <w:noProof/>
            <w:webHidden/>
          </w:rPr>
          <w:fldChar w:fldCharType="separate"/>
        </w:r>
        <w:r w:rsidR="00753BC8">
          <w:rPr>
            <w:noProof/>
            <w:webHidden/>
          </w:rPr>
          <w:t>8</w:t>
        </w:r>
        <w:r>
          <w:rPr>
            <w:noProof/>
            <w:webHidden/>
          </w:rPr>
          <w:fldChar w:fldCharType="end"/>
        </w:r>
      </w:hyperlink>
    </w:p>
    <w:p w14:paraId="030BF07C" w14:textId="47222DA4" w:rsidR="00AE3F06" w:rsidRDefault="00AE3F06">
      <w:pPr>
        <w:pStyle w:val="TOC2"/>
        <w:rPr>
          <w:rFonts w:asciiTheme="minorHAnsi" w:eastAsiaTheme="minorEastAsia" w:hAnsiTheme="minorHAnsi" w:cstheme="minorBidi"/>
          <w:noProof/>
          <w:kern w:val="2"/>
          <w:szCs w:val="22"/>
          <w:lang w:eastAsia="en-NZ"/>
          <w14:ligatures w14:val="standardContextual"/>
        </w:rPr>
      </w:pPr>
      <w:hyperlink w:anchor="_Toc189647889" w:history="1">
        <w:r w:rsidRPr="00C80580">
          <w:rPr>
            <w:rStyle w:val="Hyperlink"/>
            <w:noProof/>
          </w:rPr>
          <w:t>Compulsory assessment</w:t>
        </w:r>
        <w:r>
          <w:rPr>
            <w:noProof/>
            <w:webHidden/>
          </w:rPr>
          <w:tab/>
        </w:r>
        <w:r>
          <w:rPr>
            <w:noProof/>
            <w:webHidden/>
          </w:rPr>
          <w:fldChar w:fldCharType="begin"/>
        </w:r>
        <w:r>
          <w:rPr>
            <w:noProof/>
            <w:webHidden/>
          </w:rPr>
          <w:instrText xml:space="preserve"> PAGEREF _Toc189647889 \h </w:instrText>
        </w:r>
        <w:r>
          <w:rPr>
            <w:noProof/>
            <w:webHidden/>
          </w:rPr>
        </w:r>
        <w:r>
          <w:rPr>
            <w:noProof/>
            <w:webHidden/>
          </w:rPr>
          <w:fldChar w:fldCharType="separate"/>
        </w:r>
        <w:r w:rsidR="00753BC8">
          <w:rPr>
            <w:noProof/>
            <w:webHidden/>
          </w:rPr>
          <w:t>9</w:t>
        </w:r>
        <w:r>
          <w:rPr>
            <w:noProof/>
            <w:webHidden/>
          </w:rPr>
          <w:fldChar w:fldCharType="end"/>
        </w:r>
      </w:hyperlink>
    </w:p>
    <w:p w14:paraId="7C157BAB" w14:textId="2E8D0190" w:rsidR="00AE3F06" w:rsidRDefault="00AE3F06">
      <w:pPr>
        <w:pStyle w:val="TOC2"/>
        <w:rPr>
          <w:rFonts w:asciiTheme="minorHAnsi" w:eastAsiaTheme="minorEastAsia" w:hAnsiTheme="minorHAnsi" w:cstheme="minorBidi"/>
          <w:noProof/>
          <w:kern w:val="2"/>
          <w:szCs w:val="22"/>
          <w:lang w:eastAsia="en-NZ"/>
          <w14:ligatures w14:val="standardContextual"/>
        </w:rPr>
      </w:pPr>
      <w:hyperlink w:anchor="_Toc189647890" w:history="1">
        <w:r w:rsidRPr="00C80580">
          <w:rPr>
            <w:rStyle w:val="Hyperlink"/>
            <w:noProof/>
          </w:rPr>
          <w:t>Compulsory treatment orders</w:t>
        </w:r>
        <w:r>
          <w:rPr>
            <w:noProof/>
            <w:webHidden/>
          </w:rPr>
          <w:tab/>
        </w:r>
        <w:r>
          <w:rPr>
            <w:noProof/>
            <w:webHidden/>
          </w:rPr>
          <w:fldChar w:fldCharType="begin"/>
        </w:r>
        <w:r>
          <w:rPr>
            <w:noProof/>
            <w:webHidden/>
          </w:rPr>
          <w:instrText xml:space="preserve"> PAGEREF _Toc189647890 \h </w:instrText>
        </w:r>
        <w:r>
          <w:rPr>
            <w:noProof/>
            <w:webHidden/>
          </w:rPr>
        </w:r>
        <w:r>
          <w:rPr>
            <w:noProof/>
            <w:webHidden/>
          </w:rPr>
          <w:fldChar w:fldCharType="separate"/>
        </w:r>
        <w:r w:rsidR="00753BC8">
          <w:rPr>
            <w:noProof/>
            <w:webHidden/>
          </w:rPr>
          <w:t>9</w:t>
        </w:r>
        <w:r>
          <w:rPr>
            <w:noProof/>
            <w:webHidden/>
          </w:rPr>
          <w:fldChar w:fldCharType="end"/>
        </w:r>
      </w:hyperlink>
    </w:p>
    <w:p w14:paraId="5F3638EC" w14:textId="73AF9EA3" w:rsidR="00AE3F06" w:rsidRDefault="00AE3F06">
      <w:pPr>
        <w:pStyle w:val="TOC2"/>
        <w:rPr>
          <w:rFonts w:asciiTheme="minorHAnsi" w:eastAsiaTheme="minorEastAsia" w:hAnsiTheme="minorHAnsi" w:cstheme="minorBidi"/>
          <w:noProof/>
          <w:kern w:val="2"/>
          <w:szCs w:val="22"/>
          <w:lang w:eastAsia="en-NZ"/>
          <w14:ligatures w14:val="standardContextual"/>
        </w:rPr>
      </w:pPr>
      <w:hyperlink w:anchor="_Toc189647891" w:history="1">
        <w:r w:rsidRPr="00C80580">
          <w:rPr>
            <w:rStyle w:val="Hyperlink"/>
            <w:noProof/>
          </w:rPr>
          <w:t>Length of time people are subject to compulsory treatment orders</w:t>
        </w:r>
        <w:r>
          <w:rPr>
            <w:noProof/>
            <w:webHidden/>
          </w:rPr>
          <w:tab/>
        </w:r>
        <w:r>
          <w:rPr>
            <w:noProof/>
            <w:webHidden/>
          </w:rPr>
          <w:fldChar w:fldCharType="begin"/>
        </w:r>
        <w:r>
          <w:rPr>
            <w:noProof/>
            <w:webHidden/>
          </w:rPr>
          <w:instrText xml:space="preserve"> PAGEREF _Toc189647891 \h </w:instrText>
        </w:r>
        <w:r>
          <w:rPr>
            <w:noProof/>
            <w:webHidden/>
          </w:rPr>
        </w:r>
        <w:r>
          <w:rPr>
            <w:noProof/>
            <w:webHidden/>
          </w:rPr>
          <w:fldChar w:fldCharType="separate"/>
        </w:r>
        <w:r w:rsidR="00753BC8">
          <w:rPr>
            <w:noProof/>
            <w:webHidden/>
          </w:rPr>
          <w:t>12</w:t>
        </w:r>
        <w:r>
          <w:rPr>
            <w:noProof/>
            <w:webHidden/>
          </w:rPr>
          <w:fldChar w:fldCharType="end"/>
        </w:r>
      </w:hyperlink>
    </w:p>
    <w:p w14:paraId="3E329292" w14:textId="629516D3" w:rsidR="00AE3F06" w:rsidRDefault="00AE3F06">
      <w:pPr>
        <w:pStyle w:val="TOC2"/>
        <w:rPr>
          <w:rFonts w:asciiTheme="minorHAnsi" w:eastAsiaTheme="minorEastAsia" w:hAnsiTheme="minorHAnsi" w:cstheme="minorBidi"/>
          <w:noProof/>
          <w:kern w:val="2"/>
          <w:szCs w:val="22"/>
          <w:lang w:eastAsia="en-NZ"/>
          <w14:ligatures w14:val="standardContextual"/>
        </w:rPr>
      </w:pPr>
      <w:hyperlink w:anchor="_Toc189647892" w:history="1">
        <w:r w:rsidRPr="00C80580">
          <w:rPr>
            <w:rStyle w:val="Hyperlink"/>
            <w:noProof/>
          </w:rPr>
          <w:t>Family and whānau consultation under the Mental Health Act</w:t>
        </w:r>
        <w:r>
          <w:rPr>
            <w:noProof/>
            <w:webHidden/>
          </w:rPr>
          <w:tab/>
        </w:r>
        <w:r>
          <w:rPr>
            <w:noProof/>
            <w:webHidden/>
          </w:rPr>
          <w:fldChar w:fldCharType="begin"/>
        </w:r>
        <w:r>
          <w:rPr>
            <w:noProof/>
            <w:webHidden/>
          </w:rPr>
          <w:instrText xml:space="preserve"> PAGEREF _Toc189647892 \h </w:instrText>
        </w:r>
        <w:r>
          <w:rPr>
            <w:noProof/>
            <w:webHidden/>
          </w:rPr>
        </w:r>
        <w:r>
          <w:rPr>
            <w:noProof/>
            <w:webHidden/>
          </w:rPr>
          <w:fldChar w:fldCharType="separate"/>
        </w:r>
        <w:r w:rsidR="00753BC8">
          <w:rPr>
            <w:noProof/>
            <w:webHidden/>
          </w:rPr>
          <w:t>14</w:t>
        </w:r>
        <w:r>
          <w:rPr>
            <w:noProof/>
            <w:webHidden/>
          </w:rPr>
          <w:fldChar w:fldCharType="end"/>
        </w:r>
      </w:hyperlink>
    </w:p>
    <w:p w14:paraId="352DC6E7" w14:textId="7AE9FD53" w:rsidR="00AE3F06" w:rsidRDefault="00AE3F06">
      <w:pPr>
        <w:pStyle w:val="TOC1"/>
        <w:rPr>
          <w:rFonts w:asciiTheme="minorHAnsi" w:eastAsiaTheme="minorEastAsia" w:hAnsiTheme="minorHAnsi" w:cstheme="minorBidi"/>
          <w:noProof/>
          <w:kern w:val="2"/>
          <w:sz w:val="22"/>
          <w:szCs w:val="22"/>
          <w:lang w:eastAsia="en-NZ"/>
          <w14:ligatures w14:val="standardContextual"/>
        </w:rPr>
      </w:pPr>
      <w:hyperlink w:anchor="_Toc189647893" w:history="1">
        <w:r w:rsidRPr="00C80580">
          <w:rPr>
            <w:rStyle w:val="Hyperlink"/>
            <w:noProof/>
          </w:rPr>
          <w:t>Indefinite compulsory treatment orders</w:t>
        </w:r>
        <w:r>
          <w:rPr>
            <w:noProof/>
            <w:webHidden/>
          </w:rPr>
          <w:tab/>
        </w:r>
        <w:r>
          <w:rPr>
            <w:noProof/>
            <w:webHidden/>
          </w:rPr>
          <w:fldChar w:fldCharType="begin"/>
        </w:r>
        <w:r>
          <w:rPr>
            <w:noProof/>
            <w:webHidden/>
          </w:rPr>
          <w:instrText xml:space="preserve"> PAGEREF _Toc189647893 \h </w:instrText>
        </w:r>
        <w:r>
          <w:rPr>
            <w:noProof/>
            <w:webHidden/>
          </w:rPr>
        </w:r>
        <w:r>
          <w:rPr>
            <w:noProof/>
            <w:webHidden/>
          </w:rPr>
          <w:fldChar w:fldCharType="separate"/>
        </w:r>
        <w:r w:rsidR="00753BC8">
          <w:rPr>
            <w:noProof/>
            <w:webHidden/>
          </w:rPr>
          <w:t>16</w:t>
        </w:r>
        <w:r>
          <w:rPr>
            <w:noProof/>
            <w:webHidden/>
          </w:rPr>
          <w:fldChar w:fldCharType="end"/>
        </w:r>
      </w:hyperlink>
    </w:p>
    <w:p w14:paraId="383459EB" w14:textId="3CBB3DC7" w:rsidR="00AE3F06" w:rsidRDefault="00AE3F06">
      <w:pPr>
        <w:pStyle w:val="TOC2"/>
        <w:rPr>
          <w:rFonts w:asciiTheme="minorHAnsi" w:eastAsiaTheme="minorEastAsia" w:hAnsiTheme="minorHAnsi" w:cstheme="minorBidi"/>
          <w:noProof/>
          <w:kern w:val="2"/>
          <w:szCs w:val="22"/>
          <w:lang w:eastAsia="en-NZ"/>
          <w14:ligatures w14:val="standardContextual"/>
        </w:rPr>
      </w:pPr>
      <w:hyperlink w:anchor="_Toc189647894" w:history="1">
        <w:r w:rsidRPr="00C80580">
          <w:rPr>
            <w:rStyle w:val="Hyperlink"/>
            <w:noProof/>
          </w:rPr>
          <w:t>Indefinite community treatment orders</w:t>
        </w:r>
        <w:r>
          <w:rPr>
            <w:noProof/>
            <w:webHidden/>
          </w:rPr>
          <w:tab/>
        </w:r>
        <w:r>
          <w:rPr>
            <w:noProof/>
            <w:webHidden/>
          </w:rPr>
          <w:fldChar w:fldCharType="begin"/>
        </w:r>
        <w:r>
          <w:rPr>
            <w:noProof/>
            <w:webHidden/>
          </w:rPr>
          <w:instrText xml:space="preserve"> PAGEREF _Toc189647894 \h </w:instrText>
        </w:r>
        <w:r>
          <w:rPr>
            <w:noProof/>
            <w:webHidden/>
          </w:rPr>
        </w:r>
        <w:r>
          <w:rPr>
            <w:noProof/>
            <w:webHidden/>
          </w:rPr>
          <w:fldChar w:fldCharType="separate"/>
        </w:r>
        <w:r w:rsidR="00753BC8">
          <w:rPr>
            <w:noProof/>
            <w:webHidden/>
          </w:rPr>
          <w:t>16</w:t>
        </w:r>
        <w:r>
          <w:rPr>
            <w:noProof/>
            <w:webHidden/>
          </w:rPr>
          <w:fldChar w:fldCharType="end"/>
        </w:r>
      </w:hyperlink>
    </w:p>
    <w:p w14:paraId="4B6A6995" w14:textId="3B1562D2" w:rsidR="00AE3F06" w:rsidRDefault="00AE3F06">
      <w:pPr>
        <w:pStyle w:val="TOC2"/>
        <w:rPr>
          <w:rFonts w:asciiTheme="minorHAnsi" w:eastAsiaTheme="minorEastAsia" w:hAnsiTheme="minorHAnsi" w:cstheme="minorBidi"/>
          <w:noProof/>
          <w:kern w:val="2"/>
          <w:szCs w:val="22"/>
          <w:lang w:eastAsia="en-NZ"/>
          <w14:ligatures w14:val="standardContextual"/>
        </w:rPr>
      </w:pPr>
      <w:hyperlink w:anchor="_Toc189647895" w:history="1">
        <w:r w:rsidRPr="00C80580">
          <w:rPr>
            <w:rStyle w:val="Hyperlink"/>
            <w:noProof/>
          </w:rPr>
          <w:t>Indefinite inpatient treatment orders</w:t>
        </w:r>
        <w:r>
          <w:rPr>
            <w:noProof/>
            <w:webHidden/>
          </w:rPr>
          <w:tab/>
        </w:r>
        <w:r>
          <w:rPr>
            <w:noProof/>
            <w:webHidden/>
          </w:rPr>
          <w:fldChar w:fldCharType="begin"/>
        </w:r>
        <w:r>
          <w:rPr>
            <w:noProof/>
            <w:webHidden/>
          </w:rPr>
          <w:instrText xml:space="preserve"> PAGEREF _Toc189647895 \h </w:instrText>
        </w:r>
        <w:r>
          <w:rPr>
            <w:noProof/>
            <w:webHidden/>
          </w:rPr>
        </w:r>
        <w:r>
          <w:rPr>
            <w:noProof/>
            <w:webHidden/>
          </w:rPr>
          <w:fldChar w:fldCharType="separate"/>
        </w:r>
        <w:r w:rsidR="00753BC8">
          <w:rPr>
            <w:noProof/>
            <w:webHidden/>
          </w:rPr>
          <w:t>19</w:t>
        </w:r>
        <w:r>
          <w:rPr>
            <w:noProof/>
            <w:webHidden/>
          </w:rPr>
          <w:fldChar w:fldCharType="end"/>
        </w:r>
      </w:hyperlink>
    </w:p>
    <w:p w14:paraId="4C615178" w14:textId="58170FB2" w:rsidR="00AE3F06" w:rsidRDefault="00AE3F06">
      <w:pPr>
        <w:pStyle w:val="TOC1"/>
        <w:rPr>
          <w:rFonts w:asciiTheme="minorHAnsi" w:eastAsiaTheme="minorEastAsia" w:hAnsiTheme="minorHAnsi" w:cstheme="minorBidi"/>
          <w:noProof/>
          <w:kern w:val="2"/>
          <w:sz w:val="22"/>
          <w:szCs w:val="22"/>
          <w:lang w:eastAsia="en-NZ"/>
          <w14:ligatures w14:val="standardContextual"/>
        </w:rPr>
      </w:pPr>
      <w:hyperlink w:anchor="_Toc189647896" w:history="1">
        <w:r w:rsidRPr="00C80580">
          <w:rPr>
            <w:rStyle w:val="Hyperlink"/>
            <w:noProof/>
          </w:rPr>
          <w:t>Seclusion</w:t>
        </w:r>
        <w:r>
          <w:rPr>
            <w:noProof/>
            <w:webHidden/>
          </w:rPr>
          <w:tab/>
        </w:r>
        <w:r>
          <w:rPr>
            <w:noProof/>
            <w:webHidden/>
          </w:rPr>
          <w:fldChar w:fldCharType="begin"/>
        </w:r>
        <w:r>
          <w:rPr>
            <w:noProof/>
            <w:webHidden/>
          </w:rPr>
          <w:instrText xml:space="preserve"> PAGEREF _Toc189647896 \h </w:instrText>
        </w:r>
        <w:r>
          <w:rPr>
            <w:noProof/>
            <w:webHidden/>
          </w:rPr>
        </w:r>
        <w:r>
          <w:rPr>
            <w:noProof/>
            <w:webHidden/>
          </w:rPr>
          <w:fldChar w:fldCharType="separate"/>
        </w:r>
        <w:r w:rsidR="00753BC8">
          <w:rPr>
            <w:noProof/>
            <w:webHidden/>
          </w:rPr>
          <w:t>21</w:t>
        </w:r>
        <w:r>
          <w:rPr>
            <w:noProof/>
            <w:webHidden/>
          </w:rPr>
          <w:fldChar w:fldCharType="end"/>
        </w:r>
      </w:hyperlink>
    </w:p>
    <w:p w14:paraId="4C7F485A" w14:textId="3953C71A" w:rsidR="00AE3F06" w:rsidRDefault="00AE3F06">
      <w:pPr>
        <w:pStyle w:val="TOC2"/>
        <w:rPr>
          <w:rFonts w:asciiTheme="minorHAnsi" w:eastAsiaTheme="minorEastAsia" w:hAnsiTheme="minorHAnsi" w:cstheme="minorBidi"/>
          <w:noProof/>
          <w:kern w:val="2"/>
          <w:szCs w:val="22"/>
          <w:lang w:eastAsia="en-NZ"/>
          <w14:ligatures w14:val="standardContextual"/>
        </w:rPr>
      </w:pPr>
      <w:hyperlink w:anchor="_Toc189647897" w:history="1">
        <w:r w:rsidRPr="00C80580">
          <w:rPr>
            <w:rStyle w:val="Hyperlink"/>
            <w:noProof/>
          </w:rPr>
          <w:t>Seclusion in Aotearoa New Zealand mental health services</w:t>
        </w:r>
        <w:r>
          <w:rPr>
            <w:noProof/>
            <w:webHidden/>
          </w:rPr>
          <w:tab/>
        </w:r>
        <w:r>
          <w:rPr>
            <w:noProof/>
            <w:webHidden/>
          </w:rPr>
          <w:fldChar w:fldCharType="begin"/>
        </w:r>
        <w:r>
          <w:rPr>
            <w:noProof/>
            <w:webHidden/>
          </w:rPr>
          <w:instrText xml:space="preserve"> PAGEREF _Toc189647897 \h </w:instrText>
        </w:r>
        <w:r>
          <w:rPr>
            <w:noProof/>
            <w:webHidden/>
          </w:rPr>
        </w:r>
        <w:r>
          <w:rPr>
            <w:noProof/>
            <w:webHidden/>
          </w:rPr>
          <w:fldChar w:fldCharType="separate"/>
        </w:r>
        <w:r w:rsidR="00753BC8">
          <w:rPr>
            <w:noProof/>
            <w:webHidden/>
          </w:rPr>
          <w:t>23</w:t>
        </w:r>
        <w:r>
          <w:rPr>
            <w:noProof/>
            <w:webHidden/>
          </w:rPr>
          <w:fldChar w:fldCharType="end"/>
        </w:r>
      </w:hyperlink>
    </w:p>
    <w:p w14:paraId="4A0783C7" w14:textId="42506328" w:rsidR="00AE3F06" w:rsidRDefault="00AE3F06">
      <w:pPr>
        <w:pStyle w:val="TOC2"/>
        <w:rPr>
          <w:rFonts w:asciiTheme="minorHAnsi" w:eastAsiaTheme="minorEastAsia" w:hAnsiTheme="minorHAnsi" w:cstheme="minorBidi"/>
          <w:noProof/>
          <w:kern w:val="2"/>
          <w:szCs w:val="22"/>
          <w:lang w:eastAsia="en-NZ"/>
          <w14:ligatures w14:val="standardContextual"/>
        </w:rPr>
      </w:pPr>
      <w:hyperlink w:anchor="_Toc189647898" w:history="1">
        <w:r w:rsidRPr="00C80580">
          <w:rPr>
            <w:rStyle w:val="Hyperlink"/>
            <w:noProof/>
          </w:rPr>
          <w:t>Use of seclusion by district</w:t>
        </w:r>
        <w:r>
          <w:rPr>
            <w:noProof/>
            <w:webHidden/>
          </w:rPr>
          <w:tab/>
        </w:r>
        <w:r>
          <w:rPr>
            <w:noProof/>
            <w:webHidden/>
          </w:rPr>
          <w:fldChar w:fldCharType="begin"/>
        </w:r>
        <w:r>
          <w:rPr>
            <w:noProof/>
            <w:webHidden/>
          </w:rPr>
          <w:instrText xml:space="preserve"> PAGEREF _Toc189647898 \h </w:instrText>
        </w:r>
        <w:r>
          <w:rPr>
            <w:noProof/>
            <w:webHidden/>
          </w:rPr>
        </w:r>
        <w:r>
          <w:rPr>
            <w:noProof/>
            <w:webHidden/>
          </w:rPr>
          <w:fldChar w:fldCharType="separate"/>
        </w:r>
        <w:r w:rsidR="00753BC8">
          <w:rPr>
            <w:noProof/>
            <w:webHidden/>
          </w:rPr>
          <w:t>26</w:t>
        </w:r>
        <w:r>
          <w:rPr>
            <w:noProof/>
            <w:webHidden/>
          </w:rPr>
          <w:fldChar w:fldCharType="end"/>
        </w:r>
      </w:hyperlink>
    </w:p>
    <w:p w14:paraId="1D575664" w14:textId="04F5F8A7" w:rsidR="00AE3F06" w:rsidRDefault="00AE3F06">
      <w:pPr>
        <w:pStyle w:val="TOC2"/>
        <w:rPr>
          <w:rFonts w:asciiTheme="minorHAnsi" w:eastAsiaTheme="minorEastAsia" w:hAnsiTheme="minorHAnsi" w:cstheme="minorBidi"/>
          <w:noProof/>
          <w:kern w:val="2"/>
          <w:szCs w:val="22"/>
          <w:lang w:eastAsia="en-NZ"/>
          <w14:ligatures w14:val="standardContextual"/>
        </w:rPr>
      </w:pPr>
      <w:hyperlink w:anchor="_Toc189647899" w:history="1">
        <w:r w:rsidRPr="00C80580">
          <w:rPr>
            <w:rStyle w:val="Hyperlink"/>
            <w:noProof/>
          </w:rPr>
          <w:t>Seclusion and ethnicity</w:t>
        </w:r>
        <w:r>
          <w:rPr>
            <w:noProof/>
            <w:webHidden/>
          </w:rPr>
          <w:tab/>
        </w:r>
        <w:r>
          <w:rPr>
            <w:noProof/>
            <w:webHidden/>
          </w:rPr>
          <w:fldChar w:fldCharType="begin"/>
        </w:r>
        <w:r>
          <w:rPr>
            <w:noProof/>
            <w:webHidden/>
          </w:rPr>
          <w:instrText xml:space="preserve"> PAGEREF _Toc189647899 \h </w:instrText>
        </w:r>
        <w:r>
          <w:rPr>
            <w:noProof/>
            <w:webHidden/>
          </w:rPr>
        </w:r>
        <w:r>
          <w:rPr>
            <w:noProof/>
            <w:webHidden/>
          </w:rPr>
          <w:fldChar w:fldCharType="separate"/>
        </w:r>
        <w:r w:rsidR="00753BC8">
          <w:rPr>
            <w:noProof/>
            <w:webHidden/>
          </w:rPr>
          <w:t>28</w:t>
        </w:r>
        <w:r>
          <w:rPr>
            <w:noProof/>
            <w:webHidden/>
          </w:rPr>
          <w:fldChar w:fldCharType="end"/>
        </w:r>
      </w:hyperlink>
    </w:p>
    <w:p w14:paraId="3A99FFCA" w14:textId="16052DD7" w:rsidR="00AE3F06" w:rsidRDefault="00AE3F06">
      <w:pPr>
        <w:pStyle w:val="TOC2"/>
        <w:rPr>
          <w:rFonts w:asciiTheme="minorHAnsi" w:eastAsiaTheme="minorEastAsia" w:hAnsiTheme="minorHAnsi" w:cstheme="minorBidi"/>
          <w:noProof/>
          <w:kern w:val="2"/>
          <w:szCs w:val="22"/>
          <w:lang w:eastAsia="en-NZ"/>
          <w14:ligatures w14:val="standardContextual"/>
        </w:rPr>
      </w:pPr>
      <w:hyperlink w:anchor="_Toc189647900" w:history="1">
        <w:r w:rsidRPr="00C80580">
          <w:rPr>
            <w:rStyle w:val="Hyperlink"/>
            <w:noProof/>
          </w:rPr>
          <w:t>Seclusion in forensic units</w:t>
        </w:r>
        <w:r>
          <w:rPr>
            <w:noProof/>
            <w:webHidden/>
          </w:rPr>
          <w:tab/>
        </w:r>
        <w:r>
          <w:rPr>
            <w:noProof/>
            <w:webHidden/>
          </w:rPr>
          <w:fldChar w:fldCharType="begin"/>
        </w:r>
        <w:r>
          <w:rPr>
            <w:noProof/>
            <w:webHidden/>
          </w:rPr>
          <w:instrText xml:space="preserve"> PAGEREF _Toc189647900 \h </w:instrText>
        </w:r>
        <w:r>
          <w:rPr>
            <w:noProof/>
            <w:webHidden/>
          </w:rPr>
        </w:r>
        <w:r>
          <w:rPr>
            <w:noProof/>
            <w:webHidden/>
          </w:rPr>
          <w:fldChar w:fldCharType="separate"/>
        </w:r>
        <w:r w:rsidR="00753BC8">
          <w:rPr>
            <w:noProof/>
            <w:webHidden/>
          </w:rPr>
          <w:t>31</w:t>
        </w:r>
        <w:r>
          <w:rPr>
            <w:noProof/>
            <w:webHidden/>
          </w:rPr>
          <w:fldChar w:fldCharType="end"/>
        </w:r>
      </w:hyperlink>
    </w:p>
    <w:p w14:paraId="40F6AA78" w14:textId="57F2B385" w:rsidR="00AE3F06" w:rsidRDefault="00AE3F06">
      <w:pPr>
        <w:pStyle w:val="TOC2"/>
        <w:rPr>
          <w:rFonts w:asciiTheme="minorHAnsi" w:eastAsiaTheme="minorEastAsia" w:hAnsiTheme="minorHAnsi" w:cstheme="minorBidi"/>
          <w:noProof/>
          <w:kern w:val="2"/>
          <w:szCs w:val="22"/>
          <w:lang w:eastAsia="en-NZ"/>
          <w14:ligatures w14:val="standardContextual"/>
        </w:rPr>
      </w:pPr>
      <w:hyperlink w:anchor="_Toc189647901" w:history="1">
        <w:r w:rsidRPr="00C80580">
          <w:rPr>
            <w:rStyle w:val="Hyperlink"/>
            <w:noProof/>
          </w:rPr>
          <w:t>People with intellectual disabilities cared for in an intellectual disability forensic service</w:t>
        </w:r>
        <w:r>
          <w:rPr>
            <w:noProof/>
            <w:webHidden/>
          </w:rPr>
          <w:tab/>
        </w:r>
        <w:r>
          <w:rPr>
            <w:noProof/>
            <w:webHidden/>
          </w:rPr>
          <w:fldChar w:fldCharType="begin"/>
        </w:r>
        <w:r>
          <w:rPr>
            <w:noProof/>
            <w:webHidden/>
          </w:rPr>
          <w:instrText xml:space="preserve"> PAGEREF _Toc189647901 \h </w:instrText>
        </w:r>
        <w:r>
          <w:rPr>
            <w:noProof/>
            <w:webHidden/>
          </w:rPr>
        </w:r>
        <w:r>
          <w:rPr>
            <w:noProof/>
            <w:webHidden/>
          </w:rPr>
          <w:fldChar w:fldCharType="separate"/>
        </w:r>
        <w:r w:rsidR="00753BC8">
          <w:rPr>
            <w:noProof/>
            <w:webHidden/>
          </w:rPr>
          <w:t>32</w:t>
        </w:r>
        <w:r>
          <w:rPr>
            <w:noProof/>
            <w:webHidden/>
          </w:rPr>
          <w:fldChar w:fldCharType="end"/>
        </w:r>
      </w:hyperlink>
    </w:p>
    <w:p w14:paraId="51F69F60" w14:textId="1D7AB688" w:rsidR="00AE3F06" w:rsidRDefault="00AE3F06">
      <w:pPr>
        <w:pStyle w:val="TOC1"/>
        <w:rPr>
          <w:rFonts w:asciiTheme="minorHAnsi" w:eastAsiaTheme="minorEastAsia" w:hAnsiTheme="minorHAnsi" w:cstheme="minorBidi"/>
          <w:noProof/>
          <w:kern w:val="2"/>
          <w:sz w:val="22"/>
          <w:szCs w:val="22"/>
          <w:lang w:eastAsia="en-NZ"/>
          <w14:ligatures w14:val="standardContextual"/>
        </w:rPr>
      </w:pPr>
      <w:hyperlink w:anchor="_Toc189647902" w:history="1">
        <w:r w:rsidRPr="00C80580">
          <w:rPr>
            <w:rStyle w:val="Hyperlink"/>
            <w:noProof/>
          </w:rPr>
          <w:t>Special and restricted patients</w:t>
        </w:r>
        <w:r>
          <w:rPr>
            <w:noProof/>
            <w:webHidden/>
          </w:rPr>
          <w:tab/>
        </w:r>
        <w:r>
          <w:rPr>
            <w:noProof/>
            <w:webHidden/>
          </w:rPr>
          <w:fldChar w:fldCharType="begin"/>
        </w:r>
        <w:r>
          <w:rPr>
            <w:noProof/>
            <w:webHidden/>
          </w:rPr>
          <w:instrText xml:space="preserve"> PAGEREF _Toc189647902 \h </w:instrText>
        </w:r>
        <w:r>
          <w:rPr>
            <w:noProof/>
            <w:webHidden/>
          </w:rPr>
        </w:r>
        <w:r>
          <w:rPr>
            <w:noProof/>
            <w:webHidden/>
          </w:rPr>
          <w:fldChar w:fldCharType="separate"/>
        </w:r>
        <w:r w:rsidR="00753BC8">
          <w:rPr>
            <w:noProof/>
            <w:webHidden/>
          </w:rPr>
          <w:t>34</w:t>
        </w:r>
        <w:r>
          <w:rPr>
            <w:noProof/>
            <w:webHidden/>
          </w:rPr>
          <w:fldChar w:fldCharType="end"/>
        </w:r>
      </w:hyperlink>
    </w:p>
    <w:p w14:paraId="7D4D0149" w14:textId="69883B40" w:rsidR="00AE3F06" w:rsidRDefault="00AE3F06">
      <w:pPr>
        <w:pStyle w:val="TOC2"/>
        <w:rPr>
          <w:rFonts w:asciiTheme="minorHAnsi" w:eastAsiaTheme="minorEastAsia" w:hAnsiTheme="minorHAnsi" w:cstheme="minorBidi"/>
          <w:noProof/>
          <w:kern w:val="2"/>
          <w:szCs w:val="22"/>
          <w:lang w:eastAsia="en-NZ"/>
          <w14:ligatures w14:val="standardContextual"/>
        </w:rPr>
      </w:pPr>
      <w:hyperlink w:anchor="_Toc189647903" w:history="1">
        <w:r w:rsidRPr="00C80580">
          <w:rPr>
            <w:rStyle w:val="Hyperlink"/>
            <w:noProof/>
          </w:rPr>
          <w:t>Extended forensic care special patients</w:t>
        </w:r>
        <w:r>
          <w:rPr>
            <w:noProof/>
            <w:webHidden/>
          </w:rPr>
          <w:tab/>
        </w:r>
        <w:r>
          <w:rPr>
            <w:noProof/>
            <w:webHidden/>
          </w:rPr>
          <w:fldChar w:fldCharType="begin"/>
        </w:r>
        <w:r>
          <w:rPr>
            <w:noProof/>
            <w:webHidden/>
          </w:rPr>
          <w:instrText xml:space="preserve"> PAGEREF _Toc189647903 \h </w:instrText>
        </w:r>
        <w:r>
          <w:rPr>
            <w:noProof/>
            <w:webHidden/>
          </w:rPr>
        </w:r>
        <w:r>
          <w:rPr>
            <w:noProof/>
            <w:webHidden/>
          </w:rPr>
          <w:fldChar w:fldCharType="separate"/>
        </w:r>
        <w:r w:rsidR="00753BC8">
          <w:rPr>
            <w:noProof/>
            <w:webHidden/>
          </w:rPr>
          <w:t>35</w:t>
        </w:r>
        <w:r>
          <w:rPr>
            <w:noProof/>
            <w:webHidden/>
          </w:rPr>
          <w:fldChar w:fldCharType="end"/>
        </w:r>
      </w:hyperlink>
    </w:p>
    <w:p w14:paraId="0E373E71" w14:textId="3F2BB9DE" w:rsidR="00AE3F06" w:rsidRDefault="00AE3F06">
      <w:pPr>
        <w:pStyle w:val="TOC2"/>
        <w:rPr>
          <w:rFonts w:asciiTheme="minorHAnsi" w:eastAsiaTheme="minorEastAsia" w:hAnsiTheme="minorHAnsi" w:cstheme="minorBidi"/>
          <w:noProof/>
          <w:kern w:val="2"/>
          <w:szCs w:val="22"/>
          <w:lang w:eastAsia="en-NZ"/>
          <w14:ligatures w14:val="standardContextual"/>
        </w:rPr>
      </w:pPr>
      <w:hyperlink w:anchor="_Toc189647904" w:history="1">
        <w:r w:rsidRPr="00C80580">
          <w:rPr>
            <w:rStyle w:val="Hyperlink"/>
            <w:noProof/>
          </w:rPr>
          <w:t>Short-term forensic care special patients</w:t>
        </w:r>
        <w:r>
          <w:rPr>
            <w:noProof/>
            <w:webHidden/>
          </w:rPr>
          <w:tab/>
        </w:r>
        <w:r>
          <w:rPr>
            <w:noProof/>
            <w:webHidden/>
          </w:rPr>
          <w:fldChar w:fldCharType="begin"/>
        </w:r>
        <w:r>
          <w:rPr>
            <w:noProof/>
            <w:webHidden/>
          </w:rPr>
          <w:instrText xml:space="preserve"> PAGEREF _Toc189647904 \h </w:instrText>
        </w:r>
        <w:r>
          <w:rPr>
            <w:noProof/>
            <w:webHidden/>
          </w:rPr>
        </w:r>
        <w:r>
          <w:rPr>
            <w:noProof/>
            <w:webHidden/>
          </w:rPr>
          <w:fldChar w:fldCharType="separate"/>
        </w:r>
        <w:r w:rsidR="00753BC8">
          <w:rPr>
            <w:noProof/>
            <w:webHidden/>
          </w:rPr>
          <w:t>35</w:t>
        </w:r>
        <w:r>
          <w:rPr>
            <w:noProof/>
            <w:webHidden/>
          </w:rPr>
          <w:fldChar w:fldCharType="end"/>
        </w:r>
      </w:hyperlink>
    </w:p>
    <w:p w14:paraId="78631E55" w14:textId="3B0FB627" w:rsidR="00AE3F06" w:rsidRDefault="00AE3F06">
      <w:pPr>
        <w:pStyle w:val="TOC2"/>
        <w:rPr>
          <w:rFonts w:asciiTheme="minorHAnsi" w:eastAsiaTheme="minorEastAsia" w:hAnsiTheme="minorHAnsi" w:cstheme="minorBidi"/>
          <w:noProof/>
          <w:kern w:val="2"/>
          <w:szCs w:val="22"/>
          <w:lang w:eastAsia="en-NZ"/>
          <w14:ligatures w14:val="standardContextual"/>
        </w:rPr>
      </w:pPr>
      <w:hyperlink w:anchor="_Toc189647905" w:history="1">
        <w:r w:rsidRPr="00C80580">
          <w:rPr>
            <w:rStyle w:val="Hyperlink"/>
            <w:noProof/>
          </w:rPr>
          <w:t>Gender, age and ethnicity of special patients</w:t>
        </w:r>
        <w:r>
          <w:rPr>
            <w:noProof/>
            <w:webHidden/>
          </w:rPr>
          <w:tab/>
        </w:r>
        <w:r>
          <w:rPr>
            <w:noProof/>
            <w:webHidden/>
          </w:rPr>
          <w:fldChar w:fldCharType="begin"/>
        </w:r>
        <w:r>
          <w:rPr>
            <w:noProof/>
            <w:webHidden/>
          </w:rPr>
          <w:instrText xml:space="preserve"> PAGEREF _Toc189647905 \h </w:instrText>
        </w:r>
        <w:r>
          <w:rPr>
            <w:noProof/>
            <w:webHidden/>
          </w:rPr>
        </w:r>
        <w:r>
          <w:rPr>
            <w:noProof/>
            <w:webHidden/>
          </w:rPr>
          <w:fldChar w:fldCharType="separate"/>
        </w:r>
        <w:r w:rsidR="00753BC8">
          <w:rPr>
            <w:noProof/>
            <w:webHidden/>
          </w:rPr>
          <w:t>37</w:t>
        </w:r>
        <w:r>
          <w:rPr>
            <w:noProof/>
            <w:webHidden/>
          </w:rPr>
          <w:fldChar w:fldCharType="end"/>
        </w:r>
      </w:hyperlink>
    </w:p>
    <w:p w14:paraId="0D8FA64E" w14:textId="784881CB" w:rsidR="00AE3F06" w:rsidRDefault="00AE3F06">
      <w:pPr>
        <w:pStyle w:val="TOC2"/>
        <w:rPr>
          <w:rFonts w:asciiTheme="minorHAnsi" w:eastAsiaTheme="minorEastAsia" w:hAnsiTheme="minorHAnsi" w:cstheme="minorBidi"/>
          <w:noProof/>
          <w:kern w:val="2"/>
          <w:szCs w:val="22"/>
          <w:lang w:eastAsia="en-NZ"/>
          <w14:ligatures w14:val="standardContextual"/>
        </w:rPr>
      </w:pPr>
      <w:hyperlink w:anchor="_Toc189647906" w:history="1">
        <w:r w:rsidRPr="00C80580">
          <w:rPr>
            <w:rStyle w:val="Hyperlink"/>
            <w:noProof/>
          </w:rPr>
          <w:t>Decisions about leave and change of legal status for special and restricted patients</w:t>
        </w:r>
        <w:r>
          <w:rPr>
            <w:noProof/>
            <w:webHidden/>
          </w:rPr>
          <w:tab/>
        </w:r>
        <w:r>
          <w:rPr>
            <w:noProof/>
            <w:webHidden/>
          </w:rPr>
          <w:fldChar w:fldCharType="begin"/>
        </w:r>
        <w:r>
          <w:rPr>
            <w:noProof/>
            <w:webHidden/>
          </w:rPr>
          <w:instrText xml:space="preserve"> PAGEREF _Toc189647906 \h </w:instrText>
        </w:r>
        <w:r>
          <w:rPr>
            <w:noProof/>
            <w:webHidden/>
          </w:rPr>
        </w:r>
        <w:r>
          <w:rPr>
            <w:noProof/>
            <w:webHidden/>
          </w:rPr>
          <w:fldChar w:fldCharType="separate"/>
        </w:r>
        <w:r w:rsidR="00753BC8">
          <w:rPr>
            <w:noProof/>
            <w:webHidden/>
          </w:rPr>
          <w:t>39</w:t>
        </w:r>
        <w:r>
          <w:rPr>
            <w:noProof/>
            <w:webHidden/>
          </w:rPr>
          <w:fldChar w:fldCharType="end"/>
        </w:r>
      </w:hyperlink>
    </w:p>
    <w:p w14:paraId="5AEBC8E3" w14:textId="2398DD4D" w:rsidR="00AE3F06" w:rsidRDefault="00AE3F06">
      <w:pPr>
        <w:pStyle w:val="TOC1"/>
        <w:rPr>
          <w:rFonts w:asciiTheme="minorHAnsi" w:eastAsiaTheme="minorEastAsia" w:hAnsiTheme="minorHAnsi" w:cstheme="minorBidi"/>
          <w:noProof/>
          <w:kern w:val="2"/>
          <w:sz w:val="22"/>
          <w:szCs w:val="22"/>
          <w:lang w:eastAsia="en-NZ"/>
          <w14:ligatures w14:val="standardContextual"/>
        </w:rPr>
      </w:pPr>
      <w:hyperlink w:anchor="_Toc189647907" w:history="1">
        <w:r w:rsidRPr="00C80580">
          <w:rPr>
            <w:rStyle w:val="Hyperlink"/>
            <w:noProof/>
          </w:rPr>
          <w:t>Mental health and addiction adverse event reporting</w:t>
        </w:r>
        <w:r>
          <w:rPr>
            <w:noProof/>
            <w:webHidden/>
          </w:rPr>
          <w:tab/>
        </w:r>
        <w:r>
          <w:rPr>
            <w:noProof/>
            <w:webHidden/>
          </w:rPr>
          <w:fldChar w:fldCharType="begin"/>
        </w:r>
        <w:r>
          <w:rPr>
            <w:noProof/>
            <w:webHidden/>
          </w:rPr>
          <w:instrText xml:space="preserve"> PAGEREF _Toc189647907 \h </w:instrText>
        </w:r>
        <w:r>
          <w:rPr>
            <w:noProof/>
            <w:webHidden/>
          </w:rPr>
        </w:r>
        <w:r>
          <w:rPr>
            <w:noProof/>
            <w:webHidden/>
          </w:rPr>
          <w:fldChar w:fldCharType="separate"/>
        </w:r>
        <w:r w:rsidR="00753BC8">
          <w:rPr>
            <w:noProof/>
            <w:webHidden/>
          </w:rPr>
          <w:t>41</w:t>
        </w:r>
        <w:r>
          <w:rPr>
            <w:noProof/>
            <w:webHidden/>
          </w:rPr>
          <w:fldChar w:fldCharType="end"/>
        </w:r>
      </w:hyperlink>
    </w:p>
    <w:p w14:paraId="2286A267" w14:textId="408434C8" w:rsidR="00AE3F06" w:rsidRDefault="00AE3F06">
      <w:pPr>
        <w:pStyle w:val="TOC2"/>
        <w:rPr>
          <w:rFonts w:asciiTheme="minorHAnsi" w:eastAsiaTheme="minorEastAsia" w:hAnsiTheme="minorHAnsi" w:cstheme="minorBidi"/>
          <w:noProof/>
          <w:kern w:val="2"/>
          <w:szCs w:val="22"/>
          <w:lang w:eastAsia="en-NZ"/>
          <w14:ligatures w14:val="standardContextual"/>
        </w:rPr>
      </w:pPr>
      <w:hyperlink w:anchor="_Toc189647908" w:history="1">
        <w:r w:rsidRPr="00C80580">
          <w:rPr>
            <w:rStyle w:val="Hyperlink"/>
            <w:noProof/>
          </w:rPr>
          <w:t>Deaths reported to the Director of Mental Health</w:t>
        </w:r>
        <w:r>
          <w:rPr>
            <w:noProof/>
            <w:webHidden/>
          </w:rPr>
          <w:tab/>
        </w:r>
        <w:r>
          <w:rPr>
            <w:noProof/>
            <w:webHidden/>
          </w:rPr>
          <w:fldChar w:fldCharType="begin"/>
        </w:r>
        <w:r>
          <w:rPr>
            <w:noProof/>
            <w:webHidden/>
          </w:rPr>
          <w:instrText xml:space="preserve"> PAGEREF _Toc189647908 \h </w:instrText>
        </w:r>
        <w:r>
          <w:rPr>
            <w:noProof/>
            <w:webHidden/>
          </w:rPr>
        </w:r>
        <w:r>
          <w:rPr>
            <w:noProof/>
            <w:webHidden/>
          </w:rPr>
          <w:fldChar w:fldCharType="separate"/>
        </w:r>
        <w:r w:rsidR="00753BC8">
          <w:rPr>
            <w:noProof/>
            <w:webHidden/>
          </w:rPr>
          <w:t>42</w:t>
        </w:r>
        <w:r>
          <w:rPr>
            <w:noProof/>
            <w:webHidden/>
          </w:rPr>
          <w:fldChar w:fldCharType="end"/>
        </w:r>
      </w:hyperlink>
    </w:p>
    <w:p w14:paraId="22111F83" w14:textId="624A6079" w:rsidR="00AE3F06" w:rsidRDefault="00AE3F06">
      <w:pPr>
        <w:pStyle w:val="TOC2"/>
        <w:rPr>
          <w:rFonts w:asciiTheme="minorHAnsi" w:eastAsiaTheme="minorEastAsia" w:hAnsiTheme="minorHAnsi" w:cstheme="minorBidi"/>
          <w:noProof/>
          <w:kern w:val="2"/>
          <w:szCs w:val="22"/>
          <w:lang w:eastAsia="en-NZ"/>
          <w14:ligatures w14:val="standardContextual"/>
        </w:rPr>
      </w:pPr>
      <w:hyperlink w:anchor="_Toc189647909" w:history="1">
        <w:r w:rsidRPr="00C80580">
          <w:rPr>
            <w:rStyle w:val="Hyperlink"/>
            <w:noProof/>
          </w:rPr>
          <w:t>Section 95 inquiries and section 99 inspections</w:t>
        </w:r>
        <w:r>
          <w:rPr>
            <w:noProof/>
            <w:webHidden/>
          </w:rPr>
          <w:tab/>
        </w:r>
        <w:r>
          <w:rPr>
            <w:noProof/>
            <w:webHidden/>
          </w:rPr>
          <w:fldChar w:fldCharType="begin"/>
        </w:r>
        <w:r>
          <w:rPr>
            <w:noProof/>
            <w:webHidden/>
          </w:rPr>
          <w:instrText xml:space="preserve"> PAGEREF _Toc189647909 \h </w:instrText>
        </w:r>
        <w:r>
          <w:rPr>
            <w:noProof/>
            <w:webHidden/>
          </w:rPr>
        </w:r>
        <w:r>
          <w:rPr>
            <w:noProof/>
            <w:webHidden/>
          </w:rPr>
          <w:fldChar w:fldCharType="separate"/>
        </w:r>
        <w:r w:rsidR="00753BC8">
          <w:rPr>
            <w:noProof/>
            <w:webHidden/>
          </w:rPr>
          <w:t>42</w:t>
        </w:r>
        <w:r>
          <w:rPr>
            <w:noProof/>
            <w:webHidden/>
          </w:rPr>
          <w:fldChar w:fldCharType="end"/>
        </w:r>
      </w:hyperlink>
    </w:p>
    <w:p w14:paraId="05F2B31E" w14:textId="4505067F" w:rsidR="00AE3F06" w:rsidRDefault="00AE3F06">
      <w:pPr>
        <w:pStyle w:val="TOC1"/>
        <w:rPr>
          <w:rFonts w:asciiTheme="minorHAnsi" w:eastAsiaTheme="minorEastAsia" w:hAnsiTheme="minorHAnsi" w:cstheme="minorBidi"/>
          <w:noProof/>
          <w:kern w:val="2"/>
          <w:sz w:val="22"/>
          <w:szCs w:val="22"/>
          <w:lang w:eastAsia="en-NZ"/>
          <w14:ligatures w14:val="standardContextual"/>
        </w:rPr>
      </w:pPr>
      <w:hyperlink w:anchor="_Toc189647910" w:history="1">
        <w:r w:rsidRPr="00C80580">
          <w:rPr>
            <w:rStyle w:val="Hyperlink"/>
            <w:noProof/>
          </w:rPr>
          <w:t>Electroconvulsive therapy</w:t>
        </w:r>
        <w:r>
          <w:rPr>
            <w:noProof/>
            <w:webHidden/>
          </w:rPr>
          <w:tab/>
        </w:r>
        <w:r>
          <w:rPr>
            <w:noProof/>
            <w:webHidden/>
          </w:rPr>
          <w:fldChar w:fldCharType="begin"/>
        </w:r>
        <w:r>
          <w:rPr>
            <w:noProof/>
            <w:webHidden/>
          </w:rPr>
          <w:instrText xml:space="preserve"> PAGEREF _Toc189647910 \h </w:instrText>
        </w:r>
        <w:r>
          <w:rPr>
            <w:noProof/>
            <w:webHidden/>
          </w:rPr>
        </w:r>
        <w:r>
          <w:rPr>
            <w:noProof/>
            <w:webHidden/>
          </w:rPr>
          <w:fldChar w:fldCharType="separate"/>
        </w:r>
        <w:r w:rsidR="00753BC8">
          <w:rPr>
            <w:noProof/>
            <w:webHidden/>
          </w:rPr>
          <w:t>44</w:t>
        </w:r>
        <w:r>
          <w:rPr>
            <w:noProof/>
            <w:webHidden/>
          </w:rPr>
          <w:fldChar w:fldCharType="end"/>
        </w:r>
      </w:hyperlink>
    </w:p>
    <w:p w14:paraId="4ACE4729" w14:textId="104DA9DA" w:rsidR="00AE3F06" w:rsidRDefault="00AE3F06">
      <w:pPr>
        <w:pStyle w:val="TOC2"/>
        <w:rPr>
          <w:rFonts w:asciiTheme="minorHAnsi" w:eastAsiaTheme="minorEastAsia" w:hAnsiTheme="minorHAnsi" w:cstheme="minorBidi"/>
          <w:noProof/>
          <w:kern w:val="2"/>
          <w:szCs w:val="22"/>
          <w:lang w:eastAsia="en-NZ"/>
          <w14:ligatures w14:val="standardContextual"/>
        </w:rPr>
      </w:pPr>
      <w:hyperlink w:anchor="_Toc189647911" w:history="1">
        <w:r w:rsidRPr="00C80580">
          <w:rPr>
            <w:rStyle w:val="Hyperlink"/>
            <w:noProof/>
          </w:rPr>
          <w:t>Number of people receiving ECT</w:t>
        </w:r>
        <w:r>
          <w:rPr>
            <w:noProof/>
            <w:webHidden/>
          </w:rPr>
          <w:tab/>
        </w:r>
        <w:r>
          <w:rPr>
            <w:noProof/>
            <w:webHidden/>
          </w:rPr>
          <w:fldChar w:fldCharType="begin"/>
        </w:r>
        <w:r>
          <w:rPr>
            <w:noProof/>
            <w:webHidden/>
          </w:rPr>
          <w:instrText xml:space="preserve"> PAGEREF _Toc189647911 \h </w:instrText>
        </w:r>
        <w:r>
          <w:rPr>
            <w:noProof/>
            <w:webHidden/>
          </w:rPr>
        </w:r>
        <w:r>
          <w:rPr>
            <w:noProof/>
            <w:webHidden/>
          </w:rPr>
          <w:fldChar w:fldCharType="separate"/>
        </w:r>
        <w:r w:rsidR="00753BC8">
          <w:rPr>
            <w:noProof/>
            <w:webHidden/>
          </w:rPr>
          <w:t>44</w:t>
        </w:r>
        <w:r>
          <w:rPr>
            <w:noProof/>
            <w:webHidden/>
          </w:rPr>
          <w:fldChar w:fldCharType="end"/>
        </w:r>
      </w:hyperlink>
    </w:p>
    <w:p w14:paraId="668CD1C0" w14:textId="6FD5F4D8" w:rsidR="00AE3F06" w:rsidRDefault="00AE3F06">
      <w:pPr>
        <w:pStyle w:val="TOC2"/>
        <w:rPr>
          <w:rFonts w:asciiTheme="minorHAnsi" w:eastAsiaTheme="minorEastAsia" w:hAnsiTheme="minorHAnsi" w:cstheme="minorBidi"/>
          <w:noProof/>
          <w:kern w:val="2"/>
          <w:szCs w:val="22"/>
          <w:lang w:eastAsia="en-NZ"/>
          <w14:ligatures w14:val="standardContextual"/>
        </w:rPr>
      </w:pPr>
      <w:hyperlink w:anchor="_Toc189647912" w:history="1">
        <w:r w:rsidRPr="00C80580">
          <w:rPr>
            <w:rStyle w:val="Hyperlink"/>
            <w:noProof/>
          </w:rPr>
          <w:t>ECT by region</w:t>
        </w:r>
        <w:r>
          <w:rPr>
            <w:noProof/>
            <w:webHidden/>
          </w:rPr>
          <w:tab/>
        </w:r>
        <w:r>
          <w:rPr>
            <w:noProof/>
            <w:webHidden/>
          </w:rPr>
          <w:fldChar w:fldCharType="begin"/>
        </w:r>
        <w:r>
          <w:rPr>
            <w:noProof/>
            <w:webHidden/>
          </w:rPr>
          <w:instrText xml:space="preserve"> PAGEREF _Toc189647912 \h </w:instrText>
        </w:r>
        <w:r>
          <w:rPr>
            <w:noProof/>
            <w:webHidden/>
          </w:rPr>
        </w:r>
        <w:r>
          <w:rPr>
            <w:noProof/>
            <w:webHidden/>
          </w:rPr>
          <w:fldChar w:fldCharType="separate"/>
        </w:r>
        <w:r w:rsidR="00753BC8">
          <w:rPr>
            <w:noProof/>
            <w:webHidden/>
          </w:rPr>
          <w:t>45</w:t>
        </w:r>
        <w:r>
          <w:rPr>
            <w:noProof/>
            <w:webHidden/>
          </w:rPr>
          <w:fldChar w:fldCharType="end"/>
        </w:r>
      </w:hyperlink>
    </w:p>
    <w:p w14:paraId="43579522" w14:textId="0512A51E" w:rsidR="00AE3F06" w:rsidRDefault="00AE3F06">
      <w:pPr>
        <w:pStyle w:val="TOC2"/>
        <w:rPr>
          <w:rFonts w:asciiTheme="minorHAnsi" w:eastAsiaTheme="minorEastAsia" w:hAnsiTheme="minorHAnsi" w:cstheme="minorBidi"/>
          <w:noProof/>
          <w:kern w:val="2"/>
          <w:szCs w:val="22"/>
          <w:lang w:eastAsia="en-NZ"/>
          <w14:ligatures w14:val="standardContextual"/>
        </w:rPr>
      </w:pPr>
      <w:hyperlink w:anchor="_Toc189647913" w:history="1">
        <w:r w:rsidRPr="00C80580">
          <w:rPr>
            <w:rStyle w:val="Hyperlink"/>
            <w:noProof/>
          </w:rPr>
          <w:t>Age and gender of people receiving ECT</w:t>
        </w:r>
        <w:r>
          <w:rPr>
            <w:noProof/>
            <w:webHidden/>
          </w:rPr>
          <w:tab/>
        </w:r>
        <w:r>
          <w:rPr>
            <w:noProof/>
            <w:webHidden/>
          </w:rPr>
          <w:fldChar w:fldCharType="begin"/>
        </w:r>
        <w:r>
          <w:rPr>
            <w:noProof/>
            <w:webHidden/>
          </w:rPr>
          <w:instrText xml:space="preserve"> PAGEREF _Toc189647913 \h </w:instrText>
        </w:r>
        <w:r>
          <w:rPr>
            <w:noProof/>
            <w:webHidden/>
          </w:rPr>
        </w:r>
        <w:r>
          <w:rPr>
            <w:noProof/>
            <w:webHidden/>
          </w:rPr>
          <w:fldChar w:fldCharType="separate"/>
        </w:r>
        <w:r w:rsidR="00753BC8">
          <w:rPr>
            <w:noProof/>
            <w:webHidden/>
          </w:rPr>
          <w:t>47</w:t>
        </w:r>
        <w:r>
          <w:rPr>
            <w:noProof/>
            <w:webHidden/>
          </w:rPr>
          <w:fldChar w:fldCharType="end"/>
        </w:r>
      </w:hyperlink>
    </w:p>
    <w:p w14:paraId="1200FFCA" w14:textId="5766351E" w:rsidR="00AE3F06" w:rsidRDefault="00AE3F06">
      <w:pPr>
        <w:pStyle w:val="TOC2"/>
        <w:rPr>
          <w:rFonts w:asciiTheme="minorHAnsi" w:eastAsiaTheme="minorEastAsia" w:hAnsiTheme="minorHAnsi" w:cstheme="minorBidi"/>
          <w:noProof/>
          <w:kern w:val="2"/>
          <w:szCs w:val="22"/>
          <w:lang w:eastAsia="en-NZ"/>
          <w14:ligatures w14:val="standardContextual"/>
        </w:rPr>
      </w:pPr>
      <w:hyperlink w:anchor="_Toc189647914" w:history="1">
        <w:r w:rsidRPr="00C80580">
          <w:rPr>
            <w:rStyle w:val="Hyperlink"/>
            <w:noProof/>
          </w:rPr>
          <w:t>Ethnicity of people treated with ECT</w:t>
        </w:r>
        <w:r>
          <w:rPr>
            <w:noProof/>
            <w:webHidden/>
          </w:rPr>
          <w:tab/>
        </w:r>
        <w:r>
          <w:rPr>
            <w:noProof/>
            <w:webHidden/>
          </w:rPr>
          <w:fldChar w:fldCharType="begin"/>
        </w:r>
        <w:r>
          <w:rPr>
            <w:noProof/>
            <w:webHidden/>
          </w:rPr>
          <w:instrText xml:space="preserve"> PAGEREF _Toc189647914 \h </w:instrText>
        </w:r>
        <w:r>
          <w:rPr>
            <w:noProof/>
            <w:webHidden/>
          </w:rPr>
        </w:r>
        <w:r>
          <w:rPr>
            <w:noProof/>
            <w:webHidden/>
          </w:rPr>
          <w:fldChar w:fldCharType="separate"/>
        </w:r>
        <w:r w:rsidR="00753BC8">
          <w:rPr>
            <w:noProof/>
            <w:webHidden/>
          </w:rPr>
          <w:t>48</w:t>
        </w:r>
        <w:r>
          <w:rPr>
            <w:noProof/>
            <w:webHidden/>
          </w:rPr>
          <w:fldChar w:fldCharType="end"/>
        </w:r>
      </w:hyperlink>
    </w:p>
    <w:p w14:paraId="4B6191F8" w14:textId="228ABD79" w:rsidR="00AE3F06" w:rsidRDefault="00AE3F06">
      <w:pPr>
        <w:pStyle w:val="TOC2"/>
        <w:rPr>
          <w:rFonts w:asciiTheme="minorHAnsi" w:eastAsiaTheme="minorEastAsia" w:hAnsiTheme="minorHAnsi" w:cstheme="minorBidi"/>
          <w:noProof/>
          <w:kern w:val="2"/>
          <w:szCs w:val="22"/>
          <w:lang w:eastAsia="en-NZ"/>
          <w14:ligatures w14:val="standardContextual"/>
        </w:rPr>
      </w:pPr>
      <w:hyperlink w:anchor="_Toc189647915" w:history="1">
        <w:r w:rsidRPr="00C80580">
          <w:rPr>
            <w:rStyle w:val="Hyperlink"/>
            <w:noProof/>
          </w:rPr>
          <w:t>Consent to ECT treatment</w:t>
        </w:r>
        <w:r>
          <w:rPr>
            <w:noProof/>
            <w:webHidden/>
          </w:rPr>
          <w:tab/>
        </w:r>
        <w:r>
          <w:rPr>
            <w:noProof/>
            <w:webHidden/>
          </w:rPr>
          <w:fldChar w:fldCharType="begin"/>
        </w:r>
        <w:r>
          <w:rPr>
            <w:noProof/>
            <w:webHidden/>
          </w:rPr>
          <w:instrText xml:space="preserve"> PAGEREF _Toc189647915 \h </w:instrText>
        </w:r>
        <w:r>
          <w:rPr>
            <w:noProof/>
            <w:webHidden/>
          </w:rPr>
        </w:r>
        <w:r>
          <w:rPr>
            <w:noProof/>
            <w:webHidden/>
          </w:rPr>
          <w:fldChar w:fldCharType="separate"/>
        </w:r>
        <w:r w:rsidR="00753BC8">
          <w:rPr>
            <w:noProof/>
            <w:webHidden/>
          </w:rPr>
          <w:t>48</w:t>
        </w:r>
        <w:r>
          <w:rPr>
            <w:noProof/>
            <w:webHidden/>
          </w:rPr>
          <w:fldChar w:fldCharType="end"/>
        </w:r>
      </w:hyperlink>
    </w:p>
    <w:p w14:paraId="7929A9A9" w14:textId="1AD8DDCE" w:rsidR="00AE3F06" w:rsidRDefault="00AE3F06">
      <w:pPr>
        <w:pStyle w:val="TOC1"/>
        <w:rPr>
          <w:rFonts w:asciiTheme="minorHAnsi" w:eastAsiaTheme="minorEastAsia" w:hAnsiTheme="minorHAnsi" w:cstheme="minorBidi"/>
          <w:noProof/>
          <w:kern w:val="2"/>
          <w:sz w:val="22"/>
          <w:szCs w:val="22"/>
          <w:lang w:eastAsia="en-NZ"/>
          <w14:ligatures w14:val="standardContextual"/>
        </w:rPr>
      </w:pPr>
      <w:hyperlink w:anchor="_Toc189647916" w:history="1">
        <w:r w:rsidRPr="00C80580">
          <w:rPr>
            <w:rStyle w:val="Hyperlink"/>
            <w:noProof/>
          </w:rPr>
          <w:t>Substance use treatment</w:t>
        </w:r>
        <w:r>
          <w:rPr>
            <w:noProof/>
            <w:webHidden/>
          </w:rPr>
          <w:tab/>
        </w:r>
        <w:r>
          <w:rPr>
            <w:noProof/>
            <w:webHidden/>
          </w:rPr>
          <w:fldChar w:fldCharType="begin"/>
        </w:r>
        <w:r>
          <w:rPr>
            <w:noProof/>
            <w:webHidden/>
          </w:rPr>
          <w:instrText xml:space="preserve"> PAGEREF _Toc189647916 \h </w:instrText>
        </w:r>
        <w:r>
          <w:rPr>
            <w:noProof/>
            <w:webHidden/>
          </w:rPr>
        </w:r>
        <w:r>
          <w:rPr>
            <w:noProof/>
            <w:webHidden/>
          </w:rPr>
          <w:fldChar w:fldCharType="separate"/>
        </w:r>
        <w:r w:rsidR="00753BC8">
          <w:rPr>
            <w:noProof/>
            <w:webHidden/>
          </w:rPr>
          <w:t>50</w:t>
        </w:r>
        <w:r>
          <w:rPr>
            <w:noProof/>
            <w:webHidden/>
          </w:rPr>
          <w:fldChar w:fldCharType="end"/>
        </w:r>
      </w:hyperlink>
    </w:p>
    <w:p w14:paraId="4E5EBF0A" w14:textId="074EB7FA" w:rsidR="00AE3F06" w:rsidRDefault="00AE3F06">
      <w:pPr>
        <w:pStyle w:val="TOC2"/>
        <w:rPr>
          <w:rFonts w:asciiTheme="minorHAnsi" w:eastAsiaTheme="minorEastAsia" w:hAnsiTheme="minorHAnsi" w:cstheme="minorBidi"/>
          <w:noProof/>
          <w:kern w:val="2"/>
          <w:szCs w:val="22"/>
          <w:lang w:eastAsia="en-NZ"/>
          <w14:ligatures w14:val="standardContextual"/>
        </w:rPr>
      </w:pPr>
      <w:hyperlink w:anchor="_Toc189647917" w:history="1">
        <w:r w:rsidRPr="00C80580">
          <w:rPr>
            <w:rStyle w:val="Hyperlink"/>
            <w:noProof/>
          </w:rPr>
          <w:t>Opioid substitution treatment</w:t>
        </w:r>
        <w:r>
          <w:rPr>
            <w:noProof/>
            <w:webHidden/>
          </w:rPr>
          <w:tab/>
        </w:r>
        <w:r>
          <w:rPr>
            <w:noProof/>
            <w:webHidden/>
          </w:rPr>
          <w:fldChar w:fldCharType="begin"/>
        </w:r>
        <w:r>
          <w:rPr>
            <w:noProof/>
            <w:webHidden/>
          </w:rPr>
          <w:instrText xml:space="preserve"> PAGEREF _Toc189647917 \h </w:instrText>
        </w:r>
        <w:r>
          <w:rPr>
            <w:noProof/>
            <w:webHidden/>
          </w:rPr>
        </w:r>
        <w:r>
          <w:rPr>
            <w:noProof/>
            <w:webHidden/>
          </w:rPr>
          <w:fldChar w:fldCharType="separate"/>
        </w:r>
        <w:r w:rsidR="00753BC8">
          <w:rPr>
            <w:noProof/>
            <w:webHidden/>
          </w:rPr>
          <w:t>50</w:t>
        </w:r>
        <w:r>
          <w:rPr>
            <w:noProof/>
            <w:webHidden/>
          </w:rPr>
          <w:fldChar w:fldCharType="end"/>
        </w:r>
      </w:hyperlink>
    </w:p>
    <w:p w14:paraId="23D3CC35" w14:textId="4F487F5F" w:rsidR="00AE3F06" w:rsidRDefault="00AE3F06">
      <w:pPr>
        <w:pStyle w:val="TOC2"/>
        <w:rPr>
          <w:rFonts w:asciiTheme="minorHAnsi" w:eastAsiaTheme="minorEastAsia" w:hAnsiTheme="minorHAnsi" w:cstheme="minorBidi"/>
          <w:noProof/>
          <w:kern w:val="2"/>
          <w:szCs w:val="22"/>
          <w:lang w:eastAsia="en-NZ"/>
          <w14:ligatures w14:val="standardContextual"/>
        </w:rPr>
      </w:pPr>
      <w:hyperlink w:anchor="_Toc189647918" w:history="1">
        <w:r w:rsidRPr="00C80580">
          <w:rPr>
            <w:rStyle w:val="Hyperlink"/>
            <w:noProof/>
          </w:rPr>
          <w:t>Substance Addiction (Compulsory Assessment and Treatment) Act 2017</w:t>
        </w:r>
        <w:r>
          <w:rPr>
            <w:noProof/>
            <w:webHidden/>
          </w:rPr>
          <w:tab/>
        </w:r>
        <w:r>
          <w:rPr>
            <w:noProof/>
            <w:webHidden/>
          </w:rPr>
          <w:fldChar w:fldCharType="begin"/>
        </w:r>
        <w:r>
          <w:rPr>
            <w:noProof/>
            <w:webHidden/>
          </w:rPr>
          <w:instrText xml:space="preserve"> PAGEREF _Toc189647918 \h </w:instrText>
        </w:r>
        <w:r>
          <w:rPr>
            <w:noProof/>
            <w:webHidden/>
          </w:rPr>
        </w:r>
        <w:r>
          <w:rPr>
            <w:noProof/>
            <w:webHidden/>
          </w:rPr>
          <w:fldChar w:fldCharType="separate"/>
        </w:r>
        <w:r w:rsidR="00753BC8">
          <w:rPr>
            <w:noProof/>
            <w:webHidden/>
          </w:rPr>
          <w:t>55</w:t>
        </w:r>
        <w:r>
          <w:rPr>
            <w:noProof/>
            <w:webHidden/>
          </w:rPr>
          <w:fldChar w:fldCharType="end"/>
        </w:r>
      </w:hyperlink>
    </w:p>
    <w:p w14:paraId="0F4DE479" w14:textId="7EE70EBF" w:rsidR="00AE3F06" w:rsidRDefault="00AE3F06">
      <w:pPr>
        <w:pStyle w:val="TOC2"/>
        <w:rPr>
          <w:rFonts w:asciiTheme="minorHAnsi" w:eastAsiaTheme="minorEastAsia" w:hAnsiTheme="minorHAnsi" w:cstheme="minorBidi"/>
          <w:noProof/>
          <w:kern w:val="2"/>
          <w:szCs w:val="22"/>
          <w:lang w:eastAsia="en-NZ"/>
          <w14:ligatures w14:val="standardContextual"/>
        </w:rPr>
      </w:pPr>
      <w:hyperlink w:anchor="_Toc189647919" w:history="1">
        <w:r w:rsidRPr="00C80580">
          <w:rPr>
            <w:rStyle w:val="Hyperlink"/>
            <w:noProof/>
          </w:rPr>
          <w:t>Land Transport Act 1998</w:t>
        </w:r>
        <w:r>
          <w:rPr>
            <w:noProof/>
            <w:webHidden/>
          </w:rPr>
          <w:tab/>
        </w:r>
        <w:r>
          <w:rPr>
            <w:noProof/>
            <w:webHidden/>
          </w:rPr>
          <w:fldChar w:fldCharType="begin"/>
        </w:r>
        <w:r>
          <w:rPr>
            <w:noProof/>
            <w:webHidden/>
          </w:rPr>
          <w:instrText xml:space="preserve"> PAGEREF _Toc189647919 \h </w:instrText>
        </w:r>
        <w:r>
          <w:rPr>
            <w:noProof/>
            <w:webHidden/>
          </w:rPr>
        </w:r>
        <w:r>
          <w:rPr>
            <w:noProof/>
            <w:webHidden/>
          </w:rPr>
          <w:fldChar w:fldCharType="separate"/>
        </w:r>
        <w:r w:rsidR="00753BC8">
          <w:rPr>
            <w:noProof/>
            <w:webHidden/>
          </w:rPr>
          <w:t>56</w:t>
        </w:r>
        <w:r>
          <w:rPr>
            <w:noProof/>
            <w:webHidden/>
          </w:rPr>
          <w:fldChar w:fldCharType="end"/>
        </w:r>
      </w:hyperlink>
    </w:p>
    <w:p w14:paraId="3A42B9EB" w14:textId="4E661897" w:rsidR="00AE3F06" w:rsidRDefault="00AE3F06">
      <w:pPr>
        <w:pStyle w:val="TOC2"/>
        <w:rPr>
          <w:rFonts w:asciiTheme="minorHAnsi" w:eastAsiaTheme="minorEastAsia" w:hAnsiTheme="minorHAnsi" w:cstheme="minorBidi"/>
          <w:noProof/>
          <w:kern w:val="2"/>
          <w:szCs w:val="22"/>
          <w:lang w:eastAsia="en-NZ"/>
          <w14:ligatures w14:val="standardContextual"/>
        </w:rPr>
      </w:pPr>
      <w:hyperlink w:anchor="_Toc189647920" w:history="1">
        <w:r w:rsidRPr="00C80580">
          <w:rPr>
            <w:rStyle w:val="Hyperlink"/>
            <w:noProof/>
          </w:rPr>
          <w:t>Drug-checking licensing scheme</w:t>
        </w:r>
        <w:r>
          <w:rPr>
            <w:noProof/>
            <w:webHidden/>
          </w:rPr>
          <w:tab/>
        </w:r>
        <w:r>
          <w:rPr>
            <w:noProof/>
            <w:webHidden/>
          </w:rPr>
          <w:fldChar w:fldCharType="begin"/>
        </w:r>
        <w:r>
          <w:rPr>
            <w:noProof/>
            <w:webHidden/>
          </w:rPr>
          <w:instrText xml:space="preserve"> PAGEREF _Toc189647920 \h </w:instrText>
        </w:r>
        <w:r>
          <w:rPr>
            <w:noProof/>
            <w:webHidden/>
          </w:rPr>
        </w:r>
        <w:r>
          <w:rPr>
            <w:noProof/>
            <w:webHidden/>
          </w:rPr>
          <w:fldChar w:fldCharType="separate"/>
        </w:r>
        <w:r w:rsidR="00753BC8">
          <w:rPr>
            <w:noProof/>
            <w:webHidden/>
          </w:rPr>
          <w:t>56</w:t>
        </w:r>
        <w:r>
          <w:rPr>
            <w:noProof/>
            <w:webHidden/>
          </w:rPr>
          <w:fldChar w:fldCharType="end"/>
        </w:r>
      </w:hyperlink>
    </w:p>
    <w:p w14:paraId="2CE33C8C" w14:textId="10699AEB" w:rsidR="00AE3F06" w:rsidRDefault="00AE3F06">
      <w:pPr>
        <w:pStyle w:val="TOC1"/>
        <w:rPr>
          <w:rFonts w:asciiTheme="minorHAnsi" w:eastAsiaTheme="minorEastAsia" w:hAnsiTheme="minorHAnsi" w:cstheme="minorBidi"/>
          <w:noProof/>
          <w:kern w:val="2"/>
          <w:sz w:val="22"/>
          <w:szCs w:val="22"/>
          <w:lang w:eastAsia="en-NZ"/>
          <w14:ligatures w14:val="standardContextual"/>
        </w:rPr>
      </w:pPr>
      <w:hyperlink w:anchor="_Toc189647921" w:history="1">
        <w:r w:rsidRPr="00C80580">
          <w:rPr>
            <w:rStyle w:val="Hyperlink"/>
            <w:noProof/>
          </w:rPr>
          <w:t>Appendix 1: The Mental Health Act process</w:t>
        </w:r>
        <w:r>
          <w:rPr>
            <w:noProof/>
            <w:webHidden/>
          </w:rPr>
          <w:tab/>
        </w:r>
        <w:r>
          <w:rPr>
            <w:noProof/>
            <w:webHidden/>
          </w:rPr>
          <w:fldChar w:fldCharType="begin"/>
        </w:r>
        <w:r>
          <w:rPr>
            <w:noProof/>
            <w:webHidden/>
          </w:rPr>
          <w:instrText xml:space="preserve"> PAGEREF _Toc189647921 \h </w:instrText>
        </w:r>
        <w:r>
          <w:rPr>
            <w:noProof/>
            <w:webHidden/>
          </w:rPr>
        </w:r>
        <w:r>
          <w:rPr>
            <w:noProof/>
            <w:webHidden/>
          </w:rPr>
          <w:fldChar w:fldCharType="separate"/>
        </w:r>
        <w:r w:rsidR="00753BC8">
          <w:rPr>
            <w:noProof/>
            <w:webHidden/>
          </w:rPr>
          <w:t>60</w:t>
        </w:r>
        <w:r>
          <w:rPr>
            <w:noProof/>
            <w:webHidden/>
          </w:rPr>
          <w:fldChar w:fldCharType="end"/>
        </w:r>
      </w:hyperlink>
    </w:p>
    <w:p w14:paraId="249687F9" w14:textId="56215732" w:rsidR="00AE3F06" w:rsidRDefault="00AE3F06">
      <w:pPr>
        <w:pStyle w:val="TOC2"/>
        <w:rPr>
          <w:rFonts w:asciiTheme="minorHAnsi" w:eastAsiaTheme="minorEastAsia" w:hAnsiTheme="minorHAnsi" w:cstheme="minorBidi"/>
          <w:noProof/>
          <w:kern w:val="2"/>
          <w:szCs w:val="22"/>
          <w:lang w:eastAsia="en-NZ"/>
          <w14:ligatures w14:val="standardContextual"/>
        </w:rPr>
      </w:pPr>
      <w:hyperlink w:anchor="_Toc189647922" w:history="1">
        <w:r w:rsidRPr="00C80580">
          <w:rPr>
            <w:rStyle w:val="Hyperlink"/>
            <w:noProof/>
          </w:rPr>
          <w:t>Compulsory assessment</w:t>
        </w:r>
        <w:r>
          <w:rPr>
            <w:noProof/>
            <w:webHidden/>
          </w:rPr>
          <w:tab/>
        </w:r>
        <w:r>
          <w:rPr>
            <w:noProof/>
            <w:webHidden/>
          </w:rPr>
          <w:fldChar w:fldCharType="begin"/>
        </w:r>
        <w:r>
          <w:rPr>
            <w:noProof/>
            <w:webHidden/>
          </w:rPr>
          <w:instrText xml:space="preserve"> PAGEREF _Toc189647922 \h </w:instrText>
        </w:r>
        <w:r>
          <w:rPr>
            <w:noProof/>
            <w:webHidden/>
          </w:rPr>
        </w:r>
        <w:r>
          <w:rPr>
            <w:noProof/>
            <w:webHidden/>
          </w:rPr>
          <w:fldChar w:fldCharType="separate"/>
        </w:r>
        <w:r w:rsidR="00753BC8">
          <w:rPr>
            <w:noProof/>
            <w:webHidden/>
          </w:rPr>
          <w:t>60</w:t>
        </w:r>
        <w:r>
          <w:rPr>
            <w:noProof/>
            <w:webHidden/>
          </w:rPr>
          <w:fldChar w:fldCharType="end"/>
        </w:r>
      </w:hyperlink>
    </w:p>
    <w:p w14:paraId="3DEB2F61" w14:textId="1DEBF366" w:rsidR="00AE3F06" w:rsidRDefault="00AE3F06">
      <w:pPr>
        <w:pStyle w:val="TOC2"/>
        <w:rPr>
          <w:rFonts w:asciiTheme="minorHAnsi" w:eastAsiaTheme="minorEastAsia" w:hAnsiTheme="minorHAnsi" w:cstheme="minorBidi"/>
          <w:noProof/>
          <w:kern w:val="2"/>
          <w:szCs w:val="22"/>
          <w:lang w:eastAsia="en-NZ"/>
          <w14:ligatures w14:val="standardContextual"/>
        </w:rPr>
      </w:pPr>
      <w:hyperlink w:anchor="_Toc189647923" w:history="1">
        <w:r w:rsidRPr="00C80580">
          <w:rPr>
            <w:rStyle w:val="Hyperlink"/>
            <w:noProof/>
          </w:rPr>
          <w:t>Compulsory treatment</w:t>
        </w:r>
        <w:r>
          <w:rPr>
            <w:noProof/>
            <w:webHidden/>
          </w:rPr>
          <w:tab/>
        </w:r>
        <w:r>
          <w:rPr>
            <w:noProof/>
            <w:webHidden/>
          </w:rPr>
          <w:fldChar w:fldCharType="begin"/>
        </w:r>
        <w:r>
          <w:rPr>
            <w:noProof/>
            <w:webHidden/>
          </w:rPr>
          <w:instrText xml:space="preserve"> PAGEREF _Toc189647923 \h </w:instrText>
        </w:r>
        <w:r>
          <w:rPr>
            <w:noProof/>
            <w:webHidden/>
          </w:rPr>
        </w:r>
        <w:r>
          <w:rPr>
            <w:noProof/>
            <w:webHidden/>
          </w:rPr>
          <w:fldChar w:fldCharType="separate"/>
        </w:r>
        <w:r w:rsidR="00753BC8">
          <w:rPr>
            <w:noProof/>
            <w:webHidden/>
          </w:rPr>
          <w:t>61</w:t>
        </w:r>
        <w:r>
          <w:rPr>
            <w:noProof/>
            <w:webHidden/>
          </w:rPr>
          <w:fldChar w:fldCharType="end"/>
        </w:r>
      </w:hyperlink>
    </w:p>
    <w:p w14:paraId="02856081" w14:textId="1B33F4DF" w:rsidR="00AE3F06" w:rsidRDefault="00AE3F06">
      <w:pPr>
        <w:pStyle w:val="TOC1"/>
        <w:rPr>
          <w:rFonts w:asciiTheme="minorHAnsi" w:eastAsiaTheme="minorEastAsia" w:hAnsiTheme="minorHAnsi" w:cstheme="minorBidi"/>
          <w:noProof/>
          <w:kern w:val="2"/>
          <w:sz w:val="22"/>
          <w:szCs w:val="22"/>
          <w:lang w:eastAsia="en-NZ"/>
          <w14:ligatures w14:val="standardContextual"/>
        </w:rPr>
      </w:pPr>
      <w:hyperlink w:anchor="_Toc189647924" w:history="1">
        <w:r w:rsidRPr="00C80580">
          <w:rPr>
            <w:rStyle w:val="Hyperlink"/>
            <w:noProof/>
          </w:rPr>
          <w:t>Appendix 2: Additional statistics – Ministry of Justice</w:t>
        </w:r>
        <w:r>
          <w:rPr>
            <w:noProof/>
            <w:webHidden/>
          </w:rPr>
          <w:tab/>
        </w:r>
        <w:r>
          <w:rPr>
            <w:noProof/>
            <w:webHidden/>
          </w:rPr>
          <w:fldChar w:fldCharType="begin"/>
        </w:r>
        <w:r>
          <w:rPr>
            <w:noProof/>
            <w:webHidden/>
          </w:rPr>
          <w:instrText xml:space="preserve"> PAGEREF _Toc189647924 \h </w:instrText>
        </w:r>
        <w:r>
          <w:rPr>
            <w:noProof/>
            <w:webHidden/>
          </w:rPr>
        </w:r>
        <w:r>
          <w:rPr>
            <w:noProof/>
            <w:webHidden/>
          </w:rPr>
          <w:fldChar w:fldCharType="separate"/>
        </w:r>
        <w:r w:rsidR="00753BC8">
          <w:rPr>
            <w:noProof/>
            <w:webHidden/>
          </w:rPr>
          <w:t>62</w:t>
        </w:r>
        <w:r>
          <w:rPr>
            <w:noProof/>
            <w:webHidden/>
          </w:rPr>
          <w:fldChar w:fldCharType="end"/>
        </w:r>
      </w:hyperlink>
    </w:p>
    <w:p w14:paraId="51D3D42F" w14:textId="186AEE41" w:rsidR="00AE3F06" w:rsidRDefault="00AE3F06">
      <w:pPr>
        <w:pStyle w:val="TOC1"/>
        <w:rPr>
          <w:rFonts w:asciiTheme="minorHAnsi" w:eastAsiaTheme="minorEastAsia" w:hAnsiTheme="minorHAnsi" w:cstheme="minorBidi"/>
          <w:noProof/>
          <w:kern w:val="2"/>
          <w:sz w:val="22"/>
          <w:szCs w:val="22"/>
          <w:lang w:eastAsia="en-NZ"/>
          <w14:ligatures w14:val="standardContextual"/>
        </w:rPr>
      </w:pPr>
      <w:hyperlink w:anchor="_Toc189647925" w:history="1">
        <w:r w:rsidRPr="00C80580">
          <w:rPr>
            <w:rStyle w:val="Hyperlink"/>
            <w:noProof/>
          </w:rPr>
          <w:t>Appendix 3: Additional seclusion statistics</w:t>
        </w:r>
        <w:r>
          <w:rPr>
            <w:noProof/>
            <w:webHidden/>
          </w:rPr>
          <w:tab/>
        </w:r>
        <w:r>
          <w:rPr>
            <w:noProof/>
            <w:webHidden/>
          </w:rPr>
          <w:fldChar w:fldCharType="begin"/>
        </w:r>
        <w:r>
          <w:rPr>
            <w:noProof/>
            <w:webHidden/>
          </w:rPr>
          <w:instrText xml:space="preserve"> PAGEREF _Toc189647925 \h </w:instrText>
        </w:r>
        <w:r>
          <w:rPr>
            <w:noProof/>
            <w:webHidden/>
          </w:rPr>
        </w:r>
        <w:r>
          <w:rPr>
            <w:noProof/>
            <w:webHidden/>
          </w:rPr>
          <w:fldChar w:fldCharType="separate"/>
        </w:r>
        <w:r w:rsidR="00753BC8">
          <w:rPr>
            <w:noProof/>
            <w:webHidden/>
          </w:rPr>
          <w:t>64</w:t>
        </w:r>
        <w:r>
          <w:rPr>
            <w:noProof/>
            <w:webHidden/>
          </w:rPr>
          <w:fldChar w:fldCharType="end"/>
        </w:r>
      </w:hyperlink>
    </w:p>
    <w:p w14:paraId="467FE611" w14:textId="78BED6F8" w:rsidR="00AE3F06" w:rsidRDefault="00AE3F06">
      <w:pPr>
        <w:pStyle w:val="TOC1"/>
        <w:rPr>
          <w:rFonts w:asciiTheme="minorHAnsi" w:eastAsiaTheme="minorEastAsia" w:hAnsiTheme="minorHAnsi" w:cstheme="minorBidi"/>
          <w:noProof/>
          <w:kern w:val="2"/>
          <w:sz w:val="22"/>
          <w:szCs w:val="22"/>
          <w:lang w:eastAsia="en-NZ"/>
          <w14:ligatures w14:val="standardContextual"/>
        </w:rPr>
      </w:pPr>
      <w:hyperlink w:anchor="_Toc189647926" w:history="1">
        <w:r w:rsidRPr="00C80580">
          <w:rPr>
            <w:rStyle w:val="Hyperlink"/>
            <w:noProof/>
          </w:rPr>
          <w:t>Appendix 4: 2021/22 corrected ECT data</w:t>
        </w:r>
        <w:r>
          <w:rPr>
            <w:noProof/>
            <w:webHidden/>
          </w:rPr>
          <w:tab/>
        </w:r>
        <w:r>
          <w:rPr>
            <w:noProof/>
            <w:webHidden/>
          </w:rPr>
          <w:fldChar w:fldCharType="begin"/>
        </w:r>
        <w:r>
          <w:rPr>
            <w:noProof/>
            <w:webHidden/>
          </w:rPr>
          <w:instrText xml:space="preserve"> PAGEREF _Toc189647926 \h </w:instrText>
        </w:r>
        <w:r>
          <w:rPr>
            <w:noProof/>
            <w:webHidden/>
          </w:rPr>
        </w:r>
        <w:r>
          <w:rPr>
            <w:noProof/>
            <w:webHidden/>
          </w:rPr>
          <w:fldChar w:fldCharType="separate"/>
        </w:r>
        <w:r w:rsidR="00753BC8">
          <w:rPr>
            <w:noProof/>
            <w:webHidden/>
          </w:rPr>
          <w:t>66</w:t>
        </w:r>
        <w:r>
          <w:rPr>
            <w:noProof/>
            <w:webHidden/>
          </w:rPr>
          <w:fldChar w:fldCharType="end"/>
        </w:r>
      </w:hyperlink>
    </w:p>
    <w:p w14:paraId="133A9219" w14:textId="33AA0699" w:rsidR="00C86248" w:rsidRDefault="00AE3F06">
      <w:r>
        <w:rPr>
          <w:rFonts w:ascii="Segoe UI Semibold" w:hAnsi="Segoe UI Semibold"/>
          <w:b/>
          <w:sz w:val="24"/>
        </w:rPr>
        <w:fldChar w:fldCharType="end"/>
      </w:r>
    </w:p>
    <w:p w14:paraId="49038387" w14:textId="77777777" w:rsidR="003A5FEA" w:rsidRDefault="003A5FEA" w:rsidP="001D3E4E">
      <w:pPr>
        <w:pStyle w:val="TOC1"/>
        <w:keepNext/>
      </w:pPr>
      <w:r>
        <w:t>List of Figures</w:t>
      </w:r>
    </w:p>
    <w:p w14:paraId="278B4960" w14:textId="1335CFCA" w:rsidR="00AE3F06" w:rsidRDefault="00AE3F06">
      <w:pPr>
        <w:pStyle w:val="TOC3"/>
        <w:rPr>
          <w:rFonts w:asciiTheme="minorHAnsi" w:eastAsiaTheme="minorEastAsia" w:hAnsiTheme="minorHAnsi" w:cstheme="minorBidi"/>
          <w:kern w:val="2"/>
          <w:sz w:val="22"/>
          <w:szCs w:val="22"/>
          <w:lang w:eastAsia="en-NZ"/>
          <w14:ligatures w14:val="standardContextual"/>
        </w:rPr>
      </w:pPr>
      <w:r>
        <w:fldChar w:fldCharType="begin"/>
      </w:r>
      <w:r>
        <w:instrText xml:space="preserve"> TOC \h \z \t "Figure,3" </w:instrText>
      </w:r>
      <w:r>
        <w:fldChar w:fldCharType="separate"/>
      </w:r>
      <w:hyperlink w:anchor="_Toc189647927" w:history="1">
        <w:r w:rsidRPr="00D308F8">
          <w:rPr>
            <w:rStyle w:val="Hyperlink"/>
          </w:rPr>
          <w:t>Figure 1: Applications and outcomes for compulsory treatment orders and extensions, 2008/09 to 2022/23</w:t>
        </w:r>
        <w:r>
          <w:rPr>
            <w:webHidden/>
          </w:rPr>
          <w:tab/>
        </w:r>
        <w:r>
          <w:rPr>
            <w:webHidden/>
          </w:rPr>
          <w:fldChar w:fldCharType="begin"/>
        </w:r>
        <w:r>
          <w:rPr>
            <w:webHidden/>
          </w:rPr>
          <w:instrText xml:space="preserve"> PAGEREF _Toc189647927 \h </w:instrText>
        </w:r>
        <w:r>
          <w:rPr>
            <w:webHidden/>
          </w:rPr>
        </w:r>
        <w:r>
          <w:rPr>
            <w:webHidden/>
          </w:rPr>
          <w:fldChar w:fldCharType="separate"/>
        </w:r>
        <w:r w:rsidR="00753BC8">
          <w:rPr>
            <w:webHidden/>
          </w:rPr>
          <w:t>3</w:t>
        </w:r>
        <w:r>
          <w:rPr>
            <w:webHidden/>
          </w:rPr>
          <w:fldChar w:fldCharType="end"/>
        </w:r>
      </w:hyperlink>
    </w:p>
    <w:p w14:paraId="258AAC23" w14:textId="1C41B65C" w:rsidR="00AE3F06" w:rsidRDefault="00AE3F06">
      <w:pPr>
        <w:pStyle w:val="TOC3"/>
        <w:rPr>
          <w:rFonts w:asciiTheme="minorHAnsi" w:eastAsiaTheme="minorEastAsia" w:hAnsiTheme="minorHAnsi" w:cstheme="minorBidi"/>
          <w:kern w:val="2"/>
          <w:sz w:val="22"/>
          <w:szCs w:val="22"/>
          <w:lang w:eastAsia="en-NZ"/>
          <w14:ligatures w14:val="standardContextual"/>
        </w:rPr>
      </w:pPr>
      <w:hyperlink w:anchor="_Toc189647928" w:history="1">
        <w:r w:rsidRPr="00D308F8">
          <w:rPr>
            <w:rStyle w:val="Hyperlink"/>
          </w:rPr>
          <w:t>Figure 2: Number of granted compulsory treatment orders and extensions, community and inpatient, 2008/09 to 2022/23</w:t>
        </w:r>
        <w:r>
          <w:rPr>
            <w:webHidden/>
          </w:rPr>
          <w:tab/>
        </w:r>
        <w:r>
          <w:rPr>
            <w:webHidden/>
          </w:rPr>
          <w:fldChar w:fldCharType="begin"/>
        </w:r>
        <w:r>
          <w:rPr>
            <w:webHidden/>
          </w:rPr>
          <w:instrText xml:space="preserve"> PAGEREF _Toc189647928 \h </w:instrText>
        </w:r>
        <w:r>
          <w:rPr>
            <w:webHidden/>
          </w:rPr>
        </w:r>
        <w:r>
          <w:rPr>
            <w:webHidden/>
          </w:rPr>
          <w:fldChar w:fldCharType="separate"/>
        </w:r>
        <w:r w:rsidR="00753BC8">
          <w:rPr>
            <w:webHidden/>
          </w:rPr>
          <w:t>4</w:t>
        </w:r>
        <w:r>
          <w:rPr>
            <w:webHidden/>
          </w:rPr>
          <w:fldChar w:fldCharType="end"/>
        </w:r>
      </w:hyperlink>
    </w:p>
    <w:p w14:paraId="53FA8066" w14:textId="6403237C" w:rsidR="00AE3F06" w:rsidRDefault="00AE3F06">
      <w:pPr>
        <w:pStyle w:val="TOC3"/>
        <w:rPr>
          <w:rFonts w:asciiTheme="minorHAnsi" w:eastAsiaTheme="minorEastAsia" w:hAnsiTheme="minorHAnsi" w:cstheme="minorBidi"/>
          <w:kern w:val="2"/>
          <w:sz w:val="22"/>
          <w:szCs w:val="22"/>
          <w:lang w:eastAsia="en-NZ"/>
          <w14:ligatures w14:val="standardContextual"/>
        </w:rPr>
      </w:pPr>
      <w:hyperlink w:anchor="_Toc189647929" w:history="1">
        <w:r w:rsidRPr="00D308F8">
          <w:rPr>
            <w:rStyle w:val="Hyperlink"/>
          </w:rPr>
          <w:t>Figure 3: Average number of people on a given day subject to a community treatment order (section 29) per 100,000 population, by district, 1 July 2022 to 30 June 2023</w:t>
        </w:r>
        <w:r>
          <w:rPr>
            <w:webHidden/>
          </w:rPr>
          <w:tab/>
        </w:r>
        <w:r>
          <w:rPr>
            <w:webHidden/>
          </w:rPr>
          <w:fldChar w:fldCharType="begin"/>
        </w:r>
        <w:r>
          <w:rPr>
            <w:webHidden/>
          </w:rPr>
          <w:instrText xml:space="preserve"> PAGEREF _Toc189647929 \h </w:instrText>
        </w:r>
        <w:r>
          <w:rPr>
            <w:webHidden/>
          </w:rPr>
        </w:r>
        <w:r>
          <w:rPr>
            <w:webHidden/>
          </w:rPr>
          <w:fldChar w:fldCharType="separate"/>
        </w:r>
        <w:r w:rsidR="00753BC8">
          <w:rPr>
            <w:webHidden/>
          </w:rPr>
          <w:t>6</w:t>
        </w:r>
        <w:r>
          <w:rPr>
            <w:webHidden/>
          </w:rPr>
          <w:fldChar w:fldCharType="end"/>
        </w:r>
      </w:hyperlink>
    </w:p>
    <w:p w14:paraId="4C1CA00C" w14:textId="1831F97D" w:rsidR="00AE3F06" w:rsidRDefault="00AE3F06">
      <w:pPr>
        <w:pStyle w:val="TOC3"/>
        <w:rPr>
          <w:rFonts w:asciiTheme="minorHAnsi" w:eastAsiaTheme="minorEastAsia" w:hAnsiTheme="minorHAnsi" w:cstheme="minorBidi"/>
          <w:kern w:val="2"/>
          <w:sz w:val="22"/>
          <w:szCs w:val="22"/>
          <w:lang w:eastAsia="en-NZ"/>
          <w14:ligatures w14:val="standardContextual"/>
        </w:rPr>
      </w:pPr>
      <w:hyperlink w:anchor="_Toc189647930" w:history="1">
        <w:r w:rsidRPr="00D308F8">
          <w:rPr>
            <w:rStyle w:val="Hyperlink"/>
          </w:rPr>
          <w:t>Figure 4: Average number of people on a given day subject to an inpatient treatment order (section 30) per 100,000 population, by district, 1 July 2022 to 30 June 2023</w:t>
        </w:r>
        <w:r>
          <w:rPr>
            <w:webHidden/>
          </w:rPr>
          <w:tab/>
        </w:r>
        <w:r>
          <w:rPr>
            <w:webHidden/>
          </w:rPr>
          <w:fldChar w:fldCharType="begin"/>
        </w:r>
        <w:r>
          <w:rPr>
            <w:webHidden/>
          </w:rPr>
          <w:instrText xml:space="preserve"> PAGEREF _Toc189647930 \h </w:instrText>
        </w:r>
        <w:r>
          <w:rPr>
            <w:webHidden/>
          </w:rPr>
        </w:r>
        <w:r>
          <w:rPr>
            <w:webHidden/>
          </w:rPr>
          <w:fldChar w:fldCharType="separate"/>
        </w:r>
        <w:r w:rsidR="00753BC8">
          <w:rPr>
            <w:webHidden/>
          </w:rPr>
          <w:t>6</w:t>
        </w:r>
        <w:r>
          <w:rPr>
            <w:webHidden/>
          </w:rPr>
          <w:fldChar w:fldCharType="end"/>
        </w:r>
      </w:hyperlink>
    </w:p>
    <w:p w14:paraId="0134C1C8" w14:textId="4B63E89C" w:rsidR="00AE3F06" w:rsidRDefault="00AE3F06">
      <w:pPr>
        <w:pStyle w:val="TOC3"/>
        <w:rPr>
          <w:rFonts w:asciiTheme="minorHAnsi" w:eastAsiaTheme="minorEastAsia" w:hAnsiTheme="minorHAnsi" w:cstheme="minorBidi"/>
          <w:kern w:val="2"/>
          <w:sz w:val="22"/>
          <w:szCs w:val="22"/>
          <w:lang w:eastAsia="en-NZ"/>
          <w14:ligatures w14:val="standardContextual"/>
        </w:rPr>
      </w:pPr>
      <w:hyperlink w:anchor="_Toc189647931" w:history="1">
        <w:r w:rsidRPr="00D308F8">
          <w:rPr>
            <w:rStyle w:val="Hyperlink"/>
          </w:rPr>
          <w:t>Figure 5: Number of people subject to compulsory treatment order applications (including extensions) per 100,000 population, by age group, 2008/09 to 2022/23</w:t>
        </w:r>
        <w:r>
          <w:rPr>
            <w:webHidden/>
          </w:rPr>
          <w:tab/>
        </w:r>
        <w:r>
          <w:rPr>
            <w:webHidden/>
          </w:rPr>
          <w:fldChar w:fldCharType="begin"/>
        </w:r>
        <w:r>
          <w:rPr>
            <w:webHidden/>
          </w:rPr>
          <w:instrText xml:space="preserve"> PAGEREF _Toc189647931 \h </w:instrText>
        </w:r>
        <w:r>
          <w:rPr>
            <w:webHidden/>
          </w:rPr>
        </w:r>
        <w:r>
          <w:rPr>
            <w:webHidden/>
          </w:rPr>
          <w:fldChar w:fldCharType="separate"/>
        </w:r>
        <w:r w:rsidR="00753BC8">
          <w:rPr>
            <w:webHidden/>
          </w:rPr>
          <w:t>7</w:t>
        </w:r>
        <w:r>
          <w:rPr>
            <w:webHidden/>
          </w:rPr>
          <w:fldChar w:fldCharType="end"/>
        </w:r>
      </w:hyperlink>
    </w:p>
    <w:p w14:paraId="5FFACBD4" w14:textId="64EEFE21" w:rsidR="00AE3F06" w:rsidRDefault="00AE3F06">
      <w:pPr>
        <w:pStyle w:val="TOC3"/>
        <w:rPr>
          <w:rFonts w:asciiTheme="minorHAnsi" w:eastAsiaTheme="minorEastAsia" w:hAnsiTheme="minorHAnsi" w:cstheme="minorBidi"/>
          <w:kern w:val="2"/>
          <w:sz w:val="22"/>
          <w:szCs w:val="22"/>
          <w:lang w:eastAsia="en-NZ"/>
          <w14:ligatures w14:val="standardContextual"/>
        </w:rPr>
      </w:pPr>
      <w:hyperlink w:anchor="_Toc189647932" w:history="1">
        <w:r w:rsidRPr="00D308F8">
          <w:rPr>
            <w:rStyle w:val="Hyperlink"/>
          </w:rPr>
          <w:t>Figure 6: Number of people subject to compulsory treatment order applications (including extensions) per 100,000 population, by gender, 2008/09 to 2022/23</w:t>
        </w:r>
        <w:r>
          <w:rPr>
            <w:webHidden/>
          </w:rPr>
          <w:tab/>
        </w:r>
        <w:r>
          <w:rPr>
            <w:webHidden/>
          </w:rPr>
          <w:fldChar w:fldCharType="begin"/>
        </w:r>
        <w:r>
          <w:rPr>
            <w:webHidden/>
          </w:rPr>
          <w:instrText xml:space="preserve"> PAGEREF _Toc189647932 \h </w:instrText>
        </w:r>
        <w:r>
          <w:rPr>
            <w:webHidden/>
          </w:rPr>
        </w:r>
        <w:r>
          <w:rPr>
            <w:webHidden/>
          </w:rPr>
          <w:fldChar w:fldCharType="separate"/>
        </w:r>
        <w:r w:rsidR="00753BC8">
          <w:rPr>
            <w:webHidden/>
          </w:rPr>
          <w:t>7</w:t>
        </w:r>
        <w:r>
          <w:rPr>
            <w:webHidden/>
          </w:rPr>
          <w:fldChar w:fldCharType="end"/>
        </w:r>
      </w:hyperlink>
    </w:p>
    <w:p w14:paraId="336A6A5F" w14:textId="4A5AC7E2" w:rsidR="00AE3F06" w:rsidRDefault="00AE3F06">
      <w:pPr>
        <w:pStyle w:val="TOC3"/>
        <w:rPr>
          <w:rFonts w:asciiTheme="minorHAnsi" w:eastAsiaTheme="minorEastAsia" w:hAnsiTheme="minorHAnsi" w:cstheme="minorBidi"/>
          <w:kern w:val="2"/>
          <w:sz w:val="22"/>
          <w:szCs w:val="22"/>
          <w:lang w:eastAsia="en-NZ"/>
          <w14:ligatures w14:val="standardContextual"/>
        </w:rPr>
      </w:pPr>
      <w:hyperlink w:anchor="_Toc189647933" w:history="1">
        <w:r w:rsidRPr="00D308F8">
          <w:rPr>
            <w:rStyle w:val="Hyperlink"/>
          </w:rPr>
          <w:t>Figure 7: Rate ratio of Māori to non-Māori subject to a community treatment order (section 29) under the Mental Health Act per 100,000 population, by district, 1 July 2022 to 30 June 2023</w:t>
        </w:r>
        <w:r>
          <w:rPr>
            <w:webHidden/>
          </w:rPr>
          <w:tab/>
        </w:r>
        <w:r>
          <w:rPr>
            <w:webHidden/>
          </w:rPr>
          <w:fldChar w:fldCharType="begin"/>
        </w:r>
        <w:r>
          <w:rPr>
            <w:webHidden/>
          </w:rPr>
          <w:instrText xml:space="preserve"> PAGEREF _Toc189647933 \h </w:instrText>
        </w:r>
        <w:r>
          <w:rPr>
            <w:webHidden/>
          </w:rPr>
        </w:r>
        <w:r>
          <w:rPr>
            <w:webHidden/>
          </w:rPr>
          <w:fldChar w:fldCharType="separate"/>
        </w:r>
        <w:r w:rsidR="00753BC8">
          <w:rPr>
            <w:webHidden/>
          </w:rPr>
          <w:t>10</w:t>
        </w:r>
        <w:r>
          <w:rPr>
            <w:webHidden/>
          </w:rPr>
          <w:fldChar w:fldCharType="end"/>
        </w:r>
      </w:hyperlink>
    </w:p>
    <w:p w14:paraId="147F821A" w14:textId="48E69056" w:rsidR="00AE3F06" w:rsidRDefault="00AE3F06">
      <w:pPr>
        <w:pStyle w:val="TOC3"/>
        <w:rPr>
          <w:rFonts w:asciiTheme="minorHAnsi" w:eastAsiaTheme="minorEastAsia" w:hAnsiTheme="minorHAnsi" w:cstheme="minorBidi"/>
          <w:kern w:val="2"/>
          <w:sz w:val="22"/>
          <w:szCs w:val="22"/>
          <w:lang w:eastAsia="en-NZ"/>
          <w14:ligatures w14:val="standardContextual"/>
        </w:rPr>
      </w:pPr>
      <w:hyperlink w:anchor="_Toc189647934" w:history="1">
        <w:r w:rsidRPr="00D308F8">
          <w:rPr>
            <w:rStyle w:val="Hyperlink"/>
          </w:rPr>
          <w:t>Figure 8: Rate ratio of Māori to non-Māori subject to an inpatient treatment order (section 30) under the Mental Health Act per 100,000 population, by district, 1 July 2022 to 30 June 2023</w:t>
        </w:r>
        <w:r>
          <w:rPr>
            <w:webHidden/>
          </w:rPr>
          <w:tab/>
        </w:r>
        <w:r>
          <w:rPr>
            <w:webHidden/>
          </w:rPr>
          <w:fldChar w:fldCharType="begin"/>
        </w:r>
        <w:r>
          <w:rPr>
            <w:webHidden/>
          </w:rPr>
          <w:instrText xml:space="preserve"> PAGEREF _Toc189647934 \h </w:instrText>
        </w:r>
        <w:r>
          <w:rPr>
            <w:webHidden/>
          </w:rPr>
        </w:r>
        <w:r>
          <w:rPr>
            <w:webHidden/>
          </w:rPr>
          <w:fldChar w:fldCharType="separate"/>
        </w:r>
        <w:r w:rsidR="00753BC8">
          <w:rPr>
            <w:webHidden/>
          </w:rPr>
          <w:t>11</w:t>
        </w:r>
        <w:r>
          <w:rPr>
            <w:webHidden/>
          </w:rPr>
          <w:fldChar w:fldCharType="end"/>
        </w:r>
      </w:hyperlink>
    </w:p>
    <w:p w14:paraId="7AAECCC6" w14:textId="2A365728" w:rsidR="00AE3F06" w:rsidRDefault="00AE3F06">
      <w:pPr>
        <w:pStyle w:val="TOC3"/>
        <w:rPr>
          <w:rFonts w:asciiTheme="minorHAnsi" w:eastAsiaTheme="minorEastAsia" w:hAnsiTheme="minorHAnsi" w:cstheme="minorBidi"/>
          <w:kern w:val="2"/>
          <w:sz w:val="22"/>
          <w:szCs w:val="22"/>
          <w:lang w:eastAsia="en-NZ"/>
          <w14:ligatures w14:val="standardContextual"/>
        </w:rPr>
      </w:pPr>
      <w:hyperlink w:anchor="_Toc189647935" w:history="1">
        <w:r w:rsidRPr="00D308F8">
          <w:rPr>
            <w:rStyle w:val="Hyperlink"/>
          </w:rPr>
          <w:t>Figure 9: Age-standardised rates of people subject to community (section 29) and inpatient (section 30) treatment orders under the Mental Health Act, by gender and ethnicity, 1 July 2022 to 30 June 2023</w:t>
        </w:r>
        <w:r>
          <w:rPr>
            <w:webHidden/>
          </w:rPr>
          <w:tab/>
        </w:r>
        <w:r>
          <w:rPr>
            <w:webHidden/>
          </w:rPr>
          <w:fldChar w:fldCharType="begin"/>
        </w:r>
        <w:r>
          <w:rPr>
            <w:webHidden/>
          </w:rPr>
          <w:instrText xml:space="preserve"> PAGEREF _Toc189647935 \h </w:instrText>
        </w:r>
        <w:r>
          <w:rPr>
            <w:webHidden/>
          </w:rPr>
        </w:r>
        <w:r>
          <w:rPr>
            <w:webHidden/>
          </w:rPr>
          <w:fldChar w:fldCharType="separate"/>
        </w:r>
        <w:r w:rsidR="00753BC8">
          <w:rPr>
            <w:webHidden/>
          </w:rPr>
          <w:t>12</w:t>
        </w:r>
        <w:r>
          <w:rPr>
            <w:webHidden/>
          </w:rPr>
          <w:fldChar w:fldCharType="end"/>
        </w:r>
      </w:hyperlink>
    </w:p>
    <w:p w14:paraId="1EF2C403" w14:textId="67144A43" w:rsidR="00AE3F06" w:rsidRDefault="00AE3F06">
      <w:pPr>
        <w:pStyle w:val="TOC3"/>
        <w:rPr>
          <w:rFonts w:asciiTheme="minorHAnsi" w:eastAsiaTheme="minorEastAsia" w:hAnsiTheme="minorHAnsi" w:cstheme="minorBidi"/>
          <w:kern w:val="2"/>
          <w:sz w:val="22"/>
          <w:szCs w:val="22"/>
          <w:lang w:eastAsia="en-NZ"/>
          <w14:ligatures w14:val="standardContextual"/>
        </w:rPr>
      </w:pPr>
      <w:hyperlink w:anchor="_Toc189647936" w:history="1">
        <w:r w:rsidRPr="00D308F8">
          <w:rPr>
            <w:rStyle w:val="Hyperlink"/>
          </w:rPr>
          <w:t>Figure 10: Total time spent subject to a community treatment order (section 29) under the Mental Health Act in the last three years, by ethnicity, for those with a current order in the year 1 July 2022 to 30 June 2023</w:t>
        </w:r>
        <w:r>
          <w:rPr>
            <w:webHidden/>
          </w:rPr>
          <w:tab/>
        </w:r>
        <w:r>
          <w:rPr>
            <w:webHidden/>
          </w:rPr>
          <w:fldChar w:fldCharType="begin"/>
        </w:r>
        <w:r>
          <w:rPr>
            <w:webHidden/>
          </w:rPr>
          <w:instrText xml:space="preserve"> PAGEREF _Toc189647936 \h </w:instrText>
        </w:r>
        <w:r>
          <w:rPr>
            <w:webHidden/>
          </w:rPr>
        </w:r>
        <w:r>
          <w:rPr>
            <w:webHidden/>
          </w:rPr>
          <w:fldChar w:fldCharType="separate"/>
        </w:r>
        <w:r w:rsidR="00753BC8">
          <w:rPr>
            <w:webHidden/>
          </w:rPr>
          <w:t>13</w:t>
        </w:r>
        <w:r>
          <w:rPr>
            <w:webHidden/>
          </w:rPr>
          <w:fldChar w:fldCharType="end"/>
        </w:r>
      </w:hyperlink>
    </w:p>
    <w:p w14:paraId="62567922" w14:textId="7AA9BA68" w:rsidR="00AE3F06" w:rsidRDefault="00AE3F06">
      <w:pPr>
        <w:pStyle w:val="TOC3"/>
        <w:rPr>
          <w:rFonts w:asciiTheme="minorHAnsi" w:eastAsiaTheme="minorEastAsia" w:hAnsiTheme="minorHAnsi" w:cstheme="minorBidi"/>
          <w:kern w:val="2"/>
          <w:sz w:val="22"/>
          <w:szCs w:val="22"/>
          <w:lang w:eastAsia="en-NZ"/>
          <w14:ligatures w14:val="standardContextual"/>
        </w:rPr>
      </w:pPr>
      <w:hyperlink w:anchor="_Toc189647937" w:history="1">
        <w:r w:rsidRPr="00D308F8">
          <w:rPr>
            <w:rStyle w:val="Hyperlink"/>
          </w:rPr>
          <w:t>Figure 11: Total time spent subject to an inpatient treatment order (section 30) under the Mental Health Act in the last three years, by ethnicity, for those with a current order in the year 1 July 2022 to 30 June 2023</w:t>
        </w:r>
        <w:r>
          <w:rPr>
            <w:webHidden/>
          </w:rPr>
          <w:tab/>
        </w:r>
        <w:r>
          <w:rPr>
            <w:webHidden/>
          </w:rPr>
          <w:fldChar w:fldCharType="begin"/>
        </w:r>
        <w:r>
          <w:rPr>
            <w:webHidden/>
          </w:rPr>
          <w:instrText xml:space="preserve"> PAGEREF _Toc189647937 \h </w:instrText>
        </w:r>
        <w:r>
          <w:rPr>
            <w:webHidden/>
          </w:rPr>
        </w:r>
        <w:r>
          <w:rPr>
            <w:webHidden/>
          </w:rPr>
          <w:fldChar w:fldCharType="separate"/>
        </w:r>
        <w:r w:rsidR="00753BC8">
          <w:rPr>
            <w:webHidden/>
          </w:rPr>
          <w:t>13</w:t>
        </w:r>
        <w:r>
          <w:rPr>
            <w:webHidden/>
          </w:rPr>
          <w:fldChar w:fldCharType="end"/>
        </w:r>
      </w:hyperlink>
    </w:p>
    <w:p w14:paraId="2A720996" w14:textId="1298EAB7" w:rsidR="00AE3F06" w:rsidRDefault="00AE3F06">
      <w:pPr>
        <w:pStyle w:val="TOC3"/>
        <w:rPr>
          <w:rFonts w:asciiTheme="minorHAnsi" w:eastAsiaTheme="minorEastAsia" w:hAnsiTheme="minorHAnsi" w:cstheme="minorBidi"/>
          <w:kern w:val="2"/>
          <w:sz w:val="22"/>
          <w:szCs w:val="22"/>
          <w:lang w:eastAsia="en-NZ"/>
          <w14:ligatures w14:val="standardContextual"/>
        </w:rPr>
      </w:pPr>
      <w:hyperlink w:anchor="_Toc189647938" w:history="1">
        <w:r w:rsidRPr="00D308F8">
          <w:rPr>
            <w:rStyle w:val="Hyperlink"/>
          </w:rPr>
          <w:t>Figure 12: Average percentage of family and whānau consultation for particular assessment or treatment events nationally, sections 10, 12, 14 and 76–78, 1 July 2022 to 30 June 2023</w:t>
        </w:r>
        <w:r>
          <w:rPr>
            <w:webHidden/>
          </w:rPr>
          <w:tab/>
        </w:r>
        <w:r>
          <w:rPr>
            <w:webHidden/>
          </w:rPr>
          <w:fldChar w:fldCharType="begin"/>
        </w:r>
        <w:r>
          <w:rPr>
            <w:webHidden/>
          </w:rPr>
          <w:instrText xml:space="preserve"> PAGEREF _Toc189647938 \h </w:instrText>
        </w:r>
        <w:r>
          <w:rPr>
            <w:webHidden/>
          </w:rPr>
        </w:r>
        <w:r>
          <w:rPr>
            <w:webHidden/>
          </w:rPr>
          <w:fldChar w:fldCharType="separate"/>
        </w:r>
        <w:r w:rsidR="00753BC8">
          <w:rPr>
            <w:webHidden/>
          </w:rPr>
          <w:t>14</w:t>
        </w:r>
        <w:r>
          <w:rPr>
            <w:webHidden/>
          </w:rPr>
          <w:fldChar w:fldCharType="end"/>
        </w:r>
      </w:hyperlink>
    </w:p>
    <w:p w14:paraId="73E6791C" w14:textId="04838AE9" w:rsidR="00AE3F06" w:rsidRDefault="00AE3F06">
      <w:pPr>
        <w:pStyle w:val="TOC3"/>
        <w:rPr>
          <w:rFonts w:asciiTheme="minorHAnsi" w:eastAsiaTheme="minorEastAsia" w:hAnsiTheme="minorHAnsi" w:cstheme="minorBidi"/>
          <w:kern w:val="2"/>
          <w:sz w:val="22"/>
          <w:szCs w:val="22"/>
          <w:lang w:eastAsia="en-NZ"/>
          <w14:ligatures w14:val="standardContextual"/>
        </w:rPr>
      </w:pPr>
      <w:hyperlink w:anchor="_Toc189647939" w:history="1">
        <w:r w:rsidRPr="00D308F8">
          <w:rPr>
            <w:rStyle w:val="Hyperlink"/>
          </w:rPr>
          <w:t>Figure 13: Average percentage of family and whānau consultation across all assessment and treatment events, by district, 1 July 2022 to 30 June 2023</w:t>
        </w:r>
        <w:r>
          <w:rPr>
            <w:webHidden/>
          </w:rPr>
          <w:tab/>
        </w:r>
        <w:r>
          <w:rPr>
            <w:webHidden/>
          </w:rPr>
          <w:fldChar w:fldCharType="begin"/>
        </w:r>
        <w:r>
          <w:rPr>
            <w:webHidden/>
          </w:rPr>
          <w:instrText xml:space="preserve"> PAGEREF _Toc189647939 \h </w:instrText>
        </w:r>
        <w:r>
          <w:rPr>
            <w:webHidden/>
          </w:rPr>
        </w:r>
        <w:r>
          <w:rPr>
            <w:webHidden/>
          </w:rPr>
          <w:fldChar w:fldCharType="separate"/>
        </w:r>
        <w:r w:rsidR="00753BC8">
          <w:rPr>
            <w:webHidden/>
          </w:rPr>
          <w:t>15</w:t>
        </w:r>
        <w:r>
          <w:rPr>
            <w:webHidden/>
          </w:rPr>
          <w:fldChar w:fldCharType="end"/>
        </w:r>
      </w:hyperlink>
    </w:p>
    <w:p w14:paraId="6BC11B29" w14:textId="298E275C" w:rsidR="00AE3F06" w:rsidRDefault="00AE3F06">
      <w:pPr>
        <w:pStyle w:val="TOC3"/>
        <w:rPr>
          <w:rFonts w:asciiTheme="minorHAnsi" w:eastAsiaTheme="minorEastAsia" w:hAnsiTheme="minorHAnsi" w:cstheme="minorBidi"/>
          <w:kern w:val="2"/>
          <w:sz w:val="22"/>
          <w:szCs w:val="22"/>
          <w:lang w:eastAsia="en-NZ"/>
          <w14:ligatures w14:val="standardContextual"/>
        </w:rPr>
      </w:pPr>
      <w:hyperlink w:anchor="_Toc189647940" w:history="1">
        <w:r w:rsidRPr="00D308F8">
          <w:rPr>
            <w:rStyle w:val="Hyperlink"/>
          </w:rPr>
          <w:t>Figure 14: Reasons for not consulting families and whānau, 1 July 2022 to 30 June 2023</w:t>
        </w:r>
        <w:r>
          <w:rPr>
            <w:webHidden/>
          </w:rPr>
          <w:tab/>
        </w:r>
        <w:r>
          <w:rPr>
            <w:webHidden/>
          </w:rPr>
          <w:fldChar w:fldCharType="begin"/>
        </w:r>
        <w:r>
          <w:rPr>
            <w:webHidden/>
          </w:rPr>
          <w:instrText xml:space="preserve"> PAGEREF _Toc189647940 \h </w:instrText>
        </w:r>
        <w:r>
          <w:rPr>
            <w:webHidden/>
          </w:rPr>
        </w:r>
        <w:r>
          <w:rPr>
            <w:webHidden/>
          </w:rPr>
          <w:fldChar w:fldCharType="separate"/>
        </w:r>
        <w:r w:rsidR="00753BC8">
          <w:rPr>
            <w:webHidden/>
          </w:rPr>
          <w:t>15</w:t>
        </w:r>
        <w:r>
          <w:rPr>
            <w:webHidden/>
          </w:rPr>
          <w:fldChar w:fldCharType="end"/>
        </w:r>
      </w:hyperlink>
    </w:p>
    <w:p w14:paraId="6A3BD4A0" w14:textId="123E6A75" w:rsidR="00AE3F06" w:rsidRDefault="00AE3F06">
      <w:pPr>
        <w:pStyle w:val="TOC3"/>
        <w:rPr>
          <w:rFonts w:asciiTheme="minorHAnsi" w:eastAsiaTheme="minorEastAsia" w:hAnsiTheme="minorHAnsi" w:cstheme="minorBidi"/>
          <w:kern w:val="2"/>
          <w:sz w:val="22"/>
          <w:szCs w:val="22"/>
          <w:lang w:eastAsia="en-NZ"/>
          <w14:ligatures w14:val="standardContextual"/>
        </w:rPr>
      </w:pPr>
      <w:hyperlink w:anchor="_Toc189647941" w:history="1">
        <w:r w:rsidRPr="00D308F8">
          <w:rPr>
            <w:rStyle w:val="Hyperlink"/>
          </w:rPr>
          <w:t>Figure 15: Number of people subject to indefinite community treatment orders per 100,000 population, by district, at 30 June 2023</w:t>
        </w:r>
        <w:r>
          <w:rPr>
            <w:webHidden/>
          </w:rPr>
          <w:tab/>
        </w:r>
        <w:r>
          <w:rPr>
            <w:webHidden/>
          </w:rPr>
          <w:fldChar w:fldCharType="begin"/>
        </w:r>
        <w:r>
          <w:rPr>
            <w:webHidden/>
          </w:rPr>
          <w:instrText xml:space="preserve"> PAGEREF _Toc189647941 \h </w:instrText>
        </w:r>
        <w:r>
          <w:rPr>
            <w:webHidden/>
          </w:rPr>
        </w:r>
        <w:r>
          <w:rPr>
            <w:webHidden/>
          </w:rPr>
          <w:fldChar w:fldCharType="separate"/>
        </w:r>
        <w:r w:rsidR="00753BC8">
          <w:rPr>
            <w:webHidden/>
          </w:rPr>
          <w:t>17</w:t>
        </w:r>
        <w:r>
          <w:rPr>
            <w:webHidden/>
          </w:rPr>
          <w:fldChar w:fldCharType="end"/>
        </w:r>
      </w:hyperlink>
    </w:p>
    <w:p w14:paraId="1458EB26" w14:textId="70DF6495" w:rsidR="00AE3F06" w:rsidRDefault="00AE3F06">
      <w:pPr>
        <w:pStyle w:val="TOC3"/>
        <w:rPr>
          <w:rFonts w:asciiTheme="minorHAnsi" w:eastAsiaTheme="minorEastAsia" w:hAnsiTheme="minorHAnsi" w:cstheme="minorBidi"/>
          <w:kern w:val="2"/>
          <w:sz w:val="22"/>
          <w:szCs w:val="22"/>
          <w:lang w:eastAsia="en-NZ"/>
          <w14:ligatures w14:val="standardContextual"/>
        </w:rPr>
      </w:pPr>
      <w:hyperlink w:anchor="_Toc189647942" w:history="1">
        <w:r w:rsidRPr="00D308F8">
          <w:rPr>
            <w:rStyle w:val="Hyperlink"/>
          </w:rPr>
          <w:t>Figure 16: Rate ratio of Māori to non-Māori subject to indefinite community treatment orders per 100,000 population, by district, at 30 June 2023</w:t>
        </w:r>
        <w:r>
          <w:rPr>
            <w:webHidden/>
          </w:rPr>
          <w:tab/>
        </w:r>
        <w:r>
          <w:rPr>
            <w:webHidden/>
          </w:rPr>
          <w:fldChar w:fldCharType="begin"/>
        </w:r>
        <w:r>
          <w:rPr>
            <w:webHidden/>
          </w:rPr>
          <w:instrText xml:space="preserve"> PAGEREF _Toc189647942 \h </w:instrText>
        </w:r>
        <w:r>
          <w:rPr>
            <w:webHidden/>
          </w:rPr>
        </w:r>
        <w:r>
          <w:rPr>
            <w:webHidden/>
          </w:rPr>
          <w:fldChar w:fldCharType="separate"/>
        </w:r>
        <w:r w:rsidR="00753BC8">
          <w:rPr>
            <w:webHidden/>
          </w:rPr>
          <w:t>18</w:t>
        </w:r>
        <w:r>
          <w:rPr>
            <w:webHidden/>
          </w:rPr>
          <w:fldChar w:fldCharType="end"/>
        </w:r>
      </w:hyperlink>
    </w:p>
    <w:p w14:paraId="3241CF4C" w14:textId="5D8997A9" w:rsidR="00AE3F06" w:rsidRDefault="00AE3F06">
      <w:pPr>
        <w:pStyle w:val="TOC3"/>
        <w:rPr>
          <w:rFonts w:asciiTheme="minorHAnsi" w:eastAsiaTheme="minorEastAsia" w:hAnsiTheme="minorHAnsi" w:cstheme="minorBidi"/>
          <w:kern w:val="2"/>
          <w:sz w:val="22"/>
          <w:szCs w:val="22"/>
          <w:lang w:eastAsia="en-NZ"/>
          <w14:ligatures w14:val="standardContextual"/>
        </w:rPr>
      </w:pPr>
      <w:hyperlink w:anchor="_Toc189647943" w:history="1">
        <w:r w:rsidRPr="00D308F8">
          <w:rPr>
            <w:rStyle w:val="Hyperlink"/>
          </w:rPr>
          <w:t>Figure 17: Number of people subject to indefinite community treatment orders, by gender and ethnicity, at 30 June 2023</w:t>
        </w:r>
        <w:r>
          <w:rPr>
            <w:webHidden/>
          </w:rPr>
          <w:tab/>
        </w:r>
        <w:r>
          <w:rPr>
            <w:webHidden/>
          </w:rPr>
          <w:fldChar w:fldCharType="begin"/>
        </w:r>
        <w:r>
          <w:rPr>
            <w:webHidden/>
          </w:rPr>
          <w:instrText xml:space="preserve"> PAGEREF _Toc189647943 \h </w:instrText>
        </w:r>
        <w:r>
          <w:rPr>
            <w:webHidden/>
          </w:rPr>
        </w:r>
        <w:r>
          <w:rPr>
            <w:webHidden/>
          </w:rPr>
          <w:fldChar w:fldCharType="separate"/>
        </w:r>
        <w:r w:rsidR="00753BC8">
          <w:rPr>
            <w:webHidden/>
          </w:rPr>
          <w:t>18</w:t>
        </w:r>
        <w:r>
          <w:rPr>
            <w:webHidden/>
          </w:rPr>
          <w:fldChar w:fldCharType="end"/>
        </w:r>
      </w:hyperlink>
    </w:p>
    <w:p w14:paraId="21BA5CD2" w14:textId="514FD587" w:rsidR="00AE3F06" w:rsidRDefault="00AE3F06">
      <w:pPr>
        <w:pStyle w:val="TOC3"/>
        <w:rPr>
          <w:rFonts w:asciiTheme="minorHAnsi" w:eastAsiaTheme="minorEastAsia" w:hAnsiTheme="minorHAnsi" w:cstheme="minorBidi"/>
          <w:kern w:val="2"/>
          <w:sz w:val="22"/>
          <w:szCs w:val="22"/>
          <w:lang w:eastAsia="en-NZ"/>
          <w14:ligatures w14:val="standardContextual"/>
        </w:rPr>
      </w:pPr>
      <w:hyperlink w:anchor="_Toc189647944" w:history="1">
        <w:r w:rsidRPr="00D308F8">
          <w:rPr>
            <w:rStyle w:val="Hyperlink"/>
          </w:rPr>
          <w:t>Figure 18: Number of people subject to indefinite inpatient treatment orders per 100,000 population, by district, at 30 June 2023</w:t>
        </w:r>
        <w:r>
          <w:rPr>
            <w:webHidden/>
          </w:rPr>
          <w:tab/>
        </w:r>
        <w:r>
          <w:rPr>
            <w:webHidden/>
          </w:rPr>
          <w:fldChar w:fldCharType="begin"/>
        </w:r>
        <w:r>
          <w:rPr>
            <w:webHidden/>
          </w:rPr>
          <w:instrText xml:space="preserve"> PAGEREF _Toc189647944 \h </w:instrText>
        </w:r>
        <w:r>
          <w:rPr>
            <w:webHidden/>
          </w:rPr>
        </w:r>
        <w:r>
          <w:rPr>
            <w:webHidden/>
          </w:rPr>
          <w:fldChar w:fldCharType="separate"/>
        </w:r>
        <w:r w:rsidR="00753BC8">
          <w:rPr>
            <w:webHidden/>
          </w:rPr>
          <w:t>19</w:t>
        </w:r>
        <w:r>
          <w:rPr>
            <w:webHidden/>
          </w:rPr>
          <w:fldChar w:fldCharType="end"/>
        </w:r>
      </w:hyperlink>
    </w:p>
    <w:p w14:paraId="05879F56" w14:textId="14450ED2" w:rsidR="00AE3F06" w:rsidRDefault="00AE3F06">
      <w:pPr>
        <w:pStyle w:val="TOC3"/>
        <w:rPr>
          <w:rFonts w:asciiTheme="minorHAnsi" w:eastAsiaTheme="minorEastAsia" w:hAnsiTheme="minorHAnsi" w:cstheme="minorBidi"/>
          <w:kern w:val="2"/>
          <w:sz w:val="22"/>
          <w:szCs w:val="22"/>
          <w:lang w:eastAsia="en-NZ"/>
          <w14:ligatures w14:val="standardContextual"/>
        </w:rPr>
      </w:pPr>
      <w:hyperlink w:anchor="_Toc189647945" w:history="1">
        <w:r w:rsidRPr="00D308F8">
          <w:rPr>
            <w:rStyle w:val="Hyperlink"/>
          </w:rPr>
          <w:t>Figure 19: Rate ratio of Māori to non-Māori subject to indefinite inpatient treatment orders per 100,000 population, by district, at 30 June 2023</w:t>
        </w:r>
        <w:r>
          <w:rPr>
            <w:webHidden/>
          </w:rPr>
          <w:tab/>
        </w:r>
        <w:r>
          <w:rPr>
            <w:webHidden/>
          </w:rPr>
          <w:fldChar w:fldCharType="begin"/>
        </w:r>
        <w:r>
          <w:rPr>
            <w:webHidden/>
          </w:rPr>
          <w:instrText xml:space="preserve"> PAGEREF _Toc189647945 \h </w:instrText>
        </w:r>
        <w:r>
          <w:rPr>
            <w:webHidden/>
          </w:rPr>
        </w:r>
        <w:r>
          <w:rPr>
            <w:webHidden/>
          </w:rPr>
          <w:fldChar w:fldCharType="separate"/>
        </w:r>
        <w:r w:rsidR="00753BC8">
          <w:rPr>
            <w:webHidden/>
          </w:rPr>
          <w:t>20</w:t>
        </w:r>
        <w:r>
          <w:rPr>
            <w:webHidden/>
          </w:rPr>
          <w:fldChar w:fldCharType="end"/>
        </w:r>
      </w:hyperlink>
    </w:p>
    <w:p w14:paraId="3EF85ED0" w14:textId="60484C52" w:rsidR="00AE3F06" w:rsidRDefault="00AE3F06">
      <w:pPr>
        <w:pStyle w:val="TOC3"/>
        <w:rPr>
          <w:rFonts w:asciiTheme="minorHAnsi" w:eastAsiaTheme="minorEastAsia" w:hAnsiTheme="minorHAnsi" w:cstheme="minorBidi"/>
          <w:kern w:val="2"/>
          <w:sz w:val="22"/>
          <w:szCs w:val="22"/>
          <w:lang w:eastAsia="en-NZ"/>
          <w14:ligatures w14:val="standardContextual"/>
        </w:rPr>
      </w:pPr>
      <w:hyperlink w:anchor="_Toc189647946" w:history="1">
        <w:r w:rsidRPr="00D308F8">
          <w:rPr>
            <w:rStyle w:val="Hyperlink"/>
          </w:rPr>
          <w:t>Figure 20: Number of people secluded in adult inpatient services nationally, 2007 to 2022/23</w:t>
        </w:r>
        <w:r>
          <w:rPr>
            <w:webHidden/>
          </w:rPr>
          <w:tab/>
        </w:r>
        <w:r>
          <w:rPr>
            <w:webHidden/>
          </w:rPr>
          <w:fldChar w:fldCharType="begin"/>
        </w:r>
        <w:r>
          <w:rPr>
            <w:webHidden/>
          </w:rPr>
          <w:instrText xml:space="preserve"> PAGEREF _Toc189647946 \h </w:instrText>
        </w:r>
        <w:r>
          <w:rPr>
            <w:webHidden/>
          </w:rPr>
        </w:r>
        <w:r>
          <w:rPr>
            <w:webHidden/>
          </w:rPr>
          <w:fldChar w:fldCharType="separate"/>
        </w:r>
        <w:r w:rsidR="00753BC8">
          <w:rPr>
            <w:webHidden/>
          </w:rPr>
          <w:t>22</w:t>
        </w:r>
        <w:r>
          <w:rPr>
            <w:webHidden/>
          </w:rPr>
          <w:fldChar w:fldCharType="end"/>
        </w:r>
      </w:hyperlink>
    </w:p>
    <w:p w14:paraId="595A30B8" w14:textId="5F5D66DC" w:rsidR="00AE3F06" w:rsidRDefault="00AE3F06">
      <w:pPr>
        <w:pStyle w:val="TOC3"/>
        <w:rPr>
          <w:rFonts w:asciiTheme="minorHAnsi" w:eastAsiaTheme="minorEastAsia" w:hAnsiTheme="minorHAnsi" w:cstheme="minorBidi"/>
          <w:kern w:val="2"/>
          <w:sz w:val="22"/>
          <w:szCs w:val="22"/>
          <w:lang w:eastAsia="en-NZ"/>
          <w14:ligatures w14:val="standardContextual"/>
        </w:rPr>
      </w:pPr>
      <w:hyperlink w:anchor="_Toc189647947" w:history="1">
        <w:r w:rsidRPr="00D308F8">
          <w:rPr>
            <w:rStyle w:val="Hyperlink"/>
          </w:rPr>
          <w:t>Figure 21: Number of seclusion hours in adult inpatient services nationally, 2007 to 2022/23</w:t>
        </w:r>
        <w:r>
          <w:rPr>
            <w:webHidden/>
          </w:rPr>
          <w:tab/>
        </w:r>
        <w:r>
          <w:rPr>
            <w:webHidden/>
          </w:rPr>
          <w:fldChar w:fldCharType="begin"/>
        </w:r>
        <w:r>
          <w:rPr>
            <w:webHidden/>
          </w:rPr>
          <w:instrText xml:space="preserve"> PAGEREF _Toc189647947 \h </w:instrText>
        </w:r>
        <w:r>
          <w:rPr>
            <w:webHidden/>
          </w:rPr>
        </w:r>
        <w:r>
          <w:rPr>
            <w:webHidden/>
          </w:rPr>
          <w:fldChar w:fldCharType="separate"/>
        </w:r>
        <w:r w:rsidR="00753BC8">
          <w:rPr>
            <w:webHidden/>
          </w:rPr>
          <w:t>22</w:t>
        </w:r>
        <w:r>
          <w:rPr>
            <w:webHidden/>
          </w:rPr>
          <w:fldChar w:fldCharType="end"/>
        </w:r>
      </w:hyperlink>
    </w:p>
    <w:p w14:paraId="740BF6E8" w14:textId="3985EA56" w:rsidR="00AE3F06" w:rsidRDefault="00AE3F06">
      <w:pPr>
        <w:pStyle w:val="TOC3"/>
        <w:rPr>
          <w:rFonts w:asciiTheme="minorHAnsi" w:eastAsiaTheme="minorEastAsia" w:hAnsiTheme="minorHAnsi" w:cstheme="minorBidi"/>
          <w:kern w:val="2"/>
          <w:sz w:val="22"/>
          <w:szCs w:val="22"/>
          <w:lang w:eastAsia="en-NZ"/>
          <w14:ligatures w14:val="standardContextual"/>
        </w:rPr>
      </w:pPr>
      <w:hyperlink w:anchor="_Toc189647948" w:history="1">
        <w:r w:rsidRPr="00D308F8">
          <w:rPr>
            <w:rStyle w:val="Hyperlink"/>
          </w:rPr>
          <w:t>Figure 22: Number of people secluded across all inpatient services (adult, forensic, intellectual disability and youth), by age group, 1 July 2022 to 30 June 2023</w:t>
        </w:r>
        <w:r>
          <w:rPr>
            <w:webHidden/>
          </w:rPr>
          <w:tab/>
        </w:r>
        <w:r>
          <w:rPr>
            <w:webHidden/>
          </w:rPr>
          <w:fldChar w:fldCharType="begin"/>
        </w:r>
        <w:r>
          <w:rPr>
            <w:webHidden/>
          </w:rPr>
          <w:instrText xml:space="preserve"> PAGEREF _Toc189647948 \h </w:instrText>
        </w:r>
        <w:r>
          <w:rPr>
            <w:webHidden/>
          </w:rPr>
        </w:r>
        <w:r>
          <w:rPr>
            <w:webHidden/>
          </w:rPr>
          <w:fldChar w:fldCharType="separate"/>
        </w:r>
        <w:r w:rsidR="00753BC8">
          <w:rPr>
            <w:webHidden/>
          </w:rPr>
          <w:t>24</w:t>
        </w:r>
        <w:r>
          <w:rPr>
            <w:webHidden/>
          </w:rPr>
          <w:fldChar w:fldCharType="end"/>
        </w:r>
      </w:hyperlink>
    </w:p>
    <w:p w14:paraId="0A0C09FC" w14:textId="620B298F" w:rsidR="00AE3F06" w:rsidRDefault="00AE3F06">
      <w:pPr>
        <w:pStyle w:val="TOC3"/>
        <w:rPr>
          <w:rFonts w:asciiTheme="minorHAnsi" w:eastAsiaTheme="minorEastAsia" w:hAnsiTheme="minorHAnsi" w:cstheme="minorBidi"/>
          <w:kern w:val="2"/>
          <w:sz w:val="22"/>
          <w:szCs w:val="22"/>
          <w:lang w:eastAsia="en-NZ"/>
          <w14:ligatures w14:val="standardContextual"/>
        </w:rPr>
      </w:pPr>
      <w:hyperlink w:anchor="_Toc189647949" w:history="1">
        <w:r w:rsidRPr="00D308F8">
          <w:rPr>
            <w:rStyle w:val="Hyperlink"/>
          </w:rPr>
          <w:t>Figure 23: Rate of people secluded across all inpatient services (adult, forensic, intellectual disability and youth) per 100,000 population, by age group, 1 July 2022 to 30 June 2023</w:t>
        </w:r>
        <w:r>
          <w:rPr>
            <w:webHidden/>
          </w:rPr>
          <w:tab/>
        </w:r>
        <w:r>
          <w:rPr>
            <w:webHidden/>
          </w:rPr>
          <w:fldChar w:fldCharType="begin"/>
        </w:r>
        <w:r>
          <w:rPr>
            <w:webHidden/>
          </w:rPr>
          <w:instrText xml:space="preserve"> PAGEREF _Toc189647949 \h </w:instrText>
        </w:r>
        <w:r>
          <w:rPr>
            <w:webHidden/>
          </w:rPr>
        </w:r>
        <w:r>
          <w:rPr>
            <w:webHidden/>
          </w:rPr>
          <w:fldChar w:fldCharType="separate"/>
        </w:r>
        <w:r w:rsidR="00753BC8">
          <w:rPr>
            <w:webHidden/>
          </w:rPr>
          <w:t>24</w:t>
        </w:r>
        <w:r>
          <w:rPr>
            <w:webHidden/>
          </w:rPr>
          <w:fldChar w:fldCharType="end"/>
        </w:r>
      </w:hyperlink>
    </w:p>
    <w:p w14:paraId="0AE7CB03" w14:textId="60026715" w:rsidR="00AE3F06" w:rsidRDefault="00AE3F06">
      <w:pPr>
        <w:pStyle w:val="TOC3"/>
        <w:rPr>
          <w:rFonts w:asciiTheme="minorHAnsi" w:eastAsiaTheme="minorEastAsia" w:hAnsiTheme="minorHAnsi" w:cstheme="minorBidi"/>
          <w:kern w:val="2"/>
          <w:sz w:val="22"/>
          <w:szCs w:val="22"/>
          <w:lang w:eastAsia="en-NZ"/>
          <w14:ligatures w14:val="standardContextual"/>
        </w:rPr>
      </w:pPr>
      <w:hyperlink w:anchor="_Toc189647950" w:history="1">
        <w:r w:rsidRPr="00D308F8">
          <w:rPr>
            <w:rStyle w:val="Hyperlink"/>
          </w:rPr>
          <w:t>Figure 24: Number of seclusion events across all inpatient services (adult, forensic, intellectual disability and youth), by length of event, 1 July 2022 to 30 June 2023</w:t>
        </w:r>
        <w:r>
          <w:rPr>
            <w:webHidden/>
          </w:rPr>
          <w:tab/>
        </w:r>
        <w:r>
          <w:rPr>
            <w:webHidden/>
          </w:rPr>
          <w:fldChar w:fldCharType="begin"/>
        </w:r>
        <w:r>
          <w:rPr>
            <w:webHidden/>
          </w:rPr>
          <w:instrText xml:space="preserve"> PAGEREF _Toc189647950 \h </w:instrText>
        </w:r>
        <w:r>
          <w:rPr>
            <w:webHidden/>
          </w:rPr>
        </w:r>
        <w:r>
          <w:rPr>
            <w:webHidden/>
          </w:rPr>
          <w:fldChar w:fldCharType="separate"/>
        </w:r>
        <w:r w:rsidR="00753BC8">
          <w:rPr>
            <w:webHidden/>
          </w:rPr>
          <w:t>25</w:t>
        </w:r>
        <w:r>
          <w:rPr>
            <w:webHidden/>
          </w:rPr>
          <w:fldChar w:fldCharType="end"/>
        </w:r>
      </w:hyperlink>
    </w:p>
    <w:p w14:paraId="7963E9FC" w14:textId="5362707C" w:rsidR="00AE3F06" w:rsidRDefault="00AE3F06">
      <w:pPr>
        <w:pStyle w:val="TOC3"/>
        <w:rPr>
          <w:rFonts w:asciiTheme="minorHAnsi" w:eastAsiaTheme="minorEastAsia" w:hAnsiTheme="minorHAnsi" w:cstheme="minorBidi"/>
          <w:kern w:val="2"/>
          <w:sz w:val="22"/>
          <w:szCs w:val="22"/>
          <w:lang w:eastAsia="en-NZ"/>
          <w14:ligatures w14:val="standardContextual"/>
        </w:rPr>
      </w:pPr>
      <w:hyperlink w:anchor="_Toc189647951" w:history="1">
        <w:r w:rsidRPr="00D308F8">
          <w:rPr>
            <w:rStyle w:val="Hyperlink"/>
          </w:rPr>
          <w:t>Figure 25: Number of seclusion events across all inpatient services (adult, forensic, intellectual disability and youth), by ethnicity and length of event, 1 July 2022 to 30 June 2023</w:t>
        </w:r>
        <w:r>
          <w:rPr>
            <w:webHidden/>
          </w:rPr>
          <w:tab/>
        </w:r>
        <w:r>
          <w:rPr>
            <w:webHidden/>
          </w:rPr>
          <w:fldChar w:fldCharType="begin"/>
        </w:r>
        <w:r>
          <w:rPr>
            <w:webHidden/>
          </w:rPr>
          <w:instrText xml:space="preserve"> PAGEREF _Toc189647951 \h </w:instrText>
        </w:r>
        <w:r>
          <w:rPr>
            <w:webHidden/>
          </w:rPr>
        </w:r>
        <w:r>
          <w:rPr>
            <w:webHidden/>
          </w:rPr>
          <w:fldChar w:fldCharType="separate"/>
        </w:r>
        <w:r w:rsidR="00753BC8">
          <w:rPr>
            <w:webHidden/>
          </w:rPr>
          <w:t>25</w:t>
        </w:r>
        <w:r>
          <w:rPr>
            <w:webHidden/>
          </w:rPr>
          <w:fldChar w:fldCharType="end"/>
        </w:r>
      </w:hyperlink>
    </w:p>
    <w:p w14:paraId="091455B9" w14:textId="5754A034" w:rsidR="00AE3F06" w:rsidRDefault="00AE3F06">
      <w:pPr>
        <w:pStyle w:val="TOC3"/>
        <w:rPr>
          <w:rFonts w:asciiTheme="minorHAnsi" w:eastAsiaTheme="minorEastAsia" w:hAnsiTheme="minorHAnsi" w:cstheme="minorBidi"/>
          <w:kern w:val="2"/>
          <w:sz w:val="22"/>
          <w:szCs w:val="22"/>
          <w:lang w:eastAsia="en-NZ"/>
          <w14:ligatures w14:val="standardContextual"/>
        </w:rPr>
      </w:pPr>
      <w:hyperlink w:anchor="_Toc189647952" w:history="1">
        <w:r w:rsidRPr="00D308F8">
          <w:rPr>
            <w:rStyle w:val="Hyperlink"/>
          </w:rPr>
          <w:t xml:space="preserve">Figure 26: Number of people secluded in adult inpatient services per 100,000 population, by </w:t>
        </w:r>
        <w:r w:rsidRPr="00D308F8">
          <w:rPr>
            <w:rStyle w:val="Hyperlink"/>
            <w:bCs/>
          </w:rPr>
          <w:t>district</w:t>
        </w:r>
        <w:r w:rsidRPr="00D308F8">
          <w:rPr>
            <w:rStyle w:val="Hyperlink"/>
          </w:rPr>
          <w:t>, 1 July 2022 to 30 June 2023</w:t>
        </w:r>
        <w:r>
          <w:rPr>
            <w:webHidden/>
          </w:rPr>
          <w:tab/>
        </w:r>
        <w:r>
          <w:rPr>
            <w:webHidden/>
          </w:rPr>
          <w:fldChar w:fldCharType="begin"/>
        </w:r>
        <w:r>
          <w:rPr>
            <w:webHidden/>
          </w:rPr>
          <w:instrText xml:space="preserve"> PAGEREF _Toc189647952 \h </w:instrText>
        </w:r>
        <w:r>
          <w:rPr>
            <w:webHidden/>
          </w:rPr>
        </w:r>
        <w:r>
          <w:rPr>
            <w:webHidden/>
          </w:rPr>
          <w:fldChar w:fldCharType="separate"/>
        </w:r>
        <w:r w:rsidR="00753BC8">
          <w:rPr>
            <w:webHidden/>
          </w:rPr>
          <w:t>27</w:t>
        </w:r>
        <w:r>
          <w:rPr>
            <w:webHidden/>
          </w:rPr>
          <w:fldChar w:fldCharType="end"/>
        </w:r>
      </w:hyperlink>
    </w:p>
    <w:p w14:paraId="6C294058" w14:textId="6C55F0D5" w:rsidR="00AE3F06" w:rsidRDefault="00AE3F06">
      <w:pPr>
        <w:pStyle w:val="TOC3"/>
        <w:rPr>
          <w:rFonts w:asciiTheme="minorHAnsi" w:eastAsiaTheme="minorEastAsia" w:hAnsiTheme="minorHAnsi" w:cstheme="minorBidi"/>
          <w:kern w:val="2"/>
          <w:sz w:val="22"/>
          <w:szCs w:val="22"/>
          <w:lang w:eastAsia="en-NZ"/>
          <w14:ligatures w14:val="standardContextual"/>
        </w:rPr>
      </w:pPr>
      <w:hyperlink w:anchor="_Toc189647953" w:history="1">
        <w:r w:rsidRPr="00D308F8">
          <w:rPr>
            <w:rStyle w:val="Hyperlink"/>
          </w:rPr>
          <w:t xml:space="preserve">Figure 27: Number of seclusion events in adult inpatient services per 100,000 population, by </w:t>
        </w:r>
        <w:r w:rsidRPr="00D308F8">
          <w:rPr>
            <w:rStyle w:val="Hyperlink"/>
            <w:bCs/>
          </w:rPr>
          <w:t>district</w:t>
        </w:r>
        <w:r w:rsidRPr="00D308F8">
          <w:rPr>
            <w:rStyle w:val="Hyperlink"/>
          </w:rPr>
          <w:t>, 1 July 2022 to 30 June 2023</w:t>
        </w:r>
        <w:r>
          <w:rPr>
            <w:webHidden/>
          </w:rPr>
          <w:tab/>
        </w:r>
        <w:r>
          <w:rPr>
            <w:webHidden/>
          </w:rPr>
          <w:fldChar w:fldCharType="begin"/>
        </w:r>
        <w:r>
          <w:rPr>
            <w:webHidden/>
          </w:rPr>
          <w:instrText xml:space="preserve"> PAGEREF _Toc189647953 \h </w:instrText>
        </w:r>
        <w:r>
          <w:rPr>
            <w:webHidden/>
          </w:rPr>
        </w:r>
        <w:r>
          <w:rPr>
            <w:webHidden/>
          </w:rPr>
          <w:fldChar w:fldCharType="separate"/>
        </w:r>
        <w:r w:rsidR="00753BC8">
          <w:rPr>
            <w:webHidden/>
          </w:rPr>
          <w:t>28</w:t>
        </w:r>
        <w:r>
          <w:rPr>
            <w:webHidden/>
          </w:rPr>
          <w:fldChar w:fldCharType="end"/>
        </w:r>
      </w:hyperlink>
    </w:p>
    <w:p w14:paraId="05965B45" w14:textId="3484B188" w:rsidR="00AE3F06" w:rsidRDefault="00AE3F06">
      <w:pPr>
        <w:pStyle w:val="TOC3"/>
        <w:rPr>
          <w:rFonts w:asciiTheme="minorHAnsi" w:eastAsiaTheme="minorEastAsia" w:hAnsiTheme="minorHAnsi" w:cstheme="minorBidi"/>
          <w:kern w:val="2"/>
          <w:sz w:val="22"/>
          <w:szCs w:val="22"/>
          <w:lang w:eastAsia="en-NZ"/>
          <w14:ligatures w14:val="standardContextual"/>
        </w:rPr>
      </w:pPr>
      <w:hyperlink w:anchor="_Toc189647954" w:history="1">
        <w:r w:rsidRPr="00D308F8">
          <w:rPr>
            <w:rStyle w:val="Hyperlink"/>
          </w:rPr>
          <w:t>Figure 28: Number of people secluded in adult inpatient services, by ethnicity and year, from 1 July 2020 to 30 June 2023</w:t>
        </w:r>
        <w:r>
          <w:rPr>
            <w:webHidden/>
          </w:rPr>
          <w:tab/>
        </w:r>
        <w:r>
          <w:rPr>
            <w:webHidden/>
          </w:rPr>
          <w:fldChar w:fldCharType="begin"/>
        </w:r>
        <w:r>
          <w:rPr>
            <w:webHidden/>
          </w:rPr>
          <w:instrText xml:space="preserve"> PAGEREF _Toc189647954 \h </w:instrText>
        </w:r>
        <w:r>
          <w:rPr>
            <w:webHidden/>
          </w:rPr>
        </w:r>
        <w:r>
          <w:rPr>
            <w:webHidden/>
          </w:rPr>
          <w:fldChar w:fldCharType="separate"/>
        </w:r>
        <w:r w:rsidR="00753BC8">
          <w:rPr>
            <w:webHidden/>
          </w:rPr>
          <w:t>29</w:t>
        </w:r>
        <w:r>
          <w:rPr>
            <w:webHidden/>
          </w:rPr>
          <w:fldChar w:fldCharType="end"/>
        </w:r>
      </w:hyperlink>
    </w:p>
    <w:p w14:paraId="74381DBC" w14:textId="274DC47B" w:rsidR="00AE3F06" w:rsidRDefault="00AE3F06">
      <w:pPr>
        <w:pStyle w:val="TOC3"/>
        <w:rPr>
          <w:rFonts w:asciiTheme="minorHAnsi" w:eastAsiaTheme="minorEastAsia" w:hAnsiTheme="minorHAnsi" w:cstheme="minorBidi"/>
          <w:kern w:val="2"/>
          <w:sz w:val="22"/>
          <w:szCs w:val="22"/>
          <w:lang w:eastAsia="en-NZ"/>
          <w14:ligatures w14:val="standardContextual"/>
        </w:rPr>
      </w:pPr>
      <w:hyperlink w:anchor="_Toc189647955" w:history="1">
        <w:r w:rsidRPr="00D308F8">
          <w:rPr>
            <w:rStyle w:val="Hyperlink"/>
          </w:rPr>
          <w:t>Figure 29: Seclusion indicators for adult inpatient services, by ethnicity, 1 July 2022 to 30 June 2023</w:t>
        </w:r>
        <w:r>
          <w:rPr>
            <w:webHidden/>
          </w:rPr>
          <w:tab/>
        </w:r>
        <w:r>
          <w:rPr>
            <w:webHidden/>
          </w:rPr>
          <w:fldChar w:fldCharType="begin"/>
        </w:r>
        <w:r>
          <w:rPr>
            <w:webHidden/>
          </w:rPr>
          <w:instrText xml:space="preserve"> PAGEREF _Toc189647955 \h </w:instrText>
        </w:r>
        <w:r>
          <w:rPr>
            <w:webHidden/>
          </w:rPr>
        </w:r>
        <w:r>
          <w:rPr>
            <w:webHidden/>
          </w:rPr>
          <w:fldChar w:fldCharType="separate"/>
        </w:r>
        <w:r w:rsidR="00753BC8">
          <w:rPr>
            <w:webHidden/>
          </w:rPr>
          <w:t>29</w:t>
        </w:r>
        <w:r>
          <w:rPr>
            <w:webHidden/>
          </w:rPr>
          <w:fldChar w:fldCharType="end"/>
        </w:r>
      </w:hyperlink>
    </w:p>
    <w:p w14:paraId="27D9B3ED" w14:textId="1B97D65D" w:rsidR="00AE3F06" w:rsidRDefault="00AE3F06">
      <w:pPr>
        <w:pStyle w:val="TOC3"/>
        <w:rPr>
          <w:rFonts w:asciiTheme="minorHAnsi" w:eastAsiaTheme="minorEastAsia" w:hAnsiTheme="minorHAnsi" w:cstheme="minorBidi"/>
          <w:kern w:val="2"/>
          <w:sz w:val="22"/>
          <w:szCs w:val="22"/>
          <w:lang w:eastAsia="en-NZ"/>
          <w14:ligatures w14:val="standardContextual"/>
        </w:rPr>
      </w:pPr>
      <w:hyperlink w:anchor="_Toc189647956" w:history="1">
        <w:r w:rsidRPr="00D308F8">
          <w:rPr>
            <w:rStyle w:val="Hyperlink"/>
          </w:rPr>
          <w:t>Figure 30: Percentage of people secluded in adult inpatient services, by ethnicity and gender, 1 July 2022 to 30 June 2023</w:t>
        </w:r>
        <w:r>
          <w:rPr>
            <w:webHidden/>
          </w:rPr>
          <w:tab/>
        </w:r>
        <w:r>
          <w:rPr>
            <w:webHidden/>
          </w:rPr>
          <w:fldChar w:fldCharType="begin"/>
        </w:r>
        <w:r>
          <w:rPr>
            <w:webHidden/>
          </w:rPr>
          <w:instrText xml:space="preserve"> PAGEREF _Toc189647956 \h </w:instrText>
        </w:r>
        <w:r>
          <w:rPr>
            <w:webHidden/>
          </w:rPr>
        </w:r>
        <w:r>
          <w:rPr>
            <w:webHidden/>
          </w:rPr>
          <w:fldChar w:fldCharType="separate"/>
        </w:r>
        <w:r w:rsidR="00753BC8">
          <w:rPr>
            <w:webHidden/>
          </w:rPr>
          <w:t>30</w:t>
        </w:r>
        <w:r>
          <w:rPr>
            <w:webHidden/>
          </w:rPr>
          <w:fldChar w:fldCharType="end"/>
        </w:r>
      </w:hyperlink>
    </w:p>
    <w:p w14:paraId="65D86409" w14:textId="570283CD" w:rsidR="00AE3F06" w:rsidRDefault="00AE3F06">
      <w:pPr>
        <w:pStyle w:val="TOC3"/>
        <w:rPr>
          <w:rFonts w:asciiTheme="minorHAnsi" w:eastAsiaTheme="minorEastAsia" w:hAnsiTheme="minorHAnsi" w:cstheme="minorBidi"/>
          <w:kern w:val="2"/>
          <w:sz w:val="22"/>
          <w:szCs w:val="22"/>
          <w:lang w:eastAsia="en-NZ"/>
          <w14:ligatures w14:val="standardContextual"/>
        </w:rPr>
      </w:pPr>
      <w:hyperlink w:anchor="_Toc189647957" w:history="1">
        <w:r w:rsidRPr="00D308F8">
          <w:rPr>
            <w:rStyle w:val="Hyperlink"/>
          </w:rPr>
          <w:t>Figure 31: Number of Māori and non-Māori secluded in adult inpatient services, 2007 to 2022/23</w:t>
        </w:r>
        <w:r>
          <w:rPr>
            <w:webHidden/>
          </w:rPr>
          <w:tab/>
        </w:r>
        <w:r>
          <w:rPr>
            <w:webHidden/>
          </w:rPr>
          <w:fldChar w:fldCharType="begin"/>
        </w:r>
        <w:r>
          <w:rPr>
            <w:webHidden/>
          </w:rPr>
          <w:instrText xml:space="preserve"> PAGEREF _Toc189647957 \h </w:instrText>
        </w:r>
        <w:r>
          <w:rPr>
            <w:webHidden/>
          </w:rPr>
        </w:r>
        <w:r>
          <w:rPr>
            <w:webHidden/>
          </w:rPr>
          <w:fldChar w:fldCharType="separate"/>
        </w:r>
        <w:r w:rsidR="00753BC8">
          <w:rPr>
            <w:webHidden/>
          </w:rPr>
          <w:t>30</w:t>
        </w:r>
        <w:r>
          <w:rPr>
            <w:webHidden/>
          </w:rPr>
          <w:fldChar w:fldCharType="end"/>
        </w:r>
      </w:hyperlink>
    </w:p>
    <w:p w14:paraId="39829E69" w14:textId="5C6ADB29" w:rsidR="00AE3F06" w:rsidRDefault="00AE3F06">
      <w:pPr>
        <w:pStyle w:val="TOC3"/>
        <w:rPr>
          <w:rFonts w:asciiTheme="minorHAnsi" w:eastAsiaTheme="minorEastAsia" w:hAnsiTheme="minorHAnsi" w:cstheme="minorBidi"/>
          <w:kern w:val="2"/>
          <w:sz w:val="22"/>
          <w:szCs w:val="22"/>
          <w:lang w:eastAsia="en-NZ"/>
          <w14:ligatures w14:val="standardContextual"/>
        </w:rPr>
      </w:pPr>
      <w:hyperlink w:anchor="_Toc189647958" w:history="1">
        <w:r w:rsidRPr="00D308F8">
          <w:rPr>
            <w:rStyle w:val="Hyperlink"/>
          </w:rPr>
          <w:t>Figure 32: Seclusion indicators for forensic mental health services, by ethnicity, 1 July 2022 to 30 June 2023</w:t>
        </w:r>
        <w:r>
          <w:rPr>
            <w:webHidden/>
          </w:rPr>
          <w:tab/>
        </w:r>
        <w:r>
          <w:rPr>
            <w:webHidden/>
          </w:rPr>
          <w:fldChar w:fldCharType="begin"/>
        </w:r>
        <w:r>
          <w:rPr>
            <w:webHidden/>
          </w:rPr>
          <w:instrText xml:space="preserve"> PAGEREF _Toc189647958 \h </w:instrText>
        </w:r>
        <w:r>
          <w:rPr>
            <w:webHidden/>
          </w:rPr>
        </w:r>
        <w:r>
          <w:rPr>
            <w:webHidden/>
          </w:rPr>
          <w:fldChar w:fldCharType="separate"/>
        </w:r>
        <w:r w:rsidR="00753BC8">
          <w:rPr>
            <w:webHidden/>
          </w:rPr>
          <w:t>32</w:t>
        </w:r>
        <w:r>
          <w:rPr>
            <w:webHidden/>
          </w:rPr>
          <w:fldChar w:fldCharType="end"/>
        </w:r>
      </w:hyperlink>
    </w:p>
    <w:p w14:paraId="6304069F" w14:textId="1EAB10B1" w:rsidR="00AE3F06" w:rsidRDefault="00AE3F06">
      <w:pPr>
        <w:pStyle w:val="TOC3"/>
        <w:rPr>
          <w:rFonts w:asciiTheme="minorHAnsi" w:eastAsiaTheme="minorEastAsia" w:hAnsiTheme="minorHAnsi" w:cstheme="minorBidi"/>
          <w:kern w:val="2"/>
          <w:sz w:val="22"/>
          <w:szCs w:val="22"/>
          <w:lang w:eastAsia="en-NZ"/>
          <w14:ligatures w14:val="standardContextual"/>
        </w:rPr>
      </w:pPr>
      <w:hyperlink w:anchor="_Toc189647959" w:history="1">
        <w:r w:rsidRPr="00D308F8">
          <w:rPr>
            <w:rStyle w:val="Hyperlink"/>
          </w:rPr>
          <w:t>Figure 33: Total number of special patients, by regional service, 1 July 2022 to 30 June 2023</w:t>
        </w:r>
        <w:r>
          <w:rPr>
            <w:webHidden/>
          </w:rPr>
          <w:tab/>
        </w:r>
        <w:r>
          <w:rPr>
            <w:webHidden/>
          </w:rPr>
          <w:fldChar w:fldCharType="begin"/>
        </w:r>
        <w:r>
          <w:rPr>
            <w:webHidden/>
          </w:rPr>
          <w:instrText xml:space="preserve"> PAGEREF _Toc189647959 \h </w:instrText>
        </w:r>
        <w:r>
          <w:rPr>
            <w:webHidden/>
          </w:rPr>
        </w:r>
        <w:r>
          <w:rPr>
            <w:webHidden/>
          </w:rPr>
          <w:fldChar w:fldCharType="separate"/>
        </w:r>
        <w:r w:rsidR="00753BC8">
          <w:rPr>
            <w:webHidden/>
          </w:rPr>
          <w:t>35</w:t>
        </w:r>
        <w:r>
          <w:rPr>
            <w:webHidden/>
          </w:rPr>
          <w:fldChar w:fldCharType="end"/>
        </w:r>
      </w:hyperlink>
    </w:p>
    <w:p w14:paraId="2C7EF1DB" w14:textId="1B199C4B" w:rsidR="00AE3F06" w:rsidRDefault="00AE3F06">
      <w:pPr>
        <w:pStyle w:val="TOC3"/>
        <w:rPr>
          <w:rFonts w:asciiTheme="minorHAnsi" w:eastAsiaTheme="minorEastAsia" w:hAnsiTheme="minorHAnsi" w:cstheme="minorBidi"/>
          <w:kern w:val="2"/>
          <w:sz w:val="22"/>
          <w:szCs w:val="22"/>
          <w:lang w:eastAsia="en-NZ"/>
          <w14:ligatures w14:val="standardContextual"/>
        </w:rPr>
      </w:pPr>
      <w:hyperlink w:anchor="_Toc189647960" w:history="1">
        <w:r w:rsidRPr="00D308F8">
          <w:rPr>
            <w:rStyle w:val="Hyperlink"/>
          </w:rPr>
          <w:t>Figure 34: Percentage of court orders given for extended and short-term forensic care, by regional service, 1 July 2022 to 30 June 2023</w:t>
        </w:r>
        <w:r>
          <w:rPr>
            <w:webHidden/>
          </w:rPr>
          <w:tab/>
        </w:r>
        <w:r>
          <w:rPr>
            <w:webHidden/>
          </w:rPr>
          <w:fldChar w:fldCharType="begin"/>
        </w:r>
        <w:r>
          <w:rPr>
            <w:webHidden/>
          </w:rPr>
          <w:instrText xml:space="preserve"> PAGEREF _Toc189647960 \h </w:instrText>
        </w:r>
        <w:r>
          <w:rPr>
            <w:webHidden/>
          </w:rPr>
        </w:r>
        <w:r>
          <w:rPr>
            <w:webHidden/>
          </w:rPr>
          <w:fldChar w:fldCharType="separate"/>
        </w:r>
        <w:r w:rsidR="00753BC8">
          <w:rPr>
            <w:webHidden/>
          </w:rPr>
          <w:t>37</w:t>
        </w:r>
        <w:r>
          <w:rPr>
            <w:webHidden/>
          </w:rPr>
          <w:fldChar w:fldCharType="end"/>
        </w:r>
      </w:hyperlink>
    </w:p>
    <w:p w14:paraId="1D112E36" w14:textId="1668985C" w:rsidR="00AE3F06" w:rsidRDefault="00AE3F06">
      <w:pPr>
        <w:pStyle w:val="TOC3"/>
        <w:rPr>
          <w:rFonts w:asciiTheme="minorHAnsi" w:eastAsiaTheme="minorEastAsia" w:hAnsiTheme="minorHAnsi" w:cstheme="minorBidi"/>
          <w:kern w:val="2"/>
          <w:sz w:val="22"/>
          <w:szCs w:val="22"/>
          <w:lang w:eastAsia="en-NZ"/>
          <w14:ligatures w14:val="standardContextual"/>
        </w:rPr>
      </w:pPr>
      <w:hyperlink w:anchor="_Toc189647961" w:history="1">
        <w:r w:rsidRPr="00D308F8">
          <w:rPr>
            <w:rStyle w:val="Hyperlink"/>
          </w:rPr>
          <w:t>Figure 35: Number of special patients, by gender, 1 July 2022 to 30 June 2023</w:t>
        </w:r>
        <w:r>
          <w:rPr>
            <w:webHidden/>
          </w:rPr>
          <w:tab/>
        </w:r>
        <w:r>
          <w:rPr>
            <w:webHidden/>
          </w:rPr>
          <w:fldChar w:fldCharType="begin"/>
        </w:r>
        <w:r>
          <w:rPr>
            <w:webHidden/>
          </w:rPr>
          <w:instrText xml:space="preserve"> PAGEREF _Toc189647961 \h </w:instrText>
        </w:r>
        <w:r>
          <w:rPr>
            <w:webHidden/>
          </w:rPr>
        </w:r>
        <w:r>
          <w:rPr>
            <w:webHidden/>
          </w:rPr>
          <w:fldChar w:fldCharType="separate"/>
        </w:r>
        <w:r w:rsidR="00753BC8">
          <w:rPr>
            <w:webHidden/>
          </w:rPr>
          <w:t>37</w:t>
        </w:r>
        <w:r>
          <w:rPr>
            <w:webHidden/>
          </w:rPr>
          <w:fldChar w:fldCharType="end"/>
        </w:r>
      </w:hyperlink>
    </w:p>
    <w:p w14:paraId="37268451" w14:textId="1E36C312" w:rsidR="00AE3F06" w:rsidRDefault="00AE3F06">
      <w:pPr>
        <w:pStyle w:val="TOC3"/>
        <w:rPr>
          <w:rFonts w:asciiTheme="minorHAnsi" w:eastAsiaTheme="minorEastAsia" w:hAnsiTheme="minorHAnsi" w:cstheme="minorBidi"/>
          <w:kern w:val="2"/>
          <w:sz w:val="22"/>
          <w:szCs w:val="22"/>
          <w:lang w:eastAsia="en-NZ"/>
          <w14:ligatures w14:val="standardContextual"/>
        </w:rPr>
      </w:pPr>
      <w:hyperlink w:anchor="_Toc189647962" w:history="1">
        <w:r w:rsidRPr="00D308F8">
          <w:rPr>
            <w:rStyle w:val="Hyperlink"/>
          </w:rPr>
          <w:t>Figure 36: Total number of special patients, by age group, 1 July 2022 to 30 June 2023</w:t>
        </w:r>
        <w:r>
          <w:rPr>
            <w:webHidden/>
          </w:rPr>
          <w:tab/>
        </w:r>
        <w:r>
          <w:rPr>
            <w:webHidden/>
          </w:rPr>
          <w:fldChar w:fldCharType="begin"/>
        </w:r>
        <w:r>
          <w:rPr>
            <w:webHidden/>
          </w:rPr>
          <w:instrText xml:space="preserve"> PAGEREF _Toc189647962 \h </w:instrText>
        </w:r>
        <w:r>
          <w:rPr>
            <w:webHidden/>
          </w:rPr>
        </w:r>
        <w:r>
          <w:rPr>
            <w:webHidden/>
          </w:rPr>
          <w:fldChar w:fldCharType="separate"/>
        </w:r>
        <w:r w:rsidR="00753BC8">
          <w:rPr>
            <w:webHidden/>
          </w:rPr>
          <w:t>38</w:t>
        </w:r>
        <w:r>
          <w:rPr>
            <w:webHidden/>
          </w:rPr>
          <w:fldChar w:fldCharType="end"/>
        </w:r>
      </w:hyperlink>
    </w:p>
    <w:p w14:paraId="5BAEE1D4" w14:textId="5C919631" w:rsidR="00AE3F06" w:rsidRDefault="00AE3F06">
      <w:pPr>
        <w:pStyle w:val="TOC3"/>
        <w:rPr>
          <w:rFonts w:asciiTheme="minorHAnsi" w:eastAsiaTheme="minorEastAsia" w:hAnsiTheme="minorHAnsi" w:cstheme="minorBidi"/>
          <w:kern w:val="2"/>
          <w:sz w:val="22"/>
          <w:szCs w:val="22"/>
          <w:lang w:eastAsia="en-NZ"/>
          <w14:ligatures w14:val="standardContextual"/>
        </w:rPr>
      </w:pPr>
      <w:hyperlink w:anchor="_Toc189647963" w:history="1">
        <w:r w:rsidRPr="00D308F8">
          <w:rPr>
            <w:rStyle w:val="Hyperlink"/>
          </w:rPr>
          <w:t>Figure 37: Percentage (and number) of special patients, by ethnicity and special patient type, 1 July 2022 to 30 June 2023</w:t>
        </w:r>
        <w:r>
          <w:rPr>
            <w:webHidden/>
          </w:rPr>
          <w:tab/>
        </w:r>
        <w:r>
          <w:rPr>
            <w:webHidden/>
          </w:rPr>
          <w:fldChar w:fldCharType="begin"/>
        </w:r>
        <w:r>
          <w:rPr>
            <w:webHidden/>
          </w:rPr>
          <w:instrText xml:space="preserve"> PAGEREF _Toc189647963 \h </w:instrText>
        </w:r>
        <w:r>
          <w:rPr>
            <w:webHidden/>
          </w:rPr>
        </w:r>
        <w:r>
          <w:rPr>
            <w:webHidden/>
          </w:rPr>
          <w:fldChar w:fldCharType="separate"/>
        </w:r>
        <w:r w:rsidR="00753BC8">
          <w:rPr>
            <w:webHidden/>
          </w:rPr>
          <w:t>38</w:t>
        </w:r>
        <w:r>
          <w:rPr>
            <w:webHidden/>
          </w:rPr>
          <w:fldChar w:fldCharType="end"/>
        </w:r>
      </w:hyperlink>
    </w:p>
    <w:p w14:paraId="5F1A6A04" w14:textId="08DE8970" w:rsidR="00AE3F06" w:rsidRDefault="00AE3F06">
      <w:pPr>
        <w:pStyle w:val="TOC3"/>
        <w:rPr>
          <w:rFonts w:asciiTheme="minorHAnsi" w:eastAsiaTheme="minorEastAsia" w:hAnsiTheme="minorHAnsi" w:cstheme="minorBidi"/>
          <w:kern w:val="2"/>
          <w:sz w:val="22"/>
          <w:szCs w:val="22"/>
          <w:lang w:eastAsia="en-NZ"/>
          <w14:ligatures w14:val="standardContextual"/>
        </w:rPr>
      </w:pPr>
      <w:hyperlink w:anchor="_Toc189647964" w:history="1">
        <w:r w:rsidRPr="00D308F8">
          <w:rPr>
            <w:rStyle w:val="Hyperlink"/>
          </w:rPr>
          <w:t>Figure 38: Number of ECT patients per 100,000 population, 2005 to 2022/23</w:t>
        </w:r>
        <w:r>
          <w:rPr>
            <w:webHidden/>
          </w:rPr>
          <w:tab/>
        </w:r>
        <w:r>
          <w:rPr>
            <w:webHidden/>
          </w:rPr>
          <w:fldChar w:fldCharType="begin"/>
        </w:r>
        <w:r>
          <w:rPr>
            <w:webHidden/>
          </w:rPr>
          <w:instrText xml:space="preserve"> PAGEREF _Toc189647964 \h </w:instrText>
        </w:r>
        <w:r>
          <w:rPr>
            <w:webHidden/>
          </w:rPr>
        </w:r>
        <w:r>
          <w:rPr>
            <w:webHidden/>
          </w:rPr>
          <w:fldChar w:fldCharType="separate"/>
        </w:r>
        <w:r w:rsidR="00753BC8">
          <w:rPr>
            <w:webHidden/>
          </w:rPr>
          <w:t>44</w:t>
        </w:r>
        <w:r>
          <w:rPr>
            <w:webHidden/>
          </w:rPr>
          <w:fldChar w:fldCharType="end"/>
        </w:r>
      </w:hyperlink>
    </w:p>
    <w:p w14:paraId="1361F9CA" w14:textId="4EA53334" w:rsidR="00AE3F06" w:rsidRDefault="00AE3F06">
      <w:pPr>
        <w:pStyle w:val="TOC3"/>
        <w:rPr>
          <w:rFonts w:asciiTheme="minorHAnsi" w:eastAsiaTheme="minorEastAsia" w:hAnsiTheme="minorHAnsi" w:cstheme="minorBidi"/>
          <w:kern w:val="2"/>
          <w:sz w:val="22"/>
          <w:szCs w:val="22"/>
          <w:lang w:eastAsia="en-NZ"/>
          <w14:ligatures w14:val="standardContextual"/>
        </w:rPr>
      </w:pPr>
      <w:hyperlink w:anchor="_Toc189647965" w:history="1">
        <w:r w:rsidRPr="00D308F8">
          <w:rPr>
            <w:rStyle w:val="Hyperlink"/>
          </w:rPr>
          <w:t>Figure 39: Number of people per 100,000 population treated with ECT, by district of domicile, 1 July 2022 to 30 June 2023</w:t>
        </w:r>
        <w:r>
          <w:rPr>
            <w:webHidden/>
          </w:rPr>
          <w:tab/>
        </w:r>
        <w:r>
          <w:rPr>
            <w:webHidden/>
          </w:rPr>
          <w:fldChar w:fldCharType="begin"/>
        </w:r>
        <w:r>
          <w:rPr>
            <w:webHidden/>
          </w:rPr>
          <w:instrText xml:space="preserve"> PAGEREF _Toc189647965 \h </w:instrText>
        </w:r>
        <w:r>
          <w:rPr>
            <w:webHidden/>
          </w:rPr>
        </w:r>
        <w:r>
          <w:rPr>
            <w:webHidden/>
          </w:rPr>
          <w:fldChar w:fldCharType="separate"/>
        </w:r>
        <w:r w:rsidR="00753BC8">
          <w:rPr>
            <w:webHidden/>
          </w:rPr>
          <w:t>46</w:t>
        </w:r>
        <w:r>
          <w:rPr>
            <w:webHidden/>
          </w:rPr>
          <w:fldChar w:fldCharType="end"/>
        </w:r>
      </w:hyperlink>
    </w:p>
    <w:p w14:paraId="30B88829" w14:textId="47AC9BF7" w:rsidR="00AE3F06" w:rsidRDefault="00AE3F06">
      <w:pPr>
        <w:pStyle w:val="TOC3"/>
        <w:rPr>
          <w:rFonts w:asciiTheme="minorHAnsi" w:eastAsiaTheme="minorEastAsia" w:hAnsiTheme="minorHAnsi" w:cstheme="minorBidi"/>
          <w:kern w:val="2"/>
          <w:sz w:val="22"/>
          <w:szCs w:val="22"/>
          <w:lang w:eastAsia="en-NZ"/>
          <w14:ligatures w14:val="standardContextual"/>
        </w:rPr>
      </w:pPr>
      <w:hyperlink w:anchor="_Toc189647966" w:history="1">
        <w:r w:rsidRPr="00D308F8">
          <w:rPr>
            <w:rStyle w:val="Hyperlink"/>
          </w:rPr>
          <w:t>Figure 40: Number of ECT treatments per 100,000 population, by district of domicile, 1 July 2022 to 30 June 2023</w:t>
        </w:r>
        <w:r>
          <w:rPr>
            <w:webHidden/>
          </w:rPr>
          <w:tab/>
        </w:r>
        <w:r>
          <w:rPr>
            <w:webHidden/>
          </w:rPr>
          <w:fldChar w:fldCharType="begin"/>
        </w:r>
        <w:r>
          <w:rPr>
            <w:webHidden/>
          </w:rPr>
          <w:instrText xml:space="preserve"> PAGEREF _Toc189647966 \h </w:instrText>
        </w:r>
        <w:r>
          <w:rPr>
            <w:webHidden/>
          </w:rPr>
        </w:r>
        <w:r>
          <w:rPr>
            <w:webHidden/>
          </w:rPr>
          <w:fldChar w:fldCharType="separate"/>
        </w:r>
        <w:r w:rsidR="00753BC8">
          <w:rPr>
            <w:webHidden/>
          </w:rPr>
          <w:t>46</w:t>
        </w:r>
        <w:r>
          <w:rPr>
            <w:webHidden/>
          </w:rPr>
          <w:fldChar w:fldCharType="end"/>
        </w:r>
      </w:hyperlink>
    </w:p>
    <w:p w14:paraId="324C5534" w14:textId="3C33B806" w:rsidR="00AE3F06" w:rsidRDefault="00AE3F06">
      <w:pPr>
        <w:pStyle w:val="TOC3"/>
        <w:rPr>
          <w:rFonts w:asciiTheme="minorHAnsi" w:eastAsiaTheme="minorEastAsia" w:hAnsiTheme="minorHAnsi" w:cstheme="minorBidi"/>
          <w:kern w:val="2"/>
          <w:sz w:val="22"/>
          <w:szCs w:val="22"/>
          <w:lang w:eastAsia="en-NZ"/>
          <w14:ligatures w14:val="standardContextual"/>
        </w:rPr>
      </w:pPr>
      <w:hyperlink w:anchor="_Toc189647967" w:history="1">
        <w:r w:rsidRPr="00D308F8">
          <w:rPr>
            <w:rStyle w:val="Hyperlink"/>
          </w:rPr>
          <w:t>Figure 41: Number of people treated with ECT per 100,000 population, by district of domicile, 1 July 2022 to 30 June 2023</w:t>
        </w:r>
        <w:r>
          <w:rPr>
            <w:webHidden/>
          </w:rPr>
          <w:tab/>
        </w:r>
        <w:r>
          <w:rPr>
            <w:webHidden/>
          </w:rPr>
          <w:fldChar w:fldCharType="begin"/>
        </w:r>
        <w:r>
          <w:rPr>
            <w:webHidden/>
          </w:rPr>
          <w:instrText xml:space="preserve"> PAGEREF _Toc189647967 \h </w:instrText>
        </w:r>
        <w:r>
          <w:rPr>
            <w:webHidden/>
          </w:rPr>
        </w:r>
        <w:r>
          <w:rPr>
            <w:webHidden/>
          </w:rPr>
          <w:fldChar w:fldCharType="separate"/>
        </w:r>
        <w:r w:rsidR="00753BC8">
          <w:rPr>
            <w:webHidden/>
          </w:rPr>
          <w:t>47</w:t>
        </w:r>
        <w:r>
          <w:rPr>
            <w:webHidden/>
          </w:rPr>
          <w:fldChar w:fldCharType="end"/>
        </w:r>
      </w:hyperlink>
    </w:p>
    <w:p w14:paraId="356D6A3B" w14:textId="33679BDB" w:rsidR="00AE3F06" w:rsidRDefault="00AE3F06">
      <w:pPr>
        <w:pStyle w:val="TOC3"/>
        <w:rPr>
          <w:rFonts w:asciiTheme="minorHAnsi" w:eastAsiaTheme="minorEastAsia" w:hAnsiTheme="minorHAnsi" w:cstheme="minorBidi"/>
          <w:kern w:val="2"/>
          <w:sz w:val="22"/>
          <w:szCs w:val="22"/>
          <w:lang w:eastAsia="en-NZ"/>
          <w14:ligatures w14:val="standardContextual"/>
        </w:rPr>
      </w:pPr>
      <w:hyperlink w:anchor="_Toc189647968" w:history="1">
        <w:r w:rsidRPr="00D308F8">
          <w:rPr>
            <w:rStyle w:val="Hyperlink"/>
          </w:rPr>
          <w:t>Figure 42: Number of people treated with ECT, by age group and gender, 1 July 2022 to 30 June 2023</w:t>
        </w:r>
        <w:r>
          <w:rPr>
            <w:webHidden/>
          </w:rPr>
          <w:tab/>
        </w:r>
        <w:r>
          <w:rPr>
            <w:webHidden/>
          </w:rPr>
          <w:fldChar w:fldCharType="begin"/>
        </w:r>
        <w:r>
          <w:rPr>
            <w:webHidden/>
          </w:rPr>
          <w:instrText xml:space="preserve"> PAGEREF _Toc189647968 \h </w:instrText>
        </w:r>
        <w:r>
          <w:rPr>
            <w:webHidden/>
          </w:rPr>
        </w:r>
        <w:r>
          <w:rPr>
            <w:webHidden/>
          </w:rPr>
          <w:fldChar w:fldCharType="separate"/>
        </w:r>
        <w:r w:rsidR="00753BC8">
          <w:rPr>
            <w:webHidden/>
          </w:rPr>
          <w:t>47</w:t>
        </w:r>
        <w:r>
          <w:rPr>
            <w:webHidden/>
          </w:rPr>
          <w:fldChar w:fldCharType="end"/>
        </w:r>
      </w:hyperlink>
    </w:p>
    <w:p w14:paraId="41913811" w14:textId="3C819EE8" w:rsidR="00AE3F06" w:rsidRDefault="00AE3F06">
      <w:pPr>
        <w:pStyle w:val="TOC3"/>
        <w:rPr>
          <w:rFonts w:asciiTheme="minorHAnsi" w:eastAsiaTheme="minorEastAsia" w:hAnsiTheme="minorHAnsi" w:cstheme="minorBidi"/>
          <w:kern w:val="2"/>
          <w:sz w:val="22"/>
          <w:szCs w:val="22"/>
          <w:lang w:eastAsia="en-NZ"/>
          <w14:ligatures w14:val="standardContextual"/>
        </w:rPr>
      </w:pPr>
      <w:hyperlink w:anchor="_Toc189647969" w:history="1">
        <w:r w:rsidRPr="00D308F8">
          <w:rPr>
            <w:rStyle w:val="Hyperlink"/>
          </w:rPr>
          <w:t>Figure 43: Percentage of people receiving opioid substitution therapy from specialist services and general practitioners, by district, 1 July 2022 to 30 June 2023</w:t>
        </w:r>
        <w:r>
          <w:rPr>
            <w:webHidden/>
          </w:rPr>
          <w:tab/>
        </w:r>
        <w:r>
          <w:rPr>
            <w:webHidden/>
          </w:rPr>
          <w:fldChar w:fldCharType="begin"/>
        </w:r>
        <w:r>
          <w:rPr>
            <w:webHidden/>
          </w:rPr>
          <w:instrText xml:space="preserve"> PAGEREF _Toc189647969 \h </w:instrText>
        </w:r>
        <w:r>
          <w:rPr>
            <w:webHidden/>
          </w:rPr>
        </w:r>
        <w:r>
          <w:rPr>
            <w:webHidden/>
          </w:rPr>
          <w:fldChar w:fldCharType="separate"/>
        </w:r>
        <w:r w:rsidR="00753BC8">
          <w:rPr>
            <w:webHidden/>
          </w:rPr>
          <w:t>52</w:t>
        </w:r>
        <w:r>
          <w:rPr>
            <w:webHidden/>
          </w:rPr>
          <w:fldChar w:fldCharType="end"/>
        </w:r>
      </w:hyperlink>
    </w:p>
    <w:p w14:paraId="7B20CDD2" w14:textId="205440EC" w:rsidR="00AE3F06" w:rsidRDefault="00AE3F06">
      <w:pPr>
        <w:pStyle w:val="TOC3"/>
        <w:rPr>
          <w:rFonts w:asciiTheme="minorHAnsi" w:eastAsiaTheme="minorEastAsia" w:hAnsiTheme="minorHAnsi" w:cstheme="minorBidi"/>
          <w:kern w:val="2"/>
          <w:sz w:val="22"/>
          <w:szCs w:val="22"/>
          <w:lang w:eastAsia="en-NZ"/>
          <w14:ligatures w14:val="standardContextual"/>
        </w:rPr>
      </w:pPr>
      <w:hyperlink w:anchor="_Toc189647970" w:history="1">
        <w:r w:rsidRPr="00D308F8">
          <w:rPr>
            <w:rStyle w:val="Hyperlink"/>
          </w:rPr>
          <w:t>Figure 44: Number of people receiving opioid substitution therapy from a specialist service, general practitioner or prison service, 2007/08 to 2022/23</w:t>
        </w:r>
        <w:r>
          <w:rPr>
            <w:webHidden/>
          </w:rPr>
          <w:tab/>
        </w:r>
        <w:r>
          <w:rPr>
            <w:webHidden/>
          </w:rPr>
          <w:fldChar w:fldCharType="begin"/>
        </w:r>
        <w:r>
          <w:rPr>
            <w:webHidden/>
          </w:rPr>
          <w:instrText xml:space="preserve"> PAGEREF _Toc189647970 \h </w:instrText>
        </w:r>
        <w:r>
          <w:rPr>
            <w:webHidden/>
          </w:rPr>
        </w:r>
        <w:r>
          <w:rPr>
            <w:webHidden/>
          </w:rPr>
          <w:fldChar w:fldCharType="separate"/>
        </w:r>
        <w:r w:rsidR="00753BC8">
          <w:rPr>
            <w:webHidden/>
          </w:rPr>
          <w:t>52</w:t>
        </w:r>
        <w:r>
          <w:rPr>
            <w:webHidden/>
          </w:rPr>
          <w:fldChar w:fldCharType="end"/>
        </w:r>
      </w:hyperlink>
    </w:p>
    <w:p w14:paraId="3484F5D7" w14:textId="74E745BB" w:rsidR="00AE3F06" w:rsidRDefault="00AE3F06">
      <w:pPr>
        <w:pStyle w:val="TOC3"/>
        <w:rPr>
          <w:rFonts w:asciiTheme="minorHAnsi" w:eastAsiaTheme="minorEastAsia" w:hAnsiTheme="minorHAnsi" w:cstheme="minorBidi"/>
          <w:kern w:val="2"/>
          <w:sz w:val="22"/>
          <w:szCs w:val="22"/>
          <w:lang w:eastAsia="en-NZ"/>
          <w14:ligatures w14:val="standardContextual"/>
        </w:rPr>
      </w:pPr>
      <w:hyperlink w:anchor="_Toc189647971" w:history="1">
        <w:r w:rsidRPr="00D308F8">
          <w:rPr>
            <w:rStyle w:val="Hyperlink"/>
          </w:rPr>
          <w:t>Figure 45: Number of people prescribed suboxone, 2007/08 to 2022/23</w:t>
        </w:r>
        <w:r>
          <w:rPr>
            <w:webHidden/>
          </w:rPr>
          <w:tab/>
        </w:r>
        <w:r>
          <w:rPr>
            <w:webHidden/>
          </w:rPr>
          <w:fldChar w:fldCharType="begin"/>
        </w:r>
        <w:r>
          <w:rPr>
            <w:webHidden/>
          </w:rPr>
          <w:instrText xml:space="preserve"> PAGEREF _Toc189647971 \h </w:instrText>
        </w:r>
        <w:r>
          <w:rPr>
            <w:webHidden/>
          </w:rPr>
        </w:r>
        <w:r>
          <w:rPr>
            <w:webHidden/>
          </w:rPr>
          <w:fldChar w:fldCharType="separate"/>
        </w:r>
        <w:r w:rsidR="00753BC8">
          <w:rPr>
            <w:webHidden/>
          </w:rPr>
          <w:t>53</w:t>
        </w:r>
        <w:r>
          <w:rPr>
            <w:webHidden/>
          </w:rPr>
          <w:fldChar w:fldCharType="end"/>
        </w:r>
      </w:hyperlink>
    </w:p>
    <w:p w14:paraId="6BD7F904" w14:textId="13C21BB0" w:rsidR="00AE3F06" w:rsidRDefault="00AE3F06">
      <w:pPr>
        <w:pStyle w:val="TOC3"/>
        <w:rPr>
          <w:rFonts w:asciiTheme="minorHAnsi" w:eastAsiaTheme="minorEastAsia" w:hAnsiTheme="minorHAnsi" w:cstheme="minorBidi"/>
          <w:kern w:val="2"/>
          <w:sz w:val="22"/>
          <w:szCs w:val="22"/>
          <w:lang w:eastAsia="en-NZ"/>
          <w14:ligatures w14:val="standardContextual"/>
        </w:rPr>
      </w:pPr>
      <w:hyperlink w:anchor="_Toc189647972" w:history="1">
        <w:r w:rsidRPr="00D308F8">
          <w:rPr>
            <w:rStyle w:val="Hyperlink"/>
          </w:rPr>
          <w:t>Figure 46: Number of opioid substitution treatment clients, by age group, 2007/08 to 2022/23</w:t>
        </w:r>
        <w:r>
          <w:rPr>
            <w:webHidden/>
          </w:rPr>
          <w:tab/>
        </w:r>
        <w:r>
          <w:rPr>
            <w:webHidden/>
          </w:rPr>
          <w:fldChar w:fldCharType="begin"/>
        </w:r>
        <w:r>
          <w:rPr>
            <w:webHidden/>
          </w:rPr>
          <w:instrText xml:space="preserve"> PAGEREF _Toc189647972 \h </w:instrText>
        </w:r>
        <w:r>
          <w:rPr>
            <w:webHidden/>
          </w:rPr>
        </w:r>
        <w:r>
          <w:rPr>
            <w:webHidden/>
          </w:rPr>
          <w:fldChar w:fldCharType="separate"/>
        </w:r>
        <w:r w:rsidR="00753BC8">
          <w:rPr>
            <w:webHidden/>
          </w:rPr>
          <w:t>54</w:t>
        </w:r>
        <w:r>
          <w:rPr>
            <w:webHidden/>
          </w:rPr>
          <w:fldChar w:fldCharType="end"/>
        </w:r>
      </w:hyperlink>
    </w:p>
    <w:p w14:paraId="57790C55" w14:textId="3BD5A9EA" w:rsidR="00AE3F06" w:rsidRDefault="00AE3F06">
      <w:pPr>
        <w:pStyle w:val="TOC3"/>
        <w:rPr>
          <w:rFonts w:asciiTheme="minorHAnsi" w:eastAsiaTheme="minorEastAsia" w:hAnsiTheme="minorHAnsi" w:cstheme="minorBidi"/>
          <w:kern w:val="2"/>
          <w:sz w:val="22"/>
          <w:szCs w:val="22"/>
          <w:lang w:eastAsia="en-NZ"/>
          <w14:ligatures w14:val="standardContextual"/>
        </w:rPr>
      </w:pPr>
      <w:hyperlink w:anchor="_Toc189647973" w:history="1">
        <w:r w:rsidRPr="00D308F8">
          <w:rPr>
            <w:rStyle w:val="Hyperlink"/>
          </w:rPr>
          <w:t>Figure 47: Percentage of exits from opioid substitution treatment programmes, by reason (voluntary, involuntary or death), 2008/09 to 2022/23</w:t>
        </w:r>
        <w:r>
          <w:rPr>
            <w:webHidden/>
          </w:rPr>
          <w:tab/>
        </w:r>
        <w:r>
          <w:rPr>
            <w:webHidden/>
          </w:rPr>
          <w:fldChar w:fldCharType="begin"/>
        </w:r>
        <w:r>
          <w:rPr>
            <w:webHidden/>
          </w:rPr>
          <w:instrText xml:space="preserve"> PAGEREF _Toc189647973 \h </w:instrText>
        </w:r>
        <w:r>
          <w:rPr>
            <w:webHidden/>
          </w:rPr>
        </w:r>
        <w:r>
          <w:rPr>
            <w:webHidden/>
          </w:rPr>
          <w:fldChar w:fldCharType="separate"/>
        </w:r>
        <w:r w:rsidR="00753BC8">
          <w:rPr>
            <w:webHidden/>
          </w:rPr>
          <w:t>55</w:t>
        </w:r>
        <w:r>
          <w:rPr>
            <w:webHidden/>
          </w:rPr>
          <w:fldChar w:fldCharType="end"/>
        </w:r>
      </w:hyperlink>
    </w:p>
    <w:p w14:paraId="59DAF8B6" w14:textId="64A4CE5C" w:rsidR="00AE3F06" w:rsidRDefault="00AE3F06">
      <w:pPr>
        <w:pStyle w:val="TOC3"/>
        <w:rPr>
          <w:rFonts w:asciiTheme="minorHAnsi" w:eastAsiaTheme="minorEastAsia" w:hAnsiTheme="minorHAnsi" w:cstheme="minorBidi"/>
          <w:kern w:val="2"/>
          <w:sz w:val="22"/>
          <w:szCs w:val="22"/>
          <w:lang w:eastAsia="en-NZ"/>
          <w14:ligatures w14:val="standardContextual"/>
        </w:rPr>
      </w:pPr>
      <w:hyperlink w:anchor="_Toc189647974" w:history="1">
        <w:r w:rsidRPr="00D308F8">
          <w:rPr>
            <w:rStyle w:val="Hyperlink"/>
          </w:rPr>
          <w:t>Figure 48: Number of samples tested and of individuals given harm reduction advice, nationally, 1 October 2022 to 30 June 2023</w:t>
        </w:r>
        <w:r>
          <w:rPr>
            <w:webHidden/>
          </w:rPr>
          <w:tab/>
        </w:r>
        <w:r>
          <w:rPr>
            <w:webHidden/>
          </w:rPr>
          <w:fldChar w:fldCharType="begin"/>
        </w:r>
        <w:r>
          <w:rPr>
            <w:webHidden/>
          </w:rPr>
          <w:instrText xml:space="preserve"> PAGEREF _Toc189647974 \h </w:instrText>
        </w:r>
        <w:r>
          <w:rPr>
            <w:webHidden/>
          </w:rPr>
        </w:r>
        <w:r>
          <w:rPr>
            <w:webHidden/>
          </w:rPr>
          <w:fldChar w:fldCharType="separate"/>
        </w:r>
        <w:r w:rsidR="00753BC8">
          <w:rPr>
            <w:webHidden/>
          </w:rPr>
          <w:t>57</w:t>
        </w:r>
        <w:r>
          <w:rPr>
            <w:webHidden/>
          </w:rPr>
          <w:fldChar w:fldCharType="end"/>
        </w:r>
      </w:hyperlink>
    </w:p>
    <w:p w14:paraId="4084442B" w14:textId="4EEA090D" w:rsidR="00AE3F06" w:rsidRDefault="00AE3F06">
      <w:pPr>
        <w:pStyle w:val="TOC3"/>
        <w:rPr>
          <w:rFonts w:asciiTheme="minorHAnsi" w:eastAsiaTheme="minorEastAsia" w:hAnsiTheme="minorHAnsi" w:cstheme="minorBidi"/>
          <w:kern w:val="2"/>
          <w:sz w:val="22"/>
          <w:szCs w:val="22"/>
          <w:lang w:eastAsia="en-NZ"/>
          <w14:ligatures w14:val="standardContextual"/>
        </w:rPr>
      </w:pPr>
      <w:hyperlink w:anchor="_Toc189647975" w:history="1">
        <w:r w:rsidRPr="00D308F8">
          <w:rPr>
            <w:rStyle w:val="Hyperlink"/>
          </w:rPr>
          <w:t>Figure 49: Drug types presented to drug-checking services, as presumed by client, nationally, 1 October 2022 to 30 June 2023</w:t>
        </w:r>
        <w:r>
          <w:rPr>
            <w:webHidden/>
          </w:rPr>
          <w:tab/>
        </w:r>
        <w:r>
          <w:rPr>
            <w:webHidden/>
          </w:rPr>
          <w:fldChar w:fldCharType="begin"/>
        </w:r>
        <w:r>
          <w:rPr>
            <w:webHidden/>
          </w:rPr>
          <w:instrText xml:space="preserve"> PAGEREF _Toc189647975 \h </w:instrText>
        </w:r>
        <w:r>
          <w:rPr>
            <w:webHidden/>
          </w:rPr>
        </w:r>
        <w:r>
          <w:rPr>
            <w:webHidden/>
          </w:rPr>
          <w:fldChar w:fldCharType="separate"/>
        </w:r>
        <w:r w:rsidR="00753BC8">
          <w:rPr>
            <w:webHidden/>
          </w:rPr>
          <w:t>58</w:t>
        </w:r>
        <w:r>
          <w:rPr>
            <w:webHidden/>
          </w:rPr>
          <w:fldChar w:fldCharType="end"/>
        </w:r>
      </w:hyperlink>
    </w:p>
    <w:p w14:paraId="2D380E99" w14:textId="1602C091" w:rsidR="00AE3F06" w:rsidRDefault="00AE3F06">
      <w:pPr>
        <w:pStyle w:val="TOC3"/>
        <w:rPr>
          <w:rFonts w:asciiTheme="minorHAnsi" w:eastAsiaTheme="minorEastAsia" w:hAnsiTheme="minorHAnsi" w:cstheme="minorBidi"/>
          <w:kern w:val="2"/>
          <w:sz w:val="22"/>
          <w:szCs w:val="22"/>
          <w:lang w:eastAsia="en-NZ"/>
          <w14:ligatures w14:val="standardContextual"/>
        </w:rPr>
      </w:pPr>
      <w:hyperlink w:anchor="_Toc189647976" w:history="1">
        <w:r w:rsidRPr="00D308F8">
          <w:rPr>
            <w:rStyle w:val="Hyperlink"/>
          </w:rPr>
          <w:t>Figure 50: Percentage of presumed drug types consistent with the confirmed drug type results, 1 October 2022 to 30 June 2023</w:t>
        </w:r>
        <w:r>
          <w:rPr>
            <w:webHidden/>
          </w:rPr>
          <w:tab/>
        </w:r>
        <w:r>
          <w:rPr>
            <w:webHidden/>
          </w:rPr>
          <w:fldChar w:fldCharType="begin"/>
        </w:r>
        <w:r>
          <w:rPr>
            <w:webHidden/>
          </w:rPr>
          <w:instrText xml:space="preserve"> PAGEREF _Toc189647976 \h </w:instrText>
        </w:r>
        <w:r>
          <w:rPr>
            <w:webHidden/>
          </w:rPr>
        </w:r>
        <w:r>
          <w:rPr>
            <w:webHidden/>
          </w:rPr>
          <w:fldChar w:fldCharType="separate"/>
        </w:r>
        <w:r w:rsidR="00753BC8">
          <w:rPr>
            <w:webHidden/>
          </w:rPr>
          <w:t>59</w:t>
        </w:r>
        <w:r>
          <w:rPr>
            <w:webHidden/>
          </w:rPr>
          <w:fldChar w:fldCharType="end"/>
        </w:r>
      </w:hyperlink>
    </w:p>
    <w:p w14:paraId="05CC63FD" w14:textId="5A94C96A" w:rsidR="003A5FEA" w:rsidRDefault="00AE3F06" w:rsidP="003A5FEA">
      <w:r>
        <w:rPr>
          <w:noProof/>
        </w:rPr>
        <w:fldChar w:fldCharType="end"/>
      </w:r>
    </w:p>
    <w:p w14:paraId="0D248541" w14:textId="77777777" w:rsidR="002B76A7" w:rsidRDefault="002B76A7" w:rsidP="002B76A7">
      <w:pPr>
        <w:pStyle w:val="TOC1"/>
        <w:keepNext/>
      </w:pPr>
      <w:r>
        <w:t>List of Tables</w:t>
      </w:r>
    </w:p>
    <w:p w14:paraId="61431990" w14:textId="245B2E20" w:rsidR="00AE3F06" w:rsidRDefault="00AE3F06">
      <w:pPr>
        <w:pStyle w:val="TOC3"/>
        <w:rPr>
          <w:rFonts w:asciiTheme="minorHAnsi" w:eastAsiaTheme="minorEastAsia" w:hAnsiTheme="minorHAnsi" w:cstheme="minorBidi"/>
          <w:kern w:val="2"/>
          <w:sz w:val="22"/>
          <w:szCs w:val="22"/>
          <w:lang w:eastAsia="en-NZ"/>
          <w14:ligatures w14:val="standardContextual"/>
        </w:rPr>
      </w:pPr>
      <w:r>
        <w:rPr>
          <w:sz w:val="20"/>
        </w:rPr>
        <w:fldChar w:fldCharType="begin"/>
      </w:r>
      <w:r>
        <w:rPr>
          <w:sz w:val="20"/>
        </w:rPr>
        <w:instrText xml:space="preserve"> TOC \h \z \t "Table,3" </w:instrText>
      </w:r>
      <w:r>
        <w:rPr>
          <w:sz w:val="20"/>
        </w:rPr>
        <w:fldChar w:fldCharType="separate"/>
      </w:r>
      <w:hyperlink w:anchor="_Toc189647977" w:history="1">
        <w:r w:rsidRPr="00CF0EBA">
          <w:rPr>
            <w:rStyle w:val="Hyperlink"/>
          </w:rPr>
          <w:t>Table 1: Average number of people each month required to undergo assessment under section 11, 13 or 15 of the Mental Health Act per 100,000 population, by district, 1 July 2022 to 30 June 2023</w:t>
        </w:r>
        <w:r>
          <w:rPr>
            <w:webHidden/>
          </w:rPr>
          <w:tab/>
        </w:r>
        <w:r>
          <w:rPr>
            <w:webHidden/>
          </w:rPr>
          <w:fldChar w:fldCharType="begin"/>
        </w:r>
        <w:r>
          <w:rPr>
            <w:webHidden/>
          </w:rPr>
          <w:instrText xml:space="preserve"> PAGEREF _Toc189647977 \h </w:instrText>
        </w:r>
        <w:r>
          <w:rPr>
            <w:webHidden/>
          </w:rPr>
        </w:r>
        <w:r>
          <w:rPr>
            <w:webHidden/>
          </w:rPr>
          <w:fldChar w:fldCharType="separate"/>
        </w:r>
        <w:r w:rsidR="00753BC8">
          <w:rPr>
            <w:webHidden/>
          </w:rPr>
          <w:t>5</w:t>
        </w:r>
        <w:r>
          <w:rPr>
            <w:webHidden/>
          </w:rPr>
          <w:fldChar w:fldCharType="end"/>
        </w:r>
      </w:hyperlink>
    </w:p>
    <w:p w14:paraId="66388EEA" w14:textId="39629D25" w:rsidR="00AE3F06" w:rsidRDefault="00AE3F06">
      <w:pPr>
        <w:pStyle w:val="TOC3"/>
        <w:rPr>
          <w:rFonts w:asciiTheme="minorHAnsi" w:eastAsiaTheme="minorEastAsia" w:hAnsiTheme="minorHAnsi" w:cstheme="minorBidi"/>
          <w:kern w:val="2"/>
          <w:sz w:val="22"/>
          <w:szCs w:val="22"/>
          <w:lang w:eastAsia="en-NZ"/>
          <w14:ligatures w14:val="standardContextual"/>
        </w:rPr>
      </w:pPr>
      <w:hyperlink w:anchor="_Toc189647978" w:history="1">
        <w:r w:rsidRPr="00CF0EBA">
          <w:rPr>
            <w:rStyle w:val="Hyperlink"/>
          </w:rPr>
          <w:t>Table 2: Average number of people on a given day subject to a compulsory treatment order under section 29, 30 or 31 of the Mental Health Act per 100,000 population, by district, 1 July 2022 to 30 June 2023</w:t>
        </w:r>
        <w:r>
          <w:rPr>
            <w:webHidden/>
          </w:rPr>
          <w:tab/>
        </w:r>
        <w:r>
          <w:rPr>
            <w:webHidden/>
          </w:rPr>
          <w:fldChar w:fldCharType="begin"/>
        </w:r>
        <w:r>
          <w:rPr>
            <w:webHidden/>
          </w:rPr>
          <w:instrText xml:space="preserve"> PAGEREF _Toc189647978 \h </w:instrText>
        </w:r>
        <w:r>
          <w:rPr>
            <w:webHidden/>
          </w:rPr>
        </w:r>
        <w:r>
          <w:rPr>
            <w:webHidden/>
          </w:rPr>
          <w:fldChar w:fldCharType="separate"/>
        </w:r>
        <w:r w:rsidR="00753BC8">
          <w:rPr>
            <w:webHidden/>
          </w:rPr>
          <w:t>5</w:t>
        </w:r>
        <w:r>
          <w:rPr>
            <w:webHidden/>
          </w:rPr>
          <w:fldChar w:fldCharType="end"/>
        </w:r>
      </w:hyperlink>
    </w:p>
    <w:p w14:paraId="22CF8C8A" w14:textId="2A121DBA" w:rsidR="00AE3F06" w:rsidRDefault="00AE3F06">
      <w:pPr>
        <w:pStyle w:val="TOC3"/>
        <w:rPr>
          <w:rFonts w:asciiTheme="minorHAnsi" w:eastAsiaTheme="minorEastAsia" w:hAnsiTheme="minorHAnsi" w:cstheme="minorBidi"/>
          <w:kern w:val="2"/>
          <w:sz w:val="22"/>
          <w:szCs w:val="22"/>
          <w:lang w:eastAsia="en-NZ"/>
          <w14:ligatures w14:val="standardContextual"/>
        </w:rPr>
      </w:pPr>
      <w:hyperlink w:anchor="_Toc189647979" w:history="1">
        <w:r w:rsidRPr="00CF0EBA">
          <w:rPr>
            <w:rStyle w:val="Hyperlink"/>
          </w:rPr>
          <w:t>Table 3: Number and rate of people required to undergo assessment under section 11, 13 or 15 of the Mental Health Act, by ethnicity, 1 July 2022 to 30 June 2023</w:t>
        </w:r>
        <w:r>
          <w:rPr>
            <w:webHidden/>
          </w:rPr>
          <w:tab/>
        </w:r>
        <w:r>
          <w:rPr>
            <w:webHidden/>
          </w:rPr>
          <w:fldChar w:fldCharType="begin"/>
        </w:r>
        <w:r>
          <w:rPr>
            <w:webHidden/>
          </w:rPr>
          <w:instrText xml:space="preserve"> PAGEREF _Toc189647979 \h </w:instrText>
        </w:r>
        <w:r>
          <w:rPr>
            <w:webHidden/>
          </w:rPr>
        </w:r>
        <w:r>
          <w:rPr>
            <w:webHidden/>
          </w:rPr>
          <w:fldChar w:fldCharType="separate"/>
        </w:r>
        <w:r w:rsidR="00753BC8">
          <w:rPr>
            <w:webHidden/>
          </w:rPr>
          <w:t>9</w:t>
        </w:r>
        <w:r>
          <w:rPr>
            <w:webHidden/>
          </w:rPr>
          <w:fldChar w:fldCharType="end"/>
        </w:r>
      </w:hyperlink>
    </w:p>
    <w:p w14:paraId="0F4F4255" w14:textId="0E41D05B" w:rsidR="00AE3F06" w:rsidRDefault="00AE3F06">
      <w:pPr>
        <w:pStyle w:val="TOC3"/>
        <w:rPr>
          <w:rFonts w:asciiTheme="minorHAnsi" w:eastAsiaTheme="minorEastAsia" w:hAnsiTheme="minorHAnsi" w:cstheme="minorBidi"/>
          <w:kern w:val="2"/>
          <w:sz w:val="22"/>
          <w:szCs w:val="22"/>
          <w:lang w:eastAsia="en-NZ"/>
          <w14:ligatures w14:val="standardContextual"/>
        </w:rPr>
      </w:pPr>
      <w:hyperlink w:anchor="_Toc189647980" w:history="1">
        <w:r w:rsidRPr="00CF0EBA">
          <w:rPr>
            <w:rStyle w:val="Hyperlink"/>
          </w:rPr>
          <w:t>Table 4: Number and rate of people subject to a compulsory treatment order under section 29 or 30 of the Mental Health Act, by ethnicity, 1 July 2022 to 30 June 2023</w:t>
        </w:r>
        <w:r>
          <w:rPr>
            <w:webHidden/>
          </w:rPr>
          <w:tab/>
        </w:r>
        <w:r>
          <w:rPr>
            <w:webHidden/>
          </w:rPr>
          <w:fldChar w:fldCharType="begin"/>
        </w:r>
        <w:r>
          <w:rPr>
            <w:webHidden/>
          </w:rPr>
          <w:instrText xml:space="preserve"> PAGEREF _Toc189647980 \h </w:instrText>
        </w:r>
        <w:r>
          <w:rPr>
            <w:webHidden/>
          </w:rPr>
        </w:r>
        <w:r>
          <w:rPr>
            <w:webHidden/>
          </w:rPr>
          <w:fldChar w:fldCharType="separate"/>
        </w:r>
        <w:r w:rsidR="00753BC8">
          <w:rPr>
            <w:webHidden/>
          </w:rPr>
          <w:t>9</w:t>
        </w:r>
        <w:r>
          <w:rPr>
            <w:webHidden/>
          </w:rPr>
          <w:fldChar w:fldCharType="end"/>
        </w:r>
      </w:hyperlink>
    </w:p>
    <w:p w14:paraId="6EB07332" w14:textId="5525E244" w:rsidR="00AE3F06" w:rsidRDefault="00AE3F06">
      <w:pPr>
        <w:pStyle w:val="TOC3"/>
        <w:rPr>
          <w:rFonts w:asciiTheme="minorHAnsi" w:eastAsiaTheme="minorEastAsia" w:hAnsiTheme="minorHAnsi" w:cstheme="minorBidi"/>
          <w:kern w:val="2"/>
          <w:sz w:val="22"/>
          <w:szCs w:val="22"/>
          <w:lang w:eastAsia="en-NZ"/>
          <w14:ligatures w14:val="standardContextual"/>
        </w:rPr>
      </w:pPr>
      <w:hyperlink w:anchor="_Toc189647981" w:history="1">
        <w:r w:rsidRPr="00CF0EBA">
          <w:rPr>
            <w:rStyle w:val="Hyperlink"/>
          </w:rPr>
          <w:t>Table 5: Age-standardised rates of people subject to community (section 29) and inpatient (section 30) treatment orders under the Mental Health Act, by gender and ethnicity, 1 July 2022 to 30 June 2023</w:t>
        </w:r>
        <w:r>
          <w:rPr>
            <w:webHidden/>
          </w:rPr>
          <w:tab/>
        </w:r>
        <w:r>
          <w:rPr>
            <w:webHidden/>
          </w:rPr>
          <w:fldChar w:fldCharType="begin"/>
        </w:r>
        <w:r>
          <w:rPr>
            <w:webHidden/>
          </w:rPr>
          <w:instrText xml:space="preserve"> PAGEREF _Toc189647981 \h </w:instrText>
        </w:r>
        <w:r>
          <w:rPr>
            <w:webHidden/>
          </w:rPr>
        </w:r>
        <w:r>
          <w:rPr>
            <w:webHidden/>
          </w:rPr>
          <w:fldChar w:fldCharType="separate"/>
        </w:r>
        <w:r w:rsidR="00753BC8">
          <w:rPr>
            <w:webHidden/>
          </w:rPr>
          <w:t>11</w:t>
        </w:r>
        <w:r>
          <w:rPr>
            <w:webHidden/>
          </w:rPr>
          <w:fldChar w:fldCharType="end"/>
        </w:r>
      </w:hyperlink>
    </w:p>
    <w:p w14:paraId="02402779" w14:textId="528E4C63" w:rsidR="00AE3F06" w:rsidRDefault="00AE3F06">
      <w:pPr>
        <w:pStyle w:val="TOC3"/>
        <w:rPr>
          <w:rFonts w:asciiTheme="minorHAnsi" w:eastAsiaTheme="minorEastAsia" w:hAnsiTheme="minorHAnsi" w:cstheme="minorBidi"/>
          <w:kern w:val="2"/>
          <w:sz w:val="22"/>
          <w:szCs w:val="22"/>
          <w:lang w:eastAsia="en-NZ"/>
          <w14:ligatures w14:val="standardContextual"/>
        </w:rPr>
      </w:pPr>
      <w:hyperlink w:anchor="_Toc189647982" w:history="1">
        <w:r w:rsidRPr="00CF0EBA">
          <w:rPr>
            <w:rStyle w:val="Hyperlink"/>
          </w:rPr>
          <w:t>Table 6: Rate ratio of Māori to non-Māori subject to indefinite community treatment orders per 100,000 population, by district, at 30 June 2023</w:t>
        </w:r>
        <w:r>
          <w:rPr>
            <w:webHidden/>
          </w:rPr>
          <w:tab/>
        </w:r>
        <w:r>
          <w:rPr>
            <w:webHidden/>
          </w:rPr>
          <w:fldChar w:fldCharType="begin"/>
        </w:r>
        <w:r>
          <w:rPr>
            <w:webHidden/>
          </w:rPr>
          <w:instrText xml:space="preserve"> PAGEREF _Toc189647982 \h </w:instrText>
        </w:r>
        <w:r>
          <w:rPr>
            <w:webHidden/>
          </w:rPr>
        </w:r>
        <w:r>
          <w:rPr>
            <w:webHidden/>
          </w:rPr>
          <w:fldChar w:fldCharType="separate"/>
        </w:r>
        <w:r w:rsidR="00753BC8">
          <w:rPr>
            <w:webHidden/>
          </w:rPr>
          <w:t>17</w:t>
        </w:r>
        <w:r>
          <w:rPr>
            <w:webHidden/>
          </w:rPr>
          <w:fldChar w:fldCharType="end"/>
        </w:r>
      </w:hyperlink>
    </w:p>
    <w:p w14:paraId="72370C6B" w14:textId="23D07219" w:rsidR="00AE3F06" w:rsidRDefault="00AE3F06">
      <w:pPr>
        <w:pStyle w:val="TOC3"/>
        <w:rPr>
          <w:rFonts w:asciiTheme="minorHAnsi" w:eastAsiaTheme="minorEastAsia" w:hAnsiTheme="minorHAnsi" w:cstheme="minorBidi"/>
          <w:kern w:val="2"/>
          <w:sz w:val="22"/>
          <w:szCs w:val="22"/>
          <w:lang w:eastAsia="en-NZ"/>
          <w14:ligatures w14:val="standardContextual"/>
        </w:rPr>
      </w:pPr>
      <w:hyperlink w:anchor="_Toc189647983" w:history="1">
        <w:r w:rsidRPr="00CF0EBA">
          <w:rPr>
            <w:rStyle w:val="Hyperlink"/>
          </w:rPr>
          <w:t>Table 7: Rate ratio of Māori to non-Māori subject to indefinite inpatient treatment orders per 100,000 population, by district, at 30 June 2023</w:t>
        </w:r>
        <w:r>
          <w:rPr>
            <w:webHidden/>
          </w:rPr>
          <w:tab/>
        </w:r>
        <w:r>
          <w:rPr>
            <w:webHidden/>
          </w:rPr>
          <w:fldChar w:fldCharType="begin"/>
        </w:r>
        <w:r>
          <w:rPr>
            <w:webHidden/>
          </w:rPr>
          <w:instrText xml:space="preserve"> PAGEREF _Toc189647983 \h </w:instrText>
        </w:r>
        <w:r>
          <w:rPr>
            <w:webHidden/>
          </w:rPr>
        </w:r>
        <w:r>
          <w:rPr>
            <w:webHidden/>
          </w:rPr>
          <w:fldChar w:fldCharType="separate"/>
        </w:r>
        <w:r w:rsidR="00753BC8">
          <w:rPr>
            <w:webHidden/>
          </w:rPr>
          <w:t>20</w:t>
        </w:r>
        <w:r>
          <w:rPr>
            <w:webHidden/>
          </w:rPr>
          <w:fldChar w:fldCharType="end"/>
        </w:r>
      </w:hyperlink>
    </w:p>
    <w:p w14:paraId="44E45F4E" w14:textId="72A46291" w:rsidR="00AE3F06" w:rsidRDefault="00AE3F06">
      <w:pPr>
        <w:pStyle w:val="TOC3"/>
        <w:rPr>
          <w:rFonts w:asciiTheme="minorHAnsi" w:eastAsiaTheme="minorEastAsia" w:hAnsiTheme="minorHAnsi" w:cstheme="minorBidi"/>
          <w:kern w:val="2"/>
          <w:sz w:val="22"/>
          <w:szCs w:val="22"/>
          <w:lang w:eastAsia="en-NZ"/>
          <w14:ligatures w14:val="standardContextual"/>
        </w:rPr>
      </w:pPr>
      <w:hyperlink w:anchor="_Toc189647984" w:history="1">
        <w:r w:rsidRPr="00CF0EBA">
          <w:rPr>
            <w:rStyle w:val="Hyperlink"/>
          </w:rPr>
          <w:t>Table 8: Percentage of admissions to adult inpatient services with seclusion recorded during admission, by district, 1 July 2022 to 30 June 2023</w:t>
        </w:r>
        <w:r>
          <w:rPr>
            <w:webHidden/>
          </w:rPr>
          <w:tab/>
        </w:r>
        <w:r>
          <w:rPr>
            <w:webHidden/>
          </w:rPr>
          <w:fldChar w:fldCharType="begin"/>
        </w:r>
        <w:r>
          <w:rPr>
            <w:webHidden/>
          </w:rPr>
          <w:instrText xml:space="preserve"> PAGEREF _Toc189647984 \h </w:instrText>
        </w:r>
        <w:r>
          <w:rPr>
            <w:webHidden/>
          </w:rPr>
        </w:r>
        <w:r>
          <w:rPr>
            <w:webHidden/>
          </w:rPr>
          <w:fldChar w:fldCharType="separate"/>
        </w:r>
        <w:r w:rsidR="00753BC8">
          <w:rPr>
            <w:webHidden/>
          </w:rPr>
          <w:t>26</w:t>
        </w:r>
        <w:r>
          <w:rPr>
            <w:webHidden/>
          </w:rPr>
          <w:fldChar w:fldCharType="end"/>
        </w:r>
      </w:hyperlink>
    </w:p>
    <w:p w14:paraId="08291C9D" w14:textId="18C530AA" w:rsidR="00AE3F06" w:rsidRDefault="00AE3F06">
      <w:pPr>
        <w:pStyle w:val="TOC3"/>
        <w:rPr>
          <w:rFonts w:asciiTheme="minorHAnsi" w:eastAsiaTheme="minorEastAsia" w:hAnsiTheme="minorHAnsi" w:cstheme="minorBidi"/>
          <w:kern w:val="2"/>
          <w:sz w:val="22"/>
          <w:szCs w:val="22"/>
          <w:lang w:eastAsia="en-NZ"/>
          <w14:ligatures w14:val="standardContextual"/>
        </w:rPr>
      </w:pPr>
      <w:hyperlink w:anchor="_Toc189647985" w:history="1">
        <w:r w:rsidRPr="00CF0EBA">
          <w:rPr>
            <w:rStyle w:val="Hyperlink"/>
          </w:rPr>
          <w:t xml:space="preserve">Table 9: Seclusion indicators for forensic mental health services, by </w:t>
        </w:r>
        <w:r w:rsidRPr="00CF0EBA">
          <w:rPr>
            <w:rStyle w:val="Hyperlink"/>
            <w:bCs/>
          </w:rPr>
          <w:t>regional service</w:t>
        </w:r>
        <w:r w:rsidRPr="00CF0EBA">
          <w:rPr>
            <w:rStyle w:val="Hyperlink"/>
          </w:rPr>
          <w:t>, 1 July 2022 to 30 June 2023</w:t>
        </w:r>
        <w:r>
          <w:rPr>
            <w:webHidden/>
          </w:rPr>
          <w:tab/>
        </w:r>
        <w:r>
          <w:rPr>
            <w:webHidden/>
          </w:rPr>
          <w:fldChar w:fldCharType="begin"/>
        </w:r>
        <w:r>
          <w:rPr>
            <w:webHidden/>
          </w:rPr>
          <w:instrText xml:space="preserve"> PAGEREF _Toc189647985 \h </w:instrText>
        </w:r>
        <w:r>
          <w:rPr>
            <w:webHidden/>
          </w:rPr>
        </w:r>
        <w:r>
          <w:rPr>
            <w:webHidden/>
          </w:rPr>
          <w:fldChar w:fldCharType="separate"/>
        </w:r>
        <w:r w:rsidR="00753BC8">
          <w:rPr>
            <w:webHidden/>
          </w:rPr>
          <w:t>31</w:t>
        </w:r>
        <w:r>
          <w:rPr>
            <w:webHidden/>
          </w:rPr>
          <w:fldChar w:fldCharType="end"/>
        </w:r>
      </w:hyperlink>
    </w:p>
    <w:p w14:paraId="2C3B6E61" w14:textId="7C20DEBB" w:rsidR="00AE3F06" w:rsidRDefault="00AE3F06">
      <w:pPr>
        <w:pStyle w:val="TOC3"/>
        <w:rPr>
          <w:rFonts w:asciiTheme="minorHAnsi" w:eastAsiaTheme="minorEastAsia" w:hAnsiTheme="minorHAnsi" w:cstheme="minorBidi"/>
          <w:kern w:val="2"/>
          <w:sz w:val="22"/>
          <w:szCs w:val="22"/>
          <w:lang w:eastAsia="en-NZ"/>
          <w14:ligatures w14:val="standardContextual"/>
        </w:rPr>
      </w:pPr>
      <w:hyperlink w:anchor="_Toc189647986" w:history="1">
        <w:r w:rsidRPr="00CF0EBA">
          <w:rPr>
            <w:rStyle w:val="Hyperlink"/>
          </w:rPr>
          <w:t>Table 10: Seclusion indicators for people with intellectual disabilities, nationally, 1 July 2022 to 30 June 2023</w:t>
        </w:r>
        <w:r>
          <w:rPr>
            <w:webHidden/>
          </w:rPr>
          <w:tab/>
        </w:r>
        <w:r>
          <w:rPr>
            <w:webHidden/>
          </w:rPr>
          <w:fldChar w:fldCharType="begin"/>
        </w:r>
        <w:r>
          <w:rPr>
            <w:webHidden/>
          </w:rPr>
          <w:instrText xml:space="preserve"> PAGEREF _Toc189647986 \h </w:instrText>
        </w:r>
        <w:r>
          <w:rPr>
            <w:webHidden/>
          </w:rPr>
        </w:r>
        <w:r>
          <w:rPr>
            <w:webHidden/>
          </w:rPr>
          <w:fldChar w:fldCharType="separate"/>
        </w:r>
        <w:r w:rsidR="00753BC8">
          <w:rPr>
            <w:webHidden/>
          </w:rPr>
          <w:t>33</w:t>
        </w:r>
        <w:r>
          <w:rPr>
            <w:webHidden/>
          </w:rPr>
          <w:fldChar w:fldCharType="end"/>
        </w:r>
      </w:hyperlink>
    </w:p>
    <w:p w14:paraId="7F0653AE" w14:textId="6955861F" w:rsidR="00AE3F06" w:rsidRDefault="00AE3F06">
      <w:pPr>
        <w:pStyle w:val="TOC3"/>
        <w:rPr>
          <w:rFonts w:asciiTheme="minorHAnsi" w:eastAsiaTheme="minorEastAsia" w:hAnsiTheme="minorHAnsi" w:cstheme="minorBidi"/>
          <w:kern w:val="2"/>
          <w:sz w:val="22"/>
          <w:szCs w:val="22"/>
          <w:lang w:eastAsia="en-NZ"/>
          <w14:ligatures w14:val="standardContextual"/>
        </w:rPr>
      </w:pPr>
      <w:hyperlink w:anchor="_Toc189647987" w:history="1">
        <w:r w:rsidRPr="00CF0EBA">
          <w:rPr>
            <w:rStyle w:val="Hyperlink"/>
          </w:rPr>
          <w:t>Table 11: Length of seclusion for people with intellectual disabilities, nationally, 1 July 2022 to 30 June 2023</w:t>
        </w:r>
        <w:r>
          <w:rPr>
            <w:webHidden/>
          </w:rPr>
          <w:tab/>
        </w:r>
        <w:r>
          <w:rPr>
            <w:webHidden/>
          </w:rPr>
          <w:fldChar w:fldCharType="begin"/>
        </w:r>
        <w:r>
          <w:rPr>
            <w:webHidden/>
          </w:rPr>
          <w:instrText xml:space="preserve"> PAGEREF _Toc189647987 \h </w:instrText>
        </w:r>
        <w:r>
          <w:rPr>
            <w:webHidden/>
          </w:rPr>
        </w:r>
        <w:r>
          <w:rPr>
            <w:webHidden/>
          </w:rPr>
          <w:fldChar w:fldCharType="separate"/>
        </w:r>
        <w:r w:rsidR="00753BC8">
          <w:rPr>
            <w:webHidden/>
          </w:rPr>
          <w:t>33</w:t>
        </w:r>
        <w:r>
          <w:rPr>
            <w:webHidden/>
          </w:rPr>
          <w:fldChar w:fldCharType="end"/>
        </w:r>
      </w:hyperlink>
    </w:p>
    <w:p w14:paraId="30C52F40" w14:textId="5D7397EF" w:rsidR="00AE3F06" w:rsidRDefault="00AE3F06">
      <w:pPr>
        <w:pStyle w:val="TOC3"/>
        <w:rPr>
          <w:rFonts w:asciiTheme="minorHAnsi" w:eastAsiaTheme="minorEastAsia" w:hAnsiTheme="minorHAnsi" w:cstheme="minorBidi"/>
          <w:kern w:val="2"/>
          <w:sz w:val="22"/>
          <w:szCs w:val="22"/>
          <w:lang w:eastAsia="en-NZ"/>
          <w14:ligatures w14:val="standardContextual"/>
        </w:rPr>
      </w:pPr>
      <w:hyperlink w:anchor="_Toc189647988" w:history="1">
        <w:r w:rsidRPr="00CF0EBA">
          <w:rPr>
            <w:rStyle w:val="Hyperlink"/>
          </w:rPr>
          <w:t>Table 12: Seclusion indicators for Māori and non-Māori with intellectual disabilities, nationally, 1 July 2022 to 30 June 2023</w:t>
        </w:r>
        <w:r>
          <w:rPr>
            <w:webHidden/>
          </w:rPr>
          <w:tab/>
        </w:r>
        <w:r>
          <w:rPr>
            <w:webHidden/>
          </w:rPr>
          <w:fldChar w:fldCharType="begin"/>
        </w:r>
        <w:r>
          <w:rPr>
            <w:webHidden/>
          </w:rPr>
          <w:instrText xml:space="preserve"> PAGEREF _Toc189647988 \h </w:instrText>
        </w:r>
        <w:r>
          <w:rPr>
            <w:webHidden/>
          </w:rPr>
        </w:r>
        <w:r>
          <w:rPr>
            <w:webHidden/>
          </w:rPr>
          <w:fldChar w:fldCharType="separate"/>
        </w:r>
        <w:r w:rsidR="00753BC8">
          <w:rPr>
            <w:webHidden/>
          </w:rPr>
          <w:t>33</w:t>
        </w:r>
        <w:r>
          <w:rPr>
            <w:webHidden/>
          </w:rPr>
          <w:fldChar w:fldCharType="end"/>
        </w:r>
      </w:hyperlink>
    </w:p>
    <w:p w14:paraId="17B2799A" w14:textId="13BA0307" w:rsidR="00AE3F06" w:rsidRDefault="00AE3F06">
      <w:pPr>
        <w:pStyle w:val="TOC3"/>
        <w:rPr>
          <w:rFonts w:asciiTheme="minorHAnsi" w:eastAsiaTheme="minorEastAsia" w:hAnsiTheme="minorHAnsi" w:cstheme="minorBidi"/>
          <w:kern w:val="2"/>
          <w:sz w:val="22"/>
          <w:szCs w:val="22"/>
          <w:lang w:eastAsia="en-NZ"/>
          <w14:ligatures w14:val="standardContextual"/>
        </w:rPr>
      </w:pPr>
      <w:hyperlink w:anchor="_Toc189647989" w:history="1">
        <w:r w:rsidRPr="00CF0EBA">
          <w:rPr>
            <w:rStyle w:val="Hyperlink"/>
          </w:rPr>
          <w:t>Table 13: Total number of special patients, by type and service, 1 July 2022 to 30 June 2023</w:t>
        </w:r>
        <w:r>
          <w:rPr>
            <w:webHidden/>
          </w:rPr>
          <w:tab/>
        </w:r>
        <w:r>
          <w:rPr>
            <w:webHidden/>
          </w:rPr>
          <w:fldChar w:fldCharType="begin"/>
        </w:r>
        <w:r>
          <w:rPr>
            <w:webHidden/>
          </w:rPr>
          <w:instrText xml:space="preserve"> PAGEREF _Toc189647989 \h </w:instrText>
        </w:r>
        <w:r>
          <w:rPr>
            <w:webHidden/>
          </w:rPr>
        </w:r>
        <w:r>
          <w:rPr>
            <w:webHidden/>
          </w:rPr>
          <w:fldChar w:fldCharType="separate"/>
        </w:r>
        <w:r w:rsidR="00753BC8">
          <w:rPr>
            <w:webHidden/>
          </w:rPr>
          <w:t>36</w:t>
        </w:r>
        <w:r>
          <w:rPr>
            <w:webHidden/>
          </w:rPr>
          <w:fldChar w:fldCharType="end"/>
        </w:r>
      </w:hyperlink>
    </w:p>
    <w:p w14:paraId="34EFCA22" w14:textId="0A7EAD95" w:rsidR="00AE3F06" w:rsidRDefault="00AE3F06">
      <w:pPr>
        <w:pStyle w:val="TOC3"/>
        <w:rPr>
          <w:rFonts w:asciiTheme="minorHAnsi" w:eastAsiaTheme="minorEastAsia" w:hAnsiTheme="minorHAnsi" w:cstheme="minorBidi"/>
          <w:kern w:val="2"/>
          <w:sz w:val="22"/>
          <w:szCs w:val="22"/>
          <w:lang w:eastAsia="en-NZ"/>
          <w14:ligatures w14:val="standardContextual"/>
        </w:rPr>
      </w:pPr>
      <w:hyperlink w:anchor="_Toc189647990" w:history="1">
        <w:r w:rsidRPr="00CF0EBA">
          <w:rPr>
            <w:rStyle w:val="Hyperlink"/>
          </w:rPr>
          <w:t>Table 14: Number of applications for granting section 50A long leave, revoking that leave and reclassifying legal status that the Minister of Health received for special and restricted patients, 1 July 2022 to 30 June 2023</w:t>
        </w:r>
        <w:r>
          <w:rPr>
            <w:webHidden/>
          </w:rPr>
          <w:tab/>
        </w:r>
        <w:r>
          <w:rPr>
            <w:webHidden/>
          </w:rPr>
          <w:fldChar w:fldCharType="begin"/>
        </w:r>
        <w:r>
          <w:rPr>
            <w:webHidden/>
          </w:rPr>
          <w:instrText xml:space="preserve"> PAGEREF _Toc189647990 \h </w:instrText>
        </w:r>
        <w:r>
          <w:rPr>
            <w:webHidden/>
          </w:rPr>
        </w:r>
        <w:r>
          <w:rPr>
            <w:webHidden/>
          </w:rPr>
          <w:fldChar w:fldCharType="separate"/>
        </w:r>
        <w:r w:rsidR="00753BC8">
          <w:rPr>
            <w:webHidden/>
          </w:rPr>
          <w:t>40</w:t>
        </w:r>
        <w:r>
          <w:rPr>
            <w:webHidden/>
          </w:rPr>
          <w:fldChar w:fldCharType="end"/>
        </w:r>
      </w:hyperlink>
    </w:p>
    <w:p w14:paraId="6E2A553D" w14:textId="01E5372A" w:rsidR="00AE3F06" w:rsidRDefault="00AE3F06">
      <w:pPr>
        <w:pStyle w:val="TOC3"/>
        <w:rPr>
          <w:rFonts w:asciiTheme="minorHAnsi" w:eastAsiaTheme="minorEastAsia" w:hAnsiTheme="minorHAnsi" w:cstheme="minorBidi"/>
          <w:kern w:val="2"/>
          <w:sz w:val="22"/>
          <w:szCs w:val="22"/>
          <w:lang w:eastAsia="en-NZ"/>
          <w14:ligatures w14:val="standardContextual"/>
        </w:rPr>
      </w:pPr>
      <w:hyperlink w:anchor="_Toc189647991" w:history="1">
        <w:r w:rsidRPr="00CF0EBA">
          <w:rPr>
            <w:rStyle w:val="Hyperlink"/>
          </w:rPr>
          <w:t>Table 15: Outcomes of reportable death notifications under section 132 of the Mental Health Act, 1 July 2022 to 30 June 2023</w:t>
        </w:r>
        <w:r>
          <w:rPr>
            <w:webHidden/>
          </w:rPr>
          <w:tab/>
        </w:r>
        <w:r>
          <w:rPr>
            <w:webHidden/>
          </w:rPr>
          <w:fldChar w:fldCharType="begin"/>
        </w:r>
        <w:r>
          <w:rPr>
            <w:webHidden/>
          </w:rPr>
          <w:instrText xml:space="preserve"> PAGEREF _Toc189647991 \h </w:instrText>
        </w:r>
        <w:r>
          <w:rPr>
            <w:webHidden/>
          </w:rPr>
        </w:r>
        <w:r>
          <w:rPr>
            <w:webHidden/>
          </w:rPr>
          <w:fldChar w:fldCharType="separate"/>
        </w:r>
        <w:r w:rsidR="00753BC8">
          <w:rPr>
            <w:webHidden/>
          </w:rPr>
          <w:t>42</w:t>
        </w:r>
        <w:r>
          <w:rPr>
            <w:webHidden/>
          </w:rPr>
          <w:fldChar w:fldCharType="end"/>
        </w:r>
      </w:hyperlink>
    </w:p>
    <w:p w14:paraId="6914EBA9" w14:textId="00932748" w:rsidR="00AE3F06" w:rsidRDefault="00AE3F06">
      <w:pPr>
        <w:pStyle w:val="TOC3"/>
        <w:rPr>
          <w:rFonts w:asciiTheme="minorHAnsi" w:eastAsiaTheme="minorEastAsia" w:hAnsiTheme="minorHAnsi" w:cstheme="minorBidi"/>
          <w:kern w:val="2"/>
          <w:sz w:val="22"/>
          <w:szCs w:val="22"/>
          <w:lang w:eastAsia="en-NZ"/>
          <w14:ligatures w14:val="standardContextual"/>
        </w:rPr>
      </w:pPr>
      <w:hyperlink w:anchor="_Toc189647992" w:history="1">
        <w:r w:rsidRPr="00CF0EBA">
          <w:rPr>
            <w:rStyle w:val="Hyperlink"/>
          </w:rPr>
          <w:t>Table 16: Number of section 95 inquiries completed and section 99 inspections reports received or completed by the Director, 2012/13 to 2022/23</w:t>
        </w:r>
        <w:r>
          <w:rPr>
            <w:webHidden/>
          </w:rPr>
          <w:tab/>
        </w:r>
        <w:r>
          <w:rPr>
            <w:webHidden/>
          </w:rPr>
          <w:fldChar w:fldCharType="begin"/>
        </w:r>
        <w:r>
          <w:rPr>
            <w:webHidden/>
          </w:rPr>
          <w:instrText xml:space="preserve"> PAGEREF _Toc189647992 \h </w:instrText>
        </w:r>
        <w:r>
          <w:rPr>
            <w:webHidden/>
          </w:rPr>
        </w:r>
        <w:r>
          <w:rPr>
            <w:webHidden/>
          </w:rPr>
          <w:fldChar w:fldCharType="separate"/>
        </w:r>
        <w:r w:rsidR="00753BC8">
          <w:rPr>
            <w:webHidden/>
          </w:rPr>
          <w:t>43</w:t>
        </w:r>
        <w:r>
          <w:rPr>
            <w:webHidden/>
          </w:rPr>
          <w:fldChar w:fldCharType="end"/>
        </w:r>
      </w:hyperlink>
    </w:p>
    <w:p w14:paraId="62A19ED0" w14:textId="1C6B44BD" w:rsidR="00AE3F06" w:rsidRDefault="00AE3F06">
      <w:pPr>
        <w:pStyle w:val="TOC3"/>
        <w:rPr>
          <w:rFonts w:asciiTheme="minorHAnsi" w:eastAsiaTheme="minorEastAsia" w:hAnsiTheme="minorHAnsi" w:cstheme="minorBidi"/>
          <w:kern w:val="2"/>
          <w:sz w:val="22"/>
          <w:szCs w:val="22"/>
          <w:lang w:eastAsia="en-NZ"/>
          <w14:ligatures w14:val="standardContextual"/>
        </w:rPr>
      </w:pPr>
      <w:hyperlink w:anchor="_Toc189647993" w:history="1">
        <w:r w:rsidRPr="00CF0EBA">
          <w:rPr>
            <w:rStyle w:val="Hyperlink"/>
          </w:rPr>
          <w:t>Table 17: ECT indicators, by region of domicile, 1 July 2022 to 30 June 2023</w:t>
        </w:r>
        <w:r>
          <w:rPr>
            <w:webHidden/>
          </w:rPr>
          <w:tab/>
        </w:r>
        <w:r>
          <w:rPr>
            <w:webHidden/>
          </w:rPr>
          <w:fldChar w:fldCharType="begin"/>
        </w:r>
        <w:r>
          <w:rPr>
            <w:webHidden/>
          </w:rPr>
          <w:instrText xml:space="preserve"> PAGEREF _Toc189647993 \h </w:instrText>
        </w:r>
        <w:r>
          <w:rPr>
            <w:webHidden/>
          </w:rPr>
        </w:r>
        <w:r>
          <w:rPr>
            <w:webHidden/>
          </w:rPr>
          <w:fldChar w:fldCharType="separate"/>
        </w:r>
        <w:r w:rsidR="00753BC8">
          <w:rPr>
            <w:webHidden/>
          </w:rPr>
          <w:t>45</w:t>
        </w:r>
        <w:r>
          <w:rPr>
            <w:webHidden/>
          </w:rPr>
          <w:fldChar w:fldCharType="end"/>
        </w:r>
      </w:hyperlink>
    </w:p>
    <w:p w14:paraId="6D568B65" w14:textId="4F649A23" w:rsidR="00AE3F06" w:rsidRDefault="00AE3F06">
      <w:pPr>
        <w:pStyle w:val="TOC3"/>
        <w:rPr>
          <w:rFonts w:asciiTheme="minorHAnsi" w:eastAsiaTheme="minorEastAsia" w:hAnsiTheme="minorHAnsi" w:cstheme="minorBidi"/>
          <w:kern w:val="2"/>
          <w:sz w:val="22"/>
          <w:szCs w:val="22"/>
          <w:lang w:eastAsia="en-NZ"/>
          <w14:ligatures w14:val="standardContextual"/>
        </w:rPr>
      </w:pPr>
      <w:hyperlink w:anchor="_Toc189647994" w:history="1">
        <w:r w:rsidRPr="00CF0EBA">
          <w:rPr>
            <w:rStyle w:val="Hyperlink"/>
          </w:rPr>
          <w:t>Table 18: Number of people treated with ECT and rate per 100,000 population, by ethnicity, 1 July 2022 to 30 June 2023</w:t>
        </w:r>
        <w:r>
          <w:rPr>
            <w:webHidden/>
          </w:rPr>
          <w:tab/>
        </w:r>
        <w:r>
          <w:rPr>
            <w:webHidden/>
          </w:rPr>
          <w:fldChar w:fldCharType="begin"/>
        </w:r>
        <w:r>
          <w:rPr>
            <w:webHidden/>
          </w:rPr>
          <w:instrText xml:space="preserve"> PAGEREF _Toc189647994 \h </w:instrText>
        </w:r>
        <w:r>
          <w:rPr>
            <w:webHidden/>
          </w:rPr>
        </w:r>
        <w:r>
          <w:rPr>
            <w:webHidden/>
          </w:rPr>
          <w:fldChar w:fldCharType="separate"/>
        </w:r>
        <w:r w:rsidR="00753BC8">
          <w:rPr>
            <w:webHidden/>
          </w:rPr>
          <w:t>48</w:t>
        </w:r>
        <w:r>
          <w:rPr>
            <w:webHidden/>
          </w:rPr>
          <w:fldChar w:fldCharType="end"/>
        </w:r>
      </w:hyperlink>
    </w:p>
    <w:p w14:paraId="2C2E88DF" w14:textId="23F0845E" w:rsidR="00AE3F06" w:rsidRDefault="00AE3F06">
      <w:pPr>
        <w:pStyle w:val="TOC3"/>
        <w:rPr>
          <w:rFonts w:asciiTheme="minorHAnsi" w:eastAsiaTheme="minorEastAsia" w:hAnsiTheme="minorHAnsi" w:cstheme="minorBidi"/>
          <w:kern w:val="2"/>
          <w:sz w:val="22"/>
          <w:szCs w:val="22"/>
          <w:lang w:eastAsia="en-NZ"/>
          <w14:ligatures w14:val="standardContextual"/>
        </w:rPr>
      </w:pPr>
      <w:hyperlink w:anchor="_Toc189647995" w:history="1">
        <w:r w:rsidRPr="00CF0EBA">
          <w:rPr>
            <w:rStyle w:val="Hyperlink"/>
          </w:rPr>
          <w:t>Table 19: ECT administered under second opinion without consent, by region of service, 1 July 2022 to 30 June 2023</w:t>
        </w:r>
        <w:r>
          <w:rPr>
            <w:webHidden/>
          </w:rPr>
          <w:tab/>
        </w:r>
        <w:r>
          <w:rPr>
            <w:webHidden/>
          </w:rPr>
          <w:fldChar w:fldCharType="begin"/>
        </w:r>
        <w:r>
          <w:rPr>
            <w:webHidden/>
          </w:rPr>
          <w:instrText xml:space="preserve"> PAGEREF _Toc189647995 \h </w:instrText>
        </w:r>
        <w:r>
          <w:rPr>
            <w:webHidden/>
          </w:rPr>
        </w:r>
        <w:r>
          <w:rPr>
            <w:webHidden/>
          </w:rPr>
          <w:fldChar w:fldCharType="separate"/>
        </w:r>
        <w:r w:rsidR="00753BC8">
          <w:rPr>
            <w:webHidden/>
          </w:rPr>
          <w:t>49</w:t>
        </w:r>
        <w:r>
          <w:rPr>
            <w:webHidden/>
          </w:rPr>
          <w:fldChar w:fldCharType="end"/>
        </w:r>
      </w:hyperlink>
    </w:p>
    <w:p w14:paraId="10458B23" w14:textId="389BD444" w:rsidR="00AE3F06" w:rsidRDefault="00AE3F06">
      <w:pPr>
        <w:pStyle w:val="TOC3"/>
        <w:rPr>
          <w:rFonts w:asciiTheme="minorHAnsi" w:eastAsiaTheme="minorEastAsia" w:hAnsiTheme="minorHAnsi" w:cstheme="minorBidi"/>
          <w:kern w:val="2"/>
          <w:sz w:val="22"/>
          <w:szCs w:val="22"/>
          <w:lang w:eastAsia="en-NZ"/>
          <w14:ligatures w14:val="standardContextual"/>
        </w:rPr>
      </w:pPr>
      <w:hyperlink w:anchor="_Toc189647996" w:history="1">
        <w:r w:rsidRPr="00CF0EBA">
          <w:rPr>
            <w:rStyle w:val="Hyperlink"/>
          </w:rPr>
          <w:t>Table A1: Applications for compulsory treatment orders or extensions, 2008/09 to 2022/23</w:t>
        </w:r>
        <w:r>
          <w:rPr>
            <w:webHidden/>
          </w:rPr>
          <w:tab/>
        </w:r>
        <w:r>
          <w:rPr>
            <w:webHidden/>
          </w:rPr>
          <w:fldChar w:fldCharType="begin"/>
        </w:r>
        <w:r>
          <w:rPr>
            <w:webHidden/>
          </w:rPr>
          <w:instrText xml:space="preserve"> PAGEREF _Toc189647996 \h </w:instrText>
        </w:r>
        <w:r>
          <w:rPr>
            <w:webHidden/>
          </w:rPr>
        </w:r>
        <w:r>
          <w:rPr>
            <w:webHidden/>
          </w:rPr>
          <w:fldChar w:fldCharType="separate"/>
        </w:r>
        <w:r w:rsidR="00753BC8">
          <w:rPr>
            <w:webHidden/>
          </w:rPr>
          <w:t>62</w:t>
        </w:r>
        <w:r>
          <w:rPr>
            <w:webHidden/>
          </w:rPr>
          <w:fldChar w:fldCharType="end"/>
        </w:r>
      </w:hyperlink>
    </w:p>
    <w:p w14:paraId="56F77310" w14:textId="045044E9" w:rsidR="00AE3F06" w:rsidRDefault="00AE3F06">
      <w:pPr>
        <w:pStyle w:val="TOC3"/>
        <w:rPr>
          <w:rFonts w:asciiTheme="minorHAnsi" w:eastAsiaTheme="minorEastAsia" w:hAnsiTheme="minorHAnsi" w:cstheme="minorBidi"/>
          <w:kern w:val="2"/>
          <w:sz w:val="22"/>
          <w:szCs w:val="22"/>
          <w:lang w:eastAsia="en-NZ"/>
          <w14:ligatures w14:val="standardContextual"/>
        </w:rPr>
      </w:pPr>
      <w:hyperlink w:anchor="_Toc189647997" w:history="1">
        <w:r w:rsidRPr="00CF0EBA">
          <w:rPr>
            <w:rStyle w:val="Hyperlink"/>
          </w:rPr>
          <w:t>Table A2: Types of compulsory treatment orders made on granted applications, 2008/09 to 2022/23</w:t>
        </w:r>
        <w:r>
          <w:rPr>
            <w:webHidden/>
          </w:rPr>
          <w:tab/>
        </w:r>
        <w:r>
          <w:rPr>
            <w:webHidden/>
          </w:rPr>
          <w:fldChar w:fldCharType="begin"/>
        </w:r>
        <w:r>
          <w:rPr>
            <w:webHidden/>
          </w:rPr>
          <w:instrText xml:space="preserve"> PAGEREF _Toc189647997 \h </w:instrText>
        </w:r>
        <w:r>
          <w:rPr>
            <w:webHidden/>
          </w:rPr>
        </w:r>
        <w:r>
          <w:rPr>
            <w:webHidden/>
          </w:rPr>
          <w:fldChar w:fldCharType="separate"/>
        </w:r>
        <w:r w:rsidR="00753BC8">
          <w:rPr>
            <w:webHidden/>
          </w:rPr>
          <w:t>63</w:t>
        </w:r>
        <w:r>
          <w:rPr>
            <w:webHidden/>
          </w:rPr>
          <w:fldChar w:fldCharType="end"/>
        </w:r>
      </w:hyperlink>
    </w:p>
    <w:p w14:paraId="6E06133D" w14:textId="6D0B6C71" w:rsidR="00AE3F06" w:rsidRDefault="00AE3F06">
      <w:pPr>
        <w:pStyle w:val="TOC3"/>
        <w:rPr>
          <w:rFonts w:asciiTheme="minorHAnsi" w:eastAsiaTheme="minorEastAsia" w:hAnsiTheme="minorHAnsi" w:cstheme="minorBidi"/>
          <w:kern w:val="2"/>
          <w:sz w:val="22"/>
          <w:szCs w:val="22"/>
          <w:lang w:eastAsia="en-NZ"/>
          <w14:ligatures w14:val="standardContextual"/>
        </w:rPr>
      </w:pPr>
      <w:hyperlink w:anchor="_Toc189647998" w:history="1">
        <w:r w:rsidRPr="00CF0EBA">
          <w:rPr>
            <w:rStyle w:val="Hyperlink"/>
          </w:rPr>
          <w:t>Table A3: Seclusion indicators including outlier data, 1 July 2022 to 30 June 2023</w:t>
        </w:r>
        <w:r>
          <w:rPr>
            <w:webHidden/>
          </w:rPr>
          <w:tab/>
        </w:r>
        <w:r>
          <w:rPr>
            <w:webHidden/>
          </w:rPr>
          <w:fldChar w:fldCharType="begin"/>
        </w:r>
        <w:r>
          <w:rPr>
            <w:webHidden/>
          </w:rPr>
          <w:instrText xml:space="preserve"> PAGEREF _Toc189647998 \h </w:instrText>
        </w:r>
        <w:r>
          <w:rPr>
            <w:webHidden/>
          </w:rPr>
        </w:r>
        <w:r>
          <w:rPr>
            <w:webHidden/>
          </w:rPr>
          <w:fldChar w:fldCharType="separate"/>
        </w:r>
        <w:r w:rsidR="00753BC8">
          <w:rPr>
            <w:webHidden/>
          </w:rPr>
          <w:t>65</w:t>
        </w:r>
        <w:r>
          <w:rPr>
            <w:webHidden/>
          </w:rPr>
          <w:fldChar w:fldCharType="end"/>
        </w:r>
      </w:hyperlink>
    </w:p>
    <w:p w14:paraId="7A1CF09C" w14:textId="048C2C2A" w:rsidR="00AE3F06" w:rsidRDefault="00AE3F06">
      <w:pPr>
        <w:pStyle w:val="TOC3"/>
        <w:rPr>
          <w:rFonts w:asciiTheme="minorHAnsi" w:eastAsiaTheme="minorEastAsia" w:hAnsiTheme="minorHAnsi" w:cstheme="minorBidi"/>
          <w:kern w:val="2"/>
          <w:sz w:val="22"/>
          <w:szCs w:val="22"/>
          <w:lang w:eastAsia="en-NZ"/>
          <w14:ligatures w14:val="standardContextual"/>
        </w:rPr>
      </w:pPr>
      <w:hyperlink w:anchor="_Toc189647999" w:history="1">
        <w:r w:rsidRPr="00CF0EBA">
          <w:rPr>
            <w:rStyle w:val="Hyperlink"/>
          </w:rPr>
          <w:t>Table A4: Corrected ECT indicators, by district health board of domicile, 1 July 2021 to 30 June 2022</w:t>
        </w:r>
        <w:r>
          <w:rPr>
            <w:webHidden/>
          </w:rPr>
          <w:tab/>
        </w:r>
        <w:r>
          <w:rPr>
            <w:webHidden/>
          </w:rPr>
          <w:fldChar w:fldCharType="begin"/>
        </w:r>
        <w:r>
          <w:rPr>
            <w:webHidden/>
          </w:rPr>
          <w:instrText xml:space="preserve"> PAGEREF _Toc189647999 \h </w:instrText>
        </w:r>
        <w:r>
          <w:rPr>
            <w:webHidden/>
          </w:rPr>
        </w:r>
        <w:r>
          <w:rPr>
            <w:webHidden/>
          </w:rPr>
          <w:fldChar w:fldCharType="separate"/>
        </w:r>
        <w:r w:rsidR="00753BC8">
          <w:rPr>
            <w:webHidden/>
          </w:rPr>
          <w:t>66</w:t>
        </w:r>
        <w:r>
          <w:rPr>
            <w:webHidden/>
          </w:rPr>
          <w:fldChar w:fldCharType="end"/>
        </w:r>
      </w:hyperlink>
    </w:p>
    <w:p w14:paraId="4A6797B1" w14:textId="43478EC7" w:rsidR="002B76A7" w:rsidRDefault="00AE3F06" w:rsidP="00753A1F">
      <w:r>
        <w:rPr>
          <w:noProof/>
          <w:sz w:val="20"/>
        </w:rPr>
        <w:fldChar w:fldCharType="end"/>
      </w:r>
    </w:p>
    <w:p w14:paraId="03333094" w14:textId="77777777" w:rsidR="001D3E4E" w:rsidRDefault="001D3E4E" w:rsidP="00753A1F">
      <w:pPr>
        <w:sectPr w:rsidR="001D3E4E" w:rsidSect="0078658E">
          <w:headerReference w:type="even" r:id="rId25"/>
          <w:headerReference w:type="default" r:id="rId26"/>
          <w:footerReference w:type="even" r:id="rId27"/>
          <w:footerReference w:type="default" r:id="rId28"/>
          <w:pgSz w:w="11907" w:h="16840" w:code="9"/>
          <w:pgMar w:top="1418" w:right="1701" w:bottom="1134" w:left="1843" w:header="284" w:footer="425" w:gutter="284"/>
          <w:pgNumType w:fmt="lowerRoman"/>
          <w:cols w:space="720"/>
        </w:sectPr>
      </w:pPr>
    </w:p>
    <w:p w14:paraId="5DDB57FC" w14:textId="77777777" w:rsidR="001D3E4E" w:rsidRDefault="001D3E4E" w:rsidP="003A5FEA"/>
    <w:p w14:paraId="39BE2591" w14:textId="3A4A86A7" w:rsidR="008C2973" w:rsidRPr="0043478F" w:rsidRDefault="00753A1F" w:rsidP="00753A1F">
      <w:pPr>
        <w:pStyle w:val="Heading1"/>
        <w:spacing w:before="0"/>
        <w:rPr>
          <w:spacing w:val="0"/>
        </w:rPr>
      </w:pPr>
      <w:bookmarkStart w:id="3" w:name="_Toc189647883"/>
      <w:r w:rsidRPr="00753A1F">
        <w:rPr>
          <w:spacing w:val="0"/>
        </w:rPr>
        <w:t>Context</w:t>
      </w:r>
      <w:bookmarkEnd w:id="3"/>
    </w:p>
    <w:p w14:paraId="696D04E8" w14:textId="77777777" w:rsidR="00753A1F" w:rsidRPr="00D728CA" w:rsidRDefault="00753A1F" w:rsidP="00753A1F">
      <w:r>
        <w:t>The following summarises the use of the Mental Health (Compulsory Assessment and Treatment) Act 1992 (Mental Health Act)</w:t>
      </w:r>
      <w:r w:rsidRPr="0006519F">
        <w:t xml:space="preserve"> in the </w:t>
      </w:r>
      <w:r>
        <w:t>financial year</w:t>
      </w:r>
      <w:r w:rsidRPr="0006519F">
        <w:t xml:space="preserve"> </w:t>
      </w:r>
      <w:r>
        <w:t xml:space="preserve">from </w:t>
      </w:r>
      <w:r w:rsidRPr="0006519F">
        <w:t>1 July 202</w:t>
      </w:r>
      <w:r>
        <w:t>2</w:t>
      </w:r>
      <w:r w:rsidRPr="0006519F">
        <w:t xml:space="preserve"> to 30 June 202</w:t>
      </w:r>
      <w:r>
        <w:t>3. It provides a broad overview</w:t>
      </w:r>
      <w:r w:rsidDel="004145DC">
        <w:t xml:space="preserve"> </w:t>
      </w:r>
      <w:r>
        <w:t>of how compulsory mental health legislation is operating in Aotearoa New Zealand.</w:t>
      </w:r>
      <w:r w:rsidRPr="006366C1">
        <w:rPr>
          <w:rStyle w:val="FootnoteReference"/>
          <w:rFonts w:cs="Segoe UI"/>
        </w:rPr>
        <w:footnoteReference w:id="3"/>
      </w:r>
    </w:p>
    <w:p w14:paraId="1662259B" w14:textId="77777777" w:rsidR="00753A1F" w:rsidRPr="00D728CA" w:rsidRDefault="00753A1F" w:rsidP="00753A1F">
      <w:pPr>
        <w:pStyle w:val="Bullet"/>
        <w:tabs>
          <w:tab w:val="num" w:pos="284"/>
        </w:tabs>
      </w:pPr>
      <w:r>
        <w:t xml:space="preserve">11,041 </w:t>
      </w:r>
      <w:r w:rsidRPr="0006519F">
        <w:t>people (</w:t>
      </w:r>
      <w:r>
        <w:t>6.2</w:t>
      </w:r>
      <w:r w:rsidRPr="0006519F">
        <w:t>% of specialist mental health and addiction service users) were subject to the Mental Health Act</w:t>
      </w:r>
      <w:r>
        <w:t>.</w:t>
      </w:r>
      <w:r w:rsidRPr="006366C1">
        <w:rPr>
          <w:rStyle w:val="FootnoteReference"/>
          <w:rFonts w:cs="Segoe UI"/>
        </w:rPr>
        <w:footnoteReference w:id="4"/>
      </w:r>
      <w:r w:rsidRPr="006366C1">
        <w:rPr>
          <w:rStyle w:val="FootnoteReference"/>
          <w:rFonts w:cs="Segoe UI"/>
        </w:rPr>
        <w:t xml:space="preserve"> </w:t>
      </w:r>
    </w:p>
    <w:p w14:paraId="4E495F4F" w14:textId="77777777" w:rsidR="00753A1F" w:rsidRPr="00D728CA" w:rsidRDefault="00753A1F" w:rsidP="00753A1F">
      <w:pPr>
        <w:pStyle w:val="Bullet"/>
        <w:tabs>
          <w:tab w:val="num" w:pos="284"/>
        </w:tabs>
      </w:pPr>
      <w:r w:rsidRPr="3522534B">
        <w:rPr>
          <w:rFonts w:cs="Segoe UI"/>
        </w:rPr>
        <w:t>Out of all people using specialist mental health and addiction services, 93.8% engaged voluntarily rather than under compulsion.</w:t>
      </w:r>
    </w:p>
    <w:p w14:paraId="6FDA35C9" w14:textId="77777777" w:rsidR="00753A1F" w:rsidRPr="0006519F" w:rsidRDefault="00753A1F" w:rsidP="00753A1F">
      <w:pPr>
        <w:pStyle w:val="Bullet"/>
        <w:tabs>
          <w:tab w:val="num" w:pos="284"/>
        </w:tabs>
      </w:pPr>
      <w:r>
        <w:t>About 5,520 people were subject to either compulsory assessment or compulsory treatment under the Mental Health Act on the last day of the 2022/23 year.</w:t>
      </w:r>
    </w:p>
    <w:p w14:paraId="214E42ED" w14:textId="77777777" w:rsidR="00753A1F" w:rsidRPr="0006519F" w:rsidRDefault="00753A1F" w:rsidP="00753A1F">
      <w:pPr>
        <w:pStyle w:val="Bullet"/>
        <w:tabs>
          <w:tab w:val="num" w:pos="284"/>
        </w:tabs>
      </w:pPr>
      <w:r>
        <w:t>M</w:t>
      </w:r>
      <w:r w:rsidRPr="0006519F">
        <w:t>ales were more likely to be subject to the Mental Health Act than females</w:t>
      </w:r>
      <w:r>
        <w:t>.</w:t>
      </w:r>
    </w:p>
    <w:p w14:paraId="526A4EF2" w14:textId="77777777" w:rsidR="00753A1F" w:rsidRPr="0006519F" w:rsidRDefault="00753A1F" w:rsidP="00753A1F">
      <w:pPr>
        <w:pStyle w:val="Bullet"/>
        <w:tabs>
          <w:tab w:val="num" w:pos="284"/>
        </w:tabs>
      </w:pPr>
      <w:r>
        <w:t>Across the different age groups, people aged 25–34 years were the most likely to be subject to compulsory treatment, and people aged 65 years and over were the least likely.</w:t>
      </w:r>
    </w:p>
    <w:p w14:paraId="53637361" w14:textId="77777777" w:rsidR="00753A1F" w:rsidRDefault="00753A1F" w:rsidP="00753A1F">
      <w:pPr>
        <w:pStyle w:val="Bullet"/>
        <w:tabs>
          <w:tab w:val="num" w:pos="284"/>
        </w:tabs>
      </w:pPr>
      <w:r w:rsidRPr="0006519F">
        <w:t>Māori were more likely to be assessed or treated under the Mental Health Act than Pacific peoples and other ethnicities.</w:t>
      </w:r>
      <w:r w:rsidRPr="006366C1">
        <w:rPr>
          <w:rStyle w:val="FootnoteReference"/>
          <w:rFonts w:cs="Segoe UI"/>
        </w:rPr>
        <w:footnoteReference w:id="5"/>
      </w:r>
    </w:p>
    <w:p w14:paraId="294E256F" w14:textId="77777777" w:rsidR="00753A1F" w:rsidRPr="0006519F" w:rsidRDefault="00753A1F" w:rsidP="00753A1F">
      <w:pPr>
        <w:pStyle w:val="Bullet"/>
        <w:tabs>
          <w:tab w:val="num" w:pos="284"/>
        </w:tabs>
      </w:pPr>
      <w:r>
        <w:t>Most people subject to compulsory treatment are based in the community (approximately 85% in 2022/23).</w:t>
      </w:r>
      <w:r w:rsidRPr="006366C1">
        <w:rPr>
          <w:rStyle w:val="FootnoteReference"/>
          <w:rFonts w:cs="Segoe UI"/>
        </w:rPr>
        <w:t xml:space="preserve"> </w:t>
      </w:r>
    </w:p>
    <w:p w14:paraId="123755E8" w14:textId="77777777" w:rsidR="00753A1F" w:rsidRDefault="00753A1F" w:rsidP="00753A1F">
      <w:pPr>
        <w:rPr>
          <w:rFonts w:eastAsia="Arial Unicode MS"/>
        </w:rPr>
      </w:pPr>
    </w:p>
    <w:p w14:paraId="1BB1C037" w14:textId="77777777" w:rsidR="00753A1F" w:rsidRDefault="00753A1F" w:rsidP="00753A1F">
      <w:pPr>
        <w:rPr>
          <w:rFonts w:eastAsia="Arial Unicode MS"/>
        </w:rPr>
      </w:pPr>
    </w:p>
    <w:p w14:paraId="4B58F2ED" w14:textId="77777777" w:rsidR="00753A1F" w:rsidRDefault="00753A1F" w:rsidP="00753A1F">
      <w:pPr>
        <w:rPr>
          <w:rFonts w:eastAsia="Arial Unicode MS"/>
        </w:rPr>
        <w:sectPr w:rsidR="00753A1F" w:rsidSect="003309CA">
          <w:headerReference w:type="default" r:id="rId29"/>
          <w:footerReference w:type="even" r:id="rId30"/>
          <w:footerReference w:type="default" r:id="rId31"/>
          <w:pgSz w:w="11907" w:h="16834" w:code="9"/>
          <w:pgMar w:top="1418" w:right="1701" w:bottom="1134" w:left="1843" w:header="284" w:footer="425" w:gutter="284"/>
          <w:pgNumType w:start="1"/>
          <w:cols w:space="720"/>
        </w:sectPr>
      </w:pPr>
    </w:p>
    <w:p w14:paraId="6C5A5650" w14:textId="77777777" w:rsidR="00753A1F" w:rsidRPr="00753A1F" w:rsidRDefault="00753A1F" w:rsidP="00753A1F">
      <w:pPr>
        <w:pStyle w:val="Heading1"/>
        <w:spacing w:before="0"/>
      </w:pPr>
      <w:bookmarkStart w:id="4" w:name="_Toc189053894"/>
      <w:bookmarkStart w:id="5" w:name="_Toc189647884"/>
      <w:r w:rsidRPr="00753A1F">
        <w:t>The Mental Health Act process</w:t>
      </w:r>
      <w:bookmarkEnd w:id="4"/>
      <w:bookmarkEnd w:id="5"/>
    </w:p>
    <w:p w14:paraId="60AE2AEE" w14:textId="77777777" w:rsidR="00753A1F" w:rsidRPr="00753A1F" w:rsidRDefault="00753A1F" w:rsidP="00753A1F">
      <w:pPr>
        <w:pStyle w:val="Heading2"/>
      </w:pPr>
      <w:bookmarkStart w:id="6" w:name="_Toc145394225"/>
      <w:bookmarkStart w:id="7" w:name="_Toc189053895"/>
      <w:bookmarkStart w:id="8" w:name="_Toc189647885"/>
      <w:r w:rsidRPr="00753A1F">
        <w:t>Court applications in 2022/23</w:t>
      </w:r>
      <w:bookmarkEnd w:id="6"/>
      <w:bookmarkEnd w:id="7"/>
      <w:bookmarkEnd w:id="8"/>
      <w:r w:rsidRPr="00753A1F">
        <w:t xml:space="preserve"> </w:t>
      </w:r>
    </w:p>
    <w:p w14:paraId="14B1CDA5" w14:textId="77777777" w:rsidR="00753A1F" w:rsidRPr="00C51A03" w:rsidRDefault="00753A1F" w:rsidP="00753A1F">
      <w:r>
        <w:t>In the 2022/23 financial year, clinicians made 6,312 applications for compulsory treatment orders (CTOs) or extensions under the Mental Health Act. Of these applications, the courts granted 5,605 (88.8%). Appendix 1 describes the Mental Health Act process and Appendix 2 presents a time series of CTO application data.</w:t>
      </w:r>
    </w:p>
    <w:p w14:paraId="042AFCF9" w14:textId="77777777" w:rsidR="00753A1F" w:rsidRPr="00C51A03" w:rsidRDefault="00753A1F" w:rsidP="00753A1F"/>
    <w:p w14:paraId="0037A19F" w14:textId="77777777" w:rsidR="00753A1F" w:rsidRDefault="00753A1F" w:rsidP="00753A1F">
      <w:r w:rsidRPr="00C51A03">
        <w:t xml:space="preserve">A total of </w:t>
      </w:r>
      <w:r w:rsidRPr="00501296">
        <w:t>1,359</w:t>
      </w:r>
      <w:r w:rsidRPr="00C51A03">
        <w:t xml:space="preserve"> applications were filed for a judge’s review of the patient’s condition, in line with section 16 of the Mental Health Act. Of these applications, judges issued an order to release a person from their CTO in </w:t>
      </w:r>
      <w:r w:rsidRPr="00501296">
        <w:t>37 cases (2.7%)</w:t>
      </w:r>
      <w:r w:rsidRPr="00C51A03">
        <w:t xml:space="preserve"> and confirmed </w:t>
      </w:r>
      <w:r>
        <w:t>that</w:t>
      </w:r>
      <w:r w:rsidRPr="00C51A03">
        <w:t xml:space="preserve"> the order </w:t>
      </w:r>
      <w:r>
        <w:t xml:space="preserve">would continue </w:t>
      </w:r>
      <w:r w:rsidRPr="00C51A03">
        <w:t xml:space="preserve">in </w:t>
      </w:r>
      <w:r w:rsidRPr="00501296">
        <w:t>713 applications (52.5%)</w:t>
      </w:r>
      <w:r w:rsidRPr="00C51A03">
        <w:t>. The remaining applications were withdrawn.</w:t>
      </w:r>
      <w:r w:rsidRPr="00C51A03">
        <w:rPr>
          <w:rStyle w:val="FootnoteReference"/>
        </w:rPr>
        <w:footnoteReference w:id="6"/>
      </w:r>
    </w:p>
    <w:p w14:paraId="713FF6F9" w14:textId="77777777" w:rsidR="00753A1F" w:rsidRDefault="00753A1F" w:rsidP="00753A1F">
      <w:pPr>
        <w:pStyle w:val="Heading2"/>
      </w:pPr>
      <w:bookmarkStart w:id="9" w:name="_Toc145394226"/>
      <w:bookmarkStart w:id="10" w:name="_Toc189053896"/>
      <w:bookmarkStart w:id="11" w:name="_Toc189647886"/>
      <w:r>
        <w:t>Compulsory assessment and treatment in 2022/23</w:t>
      </w:r>
      <w:bookmarkEnd w:id="9"/>
      <w:bookmarkEnd w:id="10"/>
      <w:bookmarkEnd w:id="11"/>
    </w:p>
    <w:p w14:paraId="3DF2A0B9" w14:textId="77777777" w:rsidR="00753A1F" w:rsidRDefault="00753A1F" w:rsidP="00753A1F">
      <w:r>
        <w:t xml:space="preserve">On the last day of the 2022/23 financial year, a </w:t>
      </w:r>
      <w:r w:rsidRPr="00803765">
        <w:t>total of 5,</w:t>
      </w:r>
      <w:r w:rsidRPr="00501296">
        <w:t>520</w:t>
      </w:r>
      <w:r w:rsidRPr="00803765">
        <w:t xml:space="preserve"> people</w:t>
      </w:r>
      <w:r>
        <w:t xml:space="preserve"> were subject to either compulsory assessment or compulsory treatment under the Mental Health Act.</w:t>
      </w:r>
      <w:r>
        <w:rPr>
          <w:rStyle w:val="FootnoteReference"/>
        </w:rPr>
        <w:footnoteReference w:id="7"/>
      </w:r>
      <w:r>
        <w:t xml:space="preserve"> </w:t>
      </w:r>
    </w:p>
    <w:p w14:paraId="200CC196" w14:textId="77777777" w:rsidR="00753A1F" w:rsidRDefault="00753A1F" w:rsidP="00753A1F"/>
    <w:p w14:paraId="246B4BF2" w14:textId="77777777" w:rsidR="00753A1F" w:rsidRDefault="00753A1F" w:rsidP="00753A1F">
      <w:r>
        <w:t>On average</w:t>
      </w:r>
      <w:r>
        <w:rPr>
          <w:rStyle w:val="FootnoteReference"/>
        </w:rPr>
        <w:footnoteReference w:id="8"/>
      </w:r>
      <w:r>
        <w:t xml:space="preserve"> within each month, the assessment provisions of the Mental Health Act were applied as follows.</w:t>
      </w:r>
    </w:p>
    <w:p w14:paraId="434D3C16" w14:textId="77777777" w:rsidR="00753A1F" w:rsidRDefault="00753A1F" w:rsidP="00753A1F"/>
    <w:tbl>
      <w:tblPr>
        <w:tblW w:w="8137" w:type="dxa"/>
        <w:tblBorders>
          <w:top w:val="single" w:sz="4" w:space="0" w:color="A6A6A6" w:themeColor="background1" w:themeShade="A6"/>
          <w:bottom w:val="single" w:sz="4" w:space="0" w:color="A6A6A6" w:themeColor="background1" w:themeShade="A6"/>
          <w:insideH w:val="single" w:sz="4" w:space="0" w:color="A6A6A6" w:themeColor="background1" w:themeShade="A6"/>
        </w:tblBorders>
        <w:tblLayout w:type="fixed"/>
        <w:tblCellMar>
          <w:left w:w="57" w:type="dxa"/>
          <w:right w:w="57" w:type="dxa"/>
        </w:tblCellMar>
        <w:tblLook w:val="04A0" w:firstRow="1" w:lastRow="0" w:firstColumn="1" w:lastColumn="0" w:noHBand="0" w:noVBand="1"/>
      </w:tblPr>
      <w:tblGrid>
        <w:gridCol w:w="1758"/>
        <w:gridCol w:w="3544"/>
        <w:gridCol w:w="2835"/>
      </w:tblGrid>
      <w:tr w:rsidR="00753A1F" w:rsidRPr="00A67324" w14:paraId="797FE261" w14:textId="77777777" w:rsidTr="00497F1D">
        <w:trPr>
          <w:cantSplit/>
        </w:trPr>
        <w:tc>
          <w:tcPr>
            <w:tcW w:w="1758" w:type="dxa"/>
            <w:tcBorders>
              <w:top w:val="single" w:sz="4" w:space="0" w:color="A6A6A6" w:themeColor="background1" w:themeShade="A6"/>
              <w:bottom w:val="single" w:sz="4" w:space="0" w:color="A6A6A6" w:themeColor="background1" w:themeShade="A6"/>
            </w:tcBorders>
            <w:shd w:val="clear" w:color="auto" w:fill="auto"/>
          </w:tcPr>
          <w:p w14:paraId="0506E22D" w14:textId="77777777" w:rsidR="00753A1F" w:rsidRPr="00A67324" w:rsidRDefault="00753A1F" w:rsidP="00497F1D">
            <w:pPr>
              <w:pStyle w:val="TableText"/>
              <w:rPr>
                <w:b/>
              </w:rPr>
            </w:pPr>
            <w:r w:rsidRPr="00A67324">
              <w:rPr>
                <w:b/>
              </w:rPr>
              <w:t>Section 11</w:t>
            </w:r>
          </w:p>
        </w:tc>
        <w:tc>
          <w:tcPr>
            <w:tcW w:w="3544" w:type="dxa"/>
            <w:shd w:val="clear" w:color="auto" w:fill="auto"/>
          </w:tcPr>
          <w:p w14:paraId="741F8514" w14:textId="77777777" w:rsidR="00753A1F" w:rsidRPr="00A67324" w:rsidRDefault="00753A1F" w:rsidP="00497F1D">
            <w:pPr>
              <w:pStyle w:val="TableText"/>
              <w:ind w:right="113"/>
            </w:pPr>
            <w:r w:rsidRPr="00A67324">
              <w:t>6</w:t>
            </w:r>
            <w:r w:rsidRPr="00501296">
              <w:t>3</w:t>
            </w:r>
            <w:r w:rsidRPr="00A67324">
              <w:t>5 people were subject to an initial assessment</w:t>
            </w:r>
          </w:p>
        </w:tc>
        <w:tc>
          <w:tcPr>
            <w:tcW w:w="2835" w:type="dxa"/>
            <w:shd w:val="clear" w:color="auto" w:fill="auto"/>
          </w:tcPr>
          <w:p w14:paraId="78413AF6" w14:textId="77777777" w:rsidR="00753A1F" w:rsidRPr="00A67324" w:rsidRDefault="00753A1F" w:rsidP="00497F1D">
            <w:pPr>
              <w:pStyle w:val="TableText"/>
            </w:pPr>
            <w:r w:rsidRPr="00A67324">
              <w:t>1</w:t>
            </w:r>
            <w:r w:rsidRPr="00501296">
              <w:t>2</w:t>
            </w:r>
            <w:r w:rsidRPr="00A67324">
              <w:t xml:space="preserve"> people per 100,000 population</w:t>
            </w:r>
          </w:p>
        </w:tc>
      </w:tr>
      <w:tr w:rsidR="00753A1F" w:rsidRPr="00A67324" w14:paraId="19694C32" w14:textId="77777777" w:rsidTr="00497F1D">
        <w:trPr>
          <w:cantSplit/>
        </w:trPr>
        <w:tc>
          <w:tcPr>
            <w:tcW w:w="1758" w:type="dxa"/>
            <w:tcBorders>
              <w:top w:val="single" w:sz="4" w:space="0" w:color="A6A6A6" w:themeColor="background1" w:themeShade="A6"/>
              <w:bottom w:val="single" w:sz="4" w:space="0" w:color="A6A6A6" w:themeColor="background1" w:themeShade="A6"/>
            </w:tcBorders>
            <w:shd w:val="clear" w:color="auto" w:fill="auto"/>
          </w:tcPr>
          <w:p w14:paraId="3A1C9C8C" w14:textId="77777777" w:rsidR="00753A1F" w:rsidRPr="00A67324" w:rsidRDefault="00753A1F" w:rsidP="00497F1D">
            <w:pPr>
              <w:pStyle w:val="TableText"/>
              <w:rPr>
                <w:b/>
              </w:rPr>
            </w:pPr>
            <w:r w:rsidRPr="00A67324">
              <w:rPr>
                <w:b/>
              </w:rPr>
              <w:t>Section 13</w:t>
            </w:r>
          </w:p>
        </w:tc>
        <w:tc>
          <w:tcPr>
            <w:tcW w:w="3544" w:type="dxa"/>
            <w:shd w:val="clear" w:color="auto" w:fill="auto"/>
          </w:tcPr>
          <w:p w14:paraId="76AE83B1" w14:textId="77777777" w:rsidR="00753A1F" w:rsidRPr="00A67324" w:rsidRDefault="00753A1F" w:rsidP="00497F1D">
            <w:pPr>
              <w:pStyle w:val="TableText"/>
              <w:ind w:right="113"/>
            </w:pPr>
            <w:r w:rsidRPr="00A67324">
              <w:t>6</w:t>
            </w:r>
            <w:r w:rsidRPr="00501296">
              <w:t>93</w:t>
            </w:r>
            <w:r w:rsidRPr="00A67324">
              <w:t xml:space="preserve"> people were subject to a second period of assessment</w:t>
            </w:r>
          </w:p>
        </w:tc>
        <w:tc>
          <w:tcPr>
            <w:tcW w:w="2835" w:type="dxa"/>
            <w:shd w:val="clear" w:color="auto" w:fill="auto"/>
          </w:tcPr>
          <w:p w14:paraId="1FFF1F87" w14:textId="77777777" w:rsidR="00753A1F" w:rsidRPr="00A67324" w:rsidRDefault="00753A1F" w:rsidP="00497F1D">
            <w:pPr>
              <w:pStyle w:val="TableText"/>
            </w:pPr>
            <w:r w:rsidRPr="00A67324">
              <w:t>13 people per 100,000 population</w:t>
            </w:r>
          </w:p>
        </w:tc>
      </w:tr>
      <w:tr w:rsidR="00753A1F" w:rsidRPr="00A67324" w14:paraId="54F09E83" w14:textId="77777777" w:rsidTr="00497F1D">
        <w:trPr>
          <w:cantSplit/>
        </w:trPr>
        <w:tc>
          <w:tcPr>
            <w:tcW w:w="1758" w:type="dxa"/>
            <w:tcBorders>
              <w:top w:val="single" w:sz="4" w:space="0" w:color="A6A6A6" w:themeColor="background1" w:themeShade="A6"/>
              <w:bottom w:val="single" w:sz="4" w:space="0" w:color="A6A6A6" w:themeColor="background1" w:themeShade="A6"/>
            </w:tcBorders>
            <w:shd w:val="clear" w:color="auto" w:fill="auto"/>
          </w:tcPr>
          <w:p w14:paraId="779CDEF2" w14:textId="77777777" w:rsidR="00753A1F" w:rsidRPr="00A67324" w:rsidRDefault="00753A1F" w:rsidP="00497F1D">
            <w:pPr>
              <w:pStyle w:val="TableText"/>
              <w:rPr>
                <w:b/>
              </w:rPr>
            </w:pPr>
            <w:r w:rsidRPr="00A67324">
              <w:rPr>
                <w:b/>
              </w:rPr>
              <w:t>Section 1</w:t>
            </w:r>
            <w:r>
              <w:rPr>
                <w:b/>
              </w:rPr>
              <w:t>5</w:t>
            </w:r>
          </w:p>
        </w:tc>
        <w:tc>
          <w:tcPr>
            <w:tcW w:w="3544" w:type="dxa"/>
            <w:shd w:val="clear" w:color="auto" w:fill="auto"/>
          </w:tcPr>
          <w:p w14:paraId="5821E060" w14:textId="77777777" w:rsidR="00753A1F" w:rsidRPr="00A67324" w:rsidRDefault="00753A1F" w:rsidP="00497F1D">
            <w:pPr>
              <w:pStyle w:val="TableText"/>
              <w:ind w:right="113"/>
              <w:rPr>
                <w:spacing w:val="-2"/>
              </w:rPr>
            </w:pPr>
            <w:r w:rsidRPr="00501296">
              <w:rPr>
                <w:spacing w:val="-2"/>
              </w:rPr>
              <w:t>514</w:t>
            </w:r>
            <w:r w:rsidRPr="00A67324">
              <w:rPr>
                <w:spacing w:val="-2"/>
              </w:rPr>
              <w:t xml:space="preserve"> people were subject to an application for a CTO</w:t>
            </w:r>
          </w:p>
        </w:tc>
        <w:tc>
          <w:tcPr>
            <w:tcW w:w="2835" w:type="dxa"/>
            <w:shd w:val="clear" w:color="auto" w:fill="auto"/>
          </w:tcPr>
          <w:p w14:paraId="26A9A376" w14:textId="77777777" w:rsidR="00753A1F" w:rsidRPr="00A67324" w:rsidRDefault="00753A1F" w:rsidP="00497F1D">
            <w:pPr>
              <w:pStyle w:val="TableText"/>
            </w:pPr>
            <w:r w:rsidRPr="00A67324">
              <w:t>1</w:t>
            </w:r>
            <w:r w:rsidRPr="00501296">
              <w:t>0</w:t>
            </w:r>
            <w:r w:rsidRPr="00A67324">
              <w:t xml:space="preserve"> people per 100,000 population</w:t>
            </w:r>
          </w:p>
        </w:tc>
      </w:tr>
    </w:tbl>
    <w:p w14:paraId="2DFDEDB8" w14:textId="77777777" w:rsidR="00753A1F" w:rsidRPr="00A67324" w:rsidRDefault="00753A1F" w:rsidP="00753A1F">
      <w:pPr>
        <w:pStyle w:val="Note"/>
      </w:pPr>
      <w:r w:rsidRPr="0419E73F">
        <w:rPr>
          <w:rFonts w:eastAsia="Arial Unicode MS"/>
        </w:rPr>
        <w:t xml:space="preserve">Notes: In previous years, ‘Section 15’ was labelled ‘Section 14(4)’, a section that is no longer coded for in PRIMHD. The data presented here remains comparable with previous years. Section 15 includes subsections (1) and (2). These provisions </w:t>
      </w:r>
      <w:r>
        <w:t>describe similar circumstances in which a patient is waiting for a court decision on compulsory treatment.</w:t>
      </w:r>
    </w:p>
    <w:p w14:paraId="7F1F18C2" w14:textId="77777777" w:rsidR="00753A1F" w:rsidRDefault="00753A1F" w:rsidP="00753A1F">
      <w:pPr>
        <w:pStyle w:val="Source"/>
        <w:rPr>
          <w:rFonts w:eastAsia="Arial Unicode MS"/>
        </w:rPr>
      </w:pPr>
      <w:r w:rsidRPr="0419E73F">
        <w:rPr>
          <w:rFonts w:eastAsia="Arial Unicode MS"/>
        </w:rPr>
        <w:t>Sources: PRIMHD data (</w:t>
      </w:r>
      <w:bookmarkStart w:id="12" w:name="_Hlk184300184"/>
      <w:r w:rsidRPr="0419E73F">
        <w:rPr>
          <w:rFonts w:eastAsia="Arial Unicode MS"/>
        </w:rPr>
        <w:t>extracted 28 February 2024) and manual data for Health New Zealand Waikato.</w:t>
      </w:r>
    </w:p>
    <w:p w14:paraId="6301152F" w14:textId="77777777" w:rsidR="00753A1F" w:rsidRDefault="00753A1F" w:rsidP="00753A1F">
      <w:pPr>
        <w:rPr>
          <w:rFonts w:eastAsia="Arial Unicode MS"/>
        </w:rPr>
      </w:pPr>
    </w:p>
    <w:p w14:paraId="22153449" w14:textId="77777777" w:rsidR="00753A1F" w:rsidRDefault="00753A1F" w:rsidP="00753A1F">
      <w:pPr>
        <w:rPr>
          <w:rFonts w:eastAsia="Arial Unicode MS"/>
        </w:rPr>
      </w:pPr>
      <w:r w:rsidRPr="0419E73F">
        <w:rPr>
          <w:rFonts w:eastAsia="Arial Unicode MS"/>
        </w:rPr>
        <w:t>This data is relatively steady compared with the previous financial year.</w:t>
      </w:r>
    </w:p>
    <w:p w14:paraId="1542772E" w14:textId="77777777" w:rsidR="00753A1F" w:rsidRDefault="00753A1F" w:rsidP="00753A1F">
      <w:pPr>
        <w:rPr>
          <w:rFonts w:eastAsia="Arial Unicode MS"/>
        </w:rPr>
      </w:pPr>
    </w:p>
    <w:p w14:paraId="2F002AB4" w14:textId="77777777" w:rsidR="00753A1F" w:rsidRDefault="00753A1F" w:rsidP="00753A1F">
      <w:pPr>
        <w:rPr>
          <w:rFonts w:eastAsia="Arial Unicode MS"/>
        </w:rPr>
      </w:pPr>
      <w:r w:rsidRPr="15C70FB8">
        <w:rPr>
          <w:rFonts w:eastAsia="Arial Unicode MS"/>
        </w:rPr>
        <w:t>In Aotearoa New Zealand, on an average day in the 2022/23 financial year, the treatment provisions of the Mental Health Act were applied as follows.</w:t>
      </w:r>
    </w:p>
    <w:p w14:paraId="347306FF" w14:textId="77777777" w:rsidR="00753A1F" w:rsidRDefault="00753A1F" w:rsidP="00753A1F">
      <w:pPr>
        <w:rPr>
          <w:rFonts w:eastAsia="Arial Unicode MS"/>
        </w:rPr>
      </w:pPr>
    </w:p>
    <w:tbl>
      <w:tblPr>
        <w:tblW w:w="8137" w:type="dxa"/>
        <w:tblBorders>
          <w:top w:val="single" w:sz="4" w:space="0" w:color="A6A6A6" w:themeColor="background1" w:themeShade="A6"/>
          <w:bottom w:val="single" w:sz="4" w:space="0" w:color="A6A6A6" w:themeColor="background1" w:themeShade="A6"/>
          <w:insideH w:val="single" w:sz="4" w:space="0" w:color="A6A6A6" w:themeColor="background1" w:themeShade="A6"/>
        </w:tblBorders>
        <w:tblLayout w:type="fixed"/>
        <w:tblCellMar>
          <w:left w:w="57" w:type="dxa"/>
          <w:right w:w="57" w:type="dxa"/>
        </w:tblCellMar>
        <w:tblLook w:val="04A0" w:firstRow="1" w:lastRow="0" w:firstColumn="1" w:lastColumn="0" w:noHBand="0" w:noVBand="1"/>
      </w:tblPr>
      <w:tblGrid>
        <w:gridCol w:w="1758"/>
        <w:gridCol w:w="3544"/>
        <w:gridCol w:w="2835"/>
      </w:tblGrid>
      <w:tr w:rsidR="00753A1F" w:rsidRPr="000C5A1A" w14:paraId="215388C2" w14:textId="77777777" w:rsidTr="00497F1D">
        <w:trPr>
          <w:cantSplit/>
        </w:trPr>
        <w:tc>
          <w:tcPr>
            <w:tcW w:w="1758" w:type="dxa"/>
            <w:tcBorders>
              <w:top w:val="single" w:sz="4" w:space="0" w:color="A6A6A6" w:themeColor="background1" w:themeShade="A6"/>
              <w:bottom w:val="single" w:sz="4" w:space="0" w:color="A6A6A6" w:themeColor="background1" w:themeShade="A6"/>
            </w:tcBorders>
            <w:shd w:val="clear" w:color="auto" w:fill="auto"/>
          </w:tcPr>
          <w:p w14:paraId="3BE022AE" w14:textId="77777777" w:rsidR="00753A1F" w:rsidRPr="00B158BA" w:rsidRDefault="00753A1F" w:rsidP="00497F1D">
            <w:pPr>
              <w:pStyle w:val="TableText"/>
              <w:rPr>
                <w:b/>
                <w:bCs/>
              </w:rPr>
            </w:pPr>
            <w:r w:rsidRPr="00B158BA">
              <w:rPr>
                <w:b/>
                <w:bCs/>
              </w:rPr>
              <w:t>Section 29</w:t>
            </w:r>
          </w:p>
        </w:tc>
        <w:tc>
          <w:tcPr>
            <w:tcW w:w="3544" w:type="dxa"/>
            <w:shd w:val="clear" w:color="auto" w:fill="auto"/>
          </w:tcPr>
          <w:p w14:paraId="209F2FF9" w14:textId="77777777" w:rsidR="00753A1F" w:rsidRPr="00B158BA" w:rsidRDefault="00753A1F" w:rsidP="00497F1D">
            <w:pPr>
              <w:pStyle w:val="TableText"/>
              <w:ind w:right="113"/>
            </w:pPr>
            <w:r w:rsidRPr="00B158BA">
              <w:t>4,</w:t>
            </w:r>
            <w:r w:rsidRPr="00501296">
              <w:t>756</w:t>
            </w:r>
            <w:r w:rsidRPr="00B158BA">
              <w:t xml:space="preserve"> people were subject to a community treatment order</w:t>
            </w:r>
          </w:p>
        </w:tc>
        <w:tc>
          <w:tcPr>
            <w:tcW w:w="2835" w:type="dxa"/>
            <w:shd w:val="clear" w:color="auto" w:fill="auto"/>
          </w:tcPr>
          <w:p w14:paraId="1600373B" w14:textId="77777777" w:rsidR="00753A1F" w:rsidRPr="00B158BA" w:rsidRDefault="00753A1F" w:rsidP="00497F1D">
            <w:pPr>
              <w:pStyle w:val="TableText"/>
            </w:pPr>
            <w:r w:rsidRPr="00501296">
              <w:t>91</w:t>
            </w:r>
            <w:r w:rsidRPr="00B158BA">
              <w:t xml:space="preserve"> people per 100,000 population</w:t>
            </w:r>
          </w:p>
        </w:tc>
      </w:tr>
      <w:tr w:rsidR="00753A1F" w:rsidRPr="000C5A1A" w14:paraId="75E55917" w14:textId="77777777" w:rsidTr="00497F1D">
        <w:trPr>
          <w:cantSplit/>
        </w:trPr>
        <w:tc>
          <w:tcPr>
            <w:tcW w:w="1758" w:type="dxa"/>
            <w:tcBorders>
              <w:top w:val="single" w:sz="4" w:space="0" w:color="A6A6A6" w:themeColor="background1" w:themeShade="A6"/>
              <w:bottom w:val="single" w:sz="4" w:space="0" w:color="A6A6A6" w:themeColor="background1" w:themeShade="A6"/>
            </w:tcBorders>
            <w:shd w:val="clear" w:color="auto" w:fill="auto"/>
          </w:tcPr>
          <w:p w14:paraId="1CB24868" w14:textId="77777777" w:rsidR="00753A1F" w:rsidRPr="00B158BA" w:rsidRDefault="00753A1F" w:rsidP="00497F1D">
            <w:pPr>
              <w:pStyle w:val="TableText"/>
              <w:rPr>
                <w:b/>
                <w:bCs/>
              </w:rPr>
            </w:pPr>
            <w:r w:rsidRPr="00B158BA">
              <w:rPr>
                <w:b/>
                <w:bCs/>
              </w:rPr>
              <w:t>Section 30</w:t>
            </w:r>
          </w:p>
        </w:tc>
        <w:tc>
          <w:tcPr>
            <w:tcW w:w="3544" w:type="dxa"/>
            <w:shd w:val="clear" w:color="auto" w:fill="auto"/>
          </w:tcPr>
          <w:p w14:paraId="7E906DA8" w14:textId="77777777" w:rsidR="00753A1F" w:rsidRPr="00B158BA" w:rsidRDefault="00753A1F" w:rsidP="00497F1D">
            <w:pPr>
              <w:pStyle w:val="TableText"/>
              <w:ind w:right="113"/>
            </w:pPr>
            <w:r w:rsidRPr="00501296">
              <w:t>866</w:t>
            </w:r>
            <w:r w:rsidRPr="00B158BA">
              <w:t xml:space="preserve"> people were subject to an inpatient treatment order</w:t>
            </w:r>
          </w:p>
        </w:tc>
        <w:tc>
          <w:tcPr>
            <w:tcW w:w="2835" w:type="dxa"/>
            <w:shd w:val="clear" w:color="auto" w:fill="auto"/>
          </w:tcPr>
          <w:p w14:paraId="05CBC8DC" w14:textId="77777777" w:rsidR="00753A1F" w:rsidRPr="00B158BA" w:rsidRDefault="00753A1F" w:rsidP="00497F1D">
            <w:pPr>
              <w:pStyle w:val="TableText"/>
            </w:pPr>
            <w:r w:rsidRPr="00B158BA">
              <w:t>17 people per 100,000 population</w:t>
            </w:r>
          </w:p>
        </w:tc>
      </w:tr>
      <w:tr w:rsidR="00753A1F" w:rsidRPr="000C5A1A" w14:paraId="292B12AB" w14:textId="77777777" w:rsidTr="00497F1D">
        <w:trPr>
          <w:cantSplit/>
        </w:trPr>
        <w:tc>
          <w:tcPr>
            <w:tcW w:w="1758" w:type="dxa"/>
            <w:tcBorders>
              <w:top w:val="single" w:sz="4" w:space="0" w:color="A6A6A6" w:themeColor="background1" w:themeShade="A6"/>
              <w:bottom w:val="single" w:sz="4" w:space="0" w:color="A6A6A6" w:themeColor="background1" w:themeShade="A6"/>
            </w:tcBorders>
            <w:shd w:val="clear" w:color="auto" w:fill="auto"/>
          </w:tcPr>
          <w:p w14:paraId="7A97B7E5" w14:textId="77777777" w:rsidR="00753A1F" w:rsidRPr="00B158BA" w:rsidRDefault="00753A1F" w:rsidP="00497F1D">
            <w:pPr>
              <w:pStyle w:val="TableText"/>
              <w:rPr>
                <w:b/>
                <w:bCs/>
              </w:rPr>
            </w:pPr>
            <w:r w:rsidRPr="00B158BA">
              <w:rPr>
                <w:b/>
                <w:bCs/>
              </w:rPr>
              <w:t>Section 31</w:t>
            </w:r>
          </w:p>
        </w:tc>
        <w:tc>
          <w:tcPr>
            <w:tcW w:w="3544" w:type="dxa"/>
            <w:shd w:val="clear" w:color="auto" w:fill="auto"/>
          </w:tcPr>
          <w:p w14:paraId="2976C5CD" w14:textId="77777777" w:rsidR="00753A1F" w:rsidRPr="00B158BA" w:rsidRDefault="00753A1F" w:rsidP="00497F1D">
            <w:pPr>
              <w:pStyle w:val="TableText"/>
              <w:ind w:right="113"/>
              <w:rPr>
                <w:spacing w:val="-2"/>
              </w:rPr>
            </w:pPr>
            <w:r w:rsidRPr="00501296">
              <w:t>245</w:t>
            </w:r>
            <w:r w:rsidRPr="00B158BA">
              <w:t xml:space="preserve"> people were on temporary leave from an inpatient unit</w:t>
            </w:r>
          </w:p>
        </w:tc>
        <w:tc>
          <w:tcPr>
            <w:tcW w:w="2835" w:type="dxa"/>
            <w:shd w:val="clear" w:color="auto" w:fill="auto"/>
          </w:tcPr>
          <w:p w14:paraId="4C8F1BD2" w14:textId="77777777" w:rsidR="00753A1F" w:rsidRPr="00B158BA" w:rsidRDefault="00753A1F" w:rsidP="00497F1D">
            <w:pPr>
              <w:pStyle w:val="TableText"/>
            </w:pPr>
            <w:r w:rsidRPr="00B158BA">
              <w:t>5 people per 100,000 population</w:t>
            </w:r>
          </w:p>
        </w:tc>
      </w:tr>
    </w:tbl>
    <w:p w14:paraId="7477F99E" w14:textId="77777777" w:rsidR="00753A1F" w:rsidRDefault="00753A1F" w:rsidP="00753A1F">
      <w:pPr>
        <w:pStyle w:val="Source"/>
        <w:rPr>
          <w:rFonts w:eastAsia="Arial Unicode MS"/>
        </w:rPr>
      </w:pPr>
      <w:r w:rsidRPr="0419E73F">
        <w:rPr>
          <w:rFonts w:eastAsia="Arial Unicode MS"/>
        </w:rPr>
        <w:t>Sources: PRIMHD data (extracted 28 February 2024) and manual data for Health New Zealand Counties Manukau, Tairāwhiti and Waikato.</w:t>
      </w:r>
    </w:p>
    <w:p w14:paraId="39B017E3" w14:textId="77777777" w:rsidR="00753A1F" w:rsidRDefault="00753A1F" w:rsidP="00753A1F">
      <w:pPr>
        <w:rPr>
          <w:rFonts w:eastAsia="Arial Unicode MS"/>
        </w:rPr>
      </w:pPr>
    </w:p>
    <w:p w14:paraId="3391321D" w14:textId="77777777" w:rsidR="00753A1F" w:rsidRPr="00992271" w:rsidRDefault="00753A1F" w:rsidP="00753A1F">
      <w:pPr>
        <w:rPr>
          <w:rFonts w:eastAsia="Arial Unicode MS"/>
        </w:rPr>
      </w:pPr>
      <w:r w:rsidRPr="0419E73F">
        <w:rPr>
          <w:rFonts w:eastAsia="Arial Unicode MS"/>
        </w:rPr>
        <w:t>Compared with the previous financial year, 2022/23 saw a slight increase in the rate of people subject to section 30 (15 per 100,000 population) and section 31 (3 per 100,000). Over the same time, the number of people subject to a community treatment order has decreased from 96 to 91 people per 100,000 people in the general population.</w:t>
      </w:r>
    </w:p>
    <w:p w14:paraId="643C436C" w14:textId="77777777" w:rsidR="00753A1F" w:rsidRDefault="00753A1F" w:rsidP="00753A1F">
      <w:pPr>
        <w:rPr>
          <w:rFonts w:eastAsia="Arial Unicode MS"/>
        </w:rPr>
      </w:pPr>
    </w:p>
    <w:p w14:paraId="76F36B9C" w14:textId="7EA4E236" w:rsidR="00753A1F" w:rsidRDefault="00753A1F" w:rsidP="00753A1F">
      <w:pPr>
        <w:rPr>
          <w:rFonts w:eastAsia="Arial Unicode MS"/>
        </w:rPr>
      </w:pPr>
      <w:r>
        <w:rPr>
          <w:rFonts w:eastAsia="Arial Unicode MS"/>
        </w:rPr>
        <w:fldChar w:fldCharType="begin"/>
      </w:r>
      <w:r>
        <w:rPr>
          <w:rFonts w:eastAsia="Arial Unicode MS"/>
        </w:rPr>
        <w:instrText xml:space="preserve"> REF _Ref85553600 \h  \* MERGEFORMAT </w:instrText>
      </w:r>
      <w:r>
        <w:rPr>
          <w:rFonts w:eastAsia="Arial Unicode MS"/>
        </w:rPr>
      </w:r>
      <w:r>
        <w:rPr>
          <w:rFonts w:eastAsia="Arial Unicode MS"/>
        </w:rPr>
        <w:fldChar w:fldCharType="separate"/>
      </w:r>
      <w:r w:rsidR="00753BC8">
        <w:t>Figure 1</w:t>
      </w:r>
      <w:r>
        <w:rPr>
          <w:rFonts w:eastAsia="Arial Unicode MS"/>
        </w:rPr>
        <w:fldChar w:fldCharType="end"/>
      </w:r>
      <w:r w:rsidRPr="0016455D">
        <w:rPr>
          <w:rFonts w:eastAsia="Arial Unicode MS"/>
        </w:rPr>
        <w:t xml:space="preserve"> shows the number of </w:t>
      </w:r>
      <w:r>
        <w:rPr>
          <w:rFonts w:eastAsia="Arial Unicode MS"/>
        </w:rPr>
        <w:t>CTOs</w:t>
      </w:r>
      <w:r w:rsidRPr="0016455D">
        <w:rPr>
          <w:rFonts w:eastAsia="Arial Unicode MS"/>
        </w:rPr>
        <w:t xml:space="preserve"> and extensions that clinicians have applied for and courts have granted since </w:t>
      </w:r>
      <w:r>
        <w:rPr>
          <w:rFonts w:eastAsia="Arial Unicode MS"/>
        </w:rPr>
        <w:t>2008/09</w:t>
      </w:r>
      <w:r w:rsidRPr="0016455D">
        <w:rPr>
          <w:rFonts w:eastAsia="Arial Unicode MS"/>
        </w:rPr>
        <w:t>. It also shows the number of applications dismissed or withdrawn.</w:t>
      </w:r>
    </w:p>
    <w:p w14:paraId="737436A8" w14:textId="77777777" w:rsidR="00753A1F" w:rsidRDefault="00753A1F" w:rsidP="00753A1F">
      <w:pPr>
        <w:rPr>
          <w:rFonts w:eastAsia="Arial Unicode MS"/>
        </w:rPr>
      </w:pPr>
    </w:p>
    <w:p w14:paraId="4C61B5F4" w14:textId="488B5CCB" w:rsidR="00753A1F" w:rsidRDefault="00753A1F" w:rsidP="00753A1F">
      <w:pPr>
        <w:pStyle w:val="Figure"/>
      </w:pPr>
      <w:bookmarkStart w:id="13" w:name="_Ref85553600"/>
      <w:bookmarkStart w:id="14" w:name="_Toc85442559"/>
      <w:bookmarkStart w:id="15" w:name="_Toc85445899"/>
      <w:bookmarkStart w:id="16" w:name="_Toc87429950"/>
      <w:bookmarkStart w:id="17" w:name="_Toc88561382"/>
      <w:bookmarkStart w:id="18" w:name="_Toc115188840"/>
      <w:bookmarkStart w:id="19" w:name="_Toc142314682"/>
      <w:bookmarkStart w:id="20" w:name="_Toc145394266"/>
      <w:bookmarkStart w:id="21" w:name="_Toc189053942"/>
      <w:bookmarkStart w:id="22" w:name="_Toc189647927"/>
      <w:r>
        <w:t>Figure </w:t>
      </w:r>
      <w:r>
        <w:fldChar w:fldCharType="begin"/>
      </w:r>
      <w:r>
        <w:instrText>SEQ Figure \* ARABIC</w:instrText>
      </w:r>
      <w:r>
        <w:fldChar w:fldCharType="separate"/>
      </w:r>
      <w:r w:rsidR="00753BC8">
        <w:rPr>
          <w:noProof/>
        </w:rPr>
        <w:t>1</w:t>
      </w:r>
      <w:r>
        <w:fldChar w:fldCharType="end"/>
      </w:r>
      <w:bookmarkEnd w:id="13"/>
      <w:r>
        <w:t xml:space="preserve">: Applications and outcomes for compulsory treatment orders and extensions, </w:t>
      </w:r>
      <w:bookmarkEnd w:id="14"/>
      <w:bookmarkEnd w:id="15"/>
      <w:bookmarkEnd w:id="16"/>
      <w:bookmarkEnd w:id="17"/>
      <w:r>
        <w:t>2008/09 to 2022/2</w:t>
      </w:r>
      <w:bookmarkEnd w:id="18"/>
      <w:r>
        <w:t>3</w:t>
      </w:r>
      <w:bookmarkEnd w:id="19"/>
      <w:bookmarkEnd w:id="20"/>
      <w:bookmarkEnd w:id="21"/>
      <w:bookmarkEnd w:id="22"/>
    </w:p>
    <w:p w14:paraId="66D38F88" w14:textId="5E2B287E" w:rsidR="00753A1F" w:rsidRPr="00753A1F" w:rsidRDefault="00753A1F" w:rsidP="00753A1F">
      <w:r>
        <w:rPr>
          <w:noProof/>
        </w:rPr>
        <w:drawing>
          <wp:inline distT="0" distB="0" distL="0" distR="0" wp14:anchorId="04CF3F16" wp14:editId="7A5C9923">
            <wp:extent cx="5201658" cy="2318658"/>
            <wp:effectExtent l="0" t="0" r="0" b="5715"/>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27853" cy="2330334"/>
                    </a:xfrm>
                    <a:prstGeom prst="rect">
                      <a:avLst/>
                    </a:prstGeom>
                    <a:noFill/>
                  </pic:spPr>
                </pic:pic>
              </a:graphicData>
            </a:graphic>
          </wp:inline>
        </w:drawing>
      </w:r>
    </w:p>
    <w:bookmarkEnd w:id="12"/>
    <w:p w14:paraId="1A384FBB" w14:textId="77777777" w:rsidR="00753A1F" w:rsidRPr="00200234" w:rsidRDefault="00753A1F" w:rsidP="00753A1F">
      <w:pPr>
        <w:pStyle w:val="Source"/>
        <w:rPr>
          <w:rFonts w:eastAsia="MS Gothic"/>
        </w:rPr>
      </w:pPr>
      <w:r w:rsidRPr="00200234">
        <w:rPr>
          <w:rFonts w:eastAsia="MS Gothic"/>
        </w:rPr>
        <w:t>Notes: This</w:t>
      </w:r>
      <w:r>
        <w:rPr>
          <w:rFonts w:eastAsia="MS Gothic"/>
        </w:rPr>
        <w:t xml:space="preserve"> figure is based on data entered</w:t>
      </w:r>
      <w:r w:rsidRPr="00200234">
        <w:rPr>
          <w:rFonts w:eastAsia="MS Gothic"/>
        </w:rPr>
        <w:t xml:space="preserve"> into the </w:t>
      </w:r>
      <w:r>
        <w:rPr>
          <w:rFonts w:eastAsia="MS Gothic"/>
        </w:rPr>
        <w:t>Ministry of Justice’s case management system (</w:t>
      </w:r>
      <w:r w:rsidRPr="00200234">
        <w:rPr>
          <w:rFonts w:eastAsia="MS Gothic"/>
        </w:rPr>
        <w:t>CMS</w:t>
      </w:r>
      <w:r>
        <w:rPr>
          <w:rFonts w:eastAsia="MS Gothic"/>
        </w:rPr>
        <w:t xml:space="preserve">), which </w:t>
      </w:r>
      <w:r w:rsidRPr="00200234">
        <w:rPr>
          <w:rFonts w:eastAsia="MS Gothic"/>
        </w:rPr>
        <w:t>is a live operational database. Figures are subject to minor changes at any time.</w:t>
      </w:r>
    </w:p>
    <w:p w14:paraId="7D578A87" w14:textId="77777777" w:rsidR="00753A1F" w:rsidRDefault="00753A1F" w:rsidP="00753A1F">
      <w:pPr>
        <w:pStyle w:val="Source"/>
        <w:rPr>
          <w:rFonts w:eastAsia="MS Gothic"/>
        </w:rPr>
      </w:pPr>
      <w:r w:rsidRPr="00200234">
        <w:rPr>
          <w:rFonts w:eastAsia="MS Gothic"/>
        </w:rPr>
        <w:t>Source: Ministry of Justice Integrated Sector Intelligence System</w:t>
      </w:r>
      <w:r>
        <w:rPr>
          <w:rFonts w:eastAsia="MS Gothic"/>
        </w:rPr>
        <w:t xml:space="preserve"> data</w:t>
      </w:r>
      <w:r w:rsidRPr="00200234">
        <w:rPr>
          <w:rFonts w:eastAsia="MS Gothic"/>
        </w:rPr>
        <w:t xml:space="preserve"> </w:t>
      </w:r>
      <w:r>
        <w:rPr>
          <w:rFonts w:eastAsia="MS Gothic"/>
        </w:rPr>
        <w:t>(extracted 6 March 2024).</w:t>
      </w:r>
    </w:p>
    <w:p w14:paraId="226A55D4" w14:textId="77777777" w:rsidR="00753A1F" w:rsidRDefault="00753A1F" w:rsidP="00753A1F">
      <w:pPr>
        <w:rPr>
          <w:rFonts w:eastAsia="MS Gothic"/>
        </w:rPr>
      </w:pPr>
    </w:p>
    <w:p w14:paraId="5C1A3C55" w14:textId="77777777" w:rsidR="00753BC8" w:rsidRDefault="00753A1F" w:rsidP="00535C2F">
      <w:r>
        <w:rPr>
          <w:rFonts w:eastAsia="MS Gothic"/>
        </w:rPr>
        <w:fldChar w:fldCharType="begin"/>
      </w:r>
      <w:r>
        <w:rPr>
          <w:rFonts w:eastAsia="MS Gothic"/>
        </w:rPr>
        <w:instrText xml:space="preserve"> REF _Ref84315731 \h </w:instrText>
      </w:r>
      <w:r>
        <w:rPr>
          <w:rFonts w:eastAsia="MS Gothic"/>
        </w:rPr>
      </w:r>
      <w:r>
        <w:rPr>
          <w:rFonts w:eastAsia="MS Gothic"/>
        </w:rPr>
        <w:fldChar w:fldCharType="separate"/>
      </w:r>
    </w:p>
    <w:p w14:paraId="646B785C" w14:textId="35128232" w:rsidR="00753A1F" w:rsidRDefault="00753BC8" w:rsidP="00753A1F">
      <w:pPr>
        <w:rPr>
          <w:rFonts w:eastAsia="MS Gothic"/>
        </w:rPr>
      </w:pPr>
      <w:r>
        <w:t>Figure </w:t>
      </w:r>
      <w:r>
        <w:rPr>
          <w:noProof/>
        </w:rPr>
        <w:t>2</w:t>
      </w:r>
      <w:r w:rsidR="00753A1F">
        <w:rPr>
          <w:rFonts w:eastAsia="MS Gothic"/>
        </w:rPr>
        <w:fldChar w:fldCharType="end"/>
      </w:r>
      <w:r w:rsidR="00753A1F">
        <w:rPr>
          <w:rFonts w:eastAsia="MS Gothic"/>
        </w:rPr>
        <w:t xml:space="preserve"> shows the number of applications for community and inpatient treatment orders that courts have granted since 2008/09.</w:t>
      </w:r>
    </w:p>
    <w:p w14:paraId="6853DD11" w14:textId="77777777" w:rsidR="00753A1F" w:rsidRDefault="00753A1F" w:rsidP="00535C2F">
      <w:bookmarkStart w:id="23" w:name="_Ref84315731"/>
      <w:bookmarkStart w:id="24" w:name="_Toc85442560"/>
      <w:bookmarkStart w:id="25" w:name="_Toc85445900"/>
      <w:bookmarkStart w:id="26" w:name="_Toc87429951"/>
      <w:bookmarkStart w:id="27" w:name="_Toc88561383"/>
      <w:bookmarkStart w:id="28" w:name="_Toc115188841"/>
      <w:bookmarkStart w:id="29" w:name="_Toc142314683"/>
      <w:bookmarkStart w:id="30" w:name="_Toc145394267"/>
      <w:bookmarkStart w:id="31" w:name="_Toc189053943"/>
    </w:p>
    <w:p w14:paraId="518539F6" w14:textId="6BDFE990" w:rsidR="00753A1F" w:rsidRPr="00753A1F" w:rsidRDefault="00753A1F" w:rsidP="00753A1F">
      <w:pPr>
        <w:pStyle w:val="Figure"/>
      </w:pPr>
      <w:bookmarkStart w:id="32" w:name="_Toc189647928"/>
      <w:r>
        <w:t>Figure </w:t>
      </w:r>
      <w:r>
        <w:fldChar w:fldCharType="begin"/>
      </w:r>
      <w:r>
        <w:instrText>SEQ Figure \* ARABIC</w:instrText>
      </w:r>
      <w:r>
        <w:fldChar w:fldCharType="separate"/>
      </w:r>
      <w:r w:rsidR="00753BC8">
        <w:rPr>
          <w:noProof/>
        </w:rPr>
        <w:t>2</w:t>
      </w:r>
      <w:r>
        <w:fldChar w:fldCharType="end"/>
      </w:r>
      <w:bookmarkEnd w:id="23"/>
      <w:r>
        <w:t xml:space="preserve">: Number of granted compulsory treatment orders and extensions, community and inpatient, </w:t>
      </w:r>
      <w:bookmarkEnd w:id="24"/>
      <w:bookmarkEnd w:id="25"/>
      <w:bookmarkEnd w:id="26"/>
      <w:bookmarkEnd w:id="27"/>
      <w:bookmarkEnd w:id="28"/>
      <w:r>
        <w:t>2008/09 to 2022/23</w:t>
      </w:r>
      <w:bookmarkEnd w:id="29"/>
      <w:bookmarkEnd w:id="30"/>
      <w:bookmarkEnd w:id="31"/>
      <w:bookmarkEnd w:id="32"/>
    </w:p>
    <w:p w14:paraId="1D799902" w14:textId="77777777" w:rsidR="00753A1F" w:rsidRDefault="00753A1F" w:rsidP="00753A1F">
      <w:pPr>
        <w:rPr>
          <w:rFonts w:eastAsia="Arial Unicode MS"/>
        </w:rPr>
      </w:pPr>
      <w:r>
        <w:rPr>
          <w:rFonts w:eastAsia="Arial Unicode MS"/>
          <w:noProof/>
        </w:rPr>
        <w:drawing>
          <wp:inline distT="0" distB="0" distL="0" distR="0" wp14:anchorId="16F37ABF" wp14:editId="59204857">
            <wp:extent cx="5007428" cy="2682087"/>
            <wp:effectExtent l="0" t="0" r="3175" b="0"/>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032396" cy="2695460"/>
                    </a:xfrm>
                    <a:prstGeom prst="rect">
                      <a:avLst/>
                    </a:prstGeom>
                    <a:noFill/>
                  </pic:spPr>
                </pic:pic>
              </a:graphicData>
            </a:graphic>
          </wp:inline>
        </w:drawing>
      </w:r>
    </w:p>
    <w:p w14:paraId="25C17F49" w14:textId="77777777" w:rsidR="00753A1F" w:rsidRPr="00200234" w:rsidRDefault="00753A1F" w:rsidP="00753A1F">
      <w:pPr>
        <w:pStyle w:val="Note"/>
        <w:rPr>
          <w:rFonts w:eastAsia="MS Gothic"/>
        </w:rPr>
      </w:pPr>
      <w:r w:rsidRPr="00200234">
        <w:rPr>
          <w:rFonts w:eastAsia="MS Gothic"/>
        </w:rPr>
        <w:t>Notes: This</w:t>
      </w:r>
      <w:r>
        <w:rPr>
          <w:rFonts w:eastAsia="MS Gothic"/>
        </w:rPr>
        <w:t xml:space="preserve"> figure is based on data entered</w:t>
      </w:r>
      <w:r w:rsidRPr="00200234">
        <w:rPr>
          <w:rFonts w:eastAsia="MS Gothic"/>
        </w:rPr>
        <w:t xml:space="preserve"> into the CMS</w:t>
      </w:r>
      <w:r>
        <w:rPr>
          <w:rFonts w:eastAsia="MS Gothic"/>
        </w:rPr>
        <w:t>, which</w:t>
      </w:r>
      <w:r w:rsidRPr="00200234">
        <w:rPr>
          <w:rFonts w:eastAsia="MS Gothic"/>
        </w:rPr>
        <w:t xml:space="preserve"> is a live operational database. Figures are subject to minor changes at any time.</w:t>
      </w:r>
    </w:p>
    <w:p w14:paraId="0B3CCC2B" w14:textId="77777777" w:rsidR="00753A1F" w:rsidRDefault="00753A1F" w:rsidP="00753A1F">
      <w:pPr>
        <w:pStyle w:val="Source"/>
        <w:rPr>
          <w:rFonts w:eastAsia="MS Gothic"/>
        </w:rPr>
      </w:pPr>
      <w:r w:rsidRPr="00200234">
        <w:rPr>
          <w:rFonts w:eastAsia="MS Gothic"/>
        </w:rPr>
        <w:t xml:space="preserve">Source: Ministry of Justice Integrated Sector Intelligence System </w:t>
      </w:r>
      <w:r>
        <w:rPr>
          <w:rFonts w:eastAsia="MS Gothic"/>
        </w:rPr>
        <w:t>data (extracted</w:t>
      </w:r>
      <w:r w:rsidRPr="00200234">
        <w:rPr>
          <w:rFonts w:eastAsia="MS Gothic"/>
        </w:rPr>
        <w:t xml:space="preserve"> </w:t>
      </w:r>
      <w:r>
        <w:rPr>
          <w:rFonts w:eastAsia="MS Gothic"/>
        </w:rPr>
        <w:t>6 March 2024).</w:t>
      </w:r>
    </w:p>
    <w:p w14:paraId="67DC02D8" w14:textId="77777777" w:rsidR="00753A1F" w:rsidRDefault="00753A1F" w:rsidP="00753A1F">
      <w:bookmarkStart w:id="33" w:name="_Toc65141614"/>
      <w:bookmarkStart w:id="34" w:name="_Toc75176437"/>
      <w:bookmarkStart w:id="35" w:name="_Toc87429901"/>
      <w:bookmarkStart w:id="36" w:name="_Toc88826949"/>
      <w:bookmarkStart w:id="37" w:name="_Toc115188799"/>
      <w:bookmarkStart w:id="38" w:name="_Toc145394227"/>
      <w:bookmarkStart w:id="39" w:name="_Toc189053897"/>
    </w:p>
    <w:p w14:paraId="1558C42D" w14:textId="1A6926B5" w:rsidR="00535C2F" w:rsidRPr="00200234" w:rsidRDefault="00753A1F" w:rsidP="00535C2F">
      <w:r w:rsidRPr="00200234">
        <w:t xml:space="preserve">Comparing compulsory assessment and treatment among </w:t>
      </w:r>
      <w:bookmarkEnd w:id="33"/>
      <w:bookmarkEnd w:id="34"/>
      <w:bookmarkEnd w:id="35"/>
      <w:bookmarkEnd w:id="36"/>
      <w:bookmarkEnd w:id="37"/>
      <w:bookmarkEnd w:id="38"/>
      <w:r>
        <w:t>districts</w:t>
      </w:r>
      <w:bookmarkEnd w:id="39"/>
      <w:r>
        <w:t xml:space="preserve"> </w:t>
      </w:r>
      <w:r w:rsidR="00535C2F">
        <w:fldChar w:fldCharType="begin"/>
      </w:r>
      <w:r w:rsidR="00535C2F">
        <w:instrText xml:space="preserve"> REF _Ref189453873 \h </w:instrText>
      </w:r>
      <w:r w:rsidR="00535C2F">
        <w:fldChar w:fldCharType="separate"/>
      </w:r>
      <w:r w:rsidR="00753BC8">
        <w:t>Table </w:t>
      </w:r>
      <w:r w:rsidR="00753BC8">
        <w:rPr>
          <w:noProof/>
        </w:rPr>
        <w:t>1</w:t>
      </w:r>
      <w:r w:rsidR="00535C2F">
        <w:fldChar w:fldCharType="end"/>
      </w:r>
      <w:r w:rsidR="00535C2F">
        <w:t xml:space="preserve"> shows the average number of people per month in 2022/23 who were required to undergo assessment under the Mental Health Act in each district. </w:t>
      </w:r>
      <w:r w:rsidR="00535C2F">
        <w:fldChar w:fldCharType="begin"/>
      </w:r>
      <w:r w:rsidR="00535C2F">
        <w:instrText xml:space="preserve"> REF _Ref85553671 \h </w:instrText>
      </w:r>
      <w:r w:rsidR="00535C2F">
        <w:fldChar w:fldCharType="separate"/>
      </w:r>
      <w:r w:rsidR="00753BC8" w:rsidRPr="00B20D4C">
        <w:t>Table </w:t>
      </w:r>
      <w:r w:rsidR="00753BC8">
        <w:rPr>
          <w:noProof/>
        </w:rPr>
        <w:t>2</w:t>
      </w:r>
      <w:r w:rsidR="00535C2F">
        <w:fldChar w:fldCharType="end"/>
      </w:r>
      <w:r w:rsidR="00535C2F">
        <w:t xml:space="preserve"> shows the average number of people subject to a CTO on a given day in the same period in each district. The following figures present the average number of people subject to a CTO on a given day, focusing specifically on either community treatment orders (</w:t>
      </w:r>
      <w:r w:rsidR="00535C2F">
        <w:fldChar w:fldCharType="begin"/>
      </w:r>
      <w:r w:rsidR="00535C2F">
        <w:instrText xml:space="preserve"> REF _Ref65671612 \h </w:instrText>
      </w:r>
      <w:r w:rsidR="00535C2F">
        <w:fldChar w:fldCharType="separate"/>
      </w:r>
      <w:r w:rsidR="00753BC8">
        <w:t>Figure </w:t>
      </w:r>
      <w:r w:rsidR="00753BC8">
        <w:rPr>
          <w:noProof/>
        </w:rPr>
        <w:t>3</w:t>
      </w:r>
      <w:r w:rsidR="00535C2F">
        <w:fldChar w:fldCharType="end"/>
      </w:r>
      <w:r w:rsidR="00535C2F">
        <w:t>) or inpatient treatment orders (</w:t>
      </w:r>
      <w:r w:rsidR="00535C2F">
        <w:fldChar w:fldCharType="begin"/>
      </w:r>
      <w:r w:rsidR="00535C2F">
        <w:instrText xml:space="preserve"> REF _Ref84315824 \h </w:instrText>
      </w:r>
      <w:r w:rsidR="00535C2F">
        <w:fldChar w:fldCharType="separate"/>
      </w:r>
      <w:r w:rsidR="00753BC8" w:rsidRPr="00653DF9">
        <w:t>Figure </w:t>
      </w:r>
      <w:r w:rsidR="00753BC8">
        <w:rPr>
          <w:noProof/>
        </w:rPr>
        <w:t>4</w:t>
      </w:r>
      <w:r w:rsidR="00535C2F">
        <w:fldChar w:fldCharType="end"/>
      </w:r>
      <w:r w:rsidR="00535C2F">
        <w:t>).</w:t>
      </w:r>
    </w:p>
    <w:p w14:paraId="73C5F5D1" w14:textId="096AB6C3" w:rsidR="00753A1F" w:rsidRDefault="00753A1F" w:rsidP="00753A1F"/>
    <w:p w14:paraId="076299FB" w14:textId="6CB9ED4D" w:rsidR="00753A1F" w:rsidRDefault="00753A1F" w:rsidP="00753A1F"/>
    <w:p w14:paraId="1D2468B1" w14:textId="77777777" w:rsidR="00753A1F" w:rsidRDefault="00753A1F" w:rsidP="00753A1F">
      <w:pPr>
        <w:pStyle w:val="Table"/>
        <w:sectPr w:rsidR="00753A1F" w:rsidSect="00753A1F">
          <w:headerReference w:type="even" r:id="rId34"/>
          <w:headerReference w:type="default" r:id="rId35"/>
          <w:pgSz w:w="11907" w:h="16834" w:code="9"/>
          <w:pgMar w:top="1418" w:right="1701" w:bottom="1134" w:left="1843" w:header="284" w:footer="425" w:gutter="284"/>
          <w:cols w:space="720"/>
        </w:sectPr>
      </w:pPr>
      <w:bookmarkStart w:id="40" w:name="_Toc145394314"/>
      <w:bookmarkStart w:id="41" w:name="_Toc189053992"/>
    </w:p>
    <w:p w14:paraId="430736F6" w14:textId="6B7F74C8" w:rsidR="00753A1F" w:rsidRDefault="00753A1F" w:rsidP="00753A1F">
      <w:pPr>
        <w:pStyle w:val="Table"/>
      </w:pPr>
      <w:bookmarkStart w:id="42" w:name="_Ref189453873"/>
      <w:bookmarkStart w:id="43" w:name="_Toc189647977"/>
      <w:r>
        <w:t>Table </w:t>
      </w:r>
      <w:r>
        <w:fldChar w:fldCharType="begin"/>
      </w:r>
      <w:r>
        <w:instrText>SEQ Table \* ARABIC</w:instrText>
      </w:r>
      <w:r>
        <w:fldChar w:fldCharType="separate"/>
      </w:r>
      <w:r w:rsidR="00753BC8">
        <w:rPr>
          <w:noProof/>
        </w:rPr>
        <w:t>1</w:t>
      </w:r>
      <w:r>
        <w:fldChar w:fldCharType="end"/>
      </w:r>
      <w:bookmarkEnd w:id="42"/>
      <w:r>
        <w:t>: Average number of people each month required to undergo assessment under section 11, 13 or 15 of the Mental Health Act per 100,000 population, by district, 1 July 2022 to 30 June 2023</w:t>
      </w:r>
      <w:bookmarkEnd w:id="40"/>
      <w:bookmarkEnd w:id="41"/>
      <w:bookmarkEnd w:id="43"/>
    </w:p>
    <w:tbl>
      <w:tblPr>
        <w:tblW w:w="8082" w:type="dxa"/>
        <w:tblInd w:w="57" w:type="dxa"/>
        <w:tblBorders>
          <w:top w:val="single" w:sz="4" w:space="0" w:color="A6A6A6" w:themeColor="background1" w:themeShade="A6"/>
          <w:bottom w:val="single" w:sz="4" w:space="0" w:color="A6A6A6" w:themeColor="background1" w:themeShade="A6"/>
          <w:insideH w:val="single" w:sz="4" w:space="0" w:color="A6A6A6" w:themeColor="background1" w:themeShade="A6"/>
        </w:tblBorders>
        <w:tblLayout w:type="fixed"/>
        <w:tblCellMar>
          <w:left w:w="57" w:type="dxa"/>
          <w:right w:w="57" w:type="dxa"/>
        </w:tblCellMar>
        <w:tblLook w:val="04A0" w:firstRow="1" w:lastRow="0" w:firstColumn="1" w:lastColumn="0" w:noHBand="0" w:noVBand="1"/>
      </w:tblPr>
      <w:tblGrid>
        <w:gridCol w:w="1843"/>
        <w:gridCol w:w="638"/>
        <w:gridCol w:w="870"/>
        <w:gridCol w:w="618"/>
        <w:gridCol w:w="426"/>
        <w:gridCol w:w="1843"/>
        <w:gridCol w:w="567"/>
        <w:gridCol w:w="690"/>
        <w:gridCol w:w="587"/>
      </w:tblGrid>
      <w:tr w:rsidR="00753A1F" w:rsidRPr="000045A1" w14:paraId="2A192EB5" w14:textId="77777777" w:rsidTr="00497F1D">
        <w:trPr>
          <w:cantSplit/>
          <w:trHeight w:val="300"/>
          <w:tblHeader/>
        </w:trPr>
        <w:tc>
          <w:tcPr>
            <w:tcW w:w="1843" w:type="dxa"/>
            <w:tcBorders>
              <w:top w:val="nil"/>
              <w:bottom w:val="nil"/>
            </w:tcBorders>
            <w:shd w:val="clear" w:color="auto" w:fill="D9D9D9" w:themeFill="background1" w:themeFillShade="D9"/>
          </w:tcPr>
          <w:p w14:paraId="06D442ED" w14:textId="77777777" w:rsidR="00753A1F" w:rsidRPr="000045A1" w:rsidRDefault="00753A1F" w:rsidP="00497F1D">
            <w:pPr>
              <w:pStyle w:val="TableText"/>
              <w:keepNext/>
              <w:spacing w:before="55" w:after="55"/>
              <w:rPr>
                <w:rFonts w:cs="Segoe UI"/>
                <w:b/>
              </w:rPr>
            </w:pPr>
            <w:r>
              <w:rPr>
                <w:rFonts w:cs="Segoe UI"/>
                <w:b/>
              </w:rPr>
              <w:t>District</w:t>
            </w:r>
          </w:p>
        </w:tc>
        <w:tc>
          <w:tcPr>
            <w:tcW w:w="638" w:type="dxa"/>
            <w:tcBorders>
              <w:top w:val="nil"/>
              <w:bottom w:val="nil"/>
            </w:tcBorders>
            <w:shd w:val="clear" w:color="auto" w:fill="D9D9D9" w:themeFill="background1" w:themeFillShade="D9"/>
          </w:tcPr>
          <w:p w14:paraId="1818437C" w14:textId="77777777" w:rsidR="00753A1F" w:rsidRPr="000045A1" w:rsidRDefault="00753A1F" w:rsidP="00497F1D">
            <w:pPr>
              <w:pStyle w:val="TableText"/>
              <w:keepNext/>
              <w:spacing w:before="55" w:after="55"/>
              <w:jc w:val="center"/>
              <w:rPr>
                <w:rFonts w:cs="Segoe UI"/>
                <w:b/>
              </w:rPr>
            </w:pPr>
            <w:r w:rsidRPr="000045A1">
              <w:rPr>
                <w:rFonts w:cs="Segoe UI"/>
                <w:b/>
              </w:rPr>
              <w:t>s 11</w:t>
            </w:r>
          </w:p>
        </w:tc>
        <w:tc>
          <w:tcPr>
            <w:tcW w:w="870" w:type="dxa"/>
            <w:tcBorders>
              <w:top w:val="nil"/>
              <w:bottom w:val="nil"/>
            </w:tcBorders>
            <w:shd w:val="clear" w:color="auto" w:fill="D9D9D9" w:themeFill="background1" w:themeFillShade="D9"/>
          </w:tcPr>
          <w:p w14:paraId="75E1A72A" w14:textId="77777777" w:rsidR="00753A1F" w:rsidRPr="000045A1" w:rsidRDefault="00753A1F" w:rsidP="00497F1D">
            <w:pPr>
              <w:pStyle w:val="TableText"/>
              <w:keepNext/>
              <w:spacing w:before="55" w:after="55"/>
              <w:jc w:val="center"/>
              <w:rPr>
                <w:rFonts w:cs="Segoe UI"/>
                <w:b/>
              </w:rPr>
            </w:pPr>
            <w:r w:rsidRPr="000045A1">
              <w:rPr>
                <w:rFonts w:cs="Segoe UI"/>
                <w:b/>
              </w:rPr>
              <w:t>s 13</w:t>
            </w:r>
          </w:p>
        </w:tc>
        <w:tc>
          <w:tcPr>
            <w:tcW w:w="618" w:type="dxa"/>
            <w:tcBorders>
              <w:top w:val="nil"/>
              <w:bottom w:val="nil"/>
            </w:tcBorders>
            <w:shd w:val="clear" w:color="auto" w:fill="D9D9D9" w:themeFill="background1" w:themeFillShade="D9"/>
          </w:tcPr>
          <w:p w14:paraId="6CD6DC28" w14:textId="77777777" w:rsidR="00753A1F" w:rsidRPr="000045A1" w:rsidRDefault="00753A1F" w:rsidP="00497F1D">
            <w:pPr>
              <w:pStyle w:val="TableText"/>
              <w:keepNext/>
              <w:spacing w:before="55" w:after="55"/>
              <w:jc w:val="center"/>
              <w:rPr>
                <w:rFonts w:cs="Segoe UI"/>
                <w:b/>
                <w:bCs/>
              </w:rPr>
            </w:pPr>
            <w:r w:rsidRPr="15C70FB8">
              <w:rPr>
                <w:rFonts w:cs="Segoe UI"/>
                <w:b/>
                <w:bCs/>
              </w:rPr>
              <w:t>s 15</w:t>
            </w:r>
          </w:p>
        </w:tc>
        <w:tc>
          <w:tcPr>
            <w:tcW w:w="426" w:type="dxa"/>
            <w:tcBorders>
              <w:top w:val="nil"/>
              <w:bottom w:val="nil"/>
            </w:tcBorders>
            <w:shd w:val="clear" w:color="auto" w:fill="auto"/>
          </w:tcPr>
          <w:p w14:paraId="09C8EBF0" w14:textId="77777777" w:rsidR="00753A1F" w:rsidRPr="000045A1" w:rsidRDefault="00753A1F" w:rsidP="00497F1D">
            <w:pPr>
              <w:pStyle w:val="TableText"/>
              <w:keepNext/>
              <w:spacing w:before="55" w:after="55"/>
              <w:jc w:val="center"/>
              <w:rPr>
                <w:rFonts w:cs="Segoe UI"/>
                <w:b/>
              </w:rPr>
            </w:pPr>
          </w:p>
        </w:tc>
        <w:tc>
          <w:tcPr>
            <w:tcW w:w="1843" w:type="dxa"/>
            <w:tcBorders>
              <w:top w:val="nil"/>
              <w:bottom w:val="nil"/>
            </w:tcBorders>
            <w:shd w:val="clear" w:color="auto" w:fill="D9D9D9" w:themeFill="background1" w:themeFillShade="D9"/>
          </w:tcPr>
          <w:p w14:paraId="7C0FFDF9" w14:textId="77777777" w:rsidR="00753A1F" w:rsidRPr="000045A1" w:rsidRDefault="00753A1F" w:rsidP="00497F1D">
            <w:pPr>
              <w:pStyle w:val="TableText"/>
              <w:keepNext/>
              <w:spacing w:before="55" w:after="55"/>
              <w:rPr>
                <w:rFonts w:cs="Segoe UI"/>
                <w:b/>
              </w:rPr>
            </w:pPr>
            <w:r>
              <w:rPr>
                <w:rFonts w:cs="Segoe UI"/>
                <w:b/>
              </w:rPr>
              <w:t>District</w:t>
            </w:r>
          </w:p>
        </w:tc>
        <w:tc>
          <w:tcPr>
            <w:tcW w:w="567" w:type="dxa"/>
            <w:tcBorders>
              <w:top w:val="nil"/>
              <w:bottom w:val="nil"/>
            </w:tcBorders>
            <w:shd w:val="clear" w:color="auto" w:fill="D9D9D9" w:themeFill="background1" w:themeFillShade="D9"/>
          </w:tcPr>
          <w:p w14:paraId="0C8F249C" w14:textId="77777777" w:rsidR="00753A1F" w:rsidRPr="000045A1" w:rsidRDefault="00753A1F" w:rsidP="00497F1D">
            <w:pPr>
              <w:pStyle w:val="TableText"/>
              <w:keepNext/>
              <w:spacing w:before="55" w:after="55"/>
              <w:jc w:val="center"/>
              <w:rPr>
                <w:rFonts w:cs="Segoe UI"/>
                <w:b/>
              </w:rPr>
            </w:pPr>
            <w:r w:rsidRPr="000045A1">
              <w:rPr>
                <w:rFonts w:cs="Segoe UI"/>
                <w:b/>
              </w:rPr>
              <w:t>s 11</w:t>
            </w:r>
          </w:p>
        </w:tc>
        <w:tc>
          <w:tcPr>
            <w:tcW w:w="690" w:type="dxa"/>
            <w:tcBorders>
              <w:top w:val="nil"/>
              <w:bottom w:val="nil"/>
            </w:tcBorders>
            <w:shd w:val="clear" w:color="auto" w:fill="D9D9D9" w:themeFill="background1" w:themeFillShade="D9"/>
          </w:tcPr>
          <w:p w14:paraId="6A7C1E8E" w14:textId="77777777" w:rsidR="00753A1F" w:rsidRPr="000045A1" w:rsidRDefault="00753A1F" w:rsidP="00497F1D">
            <w:pPr>
              <w:pStyle w:val="TableText"/>
              <w:keepNext/>
              <w:spacing w:before="55" w:after="55"/>
              <w:jc w:val="center"/>
              <w:rPr>
                <w:rFonts w:cs="Segoe UI"/>
                <w:b/>
              </w:rPr>
            </w:pPr>
            <w:r w:rsidRPr="000045A1">
              <w:rPr>
                <w:rFonts w:cs="Segoe UI"/>
                <w:b/>
              </w:rPr>
              <w:t>s 13</w:t>
            </w:r>
          </w:p>
        </w:tc>
        <w:tc>
          <w:tcPr>
            <w:tcW w:w="587" w:type="dxa"/>
            <w:tcBorders>
              <w:top w:val="nil"/>
              <w:bottom w:val="nil"/>
            </w:tcBorders>
            <w:shd w:val="clear" w:color="auto" w:fill="D9D9D9" w:themeFill="background1" w:themeFillShade="D9"/>
          </w:tcPr>
          <w:p w14:paraId="36AD1C08" w14:textId="77777777" w:rsidR="00753A1F" w:rsidRPr="000045A1" w:rsidRDefault="00753A1F" w:rsidP="00497F1D">
            <w:pPr>
              <w:pStyle w:val="TableText"/>
              <w:keepNext/>
              <w:spacing w:before="55" w:after="55"/>
              <w:jc w:val="center"/>
              <w:rPr>
                <w:rFonts w:cs="Segoe UI"/>
                <w:b/>
              </w:rPr>
            </w:pPr>
            <w:r w:rsidRPr="000045A1">
              <w:rPr>
                <w:rFonts w:cs="Segoe UI"/>
                <w:b/>
              </w:rPr>
              <w:t xml:space="preserve">s </w:t>
            </w:r>
            <w:r>
              <w:rPr>
                <w:rFonts w:cs="Segoe UI"/>
                <w:b/>
              </w:rPr>
              <w:t>15</w:t>
            </w:r>
          </w:p>
        </w:tc>
      </w:tr>
      <w:tr w:rsidR="00753A1F" w:rsidRPr="000045A1" w14:paraId="4760475A" w14:textId="77777777" w:rsidTr="00497F1D">
        <w:trPr>
          <w:cantSplit/>
          <w:trHeight w:val="300"/>
        </w:trPr>
        <w:tc>
          <w:tcPr>
            <w:tcW w:w="1843" w:type="dxa"/>
            <w:tcBorders>
              <w:top w:val="nil"/>
            </w:tcBorders>
          </w:tcPr>
          <w:p w14:paraId="23219A64" w14:textId="77777777" w:rsidR="00753A1F" w:rsidRPr="000045A1" w:rsidRDefault="00753A1F" w:rsidP="00497F1D">
            <w:pPr>
              <w:pStyle w:val="TableText"/>
              <w:keepNext/>
              <w:spacing w:before="55" w:after="55"/>
              <w:rPr>
                <w:rFonts w:cs="Segoe UI"/>
              </w:rPr>
            </w:pPr>
            <w:r w:rsidRPr="000045A1">
              <w:rPr>
                <w:rFonts w:cs="Segoe UI"/>
              </w:rPr>
              <w:t>Auckland</w:t>
            </w:r>
          </w:p>
        </w:tc>
        <w:tc>
          <w:tcPr>
            <w:tcW w:w="638" w:type="dxa"/>
            <w:tcBorders>
              <w:top w:val="nil"/>
            </w:tcBorders>
          </w:tcPr>
          <w:p w14:paraId="5B2CB07D" w14:textId="77777777" w:rsidR="00753A1F" w:rsidRPr="000045A1" w:rsidRDefault="00753A1F" w:rsidP="00497F1D">
            <w:pPr>
              <w:pStyle w:val="TableText"/>
              <w:keepNext/>
              <w:tabs>
                <w:tab w:val="decimal" w:pos="368"/>
              </w:tabs>
              <w:spacing w:before="55" w:after="55"/>
              <w:jc w:val="center"/>
            </w:pPr>
            <w:r>
              <w:t>17</w:t>
            </w:r>
          </w:p>
        </w:tc>
        <w:tc>
          <w:tcPr>
            <w:tcW w:w="870" w:type="dxa"/>
            <w:tcBorders>
              <w:top w:val="nil"/>
            </w:tcBorders>
          </w:tcPr>
          <w:p w14:paraId="5C7B9429" w14:textId="77777777" w:rsidR="00753A1F" w:rsidRPr="000045A1" w:rsidRDefault="00753A1F" w:rsidP="00497F1D">
            <w:pPr>
              <w:pStyle w:val="TableText"/>
              <w:keepNext/>
              <w:tabs>
                <w:tab w:val="decimal" w:pos="368"/>
              </w:tabs>
              <w:spacing w:before="55" w:after="55"/>
              <w:jc w:val="center"/>
              <w:rPr>
                <w:rFonts w:cs="Segoe UI"/>
              </w:rPr>
            </w:pPr>
            <w:r>
              <w:t>19</w:t>
            </w:r>
          </w:p>
        </w:tc>
        <w:tc>
          <w:tcPr>
            <w:tcW w:w="618" w:type="dxa"/>
            <w:tcBorders>
              <w:top w:val="nil"/>
            </w:tcBorders>
          </w:tcPr>
          <w:p w14:paraId="0BEFC031" w14:textId="77777777" w:rsidR="00753A1F" w:rsidRPr="000045A1" w:rsidRDefault="00753A1F" w:rsidP="00497F1D">
            <w:pPr>
              <w:pStyle w:val="TableText"/>
              <w:keepNext/>
              <w:tabs>
                <w:tab w:val="decimal" w:pos="454"/>
              </w:tabs>
              <w:spacing w:before="55" w:after="55"/>
              <w:jc w:val="center"/>
              <w:rPr>
                <w:rFonts w:cs="Segoe UI"/>
              </w:rPr>
            </w:pPr>
            <w:r>
              <w:t>16</w:t>
            </w:r>
          </w:p>
        </w:tc>
        <w:tc>
          <w:tcPr>
            <w:tcW w:w="426" w:type="dxa"/>
            <w:tcBorders>
              <w:top w:val="nil"/>
              <w:bottom w:val="nil"/>
            </w:tcBorders>
            <w:shd w:val="clear" w:color="auto" w:fill="auto"/>
          </w:tcPr>
          <w:p w14:paraId="07ACBC5F" w14:textId="77777777" w:rsidR="00753A1F" w:rsidRPr="000045A1" w:rsidRDefault="00753A1F" w:rsidP="00497F1D">
            <w:pPr>
              <w:pStyle w:val="TableText"/>
              <w:keepNext/>
              <w:tabs>
                <w:tab w:val="decimal" w:pos="636"/>
              </w:tabs>
              <w:spacing w:before="55" w:after="55"/>
              <w:rPr>
                <w:rFonts w:cs="Segoe UI"/>
              </w:rPr>
            </w:pPr>
          </w:p>
        </w:tc>
        <w:tc>
          <w:tcPr>
            <w:tcW w:w="1843" w:type="dxa"/>
            <w:tcBorders>
              <w:top w:val="nil"/>
            </w:tcBorders>
          </w:tcPr>
          <w:p w14:paraId="08C32E34" w14:textId="77777777" w:rsidR="00753A1F" w:rsidRPr="000045A1" w:rsidRDefault="00753A1F" w:rsidP="00497F1D">
            <w:pPr>
              <w:pStyle w:val="TableText"/>
              <w:keepNext/>
              <w:spacing w:before="55" w:after="55"/>
              <w:jc w:val="both"/>
              <w:rPr>
                <w:rFonts w:cs="Segoe UI"/>
              </w:rPr>
            </w:pPr>
            <w:r w:rsidRPr="000045A1">
              <w:rPr>
                <w:rFonts w:cs="Segoe UI"/>
              </w:rPr>
              <w:t>Northland</w:t>
            </w:r>
          </w:p>
        </w:tc>
        <w:tc>
          <w:tcPr>
            <w:tcW w:w="567" w:type="dxa"/>
            <w:tcBorders>
              <w:top w:val="nil"/>
            </w:tcBorders>
          </w:tcPr>
          <w:p w14:paraId="42D04261" w14:textId="77777777" w:rsidR="00753A1F" w:rsidRPr="000045A1" w:rsidRDefault="00753A1F" w:rsidP="00497F1D">
            <w:pPr>
              <w:pStyle w:val="TableText"/>
              <w:keepNext/>
              <w:tabs>
                <w:tab w:val="decimal" w:pos="368"/>
              </w:tabs>
              <w:spacing w:before="55" w:after="55"/>
              <w:jc w:val="center"/>
            </w:pPr>
            <w:r>
              <w:t>14</w:t>
            </w:r>
          </w:p>
        </w:tc>
        <w:tc>
          <w:tcPr>
            <w:tcW w:w="690" w:type="dxa"/>
            <w:tcBorders>
              <w:top w:val="nil"/>
            </w:tcBorders>
          </w:tcPr>
          <w:p w14:paraId="4A8F53A3" w14:textId="77777777" w:rsidR="00753A1F" w:rsidRPr="000045A1" w:rsidRDefault="00753A1F" w:rsidP="00497F1D">
            <w:pPr>
              <w:pStyle w:val="TableText"/>
              <w:keepNext/>
              <w:tabs>
                <w:tab w:val="decimal" w:pos="368"/>
              </w:tabs>
              <w:spacing w:before="55" w:after="55"/>
              <w:jc w:val="center"/>
              <w:rPr>
                <w:rFonts w:cs="Segoe UI"/>
              </w:rPr>
            </w:pPr>
            <w:r>
              <w:t>16</w:t>
            </w:r>
          </w:p>
        </w:tc>
        <w:tc>
          <w:tcPr>
            <w:tcW w:w="587" w:type="dxa"/>
            <w:tcBorders>
              <w:top w:val="nil"/>
            </w:tcBorders>
          </w:tcPr>
          <w:p w14:paraId="77886A3B" w14:textId="77777777" w:rsidR="00753A1F" w:rsidRPr="000045A1" w:rsidRDefault="00753A1F" w:rsidP="00497F1D">
            <w:pPr>
              <w:pStyle w:val="TableText"/>
              <w:keepNext/>
              <w:tabs>
                <w:tab w:val="decimal" w:pos="454"/>
              </w:tabs>
              <w:spacing w:before="55" w:after="55"/>
              <w:jc w:val="center"/>
            </w:pPr>
            <w:r>
              <w:t>13</w:t>
            </w:r>
          </w:p>
        </w:tc>
      </w:tr>
      <w:tr w:rsidR="00753A1F" w:rsidRPr="000045A1" w14:paraId="18057ED3" w14:textId="77777777" w:rsidTr="00497F1D">
        <w:trPr>
          <w:cantSplit/>
          <w:trHeight w:val="300"/>
        </w:trPr>
        <w:tc>
          <w:tcPr>
            <w:tcW w:w="1843" w:type="dxa"/>
          </w:tcPr>
          <w:p w14:paraId="539E3384" w14:textId="77777777" w:rsidR="00753A1F" w:rsidRPr="000045A1" w:rsidRDefault="00753A1F" w:rsidP="00497F1D">
            <w:pPr>
              <w:pStyle w:val="TableText"/>
              <w:keepNext/>
              <w:spacing w:before="55" w:after="55"/>
              <w:rPr>
                <w:rFonts w:cs="Segoe UI"/>
              </w:rPr>
            </w:pPr>
            <w:r w:rsidRPr="000045A1">
              <w:rPr>
                <w:rFonts w:cs="Segoe UI"/>
              </w:rPr>
              <w:t>Bay of Plenty</w:t>
            </w:r>
          </w:p>
        </w:tc>
        <w:tc>
          <w:tcPr>
            <w:tcW w:w="638" w:type="dxa"/>
          </w:tcPr>
          <w:p w14:paraId="772B3766" w14:textId="77777777" w:rsidR="00753A1F" w:rsidRPr="000045A1" w:rsidRDefault="00753A1F" w:rsidP="00497F1D">
            <w:pPr>
              <w:pStyle w:val="TableText"/>
              <w:keepNext/>
              <w:tabs>
                <w:tab w:val="decimal" w:pos="368"/>
              </w:tabs>
              <w:spacing w:before="55" w:after="55"/>
              <w:jc w:val="center"/>
            </w:pPr>
            <w:r>
              <w:t>14</w:t>
            </w:r>
          </w:p>
        </w:tc>
        <w:tc>
          <w:tcPr>
            <w:tcW w:w="870" w:type="dxa"/>
          </w:tcPr>
          <w:p w14:paraId="4FF94C33" w14:textId="77777777" w:rsidR="00753A1F" w:rsidRPr="000045A1" w:rsidRDefault="00753A1F" w:rsidP="00497F1D">
            <w:pPr>
              <w:pStyle w:val="TableText"/>
              <w:keepNext/>
              <w:tabs>
                <w:tab w:val="decimal" w:pos="368"/>
              </w:tabs>
              <w:spacing w:before="55" w:after="55"/>
              <w:jc w:val="center"/>
              <w:rPr>
                <w:rFonts w:cs="Segoe UI"/>
              </w:rPr>
            </w:pPr>
            <w:r>
              <w:t>13</w:t>
            </w:r>
          </w:p>
        </w:tc>
        <w:tc>
          <w:tcPr>
            <w:tcW w:w="618" w:type="dxa"/>
          </w:tcPr>
          <w:p w14:paraId="29ED1C04" w14:textId="77777777" w:rsidR="00753A1F" w:rsidRPr="000045A1" w:rsidRDefault="00753A1F" w:rsidP="00497F1D">
            <w:pPr>
              <w:pStyle w:val="TableText"/>
              <w:keepNext/>
              <w:tabs>
                <w:tab w:val="decimal" w:pos="454"/>
              </w:tabs>
              <w:spacing w:before="55" w:after="55"/>
              <w:jc w:val="center"/>
              <w:rPr>
                <w:rFonts w:cs="Segoe UI"/>
              </w:rPr>
            </w:pPr>
            <w:r>
              <w:t>6</w:t>
            </w:r>
          </w:p>
        </w:tc>
        <w:tc>
          <w:tcPr>
            <w:tcW w:w="426" w:type="dxa"/>
            <w:tcBorders>
              <w:top w:val="nil"/>
              <w:bottom w:val="nil"/>
            </w:tcBorders>
            <w:shd w:val="clear" w:color="auto" w:fill="auto"/>
          </w:tcPr>
          <w:p w14:paraId="085896FB" w14:textId="77777777" w:rsidR="00753A1F" w:rsidRPr="000045A1" w:rsidRDefault="00753A1F" w:rsidP="00497F1D">
            <w:pPr>
              <w:pStyle w:val="TableText"/>
              <w:keepNext/>
              <w:tabs>
                <w:tab w:val="decimal" w:pos="636"/>
              </w:tabs>
              <w:spacing w:before="55" w:after="55"/>
              <w:rPr>
                <w:rFonts w:cs="Segoe UI"/>
              </w:rPr>
            </w:pPr>
          </w:p>
        </w:tc>
        <w:tc>
          <w:tcPr>
            <w:tcW w:w="1843" w:type="dxa"/>
          </w:tcPr>
          <w:p w14:paraId="49A4C046" w14:textId="77777777" w:rsidR="00753A1F" w:rsidRPr="000045A1" w:rsidRDefault="00753A1F" w:rsidP="00497F1D">
            <w:pPr>
              <w:pStyle w:val="TableText"/>
              <w:keepNext/>
              <w:spacing w:before="55" w:after="55"/>
              <w:jc w:val="both"/>
              <w:rPr>
                <w:rFonts w:cs="Segoe UI"/>
              </w:rPr>
            </w:pPr>
            <w:r w:rsidRPr="000045A1">
              <w:rPr>
                <w:rFonts w:cs="Segoe UI"/>
              </w:rPr>
              <w:t>South Canterbury</w:t>
            </w:r>
          </w:p>
        </w:tc>
        <w:tc>
          <w:tcPr>
            <w:tcW w:w="567" w:type="dxa"/>
          </w:tcPr>
          <w:p w14:paraId="507113E5" w14:textId="77777777" w:rsidR="00753A1F" w:rsidRPr="000045A1" w:rsidRDefault="00753A1F" w:rsidP="00497F1D">
            <w:pPr>
              <w:pStyle w:val="TableText"/>
              <w:keepNext/>
              <w:tabs>
                <w:tab w:val="decimal" w:pos="368"/>
              </w:tabs>
              <w:spacing w:before="55" w:after="55"/>
              <w:jc w:val="center"/>
            </w:pPr>
            <w:r>
              <w:t>4</w:t>
            </w:r>
          </w:p>
        </w:tc>
        <w:tc>
          <w:tcPr>
            <w:tcW w:w="690" w:type="dxa"/>
          </w:tcPr>
          <w:p w14:paraId="1D15298F" w14:textId="77777777" w:rsidR="00753A1F" w:rsidRPr="000045A1" w:rsidRDefault="00753A1F" w:rsidP="00497F1D">
            <w:pPr>
              <w:pStyle w:val="TableText"/>
              <w:keepNext/>
              <w:tabs>
                <w:tab w:val="decimal" w:pos="368"/>
              </w:tabs>
              <w:spacing w:before="55" w:after="55"/>
              <w:jc w:val="center"/>
              <w:rPr>
                <w:rFonts w:cs="Segoe UI"/>
              </w:rPr>
            </w:pPr>
            <w:r>
              <w:t>4</w:t>
            </w:r>
          </w:p>
        </w:tc>
        <w:tc>
          <w:tcPr>
            <w:tcW w:w="587" w:type="dxa"/>
          </w:tcPr>
          <w:p w14:paraId="4FE825F8" w14:textId="77777777" w:rsidR="00753A1F" w:rsidRPr="000045A1" w:rsidRDefault="00753A1F" w:rsidP="00497F1D">
            <w:pPr>
              <w:pStyle w:val="TableText"/>
              <w:keepNext/>
              <w:tabs>
                <w:tab w:val="decimal" w:pos="454"/>
              </w:tabs>
              <w:spacing w:before="55" w:after="55"/>
              <w:jc w:val="center"/>
              <w:rPr>
                <w:rFonts w:cs="Segoe UI"/>
              </w:rPr>
            </w:pPr>
            <w:r>
              <w:t>3</w:t>
            </w:r>
          </w:p>
        </w:tc>
      </w:tr>
      <w:tr w:rsidR="00753A1F" w:rsidRPr="000045A1" w14:paraId="6243E28B" w14:textId="77777777" w:rsidTr="00497F1D">
        <w:trPr>
          <w:cantSplit/>
          <w:trHeight w:val="300"/>
        </w:trPr>
        <w:tc>
          <w:tcPr>
            <w:tcW w:w="1843" w:type="dxa"/>
          </w:tcPr>
          <w:p w14:paraId="25DF356D" w14:textId="77777777" w:rsidR="00753A1F" w:rsidRPr="000045A1" w:rsidRDefault="00753A1F" w:rsidP="00497F1D">
            <w:pPr>
              <w:pStyle w:val="TableText"/>
              <w:keepNext/>
              <w:spacing w:before="55" w:after="55"/>
              <w:rPr>
                <w:rFonts w:cs="Segoe UI"/>
              </w:rPr>
            </w:pPr>
            <w:r w:rsidRPr="000045A1">
              <w:rPr>
                <w:rFonts w:cs="Segoe UI"/>
              </w:rPr>
              <w:t>Canterbury</w:t>
            </w:r>
          </w:p>
        </w:tc>
        <w:tc>
          <w:tcPr>
            <w:tcW w:w="638" w:type="dxa"/>
          </w:tcPr>
          <w:p w14:paraId="7F116917" w14:textId="77777777" w:rsidR="00753A1F" w:rsidRPr="000045A1" w:rsidRDefault="00753A1F" w:rsidP="00497F1D">
            <w:pPr>
              <w:pStyle w:val="TableText"/>
              <w:keepNext/>
              <w:tabs>
                <w:tab w:val="decimal" w:pos="368"/>
              </w:tabs>
              <w:spacing w:before="55" w:after="55"/>
              <w:jc w:val="center"/>
            </w:pPr>
            <w:r>
              <w:t>12</w:t>
            </w:r>
          </w:p>
        </w:tc>
        <w:tc>
          <w:tcPr>
            <w:tcW w:w="870" w:type="dxa"/>
          </w:tcPr>
          <w:p w14:paraId="59F99708" w14:textId="77777777" w:rsidR="00753A1F" w:rsidRPr="000045A1" w:rsidRDefault="00753A1F" w:rsidP="00497F1D">
            <w:pPr>
              <w:pStyle w:val="TableText"/>
              <w:keepNext/>
              <w:tabs>
                <w:tab w:val="decimal" w:pos="368"/>
              </w:tabs>
              <w:spacing w:before="55" w:after="55"/>
              <w:jc w:val="center"/>
            </w:pPr>
            <w:r>
              <w:t>13</w:t>
            </w:r>
          </w:p>
        </w:tc>
        <w:tc>
          <w:tcPr>
            <w:tcW w:w="618" w:type="dxa"/>
          </w:tcPr>
          <w:p w14:paraId="5723FB86" w14:textId="77777777" w:rsidR="00753A1F" w:rsidRPr="000045A1" w:rsidRDefault="00753A1F" w:rsidP="00497F1D">
            <w:pPr>
              <w:pStyle w:val="TableText"/>
              <w:keepNext/>
              <w:tabs>
                <w:tab w:val="decimal" w:pos="454"/>
              </w:tabs>
              <w:spacing w:before="55" w:after="55"/>
              <w:jc w:val="center"/>
              <w:rPr>
                <w:rFonts w:cs="Segoe UI"/>
              </w:rPr>
            </w:pPr>
            <w:r>
              <w:t>10</w:t>
            </w:r>
          </w:p>
        </w:tc>
        <w:tc>
          <w:tcPr>
            <w:tcW w:w="426" w:type="dxa"/>
            <w:tcBorders>
              <w:top w:val="nil"/>
              <w:bottom w:val="nil"/>
            </w:tcBorders>
            <w:shd w:val="clear" w:color="auto" w:fill="auto"/>
          </w:tcPr>
          <w:p w14:paraId="1A7539EB" w14:textId="77777777" w:rsidR="00753A1F" w:rsidRPr="000045A1" w:rsidRDefault="00753A1F" w:rsidP="00497F1D">
            <w:pPr>
              <w:pStyle w:val="TableText"/>
              <w:keepNext/>
              <w:tabs>
                <w:tab w:val="decimal" w:pos="636"/>
              </w:tabs>
              <w:spacing w:before="55" w:after="55"/>
              <w:rPr>
                <w:rFonts w:cs="Segoe UI"/>
              </w:rPr>
            </w:pPr>
          </w:p>
        </w:tc>
        <w:tc>
          <w:tcPr>
            <w:tcW w:w="1843" w:type="dxa"/>
          </w:tcPr>
          <w:p w14:paraId="1E3BB7FA" w14:textId="77777777" w:rsidR="00753A1F" w:rsidRPr="000045A1" w:rsidRDefault="00753A1F" w:rsidP="00497F1D">
            <w:pPr>
              <w:pStyle w:val="TableText"/>
              <w:keepNext/>
              <w:spacing w:before="55" w:after="55"/>
              <w:jc w:val="both"/>
              <w:rPr>
                <w:rFonts w:cs="Segoe UI"/>
              </w:rPr>
            </w:pPr>
            <w:r w:rsidRPr="000045A1">
              <w:rPr>
                <w:rFonts w:cs="Segoe UI"/>
              </w:rPr>
              <w:t>Southern</w:t>
            </w:r>
          </w:p>
        </w:tc>
        <w:tc>
          <w:tcPr>
            <w:tcW w:w="567" w:type="dxa"/>
          </w:tcPr>
          <w:p w14:paraId="740DAFDC" w14:textId="77777777" w:rsidR="00753A1F" w:rsidRPr="000045A1" w:rsidRDefault="00753A1F" w:rsidP="00497F1D">
            <w:pPr>
              <w:pStyle w:val="TableText"/>
              <w:keepNext/>
              <w:tabs>
                <w:tab w:val="decimal" w:pos="368"/>
              </w:tabs>
              <w:spacing w:before="55" w:after="55"/>
              <w:jc w:val="center"/>
            </w:pPr>
            <w:r>
              <w:t>9</w:t>
            </w:r>
          </w:p>
        </w:tc>
        <w:tc>
          <w:tcPr>
            <w:tcW w:w="690" w:type="dxa"/>
          </w:tcPr>
          <w:p w14:paraId="4C20740C" w14:textId="77777777" w:rsidR="00753A1F" w:rsidRPr="000045A1" w:rsidRDefault="00753A1F" w:rsidP="00497F1D">
            <w:pPr>
              <w:pStyle w:val="TableText"/>
              <w:keepNext/>
              <w:tabs>
                <w:tab w:val="decimal" w:pos="368"/>
              </w:tabs>
              <w:spacing w:before="55" w:after="55"/>
              <w:jc w:val="center"/>
              <w:rPr>
                <w:rFonts w:cs="Segoe UI"/>
              </w:rPr>
            </w:pPr>
            <w:r>
              <w:t>10</w:t>
            </w:r>
          </w:p>
        </w:tc>
        <w:tc>
          <w:tcPr>
            <w:tcW w:w="587" w:type="dxa"/>
          </w:tcPr>
          <w:p w14:paraId="1410C435" w14:textId="77777777" w:rsidR="00753A1F" w:rsidRPr="000045A1" w:rsidRDefault="00753A1F" w:rsidP="00497F1D">
            <w:pPr>
              <w:pStyle w:val="TableText"/>
              <w:keepNext/>
              <w:tabs>
                <w:tab w:val="decimal" w:pos="454"/>
              </w:tabs>
              <w:spacing w:before="55" w:after="55"/>
              <w:jc w:val="center"/>
              <w:rPr>
                <w:rFonts w:cs="Segoe UI"/>
              </w:rPr>
            </w:pPr>
            <w:r>
              <w:t>7</w:t>
            </w:r>
          </w:p>
        </w:tc>
      </w:tr>
      <w:tr w:rsidR="00753A1F" w:rsidRPr="000045A1" w14:paraId="6AC5A661" w14:textId="77777777" w:rsidTr="00497F1D">
        <w:trPr>
          <w:cantSplit/>
          <w:trHeight w:val="300"/>
        </w:trPr>
        <w:tc>
          <w:tcPr>
            <w:tcW w:w="1843" w:type="dxa"/>
          </w:tcPr>
          <w:p w14:paraId="6156DEA9" w14:textId="77777777" w:rsidR="00753A1F" w:rsidRPr="000045A1" w:rsidRDefault="00753A1F" w:rsidP="00497F1D">
            <w:pPr>
              <w:pStyle w:val="TableText"/>
              <w:keepNext/>
              <w:spacing w:before="55" w:after="55"/>
              <w:rPr>
                <w:rFonts w:cs="Segoe UI"/>
              </w:rPr>
            </w:pPr>
            <w:r w:rsidRPr="000045A1">
              <w:rPr>
                <w:rFonts w:cs="Segoe UI"/>
              </w:rPr>
              <w:t>Capital &amp; Coast</w:t>
            </w:r>
          </w:p>
        </w:tc>
        <w:tc>
          <w:tcPr>
            <w:tcW w:w="638" w:type="dxa"/>
          </w:tcPr>
          <w:p w14:paraId="5CA8F660" w14:textId="77777777" w:rsidR="00753A1F" w:rsidRPr="000045A1" w:rsidRDefault="00753A1F" w:rsidP="00497F1D">
            <w:pPr>
              <w:pStyle w:val="TableText"/>
              <w:keepNext/>
              <w:tabs>
                <w:tab w:val="decimal" w:pos="368"/>
              </w:tabs>
              <w:spacing w:before="55" w:after="55"/>
              <w:jc w:val="center"/>
            </w:pPr>
            <w:r>
              <w:t>11</w:t>
            </w:r>
          </w:p>
        </w:tc>
        <w:tc>
          <w:tcPr>
            <w:tcW w:w="870" w:type="dxa"/>
          </w:tcPr>
          <w:p w14:paraId="590099D0" w14:textId="77777777" w:rsidR="00753A1F" w:rsidRPr="000045A1" w:rsidRDefault="00753A1F" w:rsidP="00497F1D">
            <w:pPr>
              <w:pStyle w:val="TableText"/>
              <w:keepNext/>
              <w:tabs>
                <w:tab w:val="decimal" w:pos="368"/>
              </w:tabs>
              <w:spacing w:before="55" w:after="55"/>
              <w:jc w:val="center"/>
              <w:rPr>
                <w:rFonts w:cs="Segoe UI"/>
              </w:rPr>
            </w:pPr>
            <w:r>
              <w:t>13</w:t>
            </w:r>
          </w:p>
        </w:tc>
        <w:tc>
          <w:tcPr>
            <w:tcW w:w="618" w:type="dxa"/>
          </w:tcPr>
          <w:p w14:paraId="0719B1B5" w14:textId="77777777" w:rsidR="00753A1F" w:rsidRPr="000045A1" w:rsidRDefault="00753A1F" w:rsidP="00497F1D">
            <w:pPr>
              <w:pStyle w:val="TableText"/>
              <w:keepNext/>
              <w:tabs>
                <w:tab w:val="decimal" w:pos="454"/>
              </w:tabs>
              <w:spacing w:before="55" w:after="55"/>
              <w:jc w:val="center"/>
              <w:rPr>
                <w:rFonts w:cs="Segoe UI"/>
              </w:rPr>
            </w:pPr>
            <w:r>
              <w:t>11</w:t>
            </w:r>
          </w:p>
        </w:tc>
        <w:tc>
          <w:tcPr>
            <w:tcW w:w="426" w:type="dxa"/>
            <w:tcBorders>
              <w:top w:val="nil"/>
              <w:bottom w:val="nil"/>
            </w:tcBorders>
            <w:shd w:val="clear" w:color="auto" w:fill="auto"/>
          </w:tcPr>
          <w:p w14:paraId="7FC32ADE" w14:textId="77777777" w:rsidR="00753A1F" w:rsidRPr="000045A1" w:rsidRDefault="00753A1F" w:rsidP="00497F1D">
            <w:pPr>
              <w:pStyle w:val="TableText"/>
              <w:keepNext/>
              <w:tabs>
                <w:tab w:val="decimal" w:pos="636"/>
              </w:tabs>
              <w:spacing w:before="55" w:after="55"/>
              <w:rPr>
                <w:rFonts w:cs="Segoe UI"/>
              </w:rPr>
            </w:pPr>
          </w:p>
        </w:tc>
        <w:tc>
          <w:tcPr>
            <w:tcW w:w="1843" w:type="dxa"/>
          </w:tcPr>
          <w:p w14:paraId="7D5076BD" w14:textId="77777777" w:rsidR="00753A1F" w:rsidRPr="000045A1" w:rsidRDefault="00753A1F" w:rsidP="00497F1D">
            <w:pPr>
              <w:pStyle w:val="TableText"/>
              <w:keepNext/>
              <w:spacing w:before="55" w:after="55"/>
              <w:jc w:val="both"/>
              <w:rPr>
                <w:rFonts w:cs="Segoe UI"/>
              </w:rPr>
            </w:pPr>
            <w:r w:rsidRPr="000045A1">
              <w:rPr>
                <w:rFonts w:cs="Segoe UI"/>
              </w:rPr>
              <w:t>Tairāwhiti</w:t>
            </w:r>
          </w:p>
        </w:tc>
        <w:tc>
          <w:tcPr>
            <w:tcW w:w="567" w:type="dxa"/>
          </w:tcPr>
          <w:p w14:paraId="12E826AD" w14:textId="77777777" w:rsidR="00753A1F" w:rsidRPr="000045A1" w:rsidRDefault="00753A1F" w:rsidP="00497F1D">
            <w:pPr>
              <w:pStyle w:val="TableText"/>
              <w:keepNext/>
              <w:tabs>
                <w:tab w:val="decimal" w:pos="368"/>
              </w:tabs>
              <w:spacing w:before="55" w:after="55"/>
              <w:jc w:val="center"/>
              <w:rPr>
                <w:rFonts w:cs="Segoe UI"/>
              </w:rPr>
            </w:pPr>
            <w:r>
              <w:t>16</w:t>
            </w:r>
          </w:p>
        </w:tc>
        <w:tc>
          <w:tcPr>
            <w:tcW w:w="690" w:type="dxa"/>
          </w:tcPr>
          <w:p w14:paraId="6F20719E" w14:textId="77777777" w:rsidR="00753A1F" w:rsidRPr="000045A1" w:rsidRDefault="00753A1F" w:rsidP="00497F1D">
            <w:pPr>
              <w:pStyle w:val="TableText"/>
              <w:keepNext/>
              <w:tabs>
                <w:tab w:val="decimal" w:pos="368"/>
              </w:tabs>
              <w:spacing w:before="55" w:after="55"/>
              <w:jc w:val="center"/>
            </w:pPr>
            <w:r>
              <w:t>13</w:t>
            </w:r>
          </w:p>
        </w:tc>
        <w:tc>
          <w:tcPr>
            <w:tcW w:w="587" w:type="dxa"/>
          </w:tcPr>
          <w:p w14:paraId="4AB3B222" w14:textId="77777777" w:rsidR="00753A1F" w:rsidRPr="000045A1" w:rsidRDefault="00753A1F" w:rsidP="00497F1D">
            <w:pPr>
              <w:pStyle w:val="TableText"/>
              <w:keepNext/>
              <w:tabs>
                <w:tab w:val="decimal" w:pos="454"/>
              </w:tabs>
              <w:spacing w:before="55" w:after="55"/>
              <w:jc w:val="center"/>
              <w:rPr>
                <w:rFonts w:cs="Segoe UI"/>
              </w:rPr>
            </w:pPr>
            <w:r>
              <w:t>5</w:t>
            </w:r>
          </w:p>
        </w:tc>
      </w:tr>
      <w:tr w:rsidR="00753A1F" w:rsidRPr="000045A1" w14:paraId="065E0263" w14:textId="77777777" w:rsidTr="00497F1D">
        <w:trPr>
          <w:cantSplit/>
          <w:trHeight w:val="300"/>
        </w:trPr>
        <w:tc>
          <w:tcPr>
            <w:tcW w:w="1843" w:type="dxa"/>
            <w:tcBorders>
              <w:top w:val="single" w:sz="4" w:space="0" w:color="A6A6A6" w:themeColor="background1" w:themeShade="A6"/>
              <w:bottom w:val="single" w:sz="4" w:space="0" w:color="A6A6A6" w:themeColor="background1" w:themeShade="A6"/>
            </w:tcBorders>
          </w:tcPr>
          <w:p w14:paraId="3B8CC3E3" w14:textId="77777777" w:rsidR="00753A1F" w:rsidRPr="000045A1" w:rsidRDefault="00753A1F" w:rsidP="00497F1D">
            <w:pPr>
              <w:pStyle w:val="TableText"/>
              <w:keepNext/>
              <w:spacing w:before="55" w:after="55"/>
              <w:rPr>
                <w:rFonts w:cs="Segoe UI"/>
              </w:rPr>
            </w:pPr>
            <w:r w:rsidRPr="000045A1">
              <w:rPr>
                <w:rFonts w:cs="Segoe UI"/>
              </w:rPr>
              <w:t>Counties Manukau</w:t>
            </w:r>
          </w:p>
        </w:tc>
        <w:tc>
          <w:tcPr>
            <w:tcW w:w="638" w:type="dxa"/>
            <w:tcBorders>
              <w:top w:val="single" w:sz="4" w:space="0" w:color="A6A6A6" w:themeColor="background1" w:themeShade="A6"/>
              <w:bottom w:val="single" w:sz="4" w:space="0" w:color="A6A6A6" w:themeColor="background1" w:themeShade="A6"/>
            </w:tcBorders>
          </w:tcPr>
          <w:p w14:paraId="22439DA1" w14:textId="77777777" w:rsidR="00753A1F" w:rsidRPr="000045A1" w:rsidRDefault="00753A1F" w:rsidP="00497F1D">
            <w:pPr>
              <w:pStyle w:val="TableText"/>
              <w:keepNext/>
              <w:tabs>
                <w:tab w:val="decimal" w:pos="368"/>
              </w:tabs>
              <w:spacing w:before="55" w:after="55"/>
              <w:jc w:val="center"/>
              <w:rPr>
                <w:rFonts w:cs="Segoe UI"/>
              </w:rPr>
            </w:pPr>
            <w:r>
              <w:t>9</w:t>
            </w:r>
          </w:p>
        </w:tc>
        <w:tc>
          <w:tcPr>
            <w:tcW w:w="870" w:type="dxa"/>
            <w:tcBorders>
              <w:top w:val="single" w:sz="4" w:space="0" w:color="A6A6A6" w:themeColor="background1" w:themeShade="A6"/>
              <w:bottom w:val="single" w:sz="4" w:space="0" w:color="A6A6A6" w:themeColor="background1" w:themeShade="A6"/>
            </w:tcBorders>
          </w:tcPr>
          <w:p w14:paraId="1702EBE1" w14:textId="77777777" w:rsidR="00753A1F" w:rsidRPr="000045A1" w:rsidRDefault="00753A1F" w:rsidP="00497F1D">
            <w:pPr>
              <w:pStyle w:val="TableText"/>
              <w:keepNext/>
              <w:tabs>
                <w:tab w:val="decimal" w:pos="368"/>
              </w:tabs>
              <w:spacing w:before="55" w:after="55"/>
              <w:jc w:val="center"/>
              <w:rPr>
                <w:rFonts w:cs="Segoe UI"/>
              </w:rPr>
            </w:pPr>
            <w:r>
              <w:t>12</w:t>
            </w:r>
          </w:p>
        </w:tc>
        <w:tc>
          <w:tcPr>
            <w:tcW w:w="618" w:type="dxa"/>
            <w:tcBorders>
              <w:top w:val="single" w:sz="4" w:space="0" w:color="A6A6A6" w:themeColor="background1" w:themeShade="A6"/>
              <w:bottom w:val="single" w:sz="4" w:space="0" w:color="A6A6A6" w:themeColor="background1" w:themeShade="A6"/>
            </w:tcBorders>
          </w:tcPr>
          <w:p w14:paraId="661FC7AA" w14:textId="77777777" w:rsidR="00753A1F" w:rsidRPr="000045A1" w:rsidRDefault="00753A1F" w:rsidP="00497F1D">
            <w:pPr>
              <w:pStyle w:val="TableText"/>
              <w:keepNext/>
              <w:tabs>
                <w:tab w:val="decimal" w:pos="454"/>
              </w:tabs>
              <w:spacing w:before="55" w:after="55"/>
              <w:jc w:val="center"/>
              <w:rPr>
                <w:rFonts w:cs="Segoe UI"/>
              </w:rPr>
            </w:pPr>
            <w:r>
              <w:t>9</w:t>
            </w:r>
          </w:p>
        </w:tc>
        <w:tc>
          <w:tcPr>
            <w:tcW w:w="426" w:type="dxa"/>
            <w:tcBorders>
              <w:top w:val="nil"/>
              <w:bottom w:val="nil"/>
            </w:tcBorders>
            <w:shd w:val="clear" w:color="auto" w:fill="auto"/>
          </w:tcPr>
          <w:p w14:paraId="6C3BB60C" w14:textId="77777777" w:rsidR="00753A1F" w:rsidRPr="000045A1" w:rsidRDefault="00753A1F" w:rsidP="00497F1D">
            <w:pPr>
              <w:pStyle w:val="TableText"/>
              <w:keepNext/>
              <w:tabs>
                <w:tab w:val="decimal" w:pos="636"/>
              </w:tabs>
              <w:spacing w:before="55" w:after="55"/>
              <w:rPr>
                <w:rFonts w:cs="Segoe UI"/>
              </w:rPr>
            </w:pPr>
          </w:p>
        </w:tc>
        <w:tc>
          <w:tcPr>
            <w:tcW w:w="1843" w:type="dxa"/>
            <w:tcBorders>
              <w:top w:val="single" w:sz="4" w:space="0" w:color="A6A6A6" w:themeColor="background1" w:themeShade="A6"/>
              <w:bottom w:val="single" w:sz="4" w:space="0" w:color="A6A6A6" w:themeColor="background1" w:themeShade="A6"/>
            </w:tcBorders>
          </w:tcPr>
          <w:p w14:paraId="49C3DCC6" w14:textId="77777777" w:rsidR="00753A1F" w:rsidRPr="000045A1" w:rsidRDefault="00753A1F" w:rsidP="00497F1D">
            <w:pPr>
              <w:pStyle w:val="TableText"/>
              <w:keepNext/>
              <w:spacing w:before="55" w:after="55"/>
              <w:jc w:val="both"/>
              <w:rPr>
                <w:rFonts w:cs="Segoe UI"/>
              </w:rPr>
            </w:pPr>
            <w:r w:rsidRPr="000045A1">
              <w:rPr>
                <w:rFonts w:cs="Segoe UI"/>
              </w:rPr>
              <w:t>Taranaki</w:t>
            </w:r>
          </w:p>
        </w:tc>
        <w:tc>
          <w:tcPr>
            <w:tcW w:w="567" w:type="dxa"/>
            <w:tcBorders>
              <w:top w:val="single" w:sz="4" w:space="0" w:color="A6A6A6" w:themeColor="background1" w:themeShade="A6"/>
              <w:bottom w:val="single" w:sz="4" w:space="0" w:color="A6A6A6" w:themeColor="background1" w:themeShade="A6"/>
            </w:tcBorders>
          </w:tcPr>
          <w:p w14:paraId="79F97FDA" w14:textId="77777777" w:rsidR="00753A1F" w:rsidRPr="000045A1" w:rsidRDefault="00753A1F" w:rsidP="00497F1D">
            <w:pPr>
              <w:pStyle w:val="TableText"/>
              <w:keepNext/>
              <w:tabs>
                <w:tab w:val="decimal" w:pos="368"/>
              </w:tabs>
              <w:spacing w:before="55" w:after="55"/>
              <w:jc w:val="center"/>
              <w:rPr>
                <w:rFonts w:cs="Segoe UI"/>
              </w:rPr>
            </w:pPr>
            <w:r>
              <w:t>14</w:t>
            </w:r>
          </w:p>
        </w:tc>
        <w:tc>
          <w:tcPr>
            <w:tcW w:w="690" w:type="dxa"/>
            <w:tcBorders>
              <w:top w:val="single" w:sz="4" w:space="0" w:color="A6A6A6" w:themeColor="background1" w:themeShade="A6"/>
              <w:bottom w:val="single" w:sz="4" w:space="0" w:color="A6A6A6" w:themeColor="background1" w:themeShade="A6"/>
            </w:tcBorders>
          </w:tcPr>
          <w:p w14:paraId="73AACBEC" w14:textId="77777777" w:rsidR="00753A1F" w:rsidRPr="000045A1" w:rsidRDefault="00753A1F" w:rsidP="00497F1D">
            <w:pPr>
              <w:pStyle w:val="TableText"/>
              <w:keepNext/>
              <w:tabs>
                <w:tab w:val="decimal" w:pos="368"/>
              </w:tabs>
              <w:spacing w:before="55" w:after="55"/>
              <w:jc w:val="center"/>
              <w:rPr>
                <w:rFonts w:cs="Segoe UI"/>
              </w:rPr>
            </w:pPr>
            <w:r>
              <w:t>13</w:t>
            </w:r>
          </w:p>
        </w:tc>
        <w:tc>
          <w:tcPr>
            <w:tcW w:w="587" w:type="dxa"/>
            <w:tcBorders>
              <w:top w:val="single" w:sz="4" w:space="0" w:color="A6A6A6" w:themeColor="background1" w:themeShade="A6"/>
              <w:bottom w:val="single" w:sz="4" w:space="0" w:color="A6A6A6" w:themeColor="background1" w:themeShade="A6"/>
            </w:tcBorders>
          </w:tcPr>
          <w:p w14:paraId="7A5E1524" w14:textId="77777777" w:rsidR="00753A1F" w:rsidRPr="000045A1" w:rsidRDefault="00753A1F" w:rsidP="00497F1D">
            <w:pPr>
              <w:pStyle w:val="TableText"/>
              <w:keepNext/>
              <w:tabs>
                <w:tab w:val="decimal" w:pos="454"/>
              </w:tabs>
              <w:spacing w:before="55" w:after="55"/>
              <w:jc w:val="center"/>
              <w:rPr>
                <w:rFonts w:cs="Segoe UI"/>
              </w:rPr>
            </w:pPr>
            <w:r>
              <w:t>7</w:t>
            </w:r>
          </w:p>
        </w:tc>
      </w:tr>
      <w:tr w:rsidR="00753A1F" w:rsidRPr="000045A1" w14:paraId="146CAEAE" w14:textId="77777777" w:rsidTr="00497F1D">
        <w:trPr>
          <w:cantSplit/>
          <w:trHeight w:val="300"/>
        </w:trPr>
        <w:tc>
          <w:tcPr>
            <w:tcW w:w="1843" w:type="dxa"/>
          </w:tcPr>
          <w:p w14:paraId="5F8E50A0" w14:textId="77777777" w:rsidR="00753A1F" w:rsidRPr="000045A1" w:rsidRDefault="00753A1F" w:rsidP="00497F1D">
            <w:pPr>
              <w:pStyle w:val="TableText"/>
              <w:keepNext/>
              <w:spacing w:before="55" w:after="55"/>
              <w:rPr>
                <w:rFonts w:cs="Segoe UI"/>
              </w:rPr>
            </w:pPr>
            <w:r w:rsidRPr="000045A1">
              <w:rPr>
                <w:rFonts w:cs="Segoe UI"/>
              </w:rPr>
              <w:t>Hawke’s Bay</w:t>
            </w:r>
          </w:p>
        </w:tc>
        <w:tc>
          <w:tcPr>
            <w:tcW w:w="638" w:type="dxa"/>
          </w:tcPr>
          <w:p w14:paraId="71B800F5" w14:textId="77777777" w:rsidR="00753A1F" w:rsidRPr="000045A1" w:rsidRDefault="00753A1F" w:rsidP="00497F1D">
            <w:pPr>
              <w:pStyle w:val="TableText"/>
              <w:keepNext/>
              <w:tabs>
                <w:tab w:val="decimal" w:pos="368"/>
              </w:tabs>
              <w:spacing w:before="55" w:after="55"/>
              <w:jc w:val="center"/>
            </w:pPr>
            <w:r>
              <w:t>12</w:t>
            </w:r>
          </w:p>
        </w:tc>
        <w:tc>
          <w:tcPr>
            <w:tcW w:w="870" w:type="dxa"/>
          </w:tcPr>
          <w:p w14:paraId="3B09BA5B" w14:textId="77777777" w:rsidR="00753A1F" w:rsidRPr="000045A1" w:rsidRDefault="00753A1F" w:rsidP="00497F1D">
            <w:pPr>
              <w:pStyle w:val="TableText"/>
              <w:keepNext/>
              <w:tabs>
                <w:tab w:val="decimal" w:pos="368"/>
              </w:tabs>
              <w:spacing w:before="55" w:after="55"/>
              <w:jc w:val="center"/>
              <w:rPr>
                <w:rFonts w:cs="Segoe UI"/>
              </w:rPr>
            </w:pPr>
            <w:r>
              <w:t>10</w:t>
            </w:r>
          </w:p>
        </w:tc>
        <w:tc>
          <w:tcPr>
            <w:tcW w:w="618" w:type="dxa"/>
          </w:tcPr>
          <w:p w14:paraId="7F3EF891" w14:textId="77777777" w:rsidR="00753A1F" w:rsidRPr="000045A1" w:rsidRDefault="00753A1F" w:rsidP="00497F1D">
            <w:pPr>
              <w:pStyle w:val="TableText"/>
              <w:keepNext/>
              <w:tabs>
                <w:tab w:val="decimal" w:pos="454"/>
              </w:tabs>
              <w:spacing w:before="55" w:after="55"/>
              <w:jc w:val="center"/>
              <w:rPr>
                <w:rFonts w:cs="Segoe UI"/>
              </w:rPr>
            </w:pPr>
            <w:r>
              <w:t>7</w:t>
            </w:r>
          </w:p>
        </w:tc>
        <w:tc>
          <w:tcPr>
            <w:tcW w:w="426" w:type="dxa"/>
            <w:tcBorders>
              <w:top w:val="nil"/>
              <w:bottom w:val="nil"/>
            </w:tcBorders>
            <w:shd w:val="clear" w:color="auto" w:fill="auto"/>
          </w:tcPr>
          <w:p w14:paraId="2DD2C5C4" w14:textId="77777777" w:rsidR="00753A1F" w:rsidRPr="000045A1" w:rsidRDefault="00753A1F" w:rsidP="00497F1D">
            <w:pPr>
              <w:pStyle w:val="TableText"/>
              <w:keepNext/>
              <w:tabs>
                <w:tab w:val="decimal" w:pos="636"/>
              </w:tabs>
              <w:spacing w:before="55" w:after="55"/>
              <w:rPr>
                <w:rFonts w:cs="Segoe UI"/>
              </w:rPr>
            </w:pPr>
          </w:p>
        </w:tc>
        <w:tc>
          <w:tcPr>
            <w:tcW w:w="1843" w:type="dxa"/>
          </w:tcPr>
          <w:p w14:paraId="09F9CA0C" w14:textId="77777777" w:rsidR="00753A1F" w:rsidRPr="000045A1" w:rsidRDefault="00753A1F" w:rsidP="00497F1D">
            <w:pPr>
              <w:pStyle w:val="TableText"/>
              <w:keepNext/>
              <w:spacing w:before="55" w:after="55"/>
              <w:jc w:val="both"/>
              <w:rPr>
                <w:rFonts w:cs="Segoe UI"/>
              </w:rPr>
            </w:pPr>
            <w:r w:rsidRPr="000045A1">
              <w:rPr>
                <w:rFonts w:cs="Segoe UI"/>
              </w:rPr>
              <w:t>Waikato</w:t>
            </w:r>
          </w:p>
        </w:tc>
        <w:tc>
          <w:tcPr>
            <w:tcW w:w="567" w:type="dxa"/>
          </w:tcPr>
          <w:p w14:paraId="4EC8D9AB" w14:textId="77777777" w:rsidR="00753A1F" w:rsidRPr="000045A1" w:rsidRDefault="00753A1F" w:rsidP="00497F1D">
            <w:pPr>
              <w:pStyle w:val="TableText"/>
              <w:keepNext/>
              <w:tabs>
                <w:tab w:val="decimal" w:pos="368"/>
              </w:tabs>
              <w:spacing w:before="55" w:after="55"/>
              <w:jc w:val="center"/>
              <w:rPr>
                <w:rFonts w:cs="Segoe UI"/>
              </w:rPr>
            </w:pPr>
            <w:r>
              <w:t>21</w:t>
            </w:r>
          </w:p>
        </w:tc>
        <w:tc>
          <w:tcPr>
            <w:tcW w:w="690" w:type="dxa"/>
          </w:tcPr>
          <w:p w14:paraId="0A534E84" w14:textId="77777777" w:rsidR="00753A1F" w:rsidRPr="000045A1" w:rsidRDefault="00753A1F" w:rsidP="00497F1D">
            <w:pPr>
              <w:pStyle w:val="TableText"/>
              <w:keepNext/>
              <w:tabs>
                <w:tab w:val="decimal" w:pos="368"/>
              </w:tabs>
              <w:spacing w:before="55" w:after="55"/>
              <w:jc w:val="center"/>
              <w:rPr>
                <w:rFonts w:cs="Segoe UI"/>
              </w:rPr>
            </w:pPr>
            <w:r>
              <w:t>20</w:t>
            </w:r>
          </w:p>
        </w:tc>
        <w:tc>
          <w:tcPr>
            <w:tcW w:w="587" w:type="dxa"/>
          </w:tcPr>
          <w:p w14:paraId="38F7C5D1" w14:textId="77777777" w:rsidR="00753A1F" w:rsidRPr="000045A1" w:rsidRDefault="00753A1F" w:rsidP="00497F1D">
            <w:pPr>
              <w:pStyle w:val="TableText"/>
              <w:keepNext/>
              <w:tabs>
                <w:tab w:val="decimal" w:pos="454"/>
              </w:tabs>
              <w:spacing w:before="55" w:after="55"/>
              <w:jc w:val="center"/>
              <w:rPr>
                <w:rFonts w:cs="Segoe UI"/>
              </w:rPr>
            </w:pPr>
            <w:r>
              <w:t>14</w:t>
            </w:r>
          </w:p>
        </w:tc>
      </w:tr>
      <w:tr w:rsidR="00753A1F" w:rsidRPr="000045A1" w14:paraId="5B156639" w14:textId="77777777" w:rsidTr="00497F1D">
        <w:trPr>
          <w:cantSplit/>
          <w:trHeight w:val="300"/>
        </w:trPr>
        <w:tc>
          <w:tcPr>
            <w:tcW w:w="1843" w:type="dxa"/>
          </w:tcPr>
          <w:p w14:paraId="28761531" w14:textId="77777777" w:rsidR="00753A1F" w:rsidRPr="000045A1" w:rsidRDefault="00753A1F" w:rsidP="00497F1D">
            <w:pPr>
              <w:pStyle w:val="TableText"/>
              <w:keepNext/>
              <w:spacing w:before="55" w:after="55"/>
              <w:rPr>
                <w:rFonts w:cs="Segoe UI"/>
              </w:rPr>
            </w:pPr>
            <w:r w:rsidRPr="000045A1">
              <w:rPr>
                <w:rFonts w:cs="Segoe UI"/>
              </w:rPr>
              <w:t>Hutt Valley</w:t>
            </w:r>
          </w:p>
        </w:tc>
        <w:tc>
          <w:tcPr>
            <w:tcW w:w="638" w:type="dxa"/>
          </w:tcPr>
          <w:p w14:paraId="5517B352" w14:textId="77777777" w:rsidR="00753A1F" w:rsidRPr="000045A1" w:rsidRDefault="00753A1F" w:rsidP="00497F1D">
            <w:pPr>
              <w:pStyle w:val="TableText"/>
              <w:keepNext/>
              <w:tabs>
                <w:tab w:val="decimal" w:pos="368"/>
              </w:tabs>
              <w:spacing w:before="55" w:after="55"/>
              <w:jc w:val="center"/>
            </w:pPr>
            <w:r>
              <w:t>16</w:t>
            </w:r>
          </w:p>
        </w:tc>
        <w:tc>
          <w:tcPr>
            <w:tcW w:w="870" w:type="dxa"/>
          </w:tcPr>
          <w:p w14:paraId="09472550" w14:textId="77777777" w:rsidR="00753A1F" w:rsidRPr="000045A1" w:rsidRDefault="00753A1F" w:rsidP="00497F1D">
            <w:pPr>
              <w:pStyle w:val="TableText"/>
              <w:keepNext/>
              <w:tabs>
                <w:tab w:val="decimal" w:pos="368"/>
              </w:tabs>
              <w:spacing w:before="55" w:after="55"/>
              <w:jc w:val="center"/>
              <w:rPr>
                <w:rFonts w:cs="Segoe UI"/>
              </w:rPr>
            </w:pPr>
            <w:r>
              <w:t>17</w:t>
            </w:r>
          </w:p>
        </w:tc>
        <w:tc>
          <w:tcPr>
            <w:tcW w:w="618" w:type="dxa"/>
          </w:tcPr>
          <w:p w14:paraId="096F1D59" w14:textId="77777777" w:rsidR="00753A1F" w:rsidRPr="000045A1" w:rsidRDefault="00753A1F" w:rsidP="00497F1D">
            <w:pPr>
              <w:pStyle w:val="TableText"/>
              <w:keepNext/>
              <w:tabs>
                <w:tab w:val="decimal" w:pos="454"/>
              </w:tabs>
              <w:spacing w:before="55" w:after="55"/>
              <w:jc w:val="center"/>
            </w:pPr>
            <w:r>
              <w:t>10</w:t>
            </w:r>
          </w:p>
        </w:tc>
        <w:tc>
          <w:tcPr>
            <w:tcW w:w="426" w:type="dxa"/>
            <w:tcBorders>
              <w:top w:val="nil"/>
              <w:bottom w:val="nil"/>
            </w:tcBorders>
            <w:shd w:val="clear" w:color="auto" w:fill="auto"/>
          </w:tcPr>
          <w:p w14:paraId="06C5840D" w14:textId="77777777" w:rsidR="00753A1F" w:rsidRPr="000045A1" w:rsidRDefault="00753A1F" w:rsidP="00497F1D">
            <w:pPr>
              <w:pStyle w:val="TableText"/>
              <w:keepNext/>
              <w:tabs>
                <w:tab w:val="decimal" w:pos="636"/>
              </w:tabs>
              <w:spacing w:before="55" w:after="55"/>
              <w:rPr>
                <w:rFonts w:cs="Segoe UI"/>
              </w:rPr>
            </w:pPr>
          </w:p>
        </w:tc>
        <w:tc>
          <w:tcPr>
            <w:tcW w:w="1843" w:type="dxa"/>
          </w:tcPr>
          <w:p w14:paraId="62679A59" w14:textId="77777777" w:rsidR="00753A1F" w:rsidRPr="000045A1" w:rsidRDefault="00753A1F" w:rsidP="00497F1D">
            <w:pPr>
              <w:pStyle w:val="TableText"/>
              <w:keepNext/>
              <w:spacing w:before="55" w:after="55"/>
              <w:jc w:val="both"/>
              <w:rPr>
                <w:rFonts w:cs="Segoe UI"/>
              </w:rPr>
            </w:pPr>
            <w:r w:rsidRPr="000045A1">
              <w:rPr>
                <w:rFonts w:cs="Segoe UI"/>
              </w:rPr>
              <w:t>Wairarapa</w:t>
            </w:r>
          </w:p>
        </w:tc>
        <w:tc>
          <w:tcPr>
            <w:tcW w:w="567" w:type="dxa"/>
          </w:tcPr>
          <w:p w14:paraId="3B9927F1" w14:textId="77777777" w:rsidR="00753A1F" w:rsidRPr="000045A1" w:rsidRDefault="00753A1F" w:rsidP="00497F1D">
            <w:pPr>
              <w:pStyle w:val="TableText"/>
              <w:keepNext/>
              <w:tabs>
                <w:tab w:val="decimal" w:pos="368"/>
              </w:tabs>
              <w:spacing w:before="55" w:after="55"/>
              <w:jc w:val="center"/>
              <w:rPr>
                <w:rFonts w:cs="Segoe UI"/>
              </w:rPr>
            </w:pPr>
            <w:r>
              <w:t>5</w:t>
            </w:r>
          </w:p>
        </w:tc>
        <w:tc>
          <w:tcPr>
            <w:tcW w:w="690" w:type="dxa"/>
          </w:tcPr>
          <w:p w14:paraId="7D9E19B2" w14:textId="77777777" w:rsidR="00753A1F" w:rsidRPr="000045A1" w:rsidRDefault="00753A1F" w:rsidP="00497F1D">
            <w:pPr>
              <w:pStyle w:val="TableText"/>
              <w:keepNext/>
              <w:tabs>
                <w:tab w:val="decimal" w:pos="368"/>
              </w:tabs>
              <w:spacing w:before="55" w:after="55"/>
              <w:jc w:val="center"/>
              <w:rPr>
                <w:rFonts w:cs="Segoe UI"/>
              </w:rPr>
            </w:pPr>
            <w:r>
              <w:t>1</w:t>
            </w:r>
          </w:p>
        </w:tc>
        <w:tc>
          <w:tcPr>
            <w:tcW w:w="587" w:type="dxa"/>
          </w:tcPr>
          <w:p w14:paraId="354CB701" w14:textId="77777777" w:rsidR="00753A1F" w:rsidRPr="000045A1" w:rsidRDefault="00753A1F" w:rsidP="00497F1D">
            <w:pPr>
              <w:pStyle w:val="TableText"/>
              <w:keepNext/>
              <w:tabs>
                <w:tab w:val="decimal" w:pos="454"/>
              </w:tabs>
              <w:spacing w:before="55" w:after="55"/>
              <w:jc w:val="center"/>
            </w:pPr>
            <w:r>
              <w:t>6</w:t>
            </w:r>
          </w:p>
        </w:tc>
      </w:tr>
      <w:tr w:rsidR="00753A1F" w:rsidRPr="000045A1" w14:paraId="0F1BD573" w14:textId="77777777" w:rsidTr="00497F1D">
        <w:trPr>
          <w:cantSplit/>
          <w:trHeight w:val="300"/>
        </w:trPr>
        <w:tc>
          <w:tcPr>
            <w:tcW w:w="1843" w:type="dxa"/>
          </w:tcPr>
          <w:p w14:paraId="5EFF6FC6" w14:textId="77777777" w:rsidR="00753A1F" w:rsidRPr="000045A1" w:rsidRDefault="00753A1F" w:rsidP="00497F1D">
            <w:pPr>
              <w:pStyle w:val="TableText"/>
              <w:keepNext/>
              <w:spacing w:before="55" w:after="55"/>
              <w:rPr>
                <w:rFonts w:cs="Segoe UI"/>
              </w:rPr>
            </w:pPr>
            <w:r w:rsidRPr="000045A1">
              <w:rPr>
                <w:rFonts w:cs="Segoe UI"/>
              </w:rPr>
              <w:t>Lakes</w:t>
            </w:r>
          </w:p>
        </w:tc>
        <w:tc>
          <w:tcPr>
            <w:tcW w:w="638" w:type="dxa"/>
          </w:tcPr>
          <w:p w14:paraId="086FDB52" w14:textId="77777777" w:rsidR="00753A1F" w:rsidRPr="000045A1" w:rsidRDefault="00753A1F" w:rsidP="00497F1D">
            <w:pPr>
              <w:pStyle w:val="TableText"/>
              <w:keepNext/>
              <w:tabs>
                <w:tab w:val="decimal" w:pos="368"/>
              </w:tabs>
              <w:spacing w:before="55" w:after="55"/>
              <w:jc w:val="center"/>
            </w:pPr>
            <w:r>
              <w:t>11</w:t>
            </w:r>
          </w:p>
        </w:tc>
        <w:tc>
          <w:tcPr>
            <w:tcW w:w="870" w:type="dxa"/>
          </w:tcPr>
          <w:p w14:paraId="463D8AD7" w14:textId="77777777" w:rsidR="00753A1F" w:rsidRPr="000045A1" w:rsidRDefault="00753A1F" w:rsidP="00497F1D">
            <w:pPr>
              <w:pStyle w:val="TableText"/>
              <w:keepNext/>
              <w:tabs>
                <w:tab w:val="decimal" w:pos="368"/>
              </w:tabs>
              <w:spacing w:before="55" w:after="55"/>
              <w:jc w:val="center"/>
              <w:rPr>
                <w:rFonts w:cs="Segoe UI"/>
              </w:rPr>
            </w:pPr>
            <w:r>
              <w:t>9</w:t>
            </w:r>
          </w:p>
        </w:tc>
        <w:tc>
          <w:tcPr>
            <w:tcW w:w="618" w:type="dxa"/>
          </w:tcPr>
          <w:p w14:paraId="420440D5" w14:textId="77777777" w:rsidR="00753A1F" w:rsidRPr="000045A1" w:rsidRDefault="00753A1F" w:rsidP="00497F1D">
            <w:pPr>
              <w:pStyle w:val="TableText"/>
              <w:keepNext/>
              <w:tabs>
                <w:tab w:val="decimal" w:pos="454"/>
              </w:tabs>
              <w:spacing w:before="55" w:after="55"/>
              <w:jc w:val="center"/>
            </w:pPr>
            <w:r>
              <w:t>7</w:t>
            </w:r>
          </w:p>
        </w:tc>
        <w:tc>
          <w:tcPr>
            <w:tcW w:w="426" w:type="dxa"/>
            <w:tcBorders>
              <w:top w:val="nil"/>
              <w:bottom w:val="nil"/>
            </w:tcBorders>
            <w:shd w:val="clear" w:color="auto" w:fill="auto"/>
          </w:tcPr>
          <w:p w14:paraId="38380658" w14:textId="77777777" w:rsidR="00753A1F" w:rsidRPr="000045A1" w:rsidRDefault="00753A1F" w:rsidP="00497F1D">
            <w:pPr>
              <w:pStyle w:val="TableText"/>
              <w:keepNext/>
              <w:tabs>
                <w:tab w:val="decimal" w:pos="636"/>
              </w:tabs>
              <w:spacing w:before="55" w:after="55"/>
              <w:rPr>
                <w:rFonts w:cs="Segoe UI"/>
              </w:rPr>
            </w:pPr>
          </w:p>
        </w:tc>
        <w:tc>
          <w:tcPr>
            <w:tcW w:w="1843" w:type="dxa"/>
          </w:tcPr>
          <w:p w14:paraId="58582513" w14:textId="77777777" w:rsidR="00753A1F" w:rsidRPr="000045A1" w:rsidRDefault="00753A1F" w:rsidP="00497F1D">
            <w:pPr>
              <w:pStyle w:val="TableText"/>
              <w:keepNext/>
              <w:spacing w:before="55" w:after="55"/>
              <w:jc w:val="both"/>
              <w:rPr>
                <w:rFonts w:cs="Segoe UI"/>
              </w:rPr>
            </w:pPr>
            <w:r w:rsidRPr="000045A1">
              <w:rPr>
                <w:rFonts w:cs="Segoe UI"/>
              </w:rPr>
              <w:t>Waitematā</w:t>
            </w:r>
          </w:p>
        </w:tc>
        <w:tc>
          <w:tcPr>
            <w:tcW w:w="567" w:type="dxa"/>
          </w:tcPr>
          <w:p w14:paraId="48933234" w14:textId="77777777" w:rsidR="00753A1F" w:rsidRPr="000045A1" w:rsidRDefault="00753A1F" w:rsidP="00497F1D">
            <w:pPr>
              <w:pStyle w:val="TableText"/>
              <w:keepNext/>
              <w:tabs>
                <w:tab w:val="decimal" w:pos="368"/>
              </w:tabs>
              <w:spacing w:before="55" w:after="55"/>
              <w:jc w:val="center"/>
              <w:rPr>
                <w:rFonts w:cs="Segoe UI"/>
              </w:rPr>
            </w:pPr>
            <w:r>
              <w:t>11</w:t>
            </w:r>
          </w:p>
        </w:tc>
        <w:tc>
          <w:tcPr>
            <w:tcW w:w="690" w:type="dxa"/>
          </w:tcPr>
          <w:p w14:paraId="51F9C8BC" w14:textId="77777777" w:rsidR="00753A1F" w:rsidRPr="000045A1" w:rsidRDefault="00753A1F" w:rsidP="00497F1D">
            <w:pPr>
              <w:pStyle w:val="TableText"/>
              <w:keepNext/>
              <w:tabs>
                <w:tab w:val="decimal" w:pos="368"/>
              </w:tabs>
              <w:spacing w:before="55" w:after="55"/>
              <w:jc w:val="center"/>
              <w:rPr>
                <w:rFonts w:cs="Segoe UI"/>
              </w:rPr>
            </w:pPr>
            <w:r>
              <w:t>13</w:t>
            </w:r>
          </w:p>
        </w:tc>
        <w:tc>
          <w:tcPr>
            <w:tcW w:w="587" w:type="dxa"/>
          </w:tcPr>
          <w:p w14:paraId="7696B7F3" w14:textId="77777777" w:rsidR="00753A1F" w:rsidRPr="000045A1" w:rsidRDefault="00753A1F" w:rsidP="00497F1D">
            <w:pPr>
              <w:pStyle w:val="TableText"/>
              <w:keepNext/>
              <w:tabs>
                <w:tab w:val="decimal" w:pos="454"/>
              </w:tabs>
              <w:spacing w:before="55" w:after="55"/>
              <w:jc w:val="center"/>
            </w:pPr>
            <w:r>
              <w:t>10</w:t>
            </w:r>
          </w:p>
        </w:tc>
      </w:tr>
      <w:tr w:rsidR="00753A1F" w:rsidRPr="000045A1" w14:paraId="664EAA82" w14:textId="77777777" w:rsidTr="00497F1D">
        <w:trPr>
          <w:cantSplit/>
          <w:trHeight w:val="300"/>
        </w:trPr>
        <w:tc>
          <w:tcPr>
            <w:tcW w:w="1843" w:type="dxa"/>
          </w:tcPr>
          <w:p w14:paraId="39D84D1B" w14:textId="77777777" w:rsidR="00753A1F" w:rsidRPr="000045A1" w:rsidRDefault="00753A1F" w:rsidP="00497F1D">
            <w:pPr>
              <w:pStyle w:val="TableText"/>
              <w:spacing w:before="55" w:after="55"/>
              <w:rPr>
                <w:rFonts w:cs="Segoe UI"/>
              </w:rPr>
            </w:pPr>
            <w:r w:rsidRPr="15C70FB8">
              <w:rPr>
                <w:rFonts w:cs="Segoe UI"/>
              </w:rPr>
              <w:t>MidCentral</w:t>
            </w:r>
          </w:p>
        </w:tc>
        <w:tc>
          <w:tcPr>
            <w:tcW w:w="638" w:type="dxa"/>
          </w:tcPr>
          <w:p w14:paraId="3A12E4B8" w14:textId="77777777" w:rsidR="00753A1F" w:rsidRPr="000045A1" w:rsidRDefault="00753A1F" w:rsidP="00497F1D">
            <w:pPr>
              <w:pStyle w:val="TableText"/>
              <w:tabs>
                <w:tab w:val="decimal" w:pos="368"/>
              </w:tabs>
              <w:spacing w:before="55" w:after="55"/>
              <w:jc w:val="center"/>
            </w:pPr>
            <w:r>
              <w:t>10</w:t>
            </w:r>
          </w:p>
        </w:tc>
        <w:tc>
          <w:tcPr>
            <w:tcW w:w="870" w:type="dxa"/>
          </w:tcPr>
          <w:p w14:paraId="01DD2D81" w14:textId="77777777" w:rsidR="00753A1F" w:rsidRPr="000045A1" w:rsidRDefault="00753A1F" w:rsidP="00497F1D">
            <w:pPr>
              <w:pStyle w:val="TableText"/>
              <w:tabs>
                <w:tab w:val="decimal" w:pos="368"/>
              </w:tabs>
              <w:spacing w:before="55" w:after="55"/>
              <w:jc w:val="center"/>
              <w:rPr>
                <w:rFonts w:cs="Segoe UI"/>
              </w:rPr>
            </w:pPr>
            <w:r>
              <w:t>10</w:t>
            </w:r>
          </w:p>
        </w:tc>
        <w:tc>
          <w:tcPr>
            <w:tcW w:w="618" w:type="dxa"/>
          </w:tcPr>
          <w:p w14:paraId="1D276C5B" w14:textId="77777777" w:rsidR="00753A1F" w:rsidRPr="000045A1" w:rsidRDefault="00753A1F" w:rsidP="00497F1D">
            <w:pPr>
              <w:pStyle w:val="TableText"/>
              <w:tabs>
                <w:tab w:val="decimal" w:pos="454"/>
              </w:tabs>
              <w:spacing w:before="55" w:after="55"/>
              <w:jc w:val="center"/>
            </w:pPr>
            <w:r>
              <w:t>9</w:t>
            </w:r>
          </w:p>
        </w:tc>
        <w:tc>
          <w:tcPr>
            <w:tcW w:w="426" w:type="dxa"/>
            <w:tcBorders>
              <w:top w:val="nil"/>
              <w:bottom w:val="nil"/>
            </w:tcBorders>
            <w:shd w:val="clear" w:color="auto" w:fill="auto"/>
          </w:tcPr>
          <w:p w14:paraId="0C74A546" w14:textId="77777777" w:rsidR="00753A1F" w:rsidRPr="000045A1" w:rsidRDefault="00753A1F" w:rsidP="00497F1D">
            <w:pPr>
              <w:pStyle w:val="TableText"/>
              <w:tabs>
                <w:tab w:val="decimal" w:pos="636"/>
              </w:tabs>
              <w:spacing w:before="55" w:after="55"/>
              <w:rPr>
                <w:rFonts w:cs="Segoe UI"/>
              </w:rPr>
            </w:pPr>
          </w:p>
        </w:tc>
        <w:tc>
          <w:tcPr>
            <w:tcW w:w="1843" w:type="dxa"/>
          </w:tcPr>
          <w:p w14:paraId="71F51A1C" w14:textId="77777777" w:rsidR="00753A1F" w:rsidRPr="000045A1" w:rsidRDefault="00753A1F" w:rsidP="00497F1D">
            <w:pPr>
              <w:pStyle w:val="TableText"/>
              <w:spacing w:before="55" w:after="55"/>
              <w:jc w:val="both"/>
              <w:rPr>
                <w:rFonts w:cs="Segoe UI"/>
              </w:rPr>
            </w:pPr>
            <w:r w:rsidRPr="000045A1">
              <w:rPr>
                <w:rFonts w:cs="Segoe UI"/>
              </w:rPr>
              <w:t>West Coast</w:t>
            </w:r>
          </w:p>
        </w:tc>
        <w:tc>
          <w:tcPr>
            <w:tcW w:w="567" w:type="dxa"/>
          </w:tcPr>
          <w:p w14:paraId="62F7A067" w14:textId="77777777" w:rsidR="00753A1F" w:rsidRPr="000045A1" w:rsidRDefault="00753A1F" w:rsidP="00497F1D">
            <w:pPr>
              <w:pStyle w:val="TableText"/>
              <w:tabs>
                <w:tab w:val="decimal" w:pos="368"/>
              </w:tabs>
              <w:spacing w:before="55" w:after="55"/>
              <w:jc w:val="center"/>
              <w:rPr>
                <w:rFonts w:cs="Segoe UI"/>
              </w:rPr>
            </w:pPr>
            <w:r>
              <w:t>6</w:t>
            </w:r>
          </w:p>
        </w:tc>
        <w:tc>
          <w:tcPr>
            <w:tcW w:w="690" w:type="dxa"/>
          </w:tcPr>
          <w:p w14:paraId="50D16F8D" w14:textId="77777777" w:rsidR="00753A1F" w:rsidRPr="000045A1" w:rsidRDefault="00753A1F" w:rsidP="00497F1D">
            <w:pPr>
              <w:pStyle w:val="TableText"/>
              <w:tabs>
                <w:tab w:val="decimal" w:pos="368"/>
              </w:tabs>
              <w:spacing w:before="55" w:after="55"/>
              <w:jc w:val="center"/>
              <w:rPr>
                <w:rFonts w:cs="Segoe UI"/>
              </w:rPr>
            </w:pPr>
            <w:r>
              <w:t>6</w:t>
            </w:r>
          </w:p>
        </w:tc>
        <w:tc>
          <w:tcPr>
            <w:tcW w:w="587" w:type="dxa"/>
          </w:tcPr>
          <w:p w14:paraId="0DB14FCA" w14:textId="77777777" w:rsidR="00753A1F" w:rsidRPr="000045A1" w:rsidRDefault="00753A1F" w:rsidP="00497F1D">
            <w:pPr>
              <w:pStyle w:val="TableText"/>
              <w:tabs>
                <w:tab w:val="decimal" w:pos="454"/>
              </w:tabs>
              <w:spacing w:before="55" w:after="55"/>
              <w:jc w:val="center"/>
              <w:rPr>
                <w:rFonts w:cs="Segoe UI"/>
              </w:rPr>
            </w:pPr>
            <w:r>
              <w:t>4</w:t>
            </w:r>
          </w:p>
        </w:tc>
      </w:tr>
      <w:tr w:rsidR="00753A1F" w:rsidRPr="000045A1" w14:paraId="5F362A08" w14:textId="77777777" w:rsidTr="00497F1D">
        <w:trPr>
          <w:cantSplit/>
          <w:trHeight w:val="300"/>
        </w:trPr>
        <w:tc>
          <w:tcPr>
            <w:tcW w:w="1843" w:type="dxa"/>
            <w:tcBorders>
              <w:bottom w:val="single" w:sz="4" w:space="0" w:color="A6A6A6" w:themeColor="background1" w:themeShade="A6"/>
            </w:tcBorders>
          </w:tcPr>
          <w:p w14:paraId="72F02AEB" w14:textId="77777777" w:rsidR="00753A1F" w:rsidRPr="000045A1" w:rsidRDefault="00753A1F" w:rsidP="00497F1D">
            <w:pPr>
              <w:pStyle w:val="TableText"/>
              <w:spacing w:before="55" w:after="55"/>
              <w:rPr>
                <w:rFonts w:cs="Segoe UI"/>
              </w:rPr>
            </w:pPr>
            <w:r w:rsidRPr="000045A1">
              <w:rPr>
                <w:rFonts w:cs="Segoe UI"/>
              </w:rPr>
              <w:t>Nelson Marlborough</w:t>
            </w:r>
          </w:p>
        </w:tc>
        <w:tc>
          <w:tcPr>
            <w:tcW w:w="638" w:type="dxa"/>
            <w:tcBorders>
              <w:bottom w:val="single" w:sz="4" w:space="0" w:color="A6A6A6" w:themeColor="background1" w:themeShade="A6"/>
            </w:tcBorders>
          </w:tcPr>
          <w:p w14:paraId="02AB7695" w14:textId="77777777" w:rsidR="00753A1F" w:rsidRPr="000045A1" w:rsidRDefault="00753A1F" w:rsidP="00497F1D">
            <w:pPr>
              <w:pStyle w:val="TableText"/>
              <w:tabs>
                <w:tab w:val="decimal" w:pos="368"/>
              </w:tabs>
              <w:spacing w:before="55" w:after="55"/>
              <w:jc w:val="center"/>
            </w:pPr>
            <w:r>
              <w:t>11</w:t>
            </w:r>
          </w:p>
        </w:tc>
        <w:tc>
          <w:tcPr>
            <w:tcW w:w="870" w:type="dxa"/>
            <w:tcBorders>
              <w:bottom w:val="single" w:sz="4" w:space="0" w:color="A6A6A6" w:themeColor="background1" w:themeShade="A6"/>
            </w:tcBorders>
          </w:tcPr>
          <w:p w14:paraId="06F0D353" w14:textId="77777777" w:rsidR="00753A1F" w:rsidRPr="000045A1" w:rsidRDefault="00753A1F" w:rsidP="00497F1D">
            <w:pPr>
              <w:pStyle w:val="TableText"/>
              <w:tabs>
                <w:tab w:val="decimal" w:pos="368"/>
              </w:tabs>
              <w:spacing w:before="55" w:after="55"/>
              <w:jc w:val="center"/>
            </w:pPr>
            <w:r>
              <w:t>12</w:t>
            </w:r>
          </w:p>
        </w:tc>
        <w:tc>
          <w:tcPr>
            <w:tcW w:w="618" w:type="dxa"/>
            <w:tcBorders>
              <w:bottom w:val="single" w:sz="4" w:space="0" w:color="A6A6A6" w:themeColor="background1" w:themeShade="A6"/>
            </w:tcBorders>
          </w:tcPr>
          <w:p w14:paraId="5FE7DC89" w14:textId="77777777" w:rsidR="00753A1F" w:rsidRPr="000045A1" w:rsidRDefault="00753A1F" w:rsidP="00497F1D">
            <w:pPr>
              <w:pStyle w:val="TableText"/>
              <w:tabs>
                <w:tab w:val="decimal" w:pos="454"/>
              </w:tabs>
              <w:spacing w:before="55" w:after="55"/>
              <w:jc w:val="center"/>
            </w:pPr>
            <w:r>
              <w:t>10</w:t>
            </w:r>
          </w:p>
        </w:tc>
        <w:tc>
          <w:tcPr>
            <w:tcW w:w="426" w:type="dxa"/>
            <w:tcBorders>
              <w:top w:val="nil"/>
              <w:bottom w:val="nil"/>
            </w:tcBorders>
            <w:shd w:val="clear" w:color="auto" w:fill="auto"/>
          </w:tcPr>
          <w:p w14:paraId="5D046C3E" w14:textId="77777777" w:rsidR="00753A1F" w:rsidRPr="000045A1" w:rsidRDefault="00753A1F" w:rsidP="00497F1D">
            <w:pPr>
              <w:pStyle w:val="TableText"/>
              <w:tabs>
                <w:tab w:val="decimal" w:pos="636"/>
              </w:tabs>
              <w:spacing w:before="55" w:after="55"/>
              <w:rPr>
                <w:rFonts w:cs="Segoe UI"/>
              </w:rPr>
            </w:pPr>
          </w:p>
        </w:tc>
        <w:tc>
          <w:tcPr>
            <w:tcW w:w="1843" w:type="dxa"/>
          </w:tcPr>
          <w:p w14:paraId="0DB97A71" w14:textId="77777777" w:rsidR="00753A1F" w:rsidRPr="000045A1" w:rsidRDefault="00753A1F" w:rsidP="00497F1D">
            <w:pPr>
              <w:pStyle w:val="TableText"/>
              <w:spacing w:before="55" w:after="55"/>
              <w:jc w:val="both"/>
              <w:rPr>
                <w:rFonts w:cs="Segoe UI"/>
              </w:rPr>
            </w:pPr>
            <w:r w:rsidRPr="000045A1">
              <w:rPr>
                <w:rFonts w:cs="Segoe UI"/>
              </w:rPr>
              <w:t>Whanganui</w:t>
            </w:r>
          </w:p>
        </w:tc>
        <w:tc>
          <w:tcPr>
            <w:tcW w:w="567" w:type="dxa"/>
          </w:tcPr>
          <w:p w14:paraId="1F9AF474" w14:textId="77777777" w:rsidR="00753A1F" w:rsidRPr="000045A1" w:rsidRDefault="00753A1F" w:rsidP="00497F1D">
            <w:pPr>
              <w:pStyle w:val="TableText"/>
              <w:tabs>
                <w:tab w:val="decimal" w:pos="368"/>
              </w:tabs>
              <w:spacing w:before="55" w:after="55"/>
              <w:jc w:val="center"/>
              <w:rPr>
                <w:rFonts w:cs="Segoe UI"/>
              </w:rPr>
            </w:pPr>
            <w:r>
              <w:t>12</w:t>
            </w:r>
          </w:p>
        </w:tc>
        <w:tc>
          <w:tcPr>
            <w:tcW w:w="690" w:type="dxa"/>
          </w:tcPr>
          <w:p w14:paraId="16A0D0D9" w14:textId="77777777" w:rsidR="00753A1F" w:rsidRPr="000045A1" w:rsidRDefault="00753A1F" w:rsidP="00497F1D">
            <w:pPr>
              <w:pStyle w:val="TableText"/>
              <w:tabs>
                <w:tab w:val="decimal" w:pos="368"/>
              </w:tabs>
              <w:spacing w:before="55" w:after="55"/>
              <w:jc w:val="center"/>
            </w:pPr>
            <w:r>
              <w:t>12</w:t>
            </w:r>
          </w:p>
        </w:tc>
        <w:tc>
          <w:tcPr>
            <w:tcW w:w="587" w:type="dxa"/>
          </w:tcPr>
          <w:p w14:paraId="3278CBFB" w14:textId="77777777" w:rsidR="00753A1F" w:rsidRPr="000045A1" w:rsidRDefault="00753A1F" w:rsidP="00497F1D">
            <w:pPr>
              <w:pStyle w:val="TableText"/>
              <w:tabs>
                <w:tab w:val="decimal" w:pos="454"/>
              </w:tabs>
              <w:spacing w:before="55" w:after="55"/>
              <w:jc w:val="center"/>
              <w:rPr>
                <w:rFonts w:cs="Segoe UI"/>
              </w:rPr>
            </w:pPr>
            <w:r>
              <w:t>6</w:t>
            </w:r>
          </w:p>
        </w:tc>
      </w:tr>
      <w:tr w:rsidR="00753A1F" w:rsidRPr="000045A1" w14:paraId="3CA26430" w14:textId="77777777" w:rsidTr="00497F1D">
        <w:trPr>
          <w:cantSplit/>
          <w:trHeight w:val="300"/>
        </w:trPr>
        <w:tc>
          <w:tcPr>
            <w:tcW w:w="1843" w:type="dxa"/>
            <w:tcBorders>
              <w:bottom w:val="nil"/>
            </w:tcBorders>
          </w:tcPr>
          <w:p w14:paraId="3BF76A8B" w14:textId="77777777" w:rsidR="00753A1F" w:rsidRPr="000045A1" w:rsidRDefault="00753A1F" w:rsidP="00497F1D">
            <w:pPr>
              <w:pStyle w:val="TableText"/>
              <w:spacing w:before="55" w:after="55"/>
              <w:rPr>
                <w:rFonts w:cs="Segoe UI"/>
              </w:rPr>
            </w:pPr>
          </w:p>
        </w:tc>
        <w:tc>
          <w:tcPr>
            <w:tcW w:w="638" w:type="dxa"/>
            <w:tcBorders>
              <w:bottom w:val="nil"/>
            </w:tcBorders>
          </w:tcPr>
          <w:p w14:paraId="1DBF3715" w14:textId="77777777" w:rsidR="00753A1F" w:rsidRPr="000045A1" w:rsidRDefault="00753A1F" w:rsidP="00497F1D">
            <w:pPr>
              <w:pStyle w:val="TableText"/>
              <w:tabs>
                <w:tab w:val="decimal" w:pos="636"/>
              </w:tabs>
              <w:spacing w:before="55" w:after="55"/>
              <w:rPr>
                <w:rFonts w:cs="Segoe UI"/>
              </w:rPr>
            </w:pPr>
          </w:p>
        </w:tc>
        <w:tc>
          <w:tcPr>
            <w:tcW w:w="870" w:type="dxa"/>
            <w:tcBorders>
              <w:bottom w:val="nil"/>
            </w:tcBorders>
          </w:tcPr>
          <w:p w14:paraId="4BB0D946" w14:textId="77777777" w:rsidR="00753A1F" w:rsidRPr="000045A1" w:rsidRDefault="00753A1F" w:rsidP="00497F1D">
            <w:pPr>
              <w:pStyle w:val="TableText"/>
              <w:tabs>
                <w:tab w:val="decimal" w:pos="636"/>
              </w:tabs>
              <w:spacing w:before="55" w:after="55"/>
              <w:rPr>
                <w:rFonts w:cs="Segoe UI"/>
              </w:rPr>
            </w:pPr>
          </w:p>
        </w:tc>
        <w:tc>
          <w:tcPr>
            <w:tcW w:w="618" w:type="dxa"/>
            <w:tcBorders>
              <w:bottom w:val="nil"/>
            </w:tcBorders>
          </w:tcPr>
          <w:p w14:paraId="5A8C388E" w14:textId="77777777" w:rsidR="00753A1F" w:rsidRPr="000045A1" w:rsidRDefault="00753A1F" w:rsidP="00497F1D">
            <w:pPr>
              <w:pStyle w:val="TableText"/>
              <w:tabs>
                <w:tab w:val="decimal" w:pos="636"/>
              </w:tabs>
              <w:spacing w:before="55" w:after="55"/>
              <w:rPr>
                <w:rFonts w:cs="Segoe UI"/>
              </w:rPr>
            </w:pPr>
          </w:p>
        </w:tc>
        <w:tc>
          <w:tcPr>
            <w:tcW w:w="426" w:type="dxa"/>
            <w:tcBorders>
              <w:top w:val="nil"/>
              <w:bottom w:val="nil"/>
            </w:tcBorders>
            <w:shd w:val="clear" w:color="auto" w:fill="auto"/>
          </w:tcPr>
          <w:p w14:paraId="50628F87" w14:textId="77777777" w:rsidR="00753A1F" w:rsidRPr="000045A1" w:rsidRDefault="00753A1F" w:rsidP="00497F1D">
            <w:pPr>
              <w:pStyle w:val="TableText"/>
              <w:tabs>
                <w:tab w:val="decimal" w:pos="636"/>
              </w:tabs>
              <w:spacing w:before="55" w:after="55"/>
              <w:rPr>
                <w:rFonts w:cs="Segoe UI"/>
              </w:rPr>
            </w:pPr>
          </w:p>
        </w:tc>
        <w:tc>
          <w:tcPr>
            <w:tcW w:w="1843" w:type="dxa"/>
          </w:tcPr>
          <w:p w14:paraId="7029161E" w14:textId="77777777" w:rsidR="00753A1F" w:rsidRPr="000045A1" w:rsidRDefault="00753A1F" w:rsidP="00497F1D">
            <w:pPr>
              <w:pStyle w:val="TableText"/>
              <w:spacing w:before="55" w:after="55"/>
              <w:jc w:val="both"/>
              <w:rPr>
                <w:rFonts w:cs="Segoe UI"/>
              </w:rPr>
            </w:pPr>
            <w:r w:rsidRPr="000045A1">
              <w:rPr>
                <w:rFonts w:cs="Segoe UI"/>
                <w:b/>
              </w:rPr>
              <w:t>National average</w:t>
            </w:r>
          </w:p>
        </w:tc>
        <w:tc>
          <w:tcPr>
            <w:tcW w:w="567" w:type="dxa"/>
          </w:tcPr>
          <w:p w14:paraId="73426233" w14:textId="77777777" w:rsidR="00753A1F" w:rsidRPr="000045A1" w:rsidRDefault="00753A1F" w:rsidP="00497F1D">
            <w:pPr>
              <w:pStyle w:val="TableText"/>
              <w:tabs>
                <w:tab w:val="decimal" w:pos="368"/>
              </w:tabs>
              <w:spacing w:before="55" w:after="55"/>
              <w:jc w:val="center"/>
              <w:rPr>
                <w:rFonts w:cs="Segoe UI"/>
              </w:rPr>
            </w:pPr>
            <w:r w:rsidRPr="15C70FB8">
              <w:rPr>
                <w:rFonts w:cs="Segoe UI"/>
                <w:b/>
                <w:bCs/>
              </w:rPr>
              <w:t>12</w:t>
            </w:r>
          </w:p>
        </w:tc>
        <w:tc>
          <w:tcPr>
            <w:tcW w:w="690" w:type="dxa"/>
          </w:tcPr>
          <w:p w14:paraId="54BE2E8B" w14:textId="77777777" w:rsidR="00753A1F" w:rsidRPr="000045A1" w:rsidRDefault="00753A1F" w:rsidP="00497F1D">
            <w:pPr>
              <w:pStyle w:val="TableText"/>
              <w:tabs>
                <w:tab w:val="decimal" w:pos="368"/>
              </w:tabs>
              <w:spacing w:before="55" w:after="55"/>
              <w:jc w:val="center"/>
              <w:rPr>
                <w:rFonts w:cs="Segoe UI"/>
              </w:rPr>
            </w:pPr>
            <w:r w:rsidRPr="15C70FB8">
              <w:rPr>
                <w:rFonts w:cs="Segoe UI"/>
                <w:b/>
                <w:bCs/>
              </w:rPr>
              <w:t>13</w:t>
            </w:r>
          </w:p>
        </w:tc>
        <w:tc>
          <w:tcPr>
            <w:tcW w:w="587" w:type="dxa"/>
          </w:tcPr>
          <w:p w14:paraId="1F0C799E" w14:textId="77777777" w:rsidR="00753A1F" w:rsidRPr="000045A1" w:rsidRDefault="00753A1F" w:rsidP="00497F1D">
            <w:pPr>
              <w:pStyle w:val="TableText"/>
              <w:tabs>
                <w:tab w:val="decimal" w:pos="454"/>
              </w:tabs>
              <w:spacing w:before="55" w:after="55"/>
              <w:jc w:val="center"/>
              <w:rPr>
                <w:rFonts w:cs="Segoe UI"/>
              </w:rPr>
            </w:pPr>
            <w:r w:rsidRPr="15C70FB8">
              <w:rPr>
                <w:rFonts w:cs="Segoe UI"/>
                <w:b/>
                <w:bCs/>
              </w:rPr>
              <w:t>10</w:t>
            </w:r>
          </w:p>
        </w:tc>
      </w:tr>
    </w:tbl>
    <w:p w14:paraId="3CEA4B59" w14:textId="77777777" w:rsidR="00753A1F" w:rsidRDefault="00753A1F" w:rsidP="00753A1F">
      <w:pPr>
        <w:pStyle w:val="Note"/>
      </w:pPr>
      <w:r>
        <w:t>Notes: Section 15 includes PRIMHD records for its subsections (1) and (2). These section 15 provisions describe similar circumstances in which a patient is waiting for a court decision on compulsory treatment. As these figures are averages, some services may have higher volumes under section 13 than under section 11.</w:t>
      </w:r>
    </w:p>
    <w:p w14:paraId="03595ADF" w14:textId="77777777" w:rsidR="00753A1F" w:rsidRDefault="00753A1F" w:rsidP="00753A1F">
      <w:pPr>
        <w:pStyle w:val="Source"/>
      </w:pPr>
      <w:r>
        <w:t xml:space="preserve">Sources: </w:t>
      </w:r>
      <w:r w:rsidRPr="0419E73F">
        <w:rPr>
          <w:rFonts w:eastAsia="Arial Unicode MS"/>
        </w:rPr>
        <w:t>PRIMHD data (extracted 28 February 2024) and manual data for Health New Zealand Waikato.</w:t>
      </w:r>
      <w:r>
        <w:t xml:space="preserve"> </w:t>
      </w:r>
    </w:p>
    <w:p w14:paraId="33D188E0" w14:textId="77777777" w:rsidR="00753A1F" w:rsidRDefault="00753A1F" w:rsidP="00753A1F"/>
    <w:p w14:paraId="73D3A0C3" w14:textId="6F72CB4B" w:rsidR="00753A1F" w:rsidRDefault="00753A1F" w:rsidP="00753A1F">
      <w:pPr>
        <w:pStyle w:val="Table"/>
      </w:pPr>
      <w:bookmarkStart w:id="44" w:name="_Ref85553671"/>
      <w:bookmarkStart w:id="45" w:name="_Toc87430000"/>
      <w:bookmarkStart w:id="46" w:name="_Toc88561357"/>
      <w:bookmarkStart w:id="47" w:name="_Toc115188891"/>
      <w:bookmarkStart w:id="48" w:name="_Toc142314753"/>
      <w:bookmarkStart w:id="49" w:name="_Toc145394315"/>
      <w:bookmarkStart w:id="50" w:name="_Toc189053993"/>
      <w:bookmarkStart w:id="51" w:name="_Toc189647978"/>
      <w:r w:rsidRPr="00B20D4C">
        <w:t>Table </w:t>
      </w:r>
      <w:r>
        <w:fldChar w:fldCharType="begin"/>
      </w:r>
      <w:r>
        <w:instrText>SEQ Table \* ARABIC</w:instrText>
      </w:r>
      <w:r>
        <w:fldChar w:fldCharType="separate"/>
      </w:r>
      <w:r w:rsidR="00753BC8">
        <w:rPr>
          <w:noProof/>
        </w:rPr>
        <w:t>2</w:t>
      </w:r>
      <w:r>
        <w:fldChar w:fldCharType="end"/>
      </w:r>
      <w:bookmarkEnd w:id="44"/>
      <w:r w:rsidRPr="00B20D4C">
        <w:t xml:space="preserve">: Average number of people on a given day subject to </w:t>
      </w:r>
      <w:r>
        <w:t xml:space="preserve">a compulsory treatment order under </w:t>
      </w:r>
      <w:r w:rsidRPr="00B20D4C">
        <w:t xml:space="preserve">section 29, 30 </w:t>
      </w:r>
      <w:r>
        <w:t>or</w:t>
      </w:r>
      <w:r w:rsidRPr="00B20D4C">
        <w:t xml:space="preserve"> 31 of the Mental Health Act per 100,000 population, by </w:t>
      </w:r>
      <w:r>
        <w:t>district</w:t>
      </w:r>
      <w:r w:rsidRPr="00B20D4C">
        <w:t xml:space="preserve">, 1 </w:t>
      </w:r>
      <w:bookmarkEnd w:id="45"/>
      <w:bookmarkEnd w:id="46"/>
      <w:r w:rsidRPr="00B20D4C">
        <w:t>July 202</w:t>
      </w:r>
      <w:r>
        <w:t>2</w:t>
      </w:r>
      <w:r w:rsidRPr="00B20D4C">
        <w:t xml:space="preserve"> to 30 June 202</w:t>
      </w:r>
      <w:r>
        <w:t>3</w:t>
      </w:r>
      <w:bookmarkEnd w:id="47"/>
      <w:bookmarkEnd w:id="48"/>
      <w:bookmarkEnd w:id="49"/>
      <w:bookmarkEnd w:id="50"/>
      <w:bookmarkEnd w:id="51"/>
    </w:p>
    <w:tbl>
      <w:tblPr>
        <w:tblW w:w="8082" w:type="dxa"/>
        <w:tblInd w:w="57" w:type="dxa"/>
        <w:tblBorders>
          <w:top w:val="single" w:sz="4" w:space="0" w:color="A6A6A6" w:themeColor="background1" w:themeShade="A6"/>
          <w:bottom w:val="single" w:sz="4" w:space="0" w:color="A6A6A6" w:themeColor="background1" w:themeShade="A6"/>
          <w:insideH w:val="single" w:sz="4" w:space="0" w:color="A6A6A6" w:themeColor="background1" w:themeShade="A6"/>
        </w:tblBorders>
        <w:tblLayout w:type="fixed"/>
        <w:tblCellMar>
          <w:left w:w="57" w:type="dxa"/>
          <w:right w:w="57" w:type="dxa"/>
        </w:tblCellMar>
        <w:tblLook w:val="04A0" w:firstRow="1" w:lastRow="0" w:firstColumn="1" w:lastColumn="0" w:noHBand="0" w:noVBand="1"/>
      </w:tblPr>
      <w:tblGrid>
        <w:gridCol w:w="1843"/>
        <w:gridCol w:w="708"/>
        <w:gridCol w:w="709"/>
        <w:gridCol w:w="709"/>
        <w:gridCol w:w="426"/>
        <w:gridCol w:w="1830"/>
        <w:gridCol w:w="627"/>
        <w:gridCol w:w="615"/>
        <w:gridCol w:w="615"/>
      </w:tblGrid>
      <w:tr w:rsidR="00753A1F" w:rsidRPr="00200234" w14:paraId="3EA84E4A" w14:textId="77777777" w:rsidTr="00497F1D">
        <w:trPr>
          <w:cantSplit/>
          <w:trHeight w:val="300"/>
          <w:tblHeader/>
        </w:trPr>
        <w:tc>
          <w:tcPr>
            <w:tcW w:w="1843" w:type="dxa"/>
            <w:tcBorders>
              <w:top w:val="nil"/>
              <w:bottom w:val="nil"/>
              <w:right w:val="nil"/>
            </w:tcBorders>
            <w:shd w:val="clear" w:color="auto" w:fill="D9D9D9" w:themeFill="background1" w:themeFillShade="D9"/>
          </w:tcPr>
          <w:p w14:paraId="18CB60D6" w14:textId="77777777" w:rsidR="00753A1F" w:rsidRPr="008A26E8" w:rsidRDefault="00753A1F" w:rsidP="00497F1D">
            <w:pPr>
              <w:pStyle w:val="TableText"/>
              <w:spacing w:before="55" w:after="55"/>
              <w:rPr>
                <w:rFonts w:cs="Segoe UI"/>
                <w:b/>
              </w:rPr>
            </w:pPr>
            <w:r>
              <w:rPr>
                <w:rFonts w:cs="Segoe UI"/>
                <w:b/>
              </w:rPr>
              <w:t>District</w:t>
            </w:r>
          </w:p>
        </w:tc>
        <w:tc>
          <w:tcPr>
            <w:tcW w:w="708" w:type="dxa"/>
            <w:tcBorders>
              <w:top w:val="nil"/>
              <w:left w:val="nil"/>
              <w:bottom w:val="nil"/>
              <w:right w:val="nil"/>
            </w:tcBorders>
            <w:shd w:val="clear" w:color="auto" w:fill="D9D9D9" w:themeFill="background1" w:themeFillShade="D9"/>
          </w:tcPr>
          <w:p w14:paraId="4D4EBF4B" w14:textId="77777777" w:rsidR="00753A1F" w:rsidRPr="008A26E8" w:rsidRDefault="00753A1F" w:rsidP="00497F1D">
            <w:pPr>
              <w:pStyle w:val="TableText"/>
              <w:spacing w:before="55" w:after="55"/>
              <w:jc w:val="center"/>
              <w:rPr>
                <w:rFonts w:cs="Segoe UI"/>
                <w:b/>
              </w:rPr>
            </w:pPr>
            <w:r w:rsidRPr="008A26E8">
              <w:rPr>
                <w:rFonts w:cs="Segoe UI"/>
                <w:b/>
              </w:rPr>
              <w:t>s 29</w:t>
            </w:r>
          </w:p>
        </w:tc>
        <w:tc>
          <w:tcPr>
            <w:tcW w:w="709" w:type="dxa"/>
            <w:tcBorders>
              <w:top w:val="nil"/>
              <w:left w:val="nil"/>
              <w:bottom w:val="nil"/>
              <w:right w:val="nil"/>
            </w:tcBorders>
            <w:shd w:val="clear" w:color="auto" w:fill="D9D9D9" w:themeFill="background1" w:themeFillShade="D9"/>
          </w:tcPr>
          <w:p w14:paraId="610D7A02" w14:textId="77777777" w:rsidR="00753A1F" w:rsidRPr="008A26E8" w:rsidRDefault="00753A1F" w:rsidP="00497F1D">
            <w:pPr>
              <w:pStyle w:val="TableText"/>
              <w:spacing w:before="55" w:after="55"/>
              <w:jc w:val="center"/>
              <w:rPr>
                <w:rFonts w:cs="Segoe UI"/>
                <w:b/>
              </w:rPr>
            </w:pPr>
            <w:r w:rsidRPr="008A26E8">
              <w:rPr>
                <w:rFonts w:cs="Segoe UI"/>
                <w:b/>
              </w:rPr>
              <w:t>s 30</w:t>
            </w:r>
          </w:p>
        </w:tc>
        <w:tc>
          <w:tcPr>
            <w:tcW w:w="709" w:type="dxa"/>
            <w:tcBorders>
              <w:top w:val="nil"/>
              <w:left w:val="nil"/>
              <w:bottom w:val="nil"/>
            </w:tcBorders>
            <w:shd w:val="clear" w:color="auto" w:fill="D9D9D9" w:themeFill="background1" w:themeFillShade="D9"/>
          </w:tcPr>
          <w:p w14:paraId="5D0E8FCB" w14:textId="77777777" w:rsidR="00753A1F" w:rsidRPr="008A26E8" w:rsidRDefault="00753A1F" w:rsidP="00497F1D">
            <w:pPr>
              <w:pStyle w:val="TableText"/>
              <w:spacing w:before="55" w:after="55"/>
              <w:jc w:val="center"/>
              <w:rPr>
                <w:rFonts w:cs="Segoe UI"/>
                <w:b/>
              </w:rPr>
            </w:pPr>
            <w:r w:rsidRPr="008A26E8">
              <w:rPr>
                <w:rFonts w:cs="Segoe UI"/>
                <w:b/>
              </w:rPr>
              <w:t>s 31</w:t>
            </w:r>
          </w:p>
        </w:tc>
        <w:tc>
          <w:tcPr>
            <w:tcW w:w="426" w:type="dxa"/>
            <w:tcBorders>
              <w:top w:val="nil"/>
              <w:bottom w:val="nil"/>
            </w:tcBorders>
            <w:shd w:val="clear" w:color="auto" w:fill="auto"/>
          </w:tcPr>
          <w:p w14:paraId="12AF3C42" w14:textId="77777777" w:rsidR="00753A1F" w:rsidRPr="008A26E8" w:rsidRDefault="00753A1F" w:rsidP="00497F1D">
            <w:pPr>
              <w:pStyle w:val="TableText"/>
              <w:spacing w:before="55" w:after="55"/>
              <w:jc w:val="center"/>
              <w:rPr>
                <w:rFonts w:cs="Segoe UI"/>
                <w:b/>
              </w:rPr>
            </w:pPr>
          </w:p>
        </w:tc>
        <w:tc>
          <w:tcPr>
            <w:tcW w:w="1830" w:type="dxa"/>
            <w:tcBorders>
              <w:top w:val="nil"/>
              <w:bottom w:val="nil"/>
            </w:tcBorders>
            <w:shd w:val="clear" w:color="auto" w:fill="D9D9D9" w:themeFill="background1" w:themeFillShade="D9"/>
          </w:tcPr>
          <w:p w14:paraId="67A77DD3" w14:textId="77777777" w:rsidR="00753A1F" w:rsidRPr="008A26E8" w:rsidRDefault="00753A1F" w:rsidP="00497F1D">
            <w:pPr>
              <w:pStyle w:val="TableText"/>
              <w:spacing w:before="55" w:after="55"/>
              <w:rPr>
                <w:rFonts w:cs="Segoe UI"/>
                <w:b/>
              </w:rPr>
            </w:pPr>
            <w:r>
              <w:rPr>
                <w:rFonts w:cs="Segoe UI"/>
                <w:b/>
              </w:rPr>
              <w:t>District</w:t>
            </w:r>
          </w:p>
        </w:tc>
        <w:tc>
          <w:tcPr>
            <w:tcW w:w="627" w:type="dxa"/>
            <w:tcBorders>
              <w:top w:val="nil"/>
              <w:bottom w:val="nil"/>
            </w:tcBorders>
            <w:shd w:val="clear" w:color="auto" w:fill="D9D9D9" w:themeFill="background1" w:themeFillShade="D9"/>
          </w:tcPr>
          <w:p w14:paraId="1F92FD4B" w14:textId="77777777" w:rsidR="00753A1F" w:rsidRPr="008A26E8" w:rsidRDefault="00753A1F" w:rsidP="00497F1D">
            <w:pPr>
              <w:pStyle w:val="TableText"/>
              <w:spacing w:before="55" w:after="55"/>
              <w:jc w:val="center"/>
              <w:rPr>
                <w:rFonts w:cs="Segoe UI"/>
                <w:b/>
              </w:rPr>
            </w:pPr>
            <w:r w:rsidRPr="008A26E8">
              <w:rPr>
                <w:rFonts w:cs="Segoe UI"/>
                <w:b/>
              </w:rPr>
              <w:t>s 29</w:t>
            </w:r>
          </w:p>
        </w:tc>
        <w:tc>
          <w:tcPr>
            <w:tcW w:w="615" w:type="dxa"/>
            <w:tcBorders>
              <w:top w:val="nil"/>
              <w:bottom w:val="nil"/>
            </w:tcBorders>
            <w:shd w:val="clear" w:color="auto" w:fill="D9D9D9" w:themeFill="background1" w:themeFillShade="D9"/>
          </w:tcPr>
          <w:p w14:paraId="650BE077" w14:textId="77777777" w:rsidR="00753A1F" w:rsidRPr="008A26E8" w:rsidRDefault="00753A1F" w:rsidP="00497F1D">
            <w:pPr>
              <w:pStyle w:val="TableText"/>
              <w:spacing w:before="55" w:after="55"/>
              <w:jc w:val="center"/>
              <w:rPr>
                <w:rFonts w:cs="Segoe UI"/>
                <w:b/>
              </w:rPr>
            </w:pPr>
            <w:r w:rsidRPr="008A26E8">
              <w:rPr>
                <w:rFonts w:cs="Segoe UI"/>
                <w:b/>
              </w:rPr>
              <w:t>s 30</w:t>
            </w:r>
          </w:p>
        </w:tc>
        <w:tc>
          <w:tcPr>
            <w:tcW w:w="615" w:type="dxa"/>
            <w:tcBorders>
              <w:top w:val="nil"/>
              <w:bottom w:val="nil"/>
            </w:tcBorders>
            <w:shd w:val="clear" w:color="auto" w:fill="D9D9D9" w:themeFill="background1" w:themeFillShade="D9"/>
          </w:tcPr>
          <w:p w14:paraId="13AF143E" w14:textId="77777777" w:rsidR="00753A1F" w:rsidRPr="008A26E8" w:rsidRDefault="00753A1F" w:rsidP="00497F1D">
            <w:pPr>
              <w:pStyle w:val="TableText"/>
              <w:spacing w:before="55" w:after="55"/>
              <w:jc w:val="center"/>
              <w:rPr>
                <w:rFonts w:cs="Segoe UI"/>
                <w:b/>
              </w:rPr>
            </w:pPr>
            <w:r w:rsidRPr="008A26E8">
              <w:rPr>
                <w:rFonts w:cs="Segoe UI"/>
                <w:b/>
              </w:rPr>
              <w:t>s 31</w:t>
            </w:r>
          </w:p>
        </w:tc>
      </w:tr>
      <w:tr w:rsidR="00753A1F" w:rsidRPr="00200234" w14:paraId="20731EF8" w14:textId="77777777" w:rsidTr="00497F1D">
        <w:trPr>
          <w:cantSplit/>
          <w:trHeight w:val="300"/>
        </w:trPr>
        <w:tc>
          <w:tcPr>
            <w:tcW w:w="1843" w:type="dxa"/>
            <w:tcBorders>
              <w:top w:val="nil"/>
              <w:right w:val="nil"/>
            </w:tcBorders>
          </w:tcPr>
          <w:p w14:paraId="59D03676" w14:textId="77777777" w:rsidR="00753A1F" w:rsidRPr="008A26E8" w:rsidRDefault="00753A1F" w:rsidP="00497F1D">
            <w:pPr>
              <w:pStyle w:val="TableText"/>
              <w:spacing w:before="55" w:after="55"/>
              <w:rPr>
                <w:rFonts w:cs="Segoe UI"/>
              </w:rPr>
            </w:pPr>
            <w:r w:rsidRPr="008A26E8">
              <w:rPr>
                <w:rFonts w:cs="Segoe UI"/>
              </w:rPr>
              <w:t>Auckland</w:t>
            </w:r>
          </w:p>
        </w:tc>
        <w:tc>
          <w:tcPr>
            <w:tcW w:w="708" w:type="dxa"/>
            <w:tcBorders>
              <w:top w:val="nil"/>
              <w:left w:val="nil"/>
              <w:right w:val="nil"/>
            </w:tcBorders>
          </w:tcPr>
          <w:p w14:paraId="23C634F2" w14:textId="77777777" w:rsidR="00753A1F" w:rsidRPr="008A26E8" w:rsidRDefault="00753A1F" w:rsidP="00497F1D">
            <w:pPr>
              <w:pStyle w:val="TableText"/>
              <w:tabs>
                <w:tab w:val="decimal" w:pos="510"/>
              </w:tabs>
              <w:spacing w:before="55" w:after="55"/>
              <w:jc w:val="center"/>
              <w:rPr>
                <w:rFonts w:cs="Segoe UI"/>
              </w:rPr>
            </w:pPr>
            <w:r>
              <w:t>108</w:t>
            </w:r>
          </w:p>
        </w:tc>
        <w:tc>
          <w:tcPr>
            <w:tcW w:w="709" w:type="dxa"/>
            <w:tcBorders>
              <w:top w:val="nil"/>
              <w:left w:val="nil"/>
              <w:right w:val="nil"/>
            </w:tcBorders>
          </w:tcPr>
          <w:p w14:paraId="05E9E6DC" w14:textId="77777777" w:rsidR="00753A1F" w:rsidRPr="008A26E8" w:rsidRDefault="00753A1F" w:rsidP="00497F1D">
            <w:pPr>
              <w:pStyle w:val="TableText"/>
              <w:tabs>
                <w:tab w:val="decimal" w:pos="510"/>
              </w:tabs>
              <w:spacing w:before="55" w:after="55"/>
              <w:jc w:val="center"/>
              <w:rPr>
                <w:rFonts w:cs="Segoe UI"/>
              </w:rPr>
            </w:pPr>
            <w:r>
              <w:t>16</w:t>
            </w:r>
          </w:p>
        </w:tc>
        <w:tc>
          <w:tcPr>
            <w:tcW w:w="709" w:type="dxa"/>
            <w:tcBorders>
              <w:top w:val="nil"/>
              <w:left w:val="nil"/>
            </w:tcBorders>
          </w:tcPr>
          <w:p w14:paraId="794A2936" w14:textId="77777777" w:rsidR="00753A1F" w:rsidRPr="008A26E8" w:rsidRDefault="00753A1F" w:rsidP="00497F1D">
            <w:pPr>
              <w:pStyle w:val="TableText"/>
              <w:tabs>
                <w:tab w:val="decimal" w:pos="454"/>
              </w:tabs>
              <w:spacing w:before="55" w:after="55"/>
              <w:jc w:val="center"/>
              <w:rPr>
                <w:rFonts w:cs="Segoe UI"/>
              </w:rPr>
            </w:pPr>
            <w:r>
              <w:t>1</w:t>
            </w:r>
          </w:p>
        </w:tc>
        <w:tc>
          <w:tcPr>
            <w:tcW w:w="426" w:type="dxa"/>
            <w:tcBorders>
              <w:top w:val="nil"/>
              <w:bottom w:val="nil"/>
            </w:tcBorders>
            <w:shd w:val="clear" w:color="auto" w:fill="auto"/>
          </w:tcPr>
          <w:p w14:paraId="2D1BEBAA" w14:textId="77777777" w:rsidR="00753A1F" w:rsidRPr="008A26E8" w:rsidRDefault="00753A1F" w:rsidP="00497F1D">
            <w:pPr>
              <w:pStyle w:val="TableText"/>
              <w:tabs>
                <w:tab w:val="decimal" w:pos="636"/>
              </w:tabs>
              <w:spacing w:before="55" w:after="55"/>
              <w:rPr>
                <w:rFonts w:cs="Segoe UI"/>
              </w:rPr>
            </w:pPr>
          </w:p>
        </w:tc>
        <w:tc>
          <w:tcPr>
            <w:tcW w:w="1830" w:type="dxa"/>
            <w:tcBorders>
              <w:top w:val="nil"/>
            </w:tcBorders>
          </w:tcPr>
          <w:p w14:paraId="232C93BA" w14:textId="77777777" w:rsidR="00753A1F" w:rsidRPr="008A26E8" w:rsidRDefault="00753A1F" w:rsidP="00497F1D">
            <w:pPr>
              <w:pStyle w:val="TableText"/>
              <w:spacing w:before="55" w:after="55"/>
              <w:jc w:val="both"/>
              <w:rPr>
                <w:rFonts w:cs="Segoe UI"/>
              </w:rPr>
            </w:pPr>
            <w:r w:rsidRPr="008A26E8">
              <w:rPr>
                <w:rFonts w:cs="Segoe UI"/>
              </w:rPr>
              <w:t>Northland</w:t>
            </w:r>
          </w:p>
        </w:tc>
        <w:tc>
          <w:tcPr>
            <w:tcW w:w="627" w:type="dxa"/>
            <w:tcBorders>
              <w:top w:val="nil"/>
            </w:tcBorders>
          </w:tcPr>
          <w:p w14:paraId="002C1E8A" w14:textId="77777777" w:rsidR="00753A1F" w:rsidRPr="008A26E8" w:rsidRDefault="00753A1F" w:rsidP="00497F1D">
            <w:pPr>
              <w:pStyle w:val="TableText"/>
              <w:tabs>
                <w:tab w:val="decimal" w:pos="454"/>
              </w:tabs>
              <w:spacing w:before="55" w:after="55"/>
              <w:jc w:val="center"/>
            </w:pPr>
            <w:r>
              <w:t>150</w:t>
            </w:r>
          </w:p>
        </w:tc>
        <w:tc>
          <w:tcPr>
            <w:tcW w:w="615" w:type="dxa"/>
            <w:tcBorders>
              <w:top w:val="nil"/>
            </w:tcBorders>
          </w:tcPr>
          <w:p w14:paraId="379C510D" w14:textId="77777777" w:rsidR="00753A1F" w:rsidRPr="008A26E8" w:rsidRDefault="00753A1F" w:rsidP="00497F1D">
            <w:pPr>
              <w:pStyle w:val="TableText"/>
              <w:tabs>
                <w:tab w:val="decimal" w:pos="454"/>
              </w:tabs>
              <w:spacing w:before="55" w:after="55"/>
              <w:jc w:val="center"/>
              <w:rPr>
                <w:rFonts w:cs="Segoe UI"/>
              </w:rPr>
            </w:pPr>
            <w:r>
              <w:t>10</w:t>
            </w:r>
          </w:p>
        </w:tc>
        <w:tc>
          <w:tcPr>
            <w:tcW w:w="615" w:type="dxa"/>
            <w:tcBorders>
              <w:top w:val="nil"/>
            </w:tcBorders>
          </w:tcPr>
          <w:p w14:paraId="02DE2D0E" w14:textId="77777777" w:rsidR="00753A1F" w:rsidRPr="008A26E8" w:rsidRDefault="00753A1F" w:rsidP="00497F1D">
            <w:pPr>
              <w:pStyle w:val="TableText"/>
              <w:spacing w:before="55" w:after="55"/>
              <w:jc w:val="center"/>
              <w:rPr>
                <w:rFonts w:cs="Segoe UI"/>
              </w:rPr>
            </w:pPr>
            <w:r w:rsidRPr="00501296">
              <w:t>2</w:t>
            </w:r>
          </w:p>
        </w:tc>
      </w:tr>
      <w:tr w:rsidR="00753A1F" w:rsidRPr="00200234" w14:paraId="73C65E4A" w14:textId="77777777" w:rsidTr="00497F1D">
        <w:trPr>
          <w:cantSplit/>
          <w:trHeight w:val="300"/>
        </w:trPr>
        <w:tc>
          <w:tcPr>
            <w:tcW w:w="1843" w:type="dxa"/>
            <w:tcBorders>
              <w:top w:val="nil"/>
              <w:right w:val="nil"/>
            </w:tcBorders>
          </w:tcPr>
          <w:p w14:paraId="7B77E25D" w14:textId="77777777" w:rsidR="00753A1F" w:rsidRPr="008A26E8" w:rsidRDefault="00753A1F" w:rsidP="00497F1D">
            <w:pPr>
              <w:pStyle w:val="TableText"/>
              <w:spacing w:before="55" w:after="55"/>
              <w:rPr>
                <w:rFonts w:cs="Segoe UI"/>
              </w:rPr>
            </w:pPr>
            <w:r w:rsidRPr="008A26E8">
              <w:rPr>
                <w:rFonts w:cs="Segoe UI"/>
              </w:rPr>
              <w:t>Bay of Plenty</w:t>
            </w:r>
          </w:p>
        </w:tc>
        <w:tc>
          <w:tcPr>
            <w:tcW w:w="708" w:type="dxa"/>
            <w:tcBorders>
              <w:top w:val="nil"/>
              <w:left w:val="nil"/>
              <w:right w:val="nil"/>
            </w:tcBorders>
          </w:tcPr>
          <w:p w14:paraId="41340B90" w14:textId="77777777" w:rsidR="00753A1F" w:rsidRPr="008A26E8" w:rsidRDefault="00753A1F" w:rsidP="00497F1D">
            <w:pPr>
              <w:pStyle w:val="TableText"/>
              <w:tabs>
                <w:tab w:val="decimal" w:pos="510"/>
              </w:tabs>
              <w:spacing w:before="55" w:after="55"/>
              <w:jc w:val="center"/>
              <w:rPr>
                <w:rFonts w:cs="Segoe UI"/>
              </w:rPr>
            </w:pPr>
            <w:r>
              <w:t>56</w:t>
            </w:r>
          </w:p>
        </w:tc>
        <w:tc>
          <w:tcPr>
            <w:tcW w:w="709" w:type="dxa"/>
            <w:tcBorders>
              <w:top w:val="nil"/>
              <w:left w:val="nil"/>
              <w:right w:val="nil"/>
            </w:tcBorders>
          </w:tcPr>
          <w:p w14:paraId="04AC5DDF" w14:textId="77777777" w:rsidR="00753A1F" w:rsidRPr="008A26E8" w:rsidRDefault="00753A1F" w:rsidP="00497F1D">
            <w:pPr>
              <w:pStyle w:val="TableText"/>
              <w:tabs>
                <w:tab w:val="decimal" w:pos="510"/>
              </w:tabs>
              <w:spacing w:before="55" w:after="55"/>
              <w:jc w:val="center"/>
              <w:rPr>
                <w:rFonts w:cs="Segoe UI"/>
              </w:rPr>
            </w:pPr>
            <w:r>
              <w:t>16</w:t>
            </w:r>
          </w:p>
        </w:tc>
        <w:tc>
          <w:tcPr>
            <w:tcW w:w="709" w:type="dxa"/>
            <w:tcBorders>
              <w:top w:val="nil"/>
              <w:left w:val="nil"/>
            </w:tcBorders>
          </w:tcPr>
          <w:p w14:paraId="6399DD38" w14:textId="77777777" w:rsidR="00753A1F" w:rsidRPr="008A26E8" w:rsidRDefault="00753A1F" w:rsidP="00497F1D">
            <w:pPr>
              <w:pStyle w:val="TableText"/>
              <w:tabs>
                <w:tab w:val="decimal" w:pos="454"/>
              </w:tabs>
              <w:spacing w:before="55" w:after="55"/>
              <w:jc w:val="center"/>
              <w:rPr>
                <w:rFonts w:cs="Segoe UI"/>
              </w:rPr>
            </w:pPr>
            <w:r>
              <w:t>5</w:t>
            </w:r>
          </w:p>
        </w:tc>
        <w:tc>
          <w:tcPr>
            <w:tcW w:w="426" w:type="dxa"/>
            <w:tcBorders>
              <w:top w:val="nil"/>
              <w:bottom w:val="nil"/>
            </w:tcBorders>
            <w:shd w:val="clear" w:color="auto" w:fill="auto"/>
          </w:tcPr>
          <w:p w14:paraId="20C8A9CD" w14:textId="77777777" w:rsidR="00753A1F" w:rsidRPr="008A26E8" w:rsidRDefault="00753A1F" w:rsidP="00497F1D">
            <w:pPr>
              <w:pStyle w:val="TableText"/>
              <w:tabs>
                <w:tab w:val="decimal" w:pos="636"/>
              </w:tabs>
              <w:spacing w:before="55" w:after="55"/>
              <w:rPr>
                <w:rFonts w:cs="Segoe UI"/>
              </w:rPr>
            </w:pPr>
          </w:p>
        </w:tc>
        <w:tc>
          <w:tcPr>
            <w:tcW w:w="1830" w:type="dxa"/>
            <w:tcBorders>
              <w:top w:val="nil"/>
            </w:tcBorders>
          </w:tcPr>
          <w:p w14:paraId="4D26EBFF" w14:textId="77777777" w:rsidR="00753A1F" w:rsidRPr="008A26E8" w:rsidRDefault="00753A1F" w:rsidP="00497F1D">
            <w:pPr>
              <w:pStyle w:val="TableText"/>
              <w:spacing w:before="55" w:after="55"/>
              <w:jc w:val="both"/>
              <w:rPr>
                <w:rFonts w:cs="Segoe UI"/>
              </w:rPr>
            </w:pPr>
            <w:r w:rsidRPr="008A26E8">
              <w:rPr>
                <w:rFonts w:cs="Segoe UI"/>
              </w:rPr>
              <w:t>South Canterbury</w:t>
            </w:r>
          </w:p>
        </w:tc>
        <w:tc>
          <w:tcPr>
            <w:tcW w:w="627" w:type="dxa"/>
            <w:tcBorders>
              <w:top w:val="nil"/>
            </w:tcBorders>
          </w:tcPr>
          <w:p w14:paraId="69387D43" w14:textId="77777777" w:rsidR="00753A1F" w:rsidRPr="008A26E8" w:rsidRDefault="00753A1F" w:rsidP="00497F1D">
            <w:pPr>
              <w:pStyle w:val="TableText"/>
              <w:tabs>
                <w:tab w:val="decimal" w:pos="454"/>
              </w:tabs>
              <w:spacing w:before="55" w:after="55"/>
              <w:jc w:val="center"/>
              <w:rPr>
                <w:rFonts w:cs="Segoe UI"/>
              </w:rPr>
            </w:pPr>
            <w:r>
              <w:t>85</w:t>
            </w:r>
          </w:p>
        </w:tc>
        <w:tc>
          <w:tcPr>
            <w:tcW w:w="615" w:type="dxa"/>
            <w:tcBorders>
              <w:top w:val="nil"/>
            </w:tcBorders>
          </w:tcPr>
          <w:p w14:paraId="372A5532" w14:textId="77777777" w:rsidR="00753A1F" w:rsidRPr="008A26E8" w:rsidRDefault="00753A1F" w:rsidP="00497F1D">
            <w:pPr>
              <w:pStyle w:val="TableText"/>
              <w:tabs>
                <w:tab w:val="decimal" w:pos="454"/>
              </w:tabs>
              <w:spacing w:before="55" w:after="55"/>
              <w:jc w:val="center"/>
              <w:rPr>
                <w:rFonts w:cs="Segoe UI"/>
              </w:rPr>
            </w:pPr>
            <w:r>
              <w:t>3</w:t>
            </w:r>
          </w:p>
        </w:tc>
        <w:tc>
          <w:tcPr>
            <w:tcW w:w="615" w:type="dxa"/>
            <w:tcBorders>
              <w:top w:val="nil"/>
            </w:tcBorders>
          </w:tcPr>
          <w:p w14:paraId="6E13418B" w14:textId="77777777" w:rsidR="00753A1F" w:rsidRPr="008A26E8" w:rsidRDefault="00753A1F" w:rsidP="00497F1D">
            <w:pPr>
              <w:pStyle w:val="TableText"/>
              <w:spacing w:before="55" w:after="55"/>
              <w:jc w:val="center"/>
              <w:rPr>
                <w:rFonts w:cs="Segoe UI"/>
              </w:rPr>
            </w:pPr>
            <w:r w:rsidRPr="00501296">
              <w:t>1</w:t>
            </w:r>
          </w:p>
        </w:tc>
      </w:tr>
      <w:tr w:rsidR="00753A1F" w:rsidRPr="00200234" w14:paraId="510B1609" w14:textId="77777777" w:rsidTr="00497F1D">
        <w:trPr>
          <w:cantSplit/>
          <w:trHeight w:val="300"/>
        </w:trPr>
        <w:tc>
          <w:tcPr>
            <w:tcW w:w="1843" w:type="dxa"/>
            <w:tcBorders>
              <w:top w:val="nil"/>
              <w:right w:val="nil"/>
            </w:tcBorders>
          </w:tcPr>
          <w:p w14:paraId="1C1C3332" w14:textId="77777777" w:rsidR="00753A1F" w:rsidRPr="008A26E8" w:rsidRDefault="00753A1F" w:rsidP="00497F1D">
            <w:pPr>
              <w:pStyle w:val="TableText"/>
              <w:spacing w:before="55" w:after="55"/>
              <w:rPr>
                <w:rFonts w:cs="Segoe UI"/>
              </w:rPr>
            </w:pPr>
            <w:r w:rsidRPr="008A26E8">
              <w:rPr>
                <w:rFonts w:cs="Segoe UI"/>
              </w:rPr>
              <w:t>Canterbury</w:t>
            </w:r>
          </w:p>
        </w:tc>
        <w:tc>
          <w:tcPr>
            <w:tcW w:w="708" w:type="dxa"/>
            <w:tcBorders>
              <w:top w:val="nil"/>
              <w:left w:val="nil"/>
              <w:right w:val="nil"/>
            </w:tcBorders>
          </w:tcPr>
          <w:p w14:paraId="00E4D7D0" w14:textId="77777777" w:rsidR="00753A1F" w:rsidRPr="008A26E8" w:rsidRDefault="00753A1F" w:rsidP="00497F1D">
            <w:pPr>
              <w:pStyle w:val="TableText"/>
              <w:tabs>
                <w:tab w:val="decimal" w:pos="510"/>
              </w:tabs>
              <w:spacing w:before="55" w:after="55"/>
              <w:jc w:val="center"/>
              <w:rPr>
                <w:rFonts w:cs="Segoe UI"/>
              </w:rPr>
            </w:pPr>
            <w:r>
              <w:t>51</w:t>
            </w:r>
          </w:p>
        </w:tc>
        <w:tc>
          <w:tcPr>
            <w:tcW w:w="709" w:type="dxa"/>
            <w:tcBorders>
              <w:top w:val="nil"/>
              <w:left w:val="nil"/>
              <w:right w:val="nil"/>
            </w:tcBorders>
          </w:tcPr>
          <w:p w14:paraId="66380773" w14:textId="77777777" w:rsidR="00753A1F" w:rsidRPr="008A26E8" w:rsidRDefault="00753A1F" w:rsidP="00497F1D">
            <w:pPr>
              <w:pStyle w:val="TableText"/>
              <w:tabs>
                <w:tab w:val="decimal" w:pos="510"/>
              </w:tabs>
              <w:spacing w:before="55" w:after="55"/>
              <w:jc w:val="center"/>
              <w:rPr>
                <w:rFonts w:cs="Segoe UI"/>
              </w:rPr>
            </w:pPr>
            <w:r>
              <w:t>14</w:t>
            </w:r>
          </w:p>
        </w:tc>
        <w:tc>
          <w:tcPr>
            <w:tcW w:w="709" w:type="dxa"/>
            <w:tcBorders>
              <w:top w:val="nil"/>
              <w:left w:val="nil"/>
            </w:tcBorders>
          </w:tcPr>
          <w:p w14:paraId="0E82AC29" w14:textId="77777777" w:rsidR="00753A1F" w:rsidRPr="008A26E8" w:rsidRDefault="00753A1F" w:rsidP="00497F1D">
            <w:pPr>
              <w:pStyle w:val="TableText"/>
              <w:tabs>
                <w:tab w:val="decimal" w:pos="454"/>
              </w:tabs>
              <w:spacing w:before="55" w:after="55"/>
              <w:jc w:val="center"/>
              <w:rPr>
                <w:rFonts w:cs="Segoe UI"/>
              </w:rPr>
            </w:pPr>
            <w:r>
              <w:t>6</w:t>
            </w:r>
          </w:p>
        </w:tc>
        <w:tc>
          <w:tcPr>
            <w:tcW w:w="426" w:type="dxa"/>
            <w:tcBorders>
              <w:top w:val="nil"/>
              <w:bottom w:val="nil"/>
            </w:tcBorders>
            <w:shd w:val="clear" w:color="auto" w:fill="auto"/>
          </w:tcPr>
          <w:p w14:paraId="4613569E" w14:textId="77777777" w:rsidR="00753A1F" w:rsidRPr="008A26E8" w:rsidRDefault="00753A1F" w:rsidP="00497F1D">
            <w:pPr>
              <w:pStyle w:val="TableText"/>
              <w:tabs>
                <w:tab w:val="decimal" w:pos="636"/>
              </w:tabs>
              <w:spacing w:before="55" w:after="55"/>
              <w:rPr>
                <w:rFonts w:cs="Segoe UI"/>
              </w:rPr>
            </w:pPr>
          </w:p>
        </w:tc>
        <w:tc>
          <w:tcPr>
            <w:tcW w:w="1830" w:type="dxa"/>
            <w:tcBorders>
              <w:top w:val="nil"/>
            </w:tcBorders>
          </w:tcPr>
          <w:p w14:paraId="6EEECE4D" w14:textId="77777777" w:rsidR="00753A1F" w:rsidRPr="008A26E8" w:rsidRDefault="00753A1F" w:rsidP="00497F1D">
            <w:pPr>
              <w:pStyle w:val="TableText"/>
              <w:spacing w:before="55" w:after="55"/>
              <w:jc w:val="both"/>
              <w:rPr>
                <w:rFonts w:cs="Segoe UI"/>
              </w:rPr>
            </w:pPr>
            <w:r w:rsidRPr="008A26E8">
              <w:rPr>
                <w:rFonts w:cs="Segoe UI"/>
              </w:rPr>
              <w:t>Southern</w:t>
            </w:r>
          </w:p>
        </w:tc>
        <w:tc>
          <w:tcPr>
            <w:tcW w:w="627" w:type="dxa"/>
            <w:tcBorders>
              <w:top w:val="nil"/>
            </w:tcBorders>
          </w:tcPr>
          <w:p w14:paraId="5A6D572F" w14:textId="77777777" w:rsidR="00753A1F" w:rsidRPr="008A26E8" w:rsidRDefault="00753A1F" w:rsidP="00497F1D">
            <w:pPr>
              <w:pStyle w:val="TableText"/>
              <w:tabs>
                <w:tab w:val="decimal" w:pos="454"/>
              </w:tabs>
              <w:spacing w:before="55" w:after="55"/>
              <w:jc w:val="center"/>
              <w:rPr>
                <w:rFonts w:cs="Segoe UI"/>
              </w:rPr>
            </w:pPr>
            <w:r>
              <w:t>65</w:t>
            </w:r>
          </w:p>
        </w:tc>
        <w:tc>
          <w:tcPr>
            <w:tcW w:w="615" w:type="dxa"/>
            <w:tcBorders>
              <w:top w:val="nil"/>
            </w:tcBorders>
          </w:tcPr>
          <w:p w14:paraId="2FB67F9D" w14:textId="77777777" w:rsidR="00753A1F" w:rsidRPr="008A26E8" w:rsidRDefault="00753A1F" w:rsidP="00497F1D">
            <w:pPr>
              <w:pStyle w:val="TableText"/>
              <w:tabs>
                <w:tab w:val="decimal" w:pos="454"/>
              </w:tabs>
              <w:spacing w:before="55" w:after="55"/>
              <w:jc w:val="center"/>
              <w:rPr>
                <w:rFonts w:cs="Segoe UI"/>
              </w:rPr>
            </w:pPr>
            <w:r>
              <w:t>10</w:t>
            </w:r>
          </w:p>
        </w:tc>
        <w:tc>
          <w:tcPr>
            <w:tcW w:w="615" w:type="dxa"/>
            <w:tcBorders>
              <w:top w:val="nil"/>
            </w:tcBorders>
          </w:tcPr>
          <w:p w14:paraId="074A8633" w14:textId="77777777" w:rsidR="00753A1F" w:rsidRPr="008A26E8" w:rsidRDefault="00753A1F" w:rsidP="00497F1D">
            <w:pPr>
              <w:pStyle w:val="TableText"/>
              <w:spacing w:before="55" w:after="55"/>
              <w:jc w:val="center"/>
              <w:rPr>
                <w:rFonts w:cs="Segoe UI"/>
              </w:rPr>
            </w:pPr>
            <w:r w:rsidRPr="00501296">
              <w:t>2</w:t>
            </w:r>
          </w:p>
        </w:tc>
      </w:tr>
      <w:tr w:rsidR="00753A1F" w:rsidRPr="00200234" w14:paraId="1D601B90" w14:textId="77777777" w:rsidTr="00497F1D">
        <w:trPr>
          <w:cantSplit/>
          <w:trHeight w:val="300"/>
        </w:trPr>
        <w:tc>
          <w:tcPr>
            <w:tcW w:w="1843" w:type="dxa"/>
            <w:tcBorders>
              <w:top w:val="nil"/>
              <w:right w:val="nil"/>
            </w:tcBorders>
          </w:tcPr>
          <w:p w14:paraId="31594A5C" w14:textId="77777777" w:rsidR="00753A1F" w:rsidRPr="008A26E8" w:rsidRDefault="00753A1F" w:rsidP="00497F1D">
            <w:pPr>
              <w:pStyle w:val="TableText"/>
              <w:spacing w:before="55" w:after="55"/>
              <w:rPr>
                <w:rFonts w:cs="Segoe UI"/>
              </w:rPr>
            </w:pPr>
            <w:r w:rsidRPr="008A26E8">
              <w:rPr>
                <w:rFonts w:cs="Segoe UI"/>
              </w:rPr>
              <w:t>Capital &amp; Coast</w:t>
            </w:r>
          </w:p>
        </w:tc>
        <w:tc>
          <w:tcPr>
            <w:tcW w:w="708" w:type="dxa"/>
            <w:tcBorders>
              <w:top w:val="nil"/>
              <w:left w:val="nil"/>
              <w:right w:val="nil"/>
            </w:tcBorders>
          </w:tcPr>
          <w:p w14:paraId="49868543" w14:textId="77777777" w:rsidR="00753A1F" w:rsidRPr="008A26E8" w:rsidRDefault="00753A1F" w:rsidP="00497F1D">
            <w:pPr>
              <w:pStyle w:val="TableText"/>
              <w:tabs>
                <w:tab w:val="decimal" w:pos="510"/>
              </w:tabs>
              <w:spacing w:before="55" w:after="55"/>
              <w:jc w:val="center"/>
              <w:rPr>
                <w:rFonts w:cs="Segoe UI"/>
              </w:rPr>
            </w:pPr>
            <w:r>
              <w:t>190</w:t>
            </w:r>
          </w:p>
        </w:tc>
        <w:tc>
          <w:tcPr>
            <w:tcW w:w="709" w:type="dxa"/>
            <w:tcBorders>
              <w:top w:val="nil"/>
              <w:left w:val="nil"/>
              <w:right w:val="nil"/>
            </w:tcBorders>
          </w:tcPr>
          <w:p w14:paraId="48B32D03" w14:textId="77777777" w:rsidR="00753A1F" w:rsidRPr="008A26E8" w:rsidRDefault="00753A1F" w:rsidP="00497F1D">
            <w:pPr>
              <w:pStyle w:val="TableText"/>
              <w:tabs>
                <w:tab w:val="decimal" w:pos="510"/>
              </w:tabs>
              <w:spacing w:before="55" w:after="55"/>
              <w:jc w:val="center"/>
              <w:rPr>
                <w:rFonts w:cs="Segoe UI"/>
              </w:rPr>
            </w:pPr>
            <w:r>
              <w:t>47</w:t>
            </w:r>
          </w:p>
        </w:tc>
        <w:tc>
          <w:tcPr>
            <w:tcW w:w="709" w:type="dxa"/>
            <w:tcBorders>
              <w:top w:val="nil"/>
              <w:left w:val="nil"/>
            </w:tcBorders>
          </w:tcPr>
          <w:p w14:paraId="1CD2A57B" w14:textId="77777777" w:rsidR="00753A1F" w:rsidRPr="008A26E8" w:rsidRDefault="00753A1F" w:rsidP="00497F1D">
            <w:pPr>
              <w:pStyle w:val="TableText"/>
              <w:tabs>
                <w:tab w:val="decimal" w:pos="454"/>
              </w:tabs>
              <w:spacing w:before="55" w:after="55"/>
              <w:jc w:val="center"/>
              <w:rPr>
                <w:rFonts w:cs="Segoe UI"/>
              </w:rPr>
            </w:pPr>
            <w:r>
              <w:t>6</w:t>
            </w:r>
          </w:p>
        </w:tc>
        <w:tc>
          <w:tcPr>
            <w:tcW w:w="426" w:type="dxa"/>
            <w:tcBorders>
              <w:top w:val="nil"/>
              <w:bottom w:val="nil"/>
            </w:tcBorders>
            <w:shd w:val="clear" w:color="auto" w:fill="auto"/>
          </w:tcPr>
          <w:p w14:paraId="58232DE8" w14:textId="77777777" w:rsidR="00753A1F" w:rsidRPr="008A26E8" w:rsidRDefault="00753A1F" w:rsidP="00497F1D">
            <w:pPr>
              <w:pStyle w:val="TableText"/>
              <w:tabs>
                <w:tab w:val="decimal" w:pos="636"/>
              </w:tabs>
              <w:spacing w:before="55" w:after="55"/>
              <w:rPr>
                <w:rFonts w:cs="Segoe UI"/>
              </w:rPr>
            </w:pPr>
          </w:p>
        </w:tc>
        <w:tc>
          <w:tcPr>
            <w:tcW w:w="1830" w:type="dxa"/>
            <w:tcBorders>
              <w:top w:val="nil"/>
            </w:tcBorders>
          </w:tcPr>
          <w:p w14:paraId="58A50F65" w14:textId="77777777" w:rsidR="00753A1F" w:rsidRPr="008A26E8" w:rsidRDefault="00753A1F" w:rsidP="00497F1D">
            <w:pPr>
              <w:pStyle w:val="TableText"/>
              <w:spacing w:before="55" w:after="55"/>
              <w:jc w:val="both"/>
              <w:rPr>
                <w:rFonts w:cs="Segoe UI"/>
              </w:rPr>
            </w:pPr>
            <w:r w:rsidRPr="008A26E8">
              <w:rPr>
                <w:rFonts w:cs="Segoe UI"/>
              </w:rPr>
              <w:t>Tairāwhiti</w:t>
            </w:r>
          </w:p>
        </w:tc>
        <w:tc>
          <w:tcPr>
            <w:tcW w:w="627" w:type="dxa"/>
            <w:tcBorders>
              <w:top w:val="nil"/>
            </w:tcBorders>
          </w:tcPr>
          <w:p w14:paraId="4F4C8808" w14:textId="77777777" w:rsidR="00753A1F" w:rsidRPr="008A26E8" w:rsidRDefault="00753A1F" w:rsidP="00497F1D">
            <w:pPr>
              <w:pStyle w:val="TableText"/>
              <w:tabs>
                <w:tab w:val="decimal" w:pos="454"/>
              </w:tabs>
              <w:spacing w:before="55" w:after="55"/>
              <w:jc w:val="center"/>
              <w:rPr>
                <w:rFonts w:cs="Segoe UI"/>
              </w:rPr>
            </w:pPr>
            <w:r>
              <w:t>55</w:t>
            </w:r>
          </w:p>
        </w:tc>
        <w:tc>
          <w:tcPr>
            <w:tcW w:w="615" w:type="dxa"/>
            <w:tcBorders>
              <w:top w:val="nil"/>
            </w:tcBorders>
          </w:tcPr>
          <w:p w14:paraId="460B7BCA" w14:textId="77777777" w:rsidR="00753A1F" w:rsidRPr="008A26E8" w:rsidRDefault="00753A1F" w:rsidP="00497F1D">
            <w:pPr>
              <w:pStyle w:val="TableText"/>
              <w:tabs>
                <w:tab w:val="decimal" w:pos="454"/>
              </w:tabs>
              <w:spacing w:before="55" w:after="55"/>
              <w:jc w:val="center"/>
              <w:rPr>
                <w:rFonts w:cs="Segoe UI"/>
              </w:rPr>
            </w:pPr>
            <w:r>
              <w:t>4</w:t>
            </w:r>
          </w:p>
        </w:tc>
        <w:tc>
          <w:tcPr>
            <w:tcW w:w="615" w:type="dxa"/>
            <w:tcBorders>
              <w:top w:val="nil"/>
            </w:tcBorders>
          </w:tcPr>
          <w:p w14:paraId="4198C8E7" w14:textId="77777777" w:rsidR="00753A1F" w:rsidRPr="008A26E8" w:rsidRDefault="00753A1F" w:rsidP="00497F1D">
            <w:pPr>
              <w:pStyle w:val="TableText"/>
              <w:spacing w:before="55" w:after="55"/>
              <w:jc w:val="center"/>
              <w:rPr>
                <w:rFonts w:cs="Segoe UI"/>
              </w:rPr>
            </w:pPr>
            <w:r w:rsidRPr="00501296">
              <w:t>6</w:t>
            </w:r>
          </w:p>
        </w:tc>
      </w:tr>
      <w:tr w:rsidR="00753A1F" w:rsidRPr="00200234" w14:paraId="1D2CDEF0" w14:textId="77777777" w:rsidTr="00497F1D">
        <w:trPr>
          <w:cantSplit/>
          <w:trHeight w:val="300"/>
        </w:trPr>
        <w:tc>
          <w:tcPr>
            <w:tcW w:w="1843" w:type="dxa"/>
            <w:tcBorders>
              <w:top w:val="nil"/>
              <w:right w:val="nil"/>
            </w:tcBorders>
          </w:tcPr>
          <w:p w14:paraId="0B0E2E65" w14:textId="77777777" w:rsidR="00753A1F" w:rsidRPr="008A26E8" w:rsidRDefault="00753A1F" w:rsidP="00497F1D">
            <w:pPr>
              <w:pStyle w:val="TableText"/>
              <w:spacing w:before="55" w:after="55"/>
              <w:rPr>
                <w:rFonts w:cs="Segoe UI"/>
              </w:rPr>
            </w:pPr>
            <w:r w:rsidRPr="008A26E8">
              <w:rPr>
                <w:rFonts w:cs="Segoe UI"/>
              </w:rPr>
              <w:t>Counties Manukau</w:t>
            </w:r>
          </w:p>
        </w:tc>
        <w:tc>
          <w:tcPr>
            <w:tcW w:w="708" w:type="dxa"/>
            <w:tcBorders>
              <w:top w:val="nil"/>
              <w:left w:val="nil"/>
              <w:right w:val="nil"/>
            </w:tcBorders>
          </w:tcPr>
          <w:p w14:paraId="3A168C51" w14:textId="77777777" w:rsidR="00753A1F" w:rsidRPr="008A26E8" w:rsidRDefault="00753A1F" w:rsidP="00497F1D">
            <w:pPr>
              <w:pStyle w:val="TableText"/>
              <w:tabs>
                <w:tab w:val="decimal" w:pos="510"/>
              </w:tabs>
              <w:spacing w:before="55" w:after="55"/>
              <w:jc w:val="center"/>
              <w:rPr>
                <w:rFonts w:cs="Segoe UI"/>
              </w:rPr>
            </w:pPr>
            <w:r>
              <w:t>69</w:t>
            </w:r>
          </w:p>
        </w:tc>
        <w:tc>
          <w:tcPr>
            <w:tcW w:w="709" w:type="dxa"/>
            <w:tcBorders>
              <w:top w:val="nil"/>
              <w:left w:val="nil"/>
              <w:right w:val="nil"/>
            </w:tcBorders>
          </w:tcPr>
          <w:p w14:paraId="0E11DF0A" w14:textId="77777777" w:rsidR="00753A1F" w:rsidRPr="008A26E8" w:rsidRDefault="00753A1F" w:rsidP="00497F1D">
            <w:pPr>
              <w:pStyle w:val="TableText"/>
              <w:tabs>
                <w:tab w:val="decimal" w:pos="510"/>
              </w:tabs>
              <w:spacing w:before="55" w:after="55"/>
              <w:jc w:val="center"/>
              <w:rPr>
                <w:rFonts w:cs="Segoe UI"/>
              </w:rPr>
            </w:pPr>
            <w:r>
              <w:t>16</w:t>
            </w:r>
          </w:p>
        </w:tc>
        <w:tc>
          <w:tcPr>
            <w:tcW w:w="709" w:type="dxa"/>
            <w:tcBorders>
              <w:top w:val="nil"/>
              <w:left w:val="nil"/>
            </w:tcBorders>
          </w:tcPr>
          <w:p w14:paraId="5EA62D6A" w14:textId="77777777" w:rsidR="00753A1F" w:rsidRPr="008A26E8" w:rsidRDefault="00753A1F" w:rsidP="00497F1D">
            <w:pPr>
              <w:pStyle w:val="TableText"/>
              <w:tabs>
                <w:tab w:val="decimal" w:pos="454"/>
              </w:tabs>
              <w:spacing w:before="55" w:after="55"/>
              <w:jc w:val="center"/>
              <w:rPr>
                <w:rFonts w:cs="Segoe UI"/>
              </w:rPr>
            </w:pPr>
            <w:r>
              <w:t>1</w:t>
            </w:r>
          </w:p>
        </w:tc>
        <w:tc>
          <w:tcPr>
            <w:tcW w:w="426" w:type="dxa"/>
            <w:tcBorders>
              <w:top w:val="nil"/>
              <w:bottom w:val="nil"/>
            </w:tcBorders>
            <w:shd w:val="clear" w:color="auto" w:fill="auto"/>
          </w:tcPr>
          <w:p w14:paraId="282930D9" w14:textId="77777777" w:rsidR="00753A1F" w:rsidRPr="008A26E8" w:rsidRDefault="00753A1F" w:rsidP="00497F1D">
            <w:pPr>
              <w:pStyle w:val="TableText"/>
              <w:tabs>
                <w:tab w:val="decimal" w:pos="636"/>
              </w:tabs>
              <w:spacing w:before="55" w:after="55"/>
              <w:rPr>
                <w:rFonts w:cs="Segoe UI"/>
              </w:rPr>
            </w:pPr>
          </w:p>
        </w:tc>
        <w:tc>
          <w:tcPr>
            <w:tcW w:w="1830" w:type="dxa"/>
            <w:tcBorders>
              <w:top w:val="nil"/>
            </w:tcBorders>
          </w:tcPr>
          <w:p w14:paraId="4F43B98A" w14:textId="77777777" w:rsidR="00753A1F" w:rsidRPr="008A26E8" w:rsidRDefault="00753A1F" w:rsidP="00497F1D">
            <w:pPr>
              <w:pStyle w:val="TableText"/>
              <w:spacing w:before="55" w:after="55"/>
              <w:jc w:val="both"/>
              <w:rPr>
                <w:rFonts w:cs="Segoe UI"/>
              </w:rPr>
            </w:pPr>
            <w:r w:rsidRPr="008A26E8">
              <w:rPr>
                <w:rFonts w:cs="Segoe UI"/>
              </w:rPr>
              <w:t>Taranaki</w:t>
            </w:r>
          </w:p>
        </w:tc>
        <w:tc>
          <w:tcPr>
            <w:tcW w:w="627" w:type="dxa"/>
            <w:tcBorders>
              <w:top w:val="nil"/>
            </w:tcBorders>
          </w:tcPr>
          <w:p w14:paraId="7431D2A0" w14:textId="77777777" w:rsidR="00753A1F" w:rsidRPr="008A26E8" w:rsidRDefault="00753A1F" w:rsidP="00497F1D">
            <w:pPr>
              <w:pStyle w:val="TableText"/>
              <w:tabs>
                <w:tab w:val="decimal" w:pos="454"/>
              </w:tabs>
              <w:spacing w:before="55" w:after="55"/>
              <w:jc w:val="center"/>
            </w:pPr>
            <w:r>
              <w:t>97</w:t>
            </w:r>
          </w:p>
        </w:tc>
        <w:tc>
          <w:tcPr>
            <w:tcW w:w="615" w:type="dxa"/>
            <w:tcBorders>
              <w:top w:val="nil"/>
            </w:tcBorders>
          </w:tcPr>
          <w:p w14:paraId="366A28C1" w14:textId="77777777" w:rsidR="00753A1F" w:rsidRPr="008A26E8" w:rsidRDefault="00753A1F" w:rsidP="00497F1D">
            <w:pPr>
              <w:pStyle w:val="TableText"/>
              <w:tabs>
                <w:tab w:val="decimal" w:pos="454"/>
              </w:tabs>
              <w:spacing w:before="55" w:after="55"/>
              <w:jc w:val="center"/>
              <w:rPr>
                <w:rFonts w:cs="Segoe UI"/>
              </w:rPr>
            </w:pPr>
            <w:r>
              <w:t>4</w:t>
            </w:r>
          </w:p>
        </w:tc>
        <w:tc>
          <w:tcPr>
            <w:tcW w:w="615" w:type="dxa"/>
            <w:tcBorders>
              <w:top w:val="nil"/>
            </w:tcBorders>
          </w:tcPr>
          <w:p w14:paraId="21AA4BDB" w14:textId="77777777" w:rsidR="00753A1F" w:rsidRPr="008A26E8" w:rsidRDefault="00753A1F" w:rsidP="00497F1D">
            <w:pPr>
              <w:pStyle w:val="TableText"/>
              <w:spacing w:before="55" w:after="55"/>
              <w:jc w:val="center"/>
              <w:rPr>
                <w:rFonts w:cs="Segoe UI"/>
              </w:rPr>
            </w:pPr>
            <w:r w:rsidRPr="00501296">
              <w:t>1</w:t>
            </w:r>
          </w:p>
        </w:tc>
      </w:tr>
      <w:tr w:rsidR="00753A1F" w:rsidRPr="00200234" w14:paraId="5AAB8211" w14:textId="77777777" w:rsidTr="00497F1D">
        <w:trPr>
          <w:cantSplit/>
          <w:trHeight w:val="300"/>
        </w:trPr>
        <w:tc>
          <w:tcPr>
            <w:tcW w:w="1843" w:type="dxa"/>
            <w:tcBorders>
              <w:top w:val="nil"/>
              <w:right w:val="nil"/>
            </w:tcBorders>
          </w:tcPr>
          <w:p w14:paraId="5D715083" w14:textId="77777777" w:rsidR="00753A1F" w:rsidRPr="008A26E8" w:rsidRDefault="00753A1F" w:rsidP="00497F1D">
            <w:pPr>
              <w:pStyle w:val="TableText"/>
              <w:spacing w:before="55" w:after="55"/>
              <w:rPr>
                <w:rFonts w:cs="Segoe UI"/>
              </w:rPr>
            </w:pPr>
            <w:r w:rsidRPr="008A26E8">
              <w:rPr>
                <w:rFonts w:cs="Segoe UI"/>
              </w:rPr>
              <w:t>Hawke’s Bay</w:t>
            </w:r>
          </w:p>
        </w:tc>
        <w:tc>
          <w:tcPr>
            <w:tcW w:w="708" w:type="dxa"/>
            <w:tcBorders>
              <w:top w:val="nil"/>
              <w:left w:val="nil"/>
              <w:right w:val="nil"/>
            </w:tcBorders>
          </w:tcPr>
          <w:p w14:paraId="5F2A9BB0" w14:textId="77777777" w:rsidR="00753A1F" w:rsidRPr="008A26E8" w:rsidRDefault="00753A1F" w:rsidP="00497F1D">
            <w:pPr>
              <w:pStyle w:val="TableText"/>
              <w:tabs>
                <w:tab w:val="decimal" w:pos="510"/>
              </w:tabs>
              <w:spacing w:before="55" w:after="55"/>
              <w:jc w:val="center"/>
              <w:rPr>
                <w:rFonts w:cs="Segoe UI"/>
              </w:rPr>
            </w:pPr>
            <w:r>
              <w:t>198</w:t>
            </w:r>
          </w:p>
        </w:tc>
        <w:tc>
          <w:tcPr>
            <w:tcW w:w="709" w:type="dxa"/>
            <w:tcBorders>
              <w:top w:val="nil"/>
              <w:left w:val="nil"/>
              <w:right w:val="nil"/>
            </w:tcBorders>
          </w:tcPr>
          <w:p w14:paraId="00A39093" w14:textId="77777777" w:rsidR="00753A1F" w:rsidRPr="008A26E8" w:rsidRDefault="00753A1F" w:rsidP="00497F1D">
            <w:pPr>
              <w:pStyle w:val="TableText"/>
              <w:tabs>
                <w:tab w:val="decimal" w:pos="510"/>
              </w:tabs>
              <w:spacing w:before="55" w:after="55"/>
              <w:jc w:val="center"/>
              <w:rPr>
                <w:rFonts w:cs="Segoe UI"/>
              </w:rPr>
            </w:pPr>
            <w:r>
              <w:t>26</w:t>
            </w:r>
          </w:p>
        </w:tc>
        <w:tc>
          <w:tcPr>
            <w:tcW w:w="709" w:type="dxa"/>
            <w:tcBorders>
              <w:top w:val="nil"/>
              <w:left w:val="nil"/>
            </w:tcBorders>
          </w:tcPr>
          <w:p w14:paraId="1DEDFE84" w14:textId="77777777" w:rsidR="00753A1F" w:rsidRPr="008A26E8" w:rsidRDefault="00753A1F" w:rsidP="00497F1D">
            <w:pPr>
              <w:pStyle w:val="TableText"/>
              <w:tabs>
                <w:tab w:val="decimal" w:pos="454"/>
              </w:tabs>
              <w:spacing w:before="55" w:after="55"/>
              <w:jc w:val="center"/>
              <w:rPr>
                <w:rFonts w:cs="Segoe UI"/>
              </w:rPr>
            </w:pPr>
            <w:r>
              <w:t>19</w:t>
            </w:r>
          </w:p>
        </w:tc>
        <w:tc>
          <w:tcPr>
            <w:tcW w:w="426" w:type="dxa"/>
            <w:tcBorders>
              <w:top w:val="nil"/>
              <w:bottom w:val="nil"/>
            </w:tcBorders>
            <w:shd w:val="clear" w:color="auto" w:fill="auto"/>
          </w:tcPr>
          <w:p w14:paraId="4E49E0C0" w14:textId="77777777" w:rsidR="00753A1F" w:rsidRPr="008A26E8" w:rsidRDefault="00753A1F" w:rsidP="00497F1D">
            <w:pPr>
              <w:pStyle w:val="TableText"/>
              <w:tabs>
                <w:tab w:val="decimal" w:pos="636"/>
              </w:tabs>
              <w:spacing w:before="55" w:after="55"/>
              <w:rPr>
                <w:rFonts w:cs="Segoe UI"/>
              </w:rPr>
            </w:pPr>
          </w:p>
        </w:tc>
        <w:tc>
          <w:tcPr>
            <w:tcW w:w="1830" w:type="dxa"/>
            <w:tcBorders>
              <w:top w:val="nil"/>
            </w:tcBorders>
          </w:tcPr>
          <w:p w14:paraId="03400015" w14:textId="77777777" w:rsidR="00753A1F" w:rsidRPr="008A26E8" w:rsidRDefault="00753A1F" w:rsidP="00497F1D">
            <w:pPr>
              <w:pStyle w:val="TableText"/>
              <w:spacing w:before="55" w:after="55"/>
              <w:jc w:val="both"/>
              <w:rPr>
                <w:rFonts w:cs="Segoe UI"/>
              </w:rPr>
            </w:pPr>
            <w:r w:rsidRPr="008A26E8">
              <w:rPr>
                <w:rFonts w:cs="Segoe UI"/>
              </w:rPr>
              <w:t>Waikato</w:t>
            </w:r>
          </w:p>
        </w:tc>
        <w:tc>
          <w:tcPr>
            <w:tcW w:w="627" w:type="dxa"/>
            <w:tcBorders>
              <w:top w:val="nil"/>
            </w:tcBorders>
          </w:tcPr>
          <w:p w14:paraId="494FC4A6" w14:textId="77777777" w:rsidR="00753A1F" w:rsidRPr="008A26E8" w:rsidRDefault="00753A1F" w:rsidP="00497F1D">
            <w:pPr>
              <w:pStyle w:val="TableText"/>
              <w:tabs>
                <w:tab w:val="decimal" w:pos="454"/>
              </w:tabs>
              <w:spacing w:before="55" w:after="55"/>
              <w:jc w:val="center"/>
              <w:rPr>
                <w:rFonts w:cs="Segoe UI"/>
              </w:rPr>
            </w:pPr>
            <w:r>
              <w:t>80</w:t>
            </w:r>
          </w:p>
        </w:tc>
        <w:tc>
          <w:tcPr>
            <w:tcW w:w="615" w:type="dxa"/>
            <w:tcBorders>
              <w:top w:val="nil"/>
            </w:tcBorders>
          </w:tcPr>
          <w:p w14:paraId="1437F5CB" w14:textId="77777777" w:rsidR="00753A1F" w:rsidRPr="008A26E8" w:rsidRDefault="00753A1F" w:rsidP="00497F1D">
            <w:pPr>
              <w:pStyle w:val="TableText"/>
              <w:tabs>
                <w:tab w:val="decimal" w:pos="454"/>
              </w:tabs>
              <w:spacing w:before="55" w:after="55"/>
              <w:jc w:val="center"/>
              <w:rPr>
                <w:rFonts w:cs="Segoe UI"/>
              </w:rPr>
            </w:pPr>
            <w:r>
              <w:t>14</w:t>
            </w:r>
          </w:p>
        </w:tc>
        <w:tc>
          <w:tcPr>
            <w:tcW w:w="615" w:type="dxa"/>
            <w:tcBorders>
              <w:top w:val="nil"/>
            </w:tcBorders>
          </w:tcPr>
          <w:p w14:paraId="41DD1CED" w14:textId="77777777" w:rsidR="00753A1F" w:rsidRPr="008A26E8" w:rsidRDefault="00753A1F" w:rsidP="00497F1D">
            <w:pPr>
              <w:pStyle w:val="TableText"/>
              <w:spacing w:before="55" w:after="55"/>
              <w:jc w:val="center"/>
              <w:rPr>
                <w:rFonts w:cs="Segoe UI"/>
              </w:rPr>
            </w:pPr>
            <w:r w:rsidRPr="00501296">
              <w:t>8</w:t>
            </w:r>
          </w:p>
        </w:tc>
      </w:tr>
      <w:tr w:rsidR="00753A1F" w:rsidRPr="00200234" w14:paraId="48A916D1" w14:textId="77777777" w:rsidTr="00497F1D">
        <w:trPr>
          <w:cantSplit/>
          <w:trHeight w:val="300"/>
        </w:trPr>
        <w:tc>
          <w:tcPr>
            <w:tcW w:w="1843" w:type="dxa"/>
            <w:tcBorders>
              <w:top w:val="nil"/>
              <w:right w:val="nil"/>
            </w:tcBorders>
          </w:tcPr>
          <w:p w14:paraId="00A9BB71" w14:textId="77777777" w:rsidR="00753A1F" w:rsidRPr="008A26E8" w:rsidRDefault="00753A1F" w:rsidP="00497F1D">
            <w:pPr>
              <w:pStyle w:val="TableText"/>
              <w:spacing w:before="55" w:after="55"/>
              <w:rPr>
                <w:rFonts w:cs="Segoe UI"/>
              </w:rPr>
            </w:pPr>
            <w:r w:rsidRPr="008A26E8">
              <w:rPr>
                <w:rFonts w:cs="Segoe UI"/>
              </w:rPr>
              <w:t>Hutt Valley</w:t>
            </w:r>
          </w:p>
        </w:tc>
        <w:tc>
          <w:tcPr>
            <w:tcW w:w="708" w:type="dxa"/>
            <w:tcBorders>
              <w:top w:val="nil"/>
              <w:left w:val="nil"/>
              <w:right w:val="nil"/>
            </w:tcBorders>
          </w:tcPr>
          <w:p w14:paraId="0A889BCC" w14:textId="77777777" w:rsidR="00753A1F" w:rsidRPr="008A26E8" w:rsidRDefault="00753A1F" w:rsidP="00497F1D">
            <w:pPr>
              <w:pStyle w:val="TableText"/>
              <w:tabs>
                <w:tab w:val="decimal" w:pos="510"/>
              </w:tabs>
              <w:spacing w:before="55" w:after="55"/>
              <w:jc w:val="center"/>
              <w:rPr>
                <w:rFonts w:cs="Segoe UI"/>
              </w:rPr>
            </w:pPr>
            <w:r>
              <w:t>83</w:t>
            </w:r>
          </w:p>
        </w:tc>
        <w:tc>
          <w:tcPr>
            <w:tcW w:w="709" w:type="dxa"/>
            <w:tcBorders>
              <w:top w:val="nil"/>
              <w:left w:val="nil"/>
              <w:right w:val="nil"/>
            </w:tcBorders>
          </w:tcPr>
          <w:p w14:paraId="35CD8800" w14:textId="77777777" w:rsidR="00753A1F" w:rsidRPr="008A26E8" w:rsidRDefault="00753A1F" w:rsidP="00497F1D">
            <w:pPr>
              <w:pStyle w:val="TableText"/>
              <w:tabs>
                <w:tab w:val="decimal" w:pos="510"/>
              </w:tabs>
              <w:spacing w:before="55" w:after="55"/>
              <w:jc w:val="center"/>
              <w:rPr>
                <w:rFonts w:cs="Segoe UI"/>
              </w:rPr>
            </w:pPr>
            <w:r>
              <w:t>11</w:t>
            </w:r>
          </w:p>
        </w:tc>
        <w:tc>
          <w:tcPr>
            <w:tcW w:w="709" w:type="dxa"/>
            <w:tcBorders>
              <w:top w:val="nil"/>
              <w:left w:val="nil"/>
            </w:tcBorders>
          </w:tcPr>
          <w:p w14:paraId="28E73165" w14:textId="77777777" w:rsidR="00753A1F" w:rsidRPr="008A26E8" w:rsidRDefault="00753A1F" w:rsidP="00497F1D">
            <w:pPr>
              <w:pStyle w:val="TableText"/>
              <w:tabs>
                <w:tab w:val="decimal" w:pos="454"/>
              </w:tabs>
              <w:spacing w:before="55" w:after="55"/>
              <w:jc w:val="center"/>
              <w:rPr>
                <w:rFonts w:cs="Segoe UI"/>
              </w:rPr>
            </w:pPr>
            <w:r>
              <w:t xml:space="preserve"> 2 </w:t>
            </w:r>
          </w:p>
        </w:tc>
        <w:tc>
          <w:tcPr>
            <w:tcW w:w="426" w:type="dxa"/>
            <w:tcBorders>
              <w:top w:val="nil"/>
              <w:bottom w:val="nil"/>
            </w:tcBorders>
            <w:shd w:val="clear" w:color="auto" w:fill="auto"/>
          </w:tcPr>
          <w:p w14:paraId="485EB320" w14:textId="77777777" w:rsidR="00753A1F" w:rsidRPr="008A26E8" w:rsidRDefault="00753A1F" w:rsidP="00497F1D">
            <w:pPr>
              <w:pStyle w:val="TableText"/>
              <w:tabs>
                <w:tab w:val="decimal" w:pos="636"/>
              </w:tabs>
              <w:spacing w:before="55" w:after="55"/>
              <w:rPr>
                <w:rFonts w:cs="Segoe UI"/>
              </w:rPr>
            </w:pPr>
          </w:p>
        </w:tc>
        <w:tc>
          <w:tcPr>
            <w:tcW w:w="1830" w:type="dxa"/>
            <w:tcBorders>
              <w:top w:val="nil"/>
            </w:tcBorders>
          </w:tcPr>
          <w:p w14:paraId="740ABEBE" w14:textId="77777777" w:rsidR="00753A1F" w:rsidRPr="008A26E8" w:rsidRDefault="00753A1F" w:rsidP="00497F1D">
            <w:pPr>
              <w:pStyle w:val="TableText"/>
              <w:spacing w:before="55" w:after="55"/>
              <w:jc w:val="both"/>
              <w:rPr>
                <w:rFonts w:cs="Segoe UI"/>
              </w:rPr>
            </w:pPr>
            <w:r w:rsidRPr="008A26E8">
              <w:rPr>
                <w:rFonts w:cs="Segoe UI"/>
              </w:rPr>
              <w:t>Wairarapa</w:t>
            </w:r>
          </w:p>
        </w:tc>
        <w:tc>
          <w:tcPr>
            <w:tcW w:w="627" w:type="dxa"/>
            <w:tcBorders>
              <w:top w:val="nil"/>
            </w:tcBorders>
          </w:tcPr>
          <w:p w14:paraId="5B448358" w14:textId="77777777" w:rsidR="00753A1F" w:rsidRPr="008A26E8" w:rsidRDefault="00753A1F" w:rsidP="00497F1D">
            <w:pPr>
              <w:pStyle w:val="TableText"/>
              <w:tabs>
                <w:tab w:val="decimal" w:pos="454"/>
              </w:tabs>
              <w:spacing w:before="55" w:after="55"/>
              <w:jc w:val="center"/>
              <w:rPr>
                <w:rFonts w:cs="Segoe UI"/>
              </w:rPr>
            </w:pPr>
            <w:r>
              <w:t>88</w:t>
            </w:r>
          </w:p>
        </w:tc>
        <w:tc>
          <w:tcPr>
            <w:tcW w:w="615" w:type="dxa"/>
            <w:tcBorders>
              <w:top w:val="nil"/>
            </w:tcBorders>
          </w:tcPr>
          <w:p w14:paraId="6E6FBEC7" w14:textId="77777777" w:rsidR="00753A1F" w:rsidRPr="008A26E8" w:rsidRDefault="00753A1F" w:rsidP="00497F1D">
            <w:pPr>
              <w:pStyle w:val="TableText"/>
              <w:tabs>
                <w:tab w:val="decimal" w:pos="454"/>
              </w:tabs>
              <w:spacing w:before="55" w:after="55"/>
              <w:jc w:val="center"/>
              <w:rPr>
                <w:rFonts w:cs="Segoe UI"/>
              </w:rPr>
            </w:pPr>
            <w:r>
              <w:t>7</w:t>
            </w:r>
          </w:p>
        </w:tc>
        <w:tc>
          <w:tcPr>
            <w:tcW w:w="615" w:type="dxa"/>
            <w:tcBorders>
              <w:top w:val="nil"/>
            </w:tcBorders>
          </w:tcPr>
          <w:p w14:paraId="4FF6C324" w14:textId="77777777" w:rsidR="00753A1F" w:rsidRPr="008A26E8" w:rsidRDefault="00753A1F" w:rsidP="00497F1D">
            <w:pPr>
              <w:pStyle w:val="TableText"/>
              <w:spacing w:before="55" w:after="55"/>
              <w:jc w:val="center"/>
              <w:rPr>
                <w:rFonts w:cs="Segoe UI"/>
              </w:rPr>
            </w:pPr>
            <w:r w:rsidRPr="00501296">
              <w:t>2</w:t>
            </w:r>
          </w:p>
        </w:tc>
      </w:tr>
      <w:tr w:rsidR="00753A1F" w:rsidRPr="00200234" w14:paraId="00BB854E" w14:textId="77777777" w:rsidTr="00497F1D">
        <w:trPr>
          <w:cantSplit/>
          <w:trHeight w:val="300"/>
        </w:trPr>
        <w:tc>
          <w:tcPr>
            <w:tcW w:w="1843" w:type="dxa"/>
            <w:tcBorders>
              <w:top w:val="nil"/>
              <w:right w:val="nil"/>
            </w:tcBorders>
          </w:tcPr>
          <w:p w14:paraId="19DD287E" w14:textId="77777777" w:rsidR="00753A1F" w:rsidRPr="008A26E8" w:rsidRDefault="00753A1F" w:rsidP="00497F1D">
            <w:pPr>
              <w:pStyle w:val="TableText"/>
              <w:spacing w:before="55" w:after="55"/>
              <w:rPr>
                <w:rFonts w:cs="Segoe UI"/>
              </w:rPr>
            </w:pPr>
            <w:r w:rsidRPr="008A26E8">
              <w:rPr>
                <w:rFonts w:cs="Segoe UI"/>
              </w:rPr>
              <w:t>Lakes</w:t>
            </w:r>
          </w:p>
        </w:tc>
        <w:tc>
          <w:tcPr>
            <w:tcW w:w="708" w:type="dxa"/>
            <w:tcBorders>
              <w:top w:val="nil"/>
              <w:left w:val="nil"/>
              <w:right w:val="nil"/>
            </w:tcBorders>
          </w:tcPr>
          <w:p w14:paraId="54673813" w14:textId="77777777" w:rsidR="00753A1F" w:rsidRPr="008A26E8" w:rsidRDefault="00753A1F" w:rsidP="00497F1D">
            <w:pPr>
              <w:pStyle w:val="TableText"/>
              <w:tabs>
                <w:tab w:val="decimal" w:pos="510"/>
              </w:tabs>
              <w:spacing w:before="55" w:after="55"/>
              <w:jc w:val="center"/>
              <w:rPr>
                <w:rFonts w:cs="Segoe UI"/>
              </w:rPr>
            </w:pPr>
            <w:r>
              <w:t>80</w:t>
            </w:r>
          </w:p>
        </w:tc>
        <w:tc>
          <w:tcPr>
            <w:tcW w:w="709" w:type="dxa"/>
            <w:tcBorders>
              <w:top w:val="nil"/>
              <w:left w:val="nil"/>
              <w:right w:val="nil"/>
            </w:tcBorders>
          </w:tcPr>
          <w:p w14:paraId="16DF03A0" w14:textId="77777777" w:rsidR="00753A1F" w:rsidRPr="008A26E8" w:rsidRDefault="00753A1F" w:rsidP="00497F1D">
            <w:pPr>
              <w:pStyle w:val="TableText"/>
              <w:tabs>
                <w:tab w:val="decimal" w:pos="510"/>
              </w:tabs>
              <w:spacing w:before="55" w:after="55"/>
              <w:jc w:val="center"/>
              <w:rPr>
                <w:rFonts w:cs="Segoe UI"/>
              </w:rPr>
            </w:pPr>
            <w:r>
              <w:t>5</w:t>
            </w:r>
          </w:p>
        </w:tc>
        <w:tc>
          <w:tcPr>
            <w:tcW w:w="709" w:type="dxa"/>
            <w:tcBorders>
              <w:top w:val="nil"/>
              <w:left w:val="nil"/>
            </w:tcBorders>
          </w:tcPr>
          <w:p w14:paraId="049AD8FC" w14:textId="77777777" w:rsidR="00753A1F" w:rsidRPr="008A26E8" w:rsidRDefault="00753A1F" w:rsidP="00497F1D">
            <w:pPr>
              <w:pStyle w:val="TableText"/>
              <w:tabs>
                <w:tab w:val="decimal" w:pos="454"/>
              </w:tabs>
              <w:spacing w:before="55" w:after="55"/>
              <w:jc w:val="center"/>
              <w:rPr>
                <w:rFonts w:cs="Segoe UI"/>
              </w:rPr>
            </w:pPr>
            <w:r>
              <w:t>2</w:t>
            </w:r>
          </w:p>
        </w:tc>
        <w:tc>
          <w:tcPr>
            <w:tcW w:w="426" w:type="dxa"/>
            <w:tcBorders>
              <w:top w:val="nil"/>
              <w:bottom w:val="nil"/>
            </w:tcBorders>
            <w:shd w:val="clear" w:color="auto" w:fill="auto"/>
          </w:tcPr>
          <w:p w14:paraId="4382F671" w14:textId="77777777" w:rsidR="00753A1F" w:rsidRPr="008A26E8" w:rsidRDefault="00753A1F" w:rsidP="00497F1D">
            <w:pPr>
              <w:pStyle w:val="TableText"/>
              <w:tabs>
                <w:tab w:val="decimal" w:pos="636"/>
              </w:tabs>
              <w:spacing w:before="55" w:after="55"/>
              <w:rPr>
                <w:rFonts w:cs="Segoe UI"/>
              </w:rPr>
            </w:pPr>
          </w:p>
        </w:tc>
        <w:tc>
          <w:tcPr>
            <w:tcW w:w="1830" w:type="dxa"/>
            <w:tcBorders>
              <w:top w:val="nil"/>
            </w:tcBorders>
          </w:tcPr>
          <w:p w14:paraId="12351E0D" w14:textId="77777777" w:rsidR="00753A1F" w:rsidRPr="008A26E8" w:rsidRDefault="00753A1F" w:rsidP="00497F1D">
            <w:pPr>
              <w:pStyle w:val="TableText"/>
              <w:spacing w:before="55" w:after="55"/>
              <w:jc w:val="both"/>
              <w:rPr>
                <w:rFonts w:cs="Segoe UI"/>
              </w:rPr>
            </w:pPr>
            <w:r w:rsidRPr="008A26E8">
              <w:rPr>
                <w:rFonts w:cs="Segoe UI"/>
              </w:rPr>
              <w:t>Waitematā</w:t>
            </w:r>
          </w:p>
        </w:tc>
        <w:tc>
          <w:tcPr>
            <w:tcW w:w="627" w:type="dxa"/>
            <w:tcBorders>
              <w:top w:val="nil"/>
            </w:tcBorders>
          </w:tcPr>
          <w:p w14:paraId="1ACE99C3" w14:textId="77777777" w:rsidR="00753A1F" w:rsidRPr="008A26E8" w:rsidRDefault="00753A1F" w:rsidP="00497F1D">
            <w:pPr>
              <w:pStyle w:val="TableText"/>
              <w:tabs>
                <w:tab w:val="decimal" w:pos="454"/>
              </w:tabs>
              <w:spacing w:before="55" w:after="55"/>
              <w:jc w:val="center"/>
              <w:rPr>
                <w:rFonts w:cs="Segoe UI"/>
              </w:rPr>
            </w:pPr>
            <w:r>
              <w:t>85</w:t>
            </w:r>
          </w:p>
        </w:tc>
        <w:tc>
          <w:tcPr>
            <w:tcW w:w="615" w:type="dxa"/>
            <w:tcBorders>
              <w:top w:val="nil"/>
            </w:tcBorders>
          </w:tcPr>
          <w:p w14:paraId="02ED9ACC" w14:textId="77777777" w:rsidR="00753A1F" w:rsidRPr="008A26E8" w:rsidRDefault="00753A1F" w:rsidP="00497F1D">
            <w:pPr>
              <w:pStyle w:val="TableText"/>
              <w:tabs>
                <w:tab w:val="decimal" w:pos="454"/>
              </w:tabs>
              <w:spacing w:before="55" w:after="55"/>
              <w:jc w:val="center"/>
              <w:rPr>
                <w:rFonts w:cs="Segoe UI"/>
              </w:rPr>
            </w:pPr>
            <w:r>
              <w:t>10</w:t>
            </w:r>
          </w:p>
        </w:tc>
        <w:tc>
          <w:tcPr>
            <w:tcW w:w="615" w:type="dxa"/>
            <w:tcBorders>
              <w:top w:val="nil"/>
            </w:tcBorders>
          </w:tcPr>
          <w:p w14:paraId="70582620" w14:textId="77777777" w:rsidR="00753A1F" w:rsidRPr="008A26E8" w:rsidRDefault="00753A1F" w:rsidP="00497F1D">
            <w:pPr>
              <w:pStyle w:val="TableText"/>
              <w:spacing w:before="55" w:after="55"/>
              <w:jc w:val="center"/>
            </w:pPr>
            <w:r>
              <w:t>1</w:t>
            </w:r>
          </w:p>
        </w:tc>
      </w:tr>
      <w:tr w:rsidR="00753A1F" w:rsidRPr="00200234" w14:paraId="298B20D5" w14:textId="77777777" w:rsidTr="00497F1D">
        <w:trPr>
          <w:cantSplit/>
          <w:trHeight w:val="300"/>
        </w:trPr>
        <w:tc>
          <w:tcPr>
            <w:tcW w:w="1843" w:type="dxa"/>
            <w:tcBorders>
              <w:top w:val="nil"/>
              <w:right w:val="nil"/>
            </w:tcBorders>
          </w:tcPr>
          <w:p w14:paraId="34F5A620" w14:textId="77777777" w:rsidR="00753A1F" w:rsidRPr="008A26E8" w:rsidRDefault="00753A1F" w:rsidP="00497F1D">
            <w:pPr>
              <w:pStyle w:val="TableText"/>
              <w:spacing w:before="55" w:after="55"/>
              <w:rPr>
                <w:rFonts w:cs="Segoe UI"/>
              </w:rPr>
            </w:pPr>
            <w:r w:rsidRPr="008A26E8">
              <w:rPr>
                <w:rFonts w:cs="Segoe UI"/>
              </w:rPr>
              <w:t>MidCentral</w:t>
            </w:r>
          </w:p>
        </w:tc>
        <w:tc>
          <w:tcPr>
            <w:tcW w:w="708" w:type="dxa"/>
            <w:tcBorders>
              <w:top w:val="nil"/>
              <w:left w:val="nil"/>
              <w:right w:val="nil"/>
            </w:tcBorders>
          </w:tcPr>
          <w:p w14:paraId="4EF2FA95" w14:textId="77777777" w:rsidR="00753A1F" w:rsidRPr="008A26E8" w:rsidRDefault="00753A1F" w:rsidP="00497F1D">
            <w:pPr>
              <w:pStyle w:val="TableText"/>
              <w:tabs>
                <w:tab w:val="decimal" w:pos="510"/>
              </w:tabs>
              <w:spacing w:before="55" w:after="55"/>
              <w:jc w:val="center"/>
              <w:rPr>
                <w:rFonts w:cs="Segoe UI"/>
              </w:rPr>
            </w:pPr>
            <w:r>
              <w:t>127</w:t>
            </w:r>
          </w:p>
        </w:tc>
        <w:tc>
          <w:tcPr>
            <w:tcW w:w="709" w:type="dxa"/>
            <w:tcBorders>
              <w:top w:val="nil"/>
              <w:left w:val="nil"/>
              <w:right w:val="nil"/>
            </w:tcBorders>
          </w:tcPr>
          <w:p w14:paraId="5A840D1E" w14:textId="77777777" w:rsidR="00753A1F" w:rsidRPr="008A26E8" w:rsidRDefault="00753A1F" w:rsidP="00497F1D">
            <w:pPr>
              <w:pStyle w:val="TableText"/>
              <w:tabs>
                <w:tab w:val="decimal" w:pos="510"/>
              </w:tabs>
              <w:spacing w:before="55" w:after="55"/>
              <w:jc w:val="center"/>
              <w:rPr>
                <w:rFonts w:cs="Segoe UI"/>
              </w:rPr>
            </w:pPr>
            <w:r>
              <w:t>12</w:t>
            </w:r>
          </w:p>
        </w:tc>
        <w:tc>
          <w:tcPr>
            <w:tcW w:w="709" w:type="dxa"/>
            <w:tcBorders>
              <w:top w:val="nil"/>
              <w:left w:val="nil"/>
            </w:tcBorders>
          </w:tcPr>
          <w:p w14:paraId="16F8181C" w14:textId="77777777" w:rsidR="00753A1F" w:rsidRPr="008A26E8" w:rsidRDefault="00753A1F" w:rsidP="00497F1D">
            <w:pPr>
              <w:pStyle w:val="TableText"/>
              <w:tabs>
                <w:tab w:val="decimal" w:pos="454"/>
              </w:tabs>
              <w:spacing w:before="55" w:after="55"/>
              <w:jc w:val="center"/>
              <w:rPr>
                <w:rFonts w:cs="Segoe UI"/>
              </w:rPr>
            </w:pPr>
            <w:r>
              <w:t>3</w:t>
            </w:r>
          </w:p>
        </w:tc>
        <w:tc>
          <w:tcPr>
            <w:tcW w:w="426" w:type="dxa"/>
            <w:tcBorders>
              <w:top w:val="nil"/>
              <w:bottom w:val="nil"/>
            </w:tcBorders>
            <w:shd w:val="clear" w:color="auto" w:fill="auto"/>
          </w:tcPr>
          <w:p w14:paraId="46C1A657" w14:textId="77777777" w:rsidR="00753A1F" w:rsidRPr="008A26E8" w:rsidRDefault="00753A1F" w:rsidP="00497F1D">
            <w:pPr>
              <w:pStyle w:val="TableText"/>
              <w:tabs>
                <w:tab w:val="decimal" w:pos="636"/>
              </w:tabs>
              <w:spacing w:before="55" w:after="55"/>
              <w:rPr>
                <w:rFonts w:cs="Segoe UI"/>
              </w:rPr>
            </w:pPr>
          </w:p>
        </w:tc>
        <w:tc>
          <w:tcPr>
            <w:tcW w:w="1830" w:type="dxa"/>
            <w:tcBorders>
              <w:top w:val="nil"/>
            </w:tcBorders>
          </w:tcPr>
          <w:p w14:paraId="0E172BFA" w14:textId="77777777" w:rsidR="00753A1F" w:rsidRPr="008A26E8" w:rsidRDefault="00753A1F" w:rsidP="00497F1D">
            <w:pPr>
              <w:pStyle w:val="TableText"/>
              <w:spacing w:before="55" w:after="55"/>
              <w:jc w:val="both"/>
              <w:rPr>
                <w:rFonts w:cs="Segoe UI"/>
              </w:rPr>
            </w:pPr>
            <w:r w:rsidRPr="008A26E8">
              <w:rPr>
                <w:rFonts w:cs="Segoe UI"/>
              </w:rPr>
              <w:t>West Coast</w:t>
            </w:r>
          </w:p>
        </w:tc>
        <w:tc>
          <w:tcPr>
            <w:tcW w:w="627" w:type="dxa"/>
            <w:tcBorders>
              <w:top w:val="nil"/>
            </w:tcBorders>
          </w:tcPr>
          <w:p w14:paraId="29FEDD87" w14:textId="77777777" w:rsidR="00753A1F" w:rsidRPr="008A26E8" w:rsidRDefault="00753A1F" w:rsidP="00497F1D">
            <w:pPr>
              <w:pStyle w:val="TableText"/>
              <w:tabs>
                <w:tab w:val="decimal" w:pos="454"/>
              </w:tabs>
              <w:spacing w:before="55" w:after="55"/>
              <w:jc w:val="center"/>
            </w:pPr>
            <w:r>
              <w:t>80</w:t>
            </w:r>
          </w:p>
        </w:tc>
        <w:tc>
          <w:tcPr>
            <w:tcW w:w="615" w:type="dxa"/>
            <w:tcBorders>
              <w:top w:val="nil"/>
            </w:tcBorders>
          </w:tcPr>
          <w:p w14:paraId="3185575D" w14:textId="77777777" w:rsidR="00753A1F" w:rsidRPr="008A26E8" w:rsidRDefault="00753A1F" w:rsidP="00497F1D">
            <w:pPr>
              <w:pStyle w:val="TableText"/>
              <w:tabs>
                <w:tab w:val="decimal" w:pos="454"/>
              </w:tabs>
              <w:spacing w:before="55" w:after="55"/>
              <w:jc w:val="center"/>
              <w:rPr>
                <w:rFonts w:cs="Segoe UI"/>
              </w:rPr>
            </w:pPr>
            <w:r>
              <w:t>4</w:t>
            </w:r>
          </w:p>
        </w:tc>
        <w:tc>
          <w:tcPr>
            <w:tcW w:w="615" w:type="dxa"/>
            <w:tcBorders>
              <w:top w:val="nil"/>
            </w:tcBorders>
          </w:tcPr>
          <w:p w14:paraId="63756406" w14:textId="77777777" w:rsidR="00753A1F" w:rsidRPr="008A26E8" w:rsidRDefault="00753A1F" w:rsidP="00497F1D">
            <w:pPr>
              <w:pStyle w:val="TableText"/>
              <w:spacing w:before="55" w:after="55"/>
              <w:jc w:val="center"/>
              <w:rPr>
                <w:rFonts w:cs="Segoe UI"/>
              </w:rPr>
            </w:pPr>
            <w:r w:rsidRPr="008A26E8">
              <w:t>1</w:t>
            </w:r>
          </w:p>
        </w:tc>
      </w:tr>
      <w:tr w:rsidR="00753A1F" w:rsidRPr="00200234" w14:paraId="0FF3B3F1" w14:textId="77777777" w:rsidTr="00497F1D">
        <w:trPr>
          <w:cantSplit/>
          <w:trHeight w:val="300"/>
        </w:trPr>
        <w:tc>
          <w:tcPr>
            <w:tcW w:w="1843" w:type="dxa"/>
            <w:tcBorders>
              <w:top w:val="nil"/>
              <w:bottom w:val="single" w:sz="4" w:space="0" w:color="A6A6A6" w:themeColor="background1" w:themeShade="A6"/>
              <w:right w:val="nil"/>
            </w:tcBorders>
          </w:tcPr>
          <w:p w14:paraId="59775F5F" w14:textId="77777777" w:rsidR="00753A1F" w:rsidRPr="008A26E8" w:rsidRDefault="00753A1F" w:rsidP="00497F1D">
            <w:pPr>
              <w:pStyle w:val="TableText"/>
              <w:spacing w:before="55" w:after="55"/>
              <w:rPr>
                <w:rFonts w:cs="Segoe UI"/>
              </w:rPr>
            </w:pPr>
            <w:r w:rsidRPr="008A26E8">
              <w:rPr>
                <w:rFonts w:cs="Segoe UI"/>
              </w:rPr>
              <w:t>Nelson Marlborough</w:t>
            </w:r>
          </w:p>
        </w:tc>
        <w:tc>
          <w:tcPr>
            <w:tcW w:w="708" w:type="dxa"/>
            <w:tcBorders>
              <w:top w:val="nil"/>
              <w:left w:val="nil"/>
              <w:bottom w:val="single" w:sz="4" w:space="0" w:color="A6A6A6" w:themeColor="background1" w:themeShade="A6"/>
              <w:right w:val="nil"/>
            </w:tcBorders>
          </w:tcPr>
          <w:p w14:paraId="5392B11A" w14:textId="77777777" w:rsidR="00753A1F" w:rsidRPr="008A26E8" w:rsidRDefault="00753A1F" w:rsidP="00497F1D">
            <w:pPr>
              <w:pStyle w:val="TableText"/>
              <w:tabs>
                <w:tab w:val="decimal" w:pos="510"/>
              </w:tabs>
              <w:spacing w:before="55" w:after="55"/>
              <w:jc w:val="center"/>
              <w:rPr>
                <w:rFonts w:cs="Segoe UI"/>
              </w:rPr>
            </w:pPr>
            <w:r>
              <w:t>71</w:t>
            </w:r>
          </w:p>
        </w:tc>
        <w:tc>
          <w:tcPr>
            <w:tcW w:w="709" w:type="dxa"/>
            <w:tcBorders>
              <w:top w:val="nil"/>
              <w:left w:val="nil"/>
              <w:bottom w:val="single" w:sz="4" w:space="0" w:color="A6A6A6" w:themeColor="background1" w:themeShade="A6"/>
              <w:right w:val="nil"/>
            </w:tcBorders>
          </w:tcPr>
          <w:p w14:paraId="3DA11A5F" w14:textId="77777777" w:rsidR="00753A1F" w:rsidRPr="008A26E8" w:rsidRDefault="00753A1F" w:rsidP="00497F1D">
            <w:pPr>
              <w:pStyle w:val="TableText"/>
              <w:tabs>
                <w:tab w:val="decimal" w:pos="510"/>
              </w:tabs>
              <w:spacing w:before="55" w:after="55"/>
              <w:jc w:val="center"/>
              <w:rPr>
                <w:rFonts w:cs="Segoe UI"/>
              </w:rPr>
            </w:pPr>
            <w:r>
              <w:t>6</w:t>
            </w:r>
          </w:p>
        </w:tc>
        <w:tc>
          <w:tcPr>
            <w:tcW w:w="709" w:type="dxa"/>
            <w:tcBorders>
              <w:top w:val="nil"/>
              <w:left w:val="nil"/>
              <w:bottom w:val="single" w:sz="4" w:space="0" w:color="A6A6A6" w:themeColor="background1" w:themeShade="A6"/>
            </w:tcBorders>
          </w:tcPr>
          <w:p w14:paraId="687D85E0" w14:textId="77777777" w:rsidR="00753A1F" w:rsidRPr="008A26E8" w:rsidRDefault="00753A1F" w:rsidP="00497F1D">
            <w:pPr>
              <w:pStyle w:val="TableText"/>
              <w:tabs>
                <w:tab w:val="decimal" w:pos="454"/>
              </w:tabs>
              <w:spacing w:before="55" w:after="55"/>
              <w:jc w:val="center"/>
              <w:rPr>
                <w:rFonts w:cs="Segoe UI"/>
              </w:rPr>
            </w:pPr>
            <w:r>
              <w:t>0</w:t>
            </w:r>
          </w:p>
        </w:tc>
        <w:tc>
          <w:tcPr>
            <w:tcW w:w="426" w:type="dxa"/>
            <w:tcBorders>
              <w:top w:val="nil"/>
              <w:bottom w:val="nil"/>
            </w:tcBorders>
            <w:shd w:val="clear" w:color="auto" w:fill="auto"/>
          </w:tcPr>
          <w:p w14:paraId="3285DAA3" w14:textId="77777777" w:rsidR="00753A1F" w:rsidRPr="008A26E8" w:rsidRDefault="00753A1F" w:rsidP="00497F1D">
            <w:pPr>
              <w:pStyle w:val="TableText"/>
              <w:tabs>
                <w:tab w:val="decimal" w:pos="636"/>
              </w:tabs>
              <w:spacing w:before="55" w:after="55"/>
              <w:rPr>
                <w:rFonts w:cs="Segoe UI"/>
              </w:rPr>
            </w:pPr>
          </w:p>
        </w:tc>
        <w:tc>
          <w:tcPr>
            <w:tcW w:w="1830" w:type="dxa"/>
            <w:tcBorders>
              <w:top w:val="nil"/>
            </w:tcBorders>
          </w:tcPr>
          <w:p w14:paraId="54216725" w14:textId="77777777" w:rsidR="00753A1F" w:rsidRPr="008A26E8" w:rsidRDefault="00753A1F" w:rsidP="00497F1D">
            <w:pPr>
              <w:pStyle w:val="TableText"/>
              <w:spacing w:before="55" w:after="55"/>
              <w:jc w:val="both"/>
              <w:rPr>
                <w:rFonts w:cs="Segoe UI"/>
              </w:rPr>
            </w:pPr>
            <w:r w:rsidRPr="008A26E8">
              <w:rPr>
                <w:rFonts w:cs="Segoe UI"/>
              </w:rPr>
              <w:t>Whanganui</w:t>
            </w:r>
          </w:p>
        </w:tc>
        <w:tc>
          <w:tcPr>
            <w:tcW w:w="627" w:type="dxa"/>
            <w:tcBorders>
              <w:top w:val="nil"/>
            </w:tcBorders>
          </w:tcPr>
          <w:p w14:paraId="207EDEAB" w14:textId="77777777" w:rsidR="00753A1F" w:rsidRPr="008A26E8" w:rsidRDefault="00753A1F" w:rsidP="00497F1D">
            <w:pPr>
              <w:pStyle w:val="TableText"/>
              <w:tabs>
                <w:tab w:val="decimal" w:pos="454"/>
              </w:tabs>
              <w:spacing w:before="55" w:after="55"/>
              <w:jc w:val="center"/>
              <w:rPr>
                <w:rFonts w:cs="Segoe UI"/>
              </w:rPr>
            </w:pPr>
            <w:r>
              <w:t>128</w:t>
            </w:r>
          </w:p>
        </w:tc>
        <w:tc>
          <w:tcPr>
            <w:tcW w:w="615" w:type="dxa"/>
            <w:tcBorders>
              <w:top w:val="nil"/>
            </w:tcBorders>
          </w:tcPr>
          <w:p w14:paraId="3E3112FF" w14:textId="77777777" w:rsidR="00753A1F" w:rsidRPr="008A26E8" w:rsidRDefault="00753A1F" w:rsidP="00497F1D">
            <w:pPr>
              <w:pStyle w:val="TableText"/>
              <w:tabs>
                <w:tab w:val="decimal" w:pos="454"/>
              </w:tabs>
              <w:spacing w:before="55" w:after="55"/>
              <w:jc w:val="center"/>
              <w:rPr>
                <w:rFonts w:cs="Segoe UI"/>
              </w:rPr>
            </w:pPr>
            <w:r>
              <w:t>28</w:t>
            </w:r>
          </w:p>
        </w:tc>
        <w:tc>
          <w:tcPr>
            <w:tcW w:w="615" w:type="dxa"/>
            <w:tcBorders>
              <w:top w:val="nil"/>
            </w:tcBorders>
          </w:tcPr>
          <w:p w14:paraId="7BB2A869" w14:textId="77777777" w:rsidR="00753A1F" w:rsidRPr="008A26E8" w:rsidRDefault="00753A1F" w:rsidP="00497F1D">
            <w:pPr>
              <w:pStyle w:val="TableText"/>
              <w:spacing w:before="55" w:after="55"/>
              <w:jc w:val="center"/>
              <w:rPr>
                <w:rFonts w:cs="Segoe UI"/>
              </w:rPr>
            </w:pPr>
            <w:r w:rsidRPr="00501296">
              <w:t>3</w:t>
            </w:r>
          </w:p>
        </w:tc>
      </w:tr>
      <w:tr w:rsidR="00753A1F" w:rsidRPr="00200234" w14:paraId="643093E2" w14:textId="77777777" w:rsidTr="00497F1D">
        <w:trPr>
          <w:cantSplit/>
          <w:trHeight w:val="300"/>
        </w:trPr>
        <w:tc>
          <w:tcPr>
            <w:tcW w:w="1843" w:type="dxa"/>
            <w:tcBorders>
              <w:top w:val="single" w:sz="4" w:space="0" w:color="A6A6A6" w:themeColor="background1" w:themeShade="A6"/>
              <w:bottom w:val="nil"/>
              <w:right w:val="nil"/>
            </w:tcBorders>
          </w:tcPr>
          <w:p w14:paraId="134AD854" w14:textId="77777777" w:rsidR="00753A1F" w:rsidRPr="008A26E8" w:rsidRDefault="00753A1F" w:rsidP="00497F1D">
            <w:pPr>
              <w:pStyle w:val="TableText"/>
              <w:spacing w:before="55" w:after="55"/>
              <w:rPr>
                <w:rFonts w:cs="Segoe UI"/>
              </w:rPr>
            </w:pPr>
          </w:p>
        </w:tc>
        <w:tc>
          <w:tcPr>
            <w:tcW w:w="708" w:type="dxa"/>
            <w:tcBorders>
              <w:top w:val="single" w:sz="4" w:space="0" w:color="A6A6A6" w:themeColor="background1" w:themeShade="A6"/>
              <w:left w:val="nil"/>
              <w:bottom w:val="nil"/>
              <w:right w:val="nil"/>
            </w:tcBorders>
          </w:tcPr>
          <w:p w14:paraId="3959D5B3" w14:textId="77777777" w:rsidR="00753A1F" w:rsidRPr="008A26E8" w:rsidRDefault="00753A1F" w:rsidP="00497F1D">
            <w:pPr>
              <w:pStyle w:val="TableText"/>
              <w:tabs>
                <w:tab w:val="decimal" w:pos="636"/>
              </w:tabs>
              <w:spacing w:before="55" w:after="55"/>
              <w:rPr>
                <w:rFonts w:cs="Segoe UI"/>
              </w:rPr>
            </w:pPr>
          </w:p>
        </w:tc>
        <w:tc>
          <w:tcPr>
            <w:tcW w:w="709" w:type="dxa"/>
            <w:tcBorders>
              <w:top w:val="single" w:sz="4" w:space="0" w:color="A6A6A6" w:themeColor="background1" w:themeShade="A6"/>
              <w:left w:val="nil"/>
              <w:bottom w:val="nil"/>
              <w:right w:val="nil"/>
            </w:tcBorders>
          </w:tcPr>
          <w:p w14:paraId="4667FCEF" w14:textId="77777777" w:rsidR="00753A1F" w:rsidRPr="008A26E8" w:rsidRDefault="00753A1F" w:rsidP="00497F1D">
            <w:pPr>
              <w:pStyle w:val="TableText"/>
              <w:tabs>
                <w:tab w:val="decimal" w:pos="636"/>
              </w:tabs>
              <w:spacing w:before="55" w:after="55"/>
              <w:rPr>
                <w:rFonts w:cs="Segoe UI"/>
              </w:rPr>
            </w:pPr>
          </w:p>
        </w:tc>
        <w:tc>
          <w:tcPr>
            <w:tcW w:w="709" w:type="dxa"/>
            <w:tcBorders>
              <w:top w:val="single" w:sz="4" w:space="0" w:color="A6A6A6" w:themeColor="background1" w:themeShade="A6"/>
              <w:left w:val="nil"/>
              <w:bottom w:val="nil"/>
            </w:tcBorders>
          </w:tcPr>
          <w:p w14:paraId="1E5F2C8D" w14:textId="77777777" w:rsidR="00753A1F" w:rsidRPr="008A26E8" w:rsidRDefault="00753A1F" w:rsidP="00497F1D">
            <w:pPr>
              <w:pStyle w:val="TableText"/>
              <w:tabs>
                <w:tab w:val="decimal" w:pos="636"/>
              </w:tabs>
              <w:spacing w:before="55" w:after="55"/>
              <w:rPr>
                <w:rFonts w:cs="Segoe UI"/>
              </w:rPr>
            </w:pPr>
          </w:p>
        </w:tc>
        <w:tc>
          <w:tcPr>
            <w:tcW w:w="426" w:type="dxa"/>
            <w:tcBorders>
              <w:top w:val="nil"/>
              <w:bottom w:val="nil"/>
            </w:tcBorders>
            <w:shd w:val="clear" w:color="auto" w:fill="auto"/>
          </w:tcPr>
          <w:p w14:paraId="443CDAE4" w14:textId="77777777" w:rsidR="00753A1F" w:rsidRPr="008A26E8" w:rsidRDefault="00753A1F" w:rsidP="00497F1D">
            <w:pPr>
              <w:pStyle w:val="TableText"/>
              <w:tabs>
                <w:tab w:val="decimal" w:pos="636"/>
              </w:tabs>
              <w:spacing w:before="55" w:after="55"/>
              <w:rPr>
                <w:rFonts w:cs="Segoe UI"/>
              </w:rPr>
            </w:pPr>
          </w:p>
        </w:tc>
        <w:tc>
          <w:tcPr>
            <w:tcW w:w="1830" w:type="dxa"/>
            <w:tcBorders>
              <w:top w:val="nil"/>
            </w:tcBorders>
          </w:tcPr>
          <w:p w14:paraId="6DA6231C" w14:textId="77777777" w:rsidR="00753A1F" w:rsidRPr="008A26E8" w:rsidRDefault="00753A1F" w:rsidP="00497F1D">
            <w:pPr>
              <w:pStyle w:val="TableText"/>
              <w:spacing w:before="55" w:after="55"/>
              <w:jc w:val="both"/>
              <w:rPr>
                <w:rFonts w:cs="Segoe UI"/>
                <w:b/>
              </w:rPr>
            </w:pPr>
            <w:r w:rsidRPr="008A26E8">
              <w:rPr>
                <w:rFonts w:cs="Segoe UI"/>
                <w:b/>
              </w:rPr>
              <w:t>National average</w:t>
            </w:r>
          </w:p>
        </w:tc>
        <w:tc>
          <w:tcPr>
            <w:tcW w:w="627" w:type="dxa"/>
            <w:tcBorders>
              <w:top w:val="nil"/>
            </w:tcBorders>
          </w:tcPr>
          <w:p w14:paraId="199DD18D" w14:textId="77777777" w:rsidR="00753A1F" w:rsidRPr="008A26E8" w:rsidRDefault="00753A1F" w:rsidP="00497F1D">
            <w:pPr>
              <w:pStyle w:val="TableText"/>
              <w:tabs>
                <w:tab w:val="decimal" w:pos="454"/>
              </w:tabs>
              <w:spacing w:before="55" w:after="55"/>
              <w:jc w:val="center"/>
              <w:rPr>
                <w:rFonts w:cs="Segoe UI"/>
                <w:b/>
                <w:bCs/>
              </w:rPr>
            </w:pPr>
            <w:r w:rsidRPr="15C70FB8">
              <w:rPr>
                <w:rFonts w:cs="Segoe UI"/>
                <w:b/>
                <w:bCs/>
              </w:rPr>
              <w:t>91</w:t>
            </w:r>
          </w:p>
        </w:tc>
        <w:tc>
          <w:tcPr>
            <w:tcW w:w="615" w:type="dxa"/>
            <w:tcBorders>
              <w:top w:val="nil"/>
            </w:tcBorders>
          </w:tcPr>
          <w:p w14:paraId="567CC2BF" w14:textId="77777777" w:rsidR="00753A1F" w:rsidRPr="008A26E8" w:rsidRDefault="00753A1F" w:rsidP="00497F1D">
            <w:pPr>
              <w:pStyle w:val="TableText"/>
              <w:tabs>
                <w:tab w:val="decimal" w:pos="454"/>
              </w:tabs>
              <w:spacing w:before="55" w:after="55"/>
              <w:jc w:val="center"/>
              <w:rPr>
                <w:rFonts w:cs="Segoe UI"/>
                <w:b/>
                <w:bCs/>
              </w:rPr>
            </w:pPr>
            <w:r w:rsidRPr="15C70FB8">
              <w:rPr>
                <w:rFonts w:cs="Segoe UI"/>
                <w:b/>
                <w:bCs/>
              </w:rPr>
              <w:t>17</w:t>
            </w:r>
          </w:p>
        </w:tc>
        <w:tc>
          <w:tcPr>
            <w:tcW w:w="615" w:type="dxa"/>
            <w:tcBorders>
              <w:top w:val="nil"/>
            </w:tcBorders>
          </w:tcPr>
          <w:p w14:paraId="0B47FFE4" w14:textId="77777777" w:rsidR="00753A1F" w:rsidRPr="008A26E8" w:rsidRDefault="00753A1F" w:rsidP="00497F1D">
            <w:pPr>
              <w:pStyle w:val="TableText"/>
              <w:spacing w:before="55" w:after="55"/>
              <w:jc w:val="center"/>
              <w:rPr>
                <w:rFonts w:cs="Segoe UI"/>
                <w:b/>
              </w:rPr>
            </w:pPr>
            <w:r w:rsidRPr="00501296">
              <w:rPr>
                <w:rFonts w:cs="Segoe UI"/>
                <w:b/>
              </w:rPr>
              <w:t>5</w:t>
            </w:r>
          </w:p>
        </w:tc>
      </w:tr>
    </w:tbl>
    <w:p w14:paraId="36A63EF0" w14:textId="77777777" w:rsidR="00753A1F" w:rsidRPr="00200234" w:rsidRDefault="00753A1F" w:rsidP="00753A1F">
      <w:pPr>
        <w:pStyle w:val="Note"/>
      </w:pPr>
      <w:r w:rsidRPr="00200234">
        <w:t xml:space="preserve">Note: </w:t>
      </w:r>
      <w:r>
        <w:t>‘</w:t>
      </w:r>
      <w:r w:rsidRPr="00200234">
        <w:t>On a given day</w:t>
      </w:r>
      <w:r>
        <w:t>’</w:t>
      </w:r>
      <w:r w:rsidRPr="00200234">
        <w:t xml:space="preserve"> is the average of the last day of each month.</w:t>
      </w:r>
    </w:p>
    <w:p w14:paraId="22C93E01" w14:textId="77777777" w:rsidR="00753A1F" w:rsidRDefault="00753A1F" w:rsidP="00753A1F">
      <w:pPr>
        <w:pStyle w:val="Source"/>
      </w:pPr>
      <w:r>
        <w:t>Sources</w:t>
      </w:r>
      <w:r w:rsidRPr="0419E73F">
        <w:rPr>
          <w:rFonts w:eastAsia="Arial Unicode MS"/>
        </w:rPr>
        <w:t>: PRIMHD data (extracted 28 February 2024) and manual data for Health New Zealand Counties Manukau, Tairāwhiti and Waikato</w:t>
      </w:r>
      <w:r>
        <w:t>.</w:t>
      </w:r>
    </w:p>
    <w:p w14:paraId="5438483C" w14:textId="2D9241B0" w:rsidR="00753A1F" w:rsidRPr="00535C2F" w:rsidRDefault="00753A1F" w:rsidP="00535C2F">
      <w:pPr>
        <w:pStyle w:val="Figure"/>
      </w:pPr>
      <w:bookmarkStart w:id="52" w:name="_Ref65671612"/>
      <w:bookmarkStart w:id="53" w:name="_Toc63764742"/>
      <w:bookmarkStart w:id="54" w:name="_Toc75176471"/>
      <w:bookmarkStart w:id="55" w:name="_Toc85442561"/>
      <w:bookmarkStart w:id="56" w:name="_Toc85445903"/>
      <w:bookmarkStart w:id="57" w:name="_Toc87429952"/>
      <w:bookmarkStart w:id="58" w:name="_Toc88561384"/>
      <w:bookmarkStart w:id="59" w:name="_Toc115188842"/>
      <w:bookmarkStart w:id="60" w:name="_Toc142314684"/>
      <w:bookmarkStart w:id="61" w:name="_Toc145394268"/>
      <w:bookmarkStart w:id="62" w:name="_Toc189053944"/>
      <w:bookmarkStart w:id="63" w:name="_Toc189647929"/>
      <w:r>
        <w:t>Figure </w:t>
      </w:r>
      <w:r>
        <w:fldChar w:fldCharType="begin"/>
      </w:r>
      <w:r>
        <w:instrText>SEQ Figure \* ARABIC</w:instrText>
      </w:r>
      <w:r>
        <w:fldChar w:fldCharType="separate"/>
      </w:r>
      <w:r w:rsidR="00753BC8">
        <w:rPr>
          <w:noProof/>
        </w:rPr>
        <w:t>3</w:t>
      </w:r>
      <w:r>
        <w:fldChar w:fldCharType="end"/>
      </w:r>
      <w:bookmarkEnd w:id="52"/>
      <w:r w:rsidRPr="00B20D4C">
        <w:t xml:space="preserve">: Average number of people on a given day subject to a community treatment order (section 29) per 100,000 population, by </w:t>
      </w:r>
      <w:r>
        <w:t>district</w:t>
      </w:r>
      <w:r w:rsidRPr="00B20D4C">
        <w:t xml:space="preserve">, 1 </w:t>
      </w:r>
      <w:bookmarkEnd w:id="53"/>
      <w:bookmarkEnd w:id="54"/>
      <w:bookmarkEnd w:id="55"/>
      <w:bookmarkEnd w:id="56"/>
      <w:bookmarkEnd w:id="57"/>
      <w:bookmarkEnd w:id="58"/>
      <w:r w:rsidRPr="00B20D4C">
        <w:t>July 202</w:t>
      </w:r>
      <w:r>
        <w:t>2</w:t>
      </w:r>
      <w:r w:rsidRPr="00B20D4C">
        <w:t xml:space="preserve"> to 30 June 202</w:t>
      </w:r>
      <w:r>
        <w:t>3</w:t>
      </w:r>
      <w:bookmarkEnd w:id="59"/>
      <w:bookmarkEnd w:id="60"/>
      <w:bookmarkEnd w:id="61"/>
      <w:bookmarkEnd w:id="62"/>
      <w:bookmarkEnd w:id="63"/>
    </w:p>
    <w:p w14:paraId="2D113A15" w14:textId="77777777" w:rsidR="00753A1F" w:rsidRDefault="00753A1F" w:rsidP="00753A1F">
      <w:pPr>
        <w:rPr>
          <w:rFonts w:eastAsia="Arial Unicode MS"/>
        </w:rPr>
      </w:pPr>
      <w:r>
        <w:rPr>
          <w:rFonts w:eastAsia="Arial Unicode MS"/>
          <w:noProof/>
        </w:rPr>
        <w:drawing>
          <wp:inline distT="0" distB="0" distL="0" distR="0" wp14:anchorId="25834048" wp14:editId="46840B25">
            <wp:extent cx="5105400" cy="2818860"/>
            <wp:effectExtent l="0" t="0" r="0" b="635"/>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122074" cy="2828066"/>
                    </a:xfrm>
                    <a:prstGeom prst="rect">
                      <a:avLst/>
                    </a:prstGeom>
                    <a:noFill/>
                  </pic:spPr>
                </pic:pic>
              </a:graphicData>
            </a:graphic>
          </wp:inline>
        </w:drawing>
      </w:r>
    </w:p>
    <w:p w14:paraId="56A0D0CF" w14:textId="77777777" w:rsidR="00753A1F" w:rsidRPr="00424D2E" w:rsidRDefault="00753A1F" w:rsidP="00753A1F">
      <w:pPr>
        <w:pStyle w:val="Note"/>
        <w:rPr>
          <w:rStyle w:val="FootnoteTextChar"/>
          <w:rFonts w:eastAsia="MS Gothic"/>
        </w:rPr>
      </w:pPr>
      <w:r w:rsidRPr="00424D2E">
        <w:rPr>
          <w:rStyle w:val="FootnoteTextChar"/>
          <w:rFonts w:eastAsia="MS Gothic"/>
        </w:rPr>
        <w:t xml:space="preserve">Notes: ‘On a given day’ is the average of the last day of each month. </w:t>
      </w:r>
      <w:r w:rsidRPr="06D5761E">
        <w:rPr>
          <w:rStyle w:val="FootnoteTextChar"/>
          <w:rFonts w:eastAsia="MS Gothic"/>
        </w:rPr>
        <w:t>In this figure</w:t>
      </w:r>
      <w:r>
        <w:rPr>
          <w:rStyle w:val="FootnoteTextChar"/>
          <w:rFonts w:eastAsia="MS Gothic"/>
        </w:rPr>
        <w:t>, the</w:t>
      </w:r>
      <w:r w:rsidRPr="00424D2E">
        <w:rPr>
          <w:rStyle w:val="FootnoteTextChar"/>
          <w:rFonts w:eastAsia="MS Gothic"/>
        </w:rPr>
        <w:t xml:space="preserve"> confidence intervals (for 99% confidence</w:t>
      </w:r>
      <w:r>
        <w:rPr>
          <w:rStyle w:val="FootnoteTextChar"/>
          <w:rFonts w:eastAsia="MS Gothic"/>
        </w:rPr>
        <w:t xml:space="preserve">, </w:t>
      </w:r>
      <w:r>
        <w:t>shown as vertical lines through the blue diamond markers</w:t>
      </w:r>
      <w:r w:rsidRPr="00424D2E">
        <w:rPr>
          <w:rStyle w:val="FootnoteTextChar"/>
          <w:rFonts w:eastAsia="MS Gothic"/>
        </w:rPr>
        <w:t xml:space="preserve">) </w:t>
      </w:r>
      <w:r w:rsidRPr="06D5761E">
        <w:rPr>
          <w:rStyle w:val="FootnoteTextChar"/>
          <w:rFonts w:eastAsia="MS Gothic"/>
        </w:rPr>
        <w:t>can</w:t>
      </w:r>
      <w:r w:rsidRPr="00424D2E">
        <w:rPr>
          <w:rStyle w:val="FootnoteTextChar"/>
          <w:rFonts w:eastAsia="MS Gothic"/>
        </w:rPr>
        <w:t xml:space="preserve"> help </w:t>
      </w:r>
      <w:r w:rsidRPr="06D5761E">
        <w:rPr>
          <w:rStyle w:val="FootnoteTextChar"/>
          <w:rFonts w:eastAsia="MS Gothic"/>
        </w:rPr>
        <w:t>with</w:t>
      </w:r>
      <w:r w:rsidRPr="00424D2E">
        <w:rPr>
          <w:rStyle w:val="FootnoteTextChar"/>
          <w:rFonts w:eastAsia="MS Gothic"/>
        </w:rPr>
        <w:t xml:space="preserve"> interpreting the data. </w:t>
      </w:r>
      <w:r w:rsidRPr="06D5761E">
        <w:rPr>
          <w:rStyle w:val="FootnoteTextChar"/>
          <w:rFonts w:eastAsia="MS Gothic"/>
        </w:rPr>
        <w:t>Where</w:t>
      </w:r>
      <w:r>
        <w:rPr>
          <w:rStyle w:val="FootnoteTextChar"/>
          <w:rFonts w:eastAsia="MS Gothic"/>
        </w:rPr>
        <w:t xml:space="preserve"> a</w:t>
      </w:r>
      <w:r w:rsidRPr="00424D2E">
        <w:rPr>
          <w:rStyle w:val="FootnoteTextChar"/>
          <w:rFonts w:eastAsia="MS Gothic"/>
        </w:rPr>
        <w:t xml:space="preserve"> </w:t>
      </w:r>
      <w:r>
        <w:rPr>
          <w:rStyle w:val="FootnoteTextChar"/>
          <w:rFonts w:eastAsia="MS Gothic"/>
        </w:rPr>
        <w:t>district’s</w:t>
      </w:r>
      <w:r w:rsidRPr="00424D2E">
        <w:rPr>
          <w:rStyle w:val="FootnoteTextChar"/>
          <w:rFonts w:eastAsia="MS Gothic"/>
        </w:rPr>
        <w:t xml:space="preserve"> confidence interval </w:t>
      </w:r>
      <w:r w:rsidRPr="06D5761E">
        <w:rPr>
          <w:rStyle w:val="FootnoteTextChar"/>
          <w:rFonts w:eastAsia="MS Gothic"/>
        </w:rPr>
        <w:t>crosses</w:t>
      </w:r>
      <w:r w:rsidRPr="00424D2E">
        <w:rPr>
          <w:rStyle w:val="FootnoteTextChar"/>
          <w:rFonts w:eastAsia="MS Gothic"/>
        </w:rPr>
        <w:t xml:space="preserve"> the national average</w:t>
      </w:r>
      <w:r>
        <w:rPr>
          <w:rStyle w:val="FootnoteTextChar"/>
          <w:rFonts w:eastAsia="MS Gothic"/>
        </w:rPr>
        <w:t>, that</w:t>
      </w:r>
      <w:r w:rsidRPr="00424D2E">
        <w:rPr>
          <w:rStyle w:val="FootnoteTextChar"/>
          <w:rFonts w:eastAsia="MS Gothic"/>
        </w:rPr>
        <w:t xml:space="preserve"> means its rate was not statistically different from the average.</w:t>
      </w:r>
    </w:p>
    <w:p w14:paraId="7277818B" w14:textId="77777777" w:rsidR="00753A1F" w:rsidRPr="00424D2E" w:rsidRDefault="00753A1F" w:rsidP="00753A1F">
      <w:pPr>
        <w:pStyle w:val="Source"/>
        <w:rPr>
          <w:rStyle w:val="FootnoteTextChar"/>
          <w:rFonts w:eastAsia="MS Gothic"/>
        </w:rPr>
      </w:pPr>
      <w:r w:rsidRPr="00424D2E">
        <w:rPr>
          <w:rStyle w:val="FootnoteTextChar"/>
          <w:rFonts w:eastAsia="MS Gothic"/>
        </w:rPr>
        <w:t>Source</w:t>
      </w:r>
      <w:r>
        <w:rPr>
          <w:rStyle w:val="FootnoteTextChar"/>
          <w:rFonts w:eastAsia="MS Gothic"/>
        </w:rPr>
        <w:t>s</w:t>
      </w:r>
      <w:r w:rsidRPr="00424D2E">
        <w:rPr>
          <w:rStyle w:val="FootnoteTextChar"/>
          <w:rFonts w:eastAsia="MS Gothic"/>
        </w:rPr>
        <w:t xml:space="preserve">: </w:t>
      </w:r>
      <w:r w:rsidRPr="00A67324">
        <w:rPr>
          <w:rFonts w:eastAsia="Arial Unicode MS"/>
        </w:rPr>
        <w:t>PRIMHD data (extracted 28 February</w:t>
      </w:r>
      <w:r>
        <w:rPr>
          <w:rFonts w:eastAsia="Arial Unicode MS"/>
        </w:rPr>
        <w:t xml:space="preserve"> 2024</w:t>
      </w:r>
      <w:r w:rsidRPr="003202BC">
        <w:rPr>
          <w:rFonts w:eastAsia="Arial Unicode MS"/>
        </w:rPr>
        <w:t>)</w:t>
      </w:r>
      <w:r>
        <w:rPr>
          <w:rFonts w:eastAsia="Arial Unicode MS"/>
        </w:rPr>
        <w:t xml:space="preserve"> and manual data for Health New Zealand Counties Manukau, Tairāwhiti and Waikato</w:t>
      </w:r>
      <w:r w:rsidRPr="00200234">
        <w:t>.</w:t>
      </w:r>
    </w:p>
    <w:p w14:paraId="6DB1A45C" w14:textId="77777777" w:rsidR="00753A1F" w:rsidRPr="00AE7C03" w:rsidRDefault="00753A1F" w:rsidP="00753A1F">
      <w:pPr>
        <w:rPr>
          <w:rFonts w:eastAsia="MS Gothic"/>
        </w:rPr>
      </w:pPr>
    </w:p>
    <w:p w14:paraId="56D98DF2" w14:textId="28600B63" w:rsidR="00753A1F" w:rsidRPr="00753A1F" w:rsidRDefault="00753A1F" w:rsidP="00753A1F">
      <w:pPr>
        <w:pStyle w:val="Figure"/>
        <w:rPr>
          <w:noProof/>
        </w:rPr>
      </w:pPr>
      <w:bookmarkStart w:id="64" w:name="_Ref84315824"/>
      <w:bookmarkStart w:id="65" w:name="_Toc63764744"/>
      <w:bookmarkStart w:id="66" w:name="_Toc75176472"/>
      <w:bookmarkStart w:id="67" w:name="_Toc85442562"/>
      <w:bookmarkStart w:id="68" w:name="_Toc85445904"/>
      <w:bookmarkStart w:id="69" w:name="_Toc87429953"/>
      <w:bookmarkStart w:id="70" w:name="_Toc88561385"/>
      <w:bookmarkStart w:id="71" w:name="_Toc189053945"/>
      <w:bookmarkStart w:id="72" w:name="_Toc189647930"/>
      <w:r w:rsidRPr="00653DF9">
        <w:t>Figure </w:t>
      </w:r>
      <w:r>
        <w:fldChar w:fldCharType="begin"/>
      </w:r>
      <w:r>
        <w:instrText>SEQ Figure \* ARABIC</w:instrText>
      </w:r>
      <w:r>
        <w:fldChar w:fldCharType="separate"/>
      </w:r>
      <w:r w:rsidR="00753BC8">
        <w:rPr>
          <w:noProof/>
        </w:rPr>
        <w:t>4</w:t>
      </w:r>
      <w:r>
        <w:fldChar w:fldCharType="end"/>
      </w:r>
      <w:bookmarkEnd w:id="64"/>
      <w:r w:rsidRPr="00653DF9">
        <w:t xml:space="preserve">: Average number of people on a given day subject to an inpatient treatment order (section 30) per 100,000 population, by </w:t>
      </w:r>
      <w:r>
        <w:t>district</w:t>
      </w:r>
      <w:r w:rsidRPr="00653DF9">
        <w:t>, 1 </w:t>
      </w:r>
      <w:bookmarkEnd w:id="65"/>
      <w:bookmarkEnd w:id="66"/>
      <w:bookmarkEnd w:id="67"/>
      <w:bookmarkEnd w:id="68"/>
      <w:bookmarkEnd w:id="69"/>
      <w:bookmarkEnd w:id="70"/>
      <w:r w:rsidRPr="00653DF9">
        <w:t>July 202</w:t>
      </w:r>
      <w:r>
        <w:t>2</w:t>
      </w:r>
      <w:r w:rsidRPr="00653DF9">
        <w:t xml:space="preserve"> to 30 June 202</w:t>
      </w:r>
      <w:r>
        <w:t>3</w:t>
      </w:r>
      <w:bookmarkEnd w:id="71"/>
      <w:bookmarkEnd w:id="72"/>
      <w:r w:rsidRPr="001E7A52">
        <w:rPr>
          <w:noProof/>
        </w:rPr>
        <w:t xml:space="preserve"> </w:t>
      </w:r>
    </w:p>
    <w:p w14:paraId="5B3C8522" w14:textId="77777777" w:rsidR="00753A1F" w:rsidRDefault="00753A1F" w:rsidP="00753A1F">
      <w:pPr>
        <w:rPr>
          <w:rFonts w:eastAsia="Arial Unicode MS"/>
        </w:rPr>
      </w:pPr>
      <w:r>
        <w:rPr>
          <w:rFonts w:eastAsia="Arial Unicode MS"/>
          <w:noProof/>
        </w:rPr>
        <w:drawing>
          <wp:inline distT="0" distB="0" distL="0" distR="0" wp14:anchorId="61BF809F" wp14:editId="52AC669A">
            <wp:extent cx="5113020" cy="2632710"/>
            <wp:effectExtent l="0" t="0" r="0" b="0"/>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129054" cy="2640966"/>
                    </a:xfrm>
                    <a:prstGeom prst="rect">
                      <a:avLst/>
                    </a:prstGeom>
                    <a:noFill/>
                  </pic:spPr>
                </pic:pic>
              </a:graphicData>
            </a:graphic>
          </wp:inline>
        </w:drawing>
      </w:r>
    </w:p>
    <w:p w14:paraId="5C995745" w14:textId="0EFC3E56" w:rsidR="00753A1F" w:rsidRDefault="00753A1F" w:rsidP="00753A1F">
      <w:pPr>
        <w:pStyle w:val="Note"/>
        <w:rPr>
          <w:rFonts w:eastAsia="MS Gothic"/>
        </w:rPr>
      </w:pPr>
      <w:r w:rsidRPr="007D4CB8">
        <w:rPr>
          <w:rFonts w:eastAsia="MS Gothic"/>
        </w:rPr>
        <w:t xml:space="preserve">Notes: ‘On a given day’ is the average of the last day of each month. </w:t>
      </w:r>
      <w:r w:rsidRPr="06D5761E">
        <w:rPr>
          <w:rFonts w:eastAsia="MS Gothic"/>
        </w:rPr>
        <w:t>In</w:t>
      </w:r>
      <w:r>
        <w:rPr>
          <w:rFonts w:eastAsia="MS Gothic"/>
        </w:rPr>
        <w:t xml:space="preserve"> t</w:t>
      </w:r>
      <w:r w:rsidRPr="007D4CB8">
        <w:rPr>
          <w:rFonts w:eastAsia="MS Gothic"/>
        </w:rPr>
        <w:t xml:space="preserve">his </w:t>
      </w:r>
      <w:r w:rsidRPr="06D5761E">
        <w:rPr>
          <w:rFonts w:eastAsia="MS Gothic"/>
        </w:rPr>
        <w:t>figure</w:t>
      </w:r>
      <w:r>
        <w:rPr>
          <w:rFonts w:eastAsia="MS Gothic"/>
        </w:rPr>
        <w:t>, the</w:t>
      </w:r>
      <w:r w:rsidRPr="007D4CB8" w:rsidDel="000C5841">
        <w:rPr>
          <w:rFonts w:eastAsia="MS Gothic"/>
        </w:rPr>
        <w:t xml:space="preserve"> </w:t>
      </w:r>
      <w:r w:rsidRPr="007D4CB8">
        <w:rPr>
          <w:rFonts w:eastAsia="MS Gothic"/>
        </w:rPr>
        <w:t>confidence intervals (for 99% confidence</w:t>
      </w:r>
      <w:r>
        <w:rPr>
          <w:rFonts w:eastAsia="MS Gothic"/>
        </w:rPr>
        <w:t xml:space="preserve">, </w:t>
      </w:r>
      <w:r>
        <w:t>shown as vertical lines through the blue diamond markers</w:t>
      </w:r>
      <w:r w:rsidRPr="007D4CB8">
        <w:rPr>
          <w:rFonts w:eastAsia="MS Gothic"/>
        </w:rPr>
        <w:t xml:space="preserve">) </w:t>
      </w:r>
      <w:r w:rsidRPr="06D5761E">
        <w:rPr>
          <w:rFonts w:eastAsia="MS Gothic"/>
        </w:rPr>
        <w:t>can</w:t>
      </w:r>
      <w:r w:rsidRPr="007D4CB8">
        <w:rPr>
          <w:rFonts w:eastAsia="MS Gothic"/>
        </w:rPr>
        <w:t xml:space="preserve"> help </w:t>
      </w:r>
      <w:r w:rsidRPr="06D5761E">
        <w:rPr>
          <w:rFonts w:eastAsia="MS Gothic"/>
        </w:rPr>
        <w:t>with</w:t>
      </w:r>
      <w:r w:rsidRPr="007D4CB8">
        <w:rPr>
          <w:rFonts w:eastAsia="MS Gothic"/>
        </w:rPr>
        <w:t xml:space="preserve"> interpreting the data. </w:t>
      </w:r>
      <w:r w:rsidRPr="06D5761E">
        <w:rPr>
          <w:rFonts w:eastAsia="MS Gothic"/>
        </w:rPr>
        <w:t>Where</w:t>
      </w:r>
      <w:r>
        <w:rPr>
          <w:rFonts w:eastAsia="MS Gothic"/>
        </w:rPr>
        <w:t xml:space="preserve"> a</w:t>
      </w:r>
      <w:r w:rsidRPr="007D4CB8">
        <w:rPr>
          <w:rFonts w:eastAsia="MS Gothic"/>
        </w:rPr>
        <w:t xml:space="preserve"> </w:t>
      </w:r>
      <w:r>
        <w:rPr>
          <w:rFonts w:eastAsia="MS Gothic"/>
        </w:rPr>
        <w:t>district’s</w:t>
      </w:r>
      <w:r w:rsidRPr="007D4CB8">
        <w:rPr>
          <w:rFonts w:eastAsia="MS Gothic"/>
        </w:rPr>
        <w:t xml:space="preserve"> confidence interval </w:t>
      </w:r>
      <w:r w:rsidRPr="06D5761E">
        <w:rPr>
          <w:rFonts w:eastAsia="MS Gothic"/>
        </w:rPr>
        <w:t>crosses</w:t>
      </w:r>
      <w:r w:rsidRPr="007D4CB8">
        <w:rPr>
          <w:rFonts w:eastAsia="MS Gothic"/>
        </w:rPr>
        <w:t xml:space="preserve"> the national average</w:t>
      </w:r>
      <w:r>
        <w:rPr>
          <w:rFonts w:eastAsia="MS Gothic"/>
        </w:rPr>
        <w:t>, that</w:t>
      </w:r>
      <w:r w:rsidRPr="007D4CB8">
        <w:rPr>
          <w:rFonts w:eastAsia="MS Gothic"/>
        </w:rPr>
        <w:t xml:space="preserve"> means </w:t>
      </w:r>
      <w:r>
        <w:rPr>
          <w:rFonts w:eastAsia="MS Gothic"/>
        </w:rPr>
        <w:t>its</w:t>
      </w:r>
      <w:r w:rsidRPr="007D4CB8">
        <w:rPr>
          <w:rFonts w:eastAsia="MS Gothic"/>
        </w:rPr>
        <w:t xml:space="preserve"> rate was not statistically different from the average.</w:t>
      </w:r>
    </w:p>
    <w:p w14:paraId="004E07BA" w14:textId="77777777" w:rsidR="00753A1F" w:rsidRDefault="00753A1F" w:rsidP="00753A1F">
      <w:pPr>
        <w:pStyle w:val="Note"/>
        <w:rPr>
          <w:rFonts w:eastAsia="MS Gothic"/>
        </w:rPr>
      </w:pPr>
      <w:r w:rsidRPr="007D4CB8">
        <w:rPr>
          <w:rFonts w:eastAsia="MS Gothic"/>
        </w:rPr>
        <w:t>Source</w:t>
      </w:r>
      <w:r>
        <w:rPr>
          <w:rFonts w:eastAsia="MS Gothic"/>
        </w:rPr>
        <w:t>s</w:t>
      </w:r>
      <w:r w:rsidRPr="007D4CB8">
        <w:rPr>
          <w:rFonts w:eastAsia="MS Gothic"/>
        </w:rPr>
        <w:t xml:space="preserve">: </w:t>
      </w:r>
      <w:r w:rsidRPr="00A67324">
        <w:rPr>
          <w:rFonts w:eastAsia="Arial Unicode MS"/>
        </w:rPr>
        <w:t>PRIMHD data (extracted 28 February</w:t>
      </w:r>
      <w:r>
        <w:rPr>
          <w:rFonts w:eastAsia="Arial Unicode MS"/>
        </w:rPr>
        <w:t xml:space="preserve"> 2024</w:t>
      </w:r>
      <w:r w:rsidRPr="003202BC">
        <w:rPr>
          <w:rFonts w:eastAsia="Arial Unicode MS"/>
        </w:rPr>
        <w:t>)</w:t>
      </w:r>
      <w:r>
        <w:rPr>
          <w:rFonts w:eastAsia="Arial Unicode MS"/>
        </w:rPr>
        <w:t xml:space="preserve"> and manual data for Health New Zealand Counties Manukau, Tairāwhiti and Waikato</w:t>
      </w:r>
      <w:r w:rsidRPr="00200234">
        <w:t>.</w:t>
      </w:r>
    </w:p>
    <w:p w14:paraId="4AB7F890" w14:textId="77777777" w:rsidR="00753A1F" w:rsidRDefault="00753A1F" w:rsidP="00753A1F">
      <w:pPr>
        <w:rPr>
          <w:rFonts w:eastAsia="Arial Unicode MS"/>
        </w:rPr>
      </w:pPr>
    </w:p>
    <w:p w14:paraId="7FECBA1B" w14:textId="77777777" w:rsidR="00753A1F" w:rsidRPr="00200234" w:rsidRDefault="00753A1F" w:rsidP="00753A1F">
      <w:pPr>
        <w:pStyle w:val="Heading2"/>
        <w:spacing w:before="0"/>
      </w:pPr>
      <w:bookmarkStart w:id="73" w:name="_Toc65141615"/>
      <w:bookmarkStart w:id="74" w:name="_Toc75176438"/>
      <w:bookmarkStart w:id="75" w:name="_Toc87429902"/>
      <w:bookmarkStart w:id="76" w:name="_Toc88826950"/>
      <w:bookmarkStart w:id="77" w:name="_Toc115188800"/>
      <w:bookmarkStart w:id="78" w:name="_Toc145394228"/>
      <w:bookmarkStart w:id="79" w:name="_Toc189053898"/>
      <w:bookmarkStart w:id="80" w:name="_Toc189647887"/>
      <w:r w:rsidRPr="00200234">
        <w:t xml:space="preserve">Compulsory treatment by age and </w:t>
      </w:r>
      <w:r>
        <w:t>gender</w:t>
      </w:r>
      <w:bookmarkEnd w:id="73"/>
      <w:bookmarkEnd w:id="74"/>
      <w:bookmarkEnd w:id="75"/>
      <w:bookmarkEnd w:id="76"/>
      <w:bookmarkEnd w:id="77"/>
      <w:bookmarkEnd w:id="78"/>
      <w:bookmarkEnd w:id="79"/>
      <w:bookmarkEnd w:id="80"/>
    </w:p>
    <w:p w14:paraId="37AC9758" w14:textId="4AB77FCC" w:rsidR="00753A1F" w:rsidRPr="00ED4FA1" w:rsidRDefault="00753A1F" w:rsidP="00753A1F">
      <w:r>
        <w:t>Among the age groups o</w:t>
      </w:r>
      <w:r w:rsidRPr="00B50F6B">
        <w:t>f people aged 15</w:t>
      </w:r>
      <w:r>
        <w:t xml:space="preserve"> years</w:t>
      </w:r>
      <w:r w:rsidRPr="00B50F6B">
        <w:t xml:space="preserve"> and over, those aged 25–34 </w:t>
      </w:r>
      <w:r>
        <w:t xml:space="preserve">years </w:t>
      </w:r>
      <w:r w:rsidRPr="00B50F6B">
        <w:t xml:space="preserve">were </w:t>
      </w:r>
      <w:r w:rsidRPr="00B50F6B" w:rsidDel="00A833F0">
        <w:t xml:space="preserve">the </w:t>
      </w:r>
      <w:r w:rsidRPr="00B50F6B">
        <w:t>most likely to be subject to a CTO</w:t>
      </w:r>
      <w:r>
        <w:t xml:space="preserve"> application</w:t>
      </w:r>
      <w:r w:rsidRPr="00B50F6B">
        <w:t xml:space="preserve"> (</w:t>
      </w:r>
      <w:r w:rsidRPr="00501296">
        <w:t>209.6</w:t>
      </w:r>
      <w:r>
        <w:t xml:space="preserve"> people</w:t>
      </w:r>
      <w:r w:rsidRPr="00ED4FA1">
        <w:t xml:space="preserve"> per 100,000</w:t>
      </w:r>
      <w:r>
        <w:t xml:space="preserve"> population</w:t>
      </w:r>
      <w:r w:rsidRPr="00ED4FA1">
        <w:t>)</w:t>
      </w:r>
      <w:r>
        <w:t>.</w:t>
      </w:r>
      <w:r w:rsidRPr="00ED4FA1">
        <w:t xml:space="preserve"> </w:t>
      </w:r>
      <w:r>
        <w:t>P</w:t>
      </w:r>
      <w:r w:rsidRPr="00ED4FA1">
        <w:t xml:space="preserve">eople </w:t>
      </w:r>
      <w:r>
        <w:t>aged</w:t>
      </w:r>
      <w:r w:rsidRPr="00ED4FA1">
        <w:t xml:space="preserve"> </w:t>
      </w:r>
      <w:r>
        <w:t>65</w:t>
      </w:r>
      <w:r w:rsidRPr="00ED4FA1">
        <w:t xml:space="preserve"> </w:t>
      </w:r>
      <w:r>
        <w:t xml:space="preserve">years or over </w:t>
      </w:r>
      <w:r w:rsidRPr="00ED4FA1">
        <w:t>were the least likely (</w:t>
      </w:r>
      <w:r>
        <w:t>65.2</w:t>
      </w:r>
      <w:r w:rsidRPr="00ED4FA1">
        <w:t xml:space="preserve"> per 100,000)</w:t>
      </w:r>
      <w:r>
        <w:t xml:space="preserve"> (</w:t>
      </w:r>
      <w:r>
        <w:fldChar w:fldCharType="begin"/>
      </w:r>
      <w:r>
        <w:instrText xml:space="preserve"> REF _Ref65671847 \h </w:instrText>
      </w:r>
      <w:r>
        <w:fldChar w:fldCharType="separate"/>
      </w:r>
      <w:r w:rsidR="00753BC8">
        <w:t>Figure </w:t>
      </w:r>
      <w:r w:rsidR="00753BC8">
        <w:rPr>
          <w:noProof/>
        </w:rPr>
        <w:t>5</w:t>
      </w:r>
      <w:r>
        <w:fldChar w:fldCharType="end"/>
      </w:r>
      <w:r>
        <w:t>).</w:t>
      </w:r>
      <w:r w:rsidRPr="00ED4FA1" w:rsidDel="00D60AB9">
        <w:t xml:space="preserve"> </w:t>
      </w:r>
    </w:p>
    <w:p w14:paraId="7336D66B" w14:textId="77777777" w:rsidR="00753A1F" w:rsidRPr="00200234" w:rsidRDefault="00753A1F" w:rsidP="00753A1F"/>
    <w:p w14:paraId="24CE3F03" w14:textId="1AA4B7DF" w:rsidR="00753A1F" w:rsidRPr="00753A1F" w:rsidRDefault="00753A1F" w:rsidP="00753A1F">
      <w:pPr>
        <w:pStyle w:val="Figure"/>
      </w:pPr>
      <w:bookmarkStart w:id="81" w:name="_Ref65671847"/>
      <w:bookmarkStart w:id="82" w:name="_Toc65574434"/>
      <w:bookmarkStart w:id="83" w:name="_Toc75176473"/>
      <w:bookmarkStart w:id="84" w:name="_Toc85442563"/>
      <w:bookmarkStart w:id="85" w:name="_Toc85445905"/>
      <w:bookmarkStart w:id="86" w:name="_Toc87429954"/>
      <w:bookmarkStart w:id="87" w:name="_Toc88561386"/>
      <w:bookmarkStart w:id="88" w:name="_Toc115188844"/>
      <w:bookmarkStart w:id="89" w:name="_Toc142314686"/>
      <w:bookmarkStart w:id="90" w:name="_Toc145394270"/>
      <w:bookmarkStart w:id="91" w:name="_Toc189053946"/>
      <w:bookmarkStart w:id="92" w:name="_Toc189647931"/>
      <w:r>
        <w:t>Figure </w:t>
      </w:r>
      <w:r>
        <w:fldChar w:fldCharType="begin"/>
      </w:r>
      <w:r>
        <w:instrText>SEQ Figure \* ARABIC</w:instrText>
      </w:r>
      <w:r>
        <w:fldChar w:fldCharType="separate"/>
      </w:r>
      <w:r w:rsidR="00753BC8">
        <w:rPr>
          <w:noProof/>
        </w:rPr>
        <w:t>5</w:t>
      </w:r>
      <w:r>
        <w:fldChar w:fldCharType="end"/>
      </w:r>
      <w:bookmarkEnd w:id="81"/>
      <w:r w:rsidRPr="001005E1">
        <w:t xml:space="preserve">: </w:t>
      </w:r>
      <w:r>
        <w:t>Number</w:t>
      </w:r>
      <w:r w:rsidRPr="001005E1">
        <w:t xml:space="preserve"> of people subject to </w:t>
      </w:r>
      <w:r>
        <w:t>compulsory treatment order</w:t>
      </w:r>
      <w:r w:rsidRPr="001005E1">
        <w:t xml:space="preserve"> applications (including extensions) per 100,000 population, by age group, </w:t>
      </w:r>
      <w:r>
        <w:t xml:space="preserve">2008/09 to </w:t>
      </w:r>
      <w:r w:rsidRPr="001005E1">
        <w:t>20</w:t>
      </w:r>
      <w:bookmarkEnd w:id="82"/>
      <w:r w:rsidRPr="001005E1">
        <w:t>2</w:t>
      </w:r>
      <w:r>
        <w:t>2</w:t>
      </w:r>
      <w:bookmarkEnd w:id="83"/>
      <w:bookmarkEnd w:id="84"/>
      <w:bookmarkEnd w:id="85"/>
      <w:bookmarkEnd w:id="86"/>
      <w:bookmarkEnd w:id="87"/>
      <w:r w:rsidRPr="001005E1">
        <w:t>/</w:t>
      </w:r>
      <w:r>
        <w:t>23</w:t>
      </w:r>
      <w:bookmarkEnd w:id="88"/>
      <w:bookmarkEnd w:id="89"/>
      <w:bookmarkEnd w:id="90"/>
      <w:bookmarkEnd w:id="91"/>
      <w:bookmarkEnd w:id="92"/>
    </w:p>
    <w:p w14:paraId="5D5E5C23" w14:textId="77777777" w:rsidR="00753A1F" w:rsidRDefault="00753A1F" w:rsidP="00753A1F">
      <w:pPr>
        <w:rPr>
          <w:rFonts w:eastAsia="Arial Unicode MS"/>
        </w:rPr>
      </w:pPr>
      <w:r>
        <w:rPr>
          <w:rFonts w:eastAsia="Arial Unicode MS"/>
          <w:noProof/>
        </w:rPr>
        <w:drawing>
          <wp:inline distT="0" distB="0" distL="0" distR="0" wp14:anchorId="680E6CE5" wp14:editId="3AE90BD2">
            <wp:extent cx="5143500" cy="2019216"/>
            <wp:effectExtent l="0" t="0" r="0" b="0"/>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174606" cy="2031427"/>
                    </a:xfrm>
                    <a:prstGeom prst="rect">
                      <a:avLst/>
                    </a:prstGeom>
                    <a:noFill/>
                  </pic:spPr>
                </pic:pic>
              </a:graphicData>
            </a:graphic>
          </wp:inline>
        </w:drawing>
      </w:r>
    </w:p>
    <w:p w14:paraId="705599CC" w14:textId="77777777" w:rsidR="00753A1F" w:rsidRPr="00200234" w:rsidRDefault="00753A1F" w:rsidP="00753A1F">
      <w:pPr>
        <w:pStyle w:val="Note"/>
        <w:rPr>
          <w:rFonts w:eastAsia="MS Gothic"/>
        </w:rPr>
      </w:pPr>
      <w:r w:rsidRPr="00200234">
        <w:rPr>
          <w:rFonts w:eastAsia="MS Gothic"/>
        </w:rPr>
        <w:t>Notes: This</w:t>
      </w:r>
      <w:r>
        <w:rPr>
          <w:rFonts w:eastAsia="MS Gothic"/>
        </w:rPr>
        <w:t xml:space="preserve"> figure is based on data entered</w:t>
      </w:r>
      <w:r w:rsidRPr="00200234">
        <w:rPr>
          <w:rFonts w:eastAsia="MS Gothic"/>
        </w:rPr>
        <w:t xml:space="preserve"> into the CMS</w:t>
      </w:r>
      <w:r>
        <w:rPr>
          <w:rFonts w:eastAsia="MS Gothic"/>
        </w:rPr>
        <w:t xml:space="preserve">, which </w:t>
      </w:r>
      <w:r w:rsidRPr="00200234">
        <w:rPr>
          <w:rFonts w:eastAsia="MS Gothic"/>
        </w:rPr>
        <w:t>is a live operational database. Figures are subject to minor changes at any time.</w:t>
      </w:r>
    </w:p>
    <w:p w14:paraId="1EFA21C3" w14:textId="77777777" w:rsidR="00753A1F" w:rsidRDefault="00753A1F" w:rsidP="00753A1F">
      <w:pPr>
        <w:pStyle w:val="Source"/>
        <w:spacing w:before="0"/>
        <w:rPr>
          <w:rFonts w:eastAsia="MS Gothic"/>
        </w:rPr>
      </w:pPr>
      <w:r w:rsidRPr="00200234">
        <w:rPr>
          <w:rFonts w:eastAsia="MS Gothic"/>
        </w:rPr>
        <w:t xml:space="preserve">Source: Ministry of Justice Integrated Sector Intelligence System </w:t>
      </w:r>
      <w:r>
        <w:rPr>
          <w:rFonts w:eastAsia="MS Gothic"/>
        </w:rPr>
        <w:t>data (extracted</w:t>
      </w:r>
      <w:r w:rsidRPr="00200234">
        <w:rPr>
          <w:rFonts w:eastAsia="MS Gothic"/>
        </w:rPr>
        <w:t xml:space="preserve"> </w:t>
      </w:r>
      <w:r>
        <w:rPr>
          <w:rFonts w:eastAsia="MS Gothic"/>
        </w:rPr>
        <w:t>6 March 2024).</w:t>
      </w:r>
    </w:p>
    <w:p w14:paraId="7CEDE75D" w14:textId="77777777" w:rsidR="00753A1F" w:rsidRDefault="00753A1F" w:rsidP="00753A1F"/>
    <w:p w14:paraId="4DD1DD76" w14:textId="2D5C7E02" w:rsidR="00753A1F" w:rsidRPr="00E77D91" w:rsidRDefault="00753A1F" w:rsidP="00753A1F">
      <w:r>
        <w:t>M</w:t>
      </w:r>
      <w:r w:rsidRPr="00ED4FA1">
        <w:t>ales w</w:t>
      </w:r>
      <w:r w:rsidRPr="0097576F">
        <w:t>ere more likely to be subject to a CTO application (12</w:t>
      </w:r>
      <w:r w:rsidRPr="00501296">
        <w:t>6</w:t>
      </w:r>
      <w:r w:rsidRPr="0097576F">
        <w:t xml:space="preserve"> per 100,000 population) than females (87 per 100,000), as </w:t>
      </w:r>
      <w:r w:rsidRPr="0097576F">
        <w:fldChar w:fldCharType="begin"/>
      </w:r>
      <w:r w:rsidRPr="0097576F">
        <w:instrText xml:space="preserve"> REF _Ref141106763 \h </w:instrText>
      </w:r>
      <w:r>
        <w:instrText xml:space="preserve"> \* MERGEFORMAT </w:instrText>
      </w:r>
      <w:r w:rsidRPr="0097576F">
        <w:fldChar w:fldCharType="separate"/>
      </w:r>
      <w:r w:rsidR="00753BC8">
        <w:t>Figure 6</w:t>
      </w:r>
      <w:r w:rsidRPr="0097576F">
        <w:fldChar w:fldCharType="end"/>
      </w:r>
      <w:r>
        <w:t xml:space="preserve"> shows</w:t>
      </w:r>
      <w:r w:rsidRPr="00ED4FA1">
        <w:t>.</w:t>
      </w:r>
      <w:r w:rsidRPr="00200234" w:rsidDel="00D60AB9">
        <w:rPr>
          <w:rStyle w:val="FootnoteReference"/>
          <w:rFonts w:cs="Segoe UI"/>
        </w:rPr>
        <w:t xml:space="preserve"> </w:t>
      </w:r>
    </w:p>
    <w:p w14:paraId="0729C951" w14:textId="77777777" w:rsidR="00753A1F" w:rsidRPr="00A175D6" w:rsidRDefault="00753A1F" w:rsidP="00753A1F">
      <w:pPr>
        <w:rPr>
          <w:rFonts w:eastAsia="MS Gothic"/>
        </w:rPr>
      </w:pPr>
    </w:p>
    <w:p w14:paraId="065CC00E" w14:textId="72235BF4" w:rsidR="00753A1F" w:rsidRPr="00753A1F" w:rsidRDefault="00753A1F" w:rsidP="00753A1F">
      <w:pPr>
        <w:pStyle w:val="Figure"/>
      </w:pPr>
      <w:bookmarkStart w:id="93" w:name="_Ref141106763"/>
      <w:bookmarkStart w:id="94" w:name="_Toc115188845"/>
      <w:bookmarkStart w:id="95" w:name="_Toc142314687"/>
      <w:bookmarkStart w:id="96" w:name="_Toc145394271"/>
      <w:bookmarkStart w:id="97" w:name="_Toc189053947"/>
      <w:bookmarkStart w:id="98" w:name="_Toc189647932"/>
      <w:r>
        <w:t>Figure </w:t>
      </w:r>
      <w:r>
        <w:fldChar w:fldCharType="begin"/>
      </w:r>
      <w:r>
        <w:instrText>SEQ Figure \* ARABIC</w:instrText>
      </w:r>
      <w:r>
        <w:fldChar w:fldCharType="separate"/>
      </w:r>
      <w:r w:rsidR="00753BC8">
        <w:rPr>
          <w:noProof/>
        </w:rPr>
        <w:t>6</w:t>
      </w:r>
      <w:r>
        <w:fldChar w:fldCharType="end"/>
      </w:r>
      <w:bookmarkEnd w:id="93"/>
      <w:r w:rsidRPr="00200234">
        <w:t xml:space="preserve">: </w:t>
      </w:r>
      <w:r>
        <w:t>Number</w:t>
      </w:r>
      <w:r w:rsidRPr="006877E6">
        <w:t xml:space="preserve"> of people subject to </w:t>
      </w:r>
      <w:r>
        <w:t xml:space="preserve">compulsory treatment order </w:t>
      </w:r>
      <w:r w:rsidRPr="006877E6">
        <w:t xml:space="preserve">applications (including extensions) per 100,000 population, by </w:t>
      </w:r>
      <w:r>
        <w:t>gender</w:t>
      </w:r>
      <w:r w:rsidRPr="006877E6">
        <w:t xml:space="preserve">, </w:t>
      </w:r>
      <w:bookmarkEnd w:id="94"/>
      <w:r>
        <w:t>2008/09 to 2022/23</w:t>
      </w:r>
      <w:bookmarkEnd w:id="95"/>
      <w:bookmarkEnd w:id="96"/>
      <w:bookmarkEnd w:id="97"/>
      <w:bookmarkEnd w:id="98"/>
    </w:p>
    <w:p w14:paraId="63525A13" w14:textId="77777777" w:rsidR="00753A1F" w:rsidRDefault="00753A1F" w:rsidP="00753A1F">
      <w:pPr>
        <w:rPr>
          <w:rFonts w:eastAsia="Arial Unicode MS"/>
        </w:rPr>
      </w:pPr>
      <w:r>
        <w:rPr>
          <w:rFonts w:eastAsia="Arial Unicode MS"/>
          <w:noProof/>
        </w:rPr>
        <w:drawing>
          <wp:inline distT="0" distB="0" distL="0" distR="0" wp14:anchorId="77C78C85" wp14:editId="19774405">
            <wp:extent cx="5135880" cy="1726566"/>
            <wp:effectExtent l="0" t="0" r="0" b="6985"/>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164184" cy="1736081"/>
                    </a:xfrm>
                    <a:prstGeom prst="rect">
                      <a:avLst/>
                    </a:prstGeom>
                    <a:noFill/>
                  </pic:spPr>
                </pic:pic>
              </a:graphicData>
            </a:graphic>
          </wp:inline>
        </w:drawing>
      </w:r>
    </w:p>
    <w:p w14:paraId="69566C88" w14:textId="77777777" w:rsidR="00753A1F" w:rsidRPr="0016455D" w:rsidRDefault="00753A1F" w:rsidP="00753A1F">
      <w:pPr>
        <w:pStyle w:val="Note"/>
        <w:rPr>
          <w:rFonts w:eastAsia="MS Gothic"/>
        </w:rPr>
      </w:pPr>
      <w:r w:rsidRPr="0016455D">
        <w:rPr>
          <w:rFonts w:eastAsia="MS Gothic"/>
        </w:rPr>
        <w:t xml:space="preserve">Notes: Due to the design of the system, </w:t>
      </w:r>
      <w:r>
        <w:rPr>
          <w:rFonts w:eastAsia="MS Gothic"/>
        </w:rPr>
        <w:t xml:space="preserve">this figure represents </w:t>
      </w:r>
      <w:r w:rsidRPr="0016455D">
        <w:rPr>
          <w:rFonts w:eastAsia="MS Gothic"/>
        </w:rPr>
        <w:t xml:space="preserve">only </w:t>
      </w:r>
      <w:r>
        <w:rPr>
          <w:rFonts w:eastAsia="MS Gothic"/>
        </w:rPr>
        <w:t>two</w:t>
      </w:r>
      <w:r w:rsidRPr="0016455D">
        <w:rPr>
          <w:rFonts w:eastAsia="MS Gothic"/>
        </w:rPr>
        <w:t xml:space="preserve"> gender categories</w:t>
      </w:r>
      <w:r w:rsidRPr="144C2596">
        <w:rPr>
          <w:rFonts w:eastAsia="MS Gothic"/>
        </w:rPr>
        <w:t>.</w:t>
      </w:r>
      <w:r w:rsidRPr="0016455D">
        <w:rPr>
          <w:rFonts w:eastAsia="MS Gothic"/>
        </w:rPr>
        <w:t xml:space="preserve"> The CMS includes an ‘other’ category; however, the size of this group is too small to appear </w:t>
      </w:r>
      <w:r w:rsidRPr="144C2596">
        <w:rPr>
          <w:rFonts w:eastAsia="MS Gothic"/>
        </w:rPr>
        <w:t>here.</w:t>
      </w:r>
    </w:p>
    <w:p w14:paraId="338E913F" w14:textId="77777777" w:rsidR="00753A1F" w:rsidRDefault="00753A1F" w:rsidP="00753A1F">
      <w:pPr>
        <w:pStyle w:val="Note"/>
        <w:rPr>
          <w:rFonts w:eastAsia="MS Gothic"/>
        </w:rPr>
      </w:pPr>
      <w:r w:rsidRPr="0016455D">
        <w:rPr>
          <w:rFonts w:eastAsia="MS Gothic"/>
        </w:rPr>
        <w:t xml:space="preserve">Source: Ministry of Justice Integrated Sector Intelligence System </w:t>
      </w:r>
      <w:r>
        <w:rPr>
          <w:rFonts w:eastAsia="MS Gothic"/>
        </w:rPr>
        <w:t>data (extracted</w:t>
      </w:r>
      <w:r w:rsidRPr="0016455D">
        <w:rPr>
          <w:rFonts w:eastAsia="MS Gothic"/>
        </w:rPr>
        <w:t xml:space="preserve"> </w:t>
      </w:r>
      <w:r>
        <w:rPr>
          <w:rFonts w:eastAsia="MS Gothic"/>
        </w:rPr>
        <w:t>6 March 2024)</w:t>
      </w:r>
      <w:r w:rsidRPr="0016455D">
        <w:rPr>
          <w:rFonts w:eastAsia="MS Gothic"/>
        </w:rPr>
        <w:t>.</w:t>
      </w:r>
    </w:p>
    <w:p w14:paraId="3A9168D5" w14:textId="71AF0B53" w:rsidR="00753A1F" w:rsidRDefault="00753A1F" w:rsidP="00753A1F">
      <w:pPr>
        <w:rPr>
          <w:rFonts w:eastAsia="Arial Unicode MS"/>
        </w:rPr>
        <w:sectPr w:rsidR="00753A1F" w:rsidSect="00753A1F">
          <w:pgSz w:w="11907" w:h="16834" w:code="9"/>
          <w:pgMar w:top="1418" w:right="1701" w:bottom="1134" w:left="1843" w:header="284" w:footer="425" w:gutter="284"/>
          <w:cols w:space="720"/>
        </w:sectPr>
      </w:pPr>
    </w:p>
    <w:p w14:paraId="61547F46" w14:textId="77777777" w:rsidR="00753A1F" w:rsidRPr="00200234" w:rsidRDefault="00753A1F" w:rsidP="00753A1F">
      <w:pPr>
        <w:pStyle w:val="Heading1"/>
        <w:spacing w:before="0"/>
      </w:pPr>
      <w:bookmarkStart w:id="99" w:name="_Toc189053899"/>
      <w:bookmarkStart w:id="100" w:name="_Toc189647888"/>
      <w:r>
        <w:t>Use of the Mental Health Act</w:t>
      </w:r>
      <w:bookmarkEnd w:id="99"/>
      <w:bookmarkEnd w:id="100"/>
    </w:p>
    <w:p w14:paraId="01A39459" w14:textId="77777777" w:rsidR="00753A1F" w:rsidRDefault="00753A1F" w:rsidP="00753A1F">
      <w:r>
        <w:t>This section presents statistics on people receiving care under the Mental Health Act. This information underlines the need for mental health services to take meaningful actions to address the disparity in outcomes for Māori and Pacific peoples in Aotearoa New Zealand.</w:t>
      </w:r>
    </w:p>
    <w:p w14:paraId="7B7ECDBB" w14:textId="77777777" w:rsidR="00753A1F" w:rsidRPr="00200234" w:rsidRDefault="00753A1F" w:rsidP="00753A1F"/>
    <w:p w14:paraId="4AA77000" w14:textId="77777777" w:rsidR="00753A1F" w:rsidRPr="00200234" w:rsidRDefault="00753A1F" w:rsidP="00753A1F">
      <w:r>
        <w:t>The following summarises data on the use of the Mental Health Act from 1 July 2022 to 30 June 2023.</w:t>
      </w:r>
      <w:r>
        <w:rPr>
          <w:rStyle w:val="FootnoteReference"/>
        </w:rPr>
        <w:footnoteReference w:id="9"/>
      </w:r>
    </w:p>
    <w:p w14:paraId="14809921" w14:textId="77777777" w:rsidR="00753A1F" w:rsidRPr="00613EBF" w:rsidRDefault="00753A1F" w:rsidP="00753A1F">
      <w:pPr>
        <w:pStyle w:val="Bullet"/>
        <w:tabs>
          <w:tab w:val="num" w:pos="284"/>
        </w:tabs>
      </w:pPr>
      <w:r w:rsidRPr="00613EBF">
        <w:t>5.</w:t>
      </w:r>
      <w:r w:rsidRPr="00501296">
        <w:t>8</w:t>
      </w:r>
      <w:r w:rsidRPr="00613EBF">
        <w:t xml:space="preserve">% of Māori accessed </w:t>
      </w:r>
      <w:r>
        <w:t>specialist</w:t>
      </w:r>
      <w:r w:rsidRPr="00613EBF">
        <w:t xml:space="preserve"> mental health and addiction services, compared with </w:t>
      </w:r>
      <w:r w:rsidRPr="00501296">
        <w:t>2.9</w:t>
      </w:r>
      <w:r w:rsidRPr="00613EBF">
        <w:t>% of non-Māori.</w:t>
      </w:r>
    </w:p>
    <w:p w14:paraId="247F3466" w14:textId="77777777" w:rsidR="00753A1F" w:rsidRPr="007B33C1" w:rsidRDefault="00753A1F" w:rsidP="00753A1F">
      <w:pPr>
        <w:pStyle w:val="Bullet"/>
        <w:tabs>
          <w:tab w:val="num" w:pos="284"/>
        </w:tabs>
      </w:pPr>
      <w:r w:rsidRPr="007B33C1">
        <w:t xml:space="preserve">Māori were </w:t>
      </w:r>
      <w:r>
        <w:t>2.0</w:t>
      </w:r>
      <w:r w:rsidRPr="007B33C1">
        <w:t xml:space="preserve"> times more likely than Pacific peoples and </w:t>
      </w:r>
      <w:r>
        <w:t>4.2</w:t>
      </w:r>
      <w:r w:rsidRPr="007B33C1">
        <w:t xml:space="preserve"> times more likely than other ethnicities to be subject to a community treatment order</w:t>
      </w:r>
      <w:r>
        <w:t xml:space="preserve"> (section 29)</w:t>
      </w:r>
      <w:r w:rsidRPr="007B33C1">
        <w:t>.</w:t>
      </w:r>
      <w:r w:rsidRPr="007B33C1">
        <w:rPr>
          <w:rStyle w:val="FootnoteReference"/>
        </w:rPr>
        <w:footnoteReference w:id="10"/>
      </w:r>
    </w:p>
    <w:p w14:paraId="3F09E361" w14:textId="77777777" w:rsidR="00753A1F" w:rsidRPr="00452FCB" w:rsidRDefault="00753A1F" w:rsidP="00753A1F">
      <w:pPr>
        <w:pStyle w:val="Bullet"/>
        <w:tabs>
          <w:tab w:val="num" w:pos="284"/>
        </w:tabs>
      </w:pPr>
      <w:r w:rsidRPr="00452FCB">
        <w:t>Māori were 1.</w:t>
      </w:r>
      <w:r>
        <w:t>7</w:t>
      </w:r>
      <w:r w:rsidRPr="00452FCB">
        <w:t xml:space="preserve"> times more likely than Pacific peoples and </w:t>
      </w:r>
      <w:r w:rsidRPr="00501296">
        <w:t>4</w:t>
      </w:r>
      <w:r>
        <w:t>.2</w:t>
      </w:r>
      <w:r w:rsidRPr="00452FCB">
        <w:t xml:space="preserve"> times more likely than other ethnicities</w:t>
      </w:r>
      <w:r w:rsidRPr="0045462A">
        <w:t xml:space="preserve"> </w:t>
      </w:r>
      <w:r w:rsidRPr="00452FCB">
        <w:t xml:space="preserve">to be subject to an inpatient treatment order </w:t>
      </w:r>
      <w:r>
        <w:t>(section 30)</w:t>
      </w:r>
      <w:r w:rsidRPr="00452FCB">
        <w:t>.</w:t>
      </w:r>
    </w:p>
    <w:p w14:paraId="7964CE29" w14:textId="77777777" w:rsidR="00753A1F" w:rsidRPr="007B04D2" w:rsidRDefault="00753A1F" w:rsidP="00753A1F">
      <w:pPr>
        <w:pStyle w:val="Bullet"/>
        <w:tabs>
          <w:tab w:val="num" w:pos="284"/>
        </w:tabs>
      </w:pPr>
      <w:r w:rsidRPr="007B04D2">
        <w:t>Of all population groups, Māori men were the most likely to be subject to community and inpatient treatment orders.</w:t>
      </w:r>
    </w:p>
    <w:p w14:paraId="2B45F780" w14:textId="77777777" w:rsidR="00753A1F" w:rsidRPr="007B04D2" w:rsidRDefault="00753A1F" w:rsidP="00753A1F">
      <w:pPr>
        <w:pStyle w:val="Bullet"/>
        <w:tabs>
          <w:tab w:val="num" w:pos="284"/>
        </w:tabs>
      </w:pPr>
      <w:r>
        <w:t>District</w:t>
      </w:r>
      <w:r w:rsidRPr="007B04D2">
        <w:t>s varied in their ratio of Māori, Pacific peoples and other ethnicities subject to community and inpatient treatment orders.</w:t>
      </w:r>
    </w:p>
    <w:p w14:paraId="3634C60A" w14:textId="77777777" w:rsidR="00753A1F" w:rsidRPr="00117B8B" w:rsidRDefault="00753A1F" w:rsidP="00753A1F">
      <w:pPr>
        <w:pStyle w:val="Bullet"/>
        <w:tabs>
          <w:tab w:val="num" w:pos="284"/>
        </w:tabs>
      </w:pPr>
      <w:r w:rsidRPr="00117B8B">
        <w:t>On average, Māori, Pacific peoples and other ethnicities remained on community and inpatient treatment orders for similar lengths of time.</w:t>
      </w:r>
    </w:p>
    <w:p w14:paraId="219E2DA0" w14:textId="77777777" w:rsidR="00753A1F" w:rsidRPr="001C1E3C" w:rsidRDefault="00753A1F" w:rsidP="00753A1F">
      <w:pPr>
        <w:pStyle w:val="Bullet"/>
        <w:tabs>
          <w:tab w:val="num" w:pos="284"/>
        </w:tabs>
      </w:pPr>
      <w:r w:rsidRPr="001C1E3C">
        <w:t>Māori were 2.</w:t>
      </w:r>
      <w:r w:rsidRPr="00501296">
        <w:t>7</w:t>
      </w:r>
      <w:r w:rsidRPr="001C1E3C">
        <w:t xml:space="preserve"> times more likely to be subject to indefinite community treatment orders than non-Māori, and </w:t>
      </w:r>
      <w:r w:rsidRPr="00501296">
        <w:t>3.8</w:t>
      </w:r>
      <w:r w:rsidRPr="001C1E3C">
        <w:t xml:space="preserve"> times more likely to be subject to indefinite inpatient treatment orders than non-Māori.</w:t>
      </w:r>
    </w:p>
    <w:p w14:paraId="4C490B3F" w14:textId="77777777" w:rsidR="00753A1F" w:rsidRPr="00100001" w:rsidRDefault="00753A1F" w:rsidP="00753A1F">
      <w:pPr>
        <w:pStyle w:val="Bullet"/>
        <w:tabs>
          <w:tab w:val="num" w:pos="284"/>
        </w:tabs>
      </w:pPr>
      <w:r w:rsidRPr="00100001">
        <w:t>Māori made up about 17% of Aotearoa New Zealand’s population, yet they accounted for 2</w:t>
      </w:r>
      <w:r w:rsidRPr="00501296">
        <w:t>9</w:t>
      </w:r>
      <w:r w:rsidRPr="00100001">
        <w:t>% of all mental health service users.</w:t>
      </w:r>
    </w:p>
    <w:p w14:paraId="29414B9A" w14:textId="77777777" w:rsidR="00753A1F" w:rsidRPr="00100001" w:rsidRDefault="00753A1F" w:rsidP="00753A1F">
      <w:pPr>
        <w:pStyle w:val="Bullet"/>
        <w:tabs>
          <w:tab w:val="num" w:pos="284"/>
        </w:tabs>
      </w:pPr>
      <w:r w:rsidRPr="00100001">
        <w:t xml:space="preserve">Pacific peoples made up about 7% of Aotearoa New Zealand’s population and accounted for </w:t>
      </w:r>
      <w:r w:rsidRPr="00501296">
        <w:t>6</w:t>
      </w:r>
      <w:r w:rsidRPr="00100001">
        <w:t>% of all mental health service users.</w:t>
      </w:r>
    </w:p>
    <w:p w14:paraId="48FE1302" w14:textId="77777777" w:rsidR="00753A1F" w:rsidRPr="00070764" w:rsidRDefault="00753A1F" w:rsidP="00753A1F">
      <w:pPr>
        <w:pStyle w:val="Bullet"/>
        <w:tabs>
          <w:tab w:val="num" w:pos="284"/>
        </w:tabs>
      </w:pPr>
      <w:r w:rsidRPr="00070764">
        <w:t xml:space="preserve">Among service users, 28.9% of Māori, </w:t>
      </w:r>
      <w:r w:rsidRPr="00501296">
        <w:t>27.2</w:t>
      </w:r>
      <w:r w:rsidRPr="00070764">
        <w:t>% of Pacific peoples and 27.</w:t>
      </w:r>
      <w:r w:rsidRPr="00501296">
        <w:t>5</w:t>
      </w:r>
      <w:r w:rsidRPr="00070764">
        <w:t>% of other ethnicities were aged under 20</w:t>
      </w:r>
      <w:r>
        <w:t xml:space="preserve"> years</w:t>
      </w:r>
      <w:r w:rsidRPr="00070764">
        <w:t>.</w:t>
      </w:r>
    </w:p>
    <w:p w14:paraId="562C192E" w14:textId="77777777" w:rsidR="00753A1F" w:rsidRPr="00BF19C4" w:rsidRDefault="00753A1F" w:rsidP="00753A1F">
      <w:pPr>
        <w:pStyle w:val="Bullet"/>
        <w:tabs>
          <w:tab w:val="num" w:pos="284"/>
        </w:tabs>
      </w:pPr>
      <w:r w:rsidRPr="00BF19C4">
        <w:t xml:space="preserve">Among </w:t>
      </w:r>
      <w:r>
        <w:t>people who were</w:t>
      </w:r>
      <w:r w:rsidRPr="00BF19C4">
        <w:t xml:space="preserve"> under a community treatment order, 4</w:t>
      </w:r>
      <w:r w:rsidRPr="00501296">
        <w:t>7</w:t>
      </w:r>
      <w:r w:rsidRPr="00BF19C4">
        <w:t xml:space="preserve">% of Māori and </w:t>
      </w:r>
      <w:r w:rsidRPr="00501296">
        <w:t>50</w:t>
      </w:r>
      <w:r w:rsidRPr="00BF19C4">
        <w:t>% of Pacific peoples were living in the most</w:t>
      </w:r>
      <w:r>
        <w:t xml:space="preserve"> socioeconomically</w:t>
      </w:r>
      <w:r w:rsidRPr="00BF19C4">
        <w:t xml:space="preserve"> deprived areas (quintile 5), compared with 2</w:t>
      </w:r>
      <w:r w:rsidRPr="00501296">
        <w:t>6</w:t>
      </w:r>
      <w:r w:rsidRPr="00BF19C4">
        <w:t>% of non-Māori</w:t>
      </w:r>
      <w:r>
        <w:t xml:space="preserve">, </w:t>
      </w:r>
      <w:r w:rsidRPr="00BF19C4">
        <w:t>non-Pacific peoples.</w:t>
      </w:r>
      <w:r w:rsidRPr="00BF19C4">
        <w:rPr>
          <w:rStyle w:val="FootnoteReference"/>
        </w:rPr>
        <w:footnoteReference w:id="11"/>
      </w:r>
    </w:p>
    <w:p w14:paraId="74CED14D" w14:textId="77777777" w:rsidR="00753A1F" w:rsidRDefault="00753A1F" w:rsidP="00753A1F">
      <w:pPr>
        <w:pStyle w:val="Heading2"/>
      </w:pPr>
      <w:bookmarkStart w:id="101" w:name="_Toc87429904"/>
      <w:bookmarkStart w:id="102" w:name="_Toc88826952"/>
      <w:bookmarkStart w:id="103" w:name="_Toc115188802"/>
      <w:bookmarkStart w:id="104" w:name="_Toc145394230"/>
      <w:bookmarkStart w:id="105" w:name="_Toc189053900"/>
      <w:bookmarkStart w:id="106" w:name="_Toc189647889"/>
      <w:r>
        <w:t>Compulsory assessment</w:t>
      </w:r>
      <w:bookmarkEnd w:id="101"/>
      <w:bookmarkEnd w:id="102"/>
      <w:bookmarkEnd w:id="103"/>
      <w:bookmarkEnd w:id="104"/>
      <w:bookmarkEnd w:id="105"/>
      <w:bookmarkEnd w:id="106"/>
    </w:p>
    <w:p w14:paraId="3D405DC6" w14:textId="797ACC74" w:rsidR="00753A1F" w:rsidRDefault="00753A1F" w:rsidP="00497443">
      <w:r>
        <w:t>In the 2022/23</w:t>
      </w:r>
      <w:r w:rsidDel="00116BD1">
        <w:t xml:space="preserve"> </w:t>
      </w:r>
      <w:r>
        <w:t xml:space="preserve">financial year, Māori were more likely to undergo compulsory assessment than other ethnicities. </w:t>
      </w:r>
      <w:r>
        <w:fldChar w:fldCharType="begin"/>
      </w:r>
      <w:r>
        <w:instrText xml:space="preserve"> REF _Ref85702326 \h </w:instrText>
      </w:r>
      <w:r w:rsidR="00497443">
        <w:instrText xml:space="preserve"> \* MERGEFORMAT </w:instrText>
      </w:r>
      <w:r>
        <w:fldChar w:fldCharType="separate"/>
      </w:r>
      <w:r w:rsidR="00753BC8" w:rsidRPr="00DE5DEE">
        <w:t>Table </w:t>
      </w:r>
      <w:r w:rsidR="00753BC8">
        <w:t>3</w:t>
      </w:r>
      <w:r>
        <w:fldChar w:fldCharType="end"/>
      </w:r>
      <w:r>
        <w:t xml:space="preserve"> shows the number of people subject to compulsory mental health assessment on a national level by ethnicity and the rate per 100,000 people in the general population.</w:t>
      </w:r>
    </w:p>
    <w:p w14:paraId="695A56DC" w14:textId="77777777" w:rsidR="00753A1F" w:rsidRPr="00A0332F" w:rsidRDefault="00753A1F" w:rsidP="00497443"/>
    <w:p w14:paraId="49C31F45" w14:textId="63EB2693" w:rsidR="00753A1F" w:rsidRDefault="00753A1F" w:rsidP="00753A1F">
      <w:pPr>
        <w:pStyle w:val="Table"/>
      </w:pPr>
      <w:bookmarkStart w:id="107" w:name="_Ref85702326"/>
      <w:bookmarkStart w:id="108" w:name="_Toc87430001"/>
      <w:bookmarkStart w:id="109" w:name="_Toc88561358"/>
      <w:bookmarkStart w:id="110" w:name="_Toc115188892"/>
      <w:bookmarkStart w:id="111" w:name="_Toc142314754"/>
      <w:bookmarkStart w:id="112" w:name="_Toc145394316"/>
      <w:bookmarkStart w:id="113" w:name="_Toc189053994"/>
      <w:bookmarkStart w:id="114" w:name="_Toc189647979"/>
      <w:r w:rsidRPr="00DE5DEE">
        <w:t>Table </w:t>
      </w:r>
      <w:r>
        <w:fldChar w:fldCharType="begin"/>
      </w:r>
      <w:r>
        <w:instrText>SEQ Table \* ARABIC</w:instrText>
      </w:r>
      <w:r>
        <w:fldChar w:fldCharType="separate"/>
      </w:r>
      <w:r w:rsidR="00753BC8">
        <w:rPr>
          <w:noProof/>
        </w:rPr>
        <w:t>3</w:t>
      </w:r>
      <w:r>
        <w:fldChar w:fldCharType="end"/>
      </w:r>
      <w:bookmarkEnd w:id="107"/>
      <w:r w:rsidRPr="00DE5DEE">
        <w:t>: Number</w:t>
      </w:r>
      <w:r>
        <w:t xml:space="preserve"> and rate</w:t>
      </w:r>
      <w:r w:rsidRPr="00DE5DEE">
        <w:t xml:space="preserve"> of people required to undergo assessment under section 11, 13 </w:t>
      </w:r>
      <w:r>
        <w:t>or</w:t>
      </w:r>
      <w:r w:rsidRPr="00DE5DEE">
        <w:t xml:space="preserve"> </w:t>
      </w:r>
      <w:r>
        <w:t>15</w:t>
      </w:r>
      <w:r w:rsidRPr="00DE5DEE">
        <w:t xml:space="preserve"> of the Mental Health Act, by ethnicity, 1 </w:t>
      </w:r>
      <w:bookmarkEnd w:id="108"/>
      <w:bookmarkEnd w:id="109"/>
      <w:r w:rsidRPr="00DE5DEE">
        <w:t>July 202</w:t>
      </w:r>
      <w:r>
        <w:t>2</w:t>
      </w:r>
      <w:r w:rsidRPr="00DE5DEE">
        <w:t xml:space="preserve"> to 30 June </w:t>
      </w:r>
      <w:bookmarkEnd w:id="110"/>
      <w:bookmarkEnd w:id="111"/>
      <w:bookmarkEnd w:id="112"/>
      <w:r w:rsidRPr="00DE5DEE">
        <w:t>202</w:t>
      </w:r>
      <w:r>
        <w:t>3</w:t>
      </w:r>
      <w:bookmarkEnd w:id="113"/>
      <w:bookmarkEnd w:id="114"/>
    </w:p>
    <w:tbl>
      <w:tblPr>
        <w:tblW w:w="8081" w:type="dxa"/>
        <w:tblInd w:w="57" w:type="dxa"/>
        <w:tblBorders>
          <w:bottom w:val="single" w:sz="4" w:space="0" w:color="A6A6A6" w:themeColor="background1" w:themeShade="A6"/>
          <w:insideH w:val="single" w:sz="4" w:space="0" w:color="A6A6A6" w:themeColor="background1" w:themeShade="A6"/>
        </w:tblBorders>
        <w:tblLayout w:type="fixed"/>
        <w:tblCellMar>
          <w:left w:w="57" w:type="dxa"/>
          <w:right w:w="57" w:type="dxa"/>
        </w:tblCellMar>
        <w:tblLook w:val="04A0" w:firstRow="1" w:lastRow="0" w:firstColumn="1" w:lastColumn="0" w:noHBand="0" w:noVBand="1"/>
      </w:tblPr>
      <w:tblGrid>
        <w:gridCol w:w="1560"/>
        <w:gridCol w:w="1086"/>
        <w:gridCol w:w="1087"/>
        <w:gridCol w:w="1087"/>
        <w:gridCol w:w="1087"/>
        <w:gridCol w:w="1087"/>
        <w:gridCol w:w="1087"/>
      </w:tblGrid>
      <w:tr w:rsidR="00497443" w:rsidRPr="00E92B72" w14:paraId="7648DF0D" w14:textId="77777777" w:rsidTr="00497443">
        <w:trPr>
          <w:cantSplit/>
        </w:trPr>
        <w:tc>
          <w:tcPr>
            <w:tcW w:w="1560" w:type="dxa"/>
            <w:tcBorders>
              <w:top w:val="nil"/>
              <w:bottom w:val="nil"/>
            </w:tcBorders>
            <w:shd w:val="clear" w:color="auto" w:fill="D9D9D9" w:themeFill="background1" w:themeFillShade="D9"/>
            <w:noWrap/>
          </w:tcPr>
          <w:p w14:paraId="6C7347A0" w14:textId="77777777" w:rsidR="00497443" w:rsidRPr="00E92B72" w:rsidRDefault="00497443" w:rsidP="00497F1D">
            <w:pPr>
              <w:pStyle w:val="TableText"/>
              <w:rPr>
                <w:b/>
              </w:rPr>
            </w:pPr>
          </w:p>
        </w:tc>
        <w:tc>
          <w:tcPr>
            <w:tcW w:w="2173" w:type="dxa"/>
            <w:gridSpan w:val="2"/>
            <w:tcBorders>
              <w:top w:val="nil"/>
              <w:bottom w:val="nil"/>
              <w:right w:val="nil"/>
            </w:tcBorders>
            <w:shd w:val="clear" w:color="auto" w:fill="D9D9D9" w:themeFill="background1" w:themeFillShade="D9"/>
          </w:tcPr>
          <w:p w14:paraId="1D8FBB5D" w14:textId="77777777" w:rsidR="00497443" w:rsidRPr="00E92B72" w:rsidRDefault="00497443" w:rsidP="00497F1D">
            <w:pPr>
              <w:pStyle w:val="TableText"/>
              <w:jc w:val="center"/>
              <w:rPr>
                <w:b/>
                <w:color w:val="000000"/>
                <w:szCs w:val="18"/>
                <w:lang w:eastAsia="en-NZ"/>
              </w:rPr>
            </w:pPr>
            <w:r w:rsidRPr="00E92B72">
              <w:rPr>
                <w:b/>
                <w:color w:val="000000"/>
                <w:szCs w:val="18"/>
                <w:lang w:eastAsia="en-NZ"/>
              </w:rPr>
              <w:t>Section 11</w:t>
            </w:r>
          </w:p>
        </w:tc>
        <w:tc>
          <w:tcPr>
            <w:tcW w:w="2174" w:type="dxa"/>
            <w:gridSpan w:val="2"/>
            <w:tcBorders>
              <w:top w:val="nil"/>
              <w:left w:val="nil"/>
              <w:bottom w:val="nil"/>
              <w:right w:val="nil"/>
            </w:tcBorders>
            <w:shd w:val="clear" w:color="auto" w:fill="D9D9D9" w:themeFill="background1" w:themeFillShade="D9"/>
          </w:tcPr>
          <w:p w14:paraId="2E13AA8A" w14:textId="77777777" w:rsidR="00497443" w:rsidRPr="00E92B72" w:rsidRDefault="00497443" w:rsidP="00497F1D">
            <w:pPr>
              <w:pStyle w:val="TableText"/>
              <w:jc w:val="center"/>
              <w:rPr>
                <w:b/>
                <w:color w:val="000000"/>
                <w:szCs w:val="18"/>
                <w:lang w:eastAsia="en-NZ"/>
              </w:rPr>
            </w:pPr>
            <w:r w:rsidRPr="00E92B72">
              <w:rPr>
                <w:b/>
                <w:color w:val="000000"/>
                <w:szCs w:val="18"/>
                <w:lang w:eastAsia="en-NZ"/>
              </w:rPr>
              <w:t>Section 13</w:t>
            </w:r>
          </w:p>
        </w:tc>
        <w:tc>
          <w:tcPr>
            <w:tcW w:w="2174" w:type="dxa"/>
            <w:gridSpan w:val="2"/>
            <w:tcBorders>
              <w:top w:val="nil"/>
              <w:left w:val="nil"/>
              <w:bottom w:val="nil"/>
            </w:tcBorders>
            <w:shd w:val="clear" w:color="auto" w:fill="D9D9D9" w:themeFill="background1" w:themeFillShade="D9"/>
          </w:tcPr>
          <w:p w14:paraId="43823C1C" w14:textId="77777777" w:rsidR="00497443" w:rsidRPr="00E92B72" w:rsidRDefault="00497443" w:rsidP="00497F1D">
            <w:pPr>
              <w:pStyle w:val="TableText"/>
              <w:jc w:val="center"/>
              <w:rPr>
                <w:b/>
                <w:color w:val="000000"/>
                <w:szCs w:val="18"/>
                <w:lang w:eastAsia="en-NZ"/>
              </w:rPr>
            </w:pPr>
            <w:r w:rsidRPr="00E92B72">
              <w:rPr>
                <w:b/>
                <w:color w:val="000000"/>
                <w:szCs w:val="18"/>
                <w:lang w:eastAsia="en-NZ"/>
              </w:rPr>
              <w:t xml:space="preserve">Section </w:t>
            </w:r>
            <w:r>
              <w:rPr>
                <w:b/>
                <w:color w:val="000000"/>
                <w:szCs w:val="18"/>
                <w:lang w:eastAsia="en-NZ"/>
              </w:rPr>
              <w:t>15</w:t>
            </w:r>
          </w:p>
        </w:tc>
      </w:tr>
      <w:tr w:rsidR="00497443" w:rsidRPr="00E92B72" w14:paraId="3390D783" w14:textId="77777777" w:rsidTr="00497443">
        <w:trPr>
          <w:cantSplit/>
        </w:trPr>
        <w:tc>
          <w:tcPr>
            <w:tcW w:w="1560" w:type="dxa"/>
            <w:tcBorders>
              <w:top w:val="nil"/>
              <w:bottom w:val="nil"/>
            </w:tcBorders>
            <w:shd w:val="clear" w:color="auto" w:fill="D9D9D9" w:themeFill="background1" w:themeFillShade="D9"/>
            <w:noWrap/>
            <w:hideMark/>
          </w:tcPr>
          <w:p w14:paraId="64A1F09A" w14:textId="77777777" w:rsidR="00497443" w:rsidRPr="00E92B72" w:rsidRDefault="00497443" w:rsidP="00497F1D">
            <w:pPr>
              <w:pStyle w:val="TableText"/>
              <w:spacing w:before="0"/>
              <w:rPr>
                <w:b/>
              </w:rPr>
            </w:pPr>
            <w:r w:rsidRPr="00E92B72">
              <w:rPr>
                <w:b/>
                <w:color w:val="000000"/>
                <w:szCs w:val="18"/>
                <w:lang w:eastAsia="en-NZ"/>
              </w:rPr>
              <w:t>Ethnicity</w:t>
            </w:r>
          </w:p>
        </w:tc>
        <w:tc>
          <w:tcPr>
            <w:tcW w:w="1086" w:type="dxa"/>
            <w:tcBorders>
              <w:top w:val="nil"/>
              <w:bottom w:val="nil"/>
              <w:right w:val="nil"/>
            </w:tcBorders>
            <w:shd w:val="clear" w:color="auto" w:fill="D9D9D9" w:themeFill="background1" w:themeFillShade="D9"/>
            <w:hideMark/>
          </w:tcPr>
          <w:p w14:paraId="33983FF4" w14:textId="77777777" w:rsidR="00497443" w:rsidRPr="00E92B72" w:rsidRDefault="00497443" w:rsidP="00497F1D">
            <w:pPr>
              <w:pStyle w:val="TableText"/>
              <w:spacing w:before="0"/>
              <w:jc w:val="center"/>
              <w:rPr>
                <w:b/>
                <w:color w:val="000000"/>
                <w:szCs w:val="18"/>
                <w:lang w:eastAsia="en-NZ"/>
              </w:rPr>
            </w:pPr>
            <w:r w:rsidRPr="00E92B72">
              <w:rPr>
                <w:b/>
                <w:color w:val="000000"/>
                <w:szCs w:val="18"/>
                <w:lang w:eastAsia="en-NZ"/>
              </w:rPr>
              <w:t>Number</w:t>
            </w:r>
          </w:p>
        </w:tc>
        <w:tc>
          <w:tcPr>
            <w:tcW w:w="1087" w:type="dxa"/>
            <w:tcBorders>
              <w:top w:val="nil"/>
              <w:left w:val="nil"/>
              <w:bottom w:val="nil"/>
              <w:right w:val="nil"/>
            </w:tcBorders>
            <w:shd w:val="clear" w:color="auto" w:fill="D9D9D9" w:themeFill="background1" w:themeFillShade="D9"/>
            <w:hideMark/>
          </w:tcPr>
          <w:p w14:paraId="72DA3EB7" w14:textId="77777777" w:rsidR="00497443" w:rsidRPr="00E92B72" w:rsidRDefault="00497443" w:rsidP="00497F1D">
            <w:pPr>
              <w:pStyle w:val="TableText"/>
              <w:spacing w:before="0"/>
              <w:jc w:val="center"/>
              <w:rPr>
                <w:b/>
                <w:color w:val="000000"/>
                <w:szCs w:val="18"/>
                <w:lang w:eastAsia="en-NZ"/>
              </w:rPr>
            </w:pPr>
            <w:r w:rsidRPr="00E92B72">
              <w:rPr>
                <w:b/>
                <w:color w:val="000000"/>
                <w:szCs w:val="18"/>
                <w:lang w:eastAsia="en-NZ"/>
              </w:rPr>
              <w:t>Rate</w:t>
            </w:r>
          </w:p>
        </w:tc>
        <w:tc>
          <w:tcPr>
            <w:tcW w:w="1087" w:type="dxa"/>
            <w:tcBorders>
              <w:top w:val="nil"/>
              <w:left w:val="nil"/>
              <w:bottom w:val="nil"/>
              <w:right w:val="nil"/>
            </w:tcBorders>
            <w:shd w:val="clear" w:color="auto" w:fill="D9D9D9" w:themeFill="background1" w:themeFillShade="D9"/>
            <w:hideMark/>
          </w:tcPr>
          <w:p w14:paraId="39A4F2D5" w14:textId="77777777" w:rsidR="00497443" w:rsidRPr="00E92B72" w:rsidRDefault="00497443" w:rsidP="00497F1D">
            <w:pPr>
              <w:pStyle w:val="TableText"/>
              <w:spacing w:before="0"/>
              <w:jc w:val="center"/>
              <w:rPr>
                <w:b/>
                <w:color w:val="000000"/>
                <w:szCs w:val="18"/>
                <w:lang w:eastAsia="en-NZ"/>
              </w:rPr>
            </w:pPr>
            <w:r w:rsidRPr="00E92B72">
              <w:rPr>
                <w:b/>
                <w:color w:val="000000"/>
                <w:szCs w:val="18"/>
                <w:lang w:eastAsia="en-NZ"/>
              </w:rPr>
              <w:t>Number</w:t>
            </w:r>
          </w:p>
        </w:tc>
        <w:tc>
          <w:tcPr>
            <w:tcW w:w="1087" w:type="dxa"/>
            <w:tcBorders>
              <w:top w:val="nil"/>
              <w:left w:val="nil"/>
              <w:bottom w:val="nil"/>
              <w:right w:val="nil"/>
            </w:tcBorders>
            <w:shd w:val="clear" w:color="auto" w:fill="D9D9D9" w:themeFill="background1" w:themeFillShade="D9"/>
            <w:hideMark/>
          </w:tcPr>
          <w:p w14:paraId="0804B511" w14:textId="77777777" w:rsidR="00497443" w:rsidRPr="00E92B72" w:rsidRDefault="00497443" w:rsidP="00497F1D">
            <w:pPr>
              <w:pStyle w:val="TableText"/>
              <w:spacing w:before="0"/>
              <w:jc w:val="center"/>
              <w:rPr>
                <w:b/>
                <w:color w:val="000000"/>
                <w:szCs w:val="18"/>
                <w:lang w:eastAsia="en-NZ"/>
              </w:rPr>
            </w:pPr>
            <w:r w:rsidRPr="00E92B72">
              <w:rPr>
                <w:b/>
                <w:color w:val="000000"/>
                <w:szCs w:val="18"/>
                <w:lang w:eastAsia="en-NZ"/>
              </w:rPr>
              <w:t>Rate</w:t>
            </w:r>
          </w:p>
        </w:tc>
        <w:tc>
          <w:tcPr>
            <w:tcW w:w="1087" w:type="dxa"/>
            <w:tcBorders>
              <w:top w:val="nil"/>
              <w:left w:val="nil"/>
              <w:bottom w:val="nil"/>
              <w:right w:val="nil"/>
            </w:tcBorders>
            <w:shd w:val="clear" w:color="auto" w:fill="D9D9D9" w:themeFill="background1" w:themeFillShade="D9"/>
            <w:hideMark/>
          </w:tcPr>
          <w:p w14:paraId="37A2FEEE" w14:textId="77777777" w:rsidR="00497443" w:rsidRPr="00E92B72" w:rsidRDefault="00497443" w:rsidP="00497F1D">
            <w:pPr>
              <w:pStyle w:val="TableText"/>
              <w:spacing w:before="0"/>
              <w:jc w:val="center"/>
              <w:rPr>
                <w:b/>
                <w:color w:val="000000"/>
                <w:szCs w:val="18"/>
                <w:lang w:eastAsia="en-NZ"/>
              </w:rPr>
            </w:pPr>
            <w:r w:rsidRPr="00E92B72">
              <w:rPr>
                <w:b/>
                <w:color w:val="000000"/>
                <w:szCs w:val="18"/>
                <w:lang w:eastAsia="en-NZ"/>
              </w:rPr>
              <w:t>Number</w:t>
            </w:r>
          </w:p>
        </w:tc>
        <w:tc>
          <w:tcPr>
            <w:tcW w:w="1087" w:type="dxa"/>
            <w:tcBorders>
              <w:top w:val="nil"/>
              <w:left w:val="nil"/>
              <w:bottom w:val="nil"/>
            </w:tcBorders>
            <w:shd w:val="clear" w:color="auto" w:fill="D9D9D9" w:themeFill="background1" w:themeFillShade="D9"/>
            <w:hideMark/>
          </w:tcPr>
          <w:p w14:paraId="031ABB51" w14:textId="77777777" w:rsidR="00497443" w:rsidRPr="00E92B72" w:rsidRDefault="00497443" w:rsidP="00497F1D">
            <w:pPr>
              <w:pStyle w:val="TableText"/>
              <w:spacing w:before="0"/>
              <w:jc w:val="center"/>
              <w:rPr>
                <w:b/>
                <w:color w:val="000000"/>
                <w:szCs w:val="18"/>
                <w:lang w:eastAsia="en-NZ"/>
              </w:rPr>
            </w:pPr>
            <w:r w:rsidRPr="00E92B72">
              <w:rPr>
                <w:b/>
                <w:color w:val="000000"/>
                <w:szCs w:val="18"/>
                <w:lang w:eastAsia="en-NZ"/>
              </w:rPr>
              <w:t>Rate</w:t>
            </w:r>
          </w:p>
        </w:tc>
      </w:tr>
      <w:tr w:rsidR="00497443" w:rsidRPr="00E92B72" w14:paraId="43D6E333" w14:textId="77777777" w:rsidTr="00497443">
        <w:trPr>
          <w:cantSplit/>
        </w:trPr>
        <w:tc>
          <w:tcPr>
            <w:tcW w:w="1560" w:type="dxa"/>
            <w:tcBorders>
              <w:top w:val="nil"/>
            </w:tcBorders>
            <w:shd w:val="clear" w:color="auto" w:fill="auto"/>
            <w:noWrap/>
            <w:hideMark/>
          </w:tcPr>
          <w:p w14:paraId="56A88233" w14:textId="77777777" w:rsidR="00497443" w:rsidRPr="00E92B72" w:rsidRDefault="00497443" w:rsidP="00497F1D">
            <w:pPr>
              <w:pStyle w:val="TableText"/>
              <w:rPr>
                <w:color w:val="000000"/>
                <w:szCs w:val="18"/>
                <w:lang w:eastAsia="en-NZ"/>
              </w:rPr>
            </w:pPr>
            <w:r w:rsidRPr="00E92B72">
              <w:rPr>
                <w:color w:val="000000"/>
                <w:szCs w:val="18"/>
                <w:lang w:eastAsia="en-NZ"/>
              </w:rPr>
              <w:t>Māori</w:t>
            </w:r>
          </w:p>
        </w:tc>
        <w:tc>
          <w:tcPr>
            <w:tcW w:w="1086" w:type="dxa"/>
            <w:tcBorders>
              <w:top w:val="nil"/>
            </w:tcBorders>
            <w:shd w:val="clear" w:color="auto" w:fill="auto"/>
            <w:noWrap/>
            <w:hideMark/>
          </w:tcPr>
          <w:p w14:paraId="1997C58E" w14:textId="77777777" w:rsidR="00497443" w:rsidRPr="00E92B72" w:rsidRDefault="00497443" w:rsidP="00497F1D">
            <w:pPr>
              <w:pStyle w:val="TableText"/>
              <w:tabs>
                <w:tab w:val="decimal" w:pos="680"/>
              </w:tabs>
              <w:rPr>
                <w:szCs w:val="18"/>
                <w:lang w:eastAsia="en-NZ"/>
              </w:rPr>
            </w:pPr>
            <w:r w:rsidRPr="00E92B72">
              <w:t>2,</w:t>
            </w:r>
            <w:r w:rsidRPr="00501296">
              <w:t>245</w:t>
            </w:r>
          </w:p>
        </w:tc>
        <w:tc>
          <w:tcPr>
            <w:tcW w:w="1087" w:type="dxa"/>
            <w:tcBorders>
              <w:top w:val="nil"/>
            </w:tcBorders>
            <w:shd w:val="clear" w:color="auto" w:fill="auto"/>
            <w:noWrap/>
            <w:hideMark/>
          </w:tcPr>
          <w:p w14:paraId="6E82A90E" w14:textId="77777777" w:rsidR="00497443" w:rsidRPr="00E92B72" w:rsidRDefault="00497443" w:rsidP="00497F1D">
            <w:pPr>
              <w:pStyle w:val="TableText"/>
              <w:tabs>
                <w:tab w:val="decimal" w:pos="567"/>
              </w:tabs>
              <w:rPr>
                <w:color w:val="000000"/>
                <w:szCs w:val="18"/>
                <w:lang w:eastAsia="en-NZ"/>
              </w:rPr>
            </w:pPr>
            <w:r w:rsidRPr="00501296">
              <w:t>248.7</w:t>
            </w:r>
          </w:p>
        </w:tc>
        <w:tc>
          <w:tcPr>
            <w:tcW w:w="1087" w:type="dxa"/>
            <w:tcBorders>
              <w:top w:val="nil"/>
            </w:tcBorders>
            <w:shd w:val="clear" w:color="auto" w:fill="auto"/>
            <w:noWrap/>
            <w:hideMark/>
          </w:tcPr>
          <w:p w14:paraId="259C8170" w14:textId="77777777" w:rsidR="00497443" w:rsidRPr="00E92B72" w:rsidRDefault="00497443" w:rsidP="00497F1D">
            <w:pPr>
              <w:pStyle w:val="TableText"/>
              <w:tabs>
                <w:tab w:val="decimal" w:pos="680"/>
              </w:tabs>
              <w:rPr>
                <w:szCs w:val="18"/>
                <w:lang w:eastAsia="en-NZ"/>
              </w:rPr>
            </w:pPr>
            <w:r w:rsidRPr="00501296">
              <w:t>1,988</w:t>
            </w:r>
          </w:p>
        </w:tc>
        <w:tc>
          <w:tcPr>
            <w:tcW w:w="1087" w:type="dxa"/>
            <w:tcBorders>
              <w:top w:val="nil"/>
            </w:tcBorders>
            <w:shd w:val="clear" w:color="auto" w:fill="auto"/>
            <w:noWrap/>
            <w:hideMark/>
          </w:tcPr>
          <w:p w14:paraId="001E6934" w14:textId="77777777" w:rsidR="00497443" w:rsidRPr="00E92B72" w:rsidRDefault="00497443" w:rsidP="00497F1D">
            <w:pPr>
              <w:pStyle w:val="TableText"/>
              <w:tabs>
                <w:tab w:val="decimal" w:pos="567"/>
              </w:tabs>
              <w:rPr>
                <w:color w:val="000000"/>
                <w:szCs w:val="18"/>
                <w:lang w:eastAsia="en-NZ"/>
              </w:rPr>
            </w:pPr>
            <w:r w:rsidRPr="00501296">
              <w:t>220.2</w:t>
            </w:r>
          </w:p>
        </w:tc>
        <w:tc>
          <w:tcPr>
            <w:tcW w:w="1087" w:type="dxa"/>
            <w:tcBorders>
              <w:top w:val="nil"/>
            </w:tcBorders>
            <w:shd w:val="clear" w:color="auto" w:fill="auto"/>
            <w:noWrap/>
            <w:hideMark/>
          </w:tcPr>
          <w:p w14:paraId="29B69641" w14:textId="77777777" w:rsidR="00497443" w:rsidRPr="00E92B72" w:rsidRDefault="00497443" w:rsidP="00497F1D">
            <w:pPr>
              <w:pStyle w:val="TableText"/>
              <w:tabs>
                <w:tab w:val="decimal" w:pos="680"/>
              </w:tabs>
              <w:rPr>
                <w:szCs w:val="18"/>
                <w:lang w:eastAsia="en-NZ"/>
              </w:rPr>
            </w:pPr>
            <w:r w:rsidRPr="00501296">
              <w:t>1,456</w:t>
            </w:r>
          </w:p>
        </w:tc>
        <w:tc>
          <w:tcPr>
            <w:tcW w:w="1087" w:type="dxa"/>
            <w:tcBorders>
              <w:top w:val="nil"/>
            </w:tcBorders>
            <w:shd w:val="clear" w:color="auto" w:fill="auto"/>
            <w:noWrap/>
            <w:hideMark/>
          </w:tcPr>
          <w:p w14:paraId="5CAF1574" w14:textId="77777777" w:rsidR="00497443" w:rsidRPr="00E92B72" w:rsidRDefault="00497443" w:rsidP="00497F1D">
            <w:pPr>
              <w:pStyle w:val="TableText"/>
              <w:tabs>
                <w:tab w:val="decimal" w:pos="567"/>
              </w:tabs>
              <w:rPr>
                <w:color w:val="000000"/>
                <w:szCs w:val="18"/>
                <w:lang w:eastAsia="en-NZ"/>
              </w:rPr>
            </w:pPr>
            <w:r w:rsidRPr="00501296">
              <w:t>161.3</w:t>
            </w:r>
          </w:p>
        </w:tc>
      </w:tr>
      <w:tr w:rsidR="00497443" w:rsidRPr="00E92B72" w14:paraId="0799A7E9" w14:textId="77777777" w:rsidTr="00497443">
        <w:trPr>
          <w:cantSplit/>
        </w:trPr>
        <w:tc>
          <w:tcPr>
            <w:tcW w:w="1560" w:type="dxa"/>
            <w:shd w:val="clear" w:color="auto" w:fill="auto"/>
            <w:noWrap/>
          </w:tcPr>
          <w:p w14:paraId="25D6F020" w14:textId="77777777" w:rsidR="00497443" w:rsidRPr="00E92B72" w:rsidRDefault="00497443" w:rsidP="00497F1D">
            <w:pPr>
              <w:pStyle w:val="TableText"/>
              <w:rPr>
                <w:color w:val="000000"/>
                <w:szCs w:val="18"/>
                <w:lang w:eastAsia="en-NZ"/>
              </w:rPr>
            </w:pPr>
            <w:r w:rsidRPr="00E92B72">
              <w:rPr>
                <w:color w:val="000000"/>
                <w:szCs w:val="18"/>
                <w:lang w:eastAsia="en-NZ"/>
              </w:rPr>
              <w:t>Pacific peoples</w:t>
            </w:r>
          </w:p>
        </w:tc>
        <w:tc>
          <w:tcPr>
            <w:tcW w:w="1086" w:type="dxa"/>
            <w:shd w:val="clear" w:color="auto" w:fill="auto"/>
            <w:noWrap/>
          </w:tcPr>
          <w:p w14:paraId="41C6B1E0" w14:textId="77777777" w:rsidR="00497443" w:rsidRPr="00E92B72" w:rsidRDefault="00497443" w:rsidP="00497F1D">
            <w:pPr>
              <w:pStyle w:val="TableText"/>
              <w:tabs>
                <w:tab w:val="decimal" w:pos="680"/>
              </w:tabs>
              <w:rPr>
                <w:szCs w:val="18"/>
                <w:lang w:eastAsia="en-NZ"/>
              </w:rPr>
            </w:pPr>
            <w:r w:rsidRPr="00501296">
              <w:t>359</w:t>
            </w:r>
          </w:p>
        </w:tc>
        <w:tc>
          <w:tcPr>
            <w:tcW w:w="1087" w:type="dxa"/>
            <w:shd w:val="clear" w:color="auto" w:fill="auto"/>
            <w:noWrap/>
          </w:tcPr>
          <w:p w14:paraId="7EA2A554" w14:textId="77777777" w:rsidR="00497443" w:rsidRPr="00E92B72" w:rsidRDefault="00497443" w:rsidP="00497F1D">
            <w:pPr>
              <w:pStyle w:val="TableText"/>
              <w:tabs>
                <w:tab w:val="decimal" w:pos="567"/>
              </w:tabs>
              <w:rPr>
                <w:color w:val="000000"/>
                <w:szCs w:val="18"/>
                <w:lang w:eastAsia="en-NZ"/>
              </w:rPr>
            </w:pPr>
            <w:r w:rsidRPr="00501296">
              <w:t>97.8</w:t>
            </w:r>
          </w:p>
        </w:tc>
        <w:tc>
          <w:tcPr>
            <w:tcW w:w="1087" w:type="dxa"/>
            <w:shd w:val="clear" w:color="auto" w:fill="auto"/>
            <w:noWrap/>
          </w:tcPr>
          <w:p w14:paraId="40AD883E" w14:textId="77777777" w:rsidR="00497443" w:rsidRPr="00E92B72" w:rsidRDefault="00497443" w:rsidP="00497F1D">
            <w:pPr>
              <w:pStyle w:val="TableText"/>
              <w:tabs>
                <w:tab w:val="decimal" w:pos="680"/>
              </w:tabs>
              <w:rPr>
                <w:szCs w:val="18"/>
                <w:lang w:eastAsia="en-NZ"/>
              </w:rPr>
            </w:pPr>
            <w:r w:rsidRPr="00501296">
              <w:t>366</w:t>
            </w:r>
          </w:p>
        </w:tc>
        <w:tc>
          <w:tcPr>
            <w:tcW w:w="1087" w:type="dxa"/>
            <w:shd w:val="clear" w:color="auto" w:fill="auto"/>
            <w:noWrap/>
          </w:tcPr>
          <w:p w14:paraId="5C508EC2" w14:textId="77777777" w:rsidR="00497443" w:rsidRPr="00E92B72" w:rsidRDefault="00497443" w:rsidP="00497F1D">
            <w:pPr>
              <w:pStyle w:val="TableText"/>
              <w:tabs>
                <w:tab w:val="decimal" w:pos="567"/>
              </w:tabs>
              <w:rPr>
                <w:color w:val="000000"/>
                <w:szCs w:val="18"/>
                <w:lang w:eastAsia="en-NZ"/>
              </w:rPr>
            </w:pPr>
            <w:r w:rsidRPr="00501296">
              <w:t>99.8</w:t>
            </w:r>
          </w:p>
        </w:tc>
        <w:tc>
          <w:tcPr>
            <w:tcW w:w="1087" w:type="dxa"/>
            <w:shd w:val="clear" w:color="auto" w:fill="auto"/>
            <w:noWrap/>
          </w:tcPr>
          <w:p w14:paraId="19819952" w14:textId="77777777" w:rsidR="00497443" w:rsidRPr="00E92B72" w:rsidRDefault="00497443" w:rsidP="00497F1D">
            <w:pPr>
              <w:pStyle w:val="TableText"/>
              <w:tabs>
                <w:tab w:val="decimal" w:pos="680"/>
              </w:tabs>
              <w:rPr>
                <w:szCs w:val="18"/>
                <w:lang w:eastAsia="en-NZ"/>
              </w:rPr>
            </w:pPr>
            <w:r w:rsidRPr="00501296">
              <w:t>305</w:t>
            </w:r>
          </w:p>
        </w:tc>
        <w:tc>
          <w:tcPr>
            <w:tcW w:w="1087" w:type="dxa"/>
            <w:shd w:val="clear" w:color="auto" w:fill="auto"/>
            <w:noWrap/>
          </w:tcPr>
          <w:p w14:paraId="1BE3A766" w14:textId="77777777" w:rsidR="00497443" w:rsidRPr="00E92B72" w:rsidRDefault="00497443" w:rsidP="00497F1D">
            <w:pPr>
              <w:pStyle w:val="TableText"/>
              <w:tabs>
                <w:tab w:val="decimal" w:pos="567"/>
              </w:tabs>
              <w:rPr>
                <w:color w:val="000000"/>
                <w:szCs w:val="18"/>
                <w:lang w:eastAsia="en-NZ"/>
              </w:rPr>
            </w:pPr>
            <w:r w:rsidRPr="00501296">
              <w:t>83.1</w:t>
            </w:r>
          </w:p>
        </w:tc>
      </w:tr>
      <w:tr w:rsidR="00497443" w:rsidRPr="00E92B72" w14:paraId="0B205DF3" w14:textId="77777777" w:rsidTr="00497443">
        <w:trPr>
          <w:cantSplit/>
        </w:trPr>
        <w:tc>
          <w:tcPr>
            <w:tcW w:w="1560" w:type="dxa"/>
            <w:shd w:val="clear" w:color="auto" w:fill="auto"/>
            <w:noWrap/>
          </w:tcPr>
          <w:p w14:paraId="2CCB3D6F" w14:textId="77777777" w:rsidR="00497443" w:rsidRPr="00E92B72" w:rsidRDefault="00497443" w:rsidP="00497F1D">
            <w:pPr>
              <w:pStyle w:val="TableText"/>
              <w:rPr>
                <w:color w:val="000000"/>
                <w:szCs w:val="18"/>
                <w:lang w:eastAsia="en-NZ"/>
              </w:rPr>
            </w:pPr>
            <w:r w:rsidRPr="00E92B72">
              <w:rPr>
                <w:color w:val="000000"/>
                <w:szCs w:val="18"/>
                <w:lang w:eastAsia="en-NZ"/>
              </w:rPr>
              <w:t>Other</w:t>
            </w:r>
          </w:p>
        </w:tc>
        <w:tc>
          <w:tcPr>
            <w:tcW w:w="1086" w:type="dxa"/>
            <w:shd w:val="clear" w:color="auto" w:fill="auto"/>
            <w:noWrap/>
          </w:tcPr>
          <w:p w14:paraId="0C00901D" w14:textId="77777777" w:rsidR="00497443" w:rsidRPr="00E92B72" w:rsidRDefault="00497443" w:rsidP="00497F1D">
            <w:pPr>
              <w:pStyle w:val="TableText"/>
              <w:tabs>
                <w:tab w:val="decimal" w:pos="680"/>
              </w:tabs>
              <w:rPr>
                <w:szCs w:val="18"/>
                <w:lang w:eastAsia="en-NZ"/>
              </w:rPr>
            </w:pPr>
            <w:r w:rsidRPr="00501296">
              <w:t>3,331</w:t>
            </w:r>
          </w:p>
        </w:tc>
        <w:tc>
          <w:tcPr>
            <w:tcW w:w="1087" w:type="dxa"/>
            <w:shd w:val="clear" w:color="auto" w:fill="auto"/>
            <w:noWrap/>
          </w:tcPr>
          <w:p w14:paraId="0CA55246" w14:textId="77777777" w:rsidR="00497443" w:rsidRPr="00E92B72" w:rsidRDefault="00497443" w:rsidP="00497F1D">
            <w:pPr>
              <w:pStyle w:val="TableText"/>
              <w:tabs>
                <w:tab w:val="decimal" w:pos="567"/>
              </w:tabs>
              <w:rPr>
                <w:color w:val="000000"/>
                <w:szCs w:val="18"/>
                <w:lang w:eastAsia="en-NZ"/>
              </w:rPr>
            </w:pPr>
            <w:r w:rsidRPr="00501296">
              <w:t>84.1</w:t>
            </w:r>
          </w:p>
        </w:tc>
        <w:tc>
          <w:tcPr>
            <w:tcW w:w="1087" w:type="dxa"/>
            <w:shd w:val="clear" w:color="auto" w:fill="auto"/>
            <w:noWrap/>
          </w:tcPr>
          <w:p w14:paraId="3D520193" w14:textId="77777777" w:rsidR="00497443" w:rsidRPr="00E92B72" w:rsidRDefault="00497443" w:rsidP="00497F1D">
            <w:pPr>
              <w:pStyle w:val="TableText"/>
              <w:tabs>
                <w:tab w:val="decimal" w:pos="680"/>
              </w:tabs>
              <w:rPr>
                <w:lang w:eastAsia="en-NZ"/>
              </w:rPr>
            </w:pPr>
            <w:r w:rsidRPr="00501296">
              <w:t>2,907</w:t>
            </w:r>
          </w:p>
        </w:tc>
        <w:tc>
          <w:tcPr>
            <w:tcW w:w="1087" w:type="dxa"/>
            <w:shd w:val="clear" w:color="auto" w:fill="auto"/>
            <w:noWrap/>
          </w:tcPr>
          <w:p w14:paraId="0E133C72" w14:textId="77777777" w:rsidR="00497443" w:rsidRPr="00E92B72" w:rsidRDefault="00497443" w:rsidP="00497F1D">
            <w:pPr>
              <w:pStyle w:val="TableText"/>
              <w:tabs>
                <w:tab w:val="decimal" w:pos="567"/>
              </w:tabs>
              <w:rPr>
                <w:color w:val="000000"/>
                <w:szCs w:val="18"/>
                <w:lang w:eastAsia="en-NZ"/>
              </w:rPr>
            </w:pPr>
            <w:r w:rsidRPr="00501296">
              <w:t>73.4</w:t>
            </w:r>
          </w:p>
        </w:tc>
        <w:tc>
          <w:tcPr>
            <w:tcW w:w="1087" w:type="dxa"/>
            <w:shd w:val="clear" w:color="auto" w:fill="auto"/>
            <w:noWrap/>
          </w:tcPr>
          <w:p w14:paraId="1302A54D" w14:textId="77777777" w:rsidR="00497443" w:rsidRPr="00E92B72" w:rsidRDefault="00497443" w:rsidP="00497F1D">
            <w:pPr>
              <w:pStyle w:val="TableText"/>
              <w:tabs>
                <w:tab w:val="decimal" w:pos="680"/>
              </w:tabs>
              <w:rPr>
                <w:szCs w:val="18"/>
                <w:lang w:eastAsia="en-NZ"/>
              </w:rPr>
            </w:pPr>
            <w:r w:rsidRPr="00501296">
              <w:t>1,984</w:t>
            </w:r>
          </w:p>
        </w:tc>
        <w:tc>
          <w:tcPr>
            <w:tcW w:w="1087" w:type="dxa"/>
            <w:shd w:val="clear" w:color="auto" w:fill="auto"/>
            <w:noWrap/>
          </w:tcPr>
          <w:p w14:paraId="678C442D" w14:textId="77777777" w:rsidR="00497443" w:rsidRPr="00E92B72" w:rsidRDefault="00497443" w:rsidP="00497F1D">
            <w:pPr>
              <w:pStyle w:val="TableText"/>
              <w:tabs>
                <w:tab w:val="decimal" w:pos="567"/>
              </w:tabs>
              <w:rPr>
                <w:color w:val="000000"/>
                <w:szCs w:val="18"/>
                <w:lang w:eastAsia="en-NZ"/>
              </w:rPr>
            </w:pPr>
            <w:r w:rsidRPr="00501296">
              <w:t>50.1</w:t>
            </w:r>
          </w:p>
        </w:tc>
      </w:tr>
      <w:tr w:rsidR="00497443" w:rsidRPr="00E92B72" w14:paraId="0766DC68" w14:textId="77777777" w:rsidTr="00497443">
        <w:trPr>
          <w:cantSplit/>
        </w:trPr>
        <w:tc>
          <w:tcPr>
            <w:tcW w:w="1560" w:type="dxa"/>
            <w:shd w:val="clear" w:color="auto" w:fill="auto"/>
            <w:noWrap/>
            <w:hideMark/>
          </w:tcPr>
          <w:p w14:paraId="73C0E075" w14:textId="77777777" w:rsidR="00497443" w:rsidRPr="00E92B72" w:rsidRDefault="00497443" w:rsidP="00497F1D">
            <w:pPr>
              <w:pStyle w:val="TableText"/>
              <w:rPr>
                <w:b/>
                <w:color w:val="000000"/>
                <w:szCs w:val="18"/>
                <w:lang w:eastAsia="en-NZ"/>
              </w:rPr>
            </w:pPr>
            <w:r>
              <w:rPr>
                <w:b/>
                <w:color w:val="000000"/>
                <w:szCs w:val="18"/>
                <w:lang w:eastAsia="en-NZ"/>
              </w:rPr>
              <w:t>All</w:t>
            </w:r>
          </w:p>
        </w:tc>
        <w:tc>
          <w:tcPr>
            <w:tcW w:w="1086" w:type="dxa"/>
            <w:shd w:val="clear" w:color="auto" w:fill="auto"/>
            <w:noWrap/>
            <w:hideMark/>
          </w:tcPr>
          <w:p w14:paraId="496FD6A6" w14:textId="77777777" w:rsidR="00497443" w:rsidRPr="00E92B72" w:rsidRDefault="00497443" w:rsidP="00497F1D">
            <w:pPr>
              <w:pStyle w:val="TableText"/>
              <w:tabs>
                <w:tab w:val="decimal" w:pos="680"/>
              </w:tabs>
              <w:rPr>
                <w:b/>
                <w:szCs w:val="18"/>
                <w:lang w:eastAsia="en-NZ"/>
              </w:rPr>
            </w:pPr>
            <w:r w:rsidRPr="00501296">
              <w:rPr>
                <w:b/>
                <w:szCs w:val="18"/>
                <w:lang w:eastAsia="en-NZ"/>
              </w:rPr>
              <w:t>5,935</w:t>
            </w:r>
          </w:p>
        </w:tc>
        <w:tc>
          <w:tcPr>
            <w:tcW w:w="1087" w:type="dxa"/>
            <w:shd w:val="clear" w:color="auto" w:fill="auto"/>
            <w:noWrap/>
            <w:hideMark/>
          </w:tcPr>
          <w:p w14:paraId="628A78BE" w14:textId="77777777" w:rsidR="00497443" w:rsidRPr="00E92B72" w:rsidRDefault="00497443" w:rsidP="00497F1D">
            <w:pPr>
              <w:pStyle w:val="TableText"/>
              <w:tabs>
                <w:tab w:val="decimal" w:pos="567"/>
              </w:tabs>
              <w:rPr>
                <w:b/>
                <w:color w:val="000000"/>
                <w:szCs w:val="18"/>
                <w:lang w:eastAsia="en-NZ"/>
              </w:rPr>
            </w:pPr>
            <w:r>
              <w:rPr>
                <w:b/>
                <w:color w:val="000000"/>
                <w:szCs w:val="18"/>
                <w:lang w:eastAsia="en-NZ"/>
              </w:rPr>
              <w:t>113.5</w:t>
            </w:r>
          </w:p>
        </w:tc>
        <w:tc>
          <w:tcPr>
            <w:tcW w:w="1087" w:type="dxa"/>
            <w:shd w:val="clear" w:color="auto" w:fill="auto"/>
            <w:noWrap/>
            <w:hideMark/>
          </w:tcPr>
          <w:p w14:paraId="7546F413" w14:textId="77777777" w:rsidR="00497443" w:rsidRPr="00E92B72" w:rsidRDefault="00497443" w:rsidP="00497F1D">
            <w:pPr>
              <w:pStyle w:val="TableText"/>
              <w:tabs>
                <w:tab w:val="decimal" w:pos="680"/>
              </w:tabs>
              <w:rPr>
                <w:b/>
                <w:szCs w:val="18"/>
                <w:lang w:eastAsia="en-NZ"/>
              </w:rPr>
            </w:pPr>
            <w:r w:rsidRPr="00501296">
              <w:rPr>
                <w:b/>
                <w:szCs w:val="18"/>
                <w:lang w:eastAsia="en-NZ"/>
              </w:rPr>
              <w:t>5,261</w:t>
            </w:r>
          </w:p>
        </w:tc>
        <w:tc>
          <w:tcPr>
            <w:tcW w:w="1087" w:type="dxa"/>
            <w:shd w:val="clear" w:color="auto" w:fill="auto"/>
            <w:noWrap/>
            <w:hideMark/>
          </w:tcPr>
          <w:p w14:paraId="3E0E820D" w14:textId="77777777" w:rsidR="00497443" w:rsidRPr="00E92B72" w:rsidRDefault="00497443" w:rsidP="00497F1D">
            <w:pPr>
              <w:pStyle w:val="TableText"/>
              <w:tabs>
                <w:tab w:val="decimal" w:pos="567"/>
              </w:tabs>
              <w:rPr>
                <w:b/>
                <w:color w:val="000000"/>
                <w:szCs w:val="18"/>
                <w:lang w:eastAsia="en-NZ"/>
              </w:rPr>
            </w:pPr>
            <w:r>
              <w:rPr>
                <w:b/>
                <w:color w:val="000000"/>
                <w:szCs w:val="18"/>
                <w:lang w:eastAsia="en-NZ"/>
              </w:rPr>
              <w:t>100.6</w:t>
            </w:r>
          </w:p>
        </w:tc>
        <w:tc>
          <w:tcPr>
            <w:tcW w:w="1087" w:type="dxa"/>
            <w:shd w:val="clear" w:color="auto" w:fill="auto"/>
            <w:noWrap/>
            <w:hideMark/>
          </w:tcPr>
          <w:p w14:paraId="4D9FFE05" w14:textId="77777777" w:rsidR="00497443" w:rsidRPr="00E92B72" w:rsidRDefault="00497443" w:rsidP="00497F1D">
            <w:pPr>
              <w:pStyle w:val="TableText"/>
              <w:tabs>
                <w:tab w:val="decimal" w:pos="680"/>
              </w:tabs>
              <w:rPr>
                <w:b/>
                <w:szCs w:val="18"/>
                <w:lang w:eastAsia="en-NZ"/>
              </w:rPr>
            </w:pPr>
            <w:r w:rsidRPr="00501296">
              <w:rPr>
                <w:b/>
                <w:szCs w:val="18"/>
                <w:lang w:eastAsia="en-NZ"/>
              </w:rPr>
              <w:t>3,745</w:t>
            </w:r>
          </w:p>
        </w:tc>
        <w:tc>
          <w:tcPr>
            <w:tcW w:w="1087" w:type="dxa"/>
            <w:shd w:val="clear" w:color="auto" w:fill="auto"/>
            <w:noWrap/>
            <w:hideMark/>
          </w:tcPr>
          <w:p w14:paraId="0DE0E2BB" w14:textId="77777777" w:rsidR="00497443" w:rsidRPr="00E92B72" w:rsidRDefault="00497443" w:rsidP="00497F1D">
            <w:pPr>
              <w:pStyle w:val="TableText"/>
              <w:tabs>
                <w:tab w:val="decimal" w:pos="567"/>
              </w:tabs>
              <w:rPr>
                <w:b/>
                <w:color w:val="000000"/>
                <w:szCs w:val="18"/>
                <w:lang w:eastAsia="en-NZ"/>
              </w:rPr>
            </w:pPr>
            <w:r>
              <w:rPr>
                <w:b/>
                <w:color w:val="000000"/>
                <w:szCs w:val="18"/>
                <w:lang w:eastAsia="en-NZ"/>
              </w:rPr>
              <w:t>71.6</w:t>
            </w:r>
          </w:p>
        </w:tc>
      </w:tr>
    </w:tbl>
    <w:p w14:paraId="1022254D" w14:textId="77777777" w:rsidR="00497443" w:rsidRPr="00D40D3F" w:rsidRDefault="00497443" w:rsidP="00497443">
      <w:pPr>
        <w:pStyle w:val="Note"/>
      </w:pPr>
      <w:r w:rsidRPr="00E92B72">
        <w:t xml:space="preserve">Notes: Section </w:t>
      </w:r>
      <w:r>
        <w:t>15</w:t>
      </w:r>
      <w:r w:rsidRPr="00E92B72">
        <w:t xml:space="preserve"> data include</w:t>
      </w:r>
      <w:r>
        <w:t>s</w:t>
      </w:r>
      <w:r w:rsidRPr="00E92B72">
        <w:t xml:space="preserve"> PRIMHD records for </w:t>
      </w:r>
      <w:r>
        <w:t>its sub</w:t>
      </w:r>
      <w:r w:rsidRPr="00E92B72">
        <w:t>section</w:t>
      </w:r>
      <w:r>
        <w:t>s</w:t>
      </w:r>
      <w:r w:rsidRPr="00E92B72">
        <w:t xml:space="preserve"> (1) and (2). These section 15 provisions describe similar circumstances in which a patient is waiting for a court decision on compulsory treatment. </w:t>
      </w:r>
    </w:p>
    <w:p w14:paraId="08FDB233" w14:textId="77777777" w:rsidR="00497443" w:rsidRDefault="00497443" w:rsidP="00497443">
      <w:pPr>
        <w:pStyle w:val="Source"/>
      </w:pPr>
      <w:r w:rsidRPr="00D40D3F">
        <w:t>Source</w:t>
      </w:r>
      <w:r>
        <w:t>s</w:t>
      </w:r>
      <w:r w:rsidRPr="00D40D3F">
        <w:t>: PRIMHD data (</w:t>
      </w:r>
      <w:r>
        <w:t>extracted 28 February 2024</w:t>
      </w:r>
      <w:r w:rsidRPr="00D40D3F">
        <w:t>)</w:t>
      </w:r>
      <w:r>
        <w:t xml:space="preserve"> and manual data from Health New Zealand Waikato.</w:t>
      </w:r>
    </w:p>
    <w:p w14:paraId="07A9FCFD" w14:textId="77777777" w:rsidR="00497443" w:rsidRPr="00200234" w:rsidRDefault="00497443" w:rsidP="00497443">
      <w:pPr>
        <w:pStyle w:val="Heading2"/>
      </w:pPr>
      <w:bookmarkStart w:id="115" w:name="_Toc87429905"/>
      <w:bookmarkStart w:id="116" w:name="_Toc88826953"/>
      <w:bookmarkStart w:id="117" w:name="_Toc115188803"/>
      <w:bookmarkStart w:id="118" w:name="_Toc145394231"/>
      <w:bookmarkStart w:id="119" w:name="_Toc189053901"/>
      <w:bookmarkStart w:id="120" w:name="_Toc189647890"/>
      <w:r>
        <w:t>Compulsory</w:t>
      </w:r>
      <w:r w:rsidRPr="00200234">
        <w:t xml:space="preserve"> treatment orders</w:t>
      </w:r>
      <w:bookmarkEnd w:id="115"/>
      <w:bookmarkEnd w:id="116"/>
      <w:bookmarkEnd w:id="117"/>
      <w:bookmarkEnd w:id="118"/>
      <w:bookmarkEnd w:id="119"/>
      <w:bookmarkEnd w:id="120"/>
    </w:p>
    <w:p w14:paraId="1F5B1AB4" w14:textId="15320E0A" w:rsidR="00497443" w:rsidRDefault="00497443" w:rsidP="00497443">
      <w:r>
        <w:fldChar w:fldCharType="begin"/>
      </w:r>
      <w:r>
        <w:instrText xml:space="preserve"> REF _Ref85700499 \h </w:instrText>
      </w:r>
      <w:r>
        <w:fldChar w:fldCharType="separate"/>
      </w:r>
      <w:r w:rsidR="00753BC8" w:rsidRPr="009C1A2A">
        <w:t>Table </w:t>
      </w:r>
      <w:r w:rsidR="00753BC8">
        <w:rPr>
          <w:noProof/>
        </w:rPr>
        <w:t>4</w:t>
      </w:r>
      <w:r>
        <w:fldChar w:fldCharType="end"/>
      </w:r>
      <w:r>
        <w:t xml:space="preserve"> shows that </w:t>
      </w:r>
      <w:r w:rsidRPr="00200234">
        <w:t>Māori were more likely to be subject to community and inpatient treatment orders tha</w:t>
      </w:r>
      <w:r>
        <w:t>n Pacific peoples and other ethnicities</w:t>
      </w:r>
      <w:r w:rsidRPr="00200234">
        <w:t xml:space="preserve">. </w:t>
      </w:r>
      <w:r>
        <w:t>These figures represent the number of people who were subject to a CTO during the 2022/23 financial year, rather than the number of CTOs issued for the year.</w:t>
      </w:r>
    </w:p>
    <w:p w14:paraId="051C25FD" w14:textId="77777777" w:rsidR="00497443" w:rsidRDefault="00497443" w:rsidP="00497443"/>
    <w:p w14:paraId="23EA1009" w14:textId="4B99E89C" w:rsidR="00497443" w:rsidRPr="009C1A2A" w:rsidRDefault="00497443" w:rsidP="00497443">
      <w:pPr>
        <w:pStyle w:val="Table"/>
      </w:pPr>
      <w:bookmarkStart w:id="121" w:name="_Ref85700499"/>
      <w:bookmarkStart w:id="122" w:name="_Toc87430002"/>
      <w:bookmarkStart w:id="123" w:name="_Toc88561359"/>
      <w:bookmarkStart w:id="124" w:name="_Toc115188893"/>
      <w:bookmarkStart w:id="125" w:name="_Toc142314755"/>
      <w:bookmarkStart w:id="126" w:name="_Toc145394317"/>
      <w:bookmarkStart w:id="127" w:name="_Toc189053995"/>
      <w:bookmarkStart w:id="128" w:name="_Toc189647980"/>
      <w:r w:rsidRPr="009C1A2A">
        <w:t>Table </w:t>
      </w:r>
      <w:r w:rsidRPr="009C1A2A">
        <w:fldChar w:fldCharType="begin"/>
      </w:r>
      <w:r w:rsidRPr="009C1A2A">
        <w:instrText>SEQ Table \* ARABIC</w:instrText>
      </w:r>
      <w:r w:rsidRPr="009C1A2A">
        <w:fldChar w:fldCharType="separate"/>
      </w:r>
      <w:r w:rsidR="00753BC8">
        <w:rPr>
          <w:noProof/>
        </w:rPr>
        <w:t>4</w:t>
      </w:r>
      <w:r w:rsidRPr="009C1A2A">
        <w:fldChar w:fldCharType="end"/>
      </w:r>
      <w:bookmarkEnd w:id="121"/>
      <w:r w:rsidRPr="009C1A2A">
        <w:t xml:space="preserve">: Number and rate of people subject to a </w:t>
      </w:r>
      <w:r>
        <w:t>compulsory treatment order</w:t>
      </w:r>
      <w:r w:rsidRPr="009C1A2A">
        <w:t xml:space="preserve"> under section 29 or 30 of the Mental Health Act, by ethnicity, 1 </w:t>
      </w:r>
      <w:bookmarkEnd w:id="122"/>
      <w:bookmarkEnd w:id="123"/>
      <w:r w:rsidRPr="009C1A2A">
        <w:t xml:space="preserve">July 2022 to 30 June </w:t>
      </w:r>
      <w:bookmarkEnd w:id="124"/>
      <w:bookmarkEnd w:id="125"/>
      <w:bookmarkEnd w:id="126"/>
      <w:r w:rsidRPr="009C1A2A">
        <w:t>2023</w:t>
      </w:r>
      <w:bookmarkEnd w:id="127"/>
      <w:bookmarkEnd w:id="128"/>
    </w:p>
    <w:tbl>
      <w:tblPr>
        <w:tblW w:w="0" w:type="auto"/>
        <w:tblBorders>
          <w:bottom w:val="single" w:sz="4" w:space="0" w:color="A6A6A6" w:themeColor="background1" w:themeShade="A6"/>
          <w:insideH w:val="single" w:sz="4" w:space="0" w:color="A6A6A6" w:themeColor="background1" w:themeShade="A6"/>
        </w:tblBorders>
        <w:tblLook w:val="04A0" w:firstRow="1" w:lastRow="0" w:firstColumn="1" w:lastColumn="0" w:noHBand="0" w:noVBand="1"/>
      </w:tblPr>
      <w:tblGrid>
        <w:gridCol w:w="1980"/>
        <w:gridCol w:w="1522"/>
        <w:gridCol w:w="1522"/>
        <w:gridCol w:w="1522"/>
        <w:gridCol w:w="1523"/>
      </w:tblGrid>
      <w:tr w:rsidR="00497443" w:rsidRPr="009C1A2A" w14:paraId="75E664C9" w14:textId="77777777" w:rsidTr="00497443">
        <w:tc>
          <w:tcPr>
            <w:tcW w:w="1980" w:type="dxa"/>
            <w:tcBorders>
              <w:top w:val="nil"/>
              <w:bottom w:val="nil"/>
            </w:tcBorders>
            <w:shd w:val="clear" w:color="auto" w:fill="D9D9D9" w:themeFill="background1" w:themeFillShade="D9"/>
            <w:vAlign w:val="bottom"/>
          </w:tcPr>
          <w:p w14:paraId="6575FACA" w14:textId="77777777" w:rsidR="00497443" w:rsidRPr="009C1A2A" w:rsidRDefault="00497443" w:rsidP="00497F1D">
            <w:pPr>
              <w:pStyle w:val="TableText"/>
              <w:rPr>
                <w:b/>
              </w:rPr>
            </w:pPr>
          </w:p>
        </w:tc>
        <w:tc>
          <w:tcPr>
            <w:tcW w:w="3044" w:type="dxa"/>
            <w:gridSpan w:val="2"/>
            <w:tcBorders>
              <w:bottom w:val="nil"/>
            </w:tcBorders>
            <w:shd w:val="clear" w:color="auto" w:fill="D9D9D9" w:themeFill="background1" w:themeFillShade="D9"/>
          </w:tcPr>
          <w:p w14:paraId="7A230932" w14:textId="77777777" w:rsidR="00497443" w:rsidRPr="009C1A2A" w:rsidRDefault="00497443" w:rsidP="00497F1D">
            <w:pPr>
              <w:pStyle w:val="TableText"/>
              <w:jc w:val="center"/>
              <w:rPr>
                <w:b/>
              </w:rPr>
            </w:pPr>
            <w:r w:rsidRPr="009C1A2A">
              <w:rPr>
                <w:b/>
              </w:rPr>
              <w:t>Section 29</w:t>
            </w:r>
          </w:p>
        </w:tc>
        <w:tc>
          <w:tcPr>
            <w:tcW w:w="3045" w:type="dxa"/>
            <w:gridSpan w:val="2"/>
            <w:tcBorders>
              <w:bottom w:val="nil"/>
            </w:tcBorders>
            <w:shd w:val="clear" w:color="auto" w:fill="D9D9D9" w:themeFill="background1" w:themeFillShade="D9"/>
          </w:tcPr>
          <w:p w14:paraId="2D24BFFF" w14:textId="77777777" w:rsidR="00497443" w:rsidRPr="009C1A2A" w:rsidRDefault="00497443" w:rsidP="00497F1D">
            <w:pPr>
              <w:pStyle w:val="TableText"/>
              <w:jc w:val="center"/>
              <w:rPr>
                <w:b/>
              </w:rPr>
            </w:pPr>
            <w:r w:rsidRPr="009C1A2A">
              <w:rPr>
                <w:b/>
              </w:rPr>
              <w:t>Section 30</w:t>
            </w:r>
          </w:p>
        </w:tc>
      </w:tr>
      <w:tr w:rsidR="00497443" w:rsidRPr="009C1A2A" w14:paraId="74E7FF9F" w14:textId="77777777" w:rsidTr="00497443">
        <w:trPr>
          <w:trHeight w:val="113"/>
        </w:trPr>
        <w:tc>
          <w:tcPr>
            <w:tcW w:w="1980" w:type="dxa"/>
            <w:tcBorders>
              <w:top w:val="nil"/>
              <w:bottom w:val="nil"/>
            </w:tcBorders>
            <w:shd w:val="clear" w:color="auto" w:fill="D9D9D9" w:themeFill="background1" w:themeFillShade="D9"/>
          </w:tcPr>
          <w:p w14:paraId="22B57A58" w14:textId="77777777" w:rsidR="00497443" w:rsidRPr="009C1A2A" w:rsidRDefault="00497443" w:rsidP="00497F1D">
            <w:pPr>
              <w:pStyle w:val="TableText"/>
              <w:rPr>
                <w:b/>
              </w:rPr>
            </w:pPr>
            <w:r w:rsidRPr="009C1A2A">
              <w:rPr>
                <w:b/>
              </w:rPr>
              <w:t>Ethnicity</w:t>
            </w:r>
          </w:p>
        </w:tc>
        <w:tc>
          <w:tcPr>
            <w:tcW w:w="1522" w:type="dxa"/>
            <w:tcBorders>
              <w:top w:val="nil"/>
              <w:bottom w:val="nil"/>
            </w:tcBorders>
            <w:shd w:val="clear" w:color="auto" w:fill="D9D9D9" w:themeFill="background1" w:themeFillShade="D9"/>
          </w:tcPr>
          <w:p w14:paraId="2723373F" w14:textId="77777777" w:rsidR="00497443" w:rsidRPr="009C1A2A" w:rsidRDefault="00497443" w:rsidP="00497F1D">
            <w:pPr>
              <w:pStyle w:val="TableText"/>
              <w:jc w:val="center"/>
              <w:rPr>
                <w:b/>
              </w:rPr>
            </w:pPr>
            <w:r w:rsidRPr="009C1A2A">
              <w:rPr>
                <w:b/>
              </w:rPr>
              <w:t>Number</w:t>
            </w:r>
          </w:p>
        </w:tc>
        <w:tc>
          <w:tcPr>
            <w:tcW w:w="1522" w:type="dxa"/>
            <w:tcBorders>
              <w:top w:val="nil"/>
              <w:bottom w:val="nil"/>
            </w:tcBorders>
            <w:shd w:val="clear" w:color="auto" w:fill="D9D9D9" w:themeFill="background1" w:themeFillShade="D9"/>
          </w:tcPr>
          <w:p w14:paraId="0D0B24FC" w14:textId="77777777" w:rsidR="00497443" w:rsidRPr="009C1A2A" w:rsidRDefault="00497443" w:rsidP="00497F1D">
            <w:pPr>
              <w:pStyle w:val="TableText"/>
              <w:jc w:val="center"/>
              <w:rPr>
                <w:b/>
              </w:rPr>
            </w:pPr>
            <w:r w:rsidRPr="009C1A2A">
              <w:rPr>
                <w:b/>
              </w:rPr>
              <w:t>Rate</w:t>
            </w:r>
          </w:p>
        </w:tc>
        <w:tc>
          <w:tcPr>
            <w:tcW w:w="1522" w:type="dxa"/>
            <w:tcBorders>
              <w:top w:val="nil"/>
              <w:bottom w:val="nil"/>
            </w:tcBorders>
            <w:shd w:val="clear" w:color="auto" w:fill="D9D9D9" w:themeFill="background1" w:themeFillShade="D9"/>
          </w:tcPr>
          <w:p w14:paraId="7F969AC1" w14:textId="77777777" w:rsidR="00497443" w:rsidRPr="009C1A2A" w:rsidRDefault="00497443" w:rsidP="00497F1D">
            <w:pPr>
              <w:pStyle w:val="TableText"/>
              <w:jc w:val="center"/>
              <w:rPr>
                <w:b/>
              </w:rPr>
            </w:pPr>
            <w:r w:rsidRPr="009C1A2A">
              <w:rPr>
                <w:b/>
              </w:rPr>
              <w:t>Number</w:t>
            </w:r>
          </w:p>
        </w:tc>
        <w:tc>
          <w:tcPr>
            <w:tcW w:w="1523" w:type="dxa"/>
            <w:tcBorders>
              <w:top w:val="nil"/>
              <w:bottom w:val="nil"/>
            </w:tcBorders>
            <w:shd w:val="clear" w:color="auto" w:fill="D9D9D9" w:themeFill="background1" w:themeFillShade="D9"/>
          </w:tcPr>
          <w:p w14:paraId="4FBBDBB1" w14:textId="77777777" w:rsidR="00497443" w:rsidRPr="009C1A2A" w:rsidRDefault="00497443" w:rsidP="00497F1D">
            <w:pPr>
              <w:pStyle w:val="TableText"/>
              <w:jc w:val="center"/>
              <w:rPr>
                <w:b/>
              </w:rPr>
            </w:pPr>
            <w:r w:rsidRPr="009C1A2A">
              <w:rPr>
                <w:b/>
              </w:rPr>
              <w:t>Rate</w:t>
            </w:r>
          </w:p>
        </w:tc>
      </w:tr>
      <w:tr w:rsidR="00497443" w:rsidRPr="009C1A2A" w14:paraId="08026FEB" w14:textId="77777777" w:rsidTr="00497443">
        <w:tc>
          <w:tcPr>
            <w:tcW w:w="1980" w:type="dxa"/>
            <w:tcBorders>
              <w:top w:val="nil"/>
            </w:tcBorders>
          </w:tcPr>
          <w:p w14:paraId="03466D4D" w14:textId="77777777" w:rsidR="00497443" w:rsidRPr="009C1A2A" w:rsidRDefault="00497443" w:rsidP="00497F1D">
            <w:pPr>
              <w:pStyle w:val="TableText"/>
            </w:pPr>
            <w:r w:rsidRPr="009C1A2A">
              <w:t>Māori</w:t>
            </w:r>
          </w:p>
        </w:tc>
        <w:tc>
          <w:tcPr>
            <w:tcW w:w="1522" w:type="dxa"/>
            <w:tcBorders>
              <w:top w:val="nil"/>
            </w:tcBorders>
          </w:tcPr>
          <w:p w14:paraId="3FDBE43C" w14:textId="77777777" w:rsidR="00497443" w:rsidRPr="009C1A2A" w:rsidRDefault="00497443" w:rsidP="00497F1D">
            <w:pPr>
              <w:pStyle w:val="TableText"/>
              <w:ind w:right="486"/>
              <w:jc w:val="right"/>
            </w:pPr>
            <w:r w:rsidRPr="009C1A2A">
              <w:t>2,7</w:t>
            </w:r>
            <w:r w:rsidRPr="00501296">
              <w:t>63</w:t>
            </w:r>
          </w:p>
        </w:tc>
        <w:tc>
          <w:tcPr>
            <w:tcW w:w="1522" w:type="dxa"/>
            <w:tcBorders>
              <w:top w:val="nil"/>
            </w:tcBorders>
          </w:tcPr>
          <w:p w14:paraId="71CFB3A7" w14:textId="77777777" w:rsidR="00497443" w:rsidRPr="009C1A2A" w:rsidRDefault="00497443" w:rsidP="00497F1D">
            <w:pPr>
              <w:pStyle w:val="TableText"/>
              <w:spacing w:line="259" w:lineRule="auto"/>
              <w:ind w:right="486"/>
              <w:jc w:val="right"/>
            </w:pPr>
            <w:r>
              <w:t>306.1</w:t>
            </w:r>
          </w:p>
        </w:tc>
        <w:tc>
          <w:tcPr>
            <w:tcW w:w="1522" w:type="dxa"/>
            <w:tcBorders>
              <w:top w:val="nil"/>
            </w:tcBorders>
          </w:tcPr>
          <w:p w14:paraId="482C070D" w14:textId="77777777" w:rsidR="00497443" w:rsidRPr="009C1A2A" w:rsidRDefault="00497443" w:rsidP="00497F1D">
            <w:pPr>
              <w:pStyle w:val="TableText"/>
              <w:ind w:right="486"/>
              <w:jc w:val="right"/>
            </w:pPr>
            <w:r w:rsidRPr="00501296">
              <w:t>928</w:t>
            </w:r>
          </w:p>
        </w:tc>
        <w:tc>
          <w:tcPr>
            <w:tcW w:w="1523" w:type="dxa"/>
            <w:tcBorders>
              <w:top w:val="nil"/>
            </w:tcBorders>
          </w:tcPr>
          <w:p w14:paraId="5C176173" w14:textId="77777777" w:rsidR="00497443" w:rsidRPr="009C1A2A" w:rsidRDefault="00497443" w:rsidP="00497F1D">
            <w:pPr>
              <w:pStyle w:val="TableText"/>
              <w:ind w:right="486"/>
              <w:jc w:val="right"/>
            </w:pPr>
            <w:r>
              <w:t>102.8</w:t>
            </w:r>
          </w:p>
        </w:tc>
      </w:tr>
      <w:tr w:rsidR="00497443" w:rsidRPr="009C1A2A" w14:paraId="163B5FF6" w14:textId="77777777" w:rsidTr="00497443">
        <w:tc>
          <w:tcPr>
            <w:tcW w:w="1980" w:type="dxa"/>
          </w:tcPr>
          <w:p w14:paraId="608C3681" w14:textId="77777777" w:rsidR="00497443" w:rsidRPr="009C1A2A" w:rsidRDefault="00497443" w:rsidP="00497F1D">
            <w:pPr>
              <w:pStyle w:val="TableText"/>
            </w:pPr>
            <w:r w:rsidRPr="009C1A2A">
              <w:t>Pacific peoples</w:t>
            </w:r>
          </w:p>
        </w:tc>
        <w:tc>
          <w:tcPr>
            <w:tcW w:w="1522" w:type="dxa"/>
          </w:tcPr>
          <w:p w14:paraId="7E13CC2D" w14:textId="77777777" w:rsidR="00497443" w:rsidRPr="009C1A2A" w:rsidRDefault="00497443" w:rsidP="00497F1D">
            <w:pPr>
              <w:pStyle w:val="TableText"/>
              <w:ind w:right="486"/>
              <w:jc w:val="right"/>
            </w:pPr>
            <w:r w:rsidRPr="00501296">
              <w:t>618</w:t>
            </w:r>
          </w:p>
        </w:tc>
        <w:tc>
          <w:tcPr>
            <w:tcW w:w="1522" w:type="dxa"/>
          </w:tcPr>
          <w:p w14:paraId="588CC7F7" w14:textId="77777777" w:rsidR="00497443" w:rsidRPr="009C1A2A" w:rsidRDefault="00497443" w:rsidP="00497F1D">
            <w:pPr>
              <w:pStyle w:val="TableText"/>
              <w:spacing w:line="259" w:lineRule="auto"/>
              <w:ind w:right="486"/>
              <w:jc w:val="right"/>
            </w:pPr>
            <w:r>
              <w:t>168.4</w:t>
            </w:r>
          </w:p>
        </w:tc>
        <w:tc>
          <w:tcPr>
            <w:tcW w:w="1522" w:type="dxa"/>
          </w:tcPr>
          <w:p w14:paraId="2BE0450B" w14:textId="77777777" w:rsidR="00497443" w:rsidRPr="009C1A2A" w:rsidRDefault="00497443" w:rsidP="00497F1D">
            <w:pPr>
              <w:pStyle w:val="TableText"/>
              <w:ind w:right="486"/>
              <w:jc w:val="right"/>
            </w:pPr>
            <w:r w:rsidRPr="00501296">
              <w:t>232</w:t>
            </w:r>
          </w:p>
        </w:tc>
        <w:tc>
          <w:tcPr>
            <w:tcW w:w="1523" w:type="dxa"/>
          </w:tcPr>
          <w:p w14:paraId="55C58991" w14:textId="77777777" w:rsidR="00497443" w:rsidRPr="009C1A2A" w:rsidRDefault="00497443" w:rsidP="00497F1D">
            <w:pPr>
              <w:pStyle w:val="TableText"/>
              <w:ind w:right="486"/>
              <w:jc w:val="right"/>
            </w:pPr>
            <w:r>
              <w:t>63.2</w:t>
            </w:r>
          </w:p>
        </w:tc>
      </w:tr>
      <w:tr w:rsidR="00497443" w:rsidRPr="009C1A2A" w14:paraId="1E32E3A0" w14:textId="77777777" w:rsidTr="00497443">
        <w:tc>
          <w:tcPr>
            <w:tcW w:w="1980" w:type="dxa"/>
          </w:tcPr>
          <w:p w14:paraId="7EDD2380" w14:textId="77777777" w:rsidR="00497443" w:rsidRPr="009C1A2A" w:rsidRDefault="00497443" w:rsidP="00497F1D">
            <w:pPr>
              <w:pStyle w:val="TableText"/>
            </w:pPr>
            <w:r w:rsidRPr="009C1A2A">
              <w:t>Other</w:t>
            </w:r>
          </w:p>
        </w:tc>
        <w:tc>
          <w:tcPr>
            <w:tcW w:w="1522" w:type="dxa"/>
          </w:tcPr>
          <w:p w14:paraId="04A7DC1E" w14:textId="77777777" w:rsidR="00497443" w:rsidRPr="009C1A2A" w:rsidRDefault="00497443" w:rsidP="00497F1D">
            <w:pPr>
              <w:pStyle w:val="TableText"/>
              <w:ind w:right="486"/>
              <w:jc w:val="right"/>
            </w:pPr>
            <w:r w:rsidRPr="00501296">
              <w:t>3,444</w:t>
            </w:r>
          </w:p>
        </w:tc>
        <w:tc>
          <w:tcPr>
            <w:tcW w:w="1522" w:type="dxa"/>
          </w:tcPr>
          <w:p w14:paraId="36B40CB1" w14:textId="77777777" w:rsidR="00497443" w:rsidRPr="009C1A2A" w:rsidRDefault="00497443" w:rsidP="00497F1D">
            <w:pPr>
              <w:pStyle w:val="TableText"/>
              <w:spacing w:line="259" w:lineRule="auto"/>
              <w:ind w:right="486"/>
              <w:jc w:val="right"/>
            </w:pPr>
            <w:r>
              <w:t>87.0</w:t>
            </w:r>
          </w:p>
        </w:tc>
        <w:tc>
          <w:tcPr>
            <w:tcW w:w="1522" w:type="dxa"/>
          </w:tcPr>
          <w:p w14:paraId="3457B912" w14:textId="77777777" w:rsidR="00497443" w:rsidRPr="009C1A2A" w:rsidRDefault="00497443" w:rsidP="00497F1D">
            <w:pPr>
              <w:pStyle w:val="TableText"/>
              <w:ind w:right="486"/>
              <w:jc w:val="right"/>
            </w:pPr>
            <w:r w:rsidRPr="00501296">
              <w:t>1,182</w:t>
            </w:r>
          </w:p>
        </w:tc>
        <w:tc>
          <w:tcPr>
            <w:tcW w:w="1523" w:type="dxa"/>
          </w:tcPr>
          <w:p w14:paraId="2463A80E" w14:textId="77777777" w:rsidR="00497443" w:rsidRPr="009C1A2A" w:rsidRDefault="00497443" w:rsidP="00497F1D">
            <w:pPr>
              <w:pStyle w:val="TableText"/>
              <w:ind w:right="486"/>
              <w:jc w:val="right"/>
            </w:pPr>
            <w:r>
              <w:t>29.9</w:t>
            </w:r>
          </w:p>
        </w:tc>
      </w:tr>
      <w:tr w:rsidR="00497443" w:rsidRPr="009C1A2A" w14:paraId="3D99A95B" w14:textId="77777777" w:rsidTr="00497443">
        <w:tc>
          <w:tcPr>
            <w:tcW w:w="1980" w:type="dxa"/>
          </w:tcPr>
          <w:p w14:paraId="21532FFE" w14:textId="77777777" w:rsidR="00497443" w:rsidRPr="009C1A2A" w:rsidRDefault="00497443" w:rsidP="00497F1D">
            <w:pPr>
              <w:pStyle w:val="TableText"/>
              <w:rPr>
                <w:b/>
              </w:rPr>
            </w:pPr>
            <w:r>
              <w:rPr>
                <w:b/>
              </w:rPr>
              <w:t>All</w:t>
            </w:r>
          </w:p>
        </w:tc>
        <w:tc>
          <w:tcPr>
            <w:tcW w:w="1522" w:type="dxa"/>
          </w:tcPr>
          <w:p w14:paraId="0F64E5F7" w14:textId="77777777" w:rsidR="00497443" w:rsidRPr="009C1A2A" w:rsidRDefault="00497443" w:rsidP="00497F1D">
            <w:pPr>
              <w:pStyle w:val="TableText"/>
              <w:ind w:right="486"/>
              <w:jc w:val="right"/>
              <w:rPr>
                <w:b/>
              </w:rPr>
            </w:pPr>
            <w:r w:rsidRPr="00501296">
              <w:rPr>
                <w:b/>
              </w:rPr>
              <w:t>6,825</w:t>
            </w:r>
          </w:p>
        </w:tc>
        <w:tc>
          <w:tcPr>
            <w:tcW w:w="1522" w:type="dxa"/>
          </w:tcPr>
          <w:p w14:paraId="2CD6DB2C" w14:textId="77777777" w:rsidR="00497443" w:rsidRPr="009C1A2A" w:rsidRDefault="00497443" w:rsidP="00497F1D">
            <w:pPr>
              <w:pStyle w:val="TableText"/>
              <w:ind w:right="486"/>
              <w:jc w:val="right"/>
              <w:rPr>
                <w:b/>
              </w:rPr>
            </w:pPr>
            <w:r w:rsidRPr="3E172675">
              <w:rPr>
                <w:b/>
                <w:bCs/>
              </w:rPr>
              <w:t>130.5</w:t>
            </w:r>
          </w:p>
        </w:tc>
        <w:tc>
          <w:tcPr>
            <w:tcW w:w="1522" w:type="dxa"/>
          </w:tcPr>
          <w:p w14:paraId="49A2E16E" w14:textId="77777777" w:rsidR="00497443" w:rsidRPr="009C1A2A" w:rsidRDefault="00497443" w:rsidP="00497F1D">
            <w:pPr>
              <w:pStyle w:val="TableText"/>
              <w:ind w:right="486"/>
              <w:jc w:val="right"/>
              <w:rPr>
                <w:b/>
              </w:rPr>
            </w:pPr>
            <w:r w:rsidRPr="00501296">
              <w:rPr>
                <w:b/>
              </w:rPr>
              <w:t>2,342</w:t>
            </w:r>
          </w:p>
        </w:tc>
        <w:tc>
          <w:tcPr>
            <w:tcW w:w="1523" w:type="dxa"/>
          </w:tcPr>
          <w:p w14:paraId="08AF0684" w14:textId="77777777" w:rsidR="00497443" w:rsidRPr="009C1A2A" w:rsidRDefault="00497443" w:rsidP="00497F1D">
            <w:pPr>
              <w:pStyle w:val="TableText"/>
              <w:ind w:right="486"/>
              <w:jc w:val="right"/>
              <w:rPr>
                <w:b/>
              </w:rPr>
            </w:pPr>
            <w:r w:rsidRPr="30E3AEA2">
              <w:rPr>
                <w:b/>
                <w:bCs/>
              </w:rPr>
              <w:t>44.8</w:t>
            </w:r>
          </w:p>
        </w:tc>
      </w:tr>
    </w:tbl>
    <w:p w14:paraId="4B02D2C3" w14:textId="77777777" w:rsidR="00497443" w:rsidRPr="00200234" w:rsidRDefault="00497443" w:rsidP="00497443">
      <w:pPr>
        <w:pStyle w:val="Source"/>
      </w:pPr>
      <w:r w:rsidRPr="009C1A2A">
        <w:t>Source</w:t>
      </w:r>
      <w:r>
        <w:t>s</w:t>
      </w:r>
      <w:r w:rsidRPr="009C1A2A">
        <w:t>: PRIMHD data (extracted 28 February 2024) and manual data from Health New Zealand</w:t>
      </w:r>
      <w:r>
        <w:t xml:space="preserve"> Counties Manukau, Tairāwhiti and Waikato.</w:t>
      </w:r>
    </w:p>
    <w:p w14:paraId="465C605A" w14:textId="77777777" w:rsidR="00497443" w:rsidRPr="00D40D3F" w:rsidRDefault="00497443" w:rsidP="00497443"/>
    <w:p w14:paraId="60E92A8B" w14:textId="77777777" w:rsidR="00497443" w:rsidRDefault="00497443" w:rsidP="00497443">
      <w:pPr>
        <w:keepNext/>
        <w:sectPr w:rsidR="00497443" w:rsidSect="00497443">
          <w:headerReference w:type="even" r:id="rId40"/>
          <w:headerReference w:type="default" r:id="rId41"/>
          <w:pgSz w:w="11907" w:h="16840" w:code="9"/>
          <w:pgMar w:top="1418" w:right="1701" w:bottom="1134" w:left="1843" w:header="284" w:footer="425" w:gutter="284"/>
          <w:cols w:space="720"/>
        </w:sectPr>
      </w:pPr>
    </w:p>
    <w:p w14:paraId="6C120C22" w14:textId="4B36C6C4" w:rsidR="00497443" w:rsidRDefault="00497443" w:rsidP="00497443">
      <w:r>
        <w:t>The following figures</w:t>
      </w:r>
      <w:r w:rsidRPr="00200234">
        <w:t xml:space="preserve"> show the rate ratio of Māori to non-Māori subject to </w:t>
      </w:r>
      <w:r>
        <w:t>community treatment orders (</w:t>
      </w:r>
      <w:r>
        <w:fldChar w:fldCharType="begin"/>
      </w:r>
      <w:r>
        <w:instrText xml:space="preserve"> REF _Ref65672076 \h </w:instrText>
      </w:r>
      <w:r>
        <w:fldChar w:fldCharType="separate"/>
      </w:r>
      <w:r w:rsidR="00753BC8">
        <w:t>Figure </w:t>
      </w:r>
      <w:r w:rsidR="00753BC8">
        <w:rPr>
          <w:noProof/>
        </w:rPr>
        <w:t>7</w:t>
      </w:r>
      <w:r>
        <w:fldChar w:fldCharType="end"/>
      </w:r>
      <w:r>
        <w:t>) and inpatient treatment</w:t>
      </w:r>
      <w:r w:rsidRPr="00200234">
        <w:t xml:space="preserve"> orders </w:t>
      </w:r>
      <w:r>
        <w:t>(</w:t>
      </w:r>
      <w:r>
        <w:fldChar w:fldCharType="begin"/>
      </w:r>
      <w:r>
        <w:instrText xml:space="preserve"> REF _Ref84330306 \h </w:instrText>
      </w:r>
      <w:r>
        <w:fldChar w:fldCharType="separate"/>
      </w:r>
      <w:r w:rsidR="00753BC8" w:rsidRPr="0082407E">
        <w:t>Figure </w:t>
      </w:r>
      <w:r w:rsidR="00753BC8">
        <w:rPr>
          <w:noProof/>
        </w:rPr>
        <w:t>8</w:t>
      </w:r>
      <w:r>
        <w:fldChar w:fldCharType="end"/>
      </w:r>
      <w:r>
        <w:t xml:space="preserve">) per 100,000 people in the general population </w:t>
      </w:r>
      <w:r w:rsidRPr="00200234">
        <w:t xml:space="preserve">for each </w:t>
      </w:r>
      <w:r>
        <w:t>district</w:t>
      </w:r>
      <w:r w:rsidRPr="00200234">
        <w:t>.</w:t>
      </w:r>
      <w:r>
        <w:t xml:space="preserve"> </w:t>
      </w:r>
      <w:r>
        <w:fldChar w:fldCharType="begin"/>
      </w:r>
      <w:r>
        <w:instrText xml:space="preserve"> REF _Ref141106871 \h </w:instrText>
      </w:r>
      <w:r>
        <w:fldChar w:fldCharType="separate"/>
      </w:r>
      <w:r w:rsidR="00753BC8">
        <w:t>Table </w:t>
      </w:r>
      <w:r w:rsidR="00753BC8">
        <w:rPr>
          <w:noProof/>
        </w:rPr>
        <w:t>5</w:t>
      </w:r>
      <w:r>
        <w:fldChar w:fldCharType="end"/>
      </w:r>
      <w:r>
        <w:t xml:space="preserve"> and </w:t>
      </w:r>
      <w:r>
        <w:fldChar w:fldCharType="begin"/>
      </w:r>
      <w:r>
        <w:instrText xml:space="preserve"> REF _Ref65671957 \h </w:instrText>
      </w:r>
      <w:r>
        <w:fldChar w:fldCharType="separate"/>
      </w:r>
      <w:r w:rsidR="00753BC8">
        <w:t>Figure </w:t>
      </w:r>
      <w:r w:rsidR="00753BC8">
        <w:rPr>
          <w:noProof/>
        </w:rPr>
        <w:t>9</w:t>
      </w:r>
      <w:r>
        <w:fldChar w:fldCharType="end"/>
      </w:r>
      <w:r>
        <w:t xml:space="preserve"> then present the age-standardised ratio for both community and inpatient treatment orders by ethnicity and gender.</w:t>
      </w:r>
    </w:p>
    <w:p w14:paraId="088C214E" w14:textId="77777777" w:rsidR="00497443" w:rsidRPr="00200234" w:rsidRDefault="00497443" w:rsidP="00497443"/>
    <w:p w14:paraId="02E66CCE" w14:textId="77777777" w:rsidR="00497443" w:rsidRPr="00200234" w:rsidRDefault="00497443" w:rsidP="00497443">
      <w:r w:rsidRPr="00200234">
        <w:t xml:space="preserve">It is difficult to interpret the range of rates because the proportions of different ethnic groups within a population vary greatly across </w:t>
      </w:r>
      <w:r>
        <w:t>districts</w:t>
      </w:r>
      <w:r w:rsidRPr="00200234">
        <w:t>, so it is hard to define a</w:t>
      </w:r>
      <w:r>
        <w:t xml:space="preserve"> standard</w:t>
      </w:r>
      <w:r w:rsidRPr="00200234">
        <w:t xml:space="preserve"> rate ratio for a given population or </w:t>
      </w:r>
      <w:r>
        <w:t>district</w:t>
      </w:r>
      <w:r w:rsidRPr="00200234">
        <w:t xml:space="preserve">. However, to </w:t>
      </w:r>
      <w:r>
        <w:t>help with</w:t>
      </w:r>
      <w:r w:rsidRPr="00200234">
        <w:t xml:space="preserve"> compari</w:t>
      </w:r>
      <w:r>
        <w:t>ng rates</w:t>
      </w:r>
      <w:r w:rsidRPr="00200234">
        <w:t xml:space="preserve">, each figure includes a line of </w:t>
      </w:r>
      <w:r>
        <w:t>‘</w:t>
      </w:r>
      <w:r w:rsidRPr="00200234">
        <w:t>no difference</w:t>
      </w:r>
      <w:r>
        <w:t>’</w:t>
      </w:r>
      <w:r w:rsidRPr="00200234">
        <w:t xml:space="preserve"> to indicate where Māori and non-Māori would be subject to </w:t>
      </w:r>
      <w:r>
        <w:t>CTO</w:t>
      </w:r>
      <w:r w:rsidRPr="00200234">
        <w:t>s at the same rate</w:t>
      </w:r>
      <w:r>
        <w:t xml:space="preserve"> (ie, a 1:1 ratio)</w:t>
      </w:r>
      <w:r w:rsidRPr="00200234">
        <w:t>.</w:t>
      </w:r>
      <w:r>
        <w:t xml:space="preserve">  Therefore, </w:t>
      </w:r>
      <w:r w:rsidRPr="75114D1B">
        <w:rPr>
          <w:rFonts w:eastAsia="Segoe UI" w:cs="Segoe UI"/>
          <w:color w:val="333333"/>
          <w:sz w:val="20"/>
        </w:rPr>
        <w:t>the further a ratio is away from the ‘no difference’ line, the more disparity there is</w:t>
      </w:r>
      <w:r w:rsidRPr="12D9F0A3">
        <w:rPr>
          <w:rFonts w:eastAsia="Segoe UI" w:cs="Segoe UI"/>
          <w:color w:val="333333"/>
          <w:sz w:val="20"/>
        </w:rPr>
        <w:t>.</w:t>
      </w:r>
      <w:r w:rsidRPr="75114D1B">
        <w:rPr>
          <w:rFonts w:eastAsia="Segoe UI" w:cs="Segoe UI"/>
          <w:color w:val="333333"/>
          <w:sz w:val="20"/>
        </w:rPr>
        <w:t xml:space="preserve"> </w:t>
      </w:r>
      <w:r w:rsidRPr="00200234">
        <w:t>The</w:t>
      </w:r>
      <w:r>
        <w:t xml:space="preserve"> great variation between districts, as the</w:t>
      </w:r>
      <w:r w:rsidRPr="00200234">
        <w:t xml:space="preserve"> figures </w:t>
      </w:r>
      <w:r>
        <w:t xml:space="preserve">show, </w:t>
      </w:r>
      <w:r w:rsidRPr="00200234">
        <w:t>emphasise</w:t>
      </w:r>
      <w:r>
        <w:t>s</w:t>
      </w:r>
      <w:r w:rsidRPr="00200234">
        <w:t xml:space="preserve"> the need for in-depth, area-specific knowledge to understand why </w:t>
      </w:r>
      <w:r>
        <w:t xml:space="preserve">these </w:t>
      </w:r>
      <w:r w:rsidRPr="00200234">
        <w:t>differences occur and how to address them at a local level.</w:t>
      </w:r>
    </w:p>
    <w:p w14:paraId="5CE8C88A" w14:textId="77777777" w:rsidR="00497443" w:rsidRPr="00200234" w:rsidRDefault="00497443" w:rsidP="00497443"/>
    <w:p w14:paraId="108D8344" w14:textId="0BB07D46" w:rsidR="00497443" w:rsidRPr="00497443" w:rsidRDefault="00497443" w:rsidP="00497443">
      <w:pPr>
        <w:pStyle w:val="Figure"/>
      </w:pPr>
      <w:bookmarkStart w:id="129" w:name="_Ref65672076"/>
      <w:bookmarkStart w:id="130" w:name="_Toc63764750"/>
      <w:bookmarkStart w:id="131" w:name="_Toc75176479"/>
      <w:bookmarkStart w:id="132" w:name="_Toc85442569"/>
      <w:bookmarkStart w:id="133" w:name="_Toc85445915"/>
      <w:bookmarkStart w:id="134" w:name="_Toc87429956"/>
      <w:bookmarkStart w:id="135" w:name="_Toc88561388"/>
      <w:bookmarkStart w:id="136" w:name="_Toc115188846"/>
      <w:bookmarkStart w:id="137" w:name="_Toc142314688"/>
      <w:bookmarkStart w:id="138" w:name="_Toc145394272"/>
      <w:bookmarkStart w:id="139" w:name="_Toc189053948"/>
      <w:bookmarkStart w:id="140" w:name="_Toc189647933"/>
      <w:r>
        <w:t>Figure </w:t>
      </w:r>
      <w:r>
        <w:fldChar w:fldCharType="begin"/>
      </w:r>
      <w:r>
        <w:instrText>SEQ Figure \* ARABIC</w:instrText>
      </w:r>
      <w:r>
        <w:fldChar w:fldCharType="separate"/>
      </w:r>
      <w:r w:rsidR="00753BC8">
        <w:rPr>
          <w:noProof/>
        </w:rPr>
        <w:t>7</w:t>
      </w:r>
      <w:r>
        <w:fldChar w:fldCharType="end"/>
      </w:r>
      <w:bookmarkEnd w:id="129"/>
      <w:r w:rsidRPr="00200234">
        <w:t xml:space="preserve">: </w:t>
      </w:r>
      <w:r w:rsidRPr="00DE5DEE">
        <w:t>Rate ratio of Māori to non-Māori subject to a community treatment order (section</w:t>
      </w:r>
      <w:r>
        <w:t> </w:t>
      </w:r>
      <w:r w:rsidRPr="00DE5DEE">
        <w:t xml:space="preserve">29) under the Mental Health Act per 100,000 population, by </w:t>
      </w:r>
      <w:r>
        <w:t>district</w:t>
      </w:r>
      <w:r w:rsidRPr="00DE5DEE">
        <w:t xml:space="preserve">, 1 </w:t>
      </w:r>
      <w:bookmarkEnd w:id="130"/>
      <w:bookmarkEnd w:id="131"/>
      <w:bookmarkEnd w:id="132"/>
      <w:bookmarkEnd w:id="133"/>
      <w:bookmarkEnd w:id="134"/>
      <w:bookmarkEnd w:id="135"/>
      <w:r w:rsidRPr="00DE5DEE">
        <w:t>July 202</w:t>
      </w:r>
      <w:r>
        <w:t>2</w:t>
      </w:r>
      <w:r w:rsidRPr="00DE5DEE">
        <w:t xml:space="preserve"> to 30 June </w:t>
      </w:r>
      <w:bookmarkEnd w:id="136"/>
      <w:bookmarkEnd w:id="137"/>
      <w:bookmarkEnd w:id="138"/>
      <w:r w:rsidRPr="00DE5DEE">
        <w:t>202</w:t>
      </w:r>
      <w:r>
        <w:t>3</w:t>
      </w:r>
      <w:bookmarkEnd w:id="139"/>
      <w:bookmarkEnd w:id="140"/>
    </w:p>
    <w:p w14:paraId="7C1B8AC6" w14:textId="77777777" w:rsidR="00497443" w:rsidRDefault="00497443" w:rsidP="00753A1F">
      <w:pPr>
        <w:rPr>
          <w:rFonts w:eastAsia="Arial Unicode MS"/>
        </w:rPr>
      </w:pPr>
      <w:r>
        <w:rPr>
          <w:rFonts w:eastAsia="Arial Unicode MS"/>
          <w:noProof/>
        </w:rPr>
        <w:drawing>
          <wp:inline distT="0" distB="0" distL="0" distR="0" wp14:anchorId="1BAA1246" wp14:editId="0F79274C">
            <wp:extent cx="5118100" cy="3060085"/>
            <wp:effectExtent l="0" t="0" r="6350" b="6985"/>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extLst>
                        <a:ext uri="{C183D7F6-B498-43B3-948B-1728B52AA6E4}">
                          <adec:decorative xmlns:adec="http://schemas.microsoft.com/office/drawing/2017/decorative" val="1"/>
                        </a:ext>
                      </a:extLst>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131996" cy="3068393"/>
                    </a:xfrm>
                    <a:prstGeom prst="rect">
                      <a:avLst/>
                    </a:prstGeom>
                    <a:noFill/>
                  </pic:spPr>
                </pic:pic>
              </a:graphicData>
            </a:graphic>
          </wp:inline>
        </w:drawing>
      </w:r>
    </w:p>
    <w:p w14:paraId="5F7CD064" w14:textId="77777777" w:rsidR="00497443" w:rsidRPr="00200234" w:rsidRDefault="00497443" w:rsidP="00497443">
      <w:pPr>
        <w:pStyle w:val="Note"/>
        <w:rPr>
          <w:rFonts w:eastAsia="Calibri"/>
        </w:rPr>
      </w:pPr>
      <w:r w:rsidRPr="00200234">
        <w:rPr>
          <w:rFonts w:eastAsia="Calibri"/>
        </w:rPr>
        <w:t>Note</w:t>
      </w:r>
      <w:r>
        <w:rPr>
          <w:rFonts w:eastAsia="Calibri"/>
        </w:rPr>
        <w:t>s</w:t>
      </w:r>
      <w:r w:rsidRPr="00200234">
        <w:rPr>
          <w:rFonts w:eastAsia="Calibri"/>
        </w:rPr>
        <w:t xml:space="preserve">: </w:t>
      </w:r>
      <w:r>
        <w:rPr>
          <w:rFonts w:eastAsia="Calibri"/>
        </w:rPr>
        <w:t xml:space="preserve">In this figure, </w:t>
      </w:r>
      <w:r w:rsidRPr="09CE7B57">
        <w:rPr>
          <w:rFonts w:eastAsia="Calibri"/>
        </w:rPr>
        <w:t>confidence</w:t>
      </w:r>
      <w:r w:rsidRPr="00200234">
        <w:rPr>
          <w:rFonts w:eastAsia="Calibri"/>
        </w:rPr>
        <w:t xml:space="preserve"> intervals (for 99</w:t>
      </w:r>
      <w:r>
        <w:rPr>
          <w:rFonts w:eastAsia="Calibri"/>
        </w:rPr>
        <w:t>%</w:t>
      </w:r>
      <w:r w:rsidRPr="00200234">
        <w:rPr>
          <w:rFonts w:eastAsia="Calibri"/>
        </w:rPr>
        <w:t xml:space="preserve"> confidence</w:t>
      </w:r>
      <w:r>
        <w:rPr>
          <w:rFonts w:eastAsia="Calibri"/>
        </w:rPr>
        <w:t xml:space="preserve">, </w:t>
      </w:r>
      <w:r>
        <w:t>shown as vertical lines through the blue diamond markers</w:t>
      </w:r>
      <w:r w:rsidRPr="00200234">
        <w:rPr>
          <w:rFonts w:eastAsia="Calibri"/>
        </w:rPr>
        <w:t xml:space="preserve">) </w:t>
      </w:r>
      <w:r w:rsidRPr="09CE7B57">
        <w:rPr>
          <w:rFonts w:eastAsia="Calibri"/>
        </w:rPr>
        <w:t>can</w:t>
      </w:r>
      <w:r w:rsidRPr="00200234">
        <w:rPr>
          <w:rFonts w:eastAsia="Calibri"/>
        </w:rPr>
        <w:t xml:space="preserve"> </w:t>
      </w:r>
      <w:r>
        <w:rPr>
          <w:rFonts w:eastAsia="Calibri"/>
        </w:rPr>
        <w:t>help with</w:t>
      </w:r>
      <w:r w:rsidRPr="00200234">
        <w:rPr>
          <w:rFonts w:eastAsia="Calibri"/>
        </w:rPr>
        <w:t xml:space="preserve"> interpret</w:t>
      </w:r>
      <w:r>
        <w:rPr>
          <w:rFonts w:eastAsia="Calibri"/>
        </w:rPr>
        <w:t xml:space="preserve">ing the </w:t>
      </w:r>
      <w:r w:rsidRPr="09CE7B57">
        <w:rPr>
          <w:rFonts w:eastAsia="Calibri"/>
        </w:rPr>
        <w:t>data.</w:t>
      </w:r>
      <w:r w:rsidDel="001B6B82">
        <w:rPr>
          <w:rFonts w:eastAsia="Calibri"/>
        </w:rPr>
        <w:t xml:space="preserve"> </w:t>
      </w:r>
      <w:r>
        <w:rPr>
          <w:rFonts w:eastAsia="Calibri"/>
        </w:rPr>
        <w:t>Where a district’s</w:t>
      </w:r>
      <w:r w:rsidRPr="00200234">
        <w:rPr>
          <w:rFonts w:eastAsia="Calibri"/>
        </w:rPr>
        <w:t xml:space="preserve"> confidence interval </w:t>
      </w:r>
      <w:r w:rsidRPr="09CE7B57">
        <w:rPr>
          <w:rFonts w:eastAsia="Calibri"/>
        </w:rPr>
        <w:t>crosses</w:t>
      </w:r>
      <w:r w:rsidRPr="00200234">
        <w:rPr>
          <w:rFonts w:eastAsia="Calibri"/>
        </w:rPr>
        <w:t xml:space="preserve"> the national average</w:t>
      </w:r>
      <w:r>
        <w:rPr>
          <w:rFonts w:eastAsia="Calibri"/>
        </w:rPr>
        <w:t>, that means its</w:t>
      </w:r>
      <w:r w:rsidRPr="00200234">
        <w:rPr>
          <w:rFonts w:eastAsia="Calibri"/>
        </w:rPr>
        <w:t xml:space="preserve"> rate per 100,000 is not statistically different </w:t>
      </w:r>
      <w:r>
        <w:rPr>
          <w:rFonts w:eastAsia="Calibri"/>
        </w:rPr>
        <w:t>from</w:t>
      </w:r>
      <w:r w:rsidRPr="00200234">
        <w:rPr>
          <w:rFonts w:eastAsia="Calibri"/>
        </w:rPr>
        <w:t xml:space="preserve"> the average. These are age-standardised rates.</w:t>
      </w:r>
    </w:p>
    <w:p w14:paraId="52537EE5" w14:textId="77777777" w:rsidR="00497443" w:rsidRDefault="00497443" w:rsidP="00497443">
      <w:pPr>
        <w:pStyle w:val="Source"/>
        <w:rPr>
          <w:rFonts w:eastAsia="Calibri"/>
        </w:rPr>
      </w:pPr>
      <w:r w:rsidRPr="00200234">
        <w:rPr>
          <w:rFonts w:eastAsia="Calibri"/>
        </w:rPr>
        <w:t>Source: PRIMHD data</w:t>
      </w:r>
      <w:r>
        <w:rPr>
          <w:rFonts w:eastAsia="Calibri"/>
        </w:rPr>
        <w:t xml:space="preserve"> (extracted 28 February 2024).</w:t>
      </w:r>
    </w:p>
    <w:p w14:paraId="52BBA492" w14:textId="77777777" w:rsidR="00497443" w:rsidRDefault="00497443" w:rsidP="00753A1F">
      <w:pPr>
        <w:rPr>
          <w:rFonts w:eastAsia="Arial Unicode MS"/>
        </w:rPr>
      </w:pPr>
    </w:p>
    <w:p w14:paraId="7A11A56A" w14:textId="77777777" w:rsidR="00497443" w:rsidRDefault="00497443" w:rsidP="00753A1F">
      <w:pPr>
        <w:rPr>
          <w:rFonts w:eastAsia="Arial Unicode MS"/>
        </w:rPr>
      </w:pPr>
    </w:p>
    <w:p w14:paraId="346586E7" w14:textId="77777777" w:rsidR="00497443" w:rsidRDefault="00497443" w:rsidP="00753A1F">
      <w:pPr>
        <w:rPr>
          <w:rFonts w:eastAsia="Arial Unicode MS"/>
        </w:rPr>
        <w:sectPr w:rsidR="00497443" w:rsidSect="00753A1F">
          <w:pgSz w:w="11907" w:h="16834" w:code="9"/>
          <w:pgMar w:top="1418" w:right="1701" w:bottom="1134" w:left="1843" w:header="284" w:footer="425" w:gutter="284"/>
          <w:cols w:space="720"/>
        </w:sectPr>
      </w:pPr>
    </w:p>
    <w:p w14:paraId="5FD37C67" w14:textId="095CCE1F" w:rsidR="00497443" w:rsidRPr="00497443" w:rsidRDefault="00497443" w:rsidP="00497443">
      <w:pPr>
        <w:pStyle w:val="Figure"/>
      </w:pPr>
      <w:bookmarkStart w:id="141" w:name="_Ref84330306"/>
      <w:bookmarkStart w:id="142" w:name="_Toc63764752"/>
      <w:bookmarkStart w:id="143" w:name="_Toc75176480"/>
      <w:bookmarkStart w:id="144" w:name="_Toc85442570"/>
      <w:bookmarkStart w:id="145" w:name="_Toc85445916"/>
      <w:bookmarkStart w:id="146" w:name="_Toc87429957"/>
      <w:bookmarkStart w:id="147" w:name="_Toc88561389"/>
      <w:bookmarkStart w:id="148" w:name="_Toc115188847"/>
      <w:bookmarkStart w:id="149" w:name="_Toc142314689"/>
      <w:bookmarkStart w:id="150" w:name="_Toc145394273"/>
      <w:bookmarkStart w:id="151" w:name="_Toc189053949"/>
      <w:bookmarkStart w:id="152" w:name="_Toc189647934"/>
      <w:r w:rsidRPr="0082407E">
        <w:t>Figure </w:t>
      </w:r>
      <w:r>
        <w:fldChar w:fldCharType="begin"/>
      </w:r>
      <w:r>
        <w:instrText>SEQ Figure \* ARABIC</w:instrText>
      </w:r>
      <w:r>
        <w:fldChar w:fldCharType="separate"/>
      </w:r>
      <w:r w:rsidR="00753BC8">
        <w:rPr>
          <w:noProof/>
        </w:rPr>
        <w:t>8</w:t>
      </w:r>
      <w:r>
        <w:fldChar w:fldCharType="end"/>
      </w:r>
      <w:bookmarkEnd w:id="141"/>
      <w:r w:rsidRPr="0082407E">
        <w:t>: Rate ratio of Māori to non-Māori subject to an inpatient treatment order (section</w:t>
      </w:r>
      <w:r>
        <w:t> </w:t>
      </w:r>
      <w:r w:rsidRPr="0082407E">
        <w:t xml:space="preserve">30) under the Mental Health Act per 100,000 population, by </w:t>
      </w:r>
      <w:r>
        <w:t>district</w:t>
      </w:r>
      <w:r w:rsidRPr="0082407E">
        <w:t xml:space="preserve">, 1 </w:t>
      </w:r>
      <w:bookmarkEnd w:id="142"/>
      <w:bookmarkEnd w:id="143"/>
      <w:bookmarkEnd w:id="144"/>
      <w:bookmarkEnd w:id="145"/>
      <w:bookmarkEnd w:id="146"/>
      <w:bookmarkEnd w:id="147"/>
      <w:r w:rsidRPr="0082407E">
        <w:t>July 202</w:t>
      </w:r>
      <w:r>
        <w:t>2</w:t>
      </w:r>
      <w:r w:rsidRPr="0082407E">
        <w:t xml:space="preserve"> to 30 June </w:t>
      </w:r>
      <w:bookmarkEnd w:id="148"/>
      <w:bookmarkEnd w:id="149"/>
      <w:bookmarkEnd w:id="150"/>
      <w:r w:rsidRPr="0082407E">
        <w:t>202</w:t>
      </w:r>
      <w:r>
        <w:t>3</w:t>
      </w:r>
      <w:bookmarkEnd w:id="151"/>
      <w:bookmarkEnd w:id="152"/>
    </w:p>
    <w:p w14:paraId="4BBC2A49" w14:textId="77777777" w:rsidR="00497443" w:rsidRDefault="00497443" w:rsidP="00753A1F">
      <w:pPr>
        <w:rPr>
          <w:rFonts w:eastAsia="Arial Unicode MS"/>
        </w:rPr>
      </w:pPr>
      <w:r>
        <w:rPr>
          <w:rFonts w:eastAsia="Arial Unicode MS"/>
          <w:noProof/>
        </w:rPr>
        <w:drawing>
          <wp:inline distT="0" distB="0" distL="0" distR="0" wp14:anchorId="545143A6" wp14:editId="35E539EB">
            <wp:extent cx="5143500" cy="2976676"/>
            <wp:effectExtent l="0" t="0" r="0" b="0"/>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161342" cy="2987001"/>
                    </a:xfrm>
                    <a:prstGeom prst="rect">
                      <a:avLst/>
                    </a:prstGeom>
                    <a:noFill/>
                  </pic:spPr>
                </pic:pic>
              </a:graphicData>
            </a:graphic>
          </wp:inline>
        </w:drawing>
      </w:r>
    </w:p>
    <w:p w14:paraId="6666DD32" w14:textId="77777777" w:rsidR="00497443" w:rsidRDefault="00497443" w:rsidP="00497443">
      <w:pPr>
        <w:pStyle w:val="Note"/>
        <w:rPr>
          <w:rFonts w:eastAsia="Calibri"/>
        </w:rPr>
      </w:pPr>
      <w:r w:rsidRPr="00200234">
        <w:rPr>
          <w:rFonts w:eastAsia="Calibri"/>
        </w:rPr>
        <w:t>Note</w:t>
      </w:r>
      <w:r>
        <w:rPr>
          <w:rFonts w:eastAsia="Calibri"/>
        </w:rPr>
        <w:t>s</w:t>
      </w:r>
      <w:r w:rsidRPr="00200234">
        <w:rPr>
          <w:rFonts w:eastAsia="Calibri"/>
        </w:rPr>
        <w:t xml:space="preserve">: </w:t>
      </w:r>
      <w:r>
        <w:rPr>
          <w:rFonts w:eastAsia="Calibri"/>
        </w:rPr>
        <w:t xml:space="preserve">In this figure, the </w:t>
      </w:r>
      <w:r w:rsidRPr="54575C74">
        <w:rPr>
          <w:rFonts w:eastAsia="Calibri"/>
        </w:rPr>
        <w:t>confidence</w:t>
      </w:r>
      <w:r w:rsidRPr="00200234">
        <w:rPr>
          <w:rFonts w:eastAsia="Calibri"/>
        </w:rPr>
        <w:t xml:space="preserve"> intervals (for 99</w:t>
      </w:r>
      <w:r>
        <w:rPr>
          <w:rFonts w:eastAsia="Calibri"/>
        </w:rPr>
        <w:t>%</w:t>
      </w:r>
      <w:r w:rsidRPr="00200234">
        <w:rPr>
          <w:rFonts w:eastAsia="Calibri"/>
        </w:rPr>
        <w:t xml:space="preserve"> confidence</w:t>
      </w:r>
      <w:r>
        <w:rPr>
          <w:rFonts w:eastAsia="Calibri"/>
        </w:rPr>
        <w:t xml:space="preserve">, </w:t>
      </w:r>
      <w:r>
        <w:t>shown as vertical lines through the blue diamond markers</w:t>
      </w:r>
      <w:r w:rsidRPr="00200234">
        <w:rPr>
          <w:rFonts w:eastAsia="Calibri"/>
        </w:rPr>
        <w:t xml:space="preserve">) </w:t>
      </w:r>
      <w:r w:rsidRPr="54575C74">
        <w:rPr>
          <w:rFonts w:eastAsia="Calibri"/>
        </w:rPr>
        <w:t>can</w:t>
      </w:r>
      <w:r w:rsidRPr="00200234">
        <w:rPr>
          <w:rFonts w:eastAsia="Calibri"/>
        </w:rPr>
        <w:t xml:space="preserve"> </w:t>
      </w:r>
      <w:r>
        <w:rPr>
          <w:rFonts w:eastAsia="Calibri"/>
        </w:rPr>
        <w:t>help with</w:t>
      </w:r>
      <w:r w:rsidRPr="00200234">
        <w:rPr>
          <w:rFonts w:eastAsia="Calibri"/>
        </w:rPr>
        <w:t xml:space="preserve"> interpret</w:t>
      </w:r>
      <w:r>
        <w:rPr>
          <w:rFonts w:eastAsia="Calibri"/>
        </w:rPr>
        <w:t xml:space="preserve">ing the </w:t>
      </w:r>
      <w:r w:rsidRPr="54575C74">
        <w:rPr>
          <w:rFonts w:eastAsia="Calibri"/>
        </w:rPr>
        <w:t>data.</w:t>
      </w:r>
      <w:r w:rsidRPr="00200234" w:rsidDel="001B6B82">
        <w:rPr>
          <w:rFonts w:eastAsia="Calibri"/>
        </w:rPr>
        <w:t xml:space="preserve"> </w:t>
      </w:r>
      <w:r>
        <w:rPr>
          <w:rFonts w:eastAsia="Calibri"/>
        </w:rPr>
        <w:t>If a</w:t>
      </w:r>
      <w:r w:rsidRPr="00200234">
        <w:rPr>
          <w:rFonts w:eastAsia="Calibri"/>
        </w:rPr>
        <w:t xml:space="preserve"> </w:t>
      </w:r>
      <w:r>
        <w:rPr>
          <w:rFonts w:eastAsia="Calibri"/>
        </w:rPr>
        <w:t>district’s</w:t>
      </w:r>
      <w:r w:rsidRPr="00200234">
        <w:rPr>
          <w:rFonts w:eastAsia="Calibri"/>
        </w:rPr>
        <w:t xml:space="preserve"> confidence interval </w:t>
      </w:r>
      <w:r w:rsidRPr="54575C74">
        <w:rPr>
          <w:rFonts w:eastAsia="Calibri"/>
        </w:rPr>
        <w:t>crosses</w:t>
      </w:r>
      <w:r w:rsidRPr="00200234">
        <w:rPr>
          <w:rFonts w:eastAsia="Calibri"/>
        </w:rPr>
        <w:t xml:space="preserve"> the national average</w:t>
      </w:r>
      <w:r>
        <w:rPr>
          <w:rFonts w:eastAsia="Calibri"/>
        </w:rPr>
        <w:t>, that means its</w:t>
      </w:r>
      <w:r w:rsidRPr="00200234">
        <w:rPr>
          <w:rFonts w:eastAsia="Calibri"/>
        </w:rPr>
        <w:t xml:space="preserve"> rate per 100,000 is not statistically different </w:t>
      </w:r>
      <w:r>
        <w:rPr>
          <w:rFonts w:eastAsia="Calibri"/>
        </w:rPr>
        <w:t>from</w:t>
      </w:r>
      <w:r w:rsidRPr="00200234">
        <w:rPr>
          <w:rFonts w:eastAsia="Calibri"/>
        </w:rPr>
        <w:t xml:space="preserve"> the average. These are age-standardised rates. </w:t>
      </w:r>
      <w:r w:rsidRPr="11F23803">
        <w:rPr>
          <w:rFonts w:eastAsia="Calibri"/>
        </w:rPr>
        <w:t>As</w:t>
      </w:r>
      <w:r>
        <w:rPr>
          <w:rFonts w:eastAsia="Calibri"/>
        </w:rPr>
        <w:t xml:space="preserve"> Health New Zealand</w:t>
      </w:r>
      <w:r w:rsidRPr="0082407E">
        <w:rPr>
          <w:rFonts w:eastAsia="Calibri"/>
        </w:rPr>
        <w:t xml:space="preserve"> South Canterbury and West Coast ha</w:t>
      </w:r>
      <w:r>
        <w:rPr>
          <w:rFonts w:eastAsia="Calibri"/>
        </w:rPr>
        <w:t>ve</w:t>
      </w:r>
      <w:r w:rsidRPr="0082407E" w:rsidDel="00047A0C">
        <w:rPr>
          <w:rFonts w:eastAsia="Calibri"/>
        </w:rPr>
        <w:t xml:space="preserve"> </w:t>
      </w:r>
      <w:r w:rsidRPr="0082407E">
        <w:rPr>
          <w:rFonts w:eastAsia="Calibri"/>
        </w:rPr>
        <w:t>small population</w:t>
      </w:r>
      <w:r>
        <w:rPr>
          <w:rFonts w:eastAsia="Calibri"/>
        </w:rPr>
        <w:t>s</w:t>
      </w:r>
      <w:r w:rsidRPr="0082407E">
        <w:rPr>
          <w:rFonts w:eastAsia="Calibri"/>
        </w:rPr>
        <w:t xml:space="preserve">, their rates </w:t>
      </w:r>
      <w:r>
        <w:rPr>
          <w:rFonts w:eastAsia="Calibri"/>
        </w:rPr>
        <w:t>were</w:t>
      </w:r>
      <w:r w:rsidRPr="0082407E">
        <w:rPr>
          <w:rFonts w:eastAsia="Calibri"/>
        </w:rPr>
        <w:t xml:space="preserve"> very volatile and error bars of the resulting calculations </w:t>
      </w:r>
      <w:r>
        <w:rPr>
          <w:rFonts w:eastAsia="Calibri"/>
        </w:rPr>
        <w:t>were</w:t>
      </w:r>
      <w:r w:rsidRPr="0082407E">
        <w:rPr>
          <w:rFonts w:eastAsia="Calibri"/>
        </w:rPr>
        <w:t xml:space="preserve"> large. </w:t>
      </w:r>
      <w:r>
        <w:rPr>
          <w:rFonts w:eastAsia="Calibri"/>
        </w:rPr>
        <w:t xml:space="preserve">Health New Zealand Wairarapa has no inpatient service. </w:t>
      </w:r>
      <w:r w:rsidRPr="0082407E">
        <w:rPr>
          <w:rFonts w:eastAsia="Calibri"/>
        </w:rPr>
        <w:t xml:space="preserve">This </w:t>
      </w:r>
      <w:r>
        <w:rPr>
          <w:rFonts w:eastAsia="Calibri"/>
        </w:rPr>
        <w:t>figure</w:t>
      </w:r>
      <w:r w:rsidRPr="0082407E">
        <w:rPr>
          <w:rFonts w:eastAsia="Calibri"/>
        </w:rPr>
        <w:t xml:space="preserve"> does not include the data for South Canterbury</w:t>
      </w:r>
      <w:r>
        <w:rPr>
          <w:rFonts w:eastAsia="Calibri"/>
        </w:rPr>
        <w:t>, Wairarapa</w:t>
      </w:r>
      <w:r w:rsidRPr="0082407E">
        <w:rPr>
          <w:rFonts w:eastAsia="Calibri"/>
        </w:rPr>
        <w:t xml:space="preserve"> and West Coast</w:t>
      </w:r>
      <w:r>
        <w:rPr>
          <w:rFonts w:eastAsia="Calibri"/>
        </w:rPr>
        <w:t>,</w:t>
      </w:r>
      <w:r w:rsidRPr="0082407E">
        <w:rPr>
          <w:rFonts w:eastAsia="Calibri"/>
        </w:rPr>
        <w:t xml:space="preserve"> to avoid skewing the overall results.</w:t>
      </w:r>
      <w:r>
        <w:rPr>
          <w:rFonts w:eastAsia="Calibri"/>
        </w:rPr>
        <w:t xml:space="preserve"> </w:t>
      </w:r>
    </w:p>
    <w:p w14:paraId="1340B35D" w14:textId="77777777" w:rsidR="00497443" w:rsidRPr="00200234" w:rsidRDefault="00497443" w:rsidP="00497443">
      <w:pPr>
        <w:pStyle w:val="Source"/>
        <w:rPr>
          <w:rFonts w:eastAsia="Calibri"/>
        </w:rPr>
      </w:pPr>
      <w:r w:rsidRPr="00200234">
        <w:rPr>
          <w:rFonts w:eastAsia="Calibri"/>
        </w:rPr>
        <w:t>Source: PRIMHD data</w:t>
      </w:r>
      <w:r>
        <w:rPr>
          <w:rFonts w:eastAsia="Calibri"/>
        </w:rPr>
        <w:t xml:space="preserve"> (extracted 28 February 2024).</w:t>
      </w:r>
      <w:r w:rsidDel="00AA3E78">
        <w:rPr>
          <w:rFonts w:eastAsia="Calibri"/>
        </w:rPr>
        <w:t xml:space="preserve"> </w:t>
      </w:r>
    </w:p>
    <w:p w14:paraId="342DB55A" w14:textId="77777777" w:rsidR="00497443" w:rsidRPr="00200234" w:rsidRDefault="00497443" w:rsidP="00497443">
      <w:pPr>
        <w:pStyle w:val="Source"/>
      </w:pPr>
    </w:p>
    <w:p w14:paraId="58930ADF" w14:textId="1A79E63D" w:rsidR="00497443" w:rsidRDefault="00497443" w:rsidP="00497443">
      <w:pPr>
        <w:pStyle w:val="Table"/>
      </w:pPr>
      <w:bookmarkStart w:id="153" w:name="_Ref141106871"/>
      <w:bookmarkStart w:id="154" w:name="_Toc87430003"/>
      <w:bookmarkStart w:id="155" w:name="_Toc88561360"/>
      <w:bookmarkStart w:id="156" w:name="_Toc115188894"/>
      <w:bookmarkStart w:id="157" w:name="_Toc142314756"/>
      <w:bookmarkStart w:id="158" w:name="_Toc145394318"/>
      <w:bookmarkStart w:id="159" w:name="_Toc189053996"/>
      <w:bookmarkStart w:id="160" w:name="_Toc189647981"/>
      <w:r>
        <w:t>Table </w:t>
      </w:r>
      <w:r>
        <w:fldChar w:fldCharType="begin"/>
      </w:r>
      <w:r>
        <w:instrText>SEQ Table \* ARABIC</w:instrText>
      </w:r>
      <w:r>
        <w:fldChar w:fldCharType="separate"/>
      </w:r>
      <w:r w:rsidR="00753BC8">
        <w:rPr>
          <w:noProof/>
        </w:rPr>
        <w:t>5</w:t>
      </w:r>
      <w:r>
        <w:fldChar w:fldCharType="end"/>
      </w:r>
      <w:bookmarkEnd w:id="153"/>
      <w:r w:rsidRPr="00BA739B">
        <w:t xml:space="preserve">: </w:t>
      </w:r>
      <w:r w:rsidRPr="00755D2C">
        <w:t xml:space="preserve">Age-standardised rates of </w:t>
      </w:r>
      <w:r>
        <w:t>people</w:t>
      </w:r>
      <w:r w:rsidRPr="00755D2C">
        <w:t xml:space="preserve"> subject to community</w:t>
      </w:r>
      <w:r>
        <w:t xml:space="preserve"> (section 29)</w:t>
      </w:r>
      <w:r w:rsidRPr="00755D2C">
        <w:t xml:space="preserve"> and inpatient</w:t>
      </w:r>
      <w:r>
        <w:t xml:space="preserve"> (section 30)</w:t>
      </w:r>
      <w:r w:rsidRPr="00755D2C">
        <w:t xml:space="preserve"> treatment orders under the Mental Health Act, by </w:t>
      </w:r>
      <w:r>
        <w:t>gender and ethnicity</w:t>
      </w:r>
      <w:r w:rsidRPr="00755D2C">
        <w:t xml:space="preserve">, 1 </w:t>
      </w:r>
      <w:bookmarkEnd w:id="154"/>
      <w:bookmarkEnd w:id="155"/>
      <w:r w:rsidRPr="00755D2C">
        <w:t>July 202</w:t>
      </w:r>
      <w:r>
        <w:t>2</w:t>
      </w:r>
      <w:r w:rsidRPr="00755D2C">
        <w:t xml:space="preserve"> to 30 June </w:t>
      </w:r>
      <w:bookmarkEnd w:id="156"/>
      <w:bookmarkEnd w:id="157"/>
      <w:bookmarkEnd w:id="158"/>
      <w:r w:rsidRPr="00755D2C">
        <w:t>202</w:t>
      </w:r>
      <w:r>
        <w:t>3</w:t>
      </w:r>
      <w:bookmarkEnd w:id="159"/>
      <w:bookmarkEnd w:id="160"/>
    </w:p>
    <w:tbl>
      <w:tblPr>
        <w:tblW w:w="8080" w:type="dxa"/>
        <w:tblInd w:w="57" w:type="dxa"/>
        <w:tblBorders>
          <w:top w:val="single" w:sz="4" w:space="0" w:color="A6A6A6"/>
          <w:bottom w:val="single" w:sz="4" w:space="0" w:color="A6A6A6"/>
          <w:insideH w:val="single" w:sz="4" w:space="0" w:color="A6A6A6"/>
        </w:tblBorders>
        <w:tblLayout w:type="fixed"/>
        <w:tblCellMar>
          <w:left w:w="57" w:type="dxa"/>
          <w:right w:w="57" w:type="dxa"/>
        </w:tblCellMar>
        <w:tblLook w:val="01E0" w:firstRow="1" w:lastRow="1" w:firstColumn="1" w:lastColumn="1" w:noHBand="0" w:noVBand="0"/>
      </w:tblPr>
      <w:tblGrid>
        <w:gridCol w:w="3771"/>
        <w:gridCol w:w="1077"/>
        <w:gridCol w:w="1077"/>
        <w:gridCol w:w="1077"/>
        <w:gridCol w:w="1078"/>
      </w:tblGrid>
      <w:tr w:rsidR="00497443" w:rsidRPr="004864DB" w14:paraId="4C54772F" w14:textId="77777777" w:rsidTr="00497443">
        <w:trPr>
          <w:cantSplit/>
        </w:trPr>
        <w:tc>
          <w:tcPr>
            <w:tcW w:w="3771" w:type="dxa"/>
            <w:vMerge w:val="restart"/>
            <w:tcBorders>
              <w:top w:val="nil"/>
              <w:bottom w:val="nil"/>
              <w:right w:val="nil"/>
            </w:tcBorders>
            <w:shd w:val="clear" w:color="auto" w:fill="D9D9D9" w:themeFill="background1" w:themeFillShade="D9"/>
          </w:tcPr>
          <w:p w14:paraId="1C14EA4D" w14:textId="77777777" w:rsidR="00497443" w:rsidRPr="004864DB" w:rsidRDefault="00497443" w:rsidP="00497F1D">
            <w:pPr>
              <w:pStyle w:val="TableText"/>
            </w:pPr>
          </w:p>
        </w:tc>
        <w:tc>
          <w:tcPr>
            <w:tcW w:w="2154" w:type="dxa"/>
            <w:gridSpan w:val="2"/>
            <w:tcBorders>
              <w:top w:val="nil"/>
              <w:left w:val="nil"/>
              <w:bottom w:val="nil"/>
              <w:right w:val="nil"/>
            </w:tcBorders>
            <w:shd w:val="clear" w:color="auto" w:fill="D9D9D9" w:themeFill="background1" w:themeFillShade="D9"/>
          </w:tcPr>
          <w:p w14:paraId="696D44EA" w14:textId="77777777" w:rsidR="00497443" w:rsidRPr="004864DB" w:rsidRDefault="00497443" w:rsidP="00497F1D">
            <w:pPr>
              <w:pStyle w:val="TableText"/>
              <w:jc w:val="center"/>
              <w:rPr>
                <w:b/>
              </w:rPr>
            </w:pPr>
            <w:r w:rsidRPr="004864DB">
              <w:rPr>
                <w:b/>
              </w:rPr>
              <w:t>Community treatment orders</w:t>
            </w:r>
          </w:p>
        </w:tc>
        <w:tc>
          <w:tcPr>
            <w:tcW w:w="2155" w:type="dxa"/>
            <w:gridSpan w:val="2"/>
            <w:tcBorders>
              <w:top w:val="nil"/>
              <w:left w:val="nil"/>
              <w:bottom w:val="nil"/>
            </w:tcBorders>
            <w:shd w:val="clear" w:color="auto" w:fill="D9D9D9" w:themeFill="background1" w:themeFillShade="D9"/>
          </w:tcPr>
          <w:p w14:paraId="1FF9C703" w14:textId="77777777" w:rsidR="00497443" w:rsidRPr="004864DB" w:rsidRDefault="00497443" w:rsidP="00497F1D">
            <w:pPr>
              <w:pStyle w:val="TableText"/>
              <w:jc w:val="center"/>
              <w:rPr>
                <w:b/>
              </w:rPr>
            </w:pPr>
            <w:r w:rsidRPr="004864DB">
              <w:rPr>
                <w:b/>
              </w:rPr>
              <w:t>Inpatient treatment orders</w:t>
            </w:r>
          </w:p>
        </w:tc>
      </w:tr>
      <w:tr w:rsidR="00497443" w:rsidRPr="004864DB" w14:paraId="4607A508" w14:textId="77777777" w:rsidTr="00497443">
        <w:trPr>
          <w:cantSplit/>
        </w:trPr>
        <w:tc>
          <w:tcPr>
            <w:tcW w:w="3771" w:type="dxa"/>
            <w:vMerge/>
            <w:tcBorders>
              <w:bottom w:val="nil"/>
            </w:tcBorders>
          </w:tcPr>
          <w:p w14:paraId="5F6D2FA6" w14:textId="77777777" w:rsidR="00497443" w:rsidRPr="004864DB" w:rsidRDefault="00497443" w:rsidP="00497F1D">
            <w:pPr>
              <w:pStyle w:val="TableText"/>
            </w:pPr>
          </w:p>
        </w:tc>
        <w:tc>
          <w:tcPr>
            <w:tcW w:w="1077" w:type="dxa"/>
            <w:tcBorders>
              <w:top w:val="nil"/>
              <w:left w:val="nil"/>
              <w:bottom w:val="nil"/>
              <w:right w:val="nil"/>
            </w:tcBorders>
            <w:shd w:val="clear" w:color="auto" w:fill="D9D9D9" w:themeFill="background1" w:themeFillShade="D9"/>
          </w:tcPr>
          <w:p w14:paraId="7AC9CA85" w14:textId="77777777" w:rsidR="00497443" w:rsidRPr="004864DB" w:rsidRDefault="00497443" w:rsidP="00497F1D">
            <w:pPr>
              <w:pStyle w:val="TableText"/>
              <w:spacing w:before="0"/>
              <w:jc w:val="center"/>
              <w:rPr>
                <w:b/>
              </w:rPr>
            </w:pPr>
            <w:r w:rsidRPr="004864DB">
              <w:rPr>
                <w:b/>
              </w:rPr>
              <w:t>Male</w:t>
            </w:r>
          </w:p>
        </w:tc>
        <w:tc>
          <w:tcPr>
            <w:tcW w:w="1077" w:type="dxa"/>
            <w:tcBorders>
              <w:top w:val="nil"/>
              <w:left w:val="nil"/>
              <w:bottom w:val="nil"/>
              <w:right w:val="nil"/>
            </w:tcBorders>
            <w:shd w:val="clear" w:color="auto" w:fill="D9D9D9" w:themeFill="background1" w:themeFillShade="D9"/>
          </w:tcPr>
          <w:p w14:paraId="2A6B3AA4" w14:textId="77777777" w:rsidR="00497443" w:rsidRPr="004864DB" w:rsidRDefault="00497443" w:rsidP="00497F1D">
            <w:pPr>
              <w:pStyle w:val="TableText"/>
              <w:spacing w:before="0"/>
              <w:jc w:val="center"/>
              <w:rPr>
                <w:b/>
              </w:rPr>
            </w:pPr>
            <w:r w:rsidRPr="004864DB">
              <w:rPr>
                <w:b/>
              </w:rPr>
              <w:t>Female</w:t>
            </w:r>
          </w:p>
        </w:tc>
        <w:tc>
          <w:tcPr>
            <w:tcW w:w="1077" w:type="dxa"/>
            <w:tcBorders>
              <w:top w:val="nil"/>
              <w:left w:val="nil"/>
              <w:bottom w:val="nil"/>
              <w:right w:val="nil"/>
            </w:tcBorders>
            <w:shd w:val="clear" w:color="auto" w:fill="D9D9D9" w:themeFill="background1" w:themeFillShade="D9"/>
          </w:tcPr>
          <w:p w14:paraId="6EB575D3" w14:textId="77777777" w:rsidR="00497443" w:rsidRPr="004864DB" w:rsidRDefault="00497443" w:rsidP="00497F1D">
            <w:pPr>
              <w:pStyle w:val="TableText"/>
              <w:spacing w:before="0"/>
              <w:jc w:val="center"/>
              <w:rPr>
                <w:b/>
              </w:rPr>
            </w:pPr>
            <w:r w:rsidRPr="004864DB">
              <w:rPr>
                <w:b/>
              </w:rPr>
              <w:t>Male</w:t>
            </w:r>
          </w:p>
        </w:tc>
        <w:tc>
          <w:tcPr>
            <w:tcW w:w="1078" w:type="dxa"/>
            <w:tcBorders>
              <w:top w:val="nil"/>
              <w:left w:val="nil"/>
              <w:bottom w:val="nil"/>
            </w:tcBorders>
            <w:shd w:val="clear" w:color="auto" w:fill="D9D9D9" w:themeFill="background1" w:themeFillShade="D9"/>
          </w:tcPr>
          <w:p w14:paraId="42760E19" w14:textId="77777777" w:rsidR="00497443" w:rsidRPr="004864DB" w:rsidRDefault="00497443" w:rsidP="00497F1D">
            <w:pPr>
              <w:pStyle w:val="TableText"/>
              <w:spacing w:before="0"/>
              <w:jc w:val="center"/>
              <w:rPr>
                <w:b/>
              </w:rPr>
            </w:pPr>
            <w:r w:rsidRPr="004864DB">
              <w:rPr>
                <w:b/>
              </w:rPr>
              <w:t>Female</w:t>
            </w:r>
          </w:p>
        </w:tc>
      </w:tr>
      <w:tr w:rsidR="00497443" w:rsidRPr="004864DB" w14:paraId="3A9BC90E" w14:textId="77777777" w:rsidTr="00497443">
        <w:trPr>
          <w:cantSplit/>
        </w:trPr>
        <w:tc>
          <w:tcPr>
            <w:tcW w:w="3771" w:type="dxa"/>
            <w:tcBorders>
              <w:top w:val="nil"/>
              <w:right w:val="nil"/>
            </w:tcBorders>
          </w:tcPr>
          <w:p w14:paraId="2E52F67B" w14:textId="77777777" w:rsidR="00497443" w:rsidRPr="004864DB" w:rsidRDefault="00497443" w:rsidP="00497F1D">
            <w:pPr>
              <w:pStyle w:val="TableText"/>
            </w:pPr>
            <w:r w:rsidRPr="004864DB">
              <w:t>Māori per 100,000 population</w:t>
            </w:r>
          </w:p>
        </w:tc>
        <w:tc>
          <w:tcPr>
            <w:tcW w:w="1077" w:type="dxa"/>
            <w:tcBorders>
              <w:top w:val="nil"/>
              <w:left w:val="nil"/>
              <w:right w:val="nil"/>
            </w:tcBorders>
          </w:tcPr>
          <w:p w14:paraId="3FC6869A" w14:textId="77777777" w:rsidR="00497443" w:rsidRPr="004864DB" w:rsidRDefault="00497443" w:rsidP="00497F1D">
            <w:pPr>
              <w:pStyle w:val="TableText"/>
              <w:jc w:val="center"/>
            </w:pPr>
            <w:r w:rsidRPr="004864DB">
              <w:t>4</w:t>
            </w:r>
            <w:r w:rsidRPr="00501296">
              <w:t>35.4</w:t>
            </w:r>
          </w:p>
        </w:tc>
        <w:tc>
          <w:tcPr>
            <w:tcW w:w="1077" w:type="dxa"/>
            <w:tcBorders>
              <w:top w:val="nil"/>
              <w:left w:val="nil"/>
              <w:right w:val="nil"/>
            </w:tcBorders>
          </w:tcPr>
          <w:p w14:paraId="3E26AB72" w14:textId="77777777" w:rsidR="00497443" w:rsidRPr="004864DB" w:rsidRDefault="00497443" w:rsidP="00497F1D">
            <w:pPr>
              <w:pStyle w:val="TableText"/>
              <w:jc w:val="center"/>
            </w:pPr>
            <w:r w:rsidRPr="00501296">
              <w:t>259.6</w:t>
            </w:r>
          </w:p>
        </w:tc>
        <w:tc>
          <w:tcPr>
            <w:tcW w:w="1077" w:type="dxa"/>
            <w:tcBorders>
              <w:top w:val="nil"/>
              <w:left w:val="nil"/>
              <w:right w:val="nil"/>
            </w:tcBorders>
          </w:tcPr>
          <w:p w14:paraId="6C8C04A9" w14:textId="77777777" w:rsidR="00497443" w:rsidRPr="004864DB" w:rsidRDefault="00497443" w:rsidP="00497F1D">
            <w:pPr>
              <w:pStyle w:val="TableText"/>
              <w:jc w:val="center"/>
            </w:pPr>
            <w:r w:rsidRPr="004864DB">
              <w:t>13</w:t>
            </w:r>
            <w:r w:rsidRPr="00501296">
              <w:t>3.1</w:t>
            </w:r>
          </w:p>
        </w:tc>
        <w:tc>
          <w:tcPr>
            <w:tcW w:w="1078" w:type="dxa"/>
            <w:tcBorders>
              <w:top w:val="nil"/>
              <w:left w:val="nil"/>
            </w:tcBorders>
          </w:tcPr>
          <w:p w14:paraId="529BB5D7" w14:textId="77777777" w:rsidR="00497443" w:rsidRPr="004864DB" w:rsidRDefault="00497443" w:rsidP="00497F1D">
            <w:pPr>
              <w:pStyle w:val="TableText"/>
              <w:jc w:val="center"/>
            </w:pPr>
            <w:r w:rsidRPr="00501296">
              <w:t>89.8</w:t>
            </w:r>
          </w:p>
        </w:tc>
      </w:tr>
      <w:tr w:rsidR="00497443" w:rsidRPr="004864DB" w14:paraId="79762D7D" w14:textId="77777777" w:rsidTr="00497443">
        <w:trPr>
          <w:cantSplit/>
        </w:trPr>
        <w:tc>
          <w:tcPr>
            <w:tcW w:w="3771" w:type="dxa"/>
            <w:tcBorders>
              <w:right w:val="nil"/>
            </w:tcBorders>
          </w:tcPr>
          <w:p w14:paraId="057CF0A9" w14:textId="77777777" w:rsidR="00497443" w:rsidRPr="004864DB" w:rsidRDefault="00497443" w:rsidP="00497F1D">
            <w:pPr>
              <w:pStyle w:val="TableText"/>
            </w:pPr>
            <w:r w:rsidRPr="004864DB">
              <w:t>Pacific peoples per 100,000 population</w:t>
            </w:r>
          </w:p>
        </w:tc>
        <w:tc>
          <w:tcPr>
            <w:tcW w:w="1077" w:type="dxa"/>
            <w:tcBorders>
              <w:left w:val="nil"/>
              <w:right w:val="nil"/>
            </w:tcBorders>
          </w:tcPr>
          <w:p w14:paraId="25293D51" w14:textId="77777777" w:rsidR="00497443" w:rsidRPr="004864DB" w:rsidRDefault="00497443" w:rsidP="00497F1D">
            <w:pPr>
              <w:pStyle w:val="TableText"/>
              <w:jc w:val="center"/>
            </w:pPr>
            <w:r w:rsidRPr="004864DB">
              <w:t>2</w:t>
            </w:r>
            <w:r w:rsidRPr="00501296">
              <w:t>37.9</w:t>
            </w:r>
          </w:p>
        </w:tc>
        <w:tc>
          <w:tcPr>
            <w:tcW w:w="1077" w:type="dxa"/>
            <w:tcBorders>
              <w:left w:val="nil"/>
              <w:right w:val="nil"/>
            </w:tcBorders>
          </w:tcPr>
          <w:p w14:paraId="3A220F90" w14:textId="77777777" w:rsidR="00497443" w:rsidRPr="004864DB" w:rsidRDefault="00497443" w:rsidP="00497F1D">
            <w:pPr>
              <w:pStyle w:val="TableText"/>
              <w:jc w:val="center"/>
            </w:pPr>
            <w:r w:rsidRPr="00501296">
              <w:t>112.9</w:t>
            </w:r>
          </w:p>
        </w:tc>
        <w:tc>
          <w:tcPr>
            <w:tcW w:w="1077" w:type="dxa"/>
            <w:tcBorders>
              <w:left w:val="nil"/>
              <w:right w:val="nil"/>
            </w:tcBorders>
          </w:tcPr>
          <w:p w14:paraId="47BBD790" w14:textId="77777777" w:rsidR="00497443" w:rsidRPr="004864DB" w:rsidRDefault="00497443" w:rsidP="00497F1D">
            <w:pPr>
              <w:pStyle w:val="TableText"/>
              <w:jc w:val="center"/>
            </w:pPr>
            <w:r w:rsidRPr="004864DB">
              <w:t>8</w:t>
            </w:r>
            <w:r w:rsidRPr="00501296">
              <w:t>5.7</w:t>
            </w:r>
          </w:p>
        </w:tc>
        <w:tc>
          <w:tcPr>
            <w:tcW w:w="1078" w:type="dxa"/>
            <w:tcBorders>
              <w:left w:val="nil"/>
            </w:tcBorders>
          </w:tcPr>
          <w:p w14:paraId="0C497766" w14:textId="77777777" w:rsidR="00497443" w:rsidRPr="004864DB" w:rsidRDefault="00497443" w:rsidP="00497F1D">
            <w:pPr>
              <w:pStyle w:val="TableText"/>
              <w:jc w:val="center"/>
            </w:pPr>
            <w:r w:rsidRPr="00501296">
              <w:t>45.6</w:t>
            </w:r>
          </w:p>
        </w:tc>
      </w:tr>
      <w:tr w:rsidR="00497443" w:rsidRPr="004864DB" w14:paraId="624B3FB3" w14:textId="77777777" w:rsidTr="00497443">
        <w:trPr>
          <w:cantSplit/>
        </w:trPr>
        <w:tc>
          <w:tcPr>
            <w:tcW w:w="3771" w:type="dxa"/>
            <w:tcBorders>
              <w:right w:val="nil"/>
            </w:tcBorders>
          </w:tcPr>
          <w:p w14:paraId="45BBFF68" w14:textId="77777777" w:rsidR="00497443" w:rsidRPr="004864DB" w:rsidRDefault="00497443" w:rsidP="00497F1D">
            <w:pPr>
              <w:pStyle w:val="TableText"/>
            </w:pPr>
            <w:r w:rsidRPr="004864DB">
              <w:t>Other ethnicities per 100,000 population</w:t>
            </w:r>
          </w:p>
        </w:tc>
        <w:tc>
          <w:tcPr>
            <w:tcW w:w="1077" w:type="dxa"/>
            <w:tcBorders>
              <w:left w:val="nil"/>
              <w:right w:val="nil"/>
            </w:tcBorders>
          </w:tcPr>
          <w:p w14:paraId="5842214E" w14:textId="77777777" w:rsidR="00497443" w:rsidRPr="004864DB" w:rsidRDefault="00497443" w:rsidP="00497F1D">
            <w:pPr>
              <w:pStyle w:val="TableText"/>
              <w:jc w:val="center"/>
            </w:pPr>
            <w:r w:rsidRPr="004864DB">
              <w:t>10</w:t>
            </w:r>
            <w:r w:rsidRPr="00501296">
              <w:t>5.2</w:t>
            </w:r>
          </w:p>
        </w:tc>
        <w:tc>
          <w:tcPr>
            <w:tcW w:w="1077" w:type="dxa"/>
            <w:tcBorders>
              <w:left w:val="nil"/>
              <w:right w:val="nil"/>
            </w:tcBorders>
          </w:tcPr>
          <w:p w14:paraId="7C049615" w14:textId="77777777" w:rsidR="00497443" w:rsidRPr="004864DB" w:rsidRDefault="00497443" w:rsidP="00497F1D">
            <w:pPr>
              <w:pStyle w:val="TableText"/>
              <w:jc w:val="center"/>
            </w:pPr>
            <w:r w:rsidRPr="00501296">
              <w:t>61.0</w:t>
            </w:r>
          </w:p>
        </w:tc>
        <w:tc>
          <w:tcPr>
            <w:tcW w:w="1077" w:type="dxa"/>
            <w:tcBorders>
              <w:left w:val="nil"/>
              <w:right w:val="nil"/>
            </w:tcBorders>
          </w:tcPr>
          <w:p w14:paraId="56FEA148" w14:textId="77777777" w:rsidR="00497443" w:rsidRPr="004864DB" w:rsidRDefault="00497443" w:rsidP="00497F1D">
            <w:pPr>
              <w:pStyle w:val="TableText"/>
              <w:jc w:val="center"/>
            </w:pPr>
            <w:r w:rsidRPr="004864DB">
              <w:t>3</w:t>
            </w:r>
            <w:r w:rsidRPr="00501296">
              <w:t>1</w:t>
            </w:r>
            <w:r w:rsidRPr="004864DB">
              <w:t>.6</w:t>
            </w:r>
          </w:p>
        </w:tc>
        <w:tc>
          <w:tcPr>
            <w:tcW w:w="1078" w:type="dxa"/>
            <w:tcBorders>
              <w:left w:val="nil"/>
            </w:tcBorders>
          </w:tcPr>
          <w:p w14:paraId="017E3887" w14:textId="77777777" w:rsidR="00497443" w:rsidRPr="004864DB" w:rsidRDefault="00497443" w:rsidP="00497F1D">
            <w:pPr>
              <w:pStyle w:val="TableText"/>
              <w:jc w:val="center"/>
            </w:pPr>
            <w:r w:rsidRPr="004864DB">
              <w:t>2</w:t>
            </w:r>
            <w:r w:rsidRPr="00501296">
              <w:t>1.6</w:t>
            </w:r>
          </w:p>
        </w:tc>
      </w:tr>
      <w:tr w:rsidR="00497443" w:rsidRPr="004864DB" w14:paraId="469EB4D6" w14:textId="77777777" w:rsidTr="00497443">
        <w:trPr>
          <w:cantSplit/>
        </w:trPr>
        <w:tc>
          <w:tcPr>
            <w:tcW w:w="3771" w:type="dxa"/>
            <w:tcBorders>
              <w:right w:val="nil"/>
            </w:tcBorders>
          </w:tcPr>
          <w:p w14:paraId="7BD799C1" w14:textId="77777777" w:rsidR="00497443" w:rsidRPr="004864DB" w:rsidRDefault="00497443" w:rsidP="00497F1D">
            <w:pPr>
              <w:pStyle w:val="TableText"/>
            </w:pPr>
            <w:r w:rsidRPr="004864DB">
              <w:t>Māori to Pacific peoples rate ratio</w:t>
            </w:r>
          </w:p>
        </w:tc>
        <w:tc>
          <w:tcPr>
            <w:tcW w:w="1077" w:type="dxa"/>
            <w:tcBorders>
              <w:left w:val="nil"/>
              <w:right w:val="nil"/>
            </w:tcBorders>
          </w:tcPr>
          <w:p w14:paraId="193283B7" w14:textId="77777777" w:rsidR="00497443" w:rsidRPr="004864DB" w:rsidRDefault="00497443" w:rsidP="00497F1D">
            <w:pPr>
              <w:pStyle w:val="TableText"/>
              <w:jc w:val="center"/>
            </w:pPr>
            <w:r w:rsidRPr="004864DB">
              <w:t>1.</w:t>
            </w:r>
            <w:r w:rsidRPr="00501296">
              <w:t>8:</w:t>
            </w:r>
            <w:r w:rsidRPr="004864DB">
              <w:t>1.0</w:t>
            </w:r>
          </w:p>
        </w:tc>
        <w:tc>
          <w:tcPr>
            <w:tcW w:w="1077" w:type="dxa"/>
            <w:tcBorders>
              <w:left w:val="nil"/>
              <w:right w:val="nil"/>
            </w:tcBorders>
          </w:tcPr>
          <w:p w14:paraId="41F3CE09" w14:textId="77777777" w:rsidR="00497443" w:rsidRPr="004864DB" w:rsidRDefault="00497443" w:rsidP="00497F1D">
            <w:pPr>
              <w:pStyle w:val="TableText"/>
              <w:jc w:val="center"/>
            </w:pPr>
            <w:r w:rsidRPr="004864DB">
              <w:t>2.</w:t>
            </w:r>
            <w:r w:rsidRPr="00501296">
              <w:t>3</w:t>
            </w:r>
            <w:r w:rsidRPr="004864DB">
              <w:t>:1.0</w:t>
            </w:r>
          </w:p>
        </w:tc>
        <w:tc>
          <w:tcPr>
            <w:tcW w:w="1077" w:type="dxa"/>
            <w:tcBorders>
              <w:left w:val="nil"/>
              <w:right w:val="nil"/>
            </w:tcBorders>
          </w:tcPr>
          <w:p w14:paraId="4133FED8" w14:textId="77777777" w:rsidR="00497443" w:rsidRPr="004864DB" w:rsidRDefault="00497443" w:rsidP="00497F1D">
            <w:pPr>
              <w:pStyle w:val="TableText"/>
              <w:jc w:val="center"/>
            </w:pPr>
            <w:r w:rsidRPr="004864DB">
              <w:t>1.6:1.0</w:t>
            </w:r>
          </w:p>
        </w:tc>
        <w:tc>
          <w:tcPr>
            <w:tcW w:w="1078" w:type="dxa"/>
            <w:tcBorders>
              <w:left w:val="nil"/>
            </w:tcBorders>
          </w:tcPr>
          <w:p w14:paraId="02C47A91" w14:textId="77777777" w:rsidR="00497443" w:rsidRPr="004864DB" w:rsidRDefault="00497443" w:rsidP="00497F1D">
            <w:pPr>
              <w:pStyle w:val="TableText"/>
              <w:jc w:val="center"/>
            </w:pPr>
            <w:r w:rsidRPr="00501296">
              <w:t>2.0:1.0</w:t>
            </w:r>
          </w:p>
        </w:tc>
      </w:tr>
      <w:tr w:rsidR="00497443" w:rsidRPr="004864DB" w14:paraId="4F5B8204" w14:textId="77777777" w:rsidTr="00497443">
        <w:trPr>
          <w:cantSplit/>
        </w:trPr>
        <w:tc>
          <w:tcPr>
            <w:tcW w:w="3771" w:type="dxa"/>
            <w:tcBorders>
              <w:right w:val="nil"/>
            </w:tcBorders>
          </w:tcPr>
          <w:p w14:paraId="518C5D5F" w14:textId="77777777" w:rsidR="00497443" w:rsidRPr="004864DB" w:rsidRDefault="00497443" w:rsidP="00497F1D">
            <w:pPr>
              <w:pStyle w:val="TableText"/>
            </w:pPr>
            <w:r w:rsidRPr="004864DB">
              <w:t>Pacific peoples to other ethnicities rate ratio</w:t>
            </w:r>
          </w:p>
        </w:tc>
        <w:tc>
          <w:tcPr>
            <w:tcW w:w="1077" w:type="dxa"/>
            <w:tcBorders>
              <w:left w:val="nil"/>
              <w:right w:val="nil"/>
            </w:tcBorders>
          </w:tcPr>
          <w:p w14:paraId="10E6D803" w14:textId="77777777" w:rsidR="00497443" w:rsidRPr="004864DB" w:rsidRDefault="00497443" w:rsidP="00497F1D">
            <w:pPr>
              <w:pStyle w:val="TableText"/>
              <w:jc w:val="center"/>
            </w:pPr>
            <w:r w:rsidRPr="004864DB">
              <w:t>2.3:1.0</w:t>
            </w:r>
          </w:p>
        </w:tc>
        <w:tc>
          <w:tcPr>
            <w:tcW w:w="1077" w:type="dxa"/>
            <w:tcBorders>
              <w:left w:val="nil"/>
              <w:right w:val="nil"/>
            </w:tcBorders>
          </w:tcPr>
          <w:p w14:paraId="02F99E0C" w14:textId="77777777" w:rsidR="00497443" w:rsidRPr="004864DB" w:rsidRDefault="00497443" w:rsidP="00497F1D">
            <w:pPr>
              <w:pStyle w:val="TableText"/>
              <w:jc w:val="center"/>
            </w:pPr>
            <w:r w:rsidRPr="00501296">
              <w:t>1.9</w:t>
            </w:r>
            <w:r w:rsidRPr="004864DB">
              <w:t>:1.0</w:t>
            </w:r>
          </w:p>
        </w:tc>
        <w:tc>
          <w:tcPr>
            <w:tcW w:w="1077" w:type="dxa"/>
            <w:tcBorders>
              <w:left w:val="nil"/>
              <w:right w:val="nil"/>
            </w:tcBorders>
          </w:tcPr>
          <w:p w14:paraId="3D30D341" w14:textId="77777777" w:rsidR="00497443" w:rsidRPr="004864DB" w:rsidRDefault="00497443" w:rsidP="00497F1D">
            <w:pPr>
              <w:pStyle w:val="TableText"/>
              <w:jc w:val="center"/>
            </w:pPr>
            <w:r w:rsidRPr="004864DB">
              <w:t>2.</w:t>
            </w:r>
            <w:r w:rsidRPr="00501296">
              <w:t>7</w:t>
            </w:r>
            <w:r w:rsidRPr="004864DB">
              <w:t>:1.0</w:t>
            </w:r>
          </w:p>
        </w:tc>
        <w:tc>
          <w:tcPr>
            <w:tcW w:w="1078" w:type="dxa"/>
            <w:tcBorders>
              <w:left w:val="nil"/>
            </w:tcBorders>
          </w:tcPr>
          <w:p w14:paraId="1525347E" w14:textId="77777777" w:rsidR="00497443" w:rsidRPr="004864DB" w:rsidRDefault="00497443" w:rsidP="00497F1D">
            <w:pPr>
              <w:pStyle w:val="TableText"/>
              <w:jc w:val="center"/>
            </w:pPr>
            <w:r w:rsidRPr="00501296">
              <w:t>2.1</w:t>
            </w:r>
            <w:r w:rsidRPr="004864DB">
              <w:t>:1.0</w:t>
            </w:r>
          </w:p>
        </w:tc>
      </w:tr>
      <w:tr w:rsidR="00497443" w:rsidRPr="004864DB" w14:paraId="7D01B190" w14:textId="77777777" w:rsidTr="00497443">
        <w:trPr>
          <w:cantSplit/>
        </w:trPr>
        <w:tc>
          <w:tcPr>
            <w:tcW w:w="3771" w:type="dxa"/>
            <w:tcBorders>
              <w:right w:val="nil"/>
            </w:tcBorders>
          </w:tcPr>
          <w:p w14:paraId="0497AECB" w14:textId="77777777" w:rsidR="00497443" w:rsidRPr="004864DB" w:rsidRDefault="00497443" w:rsidP="00497F1D">
            <w:pPr>
              <w:pStyle w:val="TableText"/>
            </w:pPr>
            <w:r w:rsidRPr="004864DB">
              <w:t>Māori to other ethnicities rate ratio</w:t>
            </w:r>
          </w:p>
        </w:tc>
        <w:tc>
          <w:tcPr>
            <w:tcW w:w="1077" w:type="dxa"/>
            <w:tcBorders>
              <w:left w:val="nil"/>
              <w:right w:val="nil"/>
            </w:tcBorders>
          </w:tcPr>
          <w:p w14:paraId="4A196555" w14:textId="77777777" w:rsidR="00497443" w:rsidRPr="004864DB" w:rsidRDefault="00497443" w:rsidP="00497F1D">
            <w:pPr>
              <w:pStyle w:val="TableText"/>
              <w:jc w:val="center"/>
            </w:pPr>
            <w:r w:rsidRPr="004864DB">
              <w:t>4.</w:t>
            </w:r>
            <w:r w:rsidRPr="00501296">
              <w:t>1</w:t>
            </w:r>
            <w:r w:rsidRPr="004864DB">
              <w:t>:1.0</w:t>
            </w:r>
          </w:p>
        </w:tc>
        <w:tc>
          <w:tcPr>
            <w:tcW w:w="1077" w:type="dxa"/>
            <w:tcBorders>
              <w:left w:val="nil"/>
              <w:right w:val="nil"/>
            </w:tcBorders>
          </w:tcPr>
          <w:p w14:paraId="4B514193" w14:textId="77777777" w:rsidR="00497443" w:rsidRPr="004864DB" w:rsidRDefault="00497443" w:rsidP="00497F1D">
            <w:pPr>
              <w:pStyle w:val="TableText"/>
              <w:jc w:val="center"/>
            </w:pPr>
            <w:r w:rsidRPr="004864DB">
              <w:t>4.</w:t>
            </w:r>
            <w:r w:rsidRPr="00501296">
              <w:t>3</w:t>
            </w:r>
            <w:r w:rsidRPr="004864DB">
              <w:t>:1.0</w:t>
            </w:r>
          </w:p>
        </w:tc>
        <w:tc>
          <w:tcPr>
            <w:tcW w:w="1077" w:type="dxa"/>
            <w:tcBorders>
              <w:left w:val="nil"/>
              <w:right w:val="nil"/>
            </w:tcBorders>
          </w:tcPr>
          <w:p w14:paraId="074D7A20" w14:textId="77777777" w:rsidR="00497443" w:rsidRPr="004864DB" w:rsidRDefault="00497443" w:rsidP="00497F1D">
            <w:pPr>
              <w:pStyle w:val="TableText"/>
              <w:jc w:val="center"/>
            </w:pPr>
            <w:r w:rsidRPr="00501296">
              <w:t>4.2</w:t>
            </w:r>
            <w:r w:rsidRPr="004864DB">
              <w:t>:1.0</w:t>
            </w:r>
          </w:p>
        </w:tc>
        <w:tc>
          <w:tcPr>
            <w:tcW w:w="1078" w:type="dxa"/>
            <w:tcBorders>
              <w:left w:val="nil"/>
            </w:tcBorders>
          </w:tcPr>
          <w:p w14:paraId="4252C94F" w14:textId="77777777" w:rsidR="00497443" w:rsidRPr="004864DB" w:rsidRDefault="00497443" w:rsidP="00497F1D">
            <w:pPr>
              <w:pStyle w:val="TableText"/>
              <w:jc w:val="center"/>
            </w:pPr>
            <w:r w:rsidRPr="00501296">
              <w:t>4.2</w:t>
            </w:r>
            <w:r w:rsidRPr="004864DB">
              <w:t>:1.0</w:t>
            </w:r>
          </w:p>
        </w:tc>
      </w:tr>
    </w:tbl>
    <w:p w14:paraId="4505E7A9" w14:textId="77777777" w:rsidR="00497443" w:rsidRPr="004864DB" w:rsidRDefault="00497443" w:rsidP="00497443">
      <w:pPr>
        <w:pStyle w:val="Note"/>
      </w:pPr>
      <w:r w:rsidRPr="004864DB">
        <w:t>Notes: Rates per 100,000 are age standardised. ‘Other ethnicities’ are all ethnicities excluding Māori and Pacific peoples.</w:t>
      </w:r>
    </w:p>
    <w:p w14:paraId="0E950C19" w14:textId="77777777" w:rsidR="00497443" w:rsidRPr="00200234" w:rsidRDefault="00497443" w:rsidP="00497443">
      <w:pPr>
        <w:pStyle w:val="Source"/>
      </w:pPr>
      <w:r w:rsidRPr="004864DB">
        <w:t>Source: PRIMHD data (extracted 28 February 2024).</w:t>
      </w:r>
    </w:p>
    <w:p w14:paraId="274AF9C4" w14:textId="77777777" w:rsidR="00497443" w:rsidRDefault="00497443" w:rsidP="00753A1F">
      <w:pPr>
        <w:rPr>
          <w:rFonts w:eastAsia="Arial Unicode MS"/>
        </w:rPr>
        <w:sectPr w:rsidR="00497443" w:rsidSect="00753A1F">
          <w:pgSz w:w="11907" w:h="16834" w:code="9"/>
          <w:pgMar w:top="1418" w:right="1701" w:bottom="1134" w:left="1843" w:header="284" w:footer="425" w:gutter="284"/>
          <w:cols w:space="720"/>
        </w:sectPr>
      </w:pPr>
    </w:p>
    <w:p w14:paraId="3F7E942F" w14:textId="31B0DBCA" w:rsidR="00497443" w:rsidRPr="00497443" w:rsidRDefault="00497443" w:rsidP="00497443">
      <w:pPr>
        <w:pStyle w:val="Figure"/>
      </w:pPr>
      <w:bookmarkStart w:id="161" w:name="_Ref65671957"/>
      <w:bookmarkStart w:id="162" w:name="_Toc63764754"/>
      <w:bookmarkStart w:id="163" w:name="_Toc75176481"/>
      <w:bookmarkStart w:id="164" w:name="_Toc85442571"/>
      <w:bookmarkStart w:id="165" w:name="_Toc85445918"/>
      <w:bookmarkStart w:id="166" w:name="_Toc87429958"/>
      <w:bookmarkStart w:id="167" w:name="_Toc88561390"/>
      <w:bookmarkStart w:id="168" w:name="_Toc115188848"/>
      <w:bookmarkStart w:id="169" w:name="_Toc142314690"/>
      <w:bookmarkStart w:id="170" w:name="_Toc145394274"/>
      <w:bookmarkStart w:id="171" w:name="_Toc189053950"/>
      <w:bookmarkStart w:id="172" w:name="_Toc189647935"/>
      <w:r>
        <w:t>Figure </w:t>
      </w:r>
      <w:r>
        <w:fldChar w:fldCharType="begin"/>
      </w:r>
      <w:r>
        <w:instrText>SEQ Figure \* ARABIC</w:instrText>
      </w:r>
      <w:r>
        <w:fldChar w:fldCharType="separate"/>
      </w:r>
      <w:r w:rsidR="00753BC8">
        <w:rPr>
          <w:noProof/>
        </w:rPr>
        <w:t>9</w:t>
      </w:r>
      <w:r>
        <w:fldChar w:fldCharType="end"/>
      </w:r>
      <w:bookmarkEnd w:id="161"/>
      <w:r w:rsidRPr="00755D2C">
        <w:t>: Age-standardised rates of</w:t>
      </w:r>
      <w:r>
        <w:t xml:space="preserve"> people </w:t>
      </w:r>
      <w:r w:rsidRPr="00755D2C">
        <w:t>subject to community</w:t>
      </w:r>
      <w:r>
        <w:t xml:space="preserve"> (section 29)</w:t>
      </w:r>
      <w:r w:rsidRPr="00755D2C">
        <w:t xml:space="preserve"> and inpatient </w:t>
      </w:r>
      <w:r>
        <w:t xml:space="preserve">(section 30) </w:t>
      </w:r>
      <w:r w:rsidRPr="00755D2C">
        <w:t xml:space="preserve">treatment orders under the Mental Health Act, by </w:t>
      </w:r>
      <w:r>
        <w:t>gender and ethnicity</w:t>
      </w:r>
      <w:r w:rsidRPr="00755D2C">
        <w:t xml:space="preserve">, 1 </w:t>
      </w:r>
      <w:bookmarkEnd w:id="162"/>
      <w:bookmarkEnd w:id="163"/>
      <w:bookmarkEnd w:id="164"/>
      <w:bookmarkEnd w:id="165"/>
      <w:bookmarkEnd w:id="166"/>
      <w:bookmarkEnd w:id="167"/>
      <w:r w:rsidRPr="00755D2C">
        <w:t>July 202</w:t>
      </w:r>
      <w:r>
        <w:t>2</w:t>
      </w:r>
      <w:r w:rsidRPr="00755D2C">
        <w:t xml:space="preserve"> to 30 June </w:t>
      </w:r>
      <w:bookmarkEnd w:id="168"/>
      <w:bookmarkEnd w:id="169"/>
      <w:bookmarkEnd w:id="170"/>
      <w:r w:rsidRPr="00755D2C">
        <w:t>202</w:t>
      </w:r>
      <w:r>
        <w:t>3</w:t>
      </w:r>
      <w:bookmarkEnd w:id="171"/>
      <w:bookmarkEnd w:id="172"/>
    </w:p>
    <w:p w14:paraId="1A88103A" w14:textId="77777777" w:rsidR="00497443" w:rsidRDefault="00497443" w:rsidP="00753A1F">
      <w:pPr>
        <w:rPr>
          <w:rFonts w:eastAsia="Arial Unicode MS"/>
        </w:rPr>
      </w:pPr>
      <w:r>
        <w:rPr>
          <w:rFonts w:eastAsia="Arial Unicode MS"/>
          <w:noProof/>
        </w:rPr>
        <w:drawing>
          <wp:inline distT="0" distB="0" distL="0" distR="0" wp14:anchorId="52890553" wp14:editId="35EBC5C3">
            <wp:extent cx="5112327" cy="2635668"/>
            <wp:effectExtent l="0" t="0" r="0" b="0"/>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122584" cy="2640956"/>
                    </a:xfrm>
                    <a:prstGeom prst="rect">
                      <a:avLst/>
                    </a:prstGeom>
                    <a:noFill/>
                  </pic:spPr>
                </pic:pic>
              </a:graphicData>
            </a:graphic>
          </wp:inline>
        </w:drawing>
      </w:r>
    </w:p>
    <w:p w14:paraId="22FEA323" w14:textId="77777777" w:rsidR="00497443" w:rsidRPr="00200234" w:rsidRDefault="00497443" w:rsidP="00497443">
      <w:pPr>
        <w:pStyle w:val="Note"/>
      </w:pPr>
      <w:r w:rsidRPr="00200234">
        <w:t>Note: Rates per 100,000 are age</w:t>
      </w:r>
      <w:r>
        <w:t xml:space="preserve"> </w:t>
      </w:r>
      <w:r w:rsidRPr="00200234">
        <w:t>standardised.</w:t>
      </w:r>
    </w:p>
    <w:p w14:paraId="1DC5376E" w14:textId="77777777" w:rsidR="00497443" w:rsidRDefault="00497443" w:rsidP="00497443">
      <w:pPr>
        <w:pStyle w:val="Source"/>
      </w:pPr>
      <w:r w:rsidRPr="00200234">
        <w:t xml:space="preserve">Source: </w:t>
      </w:r>
      <w:r w:rsidRPr="004864DB">
        <w:t>PRIMHD data (extracted 28 February 2024).</w:t>
      </w:r>
    </w:p>
    <w:p w14:paraId="31EC35E7" w14:textId="77777777" w:rsidR="00497443" w:rsidRPr="00497443" w:rsidRDefault="00497443" w:rsidP="00497443">
      <w:pPr>
        <w:pStyle w:val="Heading2"/>
      </w:pPr>
      <w:bookmarkStart w:id="173" w:name="_Toc65141620"/>
      <w:bookmarkStart w:id="174" w:name="_Toc75176444"/>
      <w:bookmarkStart w:id="175" w:name="_Toc87429906"/>
      <w:bookmarkStart w:id="176" w:name="_Toc88826954"/>
      <w:bookmarkStart w:id="177" w:name="_Toc115188804"/>
      <w:bookmarkStart w:id="178" w:name="_Toc145394232"/>
      <w:bookmarkStart w:id="179" w:name="_Toc189053902"/>
      <w:bookmarkStart w:id="180" w:name="_Toc189647891"/>
      <w:r w:rsidRPr="00497443">
        <w:t xml:space="preserve">Length of time people are subject to </w:t>
      </w:r>
      <w:bookmarkEnd w:id="173"/>
      <w:bookmarkEnd w:id="174"/>
      <w:bookmarkEnd w:id="175"/>
      <w:bookmarkEnd w:id="176"/>
      <w:bookmarkEnd w:id="177"/>
      <w:bookmarkEnd w:id="178"/>
      <w:r w:rsidRPr="00497443">
        <w:t>compulsory treatment orders</w:t>
      </w:r>
      <w:bookmarkEnd w:id="179"/>
      <w:bookmarkEnd w:id="180"/>
    </w:p>
    <w:p w14:paraId="4DDCA892" w14:textId="77777777" w:rsidR="00497443" w:rsidRDefault="00497443" w:rsidP="00497443">
      <w:r w:rsidRPr="00200234">
        <w:t>On average, Māori</w:t>
      </w:r>
      <w:r>
        <w:t>, Pacific peoples</w:t>
      </w:r>
      <w:r w:rsidRPr="00200234">
        <w:t xml:space="preserve"> and </w:t>
      </w:r>
      <w:r>
        <w:t>other ethnicities</w:t>
      </w:r>
      <w:r w:rsidRPr="00200234">
        <w:t xml:space="preserve"> remain on </w:t>
      </w:r>
      <w:r>
        <w:t>CTO</w:t>
      </w:r>
      <w:r w:rsidRPr="00200234">
        <w:t xml:space="preserve">s for a similar amount of time. </w:t>
      </w:r>
    </w:p>
    <w:p w14:paraId="253BD816" w14:textId="77777777" w:rsidR="00497443" w:rsidRDefault="00497443" w:rsidP="00497443"/>
    <w:p w14:paraId="03DD7ED1" w14:textId="2EE75500" w:rsidR="00497443" w:rsidRPr="00CF2F96" w:rsidRDefault="00497443" w:rsidP="00497443">
      <w:r>
        <w:t xml:space="preserve">Among </w:t>
      </w:r>
      <w:r w:rsidRPr="00CF2F96">
        <w:t xml:space="preserve">people with community </w:t>
      </w:r>
      <w:r>
        <w:t>treatment orders</w:t>
      </w:r>
      <w:r w:rsidRPr="00CF2F96">
        <w:t xml:space="preserve"> current at any time in the 2022/23 year, </w:t>
      </w:r>
      <w:r w:rsidRPr="00501296">
        <w:t>31.6</w:t>
      </w:r>
      <w:r w:rsidRPr="00CF2F96">
        <w:t>% of Māori, 35.</w:t>
      </w:r>
      <w:r w:rsidRPr="00501296">
        <w:t>9</w:t>
      </w:r>
      <w:r w:rsidRPr="00CF2F96">
        <w:t>% of Pacific peoples and 32.</w:t>
      </w:r>
      <w:r w:rsidRPr="00501296">
        <w:t>0</w:t>
      </w:r>
      <w:r w:rsidRPr="00CF2F96">
        <w:t>% of other ethnicities were subject to the order for less than a year (</w:t>
      </w:r>
      <w:r w:rsidRPr="00CF2F96">
        <w:fldChar w:fldCharType="begin"/>
      </w:r>
      <w:r w:rsidRPr="00CF2F96">
        <w:instrText xml:space="preserve"> REF _Ref65672142 \h </w:instrText>
      </w:r>
      <w:r>
        <w:instrText xml:space="preserve"> \* MERGEFORMAT </w:instrText>
      </w:r>
      <w:r w:rsidRPr="00CF2F96">
        <w:fldChar w:fldCharType="separate"/>
      </w:r>
      <w:r w:rsidR="00753BC8" w:rsidRPr="00FA153E">
        <w:t>Figure </w:t>
      </w:r>
      <w:r w:rsidR="00753BC8">
        <w:t>10</w:t>
      </w:r>
      <w:r w:rsidRPr="00CF2F96">
        <w:fldChar w:fldCharType="end"/>
      </w:r>
      <w:r w:rsidRPr="00CF2F96">
        <w:t>).</w:t>
      </w:r>
    </w:p>
    <w:p w14:paraId="6356BB97" w14:textId="77777777" w:rsidR="00497443" w:rsidRPr="00CF2F96" w:rsidRDefault="00497443" w:rsidP="00497443"/>
    <w:p w14:paraId="11677B61" w14:textId="0FAE9256" w:rsidR="00497443" w:rsidRDefault="00497443" w:rsidP="00497443">
      <w:r>
        <w:t>Among</w:t>
      </w:r>
      <w:r w:rsidRPr="00CF2F96">
        <w:t xml:space="preserve"> people with inpatient </w:t>
      </w:r>
      <w:r>
        <w:t>treatment orders</w:t>
      </w:r>
      <w:r w:rsidRPr="00CF2F96">
        <w:t xml:space="preserve"> current at any time</w:t>
      </w:r>
      <w:r>
        <w:t xml:space="preserve"> in the</w:t>
      </w:r>
      <w:r w:rsidRPr="00CF2F96">
        <w:t xml:space="preserve"> 2022/23 year, 7</w:t>
      </w:r>
      <w:r w:rsidRPr="00501296">
        <w:t>0.6</w:t>
      </w:r>
      <w:r w:rsidRPr="00CF2F96">
        <w:t xml:space="preserve">% of Māori, </w:t>
      </w:r>
      <w:r w:rsidRPr="00501296">
        <w:t>69.8</w:t>
      </w:r>
      <w:r w:rsidRPr="00CF2F96">
        <w:t>% of Pacific peoples and 77.1% of other ethnicities</w:t>
      </w:r>
      <w:r w:rsidRPr="00FA153E">
        <w:t xml:space="preserve"> were subject to the order for less than a year</w:t>
      </w:r>
      <w:r>
        <w:t xml:space="preserve"> (</w:t>
      </w:r>
      <w:r>
        <w:fldChar w:fldCharType="begin"/>
      </w:r>
      <w:r>
        <w:instrText xml:space="preserve"> REF _Ref141107756 \h  \* MERGEFORMAT </w:instrText>
      </w:r>
      <w:r>
        <w:fldChar w:fldCharType="separate"/>
      </w:r>
      <w:r w:rsidR="00753BC8" w:rsidRPr="0035368A">
        <w:t>Figure </w:t>
      </w:r>
      <w:r w:rsidR="00753BC8">
        <w:t>11</w:t>
      </w:r>
      <w:r>
        <w:fldChar w:fldCharType="end"/>
      </w:r>
      <w:r>
        <w:t>)</w:t>
      </w:r>
      <w:r w:rsidRPr="00FA153E">
        <w:t>.</w:t>
      </w:r>
    </w:p>
    <w:p w14:paraId="32F934CA" w14:textId="77777777" w:rsidR="00497443" w:rsidRDefault="00497443" w:rsidP="00753A1F">
      <w:pPr>
        <w:rPr>
          <w:rFonts w:eastAsia="Arial Unicode MS"/>
        </w:rPr>
      </w:pPr>
    </w:p>
    <w:p w14:paraId="2CC39AC0" w14:textId="77777777" w:rsidR="00497443" w:rsidRDefault="00497443" w:rsidP="00753A1F">
      <w:pPr>
        <w:rPr>
          <w:rFonts w:eastAsia="Arial Unicode MS"/>
        </w:rPr>
      </w:pPr>
    </w:p>
    <w:p w14:paraId="588B3869" w14:textId="77777777" w:rsidR="00497443" w:rsidRDefault="00497443" w:rsidP="00753A1F">
      <w:pPr>
        <w:rPr>
          <w:rFonts w:eastAsia="Arial Unicode MS"/>
        </w:rPr>
        <w:sectPr w:rsidR="00497443" w:rsidSect="00753A1F">
          <w:pgSz w:w="11907" w:h="16834" w:code="9"/>
          <w:pgMar w:top="1418" w:right="1701" w:bottom="1134" w:left="1843" w:header="284" w:footer="425" w:gutter="284"/>
          <w:cols w:space="720"/>
        </w:sectPr>
      </w:pPr>
    </w:p>
    <w:p w14:paraId="62B1D364" w14:textId="52B4CE9E" w:rsidR="00497443" w:rsidRPr="00497443" w:rsidRDefault="00497443" w:rsidP="00497443">
      <w:pPr>
        <w:pStyle w:val="Figure"/>
      </w:pPr>
      <w:bookmarkStart w:id="181" w:name="_Ref65672142"/>
      <w:bookmarkStart w:id="182" w:name="_Toc142314691"/>
      <w:bookmarkStart w:id="183" w:name="_Toc145394275"/>
      <w:bookmarkStart w:id="184" w:name="_Toc189053951"/>
      <w:bookmarkStart w:id="185" w:name="_Toc189647936"/>
      <w:r w:rsidRPr="00FA153E">
        <w:t>Figure </w:t>
      </w:r>
      <w:r>
        <w:fldChar w:fldCharType="begin"/>
      </w:r>
      <w:r>
        <w:instrText>SEQ Figure \* ARABIC</w:instrText>
      </w:r>
      <w:r>
        <w:fldChar w:fldCharType="separate"/>
      </w:r>
      <w:r w:rsidR="00753BC8">
        <w:rPr>
          <w:noProof/>
        </w:rPr>
        <w:t>10</w:t>
      </w:r>
      <w:r>
        <w:fldChar w:fldCharType="end"/>
      </w:r>
      <w:bookmarkEnd w:id="181"/>
      <w:r w:rsidRPr="00FA153E">
        <w:t xml:space="preserve">: </w:t>
      </w:r>
      <w:r>
        <w:t xml:space="preserve">Total time spent subject to a community treatment order (section 29) under the Mental Health Act in the last three years, by ethnicity, for those with a current order in the year 1 July 2022 to 30 June </w:t>
      </w:r>
      <w:bookmarkEnd w:id="182"/>
      <w:bookmarkEnd w:id="183"/>
      <w:r>
        <w:t>2023</w:t>
      </w:r>
      <w:bookmarkEnd w:id="184"/>
      <w:bookmarkEnd w:id="185"/>
    </w:p>
    <w:p w14:paraId="6EC662A1" w14:textId="77777777" w:rsidR="00497443" w:rsidRDefault="00497443" w:rsidP="00753A1F">
      <w:pPr>
        <w:rPr>
          <w:rFonts w:eastAsia="Arial Unicode MS"/>
        </w:rPr>
      </w:pPr>
      <w:r>
        <w:rPr>
          <w:rFonts w:eastAsia="Arial Unicode MS"/>
          <w:noProof/>
        </w:rPr>
        <w:drawing>
          <wp:inline distT="0" distB="0" distL="0" distR="0" wp14:anchorId="242307FF" wp14:editId="310E9811">
            <wp:extent cx="5139266" cy="2619420"/>
            <wp:effectExtent l="0" t="0" r="4445" b="0"/>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175392" cy="2637833"/>
                    </a:xfrm>
                    <a:prstGeom prst="rect">
                      <a:avLst/>
                    </a:prstGeom>
                    <a:noFill/>
                  </pic:spPr>
                </pic:pic>
              </a:graphicData>
            </a:graphic>
          </wp:inline>
        </w:drawing>
      </w:r>
    </w:p>
    <w:p w14:paraId="7B104827" w14:textId="77777777" w:rsidR="00497443" w:rsidRPr="0066288E" w:rsidRDefault="00497443" w:rsidP="00497443">
      <w:pPr>
        <w:pStyle w:val="Note"/>
      </w:pPr>
      <w:r w:rsidRPr="0066288E">
        <w:t>Notes: The data refers to people with treatment orders that were current at any point in 202</w:t>
      </w:r>
      <w:r w:rsidRPr="00501296">
        <w:t>2</w:t>
      </w:r>
      <w:r w:rsidRPr="0066288E">
        <w:t>/2</w:t>
      </w:r>
      <w:r w:rsidRPr="00501296">
        <w:t>3</w:t>
      </w:r>
      <w:r w:rsidRPr="0066288E">
        <w:t xml:space="preserve"> and shows </w:t>
      </w:r>
      <w:r>
        <w:t>the total</w:t>
      </w:r>
      <w:r w:rsidRPr="0066288E" w:rsidDel="005C7F42">
        <w:t xml:space="preserve"> </w:t>
      </w:r>
      <w:r>
        <w:t>time</w:t>
      </w:r>
      <w:r w:rsidRPr="0066288E">
        <w:t xml:space="preserve"> </w:t>
      </w:r>
      <w:r>
        <w:t xml:space="preserve">they were </w:t>
      </w:r>
      <w:r w:rsidRPr="0066288E">
        <w:t>subject to the order in the period from 1 July 20</w:t>
      </w:r>
      <w:r w:rsidRPr="00501296">
        <w:t>20</w:t>
      </w:r>
      <w:r w:rsidRPr="0066288E">
        <w:t xml:space="preserve"> to 30 June 202</w:t>
      </w:r>
      <w:r w:rsidRPr="00501296">
        <w:t>3</w:t>
      </w:r>
      <w:r w:rsidRPr="0066288E">
        <w:t>. Some orders current in this period will have started before 1 July 20</w:t>
      </w:r>
      <w:r w:rsidRPr="00501296">
        <w:t>20</w:t>
      </w:r>
      <w:r w:rsidRPr="0066288E">
        <w:t xml:space="preserve">. For some people with orders starting in the most recent </w:t>
      </w:r>
      <w:r>
        <w:t>two</w:t>
      </w:r>
      <w:r w:rsidRPr="0066288E">
        <w:t xml:space="preserve"> years</w:t>
      </w:r>
      <w:r>
        <w:t>,</w:t>
      </w:r>
      <w:r w:rsidRPr="005C7F42">
        <w:t xml:space="preserve"> </w:t>
      </w:r>
      <w:r>
        <w:t>t</w:t>
      </w:r>
      <w:r w:rsidRPr="0066288E">
        <w:t xml:space="preserve">he total </w:t>
      </w:r>
      <w:r>
        <w:t>time</w:t>
      </w:r>
      <w:r w:rsidRPr="0066288E">
        <w:t xml:space="preserve"> is not yet known as the orders are still current. </w:t>
      </w:r>
    </w:p>
    <w:p w14:paraId="3AACF402" w14:textId="77777777" w:rsidR="00497443" w:rsidRDefault="00497443" w:rsidP="00497443">
      <w:pPr>
        <w:pStyle w:val="Source"/>
      </w:pPr>
      <w:r w:rsidRPr="0066288E">
        <w:t>Source: PRIMHD data (extracted 28 February 2024).</w:t>
      </w:r>
    </w:p>
    <w:p w14:paraId="1819C3AD" w14:textId="77777777" w:rsidR="00497443" w:rsidRDefault="00497443" w:rsidP="00497443"/>
    <w:p w14:paraId="2F747A3F" w14:textId="16A58D15" w:rsidR="00497443" w:rsidRDefault="00497443" w:rsidP="00497443">
      <w:pPr>
        <w:pStyle w:val="Figure"/>
      </w:pPr>
      <w:bookmarkStart w:id="186" w:name="_Ref141107756"/>
      <w:bookmarkStart w:id="187" w:name="_Toc142314692"/>
      <w:bookmarkStart w:id="188" w:name="_Toc145394276"/>
      <w:bookmarkStart w:id="189" w:name="_Toc189053952"/>
      <w:bookmarkStart w:id="190" w:name="_Toc189647937"/>
      <w:r w:rsidRPr="0035368A">
        <w:t>Figure </w:t>
      </w:r>
      <w:r>
        <w:fldChar w:fldCharType="begin"/>
      </w:r>
      <w:r>
        <w:instrText>SEQ Figure \* ARABIC</w:instrText>
      </w:r>
      <w:r>
        <w:fldChar w:fldCharType="separate"/>
      </w:r>
      <w:r w:rsidR="00753BC8">
        <w:rPr>
          <w:noProof/>
        </w:rPr>
        <w:t>11</w:t>
      </w:r>
      <w:r>
        <w:fldChar w:fldCharType="end"/>
      </w:r>
      <w:bookmarkEnd w:id="186"/>
      <w:r w:rsidRPr="0035368A">
        <w:t>:</w:t>
      </w:r>
      <w:r>
        <w:t xml:space="preserve"> Total time spent subject to an inpatient treatment order (section 30) under the Mental Health Act in the last three years, by ethnicity, for those with a current order in the year 1 July 2022 to 30 June </w:t>
      </w:r>
      <w:bookmarkEnd w:id="187"/>
      <w:bookmarkEnd w:id="188"/>
      <w:r>
        <w:t>2023</w:t>
      </w:r>
      <w:bookmarkEnd w:id="189"/>
      <w:bookmarkEnd w:id="190"/>
      <w:r w:rsidRPr="0035368A">
        <w:t xml:space="preserve"> </w:t>
      </w:r>
    </w:p>
    <w:p w14:paraId="18CCEDDA" w14:textId="62479BE0" w:rsidR="00497443" w:rsidRDefault="00497443" w:rsidP="00753A1F">
      <w:pPr>
        <w:rPr>
          <w:rFonts w:eastAsia="Arial Unicode MS"/>
        </w:rPr>
      </w:pPr>
      <w:r>
        <w:rPr>
          <w:rFonts w:eastAsia="Arial Unicode MS"/>
          <w:noProof/>
        </w:rPr>
        <w:drawing>
          <wp:inline distT="0" distB="0" distL="0" distR="0" wp14:anchorId="31420DE3" wp14:editId="17EC8FEE">
            <wp:extent cx="5113866" cy="2464288"/>
            <wp:effectExtent l="0" t="0" r="0" b="0"/>
            <wp:docPr id="15"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adec="http://schemas.microsoft.com/office/drawing/2017/decorative" val="1"/>
                        </a:ext>
                      </a:extLst>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147642" cy="2480564"/>
                    </a:xfrm>
                    <a:prstGeom prst="rect">
                      <a:avLst/>
                    </a:prstGeom>
                    <a:noFill/>
                  </pic:spPr>
                </pic:pic>
              </a:graphicData>
            </a:graphic>
          </wp:inline>
        </w:drawing>
      </w:r>
    </w:p>
    <w:p w14:paraId="5E56AF07" w14:textId="77777777" w:rsidR="00497443" w:rsidRDefault="00497443" w:rsidP="00497443">
      <w:pPr>
        <w:pStyle w:val="Note"/>
      </w:pPr>
      <w:r w:rsidRPr="00252D47">
        <w:t xml:space="preserve">Notes: </w:t>
      </w:r>
      <w:r w:rsidRPr="0066288E">
        <w:t>The data refers to people with treatment orders that were current at any point in 202</w:t>
      </w:r>
      <w:r w:rsidRPr="009B6BC1">
        <w:t>2</w:t>
      </w:r>
      <w:r w:rsidRPr="0066288E">
        <w:t>/2</w:t>
      </w:r>
      <w:r w:rsidRPr="009B6BC1">
        <w:t>3</w:t>
      </w:r>
      <w:r w:rsidRPr="0066288E">
        <w:t xml:space="preserve"> and shows their total </w:t>
      </w:r>
      <w:r>
        <w:t>time</w:t>
      </w:r>
      <w:r w:rsidRPr="0066288E">
        <w:t xml:space="preserve"> subject to the order in the period from 1 July 20</w:t>
      </w:r>
      <w:r w:rsidRPr="009B6BC1">
        <w:t>20</w:t>
      </w:r>
      <w:r w:rsidRPr="0066288E">
        <w:t xml:space="preserve"> to 30 June 202</w:t>
      </w:r>
      <w:r w:rsidRPr="009B6BC1">
        <w:t>3</w:t>
      </w:r>
      <w:r w:rsidRPr="0066288E">
        <w:t>. Some orders current in this period will have started before 1 July 20</w:t>
      </w:r>
      <w:r w:rsidRPr="009B6BC1">
        <w:t>20</w:t>
      </w:r>
      <w:r w:rsidRPr="0066288E">
        <w:t xml:space="preserve">. </w:t>
      </w:r>
      <w:r>
        <w:t>For</w:t>
      </w:r>
      <w:r w:rsidRPr="0066288E">
        <w:t xml:space="preserve"> some people with orders starting in the most recent </w:t>
      </w:r>
      <w:r>
        <w:t>two</w:t>
      </w:r>
      <w:r w:rsidRPr="0066288E">
        <w:t xml:space="preserve"> years</w:t>
      </w:r>
      <w:r>
        <w:t>, the total time</w:t>
      </w:r>
      <w:r w:rsidRPr="0066288E">
        <w:t xml:space="preserve"> is not yet known as the orders are still current. </w:t>
      </w:r>
    </w:p>
    <w:p w14:paraId="3E858B24" w14:textId="77777777" w:rsidR="00497443" w:rsidRDefault="00497443" w:rsidP="00497443">
      <w:pPr>
        <w:pStyle w:val="Source"/>
      </w:pPr>
      <w:r w:rsidRPr="00200234">
        <w:t>Source: PRIMHD data</w:t>
      </w:r>
      <w:r>
        <w:t xml:space="preserve"> (28 February 2024).</w:t>
      </w:r>
    </w:p>
    <w:p w14:paraId="231CFBAC" w14:textId="77777777" w:rsidR="00497443" w:rsidRDefault="00497443" w:rsidP="00753A1F">
      <w:pPr>
        <w:rPr>
          <w:rFonts w:eastAsia="Arial Unicode MS"/>
        </w:rPr>
      </w:pPr>
    </w:p>
    <w:p w14:paraId="6DF78B95" w14:textId="77777777" w:rsidR="00497443" w:rsidRDefault="00497443" w:rsidP="00753A1F">
      <w:pPr>
        <w:rPr>
          <w:rFonts w:eastAsia="Arial Unicode MS"/>
        </w:rPr>
      </w:pPr>
    </w:p>
    <w:p w14:paraId="02C6FC9D" w14:textId="77777777" w:rsidR="00497443" w:rsidRDefault="00497443" w:rsidP="00753A1F">
      <w:pPr>
        <w:rPr>
          <w:rFonts w:eastAsia="Arial Unicode MS"/>
        </w:rPr>
        <w:sectPr w:rsidR="00497443" w:rsidSect="00753A1F">
          <w:pgSz w:w="11907" w:h="16834" w:code="9"/>
          <w:pgMar w:top="1418" w:right="1701" w:bottom="1134" w:left="1843" w:header="284" w:footer="425" w:gutter="284"/>
          <w:cols w:space="720"/>
        </w:sectPr>
      </w:pPr>
    </w:p>
    <w:p w14:paraId="4AB1E8A7" w14:textId="77777777" w:rsidR="00497443" w:rsidRPr="00200234" w:rsidRDefault="00497443" w:rsidP="00497443">
      <w:pPr>
        <w:pStyle w:val="Heading2"/>
        <w:spacing w:before="0"/>
      </w:pPr>
      <w:bookmarkStart w:id="191" w:name="_Toc65141621"/>
      <w:bookmarkStart w:id="192" w:name="_Toc75176445"/>
      <w:bookmarkStart w:id="193" w:name="_Toc87429907"/>
      <w:bookmarkStart w:id="194" w:name="_Toc88826955"/>
      <w:bookmarkStart w:id="195" w:name="_Toc115188805"/>
      <w:bookmarkStart w:id="196" w:name="_Toc145394233"/>
      <w:bookmarkStart w:id="197" w:name="_Toc189053903"/>
      <w:bookmarkStart w:id="198" w:name="_Toc189647892"/>
      <w:r w:rsidRPr="00200234">
        <w:t>Family and whānau consultation under the Mental Health Act</w:t>
      </w:r>
      <w:bookmarkEnd w:id="191"/>
      <w:bookmarkEnd w:id="192"/>
      <w:bookmarkEnd w:id="193"/>
      <w:bookmarkEnd w:id="194"/>
      <w:bookmarkEnd w:id="195"/>
      <w:bookmarkEnd w:id="196"/>
      <w:bookmarkEnd w:id="197"/>
      <w:bookmarkEnd w:id="198"/>
    </w:p>
    <w:p w14:paraId="26373BFE" w14:textId="77777777" w:rsidR="00497443" w:rsidRPr="00200234" w:rsidRDefault="00497443" w:rsidP="00497443">
      <w:r w:rsidRPr="00200234">
        <w:t>Section 7A of the Mental Health Act requires clinicians to consult family and whānau</w:t>
      </w:r>
      <w:r>
        <w:t xml:space="preserve"> of a person undergoing compulsory assessment or treatment,</w:t>
      </w:r>
      <w:r w:rsidRPr="00200234">
        <w:t xml:space="preserve"> unless </w:t>
      </w:r>
      <w:r>
        <w:t>service providers and clinicians consider this consultation is</w:t>
      </w:r>
      <w:r w:rsidRPr="00200234">
        <w:t xml:space="preserve"> not reasonably practicable or not in the interests of the person being assessed or receiving the treatment.</w:t>
      </w:r>
      <w:r>
        <w:t xml:space="preserve"> Clinicians are encouraged to consider that the term ‘whānau’ could include any set of relationships a patient or proposed patient recognises as their closest connections, without limiting them to blood ties.</w:t>
      </w:r>
    </w:p>
    <w:p w14:paraId="30053346" w14:textId="77777777" w:rsidR="00497443" w:rsidRPr="00200234" w:rsidRDefault="00497443" w:rsidP="00497443"/>
    <w:p w14:paraId="528CE084" w14:textId="77777777" w:rsidR="00497443" w:rsidRPr="00200234" w:rsidRDefault="00497443" w:rsidP="00497443">
      <w:r>
        <w:t>The following summarises the consultation data from 1 July 2022 to 30 June 2023.</w:t>
      </w:r>
    </w:p>
    <w:p w14:paraId="018E0ADD" w14:textId="77777777" w:rsidR="00497443" w:rsidRPr="00ED4FA1" w:rsidRDefault="00497443" w:rsidP="00497443">
      <w:pPr>
        <w:pStyle w:val="Bullet"/>
        <w:tabs>
          <w:tab w:val="num" w:pos="284"/>
        </w:tabs>
      </w:pPr>
      <w:r>
        <w:t>O</w:t>
      </w:r>
      <w:r w:rsidRPr="00ED4FA1">
        <w:t xml:space="preserve">n average nationally, </w:t>
      </w:r>
      <w:r>
        <w:t xml:space="preserve">clinicians consulted </w:t>
      </w:r>
      <w:r w:rsidRPr="00ED4FA1">
        <w:t>families and whānau about Mental Health Act assessment</w:t>
      </w:r>
      <w:r>
        <w:t xml:space="preserve"> or </w:t>
      </w:r>
      <w:r w:rsidRPr="00ED4FA1">
        <w:t>treatment events</w:t>
      </w:r>
      <w:r>
        <w:t xml:space="preserve"> 72.1% of the time.</w:t>
      </w:r>
    </w:p>
    <w:p w14:paraId="41436AC5" w14:textId="77777777" w:rsidR="00497443" w:rsidRPr="00ED4FA1" w:rsidRDefault="00497443" w:rsidP="00497443">
      <w:pPr>
        <w:pStyle w:val="Bullet"/>
        <w:tabs>
          <w:tab w:val="num" w:pos="284"/>
        </w:tabs>
      </w:pPr>
      <w:r>
        <w:t>O</w:t>
      </w:r>
      <w:r w:rsidRPr="00ED4FA1">
        <w:t xml:space="preserve">f all the steps in the Mental Health Act treatment process, </w:t>
      </w:r>
      <w:r>
        <w:t xml:space="preserve">clinicians were most likely to consult </w:t>
      </w:r>
      <w:r w:rsidRPr="00ED4FA1">
        <w:t xml:space="preserve">family and whānau </w:t>
      </w:r>
      <w:r>
        <w:t>at section 14, when a person is issued with a certificate of final assessment.</w:t>
      </w:r>
    </w:p>
    <w:p w14:paraId="5263E108" w14:textId="77777777" w:rsidR="00497443" w:rsidRPr="00ED4FA1" w:rsidRDefault="00497443" w:rsidP="00497443">
      <w:pPr>
        <w:pStyle w:val="Bullet"/>
        <w:tabs>
          <w:tab w:val="num" w:pos="284"/>
        </w:tabs>
      </w:pPr>
      <w:r>
        <w:t>Districts</w:t>
      </w:r>
      <w:r w:rsidRPr="00ED4FA1">
        <w:t xml:space="preserve"> varied in </w:t>
      </w:r>
      <w:r>
        <w:t>the extent to which their clinicians</w:t>
      </w:r>
      <w:r w:rsidRPr="00ED4FA1">
        <w:t xml:space="preserve"> consult</w:t>
      </w:r>
      <w:r>
        <w:t>ed</w:t>
      </w:r>
      <w:r w:rsidRPr="00ED4FA1">
        <w:t xml:space="preserve"> with families and whānau</w:t>
      </w:r>
      <w:r>
        <w:t>.</w:t>
      </w:r>
    </w:p>
    <w:p w14:paraId="5CBCD090" w14:textId="77777777" w:rsidR="00497443" w:rsidRDefault="00497443" w:rsidP="00497443">
      <w:pPr>
        <w:pStyle w:val="Bullet"/>
        <w:tabs>
          <w:tab w:val="num" w:pos="284"/>
        </w:tabs>
      </w:pPr>
      <w:r>
        <w:t>T</w:t>
      </w:r>
      <w:r w:rsidRPr="00ED4FA1">
        <w:t>he most common reason families and whānau were not consulted was that</w:t>
      </w:r>
      <w:r>
        <w:t xml:space="preserve"> service providers and clinicians considered consultation was not reasonably practicable in the particular circumstance.</w:t>
      </w:r>
    </w:p>
    <w:p w14:paraId="529A0A4A" w14:textId="77777777" w:rsidR="00497443" w:rsidRPr="00ED4FA1" w:rsidRDefault="00497443" w:rsidP="00497443"/>
    <w:p w14:paraId="7A899AE3" w14:textId="0E85BB9E" w:rsidR="00497443" w:rsidRPr="00200234" w:rsidRDefault="00497443" w:rsidP="00497443">
      <w:r>
        <w:fldChar w:fldCharType="begin"/>
      </w:r>
      <w:r>
        <w:instrText xml:space="preserve"> REF _Ref65672317 \h  \* MERGEFORMAT </w:instrText>
      </w:r>
      <w:r>
        <w:fldChar w:fldCharType="separate"/>
      </w:r>
      <w:r w:rsidR="00753BC8">
        <w:t>Figure 12</w:t>
      </w:r>
      <w:r>
        <w:fldChar w:fldCharType="end"/>
      </w:r>
      <w:r w:rsidRPr="00200234">
        <w:t xml:space="preserve"> shows the percentage of cases in which consultation with families and whānau occurred at </w:t>
      </w:r>
      <w:r>
        <w:t>each of four</w:t>
      </w:r>
      <w:r w:rsidRPr="00200234">
        <w:t xml:space="preserve"> points in the assessment and treatment process</w:t>
      </w:r>
      <w:r>
        <w:t>.</w:t>
      </w:r>
    </w:p>
    <w:p w14:paraId="0C07E6C9" w14:textId="77777777" w:rsidR="00497443" w:rsidRPr="00200234" w:rsidRDefault="00497443" w:rsidP="00497443"/>
    <w:p w14:paraId="41827F8D" w14:textId="6638FF96" w:rsidR="00497443" w:rsidRPr="00497443" w:rsidRDefault="00497443" w:rsidP="00497443">
      <w:pPr>
        <w:pStyle w:val="Figure"/>
      </w:pPr>
      <w:bookmarkStart w:id="199" w:name="_Ref65672317"/>
      <w:bookmarkStart w:id="200" w:name="_Toc63764761"/>
      <w:bookmarkStart w:id="201" w:name="_Toc75176485"/>
      <w:bookmarkStart w:id="202" w:name="_Toc85442576"/>
      <w:bookmarkStart w:id="203" w:name="_Toc85445923"/>
      <w:bookmarkStart w:id="204" w:name="_Toc87429963"/>
      <w:bookmarkStart w:id="205" w:name="_Toc88561395"/>
      <w:bookmarkStart w:id="206" w:name="_Toc115188853"/>
      <w:bookmarkStart w:id="207" w:name="_Toc142314693"/>
      <w:bookmarkStart w:id="208" w:name="_Toc145394277"/>
      <w:bookmarkStart w:id="209" w:name="_Toc189053953"/>
      <w:bookmarkStart w:id="210" w:name="_Toc189647938"/>
      <w:r>
        <w:t>Figure </w:t>
      </w:r>
      <w:r>
        <w:fldChar w:fldCharType="begin"/>
      </w:r>
      <w:r>
        <w:instrText>SEQ Figure \* ARABIC</w:instrText>
      </w:r>
      <w:r>
        <w:fldChar w:fldCharType="separate"/>
      </w:r>
      <w:r w:rsidR="00753BC8">
        <w:rPr>
          <w:noProof/>
        </w:rPr>
        <w:t>12</w:t>
      </w:r>
      <w:r>
        <w:fldChar w:fldCharType="end"/>
      </w:r>
      <w:bookmarkEnd w:id="199"/>
      <w:r w:rsidRPr="00200234">
        <w:t xml:space="preserve">: </w:t>
      </w:r>
      <w:r w:rsidRPr="00001562">
        <w:t>Average percentage of family</w:t>
      </w:r>
      <w:r>
        <w:t xml:space="preserve"> and </w:t>
      </w:r>
      <w:r w:rsidRPr="00001562">
        <w:t>whānau consultation for particular assessment</w:t>
      </w:r>
      <w:r>
        <w:t xml:space="preserve"> or </w:t>
      </w:r>
      <w:r w:rsidRPr="00001562">
        <w:t>treatment events</w:t>
      </w:r>
      <w:r>
        <w:t xml:space="preserve"> nationally</w:t>
      </w:r>
      <w:r w:rsidRPr="00001562">
        <w:t>, sections 10, 12, 14 and 76</w:t>
      </w:r>
      <w:r>
        <w:t>–78</w:t>
      </w:r>
      <w:r w:rsidRPr="00001562">
        <w:t xml:space="preserve">, 1 </w:t>
      </w:r>
      <w:bookmarkEnd w:id="200"/>
      <w:bookmarkEnd w:id="201"/>
      <w:bookmarkEnd w:id="202"/>
      <w:bookmarkEnd w:id="203"/>
      <w:bookmarkEnd w:id="204"/>
      <w:bookmarkEnd w:id="205"/>
      <w:r w:rsidRPr="00001562">
        <w:t>July 202</w:t>
      </w:r>
      <w:r>
        <w:t>2</w:t>
      </w:r>
      <w:r w:rsidRPr="00001562">
        <w:t xml:space="preserve"> to 30 June 202</w:t>
      </w:r>
      <w:r>
        <w:t>3</w:t>
      </w:r>
      <w:bookmarkEnd w:id="206"/>
      <w:bookmarkEnd w:id="207"/>
      <w:bookmarkEnd w:id="208"/>
      <w:bookmarkEnd w:id="209"/>
      <w:bookmarkEnd w:id="210"/>
    </w:p>
    <w:p w14:paraId="7D398768" w14:textId="77777777" w:rsidR="00497443" w:rsidRDefault="00497443" w:rsidP="00753A1F">
      <w:pPr>
        <w:rPr>
          <w:rFonts w:eastAsia="Arial Unicode MS"/>
        </w:rPr>
      </w:pPr>
      <w:r>
        <w:rPr>
          <w:rFonts w:eastAsia="Arial Unicode MS"/>
          <w:noProof/>
        </w:rPr>
        <w:drawing>
          <wp:inline distT="0" distB="0" distL="0" distR="0" wp14:anchorId="2123B4B6" wp14:editId="695A6970">
            <wp:extent cx="5133340" cy="2249805"/>
            <wp:effectExtent l="0" t="0" r="0" b="0"/>
            <wp:docPr id="1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133340" cy="2249805"/>
                    </a:xfrm>
                    <a:prstGeom prst="rect">
                      <a:avLst/>
                    </a:prstGeom>
                    <a:noFill/>
                  </pic:spPr>
                </pic:pic>
              </a:graphicData>
            </a:graphic>
          </wp:inline>
        </w:drawing>
      </w:r>
    </w:p>
    <w:p w14:paraId="369CD477" w14:textId="77777777" w:rsidR="00D4159A" w:rsidRDefault="00D4159A" w:rsidP="00753A1F">
      <w:pPr>
        <w:rPr>
          <w:rFonts w:eastAsia="Arial Unicode MS"/>
        </w:rPr>
      </w:pPr>
    </w:p>
    <w:p w14:paraId="568845B9" w14:textId="77777777" w:rsidR="00D4159A" w:rsidRDefault="00D4159A" w:rsidP="00753A1F">
      <w:pPr>
        <w:rPr>
          <w:rFonts w:eastAsia="Arial Unicode MS"/>
        </w:rPr>
      </w:pPr>
    </w:p>
    <w:p w14:paraId="059B9163" w14:textId="77777777" w:rsidR="00D4159A" w:rsidRDefault="00D4159A" w:rsidP="00753A1F">
      <w:pPr>
        <w:rPr>
          <w:rFonts w:eastAsia="Arial Unicode MS"/>
        </w:rPr>
        <w:sectPr w:rsidR="00D4159A" w:rsidSect="00753A1F">
          <w:pgSz w:w="11907" w:h="16834" w:code="9"/>
          <w:pgMar w:top="1418" w:right="1701" w:bottom="1134" w:left="1843" w:header="284" w:footer="425" w:gutter="284"/>
          <w:cols w:space="720"/>
        </w:sectPr>
      </w:pPr>
    </w:p>
    <w:p w14:paraId="2C1F8CF6" w14:textId="4B2BF1D7" w:rsidR="00D4159A" w:rsidRDefault="00D4159A" w:rsidP="00D4159A">
      <w:r w:rsidRPr="00200234">
        <w:t xml:space="preserve">On average nationally during </w:t>
      </w:r>
      <w:r>
        <w:t>this financial year,</w:t>
      </w:r>
      <w:r w:rsidRPr="00200234">
        <w:t xml:space="preserve"> </w:t>
      </w:r>
      <w:r>
        <w:t>72.1%</w:t>
      </w:r>
      <w:r w:rsidRPr="00200234">
        <w:t xml:space="preserve"> of cases included consultation with family and whānau across </w:t>
      </w:r>
      <w:r>
        <w:t xml:space="preserve">the </w:t>
      </w:r>
      <w:r w:rsidRPr="00200234">
        <w:t xml:space="preserve">assessment and treatment events. </w:t>
      </w:r>
      <w:r>
        <w:t xml:space="preserve">Hawke’s Bay </w:t>
      </w:r>
      <w:r w:rsidRPr="00200234">
        <w:t xml:space="preserve">had the highest rate of consultation at </w:t>
      </w:r>
      <w:r>
        <w:t>93.6%</w:t>
      </w:r>
      <w:r w:rsidRPr="00200234">
        <w:t xml:space="preserve"> and </w:t>
      </w:r>
      <w:r>
        <w:t>Northland</w:t>
      </w:r>
      <w:r w:rsidRPr="00200234">
        <w:t xml:space="preserve"> had the lowest at </w:t>
      </w:r>
      <w:r>
        <w:t>53.6%</w:t>
      </w:r>
      <w:r w:rsidRPr="00200234">
        <w:t xml:space="preserve"> (</w:t>
      </w:r>
      <w:r>
        <w:fldChar w:fldCharType="begin"/>
      </w:r>
      <w:r>
        <w:instrText xml:space="preserve"> REF _Ref85450395 \h  \* MERGEFORMAT </w:instrText>
      </w:r>
      <w:r>
        <w:fldChar w:fldCharType="separate"/>
      </w:r>
      <w:r w:rsidR="00753BC8">
        <w:t>Figure 13</w:t>
      </w:r>
      <w:r>
        <w:fldChar w:fldCharType="end"/>
      </w:r>
      <w:r w:rsidRPr="00200234">
        <w:t>).</w:t>
      </w:r>
      <w:r>
        <w:t xml:space="preserve"> </w:t>
      </w:r>
    </w:p>
    <w:p w14:paraId="516F8CE9" w14:textId="77777777" w:rsidR="00D4159A" w:rsidRDefault="00D4159A" w:rsidP="00D4159A"/>
    <w:p w14:paraId="3F7DB4CA" w14:textId="65804BAD" w:rsidR="00D4159A" w:rsidRDefault="00D4159A" w:rsidP="00D4159A">
      <w:r>
        <w:t>Where no consultation of</w:t>
      </w:r>
      <w:r w:rsidRPr="001F59A5">
        <w:t xml:space="preserve"> </w:t>
      </w:r>
      <w:r w:rsidRPr="00ED4FA1">
        <w:t>families and whānau</w:t>
      </w:r>
      <w:r>
        <w:t xml:space="preserve"> occurred, </w:t>
      </w:r>
      <w:r>
        <w:fldChar w:fldCharType="begin"/>
      </w:r>
      <w:r>
        <w:instrText xml:space="preserve"> REF _Ref141107977 \h  \* MERGEFORMAT </w:instrText>
      </w:r>
      <w:r>
        <w:fldChar w:fldCharType="separate"/>
      </w:r>
      <w:r w:rsidR="00753BC8">
        <w:t>Figure 14</w:t>
      </w:r>
      <w:r>
        <w:fldChar w:fldCharType="end"/>
      </w:r>
      <w:r>
        <w:t xml:space="preserve"> shows that by far the </w:t>
      </w:r>
      <w:r w:rsidRPr="00ED4FA1">
        <w:t xml:space="preserve">most common reason </w:t>
      </w:r>
      <w:r>
        <w:t>(in 86.4% of cases)</w:t>
      </w:r>
      <w:r w:rsidDel="001F59A5">
        <w:t xml:space="preserve"> </w:t>
      </w:r>
      <w:r w:rsidRPr="00ED4FA1">
        <w:t>was that</w:t>
      </w:r>
      <w:r>
        <w:t xml:space="preserve"> service providers and clinicians considered consultation was not reasonably practicable in the particular circumstance. In 10.4% of cases consultation was considered to</w:t>
      </w:r>
      <w:r w:rsidRPr="00200234">
        <w:t xml:space="preserve"> not</w:t>
      </w:r>
      <w:r>
        <w:t xml:space="preserve"> be</w:t>
      </w:r>
      <w:r w:rsidRPr="00200234">
        <w:t xml:space="preserve"> in the interests of the person being assessed or receiving the treatment</w:t>
      </w:r>
      <w:r>
        <w:t>.</w:t>
      </w:r>
    </w:p>
    <w:p w14:paraId="548D83AC" w14:textId="77777777" w:rsidR="00D4159A" w:rsidRDefault="00D4159A" w:rsidP="00D4159A">
      <w:pPr>
        <w:rPr>
          <w:lang w:eastAsia="en-US"/>
        </w:rPr>
      </w:pPr>
    </w:p>
    <w:p w14:paraId="632EFF82" w14:textId="1D409823" w:rsidR="00D4159A" w:rsidRPr="00D4159A" w:rsidRDefault="00D4159A" w:rsidP="00D4159A">
      <w:pPr>
        <w:pStyle w:val="Figure"/>
      </w:pPr>
      <w:bookmarkStart w:id="211" w:name="_Ref85450395"/>
      <w:bookmarkStart w:id="212" w:name="_Toc85442577"/>
      <w:bookmarkStart w:id="213" w:name="_Toc85445924"/>
      <w:bookmarkStart w:id="214" w:name="_Toc87429964"/>
      <w:bookmarkStart w:id="215" w:name="_Toc88561396"/>
      <w:bookmarkStart w:id="216" w:name="_Toc115188854"/>
      <w:bookmarkStart w:id="217" w:name="_Toc142314694"/>
      <w:bookmarkStart w:id="218" w:name="_Toc145394278"/>
      <w:bookmarkStart w:id="219" w:name="_Toc189053954"/>
      <w:bookmarkStart w:id="220" w:name="_Toc189647939"/>
      <w:r>
        <w:t>Figure </w:t>
      </w:r>
      <w:r>
        <w:fldChar w:fldCharType="begin"/>
      </w:r>
      <w:r>
        <w:instrText>SEQ Figure \* ARABIC</w:instrText>
      </w:r>
      <w:r>
        <w:fldChar w:fldCharType="separate"/>
      </w:r>
      <w:r w:rsidR="00753BC8">
        <w:rPr>
          <w:noProof/>
        </w:rPr>
        <w:t>13</w:t>
      </w:r>
      <w:r>
        <w:fldChar w:fldCharType="end"/>
      </w:r>
      <w:bookmarkEnd w:id="211"/>
      <w:r w:rsidRPr="00200234">
        <w:t xml:space="preserve">: </w:t>
      </w:r>
      <w:r w:rsidRPr="00247821">
        <w:t>Average percentage of family</w:t>
      </w:r>
      <w:r>
        <w:t xml:space="preserve"> and </w:t>
      </w:r>
      <w:r w:rsidRPr="00247821">
        <w:t>whānau consultation across all assessment</w:t>
      </w:r>
      <w:r>
        <w:t xml:space="preserve"> and </w:t>
      </w:r>
      <w:r w:rsidRPr="00247821">
        <w:t xml:space="preserve">treatment events, by </w:t>
      </w:r>
      <w:r>
        <w:t>district</w:t>
      </w:r>
      <w:r w:rsidRPr="00247821">
        <w:t xml:space="preserve">, 1 </w:t>
      </w:r>
      <w:bookmarkEnd w:id="212"/>
      <w:bookmarkEnd w:id="213"/>
      <w:bookmarkEnd w:id="214"/>
      <w:bookmarkEnd w:id="215"/>
      <w:r w:rsidRPr="00247821">
        <w:t>July 202</w:t>
      </w:r>
      <w:r>
        <w:t>2</w:t>
      </w:r>
      <w:r w:rsidRPr="00247821">
        <w:t xml:space="preserve"> to 30 June 202</w:t>
      </w:r>
      <w:r>
        <w:t>3</w:t>
      </w:r>
      <w:bookmarkEnd w:id="216"/>
      <w:bookmarkEnd w:id="217"/>
      <w:bookmarkEnd w:id="218"/>
      <w:bookmarkEnd w:id="219"/>
      <w:bookmarkEnd w:id="220"/>
    </w:p>
    <w:p w14:paraId="084EBD08" w14:textId="77777777" w:rsidR="00D4159A" w:rsidRDefault="00D4159A" w:rsidP="00753A1F">
      <w:pPr>
        <w:rPr>
          <w:rFonts w:eastAsia="Arial Unicode MS"/>
        </w:rPr>
      </w:pPr>
      <w:r>
        <w:rPr>
          <w:rFonts w:eastAsia="Arial Unicode MS"/>
          <w:noProof/>
        </w:rPr>
        <w:drawing>
          <wp:inline distT="0" distB="0" distL="0" distR="0" wp14:anchorId="6E9695E5" wp14:editId="4C8BCE92">
            <wp:extent cx="5190463" cy="3086100"/>
            <wp:effectExtent l="0" t="0" r="0" b="0"/>
            <wp:docPr id="17"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a:extLst>
                        <a:ext uri="{C183D7F6-B498-43B3-948B-1728B52AA6E4}">
                          <adec:decorative xmlns:adec="http://schemas.microsoft.com/office/drawing/2017/decorative" val="1"/>
                        </a:ext>
                      </a:extLst>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233606" cy="3111752"/>
                    </a:xfrm>
                    <a:prstGeom prst="rect">
                      <a:avLst/>
                    </a:prstGeom>
                    <a:noFill/>
                  </pic:spPr>
                </pic:pic>
              </a:graphicData>
            </a:graphic>
          </wp:inline>
        </w:drawing>
      </w:r>
    </w:p>
    <w:p w14:paraId="1606B634" w14:textId="77777777" w:rsidR="00D4159A" w:rsidRPr="004C772A" w:rsidRDefault="00D4159A" w:rsidP="00D4159A">
      <w:pPr>
        <w:pStyle w:val="Note"/>
        <w:spacing w:before="0"/>
      </w:pPr>
      <w:r w:rsidRPr="00200234">
        <w:t>Note</w:t>
      </w:r>
      <w:r>
        <w:t xml:space="preserve">: Health New Zealand Whanganui only supplied data for quarter 1 of the financial year, and Wairarapa only supplied data for quarter 4. </w:t>
      </w:r>
    </w:p>
    <w:p w14:paraId="1A8896E6" w14:textId="77777777" w:rsidR="00D4159A" w:rsidRDefault="00D4159A" w:rsidP="00D4159A">
      <w:pPr>
        <w:pStyle w:val="Source"/>
      </w:pPr>
      <w:r w:rsidRPr="00200234">
        <w:t>Source: Office of the Director of Mental Health and Addiction Services records.</w:t>
      </w:r>
    </w:p>
    <w:p w14:paraId="4164AC02" w14:textId="77777777" w:rsidR="00D4159A" w:rsidRDefault="00D4159A" w:rsidP="00753A1F">
      <w:pPr>
        <w:rPr>
          <w:rFonts w:eastAsia="Arial Unicode MS"/>
        </w:rPr>
      </w:pPr>
    </w:p>
    <w:p w14:paraId="2F67B6C2" w14:textId="38BAA385" w:rsidR="00D4159A" w:rsidRPr="00D4159A" w:rsidRDefault="00D4159A" w:rsidP="00D4159A">
      <w:pPr>
        <w:pStyle w:val="Figure"/>
      </w:pPr>
      <w:bookmarkStart w:id="221" w:name="_Ref141107977"/>
      <w:bookmarkStart w:id="222" w:name="_Toc63764764"/>
      <w:bookmarkStart w:id="223" w:name="_Toc75176487"/>
      <w:bookmarkStart w:id="224" w:name="_Toc85442578"/>
      <w:bookmarkStart w:id="225" w:name="_Toc85445925"/>
      <w:bookmarkStart w:id="226" w:name="_Toc87429965"/>
      <w:bookmarkStart w:id="227" w:name="_Toc88561397"/>
      <w:bookmarkStart w:id="228" w:name="_Toc115188855"/>
      <w:bookmarkStart w:id="229" w:name="_Toc142314695"/>
      <w:bookmarkStart w:id="230" w:name="_Toc145394279"/>
      <w:bookmarkStart w:id="231" w:name="_Toc189053955"/>
      <w:bookmarkStart w:id="232" w:name="_Toc189647940"/>
      <w:r>
        <w:t>Figure </w:t>
      </w:r>
      <w:r>
        <w:fldChar w:fldCharType="begin"/>
      </w:r>
      <w:r>
        <w:instrText>SEQ Figure \* ARABIC</w:instrText>
      </w:r>
      <w:r>
        <w:fldChar w:fldCharType="separate"/>
      </w:r>
      <w:r w:rsidR="00753BC8">
        <w:rPr>
          <w:noProof/>
        </w:rPr>
        <w:t>14</w:t>
      </w:r>
      <w:r>
        <w:fldChar w:fldCharType="end"/>
      </w:r>
      <w:bookmarkEnd w:id="221"/>
      <w:r w:rsidRPr="00200234">
        <w:t xml:space="preserve">: </w:t>
      </w:r>
      <w:r w:rsidRPr="00513103">
        <w:t xml:space="preserve">Reasons for not consulting families and whānau, 1 </w:t>
      </w:r>
      <w:bookmarkEnd w:id="222"/>
      <w:bookmarkEnd w:id="223"/>
      <w:bookmarkEnd w:id="224"/>
      <w:bookmarkEnd w:id="225"/>
      <w:bookmarkEnd w:id="226"/>
      <w:bookmarkEnd w:id="227"/>
      <w:r w:rsidRPr="00513103">
        <w:t xml:space="preserve">July </w:t>
      </w:r>
      <w:r>
        <w:t>2022</w:t>
      </w:r>
      <w:r w:rsidRPr="00513103">
        <w:t xml:space="preserve"> to 30 June </w:t>
      </w:r>
      <w:bookmarkEnd w:id="228"/>
      <w:r>
        <w:t>2023</w:t>
      </w:r>
      <w:bookmarkEnd w:id="229"/>
      <w:bookmarkEnd w:id="230"/>
      <w:bookmarkEnd w:id="231"/>
      <w:bookmarkEnd w:id="232"/>
    </w:p>
    <w:p w14:paraId="37DDAF36" w14:textId="77777777" w:rsidR="00D4159A" w:rsidRDefault="00D4159A" w:rsidP="00753A1F">
      <w:pPr>
        <w:rPr>
          <w:rFonts w:eastAsia="Arial Unicode MS"/>
        </w:rPr>
      </w:pPr>
      <w:r>
        <w:rPr>
          <w:rFonts w:eastAsia="Arial Unicode MS"/>
          <w:noProof/>
        </w:rPr>
        <w:drawing>
          <wp:inline distT="0" distB="0" distL="0" distR="0" wp14:anchorId="1DF52ED5" wp14:editId="2A808B8F">
            <wp:extent cx="5170170" cy="2145665"/>
            <wp:effectExtent l="0" t="0" r="0" b="0"/>
            <wp:docPr id="18"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170170" cy="2145665"/>
                    </a:xfrm>
                    <a:prstGeom prst="rect">
                      <a:avLst/>
                    </a:prstGeom>
                    <a:noFill/>
                  </pic:spPr>
                </pic:pic>
              </a:graphicData>
            </a:graphic>
          </wp:inline>
        </w:drawing>
      </w:r>
    </w:p>
    <w:p w14:paraId="7FB5CE49" w14:textId="77777777" w:rsidR="0024354A" w:rsidRDefault="0024354A" w:rsidP="0024354A">
      <w:pPr>
        <w:rPr>
          <w:rStyle w:val="NoteChar"/>
          <w:rFonts w:eastAsiaTheme="minorEastAsia"/>
        </w:rPr>
      </w:pPr>
      <w:r w:rsidRPr="50C6E0C8">
        <w:rPr>
          <w:rStyle w:val="NoteChar"/>
          <w:rFonts w:eastAsiaTheme="minorEastAsia"/>
        </w:rPr>
        <w:t>Source: Office of the Director of Mental Health and Addiction Services records.</w:t>
      </w:r>
    </w:p>
    <w:p w14:paraId="13761E77" w14:textId="4E978DAC" w:rsidR="0024354A" w:rsidRDefault="0024354A" w:rsidP="00753A1F">
      <w:pPr>
        <w:rPr>
          <w:rFonts w:eastAsia="Arial Unicode MS"/>
        </w:rPr>
        <w:sectPr w:rsidR="0024354A" w:rsidSect="00753A1F">
          <w:pgSz w:w="11907" w:h="16834" w:code="9"/>
          <w:pgMar w:top="1418" w:right="1701" w:bottom="1134" w:left="1843" w:header="284" w:footer="425" w:gutter="284"/>
          <w:cols w:space="720"/>
        </w:sectPr>
      </w:pPr>
    </w:p>
    <w:p w14:paraId="3411B254" w14:textId="77777777" w:rsidR="00D4159A" w:rsidRPr="00200234" w:rsidRDefault="00D4159A" w:rsidP="00D4159A">
      <w:pPr>
        <w:pStyle w:val="Heading1"/>
        <w:spacing w:before="0"/>
      </w:pPr>
      <w:bookmarkStart w:id="233" w:name="_Toc65236597"/>
      <w:bookmarkStart w:id="234" w:name="_Toc65141616"/>
      <w:bookmarkStart w:id="235" w:name="_Toc75176439"/>
      <w:bookmarkStart w:id="236" w:name="_Toc87429908"/>
      <w:bookmarkStart w:id="237" w:name="_Toc88826956"/>
      <w:bookmarkStart w:id="238" w:name="_Toc115188806"/>
      <w:bookmarkStart w:id="239" w:name="_Toc145394234"/>
      <w:bookmarkStart w:id="240" w:name="_Toc189053904"/>
      <w:bookmarkStart w:id="241" w:name="_Toc189647893"/>
      <w:r w:rsidRPr="00200234">
        <w:t xml:space="preserve">Indefinite </w:t>
      </w:r>
      <w:bookmarkEnd w:id="233"/>
      <w:bookmarkEnd w:id="234"/>
      <w:bookmarkEnd w:id="235"/>
      <w:bookmarkEnd w:id="236"/>
      <w:bookmarkEnd w:id="237"/>
      <w:bookmarkEnd w:id="238"/>
      <w:bookmarkEnd w:id="239"/>
      <w:r>
        <w:t>compulsory treatment orders</w:t>
      </w:r>
      <w:bookmarkEnd w:id="240"/>
      <w:bookmarkEnd w:id="241"/>
    </w:p>
    <w:p w14:paraId="25F2FE55" w14:textId="77777777" w:rsidR="00D4159A" w:rsidRDefault="00D4159A" w:rsidP="00D4159A">
      <w:r>
        <w:t>A CTO lasts for an initial period of up to six months. A patient’s responsible clinician or the Mental Health Review Tribunal can end a CTO earlier. Alternatively,</w:t>
      </w:r>
      <w:r w:rsidDel="00AD1313">
        <w:t xml:space="preserve"> </w:t>
      </w:r>
      <w:r>
        <w:t>the responsible clinician can apply to the courts to have it extended for a further six months. During the period of this report, it was possible to extend an order ‘indefinitely’ after the first extension. Where people</w:t>
      </w:r>
      <w:r w:rsidDel="00AD1313">
        <w:t xml:space="preserve"> </w:t>
      </w:r>
      <w:r>
        <w:t>were subject to an indefinite CTO, their responsible clinician reviewed them every six months to decide whether compulsory treatment was still necessary.</w:t>
      </w:r>
    </w:p>
    <w:p w14:paraId="7613D718" w14:textId="77777777" w:rsidR="00D4159A" w:rsidRDefault="00D4159A" w:rsidP="00D4159A"/>
    <w:p w14:paraId="722FBA36" w14:textId="77777777" w:rsidR="00D4159A" w:rsidRDefault="00D4159A" w:rsidP="00D4159A">
      <w:r>
        <w:t>More recently, however, as</w:t>
      </w:r>
      <w:r w:rsidRPr="00501296">
        <w:t xml:space="preserve"> of 29 October 2023, indefinite CTOs </w:t>
      </w:r>
      <w:r>
        <w:t xml:space="preserve">have ceased to </w:t>
      </w:r>
      <w:r w:rsidRPr="00501296">
        <w:t>exist</w:t>
      </w:r>
      <w:r>
        <w:t>. The</w:t>
      </w:r>
      <w:r w:rsidRPr="00501296">
        <w:t xml:space="preserve"> Mental Health (Compulsory Assessment and Treatment) Amendment Act 2021</w:t>
      </w:r>
      <w:r>
        <w:t xml:space="preserve"> abolished them and</w:t>
      </w:r>
      <w:r w:rsidRPr="00501296">
        <w:t xml:space="preserve"> replaced </w:t>
      </w:r>
      <w:r>
        <w:t xml:space="preserve">them with </w:t>
      </w:r>
      <w:r w:rsidRPr="00501296">
        <w:t>12-month extensions.</w:t>
      </w:r>
      <w:r>
        <w:t xml:space="preserve"> As a result of this change, responsible clinicians need to reapply to the courts each year if they believe that a person continues to require compulsory treatment. This report will be the last to present this section on indefinite CTOs in this way.</w:t>
      </w:r>
    </w:p>
    <w:p w14:paraId="2C07AB9F" w14:textId="77777777" w:rsidR="00D4159A" w:rsidRDefault="00D4159A" w:rsidP="00D4159A"/>
    <w:p w14:paraId="3D4FABEF" w14:textId="77777777" w:rsidR="00D4159A" w:rsidRPr="00DB65BA" w:rsidRDefault="00D4159A" w:rsidP="00D4159A">
      <w:r w:rsidRPr="00DB65BA">
        <w:t xml:space="preserve">These statistics summarise indefinite CTOs </w:t>
      </w:r>
      <w:r>
        <w:t>as</w:t>
      </w:r>
      <w:r w:rsidRPr="00DB65BA">
        <w:t xml:space="preserve"> at </w:t>
      </w:r>
      <w:r w:rsidRPr="00501296">
        <w:t>30 June 2023.</w:t>
      </w:r>
      <w:r w:rsidRPr="00501296">
        <w:rPr>
          <w:rStyle w:val="FootnoteReference"/>
        </w:rPr>
        <w:footnoteReference w:id="12"/>
      </w:r>
    </w:p>
    <w:p w14:paraId="3483BA01" w14:textId="77777777" w:rsidR="00D4159A" w:rsidRPr="00DB65BA" w:rsidRDefault="00D4159A" w:rsidP="00D4159A">
      <w:pPr>
        <w:pStyle w:val="Bullet"/>
        <w:tabs>
          <w:tab w:val="num" w:pos="284"/>
        </w:tabs>
      </w:pPr>
      <w:r w:rsidRPr="00501296">
        <w:t>2,439</w:t>
      </w:r>
      <w:r w:rsidRPr="00DB65BA">
        <w:t xml:space="preserve"> people were subject to indefinite CTOs.</w:t>
      </w:r>
    </w:p>
    <w:p w14:paraId="3C838B76" w14:textId="77777777" w:rsidR="00D4159A" w:rsidRPr="00DB65BA" w:rsidRDefault="00D4159A" w:rsidP="00D4159A">
      <w:pPr>
        <w:pStyle w:val="Bullet"/>
        <w:tabs>
          <w:tab w:val="num" w:pos="284"/>
        </w:tabs>
      </w:pPr>
      <w:r w:rsidRPr="00501296">
        <w:t>2,280</w:t>
      </w:r>
      <w:r w:rsidRPr="00DB65BA">
        <w:t xml:space="preserve"> people were subject to indefinite community treatment orders, which is </w:t>
      </w:r>
      <w:r w:rsidRPr="00501296">
        <w:t>50%</w:t>
      </w:r>
      <w:r w:rsidRPr="00DB65BA">
        <w:t xml:space="preserve"> of all individuals on </w:t>
      </w:r>
      <w:r>
        <w:t>community treatment</w:t>
      </w:r>
      <w:r w:rsidRPr="00DB65BA">
        <w:t xml:space="preserve"> orders.</w:t>
      </w:r>
    </w:p>
    <w:p w14:paraId="1D89F234" w14:textId="77777777" w:rsidR="00D4159A" w:rsidRPr="00DB65BA" w:rsidRDefault="00D4159A" w:rsidP="00D4159A">
      <w:pPr>
        <w:pStyle w:val="Bullet"/>
        <w:tabs>
          <w:tab w:val="num" w:pos="284"/>
        </w:tabs>
      </w:pPr>
      <w:r w:rsidRPr="00501296">
        <w:t>173</w:t>
      </w:r>
      <w:r w:rsidRPr="00DB65BA">
        <w:t xml:space="preserve"> people were subject to indefinite inpatient treatment orders</w:t>
      </w:r>
      <w:r w:rsidRPr="00DB65BA">
        <w:rPr>
          <w:rFonts w:cs="Segoe UI"/>
        </w:rPr>
        <w:t>, which</w:t>
      </w:r>
      <w:r w:rsidRPr="00DB65BA">
        <w:t xml:space="preserve"> represents </w:t>
      </w:r>
      <w:r w:rsidRPr="00501296">
        <w:t>24%</w:t>
      </w:r>
      <w:r w:rsidRPr="00DB65BA">
        <w:t xml:space="preserve"> of all individuals on </w:t>
      </w:r>
      <w:r>
        <w:t>inpatient treatment</w:t>
      </w:r>
      <w:r w:rsidRPr="00DB65BA">
        <w:t xml:space="preserve"> orders.</w:t>
      </w:r>
    </w:p>
    <w:p w14:paraId="501D818B" w14:textId="77777777" w:rsidR="00D4159A" w:rsidRPr="00C21DAA" w:rsidRDefault="00D4159A" w:rsidP="00D4159A">
      <w:pPr>
        <w:pStyle w:val="Bullet"/>
        <w:tabs>
          <w:tab w:val="num" w:pos="284"/>
        </w:tabs>
      </w:pPr>
      <w:bookmarkStart w:id="242" w:name="_Hlk84231012"/>
      <w:r>
        <w:t>T</w:t>
      </w:r>
      <w:r w:rsidRPr="00ED4FA1">
        <w:t xml:space="preserve">he </w:t>
      </w:r>
      <w:r w:rsidRPr="00C21DAA">
        <w:t xml:space="preserve">average period for which a person was subject to an indefinite community treatment order was </w:t>
      </w:r>
      <w:r w:rsidRPr="00501296">
        <w:t>1,700</w:t>
      </w:r>
      <w:r w:rsidRPr="00C21DAA">
        <w:t xml:space="preserve"> days (</w:t>
      </w:r>
      <w:r>
        <w:t>about four-</w:t>
      </w:r>
      <w:r w:rsidRPr="00501296">
        <w:t>and</w:t>
      </w:r>
      <w:r>
        <w:t>-</w:t>
      </w:r>
      <w:r w:rsidRPr="00501296">
        <w:t>a</w:t>
      </w:r>
      <w:r>
        <w:t>-</w:t>
      </w:r>
      <w:r w:rsidRPr="00501296">
        <w:t>half years)</w:t>
      </w:r>
      <w:r>
        <w:t>. The longest</w:t>
      </w:r>
      <w:r w:rsidRPr="00C21DAA">
        <w:t xml:space="preserve"> period was </w:t>
      </w:r>
      <w:r w:rsidRPr="00501296">
        <w:t>10,833</w:t>
      </w:r>
      <w:r w:rsidRPr="00C21DAA">
        <w:t xml:space="preserve"> days (</w:t>
      </w:r>
      <w:r>
        <w:t>about</w:t>
      </w:r>
      <w:r w:rsidRPr="00501296">
        <w:t xml:space="preserve"> 30 years).</w:t>
      </w:r>
    </w:p>
    <w:p w14:paraId="16FF845F" w14:textId="77777777" w:rsidR="00D4159A" w:rsidRPr="00C21DAA" w:rsidRDefault="00D4159A" w:rsidP="00D4159A">
      <w:pPr>
        <w:pStyle w:val="Bullet"/>
        <w:tabs>
          <w:tab w:val="num" w:pos="284"/>
        </w:tabs>
      </w:pPr>
      <w:r w:rsidRPr="00C21DAA">
        <w:t xml:space="preserve">The average period for which a person was subject to an indefinite inpatient treatment order was </w:t>
      </w:r>
      <w:r w:rsidRPr="00501296">
        <w:t xml:space="preserve">1,541 days (nearly </w:t>
      </w:r>
      <w:r>
        <w:t>four-</w:t>
      </w:r>
      <w:r w:rsidRPr="00501296">
        <w:t>and</w:t>
      </w:r>
      <w:r>
        <w:t>-</w:t>
      </w:r>
      <w:r w:rsidRPr="00501296">
        <w:t>a</w:t>
      </w:r>
      <w:r>
        <w:t>-</w:t>
      </w:r>
      <w:r w:rsidRPr="00501296">
        <w:t>quarter years)</w:t>
      </w:r>
      <w:r>
        <w:t>.</w:t>
      </w:r>
      <w:r w:rsidRPr="00C21DAA">
        <w:t xml:space="preserve"> </w:t>
      </w:r>
      <w:r>
        <w:t xml:space="preserve">The longest </w:t>
      </w:r>
      <w:r w:rsidRPr="00C21DAA">
        <w:t xml:space="preserve">period was </w:t>
      </w:r>
      <w:r w:rsidRPr="00501296">
        <w:t>8,59</w:t>
      </w:r>
      <w:r>
        <w:t>2</w:t>
      </w:r>
      <w:r w:rsidRPr="00501296">
        <w:t xml:space="preserve"> days (</w:t>
      </w:r>
      <w:r>
        <w:t xml:space="preserve">about </w:t>
      </w:r>
      <w:r w:rsidRPr="00501296">
        <w:t>24 years</w:t>
      </w:r>
      <w:r w:rsidRPr="00C21DAA">
        <w:t>).</w:t>
      </w:r>
    </w:p>
    <w:p w14:paraId="6385DFF1" w14:textId="77777777" w:rsidR="00D4159A" w:rsidRPr="00CC1A7C" w:rsidRDefault="00D4159A" w:rsidP="00CC1A7C">
      <w:pPr>
        <w:pStyle w:val="Heading2"/>
      </w:pPr>
      <w:bookmarkStart w:id="243" w:name="_Toc65236598"/>
      <w:bookmarkStart w:id="244" w:name="_Toc65141617"/>
      <w:bookmarkStart w:id="245" w:name="_Toc75176440"/>
      <w:bookmarkStart w:id="246" w:name="_Toc87429909"/>
      <w:bookmarkStart w:id="247" w:name="_Toc88826957"/>
      <w:bookmarkStart w:id="248" w:name="_Toc115188807"/>
      <w:bookmarkStart w:id="249" w:name="_Toc145394235"/>
      <w:bookmarkStart w:id="250" w:name="_Toc189053905"/>
      <w:bookmarkStart w:id="251" w:name="_Toc189647894"/>
      <w:bookmarkEnd w:id="242"/>
      <w:r w:rsidRPr="00CC1A7C">
        <w:t>Indefinite community treatment orders</w:t>
      </w:r>
      <w:bookmarkEnd w:id="243"/>
      <w:bookmarkEnd w:id="244"/>
      <w:bookmarkEnd w:id="245"/>
      <w:bookmarkEnd w:id="246"/>
      <w:bookmarkEnd w:id="247"/>
      <w:bookmarkEnd w:id="248"/>
      <w:bookmarkEnd w:id="249"/>
      <w:bookmarkEnd w:id="250"/>
      <w:bookmarkEnd w:id="251"/>
    </w:p>
    <w:p w14:paraId="21ECF991" w14:textId="32E44385" w:rsidR="00D4159A" w:rsidRDefault="00D4159A" w:rsidP="00D4159A">
      <w:r>
        <w:t xml:space="preserve">On </w:t>
      </w:r>
      <w:r w:rsidRPr="00501296">
        <w:t xml:space="preserve">30 June 2023, 43.6 people per 100,000 </w:t>
      </w:r>
      <w:r>
        <w:t xml:space="preserve">people in the general </w:t>
      </w:r>
      <w:r w:rsidRPr="00501296">
        <w:t>population</w:t>
      </w:r>
      <w:r w:rsidRPr="00295AF6">
        <w:t xml:space="preserve"> across</w:t>
      </w:r>
      <w:r w:rsidRPr="00200234">
        <w:t xml:space="preserve"> </w:t>
      </w:r>
      <w:r>
        <w:t>Aotearoa New Zealand</w:t>
      </w:r>
      <w:r w:rsidRPr="00200234">
        <w:t xml:space="preserve"> were subject to indefinite community treatment orders. </w:t>
      </w:r>
      <w:r>
        <w:fldChar w:fldCharType="begin"/>
      </w:r>
      <w:r>
        <w:instrText xml:space="preserve"> REF _Ref65671888 \h </w:instrText>
      </w:r>
      <w:r>
        <w:fldChar w:fldCharType="separate"/>
      </w:r>
      <w:r w:rsidR="00753BC8">
        <w:t>Figure </w:t>
      </w:r>
      <w:r w:rsidR="00753BC8">
        <w:rPr>
          <w:noProof/>
        </w:rPr>
        <w:t>15</w:t>
      </w:r>
      <w:r>
        <w:fldChar w:fldCharType="end"/>
      </w:r>
      <w:r w:rsidRPr="00200234">
        <w:t xml:space="preserve"> shows the rates of indefinite community treatment orders in each </w:t>
      </w:r>
      <w:r>
        <w:t>district</w:t>
      </w:r>
      <w:r w:rsidRPr="00200234">
        <w:t xml:space="preserve"> per 100,000.</w:t>
      </w:r>
    </w:p>
    <w:p w14:paraId="23ED4015" w14:textId="77777777" w:rsidR="00CC1A7C" w:rsidRDefault="00CC1A7C" w:rsidP="00753A1F">
      <w:pPr>
        <w:rPr>
          <w:rFonts w:eastAsia="Arial Unicode MS"/>
        </w:rPr>
        <w:sectPr w:rsidR="00CC1A7C" w:rsidSect="00D4159A">
          <w:pgSz w:w="11907" w:h="16834" w:code="9"/>
          <w:pgMar w:top="1418" w:right="1701" w:bottom="1134" w:left="1843" w:header="284" w:footer="425" w:gutter="284"/>
          <w:cols w:space="720"/>
        </w:sectPr>
      </w:pPr>
    </w:p>
    <w:p w14:paraId="6A55F289" w14:textId="67EDADC6" w:rsidR="00CC1A7C" w:rsidRDefault="00CC1A7C" w:rsidP="00CC1A7C">
      <w:pPr>
        <w:pStyle w:val="Figure"/>
      </w:pPr>
      <w:bookmarkStart w:id="252" w:name="_Ref65671888"/>
      <w:bookmarkStart w:id="253" w:name="_Toc65574436"/>
      <w:bookmarkStart w:id="254" w:name="_Toc63764746"/>
      <w:bookmarkStart w:id="255" w:name="_Toc75176475"/>
      <w:bookmarkStart w:id="256" w:name="_Toc85442565"/>
      <w:bookmarkStart w:id="257" w:name="_Toc85445907"/>
      <w:bookmarkStart w:id="258" w:name="_Toc87429966"/>
      <w:bookmarkStart w:id="259" w:name="_Toc88561398"/>
      <w:bookmarkStart w:id="260" w:name="_Toc115188856"/>
      <w:bookmarkStart w:id="261" w:name="_Toc142314696"/>
      <w:bookmarkStart w:id="262" w:name="_Toc145394280"/>
      <w:bookmarkStart w:id="263" w:name="_Toc189053956"/>
      <w:bookmarkStart w:id="264" w:name="_Toc189647941"/>
      <w:r>
        <w:t>Figure </w:t>
      </w:r>
      <w:r>
        <w:fldChar w:fldCharType="begin"/>
      </w:r>
      <w:r>
        <w:instrText>SEQ Figure \* ARABIC</w:instrText>
      </w:r>
      <w:r>
        <w:fldChar w:fldCharType="separate"/>
      </w:r>
      <w:r w:rsidR="00753BC8">
        <w:rPr>
          <w:noProof/>
        </w:rPr>
        <w:t>15</w:t>
      </w:r>
      <w:r>
        <w:fldChar w:fldCharType="end"/>
      </w:r>
      <w:bookmarkEnd w:id="252"/>
      <w:r w:rsidRPr="00AB49A6">
        <w:t xml:space="preserve">: Number of people subject to indefinite community treatment orders per 100,000 population, by </w:t>
      </w:r>
      <w:r>
        <w:t>district</w:t>
      </w:r>
      <w:r w:rsidRPr="00AB49A6">
        <w:t xml:space="preserve">, at </w:t>
      </w:r>
      <w:bookmarkEnd w:id="253"/>
      <w:bookmarkEnd w:id="254"/>
      <w:bookmarkEnd w:id="255"/>
      <w:bookmarkEnd w:id="256"/>
      <w:bookmarkEnd w:id="257"/>
      <w:bookmarkEnd w:id="258"/>
      <w:bookmarkEnd w:id="259"/>
      <w:r w:rsidRPr="00AB49A6">
        <w:t>30 June 202</w:t>
      </w:r>
      <w:bookmarkEnd w:id="260"/>
      <w:bookmarkEnd w:id="261"/>
      <w:bookmarkEnd w:id="262"/>
      <w:r>
        <w:t>3</w:t>
      </w:r>
      <w:bookmarkEnd w:id="263"/>
      <w:bookmarkEnd w:id="264"/>
    </w:p>
    <w:p w14:paraId="4DF8CF2F" w14:textId="32B61DE1" w:rsidR="00CC1A7C" w:rsidRDefault="00CC1A7C" w:rsidP="00CC1A7C">
      <w:r>
        <w:rPr>
          <w:noProof/>
        </w:rPr>
        <w:drawing>
          <wp:inline distT="0" distB="0" distL="0" distR="0" wp14:anchorId="4074D1E9" wp14:editId="2076C298">
            <wp:extent cx="5078095" cy="2798445"/>
            <wp:effectExtent l="0" t="0" r="0" b="1905"/>
            <wp:docPr id="19"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078095" cy="2798445"/>
                    </a:xfrm>
                    <a:prstGeom prst="rect">
                      <a:avLst/>
                    </a:prstGeom>
                    <a:noFill/>
                  </pic:spPr>
                </pic:pic>
              </a:graphicData>
            </a:graphic>
          </wp:inline>
        </w:drawing>
      </w:r>
    </w:p>
    <w:p w14:paraId="72D359AE" w14:textId="77777777" w:rsidR="00CC1A7C" w:rsidRPr="00200234" w:rsidRDefault="00CC1A7C" w:rsidP="00CC1A7C">
      <w:pPr>
        <w:pStyle w:val="Source"/>
      </w:pPr>
      <w:r w:rsidRPr="00200234">
        <w:t>Source</w:t>
      </w:r>
      <w:r>
        <w:t>s</w:t>
      </w:r>
      <w:r w:rsidRPr="00200234">
        <w:t>: P</w:t>
      </w:r>
      <w:r w:rsidRPr="0069579E">
        <w:t>RIMHD data</w:t>
      </w:r>
      <w:r>
        <w:t xml:space="preserve"> (extracted</w:t>
      </w:r>
      <w:r w:rsidRPr="0069579E">
        <w:t xml:space="preserve"> </w:t>
      </w:r>
      <w:r>
        <w:t>28 February 2024) and manual data from Health New Zealand Counties Manukau, Tairāwhiti, and Waikato.</w:t>
      </w:r>
    </w:p>
    <w:p w14:paraId="312461BF" w14:textId="77777777" w:rsidR="00CC1A7C" w:rsidRPr="00ED4FA1" w:rsidRDefault="00CC1A7C" w:rsidP="00CC1A7C"/>
    <w:p w14:paraId="5BC6B33A" w14:textId="20EEB716" w:rsidR="00CC1A7C" w:rsidRPr="003953D4" w:rsidRDefault="00CC1A7C" w:rsidP="00CC1A7C">
      <w:r w:rsidRPr="003953D4">
        <w:t>Nationwide, Māori were 2.</w:t>
      </w:r>
      <w:r w:rsidRPr="00501296">
        <w:t>7</w:t>
      </w:r>
      <w:r w:rsidRPr="003953D4">
        <w:t xml:space="preserve"> times more likely to be subject to an indefinite community treatment order than non-Māori. </w:t>
      </w:r>
      <w:r w:rsidRPr="003953D4">
        <w:fldChar w:fldCharType="begin"/>
      </w:r>
      <w:r w:rsidRPr="003953D4">
        <w:instrText xml:space="preserve"> REF _Ref85448301 \h </w:instrText>
      </w:r>
      <w:r>
        <w:instrText xml:space="preserve"> \* MERGEFORMAT </w:instrText>
      </w:r>
      <w:r w:rsidRPr="003953D4">
        <w:fldChar w:fldCharType="separate"/>
      </w:r>
      <w:r w:rsidR="00753BC8" w:rsidRPr="003953D4">
        <w:t>Table </w:t>
      </w:r>
      <w:r w:rsidR="00753BC8">
        <w:t>6</w:t>
      </w:r>
      <w:r w:rsidRPr="003953D4">
        <w:fldChar w:fldCharType="end"/>
      </w:r>
      <w:r w:rsidRPr="003953D4">
        <w:rPr>
          <w:noProof/>
        </w:rPr>
        <w:t xml:space="preserve"> and </w:t>
      </w:r>
      <w:r w:rsidRPr="003953D4">
        <w:rPr>
          <w:noProof/>
        </w:rPr>
        <w:fldChar w:fldCharType="begin"/>
      </w:r>
      <w:r w:rsidRPr="003953D4">
        <w:rPr>
          <w:noProof/>
        </w:rPr>
        <w:instrText xml:space="preserve"> REF _Ref141108133 \h </w:instrText>
      </w:r>
      <w:r>
        <w:rPr>
          <w:noProof/>
        </w:rPr>
        <w:instrText xml:space="preserve"> \* MERGEFORMAT </w:instrText>
      </w:r>
      <w:r w:rsidRPr="003953D4">
        <w:rPr>
          <w:noProof/>
        </w:rPr>
      </w:r>
      <w:r w:rsidRPr="003953D4">
        <w:rPr>
          <w:noProof/>
        </w:rPr>
        <w:fldChar w:fldCharType="separate"/>
      </w:r>
      <w:r w:rsidR="00753BC8">
        <w:t>Fig</w:t>
      </w:r>
      <w:r w:rsidR="00753BC8" w:rsidRPr="003E0D45">
        <w:t>ure </w:t>
      </w:r>
      <w:r w:rsidR="00753BC8">
        <w:t>16</w:t>
      </w:r>
      <w:r w:rsidRPr="003953D4">
        <w:rPr>
          <w:noProof/>
        </w:rPr>
        <w:fldChar w:fldCharType="end"/>
      </w:r>
      <w:r w:rsidRPr="003953D4">
        <w:t xml:space="preserve"> show the rate ratio of Māori to non-Māori in each </w:t>
      </w:r>
      <w:r w:rsidRPr="00501296">
        <w:t>district</w:t>
      </w:r>
      <w:r w:rsidRPr="003953D4">
        <w:t xml:space="preserve"> per 100,000 people in the general population.</w:t>
      </w:r>
    </w:p>
    <w:p w14:paraId="70D6A5EA" w14:textId="77777777" w:rsidR="00CC1A7C" w:rsidRPr="003953D4" w:rsidRDefault="00CC1A7C" w:rsidP="00CC1A7C">
      <w:pPr>
        <w:rPr>
          <w:lang w:eastAsia="en-US"/>
        </w:rPr>
      </w:pPr>
    </w:p>
    <w:p w14:paraId="75A7E6C9" w14:textId="3A773608" w:rsidR="00CC1A7C" w:rsidRPr="003953D4" w:rsidRDefault="00CC1A7C" w:rsidP="00CC1A7C">
      <w:pPr>
        <w:pStyle w:val="Table"/>
      </w:pPr>
      <w:bookmarkStart w:id="265" w:name="_Ref85448301"/>
      <w:bookmarkStart w:id="266" w:name="_Toc87430004"/>
      <w:bookmarkStart w:id="267" w:name="_Toc88561361"/>
      <w:bookmarkStart w:id="268" w:name="_Toc115188895"/>
      <w:bookmarkStart w:id="269" w:name="_Toc142314757"/>
      <w:bookmarkStart w:id="270" w:name="_Toc145394319"/>
      <w:bookmarkStart w:id="271" w:name="_Toc189053997"/>
      <w:bookmarkStart w:id="272" w:name="_Toc189647982"/>
      <w:r w:rsidRPr="003953D4">
        <w:t>Table </w:t>
      </w:r>
      <w:r w:rsidRPr="003953D4">
        <w:fldChar w:fldCharType="begin"/>
      </w:r>
      <w:r w:rsidRPr="003953D4">
        <w:instrText>SEQ Table \* ARABIC</w:instrText>
      </w:r>
      <w:r w:rsidRPr="003953D4">
        <w:fldChar w:fldCharType="separate"/>
      </w:r>
      <w:r w:rsidR="00753BC8">
        <w:rPr>
          <w:noProof/>
        </w:rPr>
        <w:t>6</w:t>
      </w:r>
      <w:r w:rsidRPr="003953D4">
        <w:fldChar w:fldCharType="end"/>
      </w:r>
      <w:bookmarkEnd w:id="265"/>
      <w:r w:rsidRPr="003953D4">
        <w:t xml:space="preserve">: Rate ratio of Māori to non-Māori subject to indefinite community treatment orders per 100,000 population, by </w:t>
      </w:r>
      <w:r>
        <w:t>district</w:t>
      </w:r>
      <w:r w:rsidRPr="003953D4">
        <w:t xml:space="preserve">, at </w:t>
      </w:r>
      <w:bookmarkEnd w:id="266"/>
      <w:bookmarkEnd w:id="267"/>
      <w:r w:rsidRPr="003953D4">
        <w:t>30 June 2023</w:t>
      </w:r>
      <w:bookmarkEnd w:id="268"/>
      <w:bookmarkEnd w:id="269"/>
      <w:bookmarkEnd w:id="270"/>
      <w:bookmarkEnd w:id="271"/>
      <w:bookmarkEnd w:id="272"/>
    </w:p>
    <w:tbl>
      <w:tblPr>
        <w:tblW w:w="8594" w:type="dxa"/>
        <w:tblInd w:w="57" w:type="dxa"/>
        <w:tblBorders>
          <w:top w:val="single" w:sz="4" w:space="0" w:color="A6A6A6" w:themeColor="background1" w:themeShade="A6"/>
          <w:bottom w:val="single" w:sz="4" w:space="0" w:color="A6A6A6" w:themeColor="background1" w:themeShade="A6"/>
          <w:insideH w:val="single" w:sz="4" w:space="0" w:color="A6A6A6" w:themeColor="background1" w:themeShade="A6"/>
        </w:tblBorders>
        <w:tblLayout w:type="fixed"/>
        <w:tblCellMar>
          <w:left w:w="57" w:type="dxa"/>
          <w:right w:w="57" w:type="dxa"/>
        </w:tblCellMar>
        <w:tblLook w:val="04A0" w:firstRow="1" w:lastRow="0" w:firstColumn="1" w:lastColumn="0" w:noHBand="0" w:noVBand="1"/>
      </w:tblPr>
      <w:tblGrid>
        <w:gridCol w:w="1644"/>
        <w:gridCol w:w="709"/>
        <w:gridCol w:w="709"/>
        <w:gridCol w:w="1127"/>
        <w:gridCol w:w="290"/>
        <w:gridCol w:w="1560"/>
        <w:gridCol w:w="708"/>
        <w:gridCol w:w="709"/>
        <w:gridCol w:w="1138"/>
      </w:tblGrid>
      <w:tr w:rsidR="00CC1A7C" w:rsidRPr="003953D4" w14:paraId="7BEB29FD" w14:textId="77777777" w:rsidTr="00497F1D">
        <w:trPr>
          <w:cantSplit/>
          <w:trHeight w:val="300"/>
        </w:trPr>
        <w:tc>
          <w:tcPr>
            <w:tcW w:w="1644" w:type="dxa"/>
            <w:tcBorders>
              <w:top w:val="nil"/>
              <w:bottom w:val="nil"/>
            </w:tcBorders>
            <w:shd w:val="clear" w:color="auto" w:fill="D9D9D9" w:themeFill="background1" w:themeFillShade="D9"/>
            <w:noWrap/>
            <w:vAlign w:val="bottom"/>
            <w:hideMark/>
          </w:tcPr>
          <w:p w14:paraId="454D92B2" w14:textId="77777777" w:rsidR="00CC1A7C" w:rsidRPr="003953D4" w:rsidRDefault="00CC1A7C" w:rsidP="00497F1D">
            <w:pPr>
              <w:pStyle w:val="TableText"/>
              <w:keepNext/>
              <w:rPr>
                <w:b/>
                <w:lang w:eastAsia="en-NZ"/>
              </w:rPr>
            </w:pPr>
            <w:r>
              <w:rPr>
                <w:b/>
                <w:lang w:eastAsia="en-NZ"/>
              </w:rPr>
              <w:t>District</w:t>
            </w:r>
          </w:p>
        </w:tc>
        <w:tc>
          <w:tcPr>
            <w:tcW w:w="709" w:type="dxa"/>
            <w:tcBorders>
              <w:top w:val="nil"/>
              <w:bottom w:val="nil"/>
            </w:tcBorders>
            <w:shd w:val="clear" w:color="auto" w:fill="D9D9D9" w:themeFill="background1" w:themeFillShade="D9"/>
            <w:vAlign w:val="bottom"/>
            <w:hideMark/>
          </w:tcPr>
          <w:p w14:paraId="4C01A33C" w14:textId="77777777" w:rsidR="00CC1A7C" w:rsidRPr="003953D4" w:rsidRDefault="00CC1A7C" w:rsidP="00497F1D">
            <w:pPr>
              <w:pStyle w:val="TableText"/>
              <w:keepNext/>
              <w:rPr>
                <w:b/>
                <w:lang w:eastAsia="en-NZ"/>
              </w:rPr>
            </w:pPr>
            <w:r w:rsidRPr="003953D4">
              <w:rPr>
                <w:b/>
                <w:lang w:eastAsia="en-NZ"/>
              </w:rPr>
              <w:t>Māori</w:t>
            </w:r>
          </w:p>
        </w:tc>
        <w:tc>
          <w:tcPr>
            <w:tcW w:w="709" w:type="dxa"/>
            <w:tcBorders>
              <w:top w:val="nil"/>
              <w:bottom w:val="nil"/>
            </w:tcBorders>
            <w:shd w:val="clear" w:color="auto" w:fill="D9D9D9" w:themeFill="background1" w:themeFillShade="D9"/>
            <w:vAlign w:val="bottom"/>
            <w:hideMark/>
          </w:tcPr>
          <w:p w14:paraId="75E01633" w14:textId="77777777" w:rsidR="00CC1A7C" w:rsidRPr="003953D4" w:rsidRDefault="00CC1A7C" w:rsidP="00497F1D">
            <w:pPr>
              <w:pStyle w:val="TableText"/>
              <w:keepNext/>
              <w:rPr>
                <w:b/>
                <w:lang w:eastAsia="en-NZ"/>
              </w:rPr>
            </w:pPr>
            <w:r w:rsidRPr="003953D4">
              <w:rPr>
                <w:b/>
                <w:lang w:eastAsia="en-NZ"/>
              </w:rPr>
              <w:t>Non-Māori</w:t>
            </w:r>
          </w:p>
        </w:tc>
        <w:tc>
          <w:tcPr>
            <w:tcW w:w="1127" w:type="dxa"/>
            <w:tcBorders>
              <w:top w:val="nil"/>
              <w:bottom w:val="nil"/>
            </w:tcBorders>
            <w:shd w:val="clear" w:color="auto" w:fill="D9D9D9" w:themeFill="background1" w:themeFillShade="D9"/>
            <w:vAlign w:val="bottom"/>
            <w:hideMark/>
          </w:tcPr>
          <w:p w14:paraId="30C0A7D3" w14:textId="77777777" w:rsidR="00CC1A7C" w:rsidRPr="003953D4" w:rsidRDefault="00CC1A7C" w:rsidP="00497F1D">
            <w:pPr>
              <w:pStyle w:val="TableText"/>
              <w:keepNext/>
              <w:rPr>
                <w:b/>
                <w:lang w:eastAsia="en-NZ"/>
              </w:rPr>
            </w:pPr>
            <w:r w:rsidRPr="003953D4">
              <w:rPr>
                <w:b/>
                <w:lang w:eastAsia="en-NZ"/>
              </w:rPr>
              <w:t xml:space="preserve">Rate ratio Māori </w:t>
            </w:r>
            <w:r>
              <w:rPr>
                <w:b/>
                <w:lang w:eastAsia="en-NZ"/>
              </w:rPr>
              <w:t>to</w:t>
            </w:r>
            <w:r w:rsidRPr="003953D4">
              <w:rPr>
                <w:b/>
                <w:lang w:eastAsia="en-NZ"/>
              </w:rPr>
              <w:t xml:space="preserve"> non-Māori</w:t>
            </w:r>
          </w:p>
        </w:tc>
        <w:tc>
          <w:tcPr>
            <w:tcW w:w="290" w:type="dxa"/>
            <w:tcBorders>
              <w:top w:val="nil"/>
              <w:bottom w:val="nil"/>
            </w:tcBorders>
            <w:shd w:val="clear" w:color="auto" w:fill="auto"/>
          </w:tcPr>
          <w:p w14:paraId="69F328E2" w14:textId="77777777" w:rsidR="00CC1A7C" w:rsidRPr="003953D4" w:rsidRDefault="00CC1A7C" w:rsidP="00497F1D">
            <w:pPr>
              <w:pStyle w:val="TableText"/>
              <w:keepNext/>
              <w:rPr>
                <w:lang w:eastAsia="en-NZ"/>
              </w:rPr>
            </w:pPr>
          </w:p>
        </w:tc>
        <w:tc>
          <w:tcPr>
            <w:tcW w:w="1560" w:type="dxa"/>
            <w:tcBorders>
              <w:top w:val="nil"/>
              <w:bottom w:val="nil"/>
            </w:tcBorders>
            <w:shd w:val="clear" w:color="auto" w:fill="D9D9D9" w:themeFill="background1" w:themeFillShade="D9"/>
            <w:vAlign w:val="bottom"/>
          </w:tcPr>
          <w:p w14:paraId="30746123" w14:textId="77777777" w:rsidR="00CC1A7C" w:rsidRPr="003953D4" w:rsidRDefault="00CC1A7C" w:rsidP="00497F1D">
            <w:pPr>
              <w:pStyle w:val="TableText"/>
              <w:keepNext/>
              <w:rPr>
                <w:b/>
                <w:lang w:eastAsia="en-NZ"/>
              </w:rPr>
            </w:pPr>
            <w:r>
              <w:rPr>
                <w:b/>
                <w:lang w:eastAsia="en-NZ"/>
              </w:rPr>
              <w:t>District</w:t>
            </w:r>
            <w:r w:rsidRPr="003953D4">
              <w:rPr>
                <w:b/>
                <w:lang w:eastAsia="en-NZ"/>
              </w:rPr>
              <w:t xml:space="preserve"> </w:t>
            </w:r>
          </w:p>
        </w:tc>
        <w:tc>
          <w:tcPr>
            <w:tcW w:w="708" w:type="dxa"/>
            <w:tcBorders>
              <w:top w:val="nil"/>
              <w:bottom w:val="nil"/>
            </w:tcBorders>
            <w:shd w:val="clear" w:color="auto" w:fill="D9D9D9" w:themeFill="background1" w:themeFillShade="D9"/>
            <w:vAlign w:val="bottom"/>
          </w:tcPr>
          <w:p w14:paraId="7BBF38EE" w14:textId="77777777" w:rsidR="00CC1A7C" w:rsidRPr="003953D4" w:rsidRDefault="00CC1A7C" w:rsidP="00497F1D">
            <w:pPr>
              <w:pStyle w:val="TableText"/>
              <w:keepNext/>
              <w:rPr>
                <w:b/>
                <w:lang w:eastAsia="en-NZ"/>
              </w:rPr>
            </w:pPr>
            <w:r w:rsidRPr="003953D4">
              <w:rPr>
                <w:b/>
                <w:lang w:eastAsia="en-NZ"/>
              </w:rPr>
              <w:t>Māori</w:t>
            </w:r>
          </w:p>
        </w:tc>
        <w:tc>
          <w:tcPr>
            <w:tcW w:w="709" w:type="dxa"/>
            <w:tcBorders>
              <w:top w:val="nil"/>
              <w:bottom w:val="nil"/>
            </w:tcBorders>
            <w:shd w:val="clear" w:color="auto" w:fill="D9D9D9" w:themeFill="background1" w:themeFillShade="D9"/>
            <w:vAlign w:val="bottom"/>
          </w:tcPr>
          <w:p w14:paraId="71F7EBA8" w14:textId="77777777" w:rsidR="00CC1A7C" w:rsidRPr="003953D4" w:rsidRDefault="00CC1A7C" w:rsidP="00497F1D">
            <w:pPr>
              <w:pStyle w:val="TableText"/>
              <w:keepNext/>
              <w:rPr>
                <w:b/>
                <w:lang w:eastAsia="en-NZ"/>
              </w:rPr>
            </w:pPr>
            <w:r w:rsidRPr="003953D4">
              <w:rPr>
                <w:b/>
                <w:lang w:eastAsia="en-NZ"/>
              </w:rPr>
              <w:t>Non-Māori</w:t>
            </w:r>
          </w:p>
        </w:tc>
        <w:tc>
          <w:tcPr>
            <w:tcW w:w="1138" w:type="dxa"/>
            <w:tcBorders>
              <w:top w:val="nil"/>
              <w:bottom w:val="nil"/>
            </w:tcBorders>
            <w:shd w:val="clear" w:color="auto" w:fill="D9D9D9" w:themeFill="background1" w:themeFillShade="D9"/>
            <w:vAlign w:val="bottom"/>
          </w:tcPr>
          <w:p w14:paraId="4F188D22" w14:textId="77777777" w:rsidR="00CC1A7C" w:rsidRPr="003953D4" w:rsidRDefault="00CC1A7C" w:rsidP="00497F1D">
            <w:pPr>
              <w:pStyle w:val="TableText"/>
              <w:keepNext/>
              <w:rPr>
                <w:b/>
                <w:lang w:eastAsia="en-NZ"/>
              </w:rPr>
            </w:pPr>
            <w:r w:rsidRPr="003953D4">
              <w:rPr>
                <w:b/>
                <w:lang w:eastAsia="en-NZ"/>
              </w:rPr>
              <w:t xml:space="preserve">Rate ratio Māori </w:t>
            </w:r>
            <w:r>
              <w:rPr>
                <w:b/>
                <w:lang w:eastAsia="en-NZ"/>
              </w:rPr>
              <w:t>to</w:t>
            </w:r>
            <w:r w:rsidRPr="003953D4">
              <w:rPr>
                <w:b/>
                <w:lang w:eastAsia="en-NZ"/>
              </w:rPr>
              <w:t xml:space="preserve"> non-Māori</w:t>
            </w:r>
          </w:p>
        </w:tc>
      </w:tr>
      <w:tr w:rsidR="00CC1A7C" w:rsidRPr="003953D4" w14:paraId="53B3C06E" w14:textId="77777777" w:rsidTr="00497F1D">
        <w:trPr>
          <w:cantSplit/>
        </w:trPr>
        <w:tc>
          <w:tcPr>
            <w:tcW w:w="1644" w:type="dxa"/>
            <w:tcBorders>
              <w:top w:val="nil"/>
              <w:bottom w:val="single" w:sz="4" w:space="0" w:color="A6A6A6" w:themeColor="background1" w:themeShade="A6"/>
            </w:tcBorders>
            <w:shd w:val="clear" w:color="auto" w:fill="auto"/>
            <w:noWrap/>
            <w:hideMark/>
          </w:tcPr>
          <w:p w14:paraId="07B6CA8C" w14:textId="77777777" w:rsidR="00CC1A7C" w:rsidRPr="003953D4" w:rsidRDefault="00CC1A7C" w:rsidP="00497F1D">
            <w:pPr>
              <w:pStyle w:val="TableText"/>
              <w:keepNext/>
              <w:rPr>
                <w:lang w:eastAsia="en-NZ"/>
              </w:rPr>
            </w:pPr>
            <w:r w:rsidRPr="003953D4">
              <w:rPr>
                <w:lang w:eastAsia="en-NZ"/>
              </w:rPr>
              <w:t>Auckland</w:t>
            </w:r>
          </w:p>
        </w:tc>
        <w:tc>
          <w:tcPr>
            <w:tcW w:w="709" w:type="dxa"/>
            <w:tcBorders>
              <w:top w:val="nil"/>
              <w:bottom w:val="single" w:sz="4" w:space="0" w:color="A6A6A6" w:themeColor="background1" w:themeShade="A6"/>
            </w:tcBorders>
            <w:shd w:val="clear" w:color="auto" w:fill="auto"/>
            <w:noWrap/>
            <w:vAlign w:val="center"/>
            <w:hideMark/>
          </w:tcPr>
          <w:p w14:paraId="0A850540" w14:textId="77777777" w:rsidR="00CC1A7C" w:rsidRPr="003953D4" w:rsidRDefault="00CC1A7C" w:rsidP="00497F1D">
            <w:pPr>
              <w:pStyle w:val="TableText"/>
              <w:keepNext/>
              <w:tabs>
                <w:tab w:val="decimal" w:pos="454"/>
              </w:tabs>
              <w:jc w:val="center"/>
              <w:rPr>
                <w:lang w:eastAsia="en-NZ"/>
              </w:rPr>
            </w:pPr>
            <w:r w:rsidRPr="003953D4">
              <w:t>17</w:t>
            </w:r>
            <w:r w:rsidRPr="00501296">
              <w:t>2</w:t>
            </w:r>
          </w:p>
        </w:tc>
        <w:tc>
          <w:tcPr>
            <w:tcW w:w="709" w:type="dxa"/>
            <w:tcBorders>
              <w:top w:val="nil"/>
              <w:bottom w:val="single" w:sz="4" w:space="0" w:color="A6A6A6" w:themeColor="background1" w:themeShade="A6"/>
            </w:tcBorders>
            <w:shd w:val="clear" w:color="auto" w:fill="auto"/>
            <w:noWrap/>
            <w:vAlign w:val="center"/>
            <w:hideMark/>
          </w:tcPr>
          <w:p w14:paraId="2C27180E" w14:textId="77777777" w:rsidR="00CC1A7C" w:rsidRPr="003953D4" w:rsidRDefault="00CC1A7C" w:rsidP="00497F1D">
            <w:pPr>
              <w:pStyle w:val="TableText"/>
              <w:keepNext/>
              <w:tabs>
                <w:tab w:val="decimal" w:pos="445"/>
              </w:tabs>
              <w:jc w:val="center"/>
              <w:rPr>
                <w:lang w:eastAsia="en-NZ"/>
              </w:rPr>
            </w:pPr>
            <w:r w:rsidRPr="00501296">
              <w:t>40</w:t>
            </w:r>
          </w:p>
        </w:tc>
        <w:tc>
          <w:tcPr>
            <w:tcW w:w="1127" w:type="dxa"/>
            <w:tcBorders>
              <w:top w:val="nil"/>
              <w:bottom w:val="single" w:sz="4" w:space="0" w:color="A6A6A6" w:themeColor="background1" w:themeShade="A6"/>
            </w:tcBorders>
            <w:shd w:val="clear" w:color="auto" w:fill="auto"/>
            <w:noWrap/>
            <w:vAlign w:val="center"/>
            <w:hideMark/>
          </w:tcPr>
          <w:p w14:paraId="72D2A694" w14:textId="77777777" w:rsidR="00CC1A7C" w:rsidRPr="003953D4" w:rsidRDefault="00CC1A7C" w:rsidP="00497F1D">
            <w:pPr>
              <w:pStyle w:val="TableText"/>
              <w:keepNext/>
              <w:jc w:val="center"/>
              <w:rPr>
                <w:lang w:eastAsia="en-NZ"/>
              </w:rPr>
            </w:pPr>
            <w:r w:rsidRPr="00501296">
              <w:t>4.3</w:t>
            </w:r>
          </w:p>
        </w:tc>
        <w:tc>
          <w:tcPr>
            <w:tcW w:w="290" w:type="dxa"/>
            <w:tcBorders>
              <w:top w:val="nil"/>
              <w:bottom w:val="nil"/>
            </w:tcBorders>
            <w:shd w:val="clear" w:color="auto" w:fill="auto"/>
          </w:tcPr>
          <w:p w14:paraId="164D5F46" w14:textId="77777777" w:rsidR="00CC1A7C" w:rsidRPr="003953D4" w:rsidRDefault="00CC1A7C" w:rsidP="00497F1D">
            <w:pPr>
              <w:pStyle w:val="TableText"/>
              <w:keepNext/>
              <w:rPr>
                <w:lang w:eastAsia="en-NZ"/>
              </w:rPr>
            </w:pPr>
          </w:p>
        </w:tc>
        <w:tc>
          <w:tcPr>
            <w:tcW w:w="1560" w:type="dxa"/>
            <w:tcBorders>
              <w:top w:val="nil"/>
              <w:bottom w:val="single" w:sz="4" w:space="0" w:color="A6A6A6" w:themeColor="background1" w:themeShade="A6"/>
            </w:tcBorders>
          </w:tcPr>
          <w:p w14:paraId="314CBC4C" w14:textId="77777777" w:rsidR="00CC1A7C" w:rsidRPr="003953D4" w:rsidRDefault="00CC1A7C" w:rsidP="00497F1D">
            <w:pPr>
              <w:pStyle w:val="TableText"/>
              <w:keepNext/>
              <w:rPr>
                <w:lang w:eastAsia="en-NZ"/>
              </w:rPr>
            </w:pPr>
            <w:r w:rsidRPr="003953D4">
              <w:rPr>
                <w:lang w:eastAsia="en-NZ"/>
              </w:rPr>
              <w:t>Northland</w:t>
            </w:r>
          </w:p>
        </w:tc>
        <w:tc>
          <w:tcPr>
            <w:tcW w:w="708" w:type="dxa"/>
            <w:tcBorders>
              <w:top w:val="nil"/>
              <w:bottom w:val="single" w:sz="4" w:space="0" w:color="A6A6A6" w:themeColor="background1" w:themeShade="A6"/>
            </w:tcBorders>
            <w:vAlign w:val="center"/>
          </w:tcPr>
          <w:p w14:paraId="67E08E77" w14:textId="77777777" w:rsidR="00CC1A7C" w:rsidRPr="003953D4" w:rsidRDefault="00CC1A7C" w:rsidP="00497F1D">
            <w:pPr>
              <w:pStyle w:val="TableText"/>
              <w:keepNext/>
              <w:tabs>
                <w:tab w:val="decimal" w:pos="454"/>
              </w:tabs>
              <w:jc w:val="center"/>
              <w:rPr>
                <w:lang w:eastAsia="en-NZ"/>
              </w:rPr>
            </w:pPr>
            <w:r w:rsidRPr="00501296">
              <w:t>162</w:t>
            </w:r>
          </w:p>
        </w:tc>
        <w:tc>
          <w:tcPr>
            <w:tcW w:w="709" w:type="dxa"/>
            <w:tcBorders>
              <w:top w:val="nil"/>
              <w:bottom w:val="single" w:sz="4" w:space="0" w:color="A6A6A6" w:themeColor="background1" w:themeShade="A6"/>
            </w:tcBorders>
            <w:vAlign w:val="center"/>
          </w:tcPr>
          <w:p w14:paraId="2CC669C9" w14:textId="77777777" w:rsidR="00CC1A7C" w:rsidRPr="003953D4" w:rsidRDefault="00CC1A7C" w:rsidP="00497F1D">
            <w:pPr>
              <w:pStyle w:val="TableText"/>
              <w:keepNext/>
              <w:jc w:val="center"/>
              <w:rPr>
                <w:lang w:eastAsia="en-NZ"/>
              </w:rPr>
            </w:pPr>
            <w:r w:rsidRPr="00501296">
              <w:t>49</w:t>
            </w:r>
          </w:p>
        </w:tc>
        <w:tc>
          <w:tcPr>
            <w:tcW w:w="1138" w:type="dxa"/>
            <w:tcBorders>
              <w:top w:val="nil"/>
              <w:bottom w:val="single" w:sz="4" w:space="0" w:color="A6A6A6" w:themeColor="background1" w:themeShade="A6"/>
            </w:tcBorders>
            <w:vAlign w:val="center"/>
          </w:tcPr>
          <w:p w14:paraId="52D515D7" w14:textId="77777777" w:rsidR="00CC1A7C" w:rsidRPr="003953D4" w:rsidRDefault="00CC1A7C" w:rsidP="00497F1D">
            <w:pPr>
              <w:pStyle w:val="TableText"/>
              <w:keepNext/>
              <w:jc w:val="center"/>
              <w:rPr>
                <w:lang w:eastAsia="en-NZ"/>
              </w:rPr>
            </w:pPr>
            <w:r w:rsidRPr="00501296">
              <w:t>3.3</w:t>
            </w:r>
          </w:p>
        </w:tc>
      </w:tr>
      <w:tr w:rsidR="00CC1A7C" w:rsidRPr="003953D4" w14:paraId="1F3FA9F1" w14:textId="77777777" w:rsidTr="00497F1D">
        <w:trPr>
          <w:cantSplit/>
        </w:trPr>
        <w:tc>
          <w:tcPr>
            <w:tcW w:w="1644" w:type="dxa"/>
            <w:tcBorders>
              <w:top w:val="single" w:sz="4" w:space="0" w:color="A6A6A6" w:themeColor="background1" w:themeShade="A6"/>
            </w:tcBorders>
            <w:shd w:val="clear" w:color="auto" w:fill="auto"/>
            <w:noWrap/>
            <w:vAlign w:val="center"/>
            <w:hideMark/>
          </w:tcPr>
          <w:p w14:paraId="31EA284F" w14:textId="77777777" w:rsidR="00CC1A7C" w:rsidRPr="003953D4" w:rsidRDefault="00CC1A7C" w:rsidP="00497F1D">
            <w:pPr>
              <w:pStyle w:val="TableText"/>
              <w:keepNext/>
              <w:rPr>
                <w:lang w:eastAsia="en-NZ"/>
              </w:rPr>
            </w:pPr>
            <w:r w:rsidRPr="003953D4">
              <w:rPr>
                <w:lang w:eastAsia="en-NZ"/>
              </w:rPr>
              <w:t>Bay of Plenty</w:t>
            </w:r>
          </w:p>
        </w:tc>
        <w:tc>
          <w:tcPr>
            <w:tcW w:w="709" w:type="dxa"/>
            <w:tcBorders>
              <w:top w:val="single" w:sz="4" w:space="0" w:color="A6A6A6" w:themeColor="background1" w:themeShade="A6"/>
            </w:tcBorders>
            <w:shd w:val="clear" w:color="auto" w:fill="auto"/>
            <w:noWrap/>
            <w:vAlign w:val="center"/>
            <w:hideMark/>
          </w:tcPr>
          <w:p w14:paraId="7F192B33" w14:textId="77777777" w:rsidR="00CC1A7C" w:rsidRPr="003953D4" w:rsidRDefault="00CC1A7C" w:rsidP="00497F1D">
            <w:pPr>
              <w:pStyle w:val="TableText"/>
              <w:keepNext/>
              <w:tabs>
                <w:tab w:val="decimal" w:pos="454"/>
              </w:tabs>
              <w:jc w:val="center"/>
              <w:rPr>
                <w:lang w:eastAsia="en-NZ"/>
              </w:rPr>
            </w:pPr>
            <w:r w:rsidRPr="00501296">
              <w:t>71</w:t>
            </w:r>
          </w:p>
        </w:tc>
        <w:tc>
          <w:tcPr>
            <w:tcW w:w="709" w:type="dxa"/>
            <w:tcBorders>
              <w:top w:val="single" w:sz="4" w:space="0" w:color="A6A6A6" w:themeColor="background1" w:themeShade="A6"/>
            </w:tcBorders>
            <w:shd w:val="clear" w:color="auto" w:fill="auto"/>
            <w:noWrap/>
            <w:vAlign w:val="center"/>
            <w:hideMark/>
          </w:tcPr>
          <w:p w14:paraId="039B2ED4" w14:textId="77777777" w:rsidR="00CC1A7C" w:rsidRPr="003953D4" w:rsidRDefault="00CC1A7C" w:rsidP="00497F1D">
            <w:pPr>
              <w:pStyle w:val="TableText"/>
              <w:keepNext/>
              <w:tabs>
                <w:tab w:val="decimal" w:pos="445"/>
              </w:tabs>
              <w:jc w:val="center"/>
              <w:rPr>
                <w:lang w:eastAsia="en-NZ"/>
              </w:rPr>
            </w:pPr>
            <w:r w:rsidRPr="00501296">
              <w:t>18</w:t>
            </w:r>
          </w:p>
        </w:tc>
        <w:tc>
          <w:tcPr>
            <w:tcW w:w="1127" w:type="dxa"/>
            <w:tcBorders>
              <w:top w:val="single" w:sz="4" w:space="0" w:color="A6A6A6" w:themeColor="background1" w:themeShade="A6"/>
            </w:tcBorders>
            <w:shd w:val="clear" w:color="auto" w:fill="auto"/>
            <w:noWrap/>
            <w:vAlign w:val="center"/>
            <w:hideMark/>
          </w:tcPr>
          <w:p w14:paraId="736032AF" w14:textId="77777777" w:rsidR="00CC1A7C" w:rsidRPr="003953D4" w:rsidRDefault="00CC1A7C" w:rsidP="00497F1D">
            <w:pPr>
              <w:pStyle w:val="TableText"/>
              <w:keepNext/>
              <w:jc w:val="center"/>
              <w:rPr>
                <w:lang w:eastAsia="en-NZ"/>
              </w:rPr>
            </w:pPr>
            <w:r w:rsidRPr="00501296">
              <w:t>3.9</w:t>
            </w:r>
          </w:p>
        </w:tc>
        <w:tc>
          <w:tcPr>
            <w:tcW w:w="290" w:type="dxa"/>
            <w:tcBorders>
              <w:top w:val="nil"/>
              <w:bottom w:val="nil"/>
            </w:tcBorders>
            <w:shd w:val="clear" w:color="auto" w:fill="auto"/>
          </w:tcPr>
          <w:p w14:paraId="4C856234" w14:textId="77777777" w:rsidR="00CC1A7C" w:rsidRPr="003953D4" w:rsidRDefault="00CC1A7C" w:rsidP="00497F1D">
            <w:pPr>
              <w:pStyle w:val="TableText"/>
              <w:keepNext/>
              <w:rPr>
                <w:lang w:eastAsia="en-NZ"/>
              </w:rPr>
            </w:pPr>
          </w:p>
        </w:tc>
        <w:tc>
          <w:tcPr>
            <w:tcW w:w="1560" w:type="dxa"/>
            <w:tcBorders>
              <w:top w:val="single" w:sz="4" w:space="0" w:color="A6A6A6" w:themeColor="background1" w:themeShade="A6"/>
            </w:tcBorders>
          </w:tcPr>
          <w:p w14:paraId="34153DD5" w14:textId="77777777" w:rsidR="00CC1A7C" w:rsidRPr="003953D4" w:rsidRDefault="00CC1A7C" w:rsidP="00497F1D">
            <w:pPr>
              <w:pStyle w:val="TableText"/>
              <w:keepNext/>
              <w:rPr>
                <w:lang w:eastAsia="en-NZ"/>
              </w:rPr>
            </w:pPr>
            <w:r w:rsidRPr="003953D4">
              <w:rPr>
                <w:lang w:eastAsia="en-NZ"/>
              </w:rPr>
              <w:t>South Canterbury</w:t>
            </w:r>
          </w:p>
        </w:tc>
        <w:tc>
          <w:tcPr>
            <w:tcW w:w="708" w:type="dxa"/>
            <w:tcBorders>
              <w:top w:val="single" w:sz="4" w:space="0" w:color="A6A6A6" w:themeColor="background1" w:themeShade="A6"/>
            </w:tcBorders>
            <w:vAlign w:val="center"/>
          </w:tcPr>
          <w:p w14:paraId="2DF1DF29" w14:textId="77777777" w:rsidR="00CC1A7C" w:rsidRPr="003953D4" w:rsidRDefault="00CC1A7C" w:rsidP="00497F1D">
            <w:pPr>
              <w:pStyle w:val="TableText"/>
              <w:keepNext/>
              <w:tabs>
                <w:tab w:val="decimal" w:pos="454"/>
              </w:tabs>
              <w:jc w:val="center"/>
              <w:rPr>
                <w:lang w:eastAsia="en-NZ"/>
              </w:rPr>
            </w:pPr>
            <w:r w:rsidRPr="00501296">
              <w:t>129</w:t>
            </w:r>
          </w:p>
        </w:tc>
        <w:tc>
          <w:tcPr>
            <w:tcW w:w="709" w:type="dxa"/>
            <w:tcBorders>
              <w:top w:val="single" w:sz="4" w:space="0" w:color="A6A6A6" w:themeColor="background1" w:themeShade="A6"/>
            </w:tcBorders>
            <w:vAlign w:val="center"/>
          </w:tcPr>
          <w:p w14:paraId="330AE603" w14:textId="77777777" w:rsidR="00CC1A7C" w:rsidRPr="003953D4" w:rsidRDefault="00CC1A7C" w:rsidP="00497F1D">
            <w:pPr>
              <w:pStyle w:val="TableText"/>
              <w:keepNext/>
              <w:jc w:val="center"/>
              <w:rPr>
                <w:lang w:eastAsia="en-NZ"/>
              </w:rPr>
            </w:pPr>
            <w:r w:rsidRPr="00501296">
              <w:t>61</w:t>
            </w:r>
          </w:p>
        </w:tc>
        <w:tc>
          <w:tcPr>
            <w:tcW w:w="1138" w:type="dxa"/>
            <w:tcBorders>
              <w:top w:val="single" w:sz="4" w:space="0" w:color="A6A6A6" w:themeColor="background1" w:themeShade="A6"/>
            </w:tcBorders>
            <w:vAlign w:val="center"/>
          </w:tcPr>
          <w:p w14:paraId="4426CAD2" w14:textId="77777777" w:rsidR="00CC1A7C" w:rsidRPr="003953D4" w:rsidRDefault="00CC1A7C" w:rsidP="00497F1D">
            <w:pPr>
              <w:pStyle w:val="TableText"/>
              <w:keepNext/>
              <w:jc w:val="center"/>
              <w:rPr>
                <w:lang w:eastAsia="en-NZ"/>
              </w:rPr>
            </w:pPr>
            <w:r w:rsidRPr="00501296">
              <w:t>2.1</w:t>
            </w:r>
          </w:p>
        </w:tc>
      </w:tr>
      <w:tr w:rsidR="00CC1A7C" w:rsidRPr="003953D4" w14:paraId="1DACEADA" w14:textId="77777777" w:rsidTr="00497F1D">
        <w:trPr>
          <w:cantSplit/>
        </w:trPr>
        <w:tc>
          <w:tcPr>
            <w:tcW w:w="1644" w:type="dxa"/>
            <w:shd w:val="clear" w:color="auto" w:fill="auto"/>
            <w:noWrap/>
            <w:hideMark/>
          </w:tcPr>
          <w:p w14:paraId="6867393F" w14:textId="77777777" w:rsidR="00CC1A7C" w:rsidRPr="003953D4" w:rsidRDefault="00CC1A7C" w:rsidP="00497F1D">
            <w:pPr>
              <w:pStyle w:val="TableText"/>
              <w:keepNext/>
              <w:rPr>
                <w:lang w:eastAsia="en-NZ"/>
              </w:rPr>
            </w:pPr>
            <w:r w:rsidRPr="003953D4">
              <w:rPr>
                <w:lang w:eastAsia="en-NZ"/>
              </w:rPr>
              <w:t>Canterbury</w:t>
            </w:r>
          </w:p>
        </w:tc>
        <w:tc>
          <w:tcPr>
            <w:tcW w:w="709" w:type="dxa"/>
            <w:shd w:val="clear" w:color="auto" w:fill="auto"/>
            <w:noWrap/>
            <w:vAlign w:val="center"/>
            <w:hideMark/>
          </w:tcPr>
          <w:p w14:paraId="5B0C16A7" w14:textId="77777777" w:rsidR="00CC1A7C" w:rsidRPr="003953D4" w:rsidRDefault="00CC1A7C" w:rsidP="00497F1D">
            <w:pPr>
              <w:pStyle w:val="TableText"/>
              <w:keepNext/>
              <w:tabs>
                <w:tab w:val="decimal" w:pos="454"/>
              </w:tabs>
              <w:jc w:val="center"/>
              <w:rPr>
                <w:lang w:eastAsia="en-NZ"/>
              </w:rPr>
            </w:pPr>
            <w:r w:rsidRPr="00501296">
              <w:t>57</w:t>
            </w:r>
          </w:p>
        </w:tc>
        <w:tc>
          <w:tcPr>
            <w:tcW w:w="709" w:type="dxa"/>
            <w:shd w:val="clear" w:color="auto" w:fill="auto"/>
            <w:noWrap/>
            <w:vAlign w:val="center"/>
            <w:hideMark/>
          </w:tcPr>
          <w:p w14:paraId="79CDECAA" w14:textId="77777777" w:rsidR="00CC1A7C" w:rsidRPr="003953D4" w:rsidRDefault="00CC1A7C" w:rsidP="00497F1D">
            <w:pPr>
              <w:pStyle w:val="TableText"/>
              <w:keepNext/>
              <w:tabs>
                <w:tab w:val="decimal" w:pos="445"/>
              </w:tabs>
              <w:jc w:val="center"/>
              <w:rPr>
                <w:lang w:eastAsia="en-NZ"/>
              </w:rPr>
            </w:pPr>
            <w:r w:rsidRPr="00501296">
              <w:t>21</w:t>
            </w:r>
          </w:p>
        </w:tc>
        <w:tc>
          <w:tcPr>
            <w:tcW w:w="1127" w:type="dxa"/>
            <w:shd w:val="clear" w:color="auto" w:fill="auto"/>
            <w:noWrap/>
            <w:vAlign w:val="center"/>
            <w:hideMark/>
          </w:tcPr>
          <w:p w14:paraId="6BFD3A74" w14:textId="77777777" w:rsidR="00CC1A7C" w:rsidRPr="003953D4" w:rsidRDefault="00CC1A7C" w:rsidP="00497F1D">
            <w:pPr>
              <w:pStyle w:val="TableText"/>
              <w:keepNext/>
              <w:jc w:val="center"/>
              <w:rPr>
                <w:lang w:eastAsia="en-NZ"/>
              </w:rPr>
            </w:pPr>
            <w:r w:rsidRPr="003953D4">
              <w:t>2.</w:t>
            </w:r>
            <w:r w:rsidRPr="00501296">
              <w:t>6</w:t>
            </w:r>
          </w:p>
        </w:tc>
        <w:tc>
          <w:tcPr>
            <w:tcW w:w="290" w:type="dxa"/>
            <w:tcBorders>
              <w:top w:val="nil"/>
              <w:bottom w:val="nil"/>
            </w:tcBorders>
            <w:shd w:val="clear" w:color="auto" w:fill="auto"/>
          </w:tcPr>
          <w:p w14:paraId="6CB8685A" w14:textId="77777777" w:rsidR="00CC1A7C" w:rsidRPr="003953D4" w:rsidRDefault="00CC1A7C" w:rsidP="00497F1D">
            <w:pPr>
              <w:pStyle w:val="TableText"/>
              <w:keepNext/>
              <w:rPr>
                <w:lang w:eastAsia="en-NZ"/>
              </w:rPr>
            </w:pPr>
          </w:p>
        </w:tc>
        <w:tc>
          <w:tcPr>
            <w:tcW w:w="1560" w:type="dxa"/>
          </w:tcPr>
          <w:p w14:paraId="79883A68" w14:textId="77777777" w:rsidR="00CC1A7C" w:rsidRPr="003953D4" w:rsidRDefault="00CC1A7C" w:rsidP="00497F1D">
            <w:pPr>
              <w:pStyle w:val="TableText"/>
              <w:keepNext/>
              <w:rPr>
                <w:lang w:eastAsia="en-NZ"/>
              </w:rPr>
            </w:pPr>
            <w:r w:rsidRPr="003953D4">
              <w:rPr>
                <w:lang w:eastAsia="en-NZ"/>
              </w:rPr>
              <w:t>Southern</w:t>
            </w:r>
          </w:p>
        </w:tc>
        <w:tc>
          <w:tcPr>
            <w:tcW w:w="708" w:type="dxa"/>
            <w:vAlign w:val="center"/>
          </w:tcPr>
          <w:p w14:paraId="7A358F67" w14:textId="77777777" w:rsidR="00CC1A7C" w:rsidRPr="003953D4" w:rsidRDefault="00CC1A7C" w:rsidP="00497F1D">
            <w:pPr>
              <w:pStyle w:val="TableText"/>
              <w:keepNext/>
              <w:tabs>
                <w:tab w:val="decimal" w:pos="454"/>
              </w:tabs>
              <w:jc w:val="center"/>
              <w:rPr>
                <w:lang w:eastAsia="en-NZ"/>
              </w:rPr>
            </w:pPr>
            <w:r w:rsidRPr="00501296">
              <w:t>93</w:t>
            </w:r>
          </w:p>
        </w:tc>
        <w:tc>
          <w:tcPr>
            <w:tcW w:w="709" w:type="dxa"/>
            <w:vAlign w:val="center"/>
          </w:tcPr>
          <w:p w14:paraId="73CB6AB6" w14:textId="77777777" w:rsidR="00CC1A7C" w:rsidRPr="003953D4" w:rsidRDefault="00CC1A7C" w:rsidP="00497F1D">
            <w:pPr>
              <w:pStyle w:val="TableText"/>
              <w:keepNext/>
              <w:jc w:val="center"/>
              <w:rPr>
                <w:lang w:eastAsia="en-NZ"/>
              </w:rPr>
            </w:pPr>
            <w:r w:rsidRPr="00501296">
              <w:t>36</w:t>
            </w:r>
          </w:p>
        </w:tc>
        <w:tc>
          <w:tcPr>
            <w:tcW w:w="1138" w:type="dxa"/>
            <w:vAlign w:val="center"/>
          </w:tcPr>
          <w:p w14:paraId="5DC9B18A" w14:textId="77777777" w:rsidR="00CC1A7C" w:rsidRPr="003953D4" w:rsidRDefault="00CC1A7C" w:rsidP="00497F1D">
            <w:pPr>
              <w:pStyle w:val="TableText"/>
              <w:keepNext/>
              <w:jc w:val="center"/>
              <w:rPr>
                <w:lang w:eastAsia="en-NZ"/>
              </w:rPr>
            </w:pPr>
            <w:r w:rsidRPr="00501296">
              <w:t>2.6</w:t>
            </w:r>
          </w:p>
        </w:tc>
      </w:tr>
      <w:tr w:rsidR="00CC1A7C" w:rsidRPr="003953D4" w14:paraId="401885C2" w14:textId="77777777" w:rsidTr="00497F1D">
        <w:trPr>
          <w:cantSplit/>
        </w:trPr>
        <w:tc>
          <w:tcPr>
            <w:tcW w:w="1644" w:type="dxa"/>
            <w:shd w:val="clear" w:color="auto" w:fill="auto"/>
            <w:noWrap/>
            <w:hideMark/>
          </w:tcPr>
          <w:p w14:paraId="0DBA805E" w14:textId="77777777" w:rsidR="00CC1A7C" w:rsidRPr="003953D4" w:rsidRDefault="00CC1A7C" w:rsidP="00497F1D">
            <w:pPr>
              <w:pStyle w:val="TableText"/>
              <w:keepNext/>
              <w:rPr>
                <w:lang w:eastAsia="en-NZ"/>
              </w:rPr>
            </w:pPr>
            <w:r w:rsidRPr="003953D4">
              <w:rPr>
                <w:lang w:eastAsia="en-NZ"/>
              </w:rPr>
              <w:t>Capital &amp; Coast</w:t>
            </w:r>
          </w:p>
        </w:tc>
        <w:tc>
          <w:tcPr>
            <w:tcW w:w="709" w:type="dxa"/>
            <w:shd w:val="clear" w:color="auto" w:fill="auto"/>
            <w:noWrap/>
            <w:vAlign w:val="center"/>
            <w:hideMark/>
          </w:tcPr>
          <w:p w14:paraId="46DB6174" w14:textId="77777777" w:rsidR="00CC1A7C" w:rsidRPr="003953D4" w:rsidRDefault="00CC1A7C" w:rsidP="00497F1D">
            <w:pPr>
              <w:pStyle w:val="TableText"/>
              <w:keepNext/>
              <w:tabs>
                <w:tab w:val="decimal" w:pos="454"/>
              </w:tabs>
              <w:jc w:val="center"/>
              <w:rPr>
                <w:lang w:eastAsia="en-NZ"/>
              </w:rPr>
            </w:pPr>
            <w:r w:rsidRPr="003953D4">
              <w:t>24</w:t>
            </w:r>
            <w:r w:rsidRPr="00501296">
              <w:t>9</w:t>
            </w:r>
          </w:p>
        </w:tc>
        <w:tc>
          <w:tcPr>
            <w:tcW w:w="709" w:type="dxa"/>
            <w:shd w:val="clear" w:color="auto" w:fill="auto"/>
            <w:noWrap/>
            <w:vAlign w:val="center"/>
            <w:hideMark/>
          </w:tcPr>
          <w:p w14:paraId="693667AB" w14:textId="77777777" w:rsidR="00CC1A7C" w:rsidRPr="003953D4" w:rsidRDefault="00CC1A7C" w:rsidP="00497F1D">
            <w:pPr>
              <w:pStyle w:val="TableText"/>
              <w:keepNext/>
              <w:tabs>
                <w:tab w:val="decimal" w:pos="445"/>
              </w:tabs>
              <w:jc w:val="center"/>
              <w:rPr>
                <w:lang w:eastAsia="en-NZ"/>
              </w:rPr>
            </w:pPr>
            <w:r w:rsidRPr="00501296">
              <w:t>102</w:t>
            </w:r>
          </w:p>
        </w:tc>
        <w:tc>
          <w:tcPr>
            <w:tcW w:w="1127" w:type="dxa"/>
            <w:shd w:val="clear" w:color="auto" w:fill="auto"/>
            <w:noWrap/>
            <w:vAlign w:val="center"/>
            <w:hideMark/>
          </w:tcPr>
          <w:p w14:paraId="673404BA" w14:textId="77777777" w:rsidR="00CC1A7C" w:rsidRPr="003953D4" w:rsidRDefault="00CC1A7C" w:rsidP="00497F1D">
            <w:pPr>
              <w:pStyle w:val="TableText"/>
              <w:keepNext/>
              <w:jc w:val="center"/>
              <w:rPr>
                <w:lang w:eastAsia="en-NZ"/>
              </w:rPr>
            </w:pPr>
            <w:r w:rsidRPr="00501296">
              <w:t>2.4</w:t>
            </w:r>
          </w:p>
        </w:tc>
        <w:tc>
          <w:tcPr>
            <w:tcW w:w="290" w:type="dxa"/>
            <w:tcBorders>
              <w:top w:val="nil"/>
              <w:bottom w:val="nil"/>
            </w:tcBorders>
            <w:shd w:val="clear" w:color="auto" w:fill="auto"/>
          </w:tcPr>
          <w:p w14:paraId="51A64C34" w14:textId="77777777" w:rsidR="00CC1A7C" w:rsidRPr="003953D4" w:rsidRDefault="00CC1A7C" w:rsidP="00497F1D">
            <w:pPr>
              <w:pStyle w:val="TableText"/>
              <w:keepNext/>
              <w:rPr>
                <w:lang w:eastAsia="en-NZ"/>
              </w:rPr>
            </w:pPr>
          </w:p>
        </w:tc>
        <w:tc>
          <w:tcPr>
            <w:tcW w:w="1560" w:type="dxa"/>
            <w:vAlign w:val="center"/>
          </w:tcPr>
          <w:p w14:paraId="73C651A9" w14:textId="77777777" w:rsidR="00CC1A7C" w:rsidRPr="003953D4" w:rsidRDefault="00CC1A7C" w:rsidP="00497F1D">
            <w:pPr>
              <w:pStyle w:val="TableText"/>
              <w:keepNext/>
              <w:rPr>
                <w:lang w:eastAsia="en-NZ"/>
              </w:rPr>
            </w:pPr>
            <w:r w:rsidRPr="003953D4">
              <w:rPr>
                <w:lang w:eastAsia="en-NZ"/>
              </w:rPr>
              <w:t>Tairāwhiti</w:t>
            </w:r>
          </w:p>
        </w:tc>
        <w:tc>
          <w:tcPr>
            <w:tcW w:w="708" w:type="dxa"/>
            <w:vAlign w:val="center"/>
          </w:tcPr>
          <w:p w14:paraId="1A37BA61" w14:textId="77777777" w:rsidR="00CC1A7C" w:rsidRPr="003953D4" w:rsidRDefault="00CC1A7C" w:rsidP="00497F1D">
            <w:pPr>
              <w:pStyle w:val="TableText"/>
              <w:keepNext/>
              <w:tabs>
                <w:tab w:val="decimal" w:pos="454"/>
              </w:tabs>
              <w:jc w:val="center"/>
              <w:rPr>
                <w:lang w:eastAsia="en-NZ"/>
              </w:rPr>
            </w:pPr>
            <w:r w:rsidRPr="00501296">
              <w:t>31</w:t>
            </w:r>
          </w:p>
        </w:tc>
        <w:tc>
          <w:tcPr>
            <w:tcW w:w="709" w:type="dxa"/>
            <w:vAlign w:val="center"/>
          </w:tcPr>
          <w:p w14:paraId="66F5E9FC" w14:textId="77777777" w:rsidR="00CC1A7C" w:rsidRPr="003953D4" w:rsidRDefault="00CC1A7C" w:rsidP="00497F1D">
            <w:pPr>
              <w:pStyle w:val="TableText"/>
              <w:keepNext/>
              <w:jc w:val="center"/>
              <w:rPr>
                <w:lang w:eastAsia="en-NZ"/>
              </w:rPr>
            </w:pPr>
            <w:r w:rsidRPr="00501296">
              <w:t>17</w:t>
            </w:r>
          </w:p>
        </w:tc>
        <w:tc>
          <w:tcPr>
            <w:tcW w:w="1138" w:type="dxa"/>
            <w:vAlign w:val="center"/>
          </w:tcPr>
          <w:p w14:paraId="031E6515" w14:textId="77777777" w:rsidR="00CC1A7C" w:rsidRPr="003953D4" w:rsidRDefault="00CC1A7C" w:rsidP="00497F1D">
            <w:pPr>
              <w:pStyle w:val="TableText"/>
              <w:keepNext/>
              <w:jc w:val="center"/>
              <w:rPr>
                <w:lang w:eastAsia="en-NZ"/>
              </w:rPr>
            </w:pPr>
            <w:r w:rsidRPr="00501296">
              <w:t>1.8</w:t>
            </w:r>
          </w:p>
        </w:tc>
      </w:tr>
      <w:tr w:rsidR="00CC1A7C" w:rsidRPr="003953D4" w14:paraId="50093CDD" w14:textId="77777777" w:rsidTr="00497F1D">
        <w:trPr>
          <w:cantSplit/>
        </w:trPr>
        <w:tc>
          <w:tcPr>
            <w:tcW w:w="1644" w:type="dxa"/>
            <w:shd w:val="clear" w:color="auto" w:fill="auto"/>
            <w:noWrap/>
            <w:hideMark/>
          </w:tcPr>
          <w:p w14:paraId="07D046FD" w14:textId="77777777" w:rsidR="00CC1A7C" w:rsidRPr="003953D4" w:rsidRDefault="00CC1A7C" w:rsidP="00497F1D">
            <w:pPr>
              <w:pStyle w:val="TableText"/>
              <w:keepNext/>
              <w:rPr>
                <w:lang w:eastAsia="en-NZ"/>
              </w:rPr>
            </w:pPr>
            <w:r w:rsidRPr="003953D4">
              <w:rPr>
                <w:lang w:eastAsia="en-NZ"/>
              </w:rPr>
              <w:t>Counties Manukau</w:t>
            </w:r>
          </w:p>
        </w:tc>
        <w:tc>
          <w:tcPr>
            <w:tcW w:w="709" w:type="dxa"/>
            <w:shd w:val="clear" w:color="auto" w:fill="auto"/>
            <w:noWrap/>
            <w:vAlign w:val="center"/>
            <w:hideMark/>
          </w:tcPr>
          <w:p w14:paraId="5C40046B" w14:textId="77777777" w:rsidR="00CC1A7C" w:rsidRPr="003953D4" w:rsidRDefault="00CC1A7C" w:rsidP="00497F1D">
            <w:pPr>
              <w:pStyle w:val="TableText"/>
              <w:keepNext/>
              <w:tabs>
                <w:tab w:val="decimal" w:pos="454"/>
              </w:tabs>
              <w:jc w:val="center"/>
              <w:rPr>
                <w:lang w:eastAsia="en-NZ"/>
              </w:rPr>
            </w:pPr>
            <w:r w:rsidRPr="00501296">
              <w:t>66</w:t>
            </w:r>
          </w:p>
        </w:tc>
        <w:tc>
          <w:tcPr>
            <w:tcW w:w="709" w:type="dxa"/>
            <w:shd w:val="clear" w:color="auto" w:fill="auto"/>
            <w:noWrap/>
            <w:vAlign w:val="center"/>
            <w:hideMark/>
          </w:tcPr>
          <w:p w14:paraId="1EF652AB" w14:textId="77777777" w:rsidR="00CC1A7C" w:rsidRPr="003953D4" w:rsidRDefault="00CC1A7C" w:rsidP="00497F1D">
            <w:pPr>
              <w:pStyle w:val="TableText"/>
              <w:keepNext/>
              <w:tabs>
                <w:tab w:val="decimal" w:pos="445"/>
              </w:tabs>
              <w:jc w:val="center"/>
              <w:rPr>
                <w:lang w:eastAsia="en-NZ"/>
              </w:rPr>
            </w:pPr>
            <w:r w:rsidRPr="00501296">
              <w:t>17</w:t>
            </w:r>
          </w:p>
        </w:tc>
        <w:tc>
          <w:tcPr>
            <w:tcW w:w="1127" w:type="dxa"/>
            <w:shd w:val="clear" w:color="auto" w:fill="auto"/>
            <w:noWrap/>
            <w:vAlign w:val="center"/>
            <w:hideMark/>
          </w:tcPr>
          <w:p w14:paraId="6ACE1CC5" w14:textId="77777777" w:rsidR="00CC1A7C" w:rsidRPr="003953D4" w:rsidRDefault="00CC1A7C" w:rsidP="00497F1D">
            <w:pPr>
              <w:pStyle w:val="TableText"/>
              <w:keepNext/>
              <w:jc w:val="center"/>
              <w:rPr>
                <w:lang w:eastAsia="en-NZ"/>
              </w:rPr>
            </w:pPr>
            <w:r w:rsidRPr="00501296">
              <w:t>4.0</w:t>
            </w:r>
          </w:p>
        </w:tc>
        <w:tc>
          <w:tcPr>
            <w:tcW w:w="290" w:type="dxa"/>
            <w:tcBorders>
              <w:top w:val="nil"/>
              <w:bottom w:val="nil"/>
            </w:tcBorders>
            <w:shd w:val="clear" w:color="auto" w:fill="auto"/>
            <w:vAlign w:val="center"/>
          </w:tcPr>
          <w:p w14:paraId="0032A9AE" w14:textId="77777777" w:rsidR="00CC1A7C" w:rsidRPr="003953D4" w:rsidRDefault="00CC1A7C" w:rsidP="00497F1D">
            <w:pPr>
              <w:pStyle w:val="TableText"/>
              <w:keepNext/>
              <w:rPr>
                <w:lang w:eastAsia="en-NZ"/>
              </w:rPr>
            </w:pPr>
          </w:p>
        </w:tc>
        <w:tc>
          <w:tcPr>
            <w:tcW w:w="1560" w:type="dxa"/>
            <w:vAlign w:val="center"/>
          </w:tcPr>
          <w:p w14:paraId="32A43248" w14:textId="77777777" w:rsidR="00CC1A7C" w:rsidRPr="003953D4" w:rsidRDefault="00CC1A7C" w:rsidP="00497F1D">
            <w:pPr>
              <w:pStyle w:val="TableText"/>
              <w:keepNext/>
              <w:rPr>
                <w:lang w:eastAsia="en-NZ"/>
              </w:rPr>
            </w:pPr>
            <w:r w:rsidRPr="003953D4">
              <w:rPr>
                <w:lang w:eastAsia="en-NZ"/>
              </w:rPr>
              <w:t>Taranaki</w:t>
            </w:r>
          </w:p>
        </w:tc>
        <w:tc>
          <w:tcPr>
            <w:tcW w:w="708" w:type="dxa"/>
            <w:vAlign w:val="center"/>
          </w:tcPr>
          <w:p w14:paraId="6029C53A" w14:textId="77777777" w:rsidR="00CC1A7C" w:rsidRPr="003953D4" w:rsidRDefault="00CC1A7C" w:rsidP="00497F1D">
            <w:pPr>
              <w:pStyle w:val="TableText"/>
              <w:keepNext/>
              <w:tabs>
                <w:tab w:val="decimal" w:pos="454"/>
              </w:tabs>
              <w:jc w:val="center"/>
              <w:rPr>
                <w:lang w:eastAsia="en-NZ"/>
              </w:rPr>
            </w:pPr>
            <w:r w:rsidRPr="00501296">
              <w:t>130</w:t>
            </w:r>
          </w:p>
        </w:tc>
        <w:tc>
          <w:tcPr>
            <w:tcW w:w="709" w:type="dxa"/>
            <w:vAlign w:val="center"/>
          </w:tcPr>
          <w:p w14:paraId="3D803ED4" w14:textId="77777777" w:rsidR="00CC1A7C" w:rsidRPr="003953D4" w:rsidRDefault="00CC1A7C" w:rsidP="00497F1D">
            <w:pPr>
              <w:pStyle w:val="TableText"/>
              <w:keepNext/>
              <w:jc w:val="center"/>
              <w:rPr>
                <w:lang w:eastAsia="en-NZ"/>
              </w:rPr>
            </w:pPr>
            <w:r w:rsidRPr="00501296">
              <w:t>46</w:t>
            </w:r>
          </w:p>
        </w:tc>
        <w:tc>
          <w:tcPr>
            <w:tcW w:w="1138" w:type="dxa"/>
            <w:vAlign w:val="center"/>
          </w:tcPr>
          <w:p w14:paraId="7BF70F0C" w14:textId="77777777" w:rsidR="00CC1A7C" w:rsidRPr="003953D4" w:rsidRDefault="00CC1A7C" w:rsidP="00497F1D">
            <w:pPr>
              <w:pStyle w:val="TableText"/>
              <w:keepNext/>
              <w:jc w:val="center"/>
              <w:rPr>
                <w:lang w:eastAsia="en-NZ"/>
              </w:rPr>
            </w:pPr>
            <w:r w:rsidRPr="00501296">
              <w:t>2.9</w:t>
            </w:r>
          </w:p>
        </w:tc>
      </w:tr>
      <w:tr w:rsidR="00CC1A7C" w:rsidRPr="003953D4" w14:paraId="4C882C86" w14:textId="77777777" w:rsidTr="00497F1D">
        <w:trPr>
          <w:cantSplit/>
        </w:trPr>
        <w:tc>
          <w:tcPr>
            <w:tcW w:w="1644" w:type="dxa"/>
            <w:shd w:val="clear" w:color="auto" w:fill="auto"/>
            <w:noWrap/>
            <w:hideMark/>
          </w:tcPr>
          <w:p w14:paraId="0D70CDB8" w14:textId="77777777" w:rsidR="00CC1A7C" w:rsidRPr="003953D4" w:rsidRDefault="00CC1A7C" w:rsidP="00497F1D">
            <w:pPr>
              <w:pStyle w:val="TableText"/>
              <w:keepNext/>
              <w:rPr>
                <w:lang w:eastAsia="en-NZ"/>
              </w:rPr>
            </w:pPr>
            <w:r w:rsidRPr="003953D4">
              <w:rPr>
                <w:lang w:eastAsia="en-NZ"/>
              </w:rPr>
              <w:t>Hawke’s Bay</w:t>
            </w:r>
          </w:p>
        </w:tc>
        <w:tc>
          <w:tcPr>
            <w:tcW w:w="709" w:type="dxa"/>
            <w:shd w:val="clear" w:color="auto" w:fill="auto"/>
            <w:noWrap/>
            <w:vAlign w:val="center"/>
            <w:hideMark/>
          </w:tcPr>
          <w:p w14:paraId="3B90C0BE" w14:textId="77777777" w:rsidR="00CC1A7C" w:rsidRPr="003953D4" w:rsidRDefault="00CC1A7C" w:rsidP="00497F1D">
            <w:pPr>
              <w:pStyle w:val="TableText"/>
              <w:keepNext/>
              <w:tabs>
                <w:tab w:val="decimal" w:pos="454"/>
              </w:tabs>
              <w:jc w:val="center"/>
              <w:rPr>
                <w:lang w:eastAsia="en-NZ"/>
              </w:rPr>
            </w:pPr>
            <w:r w:rsidRPr="00501296">
              <w:t>47</w:t>
            </w:r>
          </w:p>
        </w:tc>
        <w:tc>
          <w:tcPr>
            <w:tcW w:w="709" w:type="dxa"/>
            <w:shd w:val="clear" w:color="auto" w:fill="auto"/>
            <w:noWrap/>
            <w:vAlign w:val="center"/>
            <w:hideMark/>
          </w:tcPr>
          <w:p w14:paraId="3B3F1C01" w14:textId="77777777" w:rsidR="00CC1A7C" w:rsidRPr="003953D4" w:rsidRDefault="00CC1A7C" w:rsidP="00497F1D">
            <w:pPr>
              <w:pStyle w:val="TableText"/>
              <w:keepNext/>
              <w:tabs>
                <w:tab w:val="decimal" w:pos="445"/>
              </w:tabs>
              <w:jc w:val="center"/>
              <w:rPr>
                <w:lang w:eastAsia="en-NZ"/>
              </w:rPr>
            </w:pPr>
            <w:r w:rsidRPr="00501296">
              <w:t>17</w:t>
            </w:r>
          </w:p>
        </w:tc>
        <w:tc>
          <w:tcPr>
            <w:tcW w:w="1127" w:type="dxa"/>
            <w:shd w:val="clear" w:color="auto" w:fill="auto"/>
            <w:noWrap/>
            <w:vAlign w:val="center"/>
            <w:hideMark/>
          </w:tcPr>
          <w:p w14:paraId="7F222A2D" w14:textId="77777777" w:rsidR="00CC1A7C" w:rsidRPr="003953D4" w:rsidRDefault="00CC1A7C" w:rsidP="00497F1D">
            <w:pPr>
              <w:pStyle w:val="TableText"/>
              <w:keepNext/>
              <w:jc w:val="center"/>
              <w:rPr>
                <w:lang w:eastAsia="en-NZ"/>
              </w:rPr>
            </w:pPr>
            <w:r w:rsidRPr="00501296">
              <w:t>2.8</w:t>
            </w:r>
          </w:p>
        </w:tc>
        <w:tc>
          <w:tcPr>
            <w:tcW w:w="290" w:type="dxa"/>
            <w:tcBorders>
              <w:top w:val="nil"/>
              <w:bottom w:val="nil"/>
            </w:tcBorders>
            <w:shd w:val="clear" w:color="auto" w:fill="auto"/>
          </w:tcPr>
          <w:p w14:paraId="5CB8FC0E" w14:textId="77777777" w:rsidR="00CC1A7C" w:rsidRPr="003953D4" w:rsidRDefault="00CC1A7C" w:rsidP="00497F1D">
            <w:pPr>
              <w:pStyle w:val="TableText"/>
              <w:keepNext/>
              <w:rPr>
                <w:lang w:eastAsia="en-NZ"/>
              </w:rPr>
            </w:pPr>
          </w:p>
        </w:tc>
        <w:tc>
          <w:tcPr>
            <w:tcW w:w="1560" w:type="dxa"/>
          </w:tcPr>
          <w:p w14:paraId="3FAA7ABB" w14:textId="77777777" w:rsidR="00CC1A7C" w:rsidRPr="003953D4" w:rsidRDefault="00CC1A7C" w:rsidP="00497F1D">
            <w:pPr>
              <w:pStyle w:val="TableText"/>
              <w:keepNext/>
              <w:rPr>
                <w:lang w:eastAsia="en-NZ"/>
              </w:rPr>
            </w:pPr>
            <w:r w:rsidRPr="003953D4">
              <w:rPr>
                <w:lang w:eastAsia="en-NZ"/>
              </w:rPr>
              <w:t>Waikato</w:t>
            </w:r>
          </w:p>
        </w:tc>
        <w:tc>
          <w:tcPr>
            <w:tcW w:w="708" w:type="dxa"/>
            <w:vAlign w:val="center"/>
          </w:tcPr>
          <w:p w14:paraId="0A332304" w14:textId="77777777" w:rsidR="00CC1A7C" w:rsidRPr="003953D4" w:rsidRDefault="00CC1A7C" w:rsidP="00497F1D">
            <w:pPr>
              <w:pStyle w:val="TableText"/>
              <w:keepNext/>
              <w:tabs>
                <w:tab w:val="decimal" w:pos="454"/>
              </w:tabs>
              <w:jc w:val="center"/>
              <w:rPr>
                <w:lang w:eastAsia="en-NZ"/>
              </w:rPr>
            </w:pPr>
            <w:r w:rsidRPr="00501296">
              <w:t>36</w:t>
            </w:r>
          </w:p>
        </w:tc>
        <w:tc>
          <w:tcPr>
            <w:tcW w:w="709" w:type="dxa"/>
            <w:vAlign w:val="center"/>
          </w:tcPr>
          <w:p w14:paraId="66D30414" w14:textId="77777777" w:rsidR="00CC1A7C" w:rsidRPr="003953D4" w:rsidRDefault="00CC1A7C" w:rsidP="00497F1D">
            <w:pPr>
              <w:pStyle w:val="TableText"/>
              <w:keepNext/>
              <w:jc w:val="center"/>
              <w:rPr>
                <w:lang w:eastAsia="en-NZ"/>
              </w:rPr>
            </w:pPr>
            <w:r w:rsidRPr="00501296">
              <w:t>9</w:t>
            </w:r>
          </w:p>
        </w:tc>
        <w:tc>
          <w:tcPr>
            <w:tcW w:w="1138" w:type="dxa"/>
            <w:vAlign w:val="center"/>
          </w:tcPr>
          <w:p w14:paraId="485052E0" w14:textId="77777777" w:rsidR="00CC1A7C" w:rsidRPr="003953D4" w:rsidRDefault="00CC1A7C" w:rsidP="00497F1D">
            <w:pPr>
              <w:pStyle w:val="TableText"/>
              <w:keepNext/>
              <w:jc w:val="center"/>
              <w:rPr>
                <w:lang w:eastAsia="en-NZ"/>
              </w:rPr>
            </w:pPr>
            <w:r w:rsidRPr="00501296">
              <w:t>3.8</w:t>
            </w:r>
          </w:p>
        </w:tc>
      </w:tr>
      <w:tr w:rsidR="00CC1A7C" w:rsidRPr="003953D4" w14:paraId="3167FEAF" w14:textId="77777777" w:rsidTr="00497F1D">
        <w:trPr>
          <w:cantSplit/>
        </w:trPr>
        <w:tc>
          <w:tcPr>
            <w:tcW w:w="1644" w:type="dxa"/>
            <w:shd w:val="clear" w:color="auto" w:fill="auto"/>
            <w:noWrap/>
            <w:hideMark/>
          </w:tcPr>
          <w:p w14:paraId="1F20DFA8" w14:textId="77777777" w:rsidR="00CC1A7C" w:rsidRPr="003953D4" w:rsidRDefault="00CC1A7C" w:rsidP="00497F1D">
            <w:pPr>
              <w:pStyle w:val="TableText"/>
              <w:keepNext/>
              <w:rPr>
                <w:lang w:eastAsia="en-NZ"/>
              </w:rPr>
            </w:pPr>
            <w:r w:rsidRPr="003953D4">
              <w:rPr>
                <w:lang w:eastAsia="en-NZ"/>
              </w:rPr>
              <w:t>Hutt Valley</w:t>
            </w:r>
          </w:p>
        </w:tc>
        <w:tc>
          <w:tcPr>
            <w:tcW w:w="709" w:type="dxa"/>
            <w:shd w:val="clear" w:color="auto" w:fill="auto"/>
            <w:noWrap/>
            <w:vAlign w:val="center"/>
            <w:hideMark/>
          </w:tcPr>
          <w:p w14:paraId="4B30F4BD" w14:textId="77777777" w:rsidR="00CC1A7C" w:rsidRPr="003953D4" w:rsidRDefault="00CC1A7C" w:rsidP="00497F1D">
            <w:pPr>
              <w:pStyle w:val="TableText"/>
              <w:keepNext/>
              <w:tabs>
                <w:tab w:val="decimal" w:pos="454"/>
              </w:tabs>
              <w:jc w:val="center"/>
              <w:rPr>
                <w:lang w:eastAsia="en-NZ"/>
              </w:rPr>
            </w:pPr>
            <w:r w:rsidRPr="00501296">
              <w:t>107</w:t>
            </w:r>
          </w:p>
        </w:tc>
        <w:tc>
          <w:tcPr>
            <w:tcW w:w="709" w:type="dxa"/>
            <w:shd w:val="clear" w:color="auto" w:fill="auto"/>
            <w:noWrap/>
            <w:vAlign w:val="center"/>
            <w:hideMark/>
          </w:tcPr>
          <w:p w14:paraId="3029E628" w14:textId="77777777" w:rsidR="00CC1A7C" w:rsidRPr="003953D4" w:rsidRDefault="00CC1A7C" w:rsidP="00497F1D">
            <w:pPr>
              <w:pStyle w:val="TableText"/>
              <w:keepNext/>
              <w:tabs>
                <w:tab w:val="decimal" w:pos="445"/>
              </w:tabs>
              <w:jc w:val="center"/>
              <w:rPr>
                <w:lang w:eastAsia="en-NZ"/>
              </w:rPr>
            </w:pPr>
            <w:r w:rsidRPr="00501296">
              <w:t>29</w:t>
            </w:r>
          </w:p>
        </w:tc>
        <w:tc>
          <w:tcPr>
            <w:tcW w:w="1127" w:type="dxa"/>
            <w:shd w:val="clear" w:color="auto" w:fill="auto"/>
            <w:noWrap/>
            <w:vAlign w:val="center"/>
            <w:hideMark/>
          </w:tcPr>
          <w:p w14:paraId="526F4ACC" w14:textId="77777777" w:rsidR="00CC1A7C" w:rsidRPr="003953D4" w:rsidRDefault="00CC1A7C" w:rsidP="00497F1D">
            <w:pPr>
              <w:pStyle w:val="TableText"/>
              <w:keepNext/>
              <w:jc w:val="center"/>
              <w:rPr>
                <w:lang w:eastAsia="en-NZ"/>
              </w:rPr>
            </w:pPr>
            <w:r w:rsidRPr="00501296">
              <w:t>3.7</w:t>
            </w:r>
          </w:p>
        </w:tc>
        <w:tc>
          <w:tcPr>
            <w:tcW w:w="290" w:type="dxa"/>
            <w:tcBorders>
              <w:top w:val="nil"/>
              <w:bottom w:val="nil"/>
            </w:tcBorders>
            <w:shd w:val="clear" w:color="auto" w:fill="auto"/>
          </w:tcPr>
          <w:p w14:paraId="12954BC7" w14:textId="77777777" w:rsidR="00CC1A7C" w:rsidRPr="003953D4" w:rsidRDefault="00CC1A7C" w:rsidP="00497F1D">
            <w:pPr>
              <w:pStyle w:val="TableText"/>
              <w:keepNext/>
              <w:rPr>
                <w:lang w:eastAsia="en-NZ"/>
              </w:rPr>
            </w:pPr>
          </w:p>
        </w:tc>
        <w:tc>
          <w:tcPr>
            <w:tcW w:w="1560" w:type="dxa"/>
          </w:tcPr>
          <w:p w14:paraId="0488D8B4" w14:textId="77777777" w:rsidR="00CC1A7C" w:rsidRPr="003953D4" w:rsidRDefault="00CC1A7C" w:rsidP="00497F1D">
            <w:pPr>
              <w:pStyle w:val="TableText"/>
              <w:keepNext/>
              <w:rPr>
                <w:lang w:eastAsia="en-NZ"/>
              </w:rPr>
            </w:pPr>
            <w:r w:rsidRPr="003953D4">
              <w:rPr>
                <w:lang w:eastAsia="en-NZ"/>
              </w:rPr>
              <w:t>Wairarapa</w:t>
            </w:r>
          </w:p>
        </w:tc>
        <w:tc>
          <w:tcPr>
            <w:tcW w:w="708" w:type="dxa"/>
            <w:vAlign w:val="center"/>
          </w:tcPr>
          <w:p w14:paraId="10EE28D7" w14:textId="77777777" w:rsidR="00CC1A7C" w:rsidRPr="003953D4" w:rsidRDefault="00CC1A7C" w:rsidP="00497F1D">
            <w:pPr>
              <w:pStyle w:val="TableText"/>
              <w:keepNext/>
              <w:tabs>
                <w:tab w:val="decimal" w:pos="454"/>
              </w:tabs>
              <w:jc w:val="center"/>
              <w:rPr>
                <w:lang w:eastAsia="en-NZ"/>
              </w:rPr>
            </w:pPr>
            <w:r w:rsidRPr="00501296">
              <w:t>134</w:t>
            </w:r>
          </w:p>
        </w:tc>
        <w:tc>
          <w:tcPr>
            <w:tcW w:w="709" w:type="dxa"/>
            <w:vAlign w:val="center"/>
          </w:tcPr>
          <w:p w14:paraId="1BA18378" w14:textId="77777777" w:rsidR="00CC1A7C" w:rsidRPr="003953D4" w:rsidRDefault="00CC1A7C" w:rsidP="00497F1D">
            <w:pPr>
              <w:pStyle w:val="TableText"/>
              <w:keepNext/>
              <w:jc w:val="center"/>
              <w:rPr>
                <w:lang w:eastAsia="en-NZ"/>
              </w:rPr>
            </w:pPr>
            <w:r w:rsidRPr="00501296">
              <w:t>48</w:t>
            </w:r>
          </w:p>
        </w:tc>
        <w:tc>
          <w:tcPr>
            <w:tcW w:w="1138" w:type="dxa"/>
            <w:vAlign w:val="center"/>
          </w:tcPr>
          <w:p w14:paraId="1E3D5163" w14:textId="77777777" w:rsidR="00CC1A7C" w:rsidRPr="003953D4" w:rsidRDefault="00CC1A7C" w:rsidP="00497F1D">
            <w:pPr>
              <w:pStyle w:val="TableText"/>
              <w:keepNext/>
              <w:jc w:val="center"/>
              <w:rPr>
                <w:lang w:eastAsia="en-NZ"/>
              </w:rPr>
            </w:pPr>
            <w:r w:rsidRPr="00501296">
              <w:t>2.8</w:t>
            </w:r>
          </w:p>
        </w:tc>
      </w:tr>
      <w:tr w:rsidR="00CC1A7C" w:rsidRPr="003953D4" w14:paraId="7AB2F7AC" w14:textId="77777777" w:rsidTr="00497F1D">
        <w:trPr>
          <w:cantSplit/>
        </w:trPr>
        <w:tc>
          <w:tcPr>
            <w:tcW w:w="1644" w:type="dxa"/>
            <w:shd w:val="clear" w:color="auto" w:fill="auto"/>
            <w:noWrap/>
            <w:hideMark/>
          </w:tcPr>
          <w:p w14:paraId="7DA2507E" w14:textId="77777777" w:rsidR="00CC1A7C" w:rsidRPr="003953D4" w:rsidRDefault="00CC1A7C" w:rsidP="00497F1D">
            <w:pPr>
              <w:pStyle w:val="TableText"/>
              <w:keepNext/>
              <w:rPr>
                <w:lang w:eastAsia="en-NZ"/>
              </w:rPr>
            </w:pPr>
            <w:r w:rsidRPr="003953D4">
              <w:rPr>
                <w:lang w:eastAsia="en-NZ"/>
              </w:rPr>
              <w:t>Lakes</w:t>
            </w:r>
          </w:p>
        </w:tc>
        <w:tc>
          <w:tcPr>
            <w:tcW w:w="709" w:type="dxa"/>
            <w:shd w:val="clear" w:color="auto" w:fill="auto"/>
            <w:noWrap/>
            <w:vAlign w:val="center"/>
            <w:hideMark/>
          </w:tcPr>
          <w:p w14:paraId="56F6F892" w14:textId="77777777" w:rsidR="00CC1A7C" w:rsidRPr="003953D4" w:rsidRDefault="00CC1A7C" w:rsidP="00497F1D">
            <w:pPr>
              <w:pStyle w:val="TableText"/>
              <w:keepNext/>
              <w:tabs>
                <w:tab w:val="decimal" w:pos="454"/>
              </w:tabs>
              <w:jc w:val="center"/>
              <w:rPr>
                <w:lang w:eastAsia="en-NZ"/>
              </w:rPr>
            </w:pPr>
            <w:r w:rsidRPr="00501296">
              <w:t>67</w:t>
            </w:r>
          </w:p>
        </w:tc>
        <w:tc>
          <w:tcPr>
            <w:tcW w:w="709" w:type="dxa"/>
            <w:shd w:val="clear" w:color="auto" w:fill="auto"/>
            <w:noWrap/>
            <w:vAlign w:val="center"/>
            <w:hideMark/>
          </w:tcPr>
          <w:p w14:paraId="5BAACA2F" w14:textId="77777777" w:rsidR="00CC1A7C" w:rsidRPr="003953D4" w:rsidRDefault="00CC1A7C" w:rsidP="00497F1D">
            <w:pPr>
              <w:pStyle w:val="TableText"/>
              <w:keepNext/>
              <w:tabs>
                <w:tab w:val="decimal" w:pos="445"/>
              </w:tabs>
              <w:jc w:val="center"/>
              <w:rPr>
                <w:lang w:eastAsia="en-NZ"/>
              </w:rPr>
            </w:pPr>
            <w:r w:rsidRPr="003953D4">
              <w:t>26</w:t>
            </w:r>
          </w:p>
        </w:tc>
        <w:tc>
          <w:tcPr>
            <w:tcW w:w="1127" w:type="dxa"/>
            <w:shd w:val="clear" w:color="auto" w:fill="auto"/>
            <w:noWrap/>
            <w:vAlign w:val="center"/>
            <w:hideMark/>
          </w:tcPr>
          <w:p w14:paraId="421B626A" w14:textId="77777777" w:rsidR="00CC1A7C" w:rsidRPr="003953D4" w:rsidRDefault="00CC1A7C" w:rsidP="00497F1D">
            <w:pPr>
              <w:pStyle w:val="TableText"/>
              <w:keepNext/>
              <w:jc w:val="center"/>
              <w:rPr>
                <w:lang w:eastAsia="en-NZ"/>
              </w:rPr>
            </w:pPr>
            <w:r w:rsidRPr="00501296">
              <w:t>2.6</w:t>
            </w:r>
          </w:p>
        </w:tc>
        <w:tc>
          <w:tcPr>
            <w:tcW w:w="290" w:type="dxa"/>
            <w:tcBorders>
              <w:top w:val="nil"/>
              <w:bottom w:val="nil"/>
            </w:tcBorders>
            <w:shd w:val="clear" w:color="auto" w:fill="auto"/>
          </w:tcPr>
          <w:p w14:paraId="2F9B4138" w14:textId="77777777" w:rsidR="00CC1A7C" w:rsidRPr="003953D4" w:rsidRDefault="00CC1A7C" w:rsidP="00497F1D">
            <w:pPr>
              <w:pStyle w:val="TableText"/>
              <w:keepNext/>
              <w:rPr>
                <w:lang w:eastAsia="en-NZ"/>
              </w:rPr>
            </w:pPr>
          </w:p>
        </w:tc>
        <w:tc>
          <w:tcPr>
            <w:tcW w:w="1560" w:type="dxa"/>
          </w:tcPr>
          <w:p w14:paraId="7221CA79" w14:textId="77777777" w:rsidR="00CC1A7C" w:rsidRPr="003953D4" w:rsidRDefault="00CC1A7C" w:rsidP="00497F1D">
            <w:pPr>
              <w:pStyle w:val="TableText"/>
              <w:keepNext/>
              <w:rPr>
                <w:lang w:eastAsia="en-NZ"/>
              </w:rPr>
            </w:pPr>
            <w:r w:rsidRPr="003953D4">
              <w:rPr>
                <w:lang w:eastAsia="en-NZ"/>
              </w:rPr>
              <w:t>Waitematā</w:t>
            </w:r>
          </w:p>
        </w:tc>
        <w:tc>
          <w:tcPr>
            <w:tcW w:w="708" w:type="dxa"/>
            <w:vAlign w:val="center"/>
          </w:tcPr>
          <w:p w14:paraId="15616897" w14:textId="77777777" w:rsidR="00CC1A7C" w:rsidRPr="003953D4" w:rsidRDefault="00CC1A7C" w:rsidP="00497F1D">
            <w:pPr>
              <w:pStyle w:val="TableText"/>
              <w:keepNext/>
              <w:tabs>
                <w:tab w:val="decimal" w:pos="454"/>
              </w:tabs>
              <w:jc w:val="center"/>
              <w:rPr>
                <w:lang w:eastAsia="en-NZ"/>
              </w:rPr>
            </w:pPr>
            <w:r w:rsidRPr="00501296">
              <w:t>102</w:t>
            </w:r>
          </w:p>
        </w:tc>
        <w:tc>
          <w:tcPr>
            <w:tcW w:w="709" w:type="dxa"/>
            <w:vAlign w:val="center"/>
          </w:tcPr>
          <w:p w14:paraId="54F61A3B" w14:textId="77777777" w:rsidR="00CC1A7C" w:rsidRPr="003953D4" w:rsidRDefault="00CC1A7C" w:rsidP="00497F1D">
            <w:pPr>
              <w:pStyle w:val="TableText"/>
              <w:keepNext/>
              <w:jc w:val="center"/>
              <w:rPr>
                <w:lang w:eastAsia="en-NZ"/>
              </w:rPr>
            </w:pPr>
            <w:r w:rsidRPr="00501296">
              <w:t>35</w:t>
            </w:r>
          </w:p>
        </w:tc>
        <w:tc>
          <w:tcPr>
            <w:tcW w:w="1138" w:type="dxa"/>
            <w:vAlign w:val="center"/>
          </w:tcPr>
          <w:p w14:paraId="00593E2D" w14:textId="77777777" w:rsidR="00CC1A7C" w:rsidRPr="003953D4" w:rsidRDefault="00CC1A7C" w:rsidP="00497F1D">
            <w:pPr>
              <w:pStyle w:val="TableText"/>
              <w:keepNext/>
              <w:jc w:val="center"/>
              <w:rPr>
                <w:lang w:eastAsia="en-NZ"/>
              </w:rPr>
            </w:pPr>
            <w:r w:rsidRPr="00501296">
              <w:t>2.9</w:t>
            </w:r>
          </w:p>
        </w:tc>
      </w:tr>
      <w:tr w:rsidR="00CC1A7C" w:rsidRPr="003953D4" w14:paraId="78FF6102" w14:textId="77777777" w:rsidTr="00497F1D">
        <w:trPr>
          <w:cantSplit/>
        </w:trPr>
        <w:tc>
          <w:tcPr>
            <w:tcW w:w="1644" w:type="dxa"/>
            <w:shd w:val="clear" w:color="auto" w:fill="auto"/>
            <w:noWrap/>
            <w:hideMark/>
          </w:tcPr>
          <w:p w14:paraId="3ED46B96" w14:textId="77777777" w:rsidR="00CC1A7C" w:rsidRPr="003953D4" w:rsidRDefault="00CC1A7C" w:rsidP="00497F1D">
            <w:pPr>
              <w:pStyle w:val="TableText"/>
              <w:keepNext/>
              <w:rPr>
                <w:lang w:eastAsia="en-NZ"/>
              </w:rPr>
            </w:pPr>
            <w:r w:rsidRPr="003953D4">
              <w:rPr>
                <w:lang w:eastAsia="en-NZ"/>
              </w:rPr>
              <w:t>MidCentral</w:t>
            </w:r>
          </w:p>
        </w:tc>
        <w:tc>
          <w:tcPr>
            <w:tcW w:w="709" w:type="dxa"/>
            <w:shd w:val="clear" w:color="auto" w:fill="auto"/>
            <w:noWrap/>
            <w:vAlign w:val="center"/>
            <w:hideMark/>
          </w:tcPr>
          <w:p w14:paraId="76302325" w14:textId="77777777" w:rsidR="00CC1A7C" w:rsidRPr="003953D4" w:rsidRDefault="00CC1A7C" w:rsidP="00497F1D">
            <w:pPr>
              <w:pStyle w:val="TableText"/>
              <w:keepNext/>
              <w:tabs>
                <w:tab w:val="decimal" w:pos="454"/>
              </w:tabs>
              <w:jc w:val="center"/>
              <w:rPr>
                <w:lang w:eastAsia="en-NZ"/>
              </w:rPr>
            </w:pPr>
            <w:r w:rsidRPr="00501296">
              <w:t>137</w:t>
            </w:r>
          </w:p>
        </w:tc>
        <w:tc>
          <w:tcPr>
            <w:tcW w:w="709" w:type="dxa"/>
            <w:shd w:val="clear" w:color="auto" w:fill="auto"/>
            <w:noWrap/>
            <w:vAlign w:val="center"/>
            <w:hideMark/>
          </w:tcPr>
          <w:p w14:paraId="2FC1317D" w14:textId="77777777" w:rsidR="00CC1A7C" w:rsidRPr="003953D4" w:rsidRDefault="00CC1A7C" w:rsidP="00497F1D">
            <w:pPr>
              <w:pStyle w:val="TableText"/>
              <w:keepNext/>
              <w:tabs>
                <w:tab w:val="decimal" w:pos="445"/>
              </w:tabs>
              <w:jc w:val="center"/>
              <w:rPr>
                <w:lang w:eastAsia="en-NZ"/>
              </w:rPr>
            </w:pPr>
            <w:r w:rsidRPr="00501296">
              <w:t>45</w:t>
            </w:r>
          </w:p>
        </w:tc>
        <w:tc>
          <w:tcPr>
            <w:tcW w:w="1127" w:type="dxa"/>
            <w:shd w:val="clear" w:color="auto" w:fill="auto"/>
            <w:noWrap/>
            <w:vAlign w:val="center"/>
            <w:hideMark/>
          </w:tcPr>
          <w:p w14:paraId="21944362" w14:textId="77777777" w:rsidR="00CC1A7C" w:rsidRPr="003953D4" w:rsidRDefault="00CC1A7C" w:rsidP="00497F1D">
            <w:pPr>
              <w:pStyle w:val="TableText"/>
              <w:keepNext/>
              <w:jc w:val="center"/>
              <w:rPr>
                <w:lang w:eastAsia="en-NZ"/>
              </w:rPr>
            </w:pPr>
            <w:r w:rsidRPr="00501296">
              <w:t>3.1</w:t>
            </w:r>
          </w:p>
        </w:tc>
        <w:tc>
          <w:tcPr>
            <w:tcW w:w="290" w:type="dxa"/>
            <w:tcBorders>
              <w:top w:val="nil"/>
              <w:bottom w:val="nil"/>
            </w:tcBorders>
            <w:shd w:val="clear" w:color="auto" w:fill="auto"/>
          </w:tcPr>
          <w:p w14:paraId="4FE9B834" w14:textId="77777777" w:rsidR="00CC1A7C" w:rsidRPr="003953D4" w:rsidRDefault="00CC1A7C" w:rsidP="00497F1D">
            <w:pPr>
              <w:pStyle w:val="TableText"/>
              <w:keepNext/>
              <w:rPr>
                <w:lang w:eastAsia="en-NZ"/>
              </w:rPr>
            </w:pPr>
          </w:p>
        </w:tc>
        <w:tc>
          <w:tcPr>
            <w:tcW w:w="1560" w:type="dxa"/>
          </w:tcPr>
          <w:p w14:paraId="544C862B" w14:textId="77777777" w:rsidR="00CC1A7C" w:rsidRPr="003953D4" w:rsidRDefault="00CC1A7C" w:rsidP="00497F1D">
            <w:pPr>
              <w:pStyle w:val="TableText"/>
              <w:keepNext/>
              <w:rPr>
                <w:lang w:eastAsia="en-NZ"/>
              </w:rPr>
            </w:pPr>
            <w:r w:rsidRPr="003953D4">
              <w:rPr>
                <w:lang w:eastAsia="en-NZ"/>
              </w:rPr>
              <w:t>West Coast</w:t>
            </w:r>
          </w:p>
        </w:tc>
        <w:tc>
          <w:tcPr>
            <w:tcW w:w="708" w:type="dxa"/>
            <w:vAlign w:val="center"/>
          </w:tcPr>
          <w:p w14:paraId="16C41350" w14:textId="77777777" w:rsidR="00CC1A7C" w:rsidRPr="003953D4" w:rsidRDefault="00CC1A7C" w:rsidP="00497F1D">
            <w:pPr>
              <w:pStyle w:val="TableText"/>
              <w:keepNext/>
              <w:tabs>
                <w:tab w:val="decimal" w:pos="454"/>
              </w:tabs>
              <w:jc w:val="center"/>
              <w:rPr>
                <w:lang w:eastAsia="en-NZ"/>
              </w:rPr>
            </w:pPr>
            <w:r w:rsidRPr="00501296">
              <w:t>117</w:t>
            </w:r>
          </w:p>
        </w:tc>
        <w:tc>
          <w:tcPr>
            <w:tcW w:w="709" w:type="dxa"/>
            <w:vAlign w:val="center"/>
          </w:tcPr>
          <w:p w14:paraId="7B25A8EB" w14:textId="77777777" w:rsidR="00CC1A7C" w:rsidRPr="003953D4" w:rsidRDefault="00CC1A7C" w:rsidP="00497F1D">
            <w:pPr>
              <w:pStyle w:val="TableText"/>
              <w:keepNext/>
              <w:jc w:val="center"/>
              <w:rPr>
                <w:lang w:eastAsia="en-NZ"/>
              </w:rPr>
            </w:pPr>
            <w:r w:rsidRPr="00501296">
              <w:t>56</w:t>
            </w:r>
          </w:p>
        </w:tc>
        <w:tc>
          <w:tcPr>
            <w:tcW w:w="1138" w:type="dxa"/>
            <w:vAlign w:val="center"/>
          </w:tcPr>
          <w:p w14:paraId="6ECE3CCC" w14:textId="77777777" w:rsidR="00CC1A7C" w:rsidRPr="003953D4" w:rsidRDefault="00CC1A7C" w:rsidP="00497F1D">
            <w:pPr>
              <w:pStyle w:val="TableText"/>
              <w:keepNext/>
              <w:jc w:val="center"/>
              <w:rPr>
                <w:lang w:eastAsia="en-NZ"/>
              </w:rPr>
            </w:pPr>
            <w:r w:rsidRPr="00501296">
              <w:t>2.1</w:t>
            </w:r>
          </w:p>
        </w:tc>
      </w:tr>
      <w:tr w:rsidR="00CC1A7C" w:rsidRPr="003953D4" w14:paraId="27D4F4A4" w14:textId="77777777" w:rsidTr="00497F1D">
        <w:trPr>
          <w:cantSplit/>
        </w:trPr>
        <w:tc>
          <w:tcPr>
            <w:tcW w:w="1644" w:type="dxa"/>
            <w:tcBorders>
              <w:bottom w:val="single" w:sz="4" w:space="0" w:color="A6A6A6" w:themeColor="background1" w:themeShade="A6"/>
            </w:tcBorders>
            <w:shd w:val="clear" w:color="auto" w:fill="auto"/>
            <w:noWrap/>
            <w:hideMark/>
          </w:tcPr>
          <w:p w14:paraId="78397027" w14:textId="77777777" w:rsidR="00CC1A7C" w:rsidRPr="003953D4" w:rsidRDefault="00CC1A7C" w:rsidP="00497F1D">
            <w:pPr>
              <w:pStyle w:val="TableText"/>
              <w:rPr>
                <w:lang w:eastAsia="en-NZ"/>
              </w:rPr>
            </w:pPr>
            <w:r w:rsidRPr="003953D4">
              <w:rPr>
                <w:lang w:eastAsia="en-NZ"/>
              </w:rPr>
              <w:t>Nelson Marlborough</w:t>
            </w:r>
          </w:p>
        </w:tc>
        <w:tc>
          <w:tcPr>
            <w:tcW w:w="709" w:type="dxa"/>
            <w:tcBorders>
              <w:bottom w:val="single" w:sz="4" w:space="0" w:color="A6A6A6" w:themeColor="background1" w:themeShade="A6"/>
            </w:tcBorders>
            <w:shd w:val="clear" w:color="auto" w:fill="auto"/>
            <w:noWrap/>
            <w:vAlign w:val="center"/>
            <w:hideMark/>
          </w:tcPr>
          <w:p w14:paraId="4E906DB2" w14:textId="77777777" w:rsidR="00CC1A7C" w:rsidRPr="003953D4" w:rsidRDefault="00CC1A7C" w:rsidP="00497F1D">
            <w:pPr>
              <w:pStyle w:val="TableText"/>
              <w:tabs>
                <w:tab w:val="decimal" w:pos="454"/>
              </w:tabs>
              <w:jc w:val="center"/>
              <w:rPr>
                <w:lang w:eastAsia="en-NZ"/>
              </w:rPr>
            </w:pPr>
            <w:r w:rsidRPr="00501296">
              <w:t>99</w:t>
            </w:r>
          </w:p>
        </w:tc>
        <w:tc>
          <w:tcPr>
            <w:tcW w:w="709" w:type="dxa"/>
            <w:tcBorders>
              <w:bottom w:val="single" w:sz="4" w:space="0" w:color="A6A6A6" w:themeColor="background1" w:themeShade="A6"/>
            </w:tcBorders>
            <w:shd w:val="clear" w:color="auto" w:fill="auto"/>
            <w:noWrap/>
            <w:vAlign w:val="center"/>
            <w:hideMark/>
          </w:tcPr>
          <w:p w14:paraId="15CD244D" w14:textId="77777777" w:rsidR="00CC1A7C" w:rsidRPr="003953D4" w:rsidRDefault="00CC1A7C" w:rsidP="00497F1D">
            <w:pPr>
              <w:pStyle w:val="TableText"/>
              <w:tabs>
                <w:tab w:val="decimal" w:pos="445"/>
              </w:tabs>
              <w:jc w:val="center"/>
              <w:rPr>
                <w:lang w:eastAsia="en-NZ"/>
              </w:rPr>
            </w:pPr>
            <w:r w:rsidRPr="00501296">
              <w:t>34</w:t>
            </w:r>
          </w:p>
        </w:tc>
        <w:tc>
          <w:tcPr>
            <w:tcW w:w="1127" w:type="dxa"/>
            <w:tcBorders>
              <w:bottom w:val="single" w:sz="4" w:space="0" w:color="A6A6A6" w:themeColor="background1" w:themeShade="A6"/>
            </w:tcBorders>
            <w:shd w:val="clear" w:color="auto" w:fill="auto"/>
            <w:noWrap/>
            <w:vAlign w:val="center"/>
            <w:hideMark/>
          </w:tcPr>
          <w:p w14:paraId="79F66141" w14:textId="77777777" w:rsidR="00CC1A7C" w:rsidRPr="003953D4" w:rsidRDefault="00CC1A7C" w:rsidP="00497F1D">
            <w:pPr>
              <w:pStyle w:val="TableText"/>
              <w:jc w:val="center"/>
              <w:rPr>
                <w:lang w:eastAsia="en-NZ"/>
              </w:rPr>
            </w:pPr>
            <w:r w:rsidRPr="00501296">
              <w:t>2.9</w:t>
            </w:r>
          </w:p>
        </w:tc>
        <w:tc>
          <w:tcPr>
            <w:tcW w:w="290" w:type="dxa"/>
            <w:tcBorders>
              <w:top w:val="nil"/>
              <w:bottom w:val="nil"/>
            </w:tcBorders>
            <w:shd w:val="clear" w:color="auto" w:fill="auto"/>
          </w:tcPr>
          <w:p w14:paraId="7BFDFF28" w14:textId="77777777" w:rsidR="00CC1A7C" w:rsidRPr="003953D4" w:rsidRDefault="00CC1A7C" w:rsidP="00497F1D">
            <w:pPr>
              <w:pStyle w:val="TableText"/>
              <w:rPr>
                <w:lang w:eastAsia="en-NZ"/>
              </w:rPr>
            </w:pPr>
          </w:p>
        </w:tc>
        <w:tc>
          <w:tcPr>
            <w:tcW w:w="1560" w:type="dxa"/>
            <w:vAlign w:val="center"/>
          </w:tcPr>
          <w:p w14:paraId="5A32AE2C" w14:textId="77777777" w:rsidR="00CC1A7C" w:rsidRPr="003953D4" w:rsidRDefault="00CC1A7C" w:rsidP="00497F1D">
            <w:pPr>
              <w:pStyle w:val="TableText"/>
              <w:rPr>
                <w:lang w:eastAsia="en-NZ"/>
              </w:rPr>
            </w:pPr>
            <w:r w:rsidRPr="003953D4">
              <w:rPr>
                <w:lang w:eastAsia="en-NZ"/>
              </w:rPr>
              <w:t>Whanganui</w:t>
            </w:r>
          </w:p>
        </w:tc>
        <w:tc>
          <w:tcPr>
            <w:tcW w:w="708" w:type="dxa"/>
            <w:vAlign w:val="center"/>
          </w:tcPr>
          <w:p w14:paraId="6550A593" w14:textId="77777777" w:rsidR="00CC1A7C" w:rsidRPr="003953D4" w:rsidRDefault="00CC1A7C" w:rsidP="00497F1D">
            <w:pPr>
              <w:pStyle w:val="TableText"/>
              <w:tabs>
                <w:tab w:val="decimal" w:pos="454"/>
              </w:tabs>
              <w:jc w:val="center"/>
              <w:rPr>
                <w:lang w:eastAsia="en-NZ"/>
              </w:rPr>
            </w:pPr>
            <w:r w:rsidRPr="00501296">
              <w:t>166</w:t>
            </w:r>
          </w:p>
        </w:tc>
        <w:tc>
          <w:tcPr>
            <w:tcW w:w="709" w:type="dxa"/>
            <w:vAlign w:val="center"/>
          </w:tcPr>
          <w:p w14:paraId="61ECDF34" w14:textId="77777777" w:rsidR="00CC1A7C" w:rsidRPr="003953D4" w:rsidRDefault="00CC1A7C" w:rsidP="00497F1D">
            <w:pPr>
              <w:pStyle w:val="TableText"/>
              <w:jc w:val="center"/>
              <w:rPr>
                <w:lang w:eastAsia="en-NZ"/>
              </w:rPr>
            </w:pPr>
            <w:r w:rsidRPr="00501296">
              <w:t>81</w:t>
            </w:r>
          </w:p>
        </w:tc>
        <w:tc>
          <w:tcPr>
            <w:tcW w:w="1138" w:type="dxa"/>
            <w:vAlign w:val="center"/>
          </w:tcPr>
          <w:p w14:paraId="573BAFD2" w14:textId="77777777" w:rsidR="00CC1A7C" w:rsidRPr="003953D4" w:rsidRDefault="00CC1A7C" w:rsidP="00497F1D">
            <w:pPr>
              <w:pStyle w:val="TableText"/>
              <w:jc w:val="center"/>
              <w:rPr>
                <w:lang w:eastAsia="en-NZ"/>
              </w:rPr>
            </w:pPr>
            <w:r w:rsidRPr="00501296">
              <w:t>2.1</w:t>
            </w:r>
          </w:p>
        </w:tc>
      </w:tr>
      <w:tr w:rsidR="00CC1A7C" w:rsidRPr="003953D4" w14:paraId="20F2F6D7" w14:textId="77777777" w:rsidTr="00497F1D">
        <w:trPr>
          <w:cantSplit/>
          <w:trHeight w:val="300"/>
        </w:trPr>
        <w:tc>
          <w:tcPr>
            <w:tcW w:w="1644" w:type="dxa"/>
            <w:tcBorders>
              <w:bottom w:val="nil"/>
            </w:tcBorders>
            <w:shd w:val="clear" w:color="auto" w:fill="auto"/>
            <w:noWrap/>
            <w:hideMark/>
          </w:tcPr>
          <w:p w14:paraId="2FB9F9E4" w14:textId="77777777" w:rsidR="00CC1A7C" w:rsidRPr="003953D4" w:rsidRDefault="00CC1A7C" w:rsidP="00497F1D">
            <w:pPr>
              <w:pStyle w:val="TableText"/>
              <w:rPr>
                <w:lang w:eastAsia="en-NZ"/>
              </w:rPr>
            </w:pPr>
          </w:p>
        </w:tc>
        <w:tc>
          <w:tcPr>
            <w:tcW w:w="709" w:type="dxa"/>
            <w:tcBorders>
              <w:bottom w:val="nil"/>
            </w:tcBorders>
            <w:shd w:val="clear" w:color="auto" w:fill="auto"/>
            <w:noWrap/>
            <w:hideMark/>
          </w:tcPr>
          <w:p w14:paraId="0CB47028" w14:textId="77777777" w:rsidR="00CC1A7C" w:rsidRPr="003953D4" w:rsidRDefault="00CC1A7C" w:rsidP="00497F1D">
            <w:pPr>
              <w:pStyle w:val="TableText"/>
              <w:tabs>
                <w:tab w:val="decimal" w:pos="454"/>
              </w:tabs>
              <w:rPr>
                <w:lang w:eastAsia="en-NZ"/>
              </w:rPr>
            </w:pPr>
          </w:p>
        </w:tc>
        <w:tc>
          <w:tcPr>
            <w:tcW w:w="709" w:type="dxa"/>
            <w:tcBorders>
              <w:bottom w:val="nil"/>
            </w:tcBorders>
            <w:shd w:val="clear" w:color="auto" w:fill="auto"/>
            <w:noWrap/>
            <w:hideMark/>
          </w:tcPr>
          <w:p w14:paraId="013F5739" w14:textId="77777777" w:rsidR="00CC1A7C" w:rsidRPr="003953D4" w:rsidRDefault="00CC1A7C" w:rsidP="00497F1D">
            <w:pPr>
              <w:pStyle w:val="TableText"/>
              <w:tabs>
                <w:tab w:val="decimal" w:pos="445"/>
              </w:tabs>
              <w:rPr>
                <w:lang w:eastAsia="en-NZ"/>
              </w:rPr>
            </w:pPr>
          </w:p>
        </w:tc>
        <w:tc>
          <w:tcPr>
            <w:tcW w:w="1127" w:type="dxa"/>
            <w:tcBorders>
              <w:bottom w:val="nil"/>
            </w:tcBorders>
            <w:shd w:val="clear" w:color="auto" w:fill="auto"/>
            <w:noWrap/>
            <w:hideMark/>
          </w:tcPr>
          <w:p w14:paraId="7601CB05" w14:textId="77777777" w:rsidR="00CC1A7C" w:rsidRPr="003953D4" w:rsidRDefault="00CC1A7C" w:rsidP="00497F1D">
            <w:pPr>
              <w:pStyle w:val="TableText"/>
              <w:jc w:val="center"/>
              <w:rPr>
                <w:lang w:eastAsia="en-NZ"/>
              </w:rPr>
            </w:pPr>
          </w:p>
        </w:tc>
        <w:tc>
          <w:tcPr>
            <w:tcW w:w="290" w:type="dxa"/>
            <w:tcBorders>
              <w:top w:val="nil"/>
              <w:bottom w:val="nil"/>
            </w:tcBorders>
            <w:shd w:val="clear" w:color="auto" w:fill="auto"/>
          </w:tcPr>
          <w:p w14:paraId="3DD66A31" w14:textId="77777777" w:rsidR="00CC1A7C" w:rsidRPr="003953D4" w:rsidRDefault="00CC1A7C" w:rsidP="00497F1D">
            <w:pPr>
              <w:pStyle w:val="TableText"/>
              <w:rPr>
                <w:lang w:eastAsia="en-NZ"/>
              </w:rPr>
            </w:pPr>
          </w:p>
        </w:tc>
        <w:tc>
          <w:tcPr>
            <w:tcW w:w="1560" w:type="dxa"/>
          </w:tcPr>
          <w:p w14:paraId="65B4A40E" w14:textId="77777777" w:rsidR="00CC1A7C" w:rsidRPr="003953D4" w:rsidRDefault="00CC1A7C" w:rsidP="00497F1D">
            <w:pPr>
              <w:pStyle w:val="TableText"/>
              <w:rPr>
                <w:b/>
                <w:lang w:eastAsia="en-NZ"/>
              </w:rPr>
            </w:pPr>
            <w:r w:rsidRPr="003953D4">
              <w:rPr>
                <w:b/>
                <w:lang w:eastAsia="en-NZ"/>
              </w:rPr>
              <w:t>National</w:t>
            </w:r>
          </w:p>
        </w:tc>
        <w:tc>
          <w:tcPr>
            <w:tcW w:w="708" w:type="dxa"/>
            <w:vAlign w:val="center"/>
          </w:tcPr>
          <w:p w14:paraId="5E068726" w14:textId="77777777" w:rsidR="00CC1A7C" w:rsidRPr="003953D4" w:rsidRDefault="00CC1A7C" w:rsidP="00497F1D">
            <w:pPr>
              <w:pStyle w:val="TableText"/>
              <w:tabs>
                <w:tab w:val="decimal" w:pos="454"/>
              </w:tabs>
              <w:jc w:val="center"/>
              <w:rPr>
                <w:b/>
                <w:bCs/>
                <w:lang w:eastAsia="en-NZ"/>
              </w:rPr>
            </w:pPr>
            <w:r w:rsidRPr="00501296">
              <w:rPr>
                <w:b/>
                <w:bCs/>
              </w:rPr>
              <w:t>92</w:t>
            </w:r>
          </w:p>
        </w:tc>
        <w:tc>
          <w:tcPr>
            <w:tcW w:w="709" w:type="dxa"/>
            <w:vAlign w:val="center"/>
          </w:tcPr>
          <w:p w14:paraId="3B7BA362" w14:textId="77777777" w:rsidR="00CC1A7C" w:rsidRPr="003953D4" w:rsidRDefault="00CC1A7C" w:rsidP="00497F1D">
            <w:pPr>
              <w:pStyle w:val="TableText"/>
              <w:jc w:val="center"/>
              <w:rPr>
                <w:b/>
                <w:bCs/>
                <w:lang w:eastAsia="en-NZ"/>
              </w:rPr>
            </w:pPr>
            <w:r w:rsidRPr="00501296">
              <w:rPr>
                <w:b/>
                <w:bCs/>
              </w:rPr>
              <w:t>34</w:t>
            </w:r>
          </w:p>
        </w:tc>
        <w:tc>
          <w:tcPr>
            <w:tcW w:w="1138" w:type="dxa"/>
            <w:vAlign w:val="center"/>
          </w:tcPr>
          <w:p w14:paraId="1137B3A2" w14:textId="77777777" w:rsidR="00CC1A7C" w:rsidRPr="003953D4" w:rsidRDefault="00CC1A7C" w:rsidP="00497F1D">
            <w:pPr>
              <w:pStyle w:val="TableText"/>
              <w:jc w:val="center"/>
              <w:rPr>
                <w:b/>
                <w:bCs/>
                <w:lang w:eastAsia="en-NZ"/>
              </w:rPr>
            </w:pPr>
            <w:r w:rsidRPr="00501296">
              <w:rPr>
                <w:b/>
                <w:bCs/>
              </w:rPr>
              <w:t>2.7</w:t>
            </w:r>
          </w:p>
        </w:tc>
      </w:tr>
    </w:tbl>
    <w:p w14:paraId="372819A6" w14:textId="77777777" w:rsidR="00F1628D" w:rsidRDefault="00CC1A7C" w:rsidP="00CC1A7C">
      <w:pPr>
        <w:pStyle w:val="Source"/>
        <w:sectPr w:rsidR="00F1628D" w:rsidSect="00D4159A">
          <w:pgSz w:w="11907" w:h="16834" w:code="9"/>
          <w:pgMar w:top="1418" w:right="1701" w:bottom="1134" w:left="1843" w:header="284" w:footer="425" w:gutter="284"/>
          <w:cols w:space="720"/>
        </w:sectPr>
      </w:pPr>
      <w:r w:rsidRPr="003953D4">
        <w:t>Source</w:t>
      </w:r>
      <w:r>
        <w:t>s</w:t>
      </w:r>
      <w:r w:rsidRPr="003953D4">
        <w:t>: PRIMHD data (extracted 28 February 2024) and manual data from Health New Zealand Counties Manukau, Tairāwhiti and Waikato.</w:t>
      </w:r>
    </w:p>
    <w:p w14:paraId="1F008AE3" w14:textId="6D292A69" w:rsidR="00F1628D" w:rsidRDefault="00F1628D" w:rsidP="00F1628D">
      <w:pPr>
        <w:pStyle w:val="Figure"/>
      </w:pPr>
      <w:bookmarkStart w:id="273" w:name="_Ref141108133"/>
      <w:bookmarkStart w:id="274" w:name="_Toc85442497"/>
      <w:bookmarkStart w:id="275" w:name="_Toc85445909"/>
      <w:bookmarkStart w:id="276" w:name="_Toc87429967"/>
      <w:bookmarkStart w:id="277" w:name="_Toc88561399"/>
      <w:bookmarkStart w:id="278" w:name="_Toc115188857"/>
      <w:bookmarkStart w:id="279" w:name="_Toc189053957"/>
      <w:bookmarkStart w:id="280" w:name="_Toc189647942"/>
      <w:r>
        <w:t>Fig</w:t>
      </w:r>
      <w:r w:rsidRPr="003E0D45">
        <w:t>ure </w:t>
      </w:r>
      <w:r>
        <w:fldChar w:fldCharType="begin"/>
      </w:r>
      <w:r>
        <w:instrText>SEQ Figure \* ARABIC</w:instrText>
      </w:r>
      <w:r>
        <w:fldChar w:fldCharType="separate"/>
      </w:r>
      <w:r w:rsidR="00753BC8">
        <w:rPr>
          <w:noProof/>
        </w:rPr>
        <w:t>16</w:t>
      </w:r>
      <w:r>
        <w:fldChar w:fldCharType="end"/>
      </w:r>
      <w:bookmarkEnd w:id="273"/>
      <w:r w:rsidRPr="003E0D45">
        <w:t xml:space="preserve">: Rate ratio of Māori to non-Māori subject to indefinite community treatment orders per 100,000 population, </w:t>
      </w:r>
      <w:r>
        <w:t xml:space="preserve">by district, </w:t>
      </w:r>
      <w:r w:rsidRPr="003E0D45">
        <w:t xml:space="preserve">at </w:t>
      </w:r>
      <w:bookmarkEnd w:id="274"/>
      <w:bookmarkEnd w:id="275"/>
      <w:bookmarkEnd w:id="276"/>
      <w:bookmarkEnd w:id="277"/>
      <w:r w:rsidRPr="003E0D45">
        <w:t xml:space="preserve">30 June </w:t>
      </w:r>
      <w:bookmarkEnd w:id="278"/>
      <w:r>
        <w:t>2023</w:t>
      </w:r>
      <w:bookmarkEnd w:id="279"/>
      <w:bookmarkEnd w:id="280"/>
    </w:p>
    <w:p w14:paraId="747C4071" w14:textId="37E0153D" w:rsidR="00F1628D" w:rsidRDefault="00F1628D" w:rsidP="00F1628D">
      <w:r>
        <w:rPr>
          <w:noProof/>
        </w:rPr>
        <w:drawing>
          <wp:inline distT="0" distB="0" distL="0" distR="0" wp14:anchorId="52FA5381" wp14:editId="07140C4D">
            <wp:extent cx="5133340" cy="2895600"/>
            <wp:effectExtent l="0" t="0" r="0" b="0"/>
            <wp:docPr id="20"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133340" cy="2895600"/>
                    </a:xfrm>
                    <a:prstGeom prst="rect">
                      <a:avLst/>
                    </a:prstGeom>
                    <a:noFill/>
                  </pic:spPr>
                </pic:pic>
              </a:graphicData>
            </a:graphic>
          </wp:inline>
        </w:drawing>
      </w:r>
    </w:p>
    <w:p w14:paraId="0A6178FF" w14:textId="77777777" w:rsidR="00F1628D" w:rsidRDefault="00F1628D" w:rsidP="00F1628D">
      <w:pPr>
        <w:pStyle w:val="Source"/>
      </w:pPr>
      <w:r w:rsidRPr="00200234">
        <w:t>Source</w:t>
      </w:r>
      <w:r>
        <w:t>s</w:t>
      </w:r>
      <w:r w:rsidRPr="00200234">
        <w:t>:</w:t>
      </w:r>
      <w:r w:rsidRPr="003953D4">
        <w:t xml:space="preserve"> PRIMHD data (extracted 28 February 2024) and manual data from Health New Zealand Counties Manukau, Tairāwhiti and Waikato.</w:t>
      </w:r>
    </w:p>
    <w:p w14:paraId="586B9538" w14:textId="77777777" w:rsidR="00F1628D" w:rsidRDefault="00F1628D" w:rsidP="00F1628D">
      <w:pPr>
        <w:rPr>
          <w:lang w:eastAsia="en-US"/>
        </w:rPr>
      </w:pPr>
    </w:p>
    <w:p w14:paraId="3248633B" w14:textId="0160A512" w:rsidR="00F1628D" w:rsidRDefault="00F1628D" w:rsidP="00F1628D">
      <w:r w:rsidRPr="00711BE4">
        <w:t>On 30 June 2023, 6</w:t>
      </w:r>
      <w:r w:rsidRPr="00501296">
        <w:t>7.5</w:t>
      </w:r>
      <w:r w:rsidRPr="00711BE4">
        <w:t>% of people subject to indefinite community treatment orders were male (</w:t>
      </w:r>
      <w:r w:rsidRPr="00711BE4">
        <w:fldChar w:fldCharType="begin"/>
      </w:r>
      <w:r w:rsidRPr="00711BE4">
        <w:instrText xml:space="preserve"> REF _Ref65671919 \h </w:instrText>
      </w:r>
      <w:r>
        <w:instrText xml:space="preserve"> \* MERGEFORMAT </w:instrText>
      </w:r>
      <w:r w:rsidRPr="00711BE4">
        <w:fldChar w:fldCharType="separate"/>
      </w:r>
      <w:r w:rsidR="00753BC8">
        <w:t>Figure 17</w:t>
      </w:r>
      <w:r w:rsidRPr="00711BE4">
        <w:fldChar w:fldCharType="end"/>
      </w:r>
      <w:r w:rsidRPr="00711BE4">
        <w:t>). This trend is consistent with the higher rate of males subject to CTO applications.</w:t>
      </w:r>
    </w:p>
    <w:p w14:paraId="1E1398C4" w14:textId="77777777" w:rsidR="00F1628D" w:rsidRPr="00200234" w:rsidRDefault="00F1628D" w:rsidP="00F1628D">
      <w:bookmarkStart w:id="281" w:name="_Toc34653560"/>
    </w:p>
    <w:p w14:paraId="70D851DF" w14:textId="1B4056C8" w:rsidR="00F1628D" w:rsidRDefault="00F1628D" w:rsidP="00F1628D">
      <w:pPr>
        <w:pStyle w:val="Figure"/>
      </w:pPr>
      <w:bookmarkStart w:id="282" w:name="_Ref65671919"/>
      <w:bookmarkStart w:id="283" w:name="_Toc65574438"/>
      <w:bookmarkStart w:id="284" w:name="_Toc63764748"/>
      <w:bookmarkStart w:id="285" w:name="_Toc75176476"/>
      <w:bookmarkStart w:id="286" w:name="_Toc85442566"/>
      <w:bookmarkStart w:id="287" w:name="_Toc85445910"/>
      <w:bookmarkStart w:id="288" w:name="_Toc87429968"/>
      <w:bookmarkStart w:id="289" w:name="_Toc88561400"/>
      <w:bookmarkStart w:id="290" w:name="_Toc115188858"/>
      <w:bookmarkStart w:id="291" w:name="_Toc142314698"/>
      <w:bookmarkStart w:id="292" w:name="_Toc145394282"/>
      <w:bookmarkStart w:id="293" w:name="_Toc189053958"/>
      <w:bookmarkStart w:id="294" w:name="_Toc189647943"/>
      <w:bookmarkEnd w:id="281"/>
      <w:r>
        <w:t>Figure </w:t>
      </w:r>
      <w:r>
        <w:fldChar w:fldCharType="begin"/>
      </w:r>
      <w:r>
        <w:instrText>SEQ Figure \* ARABIC</w:instrText>
      </w:r>
      <w:r>
        <w:fldChar w:fldCharType="separate"/>
      </w:r>
      <w:r w:rsidR="00753BC8">
        <w:rPr>
          <w:noProof/>
        </w:rPr>
        <w:t>17</w:t>
      </w:r>
      <w:r>
        <w:fldChar w:fldCharType="end"/>
      </w:r>
      <w:bookmarkEnd w:id="282"/>
      <w:r w:rsidRPr="00200234">
        <w:t xml:space="preserve">: </w:t>
      </w:r>
      <w:r w:rsidRPr="00D62CEB">
        <w:t xml:space="preserve">Number of people subject to indefinite community treatment orders, by </w:t>
      </w:r>
      <w:r>
        <w:t>gender</w:t>
      </w:r>
      <w:r w:rsidRPr="00D62CEB">
        <w:t xml:space="preserve"> and ethnicity, </w:t>
      </w:r>
      <w:bookmarkEnd w:id="283"/>
      <w:bookmarkEnd w:id="284"/>
      <w:bookmarkEnd w:id="285"/>
      <w:bookmarkEnd w:id="286"/>
      <w:bookmarkEnd w:id="287"/>
      <w:bookmarkEnd w:id="288"/>
      <w:bookmarkEnd w:id="289"/>
      <w:r>
        <w:t>at</w:t>
      </w:r>
      <w:r w:rsidRPr="00D62CEB">
        <w:t xml:space="preserve"> 30 June 202</w:t>
      </w:r>
      <w:r>
        <w:t>3</w:t>
      </w:r>
      <w:bookmarkEnd w:id="290"/>
      <w:bookmarkEnd w:id="291"/>
      <w:bookmarkEnd w:id="292"/>
      <w:bookmarkEnd w:id="293"/>
      <w:bookmarkEnd w:id="294"/>
    </w:p>
    <w:p w14:paraId="1C92DFF6" w14:textId="016F7C6E" w:rsidR="00F1628D" w:rsidRPr="00F1628D" w:rsidRDefault="00F1628D" w:rsidP="00F1628D">
      <w:r>
        <w:rPr>
          <w:noProof/>
        </w:rPr>
        <w:drawing>
          <wp:inline distT="0" distB="0" distL="0" distR="0" wp14:anchorId="0896389D" wp14:editId="2728999A">
            <wp:extent cx="5325942" cy="2944091"/>
            <wp:effectExtent l="0" t="0" r="0" b="8890"/>
            <wp:docPr id="21"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a:extLst>
                        <a:ext uri="{C183D7F6-B498-43B3-948B-1728B52AA6E4}">
                          <adec:decorative xmlns:adec="http://schemas.microsoft.com/office/drawing/2017/decorative" val="1"/>
                        </a:ext>
                      </a:extLst>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344725" cy="2954474"/>
                    </a:xfrm>
                    <a:prstGeom prst="rect">
                      <a:avLst/>
                    </a:prstGeom>
                    <a:noFill/>
                  </pic:spPr>
                </pic:pic>
              </a:graphicData>
            </a:graphic>
          </wp:inline>
        </w:drawing>
      </w:r>
    </w:p>
    <w:p w14:paraId="7E3632D1" w14:textId="77777777" w:rsidR="00F1628D" w:rsidRDefault="00F1628D" w:rsidP="00F1628D">
      <w:pPr>
        <w:pStyle w:val="Source"/>
      </w:pPr>
      <w:r w:rsidRPr="00200234">
        <w:t>Source</w:t>
      </w:r>
      <w:r>
        <w:t>s</w:t>
      </w:r>
      <w:r w:rsidRPr="00200234">
        <w:t>:</w:t>
      </w:r>
      <w:r w:rsidRPr="003953D4">
        <w:t xml:space="preserve"> PRIMHD data (extracted 28 February 2024) and manual data from Health New Zealand Counties Manukau, Tairāwhiti and Waikato.</w:t>
      </w:r>
    </w:p>
    <w:p w14:paraId="00487E15" w14:textId="17CB0DCC" w:rsidR="00F1628D" w:rsidRDefault="00F1628D" w:rsidP="00F1628D">
      <w:pPr>
        <w:pStyle w:val="Source"/>
      </w:pPr>
    </w:p>
    <w:p w14:paraId="63DD039A" w14:textId="30E02980" w:rsidR="00F1628D" w:rsidRDefault="00F1628D" w:rsidP="00F1628D"/>
    <w:p w14:paraId="22A4E553" w14:textId="2AFE621E" w:rsidR="00F1628D" w:rsidRDefault="00F1628D" w:rsidP="00F1628D"/>
    <w:p w14:paraId="6416AC31" w14:textId="77777777" w:rsidR="00F1628D" w:rsidRPr="00200234" w:rsidRDefault="00F1628D" w:rsidP="00F1628D">
      <w:pPr>
        <w:pStyle w:val="Heading2"/>
      </w:pPr>
      <w:bookmarkStart w:id="295" w:name="_Toc65236599"/>
      <w:bookmarkStart w:id="296" w:name="_Toc75176441"/>
      <w:bookmarkStart w:id="297" w:name="_Toc87429910"/>
      <w:bookmarkStart w:id="298" w:name="_Toc88826958"/>
      <w:bookmarkStart w:id="299" w:name="_Toc115188808"/>
      <w:bookmarkStart w:id="300" w:name="_Toc145394236"/>
      <w:bookmarkStart w:id="301" w:name="_Toc189053906"/>
      <w:bookmarkStart w:id="302" w:name="_Toc189647895"/>
      <w:r w:rsidRPr="00200234">
        <w:t>Indefinite inpatient treatment orders</w:t>
      </w:r>
      <w:bookmarkEnd w:id="295"/>
      <w:bookmarkEnd w:id="296"/>
      <w:bookmarkEnd w:id="297"/>
      <w:bookmarkEnd w:id="298"/>
      <w:bookmarkEnd w:id="299"/>
      <w:bookmarkEnd w:id="300"/>
      <w:bookmarkEnd w:id="301"/>
      <w:bookmarkEnd w:id="302"/>
    </w:p>
    <w:p w14:paraId="54D8C504" w14:textId="32F21F91" w:rsidR="00F1628D" w:rsidRDefault="00F1628D" w:rsidP="00F1628D">
      <w:r>
        <w:t>In</w:t>
      </w:r>
      <w:r w:rsidRPr="00834AA2">
        <w:t xml:space="preserve"> Aotearoa</w:t>
      </w:r>
      <w:r>
        <w:t xml:space="preserve"> New Zealand</w:t>
      </w:r>
      <w:r w:rsidRPr="00834AA2">
        <w:t>, 3.</w:t>
      </w:r>
      <w:r w:rsidRPr="00501296">
        <w:t>3</w:t>
      </w:r>
      <w:r w:rsidRPr="00834AA2">
        <w:t xml:space="preserve"> people per 100,000 </w:t>
      </w:r>
      <w:r>
        <w:t>people in</w:t>
      </w:r>
      <w:r w:rsidRPr="00834AA2">
        <w:t xml:space="preserve"> the general population were subject to indefinite inpatient treatment orders. </w:t>
      </w:r>
      <w:r w:rsidRPr="00834AA2">
        <w:fldChar w:fldCharType="begin"/>
      </w:r>
      <w:r w:rsidRPr="00834AA2">
        <w:instrText xml:space="preserve"> REF _Ref65671941 \h </w:instrText>
      </w:r>
      <w:r>
        <w:instrText xml:space="preserve"> \* MERGEFORMAT </w:instrText>
      </w:r>
      <w:r w:rsidRPr="00834AA2">
        <w:fldChar w:fldCharType="separate"/>
      </w:r>
      <w:r w:rsidR="00753BC8" w:rsidRPr="006C0D6E">
        <w:t>Figure </w:t>
      </w:r>
      <w:r w:rsidR="00753BC8">
        <w:t>18</w:t>
      </w:r>
      <w:r w:rsidRPr="00834AA2">
        <w:fldChar w:fldCharType="end"/>
      </w:r>
      <w:r w:rsidRPr="00834AA2">
        <w:t xml:space="preserve"> shows the rates of indefinite inpatient treatment orders in each </w:t>
      </w:r>
      <w:r w:rsidRPr="00501296">
        <w:t>district</w:t>
      </w:r>
      <w:r w:rsidRPr="00834AA2">
        <w:t xml:space="preserve">, per 100,000 </w:t>
      </w:r>
      <w:r>
        <w:t>people in</w:t>
      </w:r>
      <w:r w:rsidRPr="00834AA2">
        <w:t xml:space="preserve"> the general population</w:t>
      </w:r>
      <w:r>
        <w:t>,</w:t>
      </w:r>
      <w:r w:rsidRPr="00834AA2">
        <w:t xml:space="preserve"> on 30 June 2023</w:t>
      </w:r>
      <w:r w:rsidRPr="00200234">
        <w:t>.</w:t>
      </w:r>
    </w:p>
    <w:p w14:paraId="1B0B15E7" w14:textId="77777777" w:rsidR="00F1628D" w:rsidRPr="00200234" w:rsidRDefault="00F1628D" w:rsidP="00F1628D"/>
    <w:p w14:paraId="13540488" w14:textId="77777777" w:rsidR="00F1628D" w:rsidRDefault="00F1628D" w:rsidP="00F1628D">
      <w:r w:rsidRPr="00200234">
        <w:t xml:space="preserve">Some services may have </w:t>
      </w:r>
      <w:r>
        <w:t xml:space="preserve">a </w:t>
      </w:r>
      <w:r w:rsidRPr="00200234">
        <w:t xml:space="preserve">higher </w:t>
      </w:r>
      <w:r>
        <w:t>rate</w:t>
      </w:r>
      <w:r w:rsidRPr="00200234">
        <w:t xml:space="preserve"> of indefinite inpatient </w:t>
      </w:r>
      <w:r>
        <w:t xml:space="preserve">treatment </w:t>
      </w:r>
      <w:r w:rsidRPr="00200234">
        <w:t>orders because they care for more patients with forensic and intellectual disability needs</w:t>
      </w:r>
      <w:r>
        <w:t xml:space="preserve"> but the nature of their presentation makes a Mental Health Act order appropriate for them</w:t>
      </w:r>
      <w:r w:rsidRPr="00200234">
        <w:t xml:space="preserve">. </w:t>
      </w:r>
      <w:r>
        <w:t>Some services such as those in Capital &amp; Coast district have a</w:t>
      </w:r>
      <w:r w:rsidDel="00E83A2E">
        <w:t xml:space="preserve"> </w:t>
      </w:r>
      <w:r>
        <w:t xml:space="preserve">national unit. </w:t>
      </w:r>
      <w:r w:rsidRPr="00200234">
        <w:t>Smaller services may be less likely to offer long-term inpatient care for people with complex needs.</w:t>
      </w:r>
      <w:r>
        <w:t xml:space="preserve"> </w:t>
      </w:r>
      <w:r w:rsidRPr="00041B4F">
        <w:t>In 202</w:t>
      </w:r>
      <w:r w:rsidRPr="00501296">
        <w:t>2/23</w:t>
      </w:r>
      <w:r w:rsidRPr="00041B4F">
        <w:t xml:space="preserve">, Lakes, South Canterbury, Tairāwhiti, Wairarapa </w:t>
      </w:r>
      <w:r w:rsidRPr="00501296">
        <w:t xml:space="preserve">and West Coast districts </w:t>
      </w:r>
      <w:r w:rsidRPr="00041B4F">
        <w:t>had no individuals on indefinite inpatient treatment orders.</w:t>
      </w:r>
    </w:p>
    <w:p w14:paraId="193E7F12" w14:textId="77777777" w:rsidR="00F1628D" w:rsidRDefault="00F1628D" w:rsidP="00F1628D"/>
    <w:p w14:paraId="0D9D88B8" w14:textId="3CBA4146" w:rsidR="00F1628D" w:rsidRDefault="00F1628D" w:rsidP="00F1628D">
      <w:pPr>
        <w:pStyle w:val="Figure"/>
      </w:pPr>
      <w:bookmarkStart w:id="303" w:name="_Ref65671941"/>
      <w:bookmarkStart w:id="304" w:name="_Toc75176477"/>
      <w:bookmarkStart w:id="305" w:name="_Toc85442567"/>
      <w:bookmarkStart w:id="306" w:name="_Toc85445911"/>
      <w:bookmarkStart w:id="307" w:name="_Toc87429969"/>
      <w:bookmarkStart w:id="308" w:name="_Toc88561401"/>
      <w:bookmarkStart w:id="309" w:name="_Toc115188859"/>
      <w:bookmarkStart w:id="310" w:name="_Toc142314700"/>
      <w:bookmarkStart w:id="311" w:name="_Toc145394283"/>
      <w:bookmarkStart w:id="312" w:name="_Toc189053959"/>
      <w:bookmarkStart w:id="313" w:name="_Toc189647944"/>
      <w:r w:rsidRPr="006C0D6E">
        <w:t>Figure </w:t>
      </w:r>
      <w:r>
        <w:fldChar w:fldCharType="begin"/>
      </w:r>
      <w:r>
        <w:instrText>SEQ Figure \* ARABIC</w:instrText>
      </w:r>
      <w:r>
        <w:fldChar w:fldCharType="separate"/>
      </w:r>
      <w:r w:rsidR="00753BC8">
        <w:rPr>
          <w:noProof/>
        </w:rPr>
        <w:t>18</w:t>
      </w:r>
      <w:r>
        <w:fldChar w:fldCharType="end"/>
      </w:r>
      <w:bookmarkEnd w:id="303"/>
      <w:r w:rsidRPr="006C0D6E">
        <w:t xml:space="preserve">: Number of people subject to indefinite inpatient treatment orders per 100,000 population, by </w:t>
      </w:r>
      <w:r>
        <w:t>district</w:t>
      </w:r>
      <w:r w:rsidRPr="006C0D6E">
        <w:t xml:space="preserve">, </w:t>
      </w:r>
      <w:r w:rsidRPr="00AB49A6">
        <w:t>at 30 June 202</w:t>
      </w:r>
      <w:r>
        <w:t>3</w:t>
      </w:r>
      <w:bookmarkEnd w:id="304"/>
      <w:bookmarkEnd w:id="305"/>
      <w:bookmarkEnd w:id="306"/>
      <w:bookmarkEnd w:id="307"/>
      <w:bookmarkEnd w:id="308"/>
      <w:bookmarkEnd w:id="309"/>
      <w:bookmarkEnd w:id="310"/>
      <w:bookmarkEnd w:id="311"/>
      <w:bookmarkEnd w:id="312"/>
      <w:bookmarkEnd w:id="313"/>
    </w:p>
    <w:p w14:paraId="0811495D" w14:textId="42B40483" w:rsidR="00F1628D" w:rsidRDefault="00F1628D" w:rsidP="00993CEF">
      <w:r>
        <w:rPr>
          <w:noProof/>
        </w:rPr>
        <w:drawing>
          <wp:inline distT="0" distB="0" distL="0" distR="0" wp14:anchorId="25E9FA7F" wp14:editId="5B996230">
            <wp:extent cx="5140037" cy="3070368"/>
            <wp:effectExtent l="0" t="0" r="3810" b="0"/>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a:extLst>
                        <a:ext uri="{C183D7F6-B498-43B3-948B-1728B52AA6E4}">
                          <adec:decorative xmlns:adec="http://schemas.microsoft.com/office/drawing/2017/decorative" val="1"/>
                        </a:ext>
                      </a:extLst>
                    </pic:cNvPr>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161173" cy="3082994"/>
                    </a:xfrm>
                    <a:prstGeom prst="rect">
                      <a:avLst/>
                    </a:prstGeom>
                    <a:noFill/>
                  </pic:spPr>
                </pic:pic>
              </a:graphicData>
            </a:graphic>
          </wp:inline>
        </w:drawing>
      </w:r>
    </w:p>
    <w:p w14:paraId="263271E6" w14:textId="77777777" w:rsidR="00F1628D" w:rsidRPr="00D81187" w:rsidRDefault="00F1628D" w:rsidP="00F1628D">
      <w:pPr>
        <w:pStyle w:val="Note"/>
      </w:pPr>
      <w:r w:rsidRPr="00200234">
        <w:t>No</w:t>
      </w:r>
      <w:r w:rsidRPr="00D81187">
        <w:t xml:space="preserve">te: </w:t>
      </w:r>
      <w:r w:rsidRPr="00501296">
        <w:t xml:space="preserve">Health New Zealand </w:t>
      </w:r>
      <w:r w:rsidRPr="00D81187">
        <w:t xml:space="preserve">Wairarapa </w:t>
      </w:r>
      <w:r>
        <w:t xml:space="preserve">had no </w:t>
      </w:r>
      <w:r w:rsidRPr="00D81187">
        <w:t>inpatient service, and</w:t>
      </w:r>
      <w:r w:rsidRPr="00501296">
        <w:t xml:space="preserve"> Health New Zealand</w:t>
      </w:r>
      <w:r w:rsidRPr="00D81187">
        <w:t xml:space="preserve"> Lakes, South Canterbury</w:t>
      </w:r>
      <w:r w:rsidRPr="00501296">
        <w:t>,</w:t>
      </w:r>
      <w:r w:rsidRPr="00D81187">
        <w:t xml:space="preserve"> Tairāwhiti</w:t>
      </w:r>
      <w:r w:rsidRPr="00501296">
        <w:t xml:space="preserve"> and West Coast</w:t>
      </w:r>
      <w:r w:rsidRPr="00D81187">
        <w:t xml:space="preserve"> had no indefinite inpatient treatment orders so </w:t>
      </w:r>
      <w:r w:rsidRPr="00501296">
        <w:t>they</w:t>
      </w:r>
      <w:r w:rsidRPr="00D81187">
        <w:t xml:space="preserve"> are not shown in this figure.</w:t>
      </w:r>
    </w:p>
    <w:p w14:paraId="7848516E" w14:textId="77777777" w:rsidR="00F1628D" w:rsidRPr="00D81187" w:rsidRDefault="00F1628D" w:rsidP="00F1628D">
      <w:pPr>
        <w:pStyle w:val="Source"/>
      </w:pPr>
      <w:r w:rsidRPr="00D81187">
        <w:t>Sources: PRIMHD data (extracted 28 February 2024) and manual data from Health New Zealand Counties Manukau, Tairāwhiti and Waikato.</w:t>
      </w:r>
    </w:p>
    <w:p w14:paraId="0968D0BE" w14:textId="77777777" w:rsidR="00F1628D" w:rsidRPr="00D81187" w:rsidRDefault="00F1628D" w:rsidP="00F1628D"/>
    <w:p w14:paraId="151CAC2B" w14:textId="59320D0A" w:rsidR="00F1628D" w:rsidRDefault="00F1628D" w:rsidP="00F1628D">
      <w:r w:rsidRPr="00D81187">
        <w:t xml:space="preserve">Nationwide during this time, Māori were </w:t>
      </w:r>
      <w:r w:rsidRPr="00501296">
        <w:t>3.8</w:t>
      </w:r>
      <w:r w:rsidRPr="00D81187">
        <w:t xml:space="preserve"> times more likely to be subject to an indefinite inpatient treatment order than non-Māori. </w:t>
      </w:r>
      <w:r w:rsidRPr="00D81187">
        <w:fldChar w:fldCharType="begin"/>
      </w:r>
      <w:r w:rsidRPr="00D81187">
        <w:instrText xml:space="preserve"> REF _Ref85448958 \h </w:instrText>
      </w:r>
      <w:r>
        <w:instrText xml:space="preserve"> \* MERGEFORMAT </w:instrText>
      </w:r>
      <w:r w:rsidRPr="00D81187">
        <w:fldChar w:fldCharType="separate"/>
      </w:r>
      <w:r w:rsidR="00753BC8">
        <w:t>Table 7</w:t>
      </w:r>
      <w:r w:rsidRPr="00D81187">
        <w:fldChar w:fldCharType="end"/>
      </w:r>
      <w:r w:rsidRPr="00D81187">
        <w:rPr>
          <w:noProof/>
        </w:rPr>
        <w:t xml:space="preserve"> and</w:t>
      </w:r>
      <w:r>
        <w:rPr>
          <w:noProof/>
        </w:rPr>
        <w:t xml:space="preserve"> </w:t>
      </w:r>
      <w:r>
        <w:rPr>
          <w:noProof/>
        </w:rPr>
        <w:fldChar w:fldCharType="begin"/>
      </w:r>
      <w:r>
        <w:rPr>
          <w:noProof/>
        </w:rPr>
        <w:instrText xml:space="preserve"> REF _Ref141108376 \h </w:instrText>
      </w:r>
      <w:r>
        <w:rPr>
          <w:noProof/>
        </w:rPr>
      </w:r>
      <w:r>
        <w:rPr>
          <w:noProof/>
        </w:rPr>
        <w:fldChar w:fldCharType="separate"/>
      </w:r>
      <w:r w:rsidR="00753BC8">
        <w:t>Figure </w:t>
      </w:r>
      <w:r w:rsidR="00753BC8">
        <w:rPr>
          <w:noProof/>
        </w:rPr>
        <w:t>19</w:t>
      </w:r>
      <w:r>
        <w:rPr>
          <w:noProof/>
        </w:rPr>
        <w:fldChar w:fldCharType="end"/>
      </w:r>
      <w:r w:rsidRPr="00200234">
        <w:t xml:space="preserve"> show the rate ratio of Māori to non-Māori subject to indefinite inpatient treatment orders in each </w:t>
      </w:r>
      <w:r>
        <w:t>district</w:t>
      </w:r>
      <w:r w:rsidRPr="00200234">
        <w:t xml:space="preserve"> per 100,000 people</w:t>
      </w:r>
      <w:r>
        <w:t xml:space="preserve"> in the general population</w:t>
      </w:r>
      <w:r w:rsidRPr="00200234">
        <w:t>.</w:t>
      </w:r>
    </w:p>
    <w:p w14:paraId="0805A85E" w14:textId="77777777" w:rsidR="00F1628D" w:rsidRDefault="00F1628D" w:rsidP="00F1628D"/>
    <w:p w14:paraId="15CA9821" w14:textId="38C0B18E" w:rsidR="00F1628D" w:rsidRDefault="00F1628D" w:rsidP="00F1628D">
      <w:pPr>
        <w:pStyle w:val="Table"/>
      </w:pPr>
      <w:bookmarkStart w:id="314" w:name="_Ref85448958"/>
      <w:bookmarkStart w:id="315" w:name="_Toc87430005"/>
      <w:bookmarkStart w:id="316" w:name="_Toc88561362"/>
      <w:bookmarkStart w:id="317" w:name="_Toc115188896"/>
      <w:bookmarkStart w:id="318" w:name="_Toc142314758"/>
      <w:bookmarkStart w:id="319" w:name="_Toc145394320"/>
      <w:bookmarkStart w:id="320" w:name="_Toc189053998"/>
      <w:bookmarkStart w:id="321" w:name="_Toc189647983"/>
      <w:r>
        <w:t>Table </w:t>
      </w:r>
      <w:r>
        <w:fldChar w:fldCharType="begin"/>
      </w:r>
      <w:r>
        <w:instrText>SEQ Table \* ARABIC</w:instrText>
      </w:r>
      <w:r>
        <w:fldChar w:fldCharType="separate"/>
      </w:r>
      <w:r w:rsidR="00753BC8">
        <w:rPr>
          <w:noProof/>
        </w:rPr>
        <w:t>7</w:t>
      </w:r>
      <w:r>
        <w:fldChar w:fldCharType="end"/>
      </w:r>
      <w:bookmarkEnd w:id="314"/>
      <w:r w:rsidRPr="00712EFD">
        <w:t xml:space="preserve">: </w:t>
      </w:r>
      <w:r w:rsidRPr="006C0D6E">
        <w:t>Rate ratio of Māori to non-Māori subject to indefinite inpatient treatment orders per 100,000 population,</w:t>
      </w:r>
      <w:r>
        <w:t xml:space="preserve"> by district,</w:t>
      </w:r>
      <w:r w:rsidRPr="006C0D6E">
        <w:t xml:space="preserve"> at </w:t>
      </w:r>
      <w:bookmarkEnd w:id="315"/>
      <w:bookmarkEnd w:id="316"/>
      <w:r w:rsidRPr="006C0D6E">
        <w:t>30 June 202</w:t>
      </w:r>
      <w:r>
        <w:t>3</w:t>
      </w:r>
      <w:bookmarkEnd w:id="317"/>
      <w:bookmarkEnd w:id="318"/>
      <w:bookmarkEnd w:id="319"/>
      <w:bookmarkEnd w:id="320"/>
      <w:bookmarkEnd w:id="321"/>
    </w:p>
    <w:tbl>
      <w:tblPr>
        <w:tblW w:w="8140" w:type="dxa"/>
        <w:tblInd w:w="57" w:type="dxa"/>
        <w:tblBorders>
          <w:top w:val="single" w:sz="4" w:space="0" w:color="A6A6A6" w:themeColor="background1" w:themeShade="A6"/>
          <w:bottom w:val="single" w:sz="4" w:space="0" w:color="A6A6A6" w:themeColor="background1" w:themeShade="A6"/>
          <w:insideH w:val="single" w:sz="4" w:space="0" w:color="A6A6A6" w:themeColor="background1" w:themeShade="A6"/>
        </w:tblBorders>
        <w:tblLayout w:type="fixed"/>
        <w:tblCellMar>
          <w:left w:w="57" w:type="dxa"/>
          <w:right w:w="57" w:type="dxa"/>
        </w:tblCellMar>
        <w:tblLook w:val="04A0" w:firstRow="1" w:lastRow="0" w:firstColumn="1" w:lastColumn="0" w:noHBand="0" w:noVBand="1"/>
      </w:tblPr>
      <w:tblGrid>
        <w:gridCol w:w="1230"/>
        <w:gridCol w:w="755"/>
        <w:gridCol w:w="851"/>
        <w:gridCol w:w="1032"/>
        <w:gridCol w:w="396"/>
        <w:gridCol w:w="1350"/>
        <w:gridCol w:w="765"/>
        <w:gridCol w:w="709"/>
        <w:gridCol w:w="1052"/>
      </w:tblGrid>
      <w:tr w:rsidR="00F1628D" w:rsidRPr="00107996" w14:paraId="6CDF0A05" w14:textId="77777777" w:rsidTr="00497F1D">
        <w:trPr>
          <w:cantSplit/>
          <w:trHeight w:val="300"/>
        </w:trPr>
        <w:tc>
          <w:tcPr>
            <w:tcW w:w="1230" w:type="dxa"/>
            <w:tcBorders>
              <w:top w:val="nil"/>
              <w:bottom w:val="nil"/>
            </w:tcBorders>
            <w:shd w:val="clear" w:color="auto" w:fill="D9D9D9" w:themeFill="background1" w:themeFillShade="D9"/>
            <w:noWrap/>
            <w:vAlign w:val="bottom"/>
            <w:hideMark/>
          </w:tcPr>
          <w:p w14:paraId="183AE40F" w14:textId="77777777" w:rsidR="00F1628D" w:rsidRPr="00107996" w:rsidRDefault="00F1628D" w:rsidP="00497F1D">
            <w:pPr>
              <w:pStyle w:val="TableText"/>
              <w:keepNext/>
              <w:rPr>
                <w:b/>
                <w:lang w:eastAsia="en-NZ"/>
              </w:rPr>
            </w:pPr>
            <w:r w:rsidRPr="00501296">
              <w:rPr>
                <w:b/>
                <w:lang w:eastAsia="en-NZ"/>
              </w:rPr>
              <w:t>District</w:t>
            </w:r>
          </w:p>
        </w:tc>
        <w:tc>
          <w:tcPr>
            <w:tcW w:w="755" w:type="dxa"/>
            <w:tcBorders>
              <w:top w:val="nil"/>
              <w:bottom w:val="nil"/>
            </w:tcBorders>
            <w:shd w:val="clear" w:color="auto" w:fill="D9D9D9" w:themeFill="background1" w:themeFillShade="D9"/>
            <w:vAlign w:val="bottom"/>
            <w:hideMark/>
          </w:tcPr>
          <w:p w14:paraId="264BE486" w14:textId="77777777" w:rsidR="00F1628D" w:rsidRPr="00107996" w:rsidRDefault="00F1628D" w:rsidP="00497F1D">
            <w:pPr>
              <w:pStyle w:val="TableText"/>
              <w:keepNext/>
              <w:jc w:val="center"/>
              <w:rPr>
                <w:b/>
                <w:lang w:eastAsia="en-NZ"/>
              </w:rPr>
            </w:pPr>
            <w:r w:rsidRPr="00107996">
              <w:rPr>
                <w:b/>
                <w:lang w:eastAsia="en-NZ"/>
              </w:rPr>
              <w:t>Māori</w:t>
            </w:r>
          </w:p>
        </w:tc>
        <w:tc>
          <w:tcPr>
            <w:tcW w:w="851" w:type="dxa"/>
            <w:tcBorders>
              <w:top w:val="nil"/>
              <w:bottom w:val="nil"/>
            </w:tcBorders>
            <w:shd w:val="clear" w:color="auto" w:fill="D9D9D9" w:themeFill="background1" w:themeFillShade="D9"/>
            <w:vAlign w:val="bottom"/>
            <w:hideMark/>
          </w:tcPr>
          <w:p w14:paraId="488AB0B0" w14:textId="77777777" w:rsidR="00F1628D" w:rsidRPr="00107996" w:rsidRDefault="00F1628D" w:rsidP="00497F1D">
            <w:pPr>
              <w:pStyle w:val="TableText"/>
              <w:keepNext/>
              <w:jc w:val="center"/>
              <w:rPr>
                <w:b/>
                <w:lang w:eastAsia="en-NZ"/>
              </w:rPr>
            </w:pPr>
            <w:r w:rsidRPr="00107996">
              <w:rPr>
                <w:b/>
                <w:lang w:eastAsia="en-NZ"/>
              </w:rPr>
              <w:t>Non-Māori</w:t>
            </w:r>
          </w:p>
        </w:tc>
        <w:tc>
          <w:tcPr>
            <w:tcW w:w="1032" w:type="dxa"/>
            <w:tcBorders>
              <w:top w:val="nil"/>
              <w:bottom w:val="nil"/>
            </w:tcBorders>
            <w:shd w:val="clear" w:color="auto" w:fill="D9D9D9" w:themeFill="background1" w:themeFillShade="D9"/>
            <w:vAlign w:val="bottom"/>
            <w:hideMark/>
          </w:tcPr>
          <w:p w14:paraId="0BA918C5" w14:textId="77777777" w:rsidR="00F1628D" w:rsidRPr="00107996" w:rsidRDefault="00F1628D" w:rsidP="00497F1D">
            <w:pPr>
              <w:pStyle w:val="TableText"/>
              <w:keepNext/>
              <w:jc w:val="center"/>
              <w:rPr>
                <w:b/>
                <w:lang w:eastAsia="en-NZ"/>
              </w:rPr>
            </w:pPr>
            <w:r w:rsidRPr="00107996">
              <w:rPr>
                <w:b/>
                <w:lang w:eastAsia="en-NZ"/>
              </w:rPr>
              <w:t xml:space="preserve">Rate ratio Māori </w:t>
            </w:r>
            <w:r>
              <w:rPr>
                <w:b/>
                <w:lang w:eastAsia="en-NZ"/>
              </w:rPr>
              <w:t>to</w:t>
            </w:r>
            <w:r w:rsidRPr="00107996">
              <w:rPr>
                <w:b/>
                <w:lang w:eastAsia="en-NZ"/>
              </w:rPr>
              <w:t xml:space="preserve"> non-Māori</w:t>
            </w:r>
          </w:p>
        </w:tc>
        <w:tc>
          <w:tcPr>
            <w:tcW w:w="396" w:type="dxa"/>
            <w:tcBorders>
              <w:top w:val="nil"/>
              <w:bottom w:val="nil"/>
            </w:tcBorders>
            <w:shd w:val="clear" w:color="auto" w:fill="auto"/>
            <w:vAlign w:val="bottom"/>
          </w:tcPr>
          <w:p w14:paraId="71280652" w14:textId="77777777" w:rsidR="00F1628D" w:rsidRPr="00107996" w:rsidRDefault="00F1628D" w:rsidP="00497F1D">
            <w:pPr>
              <w:pStyle w:val="TableText"/>
              <w:keepNext/>
              <w:rPr>
                <w:b/>
                <w:lang w:eastAsia="en-NZ"/>
              </w:rPr>
            </w:pPr>
          </w:p>
        </w:tc>
        <w:tc>
          <w:tcPr>
            <w:tcW w:w="1350" w:type="dxa"/>
            <w:tcBorders>
              <w:top w:val="nil"/>
              <w:bottom w:val="nil"/>
            </w:tcBorders>
            <w:shd w:val="clear" w:color="auto" w:fill="D9D9D9" w:themeFill="background1" w:themeFillShade="D9"/>
            <w:vAlign w:val="bottom"/>
          </w:tcPr>
          <w:p w14:paraId="27875FF1" w14:textId="77777777" w:rsidR="00F1628D" w:rsidRPr="00107996" w:rsidRDefault="00F1628D" w:rsidP="00497F1D">
            <w:pPr>
              <w:pStyle w:val="TableText"/>
              <w:keepNext/>
              <w:rPr>
                <w:b/>
                <w:lang w:eastAsia="en-NZ"/>
              </w:rPr>
            </w:pPr>
            <w:r w:rsidRPr="00501296">
              <w:rPr>
                <w:b/>
                <w:lang w:eastAsia="en-NZ"/>
              </w:rPr>
              <w:t>District</w:t>
            </w:r>
          </w:p>
        </w:tc>
        <w:tc>
          <w:tcPr>
            <w:tcW w:w="765" w:type="dxa"/>
            <w:tcBorders>
              <w:top w:val="nil"/>
              <w:bottom w:val="nil"/>
            </w:tcBorders>
            <w:shd w:val="clear" w:color="auto" w:fill="D9D9D9" w:themeFill="background1" w:themeFillShade="D9"/>
            <w:vAlign w:val="bottom"/>
          </w:tcPr>
          <w:p w14:paraId="0F78669D" w14:textId="77777777" w:rsidR="00F1628D" w:rsidRPr="00107996" w:rsidRDefault="00F1628D" w:rsidP="00497F1D">
            <w:pPr>
              <w:pStyle w:val="TableText"/>
              <w:keepNext/>
              <w:jc w:val="center"/>
              <w:rPr>
                <w:b/>
                <w:lang w:eastAsia="en-NZ"/>
              </w:rPr>
            </w:pPr>
            <w:r w:rsidRPr="00107996">
              <w:rPr>
                <w:b/>
                <w:lang w:eastAsia="en-NZ"/>
              </w:rPr>
              <w:t>Māori</w:t>
            </w:r>
          </w:p>
        </w:tc>
        <w:tc>
          <w:tcPr>
            <w:tcW w:w="709" w:type="dxa"/>
            <w:tcBorders>
              <w:top w:val="nil"/>
              <w:bottom w:val="nil"/>
            </w:tcBorders>
            <w:shd w:val="clear" w:color="auto" w:fill="D9D9D9" w:themeFill="background1" w:themeFillShade="D9"/>
            <w:vAlign w:val="bottom"/>
          </w:tcPr>
          <w:p w14:paraId="19054225" w14:textId="77777777" w:rsidR="00F1628D" w:rsidRPr="00107996" w:rsidRDefault="00F1628D" w:rsidP="00497F1D">
            <w:pPr>
              <w:pStyle w:val="TableText"/>
              <w:keepNext/>
              <w:jc w:val="center"/>
              <w:rPr>
                <w:b/>
                <w:lang w:eastAsia="en-NZ"/>
              </w:rPr>
            </w:pPr>
            <w:r w:rsidRPr="00107996">
              <w:rPr>
                <w:b/>
                <w:lang w:eastAsia="en-NZ"/>
              </w:rPr>
              <w:t>Non-Māori</w:t>
            </w:r>
          </w:p>
        </w:tc>
        <w:tc>
          <w:tcPr>
            <w:tcW w:w="1052" w:type="dxa"/>
            <w:tcBorders>
              <w:top w:val="nil"/>
              <w:bottom w:val="nil"/>
            </w:tcBorders>
            <w:shd w:val="clear" w:color="auto" w:fill="D9D9D9" w:themeFill="background1" w:themeFillShade="D9"/>
            <w:vAlign w:val="bottom"/>
          </w:tcPr>
          <w:p w14:paraId="79C74640" w14:textId="77777777" w:rsidR="00F1628D" w:rsidRPr="00107996" w:rsidRDefault="00F1628D" w:rsidP="00497F1D">
            <w:pPr>
              <w:pStyle w:val="TableText"/>
              <w:keepNext/>
              <w:jc w:val="center"/>
              <w:rPr>
                <w:b/>
                <w:lang w:eastAsia="en-NZ"/>
              </w:rPr>
            </w:pPr>
            <w:r w:rsidRPr="00107996">
              <w:rPr>
                <w:b/>
                <w:lang w:eastAsia="en-NZ"/>
              </w:rPr>
              <w:t xml:space="preserve">Rate ratio Māori </w:t>
            </w:r>
            <w:r>
              <w:rPr>
                <w:b/>
                <w:lang w:eastAsia="en-NZ"/>
              </w:rPr>
              <w:t>to</w:t>
            </w:r>
            <w:r w:rsidRPr="00107996">
              <w:rPr>
                <w:b/>
                <w:lang w:eastAsia="en-NZ"/>
              </w:rPr>
              <w:t xml:space="preserve"> non-Māori</w:t>
            </w:r>
          </w:p>
        </w:tc>
      </w:tr>
      <w:tr w:rsidR="00F1628D" w:rsidRPr="00107996" w14:paraId="4EC2BE96" w14:textId="77777777" w:rsidTr="00497F1D">
        <w:trPr>
          <w:cantSplit/>
          <w:trHeight w:val="300"/>
        </w:trPr>
        <w:tc>
          <w:tcPr>
            <w:tcW w:w="1230" w:type="dxa"/>
            <w:tcBorders>
              <w:top w:val="nil"/>
            </w:tcBorders>
            <w:shd w:val="clear" w:color="auto" w:fill="auto"/>
            <w:noWrap/>
            <w:hideMark/>
          </w:tcPr>
          <w:p w14:paraId="43905CEC" w14:textId="77777777" w:rsidR="00F1628D" w:rsidRPr="00107996" w:rsidRDefault="00F1628D" w:rsidP="00497F1D">
            <w:pPr>
              <w:pStyle w:val="TableText"/>
              <w:keepNext/>
              <w:rPr>
                <w:lang w:eastAsia="en-NZ"/>
              </w:rPr>
            </w:pPr>
            <w:r w:rsidRPr="00107996">
              <w:rPr>
                <w:lang w:eastAsia="en-NZ"/>
              </w:rPr>
              <w:t>Auckland</w:t>
            </w:r>
          </w:p>
        </w:tc>
        <w:tc>
          <w:tcPr>
            <w:tcW w:w="755" w:type="dxa"/>
            <w:tcBorders>
              <w:top w:val="nil"/>
            </w:tcBorders>
            <w:shd w:val="clear" w:color="auto" w:fill="auto"/>
            <w:noWrap/>
            <w:hideMark/>
          </w:tcPr>
          <w:p w14:paraId="1449B45C" w14:textId="77777777" w:rsidR="00F1628D" w:rsidRPr="00107996" w:rsidRDefault="00F1628D" w:rsidP="00497F1D">
            <w:pPr>
              <w:pStyle w:val="TableText"/>
              <w:keepNext/>
              <w:tabs>
                <w:tab w:val="decimal" w:pos="397"/>
              </w:tabs>
              <w:jc w:val="center"/>
            </w:pPr>
            <w:r w:rsidRPr="00501296">
              <w:t>5</w:t>
            </w:r>
          </w:p>
        </w:tc>
        <w:tc>
          <w:tcPr>
            <w:tcW w:w="851" w:type="dxa"/>
            <w:tcBorders>
              <w:top w:val="nil"/>
            </w:tcBorders>
            <w:shd w:val="clear" w:color="auto" w:fill="auto"/>
            <w:noWrap/>
            <w:hideMark/>
          </w:tcPr>
          <w:p w14:paraId="6A98F31A" w14:textId="77777777" w:rsidR="00F1628D" w:rsidRPr="00107996" w:rsidRDefault="00F1628D" w:rsidP="00497F1D">
            <w:pPr>
              <w:pStyle w:val="TableText"/>
              <w:keepNext/>
              <w:tabs>
                <w:tab w:val="decimal" w:pos="397"/>
              </w:tabs>
              <w:jc w:val="center"/>
              <w:rPr>
                <w:lang w:eastAsia="en-NZ"/>
              </w:rPr>
            </w:pPr>
            <w:r w:rsidRPr="00501296">
              <w:t>1</w:t>
            </w:r>
          </w:p>
        </w:tc>
        <w:tc>
          <w:tcPr>
            <w:tcW w:w="1032" w:type="dxa"/>
            <w:tcBorders>
              <w:top w:val="nil"/>
            </w:tcBorders>
            <w:shd w:val="clear" w:color="auto" w:fill="auto"/>
            <w:noWrap/>
            <w:hideMark/>
          </w:tcPr>
          <w:p w14:paraId="08B329CE" w14:textId="77777777" w:rsidR="00F1628D" w:rsidRPr="00107996" w:rsidRDefault="00F1628D" w:rsidP="00497F1D">
            <w:pPr>
              <w:pStyle w:val="TableText"/>
              <w:keepNext/>
              <w:tabs>
                <w:tab w:val="decimal" w:pos="458"/>
              </w:tabs>
              <w:jc w:val="center"/>
              <w:rPr>
                <w:lang w:eastAsia="en-NZ"/>
              </w:rPr>
            </w:pPr>
            <w:r w:rsidRPr="00501296">
              <w:t>3.8</w:t>
            </w:r>
          </w:p>
        </w:tc>
        <w:tc>
          <w:tcPr>
            <w:tcW w:w="396" w:type="dxa"/>
            <w:tcBorders>
              <w:top w:val="nil"/>
              <w:bottom w:val="nil"/>
            </w:tcBorders>
            <w:shd w:val="clear" w:color="auto" w:fill="auto"/>
          </w:tcPr>
          <w:p w14:paraId="5C5772E4" w14:textId="77777777" w:rsidR="00F1628D" w:rsidRPr="00107996" w:rsidRDefault="00F1628D" w:rsidP="00497F1D">
            <w:pPr>
              <w:pStyle w:val="TableText"/>
              <w:keepNext/>
              <w:rPr>
                <w:lang w:eastAsia="en-NZ"/>
              </w:rPr>
            </w:pPr>
          </w:p>
        </w:tc>
        <w:tc>
          <w:tcPr>
            <w:tcW w:w="1350" w:type="dxa"/>
            <w:tcBorders>
              <w:top w:val="nil"/>
            </w:tcBorders>
          </w:tcPr>
          <w:p w14:paraId="21DF715E" w14:textId="77777777" w:rsidR="00F1628D" w:rsidRPr="00107996" w:rsidRDefault="00F1628D" w:rsidP="00497F1D">
            <w:pPr>
              <w:pStyle w:val="TableText"/>
              <w:keepNext/>
              <w:rPr>
                <w:lang w:eastAsia="en-NZ"/>
              </w:rPr>
            </w:pPr>
            <w:r w:rsidRPr="00107996">
              <w:t>Nelson Marlborough</w:t>
            </w:r>
          </w:p>
        </w:tc>
        <w:tc>
          <w:tcPr>
            <w:tcW w:w="765" w:type="dxa"/>
            <w:tcBorders>
              <w:top w:val="nil"/>
            </w:tcBorders>
          </w:tcPr>
          <w:p w14:paraId="140CE324" w14:textId="77777777" w:rsidR="00F1628D" w:rsidRPr="00107996" w:rsidRDefault="00F1628D" w:rsidP="00497F1D">
            <w:pPr>
              <w:pStyle w:val="TableText"/>
              <w:keepNext/>
              <w:tabs>
                <w:tab w:val="decimal" w:pos="397"/>
              </w:tabs>
              <w:jc w:val="center"/>
              <w:rPr>
                <w:lang w:eastAsia="en-NZ"/>
              </w:rPr>
            </w:pPr>
            <w:r w:rsidRPr="00107996">
              <w:t xml:space="preserve"> </w:t>
            </w:r>
            <w:r w:rsidRPr="00107996">
              <w:rPr>
                <w:lang w:eastAsia="en-NZ"/>
              </w:rPr>
              <w:t>–</w:t>
            </w:r>
          </w:p>
        </w:tc>
        <w:tc>
          <w:tcPr>
            <w:tcW w:w="709" w:type="dxa"/>
            <w:tcBorders>
              <w:top w:val="nil"/>
            </w:tcBorders>
          </w:tcPr>
          <w:p w14:paraId="4D729433" w14:textId="77777777" w:rsidR="00F1628D" w:rsidRPr="00107996" w:rsidRDefault="00F1628D" w:rsidP="00497F1D">
            <w:pPr>
              <w:pStyle w:val="TableText"/>
              <w:keepNext/>
              <w:tabs>
                <w:tab w:val="decimal" w:pos="397"/>
              </w:tabs>
              <w:jc w:val="center"/>
              <w:rPr>
                <w:lang w:eastAsia="en-NZ"/>
              </w:rPr>
            </w:pPr>
            <w:r w:rsidRPr="009B6BC1">
              <w:t>2</w:t>
            </w:r>
          </w:p>
        </w:tc>
        <w:tc>
          <w:tcPr>
            <w:tcW w:w="1052" w:type="dxa"/>
            <w:tcBorders>
              <w:top w:val="nil"/>
            </w:tcBorders>
          </w:tcPr>
          <w:p w14:paraId="3FAC443D" w14:textId="77777777" w:rsidR="00F1628D" w:rsidRPr="00107996" w:rsidRDefault="00F1628D" w:rsidP="00497F1D">
            <w:pPr>
              <w:pStyle w:val="TableText"/>
              <w:keepNext/>
              <w:jc w:val="center"/>
              <w:rPr>
                <w:lang w:eastAsia="en-NZ"/>
              </w:rPr>
            </w:pPr>
            <w:r w:rsidRPr="00107996">
              <w:rPr>
                <w:lang w:eastAsia="en-NZ"/>
              </w:rPr>
              <w:t>–</w:t>
            </w:r>
          </w:p>
        </w:tc>
      </w:tr>
      <w:tr w:rsidR="00F1628D" w:rsidRPr="00107996" w14:paraId="6326B5DE" w14:textId="77777777" w:rsidTr="00497F1D">
        <w:trPr>
          <w:cantSplit/>
          <w:trHeight w:val="300"/>
        </w:trPr>
        <w:tc>
          <w:tcPr>
            <w:tcW w:w="1230" w:type="dxa"/>
            <w:shd w:val="clear" w:color="auto" w:fill="auto"/>
            <w:noWrap/>
          </w:tcPr>
          <w:p w14:paraId="201665F3" w14:textId="77777777" w:rsidR="00F1628D" w:rsidRPr="00107996" w:rsidRDefault="00F1628D" w:rsidP="00497F1D">
            <w:pPr>
              <w:pStyle w:val="TableText"/>
              <w:keepNext/>
              <w:rPr>
                <w:lang w:eastAsia="en-NZ"/>
              </w:rPr>
            </w:pPr>
            <w:r w:rsidRPr="00107996">
              <w:t>Bay of Plenty</w:t>
            </w:r>
          </w:p>
        </w:tc>
        <w:tc>
          <w:tcPr>
            <w:tcW w:w="755" w:type="dxa"/>
            <w:shd w:val="clear" w:color="auto" w:fill="auto"/>
            <w:noWrap/>
          </w:tcPr>
          <w:p w14:paraId="1651CC82" w14:textId="77777777" w:rsidR="00F1628D" w:rsidRPr="00107996" w:rsidRDefault="00F1628D" w:rsidP="00497F1D">
            <w:pPr>
              <w:pStyle w:val="TableText"/>
              <w:keepNext/>
              <w:tabs>
                <w:tab w:val="decimal" w:pos="397"/>
              </w:tabs>
              <w:jc w:val="center"/>
            </w:pPr>
            <w:r w:rsidRPr="00501296">
              <w:t>5</w:t>
            </w:r>
          </w:p>
        </w:tc>
        <w:tc>
          <w:tcPr>
            <w:tcW w:w="851" w:type="dxa"/>
            <w:shd w:val="clear" w:color="auto" w:fill="auto"/>
            <w:noWrap/>
          </w:tcPr>
          <w:p w14:paraId="5B1F57AA" w14:textId="77777777" w:rsidR="00F1628D" w:rsidRPr="00107996" w:rsidRDefault="00F1628D" w:rsidP="00497F1D">
            <w:pPr>
              <w:pStyle w:val="TableText"/>
              <w:keepNext/>
              <w:tabs>
                <w:tab w:val="decimal" w:pos="397"/>
              </w:tabs>
              <w:jc w:val="center"/>
            </w:pPr>
            <w:r w:rsidRPr="00501296">
              <w:t>3</w:t>
            </w:r>
          </w:p>
        </w:tc>
        <w:tc>
          <w:tcPr>
            <w:tcW w:w="1032" w:type="dxa"/>
            <w:shd w:val="clear" w:color="auto" w:fill="auto"/>
            <w:noWrap/>
          </w:tcPr>
          <w:p w14:paraId="5C72F6B0" w14:textId="77777777" w:rsidR="00F1628D" w:rsidRPr="00107996" w:rsidRDefault="00F1628D" w:rsidP="00497F1D">
            <w:pPr>
              <w:pStyle w:val="TableText"/>
              <w:keepNext/>
              <w:tabs>
                <w:tab w:val="decimal" w:pos="458"/>
              </w:tabs>
              <w:jc w:val="center"/>
            </w:pPr>
            <w:r w:rsidRPr="00501296">
              <w:t>1.9</w:t>
            </w:r>
          </w:p>
        </w:tc>
        <w:tc>
          <w:tcPr>
            <w:tcW w:w="396" w:type="dxa"/>
            <w:tcBorders>
              <w:top w:val="nil"/>
              <w:bottom w:val="nil"/>
            </w:tcBorders>
            <w:shd w:val="clear" w:color="auto" w:fill="auto"/>
          </w:tcPr>
          <w:p w14:paraId="416EA749" w14:textId="77777777" w:rsidR="00F1628D" w:rsidRPr="00107996" w:rsidRDefault="00F1628D" w:rsidP="00497F1D">
            <w:pPr>
              <w:pStyle w:val="TableText"/>
              <w:keepNext/>
              <w:rPr>
                <w:lang w:eastAsia="en-NZ"/>
              </w:rPr>
            </w:pPr>
          </w:p>
        </w:tc>
        <w:tc>
          <w:tcPr>
            <w:tcW w:w="1350" w:type="dxa"/>
          </w:tcPr>
          <w:p w14:paraId="4D148432" w14:textId="77777777" w:rsidR="00F1628D" w:rsidRPr="00107996" w:rsidRDefault="00F1628D" w:rsidP="00497F1D">
            <w:pPr>
              <w:pStyle w:val="TableText"/>
              <w:keepNext/>
              <w:rPr>
                <w:lang w:eastAsia="en-NZ"/>
              </w:rPr>
            </w:pPr>
            <w:r w:rsidRPr="00107996">
              <w:rPr>
                <w:lang w:eastAsia="en-NZ"/>
              </w:rPr>
              <w:t>Northland</w:t>
            </w:r>
          </w:p>
        </w:tc>
        <w:tc>
          <w:tcPr>
            <w:tcW w:w="765" w:type="dxa"/>
          </w:tcPr>
          <w:p w14:paraId="2720427D" w14:textId="77777777" w:rsidR="00F1628D" w:rsidRPr="00107996" w:rsidRDefault="00F1628D" w:rsidP="00497F1D">
            <w:pPr>
              <w:pStyle w:val="TableText"/>
              <w:keepNext/>
              <w:tabs>
                <w:tab w:val="decimal" w:pos="397"/>
              </w:tabs>
              <w:jc w:val="center"/>
              <w:rPr>
                <w:lang w:eastAsia="en-NZ"/>
              </w:rPr>
            </w:pPr>
            <w:r w:rsidRPr="009B6BC1">
              <w:rPr>
                <w:lang w:eastAsia="en-NZ"/>
              </w:rPr>
              <w:t>1</w:t>
            </w:r>
          </w:p>
        </w:tc>
        <w:tc>
          <w:tcPr>
            <w:tcW w:w="709" w:type="dxa"/>
          </w:tcPr>
          <w:p w14:paraId="1BA38476" w14:textId="77777777" w:rsidR="00F1628D" w:rsidRPr="00107996" w:rsidRDefault="00F1628D" w:rsidP="00497F1D">
            <w:pPr>
              <w:pStyle w:val="TableText"/>
              <w:keepNext/>
              <w:tabs>
                <w:tab w:val="decimal" w:pos="397"/>
              </w:tabs>
              <w:jc w:val="center"/>
              <w:rPr>
                <w:lang w:eastAsia="en-NZ"/>
              </w:rPr>
            </w:pPr>
            <w:r w:rsidRPr="009B6BC1">
              <w:rPr>
                <w:lang w:eastAsia="en-NZ"/>
              </w:rPr>
              <w:t>1</w:t>
            </w:r>
          </w:p>
        </w:tc>
        <w:tc>
          <w:tcPr>
            <w:tcW w:w="1052" w:type="dxa"/>
          </w:tcPr>
          <w:p w14:paraId="6B1D6E8B" w14:textId="77777777" w:rsidR="00F1628D" w:rsidRPr="00107996" w:rsidRDefault="00F1628D" w:rsidP="00497F1D">
            <w:pPr>
              <w:pStyle w:val="TableText"/>
              <w:keepNext/>
              <w:jc w:val="center"/>
              <w:rPr>
                <w:lang w:eastAsia="en-NZ"/>
              </w:rPr>
            </w:pPr>
            <w:r w:rsidRPr="009B6BC1">
              <w:rPr>
                <w:lang w:eastAsia="en-NZ"/>
              </w:rPr>
              <w:t>1.8</w:t>
            </w:r>
          </w:p>
        </w:tc>
      </w:tr>
      <w:tr w:rsidR="00F1628D" w:rsidRPr="00107996" w14:paraId="41F93356" w14:textId="77777777" w:rsidTr="00497F1D">
        <w:trPr>
          <w:cantSplit/>
          <w:trHeight w:val="300"/>
        </w:trPr>
        <w:tc>
          <w:tcPr>
            <w:tcW w:w="1230" w:type="dxa"/>
            <w:shd w:val="clear" w:color="auto" w:fill="auto"/>
            <w:noWrap/>
          </w:tcPr>
          <w:p w14:paraId="5F1BEABA" w14:textId="77777777" w:rsidR="00F1628D" w:rsidRPr="00107996" w:rsidRDefault="00F1628D" w:rsidP="00497F1D">
            <w:pPr>
              <w:pStyle w:val="TableText"/>
              <w:keepNext/>
              <w:rPr>
                <w:lang w:eastAsia="en-NZ"/>
              </w:rPr>
            </w:pPr>
            <w:r w:rsidRPr="00107996">
              <w:t>Canterbury</w:t>
            </w:r>
          </w:p>
        </w:tc>
        <w:tc>
          <w:tcPr>
            <w:tcW w:w="755" w:type="dxa"/>
            <w:shd w:val="clear" w:color="auto" w:fill="auto"/>
            <w:noWrap/>
          </w:tcPr>
          <w:p w14:paraId="4D08BCAF" w14:textId="77777777" w:rsidR="00F1628D" w:rsidRPr="00107996" w:rsidRDefault="00F1628D" w:rsidP="00497F1D">
            <w:pPr>
              <w:pStyle w:val="TableText"/>
              <w:keepNext/>
              <w:tabs>
                <w:tab w:val="decimal" w:pos="397"/>
              </w:tabs>
              <w:jc w:val="center"/>
              <w:rPr>
                <w:lang w:eastAsia="en-NZ"/>
              </w:rPr>
            </w:pPr>
            <w:r w:rsidRPr="00501296">
              <w:t>5</w:t>
            </w:r>
          </w:p>
        </w:tc>
        <w:tc>
          <w:tcPr>
            <w:tcW w:w="851" w:type="dxa"/>
            <w:shd w:val="clear" w:color="auto" w:fill="auto"/>
            <w:noWrap/>
          </w:tcPr>
          <w:p w14:paraId="633B5A9E" w14:textId="77777777" w:rsidR="00F1628D" w:rsidRPr="00107996" w:rsidRDefault="00F1628D" w:rsidP="00497F1D">
            <w:pPr>
              <w:pStyle w:val="TableText"/>
              <w:keepNext/>
              <w:tabs>
                <w:tab w:val="decimal" w:pos="397"/>
              </w:tabs>
              <w:jc w:val="center"/>
              <w:rPr>
                <w:lang w:eastAsia="en-NZ"/>
              </w:rPr>
            </w:pPr>
            <w:r w:rsidRPr="00501296">
              <w:t>1</w:t>
            </w:r>
          </w:p>
        </w:tc>
        <w:tc>
          <w:tcPr>
            <w:tcW w:w="1032" w:type="dxa"/>
            <w:shd w:val="clear" w:color="auto" w:fill="auto"/>
            <w:noWrap/>
          </w:tcPr>
          <w:p w14:paraId="77103F74" w14:textId="77777777" w:rsidR="00F1628D" w:rsidRPr="00107996" w:rsidRDefault="00F1628D" w:rsidP="00497F1D">
            <w:pPr>
              <w:pStyle w:val="TableText"/>
              <w:keepNext/>
              <w:tabs>
                <w:tab w:val="decimal" w:pos="458"/>
              </w:tabs>
              <w:jc w:val="center"/>
              <w:rPr>
                <w:lang w:eastAsia="en-NZ"/>
              </w:rPr>
            </w:pPr>
            <w:r w:rsidRPr="00501296">
              <w:t>5.3</w:t>
            </w:r>
          </w:p>
        </w:tc>
        <w:tc>
          <w:tcPr>
            <w:tcW w:w="396" w:type="dxa"/>
            <w:tcBorders>
              <w:top w:val="nil"/>
              <w:bottom w:val="nil"/>
            </w:tcBorders>
            <w:shd w:val="clear" w:color="auto" w:fill="auto"/>
          </w:tcPr>
          <w:p w14:paraId="455F4019" w14:textId="77777777" w:rsidR="00F1628D" w:rsidRPr="00107996" w:rsidRDefault="00F1628D" w:rsidP="00497F1D">
            <w:pPr>
              <w:pStyle w:val="TableText"/>
              <w:keepNext/>
              <w:rPr>
                <w:lang w:eastAsia="en-NZ"/>
              </w:rPr>
            </w:pPr>
          </w:p>
        </w:tc>
        <w:tc>
          <w:tcPr>
            <w:tcW w:w="1350" w:type="dxa"/>
          </w:tcPr>
          <w:p w14:paraId="722ADBC4" w14:textId="77777777" w:rsidR="00F1628D" w:rsidRPr="00107996" w:rsidRDefault="00F1628D" w:rsidP="00497F1D">
            <w:pPr>
              <w:pStyle w:val="TableText"/>
              <w:keepNext/>
              <w:rPr>
                <w:lang w:eastAsia="en-NZ"/>
              </w:rPr>
            </w:pPr>
            <w:r w:rsidRPr="00107996">
              <w:rPr>
                <w:lang w:eastAsia="en-NZ"/>
              </w:rPr>
              <w:t>Southern</w:t>
            </w:r>
          </w:p>
        </w:tc>
        <w:tc>
          <w:tcPr>
            <w:tcW w:w="765" w:type="dxa"/>
          </w:tcPr>
          <w:p w14:paraId="713DE27D" w14:textId="77777777" w:rsidR="00F1628D" w:rsidRPr="00107996" w:rsidRDefault="00F1628D" w:rsidP="00497F1D">
            <w:pPr>
              <w:pStyle w:val="TableText"/>
              <w:keepNext/>
              <w:tabs>
                <w:tab w:val="decimal" w:pos="397"/>
              </w:tabs>
              <w:jc w:val="center"/>
              <w:rPr>
                <w:lang w:eastAsia="en-NZ"/>
              </w:rPr>
            </w:pPr>
            <w:r w:rsidRPr="009B6BC1">
              <w:rPr>
                <w:lang w:eastAsia="en-NZ"/>
              </w:rPr>
              <w:t>5</w:t>
            </w:r>
          </w:p>
        </w:tc>
        <w:tc>
          <w:tcPr>
            <w:tcW w:w="709" w:type="dxa"/>
          </w:tcPr>
          <w:p w14:paraId="6E26D203" w14:textId="77777777" w:rsidR="00F1628D" w:rsidRPr="00107996" w:rsidRDefault="00F1628D" w:rsidP="00497F1D">
            <w:pPr>
              <w:pStyle w:val="TableText"/>
              <w:keepNext/>
              <w:tabs>
                <w:tab w:val="decimal" w:pos="397"/>
              </w:tabs>
              <w:jc w:val="center"/>
              <w:rPr>
                <w:lang w:eastAsia="en-NZ"/>
              </w:rPr>
            </w:pPr>
            <w:r w:rsidRPr="009B6BC1">
              <w:rPr>
                <w:lang w:eastAsia="en-NZ"/>
              </w:rPr>
              <w:t>4</w:t>
            </w:r>
          </w:p>
        </w:tc>
        <w:tc>
          <w:tcPr>
            <w:tcW w:w="1052" w:type="dxa"/>
          </w:tcPr>
          <w:p w14:paraId="6253BFFD" w14:textId="77777777" w:rsidR="00F1628D" w:rsidRPr="00107996" w:rsidRDefault="00F1628D" w:rsidP="00497F1D">
            <w:pPr>
              <w:pStyle w:val="TableText"/>
              <w:keepNext/>
              <w:jc w:val="center"/>
              <w:rPr>
                <w:lang w:eastAsia="en-NZ"/>
              </w:rPr>
            </w:pPr>
            <w:r w:rsidRPr="009B6BC1">
              <w:rPr>
                <w:lang w:eastAsia="en-NZ"/>
              </w:rPr>
              <w:t>1.3</w:t>
            </w:r>
          </w:p>
        </w:tc>
      </w:tr>
      <w:tr w:rsidR="00F1628D" w:rsidRPr="00107996" w14:paraId="14063EF2" w14:textId="77777777" w:rsidTr="00497F1D">
        <w:trPr>
          <w:cantSplit/>
          <w:trHeight w:val="300"/>
        </w:trPr>
        <w:tc>
          <w:tcPr>
            <w:tcW w:w="1230" w:type="dxa"/>
            <w:shd w:val="clear" w:color="auto" w:fill="auto"/>
            <w:noWrap/>
          </w:tcPr>
          <w:p w14:paraId="10334FB3" w14:textId="77777777" w:rsidR="00F1628D" w:rsidRPr="00107996" w:rsidRDefault="00F1628D" w:rsidP="00497F1D">
            <w:pPr>
              <w:pStyle w:val="TableText"/>
              <w:keepNext/>
              <w:rPr>
                <w:lang w:eastAsia="en-NZ"/>
              </w:rPr>
            </w:pPr>
            <w:r w:rsidRPr="00107996">
              <w:t xml:space="preserve">Capital &amp; Coast </w:t>
            </w:r>
          </w:p>
        </w:tc>
        <w:tc>
          <w:tcPr>
            <w:tcW w:w="755" w:type="dxa"/>
            <w:shd w:val="clear" w:color="auto" w:fill="auto"/>
            <w:noWrap/>
          </w:tcPr>
          <w:p w14:paraId="1B853742" w14:textId="77777777" w:rsidR="00F1628D" w:rsidRPr="00107996" w:rsidRDefault="00F1628D" w:rsidP="00497F1D">
            <w:pPr>
              <w:pStyle w:val="TableText"/>
              <w:keepNext/>
              <w:tabs>
                <w:tab w:val="decimal" w:pos="397"/>
              </w:tabs>
              <w:jc w:val="center"/>
              <w:rPr>
                <w:lang w:eastAsia="en-NZ"/>
              </w:rPr>
            </w:pPr>
            <w:r w:rsidRPr="00501296">
              <w:t>96</w:t>
            </w:r>
          </w:p>
        </w:tc>
        <w:tc>
          <w:tcPr>
            <w:tcW w:w="851" w:type="dxa"/>
            <w:shd w:val="clear" w:color="auto" w:fill="auto"/>
            <w:noWrap/>
          </w:tcPr>
          <w:p w14:paraId="60A59F6A" w14:textId="77777777" w:rsidR="00F1628D" w:rsidRPr="00107996" w:rsidRDefault="00F1628D" w:rsidP="00497F1D">
            <w:pPr>
              <w:pStyle w:val="TableText"/>
              <w:keepNext/>
              <w:tabs>
                <w:tab w:val="decimal" w:pos="397"/>
              </w:tabs>
              <w:jc w:val="center"/>
              <w:rPr>
                <w:lang w:eastAsia="en-NZ"/>
              </w:rPr>
            </w:pPr>
            <w:r w:rsidRPr="00501296">
              <w:t>14</w:t>
            </w:r>
          </w:p>
        </w:tc>
        <w:tc>
          <w:tcPr>
            <w:tcW w:w="1032" w:type="dxa"/>
            <w:shd w:val="clear" w:color="auto" w:fill="auto"/>
            <w:noWrap/>
          </w:tcPr>
          <w:p w14:paraId="4CE18770" w14:textId="77777777" w:rsidR="00F1628D" w:rsidRPr="00107996" w:rsidRDefault="00F1628D" w:rsidP="00497F1D">
            <w:pPr>
              <w:pStyle w:val="TableText"/>
              <w:keepNext/>
              <w:tabs>
                <w:tab w:val="decimal" w:pos="458"/>
              </w:tabs>
              <w:jc w:val="center"/>
              <w:rPr>
                <w:lang w:eastAsia="en-NZ"/>
              </w:rPr>
            </w:pPr>
            <w:r w:rsidRPr="00501296">
              <w:t>6.9</w:t>
            </w:r>
          </w:p>
        </w:tc>
        <w:tc>
          <w:tcPr>
            <w:tcW w:w="396" w:type="dxa"/>
            <w:tcBorders>
              <w:top w:val="nil"/>
              <w:bottom w:val="nil"/>
            </w:tcBorders>
            <w:shd w:val="clear" w:color="auto" w:fill="auto"/>
          </w:tcPr>
          <w:p w14:paraId="0315BD0A" w14:textId="77777777" w:rsidR="00F1628D" w:rsidRPr="00107996" w:rsidRDefault="00F1628D" w:rsidP="00497F1D">
            <w:pPr>
              <w:pStyle w:val="TableText"/>
              <w:keepNext/>
              <w:rPr>
                <w:lang w:eastAsia="en-NZ"/>
              </w:rPr>
            </w:pPr>
          </w:p>
        </w:tc>
        <w:tc>
          <w:tcPr>
            <w:tcW w:w="1350" w:type="dxa"/>
          </w:tcPr>
          <w:p w14:paraId="7401EAF1" w14:textId="77777777" w:rsidR="00F1628D" w:rsidRPr="00107996" w:rsidRDefault="00F1628D" w:rsidP="00497F1D">
            <w:pPr>
              <w:pStyle w:val="TableText"/>
              <w:keepNext/>
              <w:rPr>
                <w:lang w:eastAsia="en-NZ"/>
              </w:rPr>
            </w:pPr>
            <w:r w:rsidRPr="00107996">
              <w:rPr>
                <w:lang w:eastAsia="en-NZ"/>
              </w:rPr>
              <w:t>Taranaki</w:t>
            </w:r>
          </w:p>
        </w:tc>
        <w:tc>
          <w:tcPr>
            <w:tcW w:w="765" w:type="dxa"/>
          </w:tcPr>
          <w:p w14:paraId="089F163E" w14:textId="77777777" w:rsidR="00F1628D" w:rsidRPr="00107996" w:rsidRDefault="00F1628D" w:rsidP="00497F1D">
            <w:pPr>
              <w:pStyle w:val="TableText"/>
              <w:keepNext/>
              <w:tabs>
                <w:tab w:val="decimal" w:pos="397"/>
              </w:tabs>
              <w:jc w:val="center"/>
              <w:rPr>
                <w:lang w:eastAsia="en-NZ"/>
              </w:rPr>
            </w:pPr>
            <w:r w:rsidRPr="009B6BC1">
              <w:rPr>
                <w:lang w:eastAsia="en-NZ"/>
              </w:rPr>
              <w:t>4</w:t>
            </w:r>
          </w:p>
        </w:tc>
        <w:tc>
          <w:tcPr>
            <w:tcW w:w="709" w:type="dxa"/>
          </w:tcPr>
          <w:p w14:paraId="5A250849" w14:textId="77777777" w:rsidR="00F1628D" w:rsidRPr="00107996" w:rsidRDefault="00F1628D" w:rsidP="00497F1D">
            <w:pPr>
              <w:pStyle w:val="TableText"/>
              <w:keepNext/>
              <w:tabs>
                <w:tab w:val="decimal" w:pos="397"/>
              </w:tabs>
              <w:jc w:val="center"/>
              <w:rPr>
                <w:lang w:eastAsia="en-NZ"/>
              </w:rPr>
            </w:pPr>
            <w:r w:rsidRPr="00107996">
              <w:rPr>
                <w:lang w:eastAsia="en-NZ"/>
              </w:rPr>
              <w:t>1</w:t>
            </w:r>
          </w:p>
        </w:tc>
        <w:tc>
          <w:tcPr>
            <w:tcW w:w="1052" w:type="dxa"/>
          </w:tcPr>
          <w:p w14:paraId="59BBC876" w14:textId="77777777" w:rsidR="00F1628D" w:rsidRPr="00107996" w:rsidRDefault="00F1628D" w:rsidP="00497F1D">
            <w:pPr>
              <w:pStyle w:val="TableText"/>
              <w:keepNext/>
              <w:jc w:val="center"/>
              <w:rPr>
                <w:lang w:eastAsia="en-NZ"/>
              </w:rPr>
            </w:pPr>
            <w:r w:rsidRPr="009B6BC1">
              <w:rPr>
                <w:lang w:eastAsia="en-NZ"/>
              </w:rPr>
              <w:t>3.7</w:t>
            </w:r>
          </w:p>
        </w:tc>
      </w:tr>
      <w:tr w:rsidR="00F1628D" w:rsidRPr="00107996" w14:paraId="5A00031C" w14:textId="77777777" w:rsidTr="00497F1D">
        <w:trPr>
          <w:cantSplit/>
          <w:trHeight w:val="300"/>
        </w:trPr>
        <w:tc>
          <w:tcPr>
            <w:tcW w:w="1230" w:type="dxa"/>
            <w:shd w:val="clear" w:color="auto" w:fill="auto"/>
            <w:noWrap/>
          </w:tcPr>
          <w:p w14:paraId="4EA988DA" w14:textId="77777777" w:rsidR="00F1628D" w:rsidRPr="00107996" w:rsidRDefault="00F1628D" w:rsidP="00497F1D">
            <w:pPr>
              <w:pStyle w:val="TableText"/>
              <w:keepNext/>
              <w:rPr>
                <w:lang w:eastAsia="en-NZ"/>
              </w:rPr>
            </w:pPr>
            <w:r w:rsidRPr="00107996">
              <w:t>Counties Manukau</w:t>
            </w:r>
          </w:p>
        </w:tc>
        <w:tc>
          <w:tcPr>
            <w:tcW w:w="755" w:type="dxa"/>
            <w:shd w:val="clear" w:color="auto" w:fill="auto"/>
            <w:noWrap/>
          </w:tcPr>
          <w:p w14:paraId="58F40336" w14:textId="77777777" w:rsidR="00F1628D" w:rsidRPr="00107996" w:rsidRDefault="00F1628D" w:rsidP="00497F1D">
            <w:pPr>
              <w:pStyle w:val="TableText"/>
              <w:keepNext/>
              <w:tabs>
                <w:tab w:val="decimal" w:pos="397"/>
              </w:tabs>
              <w:jc w:val="center"/>
              <w:rPr>
                <w:lang w:eastAsia="en-NZ"/>
              </w:rPr>
            </w:pPr>
            <w:r w:rsidRPr="00501296">
              <w:t>7</w:t>
            </w:r>
          </w:p>
        </w:tc>
        <w:tc>
          <w:tcPr>
            <w:tcW w:w="851" w:type="dxa"/>
            <w:shd w:val="clear" w:color="auto" w:fill="auto"/>
            <w:noWrap/>
          </w:tcPr>
          <w:p w14:paraId="242C1DAA" w14:textId="77777777" w:rsidR="00F1628D" w:rsidRPr="00107996" w:rsidRDefault="00F1628D" w:rsidP="00497F1D">
            <w:pPr>
              <w:pStyle w:val="TableText"/>
              <w:keepNext/>
              <w:tabs>
                <w:tab w:val="decimal" w:pos="397"/>
              </w:tabs>
              <w:jc w:val="center"/>
              <w:rPr>
                <w:lang w:eastAsia="en-NZ"/>
              </w:rPr>
            </w:pPr>
            <w:r w:rsidRPr="00501296">
              <w:t>1</w:t>
            </w:r>
          </w:p>
        </w:tc>
        <w:tc>
          <w:tcPr>
            <w:tcW w:w="1032" w:type="dxa"/>
            <w:shd w:val="clear" w:color="auto" w:fill="auto"/>
            <w:noWrap/>
          </w:tcPr>
          <w:p w14:paraId="4B7ABD93" w14:textId="77777777" w:rsidR="00F1628D" w:rsidRPr="00107996" w:rsidRDefault="00F1628D" w:rsidP="00497F1D">
            <w:pPr>
              <w:pStyle w:val="TableText"/>
              <w:keepNext/>
              <w:tabs>
                <w:tab w:val="decimal" w:pos="458"/>
              </w:tabs>
              <w:jc w:val="center"/>
              <w:rPr>
                <w:lang w:eastAsia="en-NZ"/>
              </w:rPr>
            </w:pPr>
            <w:r w:rsidRPr="00501296">
              <w:t>7.2</w:t>
            </w:r>
          </w:p>
        </w:tc>
        <w:tc>
          <w:tcPr>
            <w:tcW w:w="396" w:type="dxa"/>
            <w:tcBorders>
              <w:top w:val="nil"/>
              <w:bottom w:val="nil"/>
            </w:tcBorders>
            <w:shd w:val="clear" w:color="auto" w:fill="auto"/>
          </w:tcPr>
          <w:p w14:paraId="3EC7A0CC" w14:textId="77777777" w:rsidR="00F1628D" w:rsidRPr="00107996" w:rsidRDefault="00F1628D" w:rsidP="00497F1D">
            <w:pPr>
              <w:pStyle w:val="TableText"/>
              <w:keepNext/>
              <w:rPr>
                <w:lang w:eastAsia="en-NZ"/>
              </w:rPr>
            </w:pPr>
          </w:p>
        </w:tc>
        <w:tc>
          <w:tcPr>
            <w:tcW w:w="1350" w:type="dxa"/>
          </w:tcPr>
          <w:p w14:paraId="0B707746" w14:textId="77777777" w:rsidR="00F1628D" w:rsidRPr="00107996" w:rsidRDefault="00F1628D" w:rsidP="00497F1D">
            <w:pPr>
              <w:pStyle w:val="TableText"/>
              <w:keepNext/>
              <w:rPr>
                <w:lang w:eastAsia="en-NZ"/>
              </w:rPr>
            </w:pPr>
            <w:r w:rsidRPr="00107996">
              <w:rPr>
                <w:lang w:eastAsia="en-NZ"/>
              </w:rPr>
              <w:t>Waikato</w:t>
            </w:r>
          </w:p>
        </w:tc>
        <w:tc>
          <w:tcPr>
            <w:tcW w:w="765" w:type="dxa"/>
          </w:tcPr>
          <w:p w14:paraId="749C5EA4" w14:textId="77777777" w:rsidR="00F1628D" w:rsidRPr="00107996" w:rsidRDefault="00F1628D" w:rsidP="00497F1D">
            <w:pPr>
              <w:pStyle w:val="TableText"/>
              <w:keepNext/>
              <w:tabs>
                <w:tab w:val="decimal" w:pos="397"/>
              </w:tabs>
              <w:jc w:val="center"/>
              <w:rPr>
                <w:lang w:eastAsia="en-NZ"/>
              </w:rPr>
            </w:pPr>
            <w:r w:rsidRPr="009B6BC1">
              <w:rPr>
                <w:lang w:eastAsia="en-NZ"/>
              </w:rPr>
              <w:t>3</w:t>
            </w:r>
          </w:p>
        </w:tc>
        <w:tc>
          <w:tcPr>
            <w:tcW w:w="709" w:type="dxa"/>
          </w:tcPr>
          <w:p w14:paraId="2DE7ABD8" w14:textId="77777777" w:rsidR="00F1628D" w:rsidRPr="00107996" w:rsidRDefault="00F1628D" w:rsidP="00497F1D">
            <w:pPr>
              <w:pStyle w:val="TableText"/>
              <w:keepNext/>
              <w:tabs>
                <w:tab w:val="decimal" w:pos="397"/>
              </w:tabs>
              <w:jc w:val="center"/>
              <w:rPr>
                <w:lang w:eastAsia="en-NZ"/>
              </w:rPr>
            </w:pPr>
            <w:r w:rsidRPr="00107996">
              <w:rPr>
                <w:lang w:eastAsia="en-NZ"/>
              </w:rPr>
              <w:t>1</w:t>
            </w:r>
          </w:p>
        </w:tc>
        <w:tc>
          <w:tcPr>
            <w:tcW w:w="1052" w:type="dxa"/>
          </w:tcPr>
          <w:p w14:paraId="2BB85776" w14:textId="77777777" w:rsidR="00F1628D" w:rsidRPr="00107996" w:rsidRDefault="00F1628D" w:rsidP="00497F1D">
            <w:pPr>
              <w:pStyle w:val="TableText"/>
              <w:keepNext/>
              <w:jc w:val="center"/>
              <w:rPr>
                <w:lang w:eastAsia="en-NZ"/>
              </w:rPr>
            </w:pPr>
            <w:r w:rsidRPr="009B6BC1">
              <w:rPr>
                <w:lang w:eastAsia="en-NZ"/>
              </w:rPr>
              <w:t>3.1</w:t>
            </w:r>
          </w:p>
        </w:tc>
      </w:tr>
      <w:tr w:rsidR="00F1628D" w:rsidRPr="00107996" w14:paraId="696721CE" w14:textId="77777777" w:rsidTr="00497F1D">
        <w:trPr>
          <w:cantSplit/>
          <w:trHeight w:val="300"/>
        </w:trPr>
        <w:tc>
          <w:tcPr>
            <w:tcW w:w="1230" w:type="dxa"/>
            <w:shd w:val="clear" w:color="auto" w:fill="auto"/>
            <w:noWrap/>
          </w:tcPr>
          <w:p w14:paraId="4D8440AF" w14:textId="77777777" w:rsidR="00F1628D" w:rsidRPr="00107996" w:rsidRDefault="00F1628D" w:rsidP="00497F1D">
            <w:pPr>
              <w:pStyle w:val="TableText"/>
              <w:keepNext/>
              <w:rPr>
                <w:lang w:eastAsia="en-NZ"/>
              </w:rPr>
            </w:pPr>
            <w:r w:rsidRPr="00107996">
              <w:t>Hawke’s Bay</w:t>
            </w:r>
          </w:p>
        </w:tc>
        <w:tc>
          <w:tcPr>
            <w:tcW w:w="755" w:type="dxa"/>
            <w:shd w:val="clear" w:color="auto" w:fill="auto"/>
            <w:noWrap/>
          </w:tcPr>
          <w:p w14:paraId="65B2488C" w14:textId="77777777" w:rsidR="00F1628D" w:rsidRPr="00107996" w:rsidRDefault="00F1628D" w:rsidP="00497F1D">
            <w:pPr>
              <w:pStyle w:val="TableText"/>
              <w:keepNext/>
              <w:tabs>
                <w:tab w:val="decimal" w:pos="397"/>
              </w:tabs>
              <w:jc w:val="center"/>
              <w:rPr>
                <w:lang w:eastAsia="en-NZ"/>
              </w:rPr>
            </w:pPr>
            <w:r w:rsidRPr="00501296">
              <w:t>2</w:t>
            </w:r>
          </w:p>
        </w:tc>
        <w:tc>
          <w:tcPr>
            <w:tcW w:w="851" w:type="dxa"/>
            <w:shd w:val="clear" w:color="auto" w:fill="auto"/>
            <w:noWrap/>
          </w:tcPr>
          <w:p w14:paraId="03960DF0" w14:textId="77777777" w:rsidR="00F1628D" w:rsidRPr="00107996" w:rsidRDefault="00F1628D" w:rsidP="00497F1D">
            <w:pPr>
              <w:pStyle w:val="TableText"/>
              <w:keepNext/>
              <w:tabs>
                <w:tab w:val="decimal" w:pos="397"/>
              </w:tabs>
              <w:jc w:val="center"/>
              <w:rPr>
                <w:lang w:eastAsia="en-NZ"/>
              </w:rPr>
            </w:pPr>
            <w:r w:rsidRPr="00501296">
              <w:t>1</w:t>
            </w:r>
          </w:p>
        </w:tc>
        <w:tc>
          <w:tcPr>
            <w:tcW w:w="1032" w:type="dxa"/>
            <w:shd w:val="clear" w:color="auto" w:fill="auto"/>
            <w:noWrap/>
          </w:tcPr>
          <w:p w14:paraId="2EA152F5" w14:textId="77777777" w:rsidR="00F1628D" w:rsidRPr="00107996" w:rsidRDefault="00F1628D" w:rsidP="00497F1D">
            <w:pPr>
              <w:pStyle w:val="TableText"/>
              <w:keepNext/>
              <w:tabs>
                <w:tab w:val="decimal" w:pos="458"/>
              </w:tabs>
              <w:jc w:val="center"/>
              <w:rPr>
                <w:lang w:eastAsia="en-NZ"/>
              </w:rPr>
            </w:pPr>
            <w:r w:rsidRPr="00501296">
              <w:t>2.5</w:t>
            </w:r>
          </w:p>
        </w:tc>
        <w:tc>
          <w:tcPr>
            <w:tcW w:w="396" w:type="dxa"/>
            <w:tcBorders>
              <w:top w:val="nil"/>
              <w:bottom w:val="nil"/>
            </w:tcBorders>
            <w:shd w:val="clear" w:color="auto" w:fill="auto"/>
          </w:tcPr>
          <w:p w14:paraId="7DF83F44" w14:textId="77777777" w:rsidR="00F1628D" w:rsidRPr="00107996" w:rsidRDefault="00F1628D" w:rsidP="00497F1D">
            <w:pPr>
              <w:pStyle w:val="TableText"/>
              <w:keepNext/>
              <w:rPr>
                <w:lang w:eastAsia="en-NZ"/>
              </w:rPr>
            </w:pPr>
          </w:p>
        </w:tc>
        <w:tc>
          <w:tcPr>
            <w:tcW w:w="1350" w:type="dxa"/>
          </w:tcPr>
          <w:p w14:paraId="37A011BC" w14:textId="77777777" w:rsidR="00F1628D" w:rsidRPr="00107996" w:rsidRDefault="00F1628D" w:rsidP="00497F1D">
            <w:pPr>
              <w:pStyle w:val="TableText"/>
              <w:keepNext/>
              <w:rPr>
                <w:lang w:eastAsia="en-NZ"/>
              </w:rPr>
            </w:pPr>
            <w:r w:rsidRPr="00107996">
              <w:rPr>
                <w:lang w:eastAsia="en-NZ"/>
              </w:rPr>
              <w:t>Waitematā</w:t>
            </w:r>
          </w:p>
        </w:tc>
        <w:tc>
          <w:tcPr>
            <w:tcW w:w="765" w:type="dxa"/>
          </w:tcPr>
          <w:p w14:paraId="12D520DB" w14:textId="77777777" w:rsidR="00F1628D" w:rsidRPr="00107996" w:rsidRDefault="00F1628D" w:rsidP="00497F1D">
            <w:pPr>
              <w:pStyle w:val="TableText"/>
              <w:keepNext/>
              <w:tabs>
                <w:tab w:val="decimal" w:pos="397"/>
              </w:tabs>
              <w:jc w:val="center"/>
              <w:rPr>
                <w:lang w:eastAsia="en-NZ"/>
              </w:rPr>
            </w:pPr>
            <w:r w:rsidRPr="009B6BC1">
              <w:rPr>
                <w:lang w:eastAsia="en-NZ"/>
              </w:rPr>
              <w:t>9</w:t>
            </w:r>
          </w:p>
        </w:tc>
        <w:tc>
          <w:tcPr>
            <w:tcW w:w="709" w:type="dxa"/>
          </w:tcPr>
          <w:p w14:paraId="155A36F2" w14:textId="77777777" w:rsidR="00F1628D" w:rsidRPr="00107996" w:rsidRDefault="00F1628D" w:rsidP="00497F1D">
            <w:pPr>
              <w:pStyle w:val="TableText"/>
              <w:keepNext/>
              <w:tabs>
                <w:tab w:val="decimal" w:pos="397"/>
              </w:tabs>
              <w:jc w:val="center"/>
              <w:rPr>
                <w:lang w:eastAsia="en-NZ"/>
              </w:rPr>
            </w:pPr>
            <w:r w:rsidRPr="009B6BC1">
              <w:rPr>
                <w:lang w:eastAsia="en-NZ"/>
              </w:rPr>
              <w:t>1</w:t>
            </w:r>
          </w:p>
        </w:tc>
        <w:tc>
          <w:tcPr>
            <w:tcW w:w="1052" w:type="dxa"/>
          </w:tcPr>
          <w:p w14:paraId="40FA9D08" w14:textId="77777777" w:rsidR="00F1628D" w:rsidRPr="00107996" w:rsidRDefault="00F1628D" w:rsidP="00497F1D">
            <w:pPr>
              <w:pStyle w:val="TableText"/>
              <w:keepNext/>
              <w:jc w:val="center"/>
              <w:rPr>
                <w:lang w:eastAsia="en-NZ"/>
              </w:rPr>
            </w:pPr>
            <w:r w:rsidRPr="009B6BC1">
              <w:rPr>
                <w:lang w:eastAsia="en-NZ"/>
              </w:rPr>
              <w:t>8.4</w:t>
            </w:r>
          </w:p>
        </w:tc>
      </w:tr>
      <w:tr w:rsidR="00F1628D" w:rsidRPr="00107996" w14:paraId="53ACCA0D" w14:textId="77777777" w:rsidTr="00497F1D">
        <w:trPr>
          <w:cantSplit/>
          <w:trHeight w:val="300"/>
        </w:trPr>
        <w:tc>
          <w:tcPr>
            <w:tcW w:w="1230" w:type="dxa"/>
            <w:shd w:val="clear" w:color="auto" w:fill="auto"/>
            <w:noWrap/>
          </w:tcPr>
          <w:p w14:paraId="3488DD3D" w14:textId="77777777" w:rsidR="00F1628D" w:rsidRPr="00107996" w:rsidRDefault="00F1628D" w:rsidP="00497F1D">
            <w:pPr>
              <w:pStyle w:val="TableText"/>
              <w:keepNext/>
              <w:rPr>
                <w:lang w:eastAsia="en-NZ"/>
              </w:rPr>
            </w:pPr>
            <w:r w:rsidRPr="00107996">
              <w:t>Hutt Valley</w:t>
            </w:r>
          </w:p>
        </w:tc>
        <w:tc>
          <w:tcPr>
            <w:tcW w:w="755" w:type="dxa"/>
            <w:shd w:val="clear" w:color="auto" w:fill="auto"/>
            <w:noWrap/>
          </w:tcPr>
          <w:p w14:paraId="019C3B3D" w14:textId="77777777" w:rsidR="00F1628D" w:rsidRPr="00107996" w:rsidRDefault="00F1628D" w:rsidP="00497F1D">
            <w:pPr>
              <w:pStyle w:val="TableText"/>
              <w:keepNext/>
              <w:tabs>
                <w:tab w:val="decimal" w:pos="397"/>
              </w:tabs>
              <w:jc w:val="center"/>
              <w:rPr>
                <w:lang w:eastAsia="en-NZ"/>
              </w:rPr>
            </w:pPr>
            <w:r w:rsidRPr="00501296">
              <w:t>3</w:t>
            </w:r>
          </w:p>
        </w:tc>
        <w:tc>
          <w:tcPr>
            <w:tcW w:w="851" w:type="dxa"/>
            <w:shd w:val="clear" w:color="auto" w:fill="auto"/>
            <w:noWrap/>
          </w:tcPr>
          <w:p w14:paraId="619950F9" w14:textId="77777777" w:rsidR="00F1628D" w:rsidRPr="00107996" w:rsidRDefault="00F1628D" w:rsidP="00497F1D">
            <w:pPr>
              <w:pStyle w:val="TableText"/>
              <w:keepNext/>
              <w:tabs>
                <w:tab w:val="decimal" w:pos="397"/>
              </w:tabs>
              <w:jc w:val="center"/>
              <w:rPr>
                <w:lang w:eastAsia="en-NZ"/>
              </w:rPr>
            </w:pPr>
            <w:r w:rsidRPr="00107996">
              <w:t>2</w:t>
            </w:r>
          </w:p>
        </w:tc>
        <w:tc>
          <w:tcPr>
            <w:tcW w:w="1032" w:type="dxa"/>
            <w:shd w:val="clear" w:color="auto" w:fill="auto"/>
            <w:noWrap/>
          </w:tcPr>
          <w:p w14:paraId="51C45B0A" w14:textId="77777777" w:rsidR="00F1628D" w:rsidRPr="00107996" w:rsidRDefault="00F1628D" w:rsidP="00497F1D">
            <w:pPr>
              <w:pStyle w:val="TableText"/>
              <w:keepNext/>
              <w:tabs>
                <w:tab w:val="decimal" w:pos="458"/>
              </w:tabs>
              <w:jc w:val="center"/>
              <w:rPr>
                <w:lang w:eastAsia="en-NZ"/>
              </w:rPr>
            </w:pPr>
            <w:r w:rsidRPr="00501296">
              <w:t>1.4</w:t>
            </w:r>
          </w:p>
        </w:tc>
        <w:tc>
          <w:tcPr>
            <w:tcW w:w="396" w:type="dxa"/>
            <w:tcBorders>
              <w:top w:val="nil"/>
              <w:bottom w:val="nil"/>
            </w:tcBorders>
            <w:shd w:val="clear" w:color="auto" w:fill="auto"/>
          </w:tcPr>
          <w:p w14:paraId="74E57A3A" w14:textId="77777777" w:rsidR="00F1628D" w:rsidRPr="00107996" w:rsidRDefault="00F1628D" w:rsidP="00497F1D">
            <w:pPr>
              <w:pStyle w:val="TableText"/>
              <w:keepNext/>
              <w:rPr>
                <w:lang w:eastAsia="en-NZ"/>
              </w:rPr>
            </w:pPr>
          </w:p>
        </w:tc>
        <w:tc>
          <w:tcPr>
            <w:tcW w:w="1350" w:type="dxa"/>
          </w:tcPr>
          <w:p w14:paraId="228EFCFB" w14:textId="77777777" w:rsidR="00F1628D" w:rsidRPr="00107996" w:rsidRDefault="00F1628D" w:rsidP="00497F1D">
            <w:pPr>
              <w:pStyle w:val="TableText"/>
              <w:keepNext/>
              <w:rPr>
                <w:lang w:eastAsia="en-NZ"/>
              </w:rPr>
            </w:pPr>
            <w:r w:rsidRPr="00107996">
              <w:rPr>
                <w:lang w:eastAsia="en-NZ"/>
              </w:rPr>
              <w:t>Whanganui</w:t>
            </w:r>
          </w:p>
        </w:tc>
        <w:tc>
          <w:tcPr>
            <w:tcW w:w="765" w:type="dxa"/>
          </w:tcPr>
          <w:p w14:paraId="628BF10A" w14:textId="77777777" w:rsidR="00F1628D" w:rsidRPr="00107996" w:rsidRDefault="00F1628D" w:rsidP="00497F1D">
            <w:pPr>
              <w:pStyle w:val="TableText"/>
              <w:keepNext/>
              <w:tabs>
                <w:tab w:val="decimal" w:pos="397"/>
              </w:tabs>
              <w:jc w:val="center"/>
              <w:rPr>
                <w:lang w:eastAsia="en-NZ"/>
              </w:rPr>
            </w:pPr>
            <w:r w:rsidRPr="009B6BC1">
              <w:rPr>
                <w:lang w:eastAsia="en-NZ"/>
              </w:rPr>
              <w:t>29</w:t>
            </w:r>
          </w:p>
        </w:tc>
        <w:tc>
          <w:tcPr>
            <w:tcW w:w="709" w:type="dxa"/>
          </w:tcPr>
          <w:p w14:paraId="2DAAEDE4" w14:textId="77777777" w:rsidR="00F1628D" w:rsidRPr="00107996" w:rsidRDefault="00F1628D" w:rsidP="00497F1D">
            <w:pPr>
              <w:pStyle w:val="TableText"/>
              <w:keepNext/>
              <w:tabs>
                <w:tab w:val="decimal" w:pos="397"/>
              </w:tabs>
              <w:jc w:val="center"/>
              <w:rPr>
                <w:lang w:eastAsia="en-NZ"/>
              </w:rPr>
            </w:pPr>
            <w:r w:rsidRPr="009B6BC1">
              <w:rPr>
                <w:lang w:eastAsia="en-NZ"/>
              </w:rPr>
              <w:t>12</w:t>
            </w:r>
          </w:p>
        </w:tc>
        <w:tc>
          <w:tcPr>
            <w:tcW w:w="1052" w:type="dxa"/>
          </w:tcPr>
          <w:p w14:paraId="117514D4" w14:textId="77777777" w:rsidR="00F1628D" w:rsidRPr="00107996" w:rsidRDefault="00F1628D" w:rsidP="00497F1D">
            <w:pPr>
              <w:pStyle w:val="TableText"/>
              <w:keepNext/>
              <w:jc w:val="center"/>
              <w:rPr>
                <w:lang w:eastAsia="en-NZ"/>
              </w:rPr>
            </w:pPr>
            <w:r w:rsidRPr="009B6BC1">
              <w:rPr>
                <w:lang w:eastAsia="en-NZ"/>
              </w:rPr>
              <w:t>2.4</w:t>
            </w:r>
          </w:p>
        </w:tc>
      </w:tr>
      <w:tr w:rsidR="00F1628D" w:rsidRPr="00107996" w14:paraId="601EC308" w14:textId="77777777" w:rsidTr="00497F1D">
        <w:trPr>
          <w:cantSplit/>
          <w:trHeight w:val="300"/>
        </w:trPr>
        <w:tc>
          <w:tcPr>
            <w:tcW w:w="1230" w:type="dxa"/>
            <w:shd w:val="clear" w:color="auto" w:fill="auto"/>
            <w:noWrap/>
          </w:tcPr>
          <w:p w14:paraId="26D0480A" w14:textId="77777777" w:rsidR="00F1628D" w:rsidRPr="00501296" w:rsidRDefault="00F1628D" w:rsidP="00497F1D">
            <w:pPr>
              <w:pStyle w:val="TableText"/>
              <w:keepNext/>
            </w:pPr>
            <w:r w:rsidRPr="00501296">
              <w:t>MidCentral</w:t>
            </w:r>
          </w:p>
        </w:tc>
        <w:tc>
          <w:tcPr>
            <w:tcW w:w="755" w:type="dxa"/>
            <w:shd w:val="clear" w:color="auto" w:fill="auto"/>
            <w:noWrap/>
          </w:tcPr>
          <w:p w14:paraId="1F687004" w14:textId="77777777" w:rsidR="00F1628D" w:rsidRPr="00501296" w:rsidDel="00645EEB" w:rsidRDefault="00F1628D" w:rsidP="00497F1D">
            <w:pPr>
              <w:pStyle w:val="TableText"/>
              <w:keepNext/>
              <w:tabs>
                <w:tab w:val="decimal" w:pos="397"/>
              </w:tabs>
              <w:jc w:val="center"/>
            </w:pPr>
            <w:r w:rsidRPr="00501296">
              <w:t>2</w:t>
            </w:r>
          </w:p>
        </w:tc>
        <w:tc>
          <w:tcPr>
            <w:tcW w:w="851" w:type="dxa"/>
            <w:shd w:val="clear" w:color="auto" w:fill="auto"/>
            <w:noWrap/>
          </w:tcPr>
          <w:p w14:paraId="049E0EC4" w14:textId="77777777" w:rsidR="00F1628D" w:rsidRPr="00501296" w:rsidRDefault="00F1628D" w:rsidP="00497F1D">
            <w:pPr>
              <w:pStyle w:val="TableText"/>
              <w:keepNext/>
              <w:tabs>
                <w:tab w:val="decimal" w:pos="397"/>
              </w:tabs>
              <w:jc w:val="center"/>
            </w:pPr>
            <w:r w:rsidRPr="00501296">
              <w:rPr>
                <w:lang w:eastAsia="en-NZ"/>
              </w:rPr>
              <w:t>–</w:t>
            </w:r>
          </w:p>
        </w:tc>
        <w:tc>
          <w:tcPr>
            <w:tcW w:w="1032" w:type="dxa"/>
            <w:shd w:val="clear" w:color="auto" w:fill="auto"/>
            <w:noWrap/>
          </w:tcPr>
          <w:p w14:paraId="3EA9295B" w14:textId="77777777" w:rsidR="00F1628D" w:rsidRPr="00501296" w:rsidDel="00645EEB" w:rsidRDefault="00F1628D" w:rsidP="00497F1D">
            <w:pPr>
              <w:pStyle w:val="TableText"/>
              <w:keepNext/>
              <w:tabs>
                <w:tab w:val="decimal" w:pos="458"/>
              </w:tabs>
              <w:jc w:val="center"/>
            </w:pPr>
            <w:r w:rsidRPr="00501296">
              <w:rPr>
                <w:lang w:eastAsia="en-NZ"/>
              </w:rPr>
              <w:t>–</w:t>
            </w:r>
          </w:p>
        </w:tc>
        <w:tc>
          <w:tcPr>
            <w:tcW w:w="396" w:type="dxa"/>
            <w:tcBorders>
              <w:top w:val="nil"/>
              <w:bottom w:val="nil"/>
            </w:tcBorders>
            <w:shd w:val="clear" w:color="auto" w:fill="auto"/>
          </w:tcPr>
          <w:p w14:paraId="7AA44BB7" w14:textId="77777777" w:rsidR="00F1628D" w:rsidRPr="00501296" w:rsidRDefault="00F1628D" w:rsidP="00497F1D">
            <w:pPr>
              <w:pStyle w:val="TableText"/>
              <w:keepNext/>
              <w:rPr>
                <w:lang w:eastAsia="en-NZ"/>
              </w:rPr>
            </w:pPr>
          </w:p>
        </w:tc>
        <w:tc>
          <w:tcPr>
            <w:tcW w:w="1350" w:type="dxa"/>
            <w:vAlign w:val="center"/>
          </w:tcPr>
          <w:p w14:paraId="0BF9AC83" w14:textId="77777777" w:rsidR="00F1628D" w:rsidRPr="00501296" w:rsidRDefault="00F1628D" w:rsidP="00497F1D">
            <w:pPr>
              <w:pStyle w:val="TableText"/>
              <w:keepNext/>
              <w:rPr>
                <w:lang w:eastAsia="en-NZ"/>
              </w:rPr>
            </w:pPr>
            <w:r w:rsidRPr="009B6BC1">
              <w:rPr>
                <w:b/>
                <w:bCs/>
                <w:lang w:eastAsia="en-NZ"/>
              </w:rPr>
              <w:t>National</w:t>
            </w:r>
          </w:p>
        </w:tc>
        <w:tc>
          <w:tcPr>
            <w:tcW w:w="765" w:type="dxa"/>
          </w:tcPr>
          <w:p w14:paraId="045BC8FA" w14:textId="77777777" w:rsidR="00F1628D" w:rsidRPr="00501296" w:rsidRDefault="00F1628D" w:rsidP="00497F1D">
            <w:pPr>
              <w:pStyle w:val="TableText"/>
              <w:keepNext/>
              <w:tabs>
                <w:tab w:val="decimal" w:pos="397"/>
              </w:tabs>
              <w:jc w:val="center"/>
              <w:rPr>
                <w:lang w:eastAsia="en-NZ"/>
              </w:rPr>
            </w:pPr>
            <w:r w:rsidRPr="009B6BC1">
              <w:rPr>
                <w:b/>
                <w:bCs/>
                <w:lang w:eastAsia="en-NZ"/>
              </w:rPr>
              <w:t>9</w:t>
            </w:r>
          </w:p>
        </w:tc>
        <w:tc>
          <w:tcPr>
            <w:tcW w:w="709" w:type="dxa"/>
          </w:tcPr>
          <w:p w14:paraId="5039D8D0" w14:textId="77777777" w:rsidR="00F1628D" w:rsidRPr="00501296" w:rsidRDefault="00F1628D" w:rsidP="00497F1D">
            <w:pPr>
              <w:pStyle w:val="TableText"/>
              <w:keepNext/>
              <w:tabs>
                <w:tab w:val="decimal" w:pos="397"/>
              </w:tabs>
              <w:jc w:val="center"/>
              <w:rPr>
                <w:lang w:eastAsia="en-NZ"/>
              </w:rPr>
            </w:pPr>
            <w:r w:rsidRPr="009B6BC1">
              <w:rPr>
                <w:b/>
                <w:bCs/>
                <w:lang w:eastAsia="en-NZ"/>
              </w:rPr>
              <w:t>2</w:t>
            </w:r>
          </w:p>
        </w:tc>
        <w:tc>
          <w:tcPr>
            <w:tcW w:w="1052" w:type="dxa"/>
          </w:tcPr>
          <w:p w14:paraId="563F9407" w14:textId="77777777" w:rsidR="00F1628D" w:rsidRPr="00501296" w:rsidRDefault="00F1628D" w:rsidP="00497F1D">
            <w:pPr>
              <w:pStyle w:val="TableText"/>
              <w:keepNext/>
              <w:jc w:val="center"/>
              <w:rPr>
                <w:lang w:eastAsia="en-NZ"/>
              </w:rPr>
            </w:pPr>
            <w:r w:rsidRPr="009B6BC1">
              <w:rPr>
                <w:b/>
                <w:bCs/>
                <w:lang w:eastAsia="en-NZ"/>
              </w:rPr>
              <w:t>3.8</w:t>
            </w:r>
          </w:p>
        </w:tc>
      </w:tr>
    </w:tbl>
    <w:p w14:paraId="172CF8BA" w14:textId="77777777" w:rsidR="00F1628D" w:rsidRPr="00107996" w:rsidRDefault="00F1628D" w:rsidP="00F1628D">
      <w:pPr>
        <w:pStyle w:val="Note"/>
      </w:pPr>
      <w:r w:rsidRPr="00107996">
        <w:t xml:space="preserve">Note: Health New Zealand Wairarapa </w:t>
      </w:r>
      <w:r>
        <w:t>had no</w:t>
      </w:r>
      <w:r w:rsidRPr="00107996">
        <w:t xml:space="preserve"> inpatient service, and Health New Zealand Lakes, South Canterbury, Tairāwhiti and West Coast had no indefinite inpatient treatment orders</w:t>
      </w:r>
      <w:r>
        <w:t>,</w:t>
      </w:r>
      <w:r w:rsidRPr="00107996">
        <w:t xml:space="preserve"> so they are not shown in this </w:t>
      </w:r>
      <w:r>
        <w:t>table</w:t>
      </w:r>
      <w:r w:rsidRPr="00107996">
        <w:t>.</w:t>
      </w:r>
    </w:p>
    <w:p w14:paraId="334EC3D9" w14:textId="77777777" w:rsidR="00F1628D" w:rsidRPr="00697BEF" w:rsidRDefault="00F1628D" w:rsidP="00F1628D">
      <w:pPr>
        <w:pStyle w:val="Source"/>
      </w:pPr>
      <w:r w:rsidRPr="00697BEF">
        <w:t>Sources: PRIMHD data (extracted 28 February 2024) and manual data from Health New Zealand Counties Manukau, Tairāwhiti and Waikato.</w:t>
      </w:r>
    </w:p>
    <w:p w14:paraId="6FBC3239" w14:textId="77777777" w:rsidR="00F1628D" w:rsidRPr="00D00FBE" w:rsidRDefault="00F1628D" w:rsidP="00F1628D">
      <w:pPr>
        <w:pStyle w:val="Note"/>
      </w:pPr>
    </w:p>
    <w:p w14:paraId="21DF9F1B" w14:textId="13720635" w:rsidR="00F1628D" w:rsidRDefault="00F1628D" w:rsidP="00F1628D">
      <w:pPr>
        <w:pStyle w:val="Figure"/>
      </w:pPr>
      <w:bookmarkStart w:id="322" w:name="_Ref141108376"/>
      <w:bookmarkStart w:id="323" w:name="_Toc85442499"/>
      <w:bookmarkStart w:id="324" w:name="_Toc85445913"/>
      <w:bookmarkStart w:id="325" w:name="_Toc87429970"/>
      <w:bookmarkStart w:id="326" w:name="_Toc88561402"/>
      <w:bookmarkStart w:id="327" w:name="_Toc115188860"/>
      <w:bookmarkStart w:id="328" w:name="_Toc142314701"/>
      <w:bookmarkStart w:id="329" w:name="_Toc145394284"/>
      <w:bookmarkStart w:id="330" w:name="_Toc189053960"/>
      <w:bookmarkStart w:id="331" w:name="_Toc189647945"/>
      <w:r>
        <w:t>Figure </w:t>
      </w:r>
      <w:r>
        <w:fldChar w:fldCharType="begin"/>
      </w:r>
      <w:r>
        <w:instrText>SEQ Figure \* ARABIC</w:instrText>
      </w:r>
      <w:r>
        <w:fldChar w:fldCharType="separate"/>
      </w:r>
      <w:r w:rsidR="00753BC8">
        <w:rPr>
          <w:noProof/>
        </w:rPr>
        <w:t>19</w:t>
      </w:r>
      <w:r>
        <w:fldChar w:fldCharType="end"/>
      </w:r>
      <w:bookmarkEnd w:id="322"/>
      <w:r w:rsidRPr="00200234">
        <w:t xml:space="preserve">: </w:t>
      </w:r>
      <w:r w:rsidRPr="00B21BE7">
        <w:t>Rate ratio of Māori to non-Māori subject to indefinite inpatient treatment orders per 100,000 population,</w:t>
      </w:r>
      <w:r>
        <w:t xml:space="preserve"> by district,</w:t>
      </w:r>
      <w:r w:rsidRPr="00B21BE7">
        <w:t xml:space="preserve"> at </w:t>
      </w:r>
      <w:bookmarkEnd w:id="323"/>
      <w:bookmarkEnd w:id="324"/>
      <w:bookmarkEnd w:id="325"/>
      <w:bookmarkEnd w:id="326"/>
      <w:r w:rsidRPr="00B21BE7">
        <w:t>30 June 202</w:t>
      </w:r>
      <w:r>
        <w:t>3</w:t>
      </w:r>
      <w:bookmarkEnd w:id="327"/>
      <w:bookmarkEnd w:id="328"/>
      <w:bookmarkEnd w:id="329"/>
      <w:bookmarkEnd w:id="330"/>
      <w:bookmarkEnd w:id="331"/>
    </w:p>
    <w:p w14:paraId="339DCF13" w14:textId="1E71061E" w:rsidR="00F1628D" w:rsidRDefault="00F1628D" w:rsidP="00993CEF">
      <w:r>
        <w:rPr>
          <w:noProof/>
        </w:rPr>
        <w:drawing>
          <wp:inline distT="0" distB="0" distL="0" distR="0" wp14:anchorId="054D9162" wp14:editId="2658C2F3">
            <wp:extent cx="5123549" cy="2722418"/>
            <wp:effectExtent l="0" t="0" r="1270" b="1905"/>
            <wp:docPr id="23" name="Pictur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a:extLst>
                        <a:ext uri="{C183D7F6-B498-43B3-948B-1728B52AA6E4}">
                          <adec:decorative xmlns:adec="http://schemas.microsoft.com/office/drawing/2017/decorative" val="1"/>
                        </a:ext>
                      </a:extLst>
                    </pic:cNvP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132454" cy="2727150"/>
                    </a:xfrm>
                    <a:prstGeom prst="rect">
                      <a:avLst/>
                    </a:prstGeom>
                    <a:noFill/>
                  </pic:spPr>
                </pic:pic>
              </a:graphicData>
            </a:graphic>
          </wp:inline>
        </w:drawing>
      </w:r>
    </w:p>
    <w:p w14:paraId="23FFC3EE" w14:textId="77777777" w:rsidR="00F1628D" w:rsidRPr="00107996" w:rsidRDefault="00F1628D" w:rsidP="00F1628D">
      <w:pPr>
        <w:pStyle w:val="Note"/>
      </w:pPr>
      <w:r w:rsidRPr="00107996">
        <w:t>Note</w:t>
      </w:r>
      <w:r>
        <w:t>s</w:t>
      </w:r>
      <w:r w:rsidRPr="00107996">
        <w:t xml:space="preserve">: Health New Zealand Wairarapa </w:t>
      </w:r>
      <w:r>
        <w:t>had no</w:t>
      </w:r>
      <w:r w:rsidRPr="00107996">
        <w:t xml:space="preserve"> inpatient service, and Health New Zealand Lakes, South Canterbury, Tairāwhiti and West Coast had no indefinite inpatient treatment orders</w:t>
      </w:r>
      <w:r>
        <w:t>,</w:t>
      </w:r>
      <w:r w:rsidRPr="00107996">
        <w:t xml:space="preserve"> so they are not shown in this figure.</w:t>
      </w:r>
      <w:r>
        <w:t xml:space="preserve"> Health New Zealand MidCentral and Nelson Marlborough had rate ratios of zero and so they are not included.</w:t>
      </w:r>
    </w:p>
    <w:p w14:paraId="260C431A" w14:textId="77777777" w:rsidR="00F1628D" w:rsidRDefault="00F1628D" w:rsidP="00F1628D">
      <w:pPr>
        <w:pStyle w:val="Source"/>
      </w:pPr>
      <w:r w:rsidRPr="00107996">
        <w:t>Sources: PRIMHD data (extracted 28 February 2024) and manual data from Health New Zealand Counties Manukau, Tairāwhiti and Waikato.</w:t>
      </w:r>
    </w:p>
    <w:p w14:paraId="14571761" w14:textId="77777777" w:rsidR="00F1628D" w:rsidRDefault="00F1628D" w:rsidP="00F1628D">
      <w:pPr>
        <w:pStyle w:val="Table"/>
        <w:sectPr w:rsidR="00F1628D" w:rsidSect="00D4159A">
          <w:pgSz w:w="11907" w:h="16834" w:code="9"/>
          <w:pgMar w:top="1418" w:right="1701" w:bottom="1134" w:left="1843" w:header="284" w:footer="425" w:gutter="284"/>
          <w:cols w:space="720"/>
        </w:sectPr>
      </w:pPr>
    </w:p>
    <w:p w14:paraId="18B989C3" w14:textId="77777777" w:rsidR="00F1628D" w:rsidRPr="005F78FD" w:rsidRDefault="00F1628D" w:rsidP="00F1628D">
      <w:pPr>
        <w:pStyle w:val="Heading1"/>
        <w:spacing w:before="0"/>
      </w:pPr>
      <w:bookmarkStart w:id="332" w:name="_Toc65141622"/>
      <w:bookmarkStart w:id="333" w:name="_Toc75176446"/>
      <w:bookmarkStart w:id="334" w:name="_Toc87429911"/>
      <w:bookmarkStart w:id="335" w:name="_Toc88826959"/>
      <w:bookmarkStart w:id="336" w:name="_Toc115188809"/>
      <w:bookmarkStart w:id="337" w:name="_Toc145394237"/>
      <w:bookmarkStart w:id="338" w:name="_Toc189053907"/>
      <w:bookmarkStart w:id="339" w:name="_Toc189647896"/>
      <w:r w:rsidRPr="005F78FD">
        <w:t>Seclusion</w:t>
      </w:r>
      <w:bookmarkEnd w:id="332"/>
      <w:bookmarkEnd w:id="333"/>
      <w:bookmarkEnd w:id="334"/>
      <w:bookmarkEnd w:id="335"/>
      <w:bookmarkEnd w:id="336"/>
      <w:bookmarkEnd w:id="337"/>
      <w:bookmarkEnd w:id="338"/>
      <w:bookmarkEnd w:id="339"/>
    </w:p>
    <w:p w14:paraId="20E6AA0D" w14:textId="77777777" w:rsidR="00F1628D" w:rsidRPr="005F78FD" w:rsidRDefault="00F1628D" w:rsidP="00F1628D">
      <w:pPr>
        <w:rPr>
          <w:rFonts w:cs="Segoe UI"/>
        </w:rPr>
      </w:pPr>
      <w:r w:rsidRPr="007166FC">
        <w:rPr>
          <w:rFonts w:cs="Segoe UI"/>
        </w:rPr>
        <w:t xml:space="preserve">In Aotearoa New Zealand, </w:t>
      </w:r>
      <w:r w:rsidRPr="005F78FD">
        <w:rPr>
          <w:rFonts w:cs="Segoe UI"/>
        </w:rPr>
        <w:t xml:space="preserve">seclusion can only lawfully occur under the Mental Health Act or </w:t>
      </w:r>
      <w:r>
        <w:rPr>
          <w:rFonts w:cs="Segoe UI"/>
        </w:rPr>
        <w:t xml:space="preserve">the </w:t>
      </w:r>
      <w:r>
        <w:t>Intellectual Disability (Compulsory Care and Rehabilitation) Act 2003 (</w:t>
      </w:r>
      <w:r w:rsidRPr="005F78FD">
        <w:rPr>
          <w:rFonts w:cs="Segoe UI"/>
        </w:rPr>
        <w:t>the Intellectual Disability Care Act</w:t>
      </w:r>
      <w:r>
        <w:rPr>
          <w:rFonts w:cs="Segoe UI"/>
        </w:rPr>
        <w:t>)</w:t>
      </w:r>
      <w:r w:rsidRPr="005F78FD">
        <w:rPr>
          <w:rFonts w:cs="Segoe UI"/>
        </w:rPr>
        <w:t>. While this section</w:t>
      </w:r>
      <w:r w:rsidRPr="005F78FD" w:rsidDel="009A672A">
        <w:rPr>
          <w:rFonts w:cs="Segoe UI"/>
        </w:rPr>
        <w:t xml:space="preserve"> </w:t>
      </w:r>
      <w:r w:rsidRPr="005F78FD">
        <w:rPr>
          <w:rFonts w:cs="Segoe UI"/>
        </w:rPr>
        <w:t xml:space="preserve">focuses mainly on people under the Mental Health Act in adult inpatient wards who have been secluded, it also covers people who have been secluded in intellectual disability facilities, under either the Mental Health Act or the Intellectual Disability Care Act. </w:t>
      </w:r>
    </w:p>
    <w:p w14:paraId="4C166EA4" w14:textId="77777777" w:rsidR="00F1628D" w:rsidRPr="005F78FD" w:rsidRDefault="00F1628D" w:rsidP="00F1628D">
      <w:pPr>
        <w:rPr>
          <w:rFonts w:cs="Segoe UI"/>
        </w:rPr>
      </w:pPr>
    </w:p>
    <w:p w14:paraId="139F7315" w14:textId="77777777" w:rsidR="00F1628D" w:rsidRPr="005F78FD" w:rsidRDefault="00F1628D" w:rsidP="00F1628D">
      <w:pPr>
        <w:rPr>
          <w:rFonts w:cs="Segoe UI"/>
        </w:rPr>
      </w:pPr>
      <w:r>
        <w:rPr>
          <w:rFonts w:cs="Segoe UI"/>
        </w:rPr>
        <w:t>Ngā Paerewa Health and Disability Services Standard</w:t>
      </w:r>
      <w:r w:rsidRPr="005F78FD">
        <w:rPr>
          <w:rFonts w:cs="Segoe UI"/>
        </w:rPr>
        <w:t xml:space="preserve"> defines ‘seclusion’ as a situation where a service user is ‘placed alone in a room or area, at any time and for any duration, from which they cannot freely exit’.</w:t>
      </w:r>
      <w:r w:rsidRPr="005F78FD">
        <w:rPr>
          <w:rFonts w:cs="Segoe UI"/>
          <w:vertAlign w:val="superscript"/>
        </w:rPr>
        <w:footnoteReference w:id="13"/>
      </w:r>
      <w:r w:rsidRPr="005F78FD">
        <w:rPr>
          <w:rFonts w:cs="Segoe UI"/>
        </w:rPr>
        <w:t xml:space="preserve"> In April 2023, the Ministry of Health published updated guidelines with a focus on minimising and eventually eliminating the use of seclusion in services.</w:t>
      </w:r>
    </w:p>
    <w:p w14:paraId="670E9683" w14:textId="77777777" w:rsidR="00F1628D" w:rsidRPr="005F78FD" w:rsidRDefault="00F1628D" w:rsidP="00F1628D">
      <w:pPr>
        <w:rPr>
          <w:rFonts w:cs="Segoe UI"/>
        </w:rPr>
      </w:pPr>
    </w:p>
    <w:p w14:paraId="35B10E09" w14:textId="234A345A" w:rsidR="00F1628D" w:rsidRPr="005F78FD" w:rsidRDefault="00F1628D" w:rsidP="00F1628D">
      <w:pPr>
        <w:rPr>
          <w:rFonts w:cs="Segoe UI"/>
        </w:rPr>
      </w:pPr>
      <w:r w:rsidRPr="005F78FD">
        <w:rPr>
          <w:rFonts w:cs="Segoe UI"/>
        </w:rPr>
        <w:t xml:space="preserve">For the 2022/23 financial year, we have left out data from a number of outliers, where a high proportion of recorded seclusion hours related to seven patients. For more information about this outlier data, see </w:t>
      </w:r>
      <w:r>
        <w:rPr>
          <w:rFonts w:cs="Segoe UI"/>
        </w:rPr>
        <w:fldChar w:fldCharType="begin"/>
      </w:r>
      <w:r>
        <w:rPr>
          <w:rFonts w:cs="Segoe UI"/>
        </w:rPr>
        <w:instrText xml:space="preserve"> REF _Ref184980503 \h </w:instrText>
      </w:r>
      <w:r>
        <w:rPr>
          <w:rFonts w:cs="Segoe UI"/>
        </w:rPr>
      </w:r>
      <w:r>
        <w:rPr>
          <w:rFonts w:cs="Segoe UI"/>
        </w:rPr>
        <w:fldChar w:fldCharType="separate"/>
      </w:r>
      <w:r w:rsidR="00753BC8" w:rsidRPr="00C916E6">
        <w:t>Appendix 3: Additional seclusion statistics</w:t>
      </w:r>
      <w:r>
        <w:rPr>
          <w:rFonts w:cs="Segoe UI"/>
        </w:rPr>
        <w:fldChar w:fldCharType="end"/>
      </w:r>
      <w:r w:rsidRPr="005F78FD">
        <w:rPr>
          <w:rFonts w:cs="Segoe UI"/>
        </w:rPr>
        <w:t xml:space="preserve">. </w:t>
      </w:r>
    </w:p>
    <w:p w14:paraId="64743F11" w14:textId="77777777" w:rsidR="00F1628D" w:rsidRPr="005F78FD" w:rsidRDefault="00F1628D" w:rsidP="00F1628D">
      <w:pPr>
        <w:rPr>
          <w:rFonts w:cs="Segoe UI"/>
        </w:rPr>
      </w:pPr>
    </w:p>
    <w:p w14:paraId="5AA45A2C" w14:textId="77777777" w:rsidR="00F1628D" w:rsidRPr="005F78FD" w:rsidRDefault="00F1628D" w:rsidP="00F1628D">
      <w:pPr>
        <w:rPr>
          <w:rFonts w:cs="Segoe UI"/>
        </w:rPr>
      </w:pPr>
      <w:r w:rsidRPr="005F78FD">
        <w:rPr>
          <w:rFonts w:cs="Segoe UI"/>
        </w:rPr>
        <w:t>The following summarises adult inpatient services data</w:t>
      </w:r>
      <w:r w:rsidRPr="005F78FD">
        <w:rPr>
          <w:rFonts w:cs="Segoe UI"/>
          <w:vertAlign w:val="superscript"/>
        </w:rPr>
        <w:footnoteReference w:id="14"/>
      </w:r>
      <w:r w:rsidRPr="005F78FD">
        <w:rPr>
          <w:rFonts w:cs="Segoe UI"/>
        </w:rPr>
        <w:t xml:space="preserve"> from 1 July 2022 to 30 June 2023.</w:t>
      </w:r>
      <w:r w:rsidRPr="005F78FD">
        <w:rPr>
          <w:rFonts w:cs="Segoe UI"/>
          <w:vertAlign w:val="superscript"/>
        </w:rPr>
        <w:footnoteReference w:id="15"/>
      </w:r>
    </w:p>
    <w:p w14:paraId="6E243282" w14:textId="210E1CDA" w:rsidR="00F1628D" w:rsidRPr="00372697" w:rsidRDefault="00F1628D" w:rsidP="00F1628D">
      <w:pPr>
        <w:pStyle w:val="Bullet"/>
        <w:tabs>
          <w:tab w:val="num" w:pos="284"/>
        </w:tabs>
      </w:pPr>
      <w:r w:rsidRPr="00372697">
        <w:t>The total number of people who experienced seclusion while receiving mental health treatment in an adult inpatient service decreased by 35% since 2009</w:t>
      </w:r>
      <w:r w:rsidRPr="003551EA">
        <w:rPr>
          <w:rFonts w:cs="Segoe UI"/>
          <w:vertAlign w:val="superscript"/>
        </w:rPr>
        <w:footnoteReference w:id="16"/>
      </w:r>
      <w:r w:rsidRPr="00372697">
        <w:t xml:space="preserve"> (</w:t>
      </w:r>
      <w:r w:rsidR="0024354A">
        <w:fldChar w:fldCharType="begin"/>
      </w:r>
      <w:r w:rsidR="0024354A">
        <w:instrText xml:space="preserve"> REF _Ref189454184 \h </w:instrText>
      </w:r>
      <w:r w:rsidR="0024354A">
        <w:fldChar w:fldCharType="separate"/>
      </w:r>
      <w:r w:rsidR="00753BC8" w:rsidRPr="005F78FD">
        <w:t>Figure </w:t>
      </w:r>
      <w:r w:rsidR="00753BC8">
        <w:rPr>
          <w:noProof/>
        </w:rPr>
        <w:t>20</w:t>
      </w:r>
      <w:r w:rsidR="0024354A">
        <w:fldChar w:fldCharType="end"/>
      </w:r>
      <w:r w:rsidRPr="00372697">
        <w:t>) and</w:t>
      </w:r>
      <w:r>
        <w:t xml:space="preserve"> by</w:t>
      </w:r>
      <w:r w:rsidRPr="00372697">
        <w:t xml:space="preserve"> 11% compared </w:t>
      </w:r>
      <w:r>
        <w:t>with</w:t>
      </w:r>
      <w:r w:rsidRPr="00372697">
        <w:t xml:space="preserve"> 2021/22.</w:t>
      </w:r>
    </w:p>
    <w:p w14:paraId="7DB28DF9" w14:textId="77777777" w:rsidR="00F1628D" w:rsidRPr="00372697" w:rsidRDefault="00F1628D" w:rsidP="00F1628D">
      <w:pPr>
        <w:pStyle w:val="Bullet"/>
        <w:tabs>
          <w:tab w:val="num" w:pos="284"/>
        </w:tabs>
      </w:pPr>
      <w:r>
        <w:t>In contrast</w:t>
      </w:r>
      <w:r w:rsidRPr="00372697">
        <w:t xml:space="preserve">, the number of Māori who have been secluded has increased by </w:t>
      </w:r>
      <w:r>
        <w:t>43%</w:t>
      </w:r>
      <w:r w:rsidRPr="00372697">
        <w:t xml:space="preserve"> since 2009</w:t>
      </w:r>
      <w:r>
        <w:t>. However, it</w:t>
      </w:r>
      <w:r w:rsidRPr="00372697" w:rsidDel="00E37015">
        <w:t xml:space="preserve"> </w:t>
      </w:r>
      <w:r w:rsidRPr="00372697">
        <w:t>decreased by 3% compared with the previous year.</w:t>
      </w:r>
    </w:p>
    <w:p w14:paraId="45FD8743" w14:textId="624C41F4" w:rsidR="00F1628D" w:rsidRPr="00372697" w:rsidRDefault="00F1628D" w:rsidP="00F1628D">
      <w:pPr>
        <w:pStyle w:val="Bullet"/>
        <w:tabs>
          <w:tab w:val="num" w:pos="284"/>
        </w:tabs>
      </w:pPr>
      <w:r w:rsidRPr="00372697">
        <w:t>Since 2009, the total number of hours spent in seclusion decreased by 65% (</w:t>
      </w:r>
      <w:r w:rsidRPr="00372697">
        <w:fldChar w:fldCharType="begin"/>
      </w:r>
      <w:r w:rsidRPr="00372697">
        <w:instrText xml:space="preserve"> REF _Ref141108424 \h  \* MERGEFORMAT </w:instrText>
      </w:r>
      <w:r w:rsidRPr="00372697">
        <w:fldChar w:fldCharType="separate"/>
      </w:r>
      <w:r w:rsidR="00753BC8" w:rsidRPr="005F78FD">
        <w:t>Figure </w:t>
      </w:r>
      <w:r w:rsidR="00753BC8">
        <w:t>21</w:t>
      </w:r>
      <w:r w:rsidRPr="00372697">
        <w:fldChar w:fldCharType="end"/>
      </w:r>
      <w:r w:rsidRPr="00372697">
        <w:t>). Compared</w:t>
      </w:r>
      <w:r w:rsidRPr="00372697" w:rsidDel="00E37015">
        <w:t xml:space="preserve"> </w:t>
      </w:r>
      <w:r>
        <w:t>with</w:t>
      </w:r>
      <w:r w:rsidRPr="00372697">
        <w:t xml:space="preserve"> 2021/22, the total number of hours spent in seclusion decreased by 16.7%. </w:t>
      </w:r>
    </w:p>
    <w:p w14:paraId="2A3AEE48" w14:textId="77777777" w:rsidR="00F1628D" w:rsidRPr="00372697" w:rsidRDefault="00F1628D" w:rsidP="00F1628D">
      <w:pPr>
        <w:pStyle w:val="Bullet"/>
        <w:tabs>
          <w:tab w:val="num" w:pos="284"/>
        </w:tabs>
      </w:pPr>
      <w:r w:rsidRPr="00372697">
        <w:t>Of all seclusion events</w:t>
      </w:r>
      <w:r>
        <w:t xml:space="preserve">, </w:t>
      </w:r>
      <w:r w:rsidRPr="00372697">
        <w:t>65.5% lasted for less than 24 hours and 17% lasted for longer than 48 hours.</w:t>
      </w:r>
      <w:r w:rsidRPr="006B3052">
        <w:t xml:space="preserve"> </w:t>
      </w:r>
    </w:p>
    <w:p w14:paraId="31D40AF0" w14:textId="77777777" w:rsidR="00F1628D" w:rsidRPr="00372697" w:rsidRDefault="00F1628D" w:rsidP="00F1628D">
      <w:pPr>
        <w:pStyle w:val="Bullet"/>
        <w:tabs>
          <w:tab w:val="num" w:pos="284"/>
        </w:tabs>
      </w:pPr>
      <w:r w:rsidRPr="00372697">
        <w:t>Males were more than twice as likely as females to spend time in seclusion.</w:t>
      </w:r>
    </w:p>
    <w:p w14:paraId="2EB4574E" w14:textId="77777777" w:rsidR="00F1628D" w:rsidRPr="00372697" w:rsidRDefault="00F1628D" w:rsidP="00F1628D">
      <w:pPr>
        <w:pStyle w:val="Bullet"/>
        <w:tabs>
          <w:tab w:val="num" w:pos="284"/>
        </w:tabs>
      </w:pPr>
      <w:r w:rsidRPr="00372697">
        <w:t>People aged 20–29</w:t>
      </w:r>
      <w:r>
        <w:t xml:space="preserve"> years</w:t>
      </w:r>
      <w:r w:rsidRPr="00372697">
        <w:t xml:space="preserve"> were more likely to spend time in seclusion than other age groups.</w:t>
      </w:r>
    </w:p>
    <w:p w14:paraId="57861510" w14:textId="77777777" w:rsidR="00F1628D" w:rsidRPr="00372697" w:rsidRDefault="00F1628D" w:rsidP="00F1628D">
      <w:pPr>
        <w:pStyle w:val="Bullet"/>
        <w:tabs>
          <w:tab w:val="num" w:pos="284"/>
        </w:tabs>
      </w:pPr>
      <w:r w:rsidRPr="00372697">
        <w:t>Māori were more likely than non-Māori to have been secluded</w:t>
      </w:r>
      <w:r>
        <w:t>. They also</w:t>
      </w:r>
      <w:r w:rsidRPr="00372697">
        <w:t xml:space="preserve"> </w:t>
      </w:r>
      <w:r>
        <w:t>had</w:t>
      </w:r>
      <w:r w:rsidRPr="00372697">
        <w:t xml:space="preserve"> more seclusion events (as a rate per 100,000 population) </w:t>
      </w:r>
      <w:r w:rsidRPr="00372697" w:rsidDel="00F35275">
        <w:t>and</w:t>
      </w:r>
      <w:r w:rsidRPr="00372697">
        <w:t>, on average,</w:t>
      </w:r>
      <w:r w:rsidRPr="00372697" w:rsidDel="00F35275">
        <w:t xml:space="preserve"> </w:t>
      </w:r>
      <w:r>
        <w:t>had</w:t>
      </w:r>
      <w:r w:rsidRPr="00372697" w:rsidDel="00F35275">
        <w:t xml:space="preserve"> longer periods of seclusion</w:t>
      </w:r>
      <w:r w:rsidRPr="00372697">
        <w:t xml:space="preserve">. </w:t>
      </w:r>
    </w:p>
    <w:p w14:paraId="4DE2FCD3" w14:textId="77777777" w:rsidR="00F1628D" w:rsidRPr="00372697" w:rsidRDefault="00F1628D" w:rsidP="00F1628D">
      <w:pPr>
        <w:pStyle w:val="Bullet"/>
        <w:tabs>
          <w:tab w:val="num" w:pos="284"/>
        </w:tabs>
      </w:pPr>
      <w:r w:rsidRPr="00372697">
        <w:t>Inpatients had an average of 5.5 seclusion events for every 1,000 bed nights they spent in adult inpatient units.</w:t>
      </w:r>
    </w:p>
    <w:p w14:paraId="180A07B7" w14:textId="77777777" w:rsidR="00F1628D" w:rsidRPr="00372697" w:rsidRDefault="00F1628D" w:rsidP="00F1628D">
      <w:pPr>
        <w:pStyle w:val="Bullet"/>
        <w:tabs>
          <w:tab w:val="num" w:pos="284"/>
        </w:tabs>
      </w:pPr>
      <w:r w:rsidRPr="00372697">
        <w:t>Of the 10,124 admissions to adult inpatient units, 762 (7.5%) had seclusion recorded at some point during the stay.</w:t>
      </w:r>
    </w:p>
    <w:p w14:paraId="46276CCB" w14:textId="77777777" w:rsidR="00F1628D" w:rsidRDefault="00F1628D" w:rsidP="00F1628D">
      <w:bookmarkStart w:id="340" w:name="_Ref141108416"/>
      <w:bookmarkStart w:id="341" w:name="_Toc63764766"/>
      <w:bookmarkStart w:id="342" w:name="_Toc75176488"/>
      <w:bookmarkStart w:id="343" w:name="_Toc85442579"/>
      <w:bookmarkStart w:id="344" w:name="_Toc85445926"/>
      <w:bookmarkStart w:id="345" w:name="_Toc87429972"/>
      <w:bookmarkStart w:id="346" w:name="_Toc88561404"/>
      <w:bookmarkStart w:id="347" w:name="_Toc115188862"/>
      <w:bookmarkStart w:id="348" w:name="_Toc142314703"/>
      <w:bookmarkStart w:id="349" w:name="_Toc145394286"/>
      <w:bookmarkStart w:id="350" w:name="_Toc189053961"/>
    </w:p>
    <w:p w14:paraId="53D6C1E2" w14:textId="5B139958" w:rsidR="00F1628D" w:rsidRDefault="00F1628D" w:rsidP="00F1628D">
      <w:pPr>
        <w:pStyle w:val="Figure"/>
        <w:ind w:right="-710"/>
      </w:pPr>
      <w:bookmarkStart w:id="351" w:name="_Ref189454184"/>
      <w:bookmarkStart w:id="352" w:name="_Toc189647946"/>
      <w:r w:rsidRPr="005F78FD">
        <w:t>Figure </w:t>
      </w:r>
      <w:r w:rsidRPr="005F78FD">
        <w:fldChar w:fldCharType="begin"/>
      </w:r>
      <w:r w:rsidRPr="005F78FD">
        <w:instrText>SEQ Figure \* ARABIC</w:instrText>
      </w:r>
      <w:r w:rsidRPr="005F78FD">
        <w:fldChar w:fldCharType="separate"/>
      </w:r>
      <w:r w:rsidR="00753BC8">
        <w:rPr>
          <w:noProof/>
        </w:rPr>
        <w:t>20</w:t>
      </w:r>
      <w:r w:rsidRPr="005F78FD">
        <w:fldChar w:fldCharType="end"/>
      </w:r>
      <w:bookmarkEnd w:id="340"/>
      <w:bookmarkEnd w:id="351"/>
      <w:r w:rsidRPr="005F78FD">
        <w:t>: Number of people secluded in adult inpatient services nationally, 2007 to 20</w:t>
      </w:r>
      <w:bookmarkEnd w:id="341"/>
      <w:r w:rsidRPr="005F78FD">
        <w:t>22/23</w:t>
      </w:r>
      <w:bookmarkEnd w:id="342"/>
      <w:bookmarkEnd w:id="343"/>
      <w:bookmarkEnd w:id="344"/>
      <w:bookmarkEnd w:id="345"/>
      <w:bookmarkEnd w:id="346"/>
      <w:bookmarkEnd w:id="347"/>
      <w:bookmarkEnd w:id="348"/>
      <w:bookmarkEnd w:id="349"/>
      <w:bookmarkEnd w:id="350"/>
      <w:bookmarkEnd w:id="352"/>
    </w:p>
    <w:p w14:paraId="2ADD1CC0" w14:textId="773AB2E1" w:rsidR="00F1628D" w:rsidRDefault="00F1628D" w:rsidP="00F1628D">
      <w:r>
        <w:rPr>
          <w:noProof/>
        </w:rPr>
        <w:drawing>
          <wp:inline distT="0" distB="0" distL="0" distR="0" wp14:anchorId="42FC706A" wp14:editId="363BB341">
            <wp:extent cx="4896000" cy="2936146"/>
            <wp:effectExtent l="0" t="0" r="0" b="0"/>
            <wp:docPr id="24" name="Pictur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a:extLst>
                        <a:ext uri="{C183D7F6-B498-43B3-948B-1728B52AA6E4}">
                          <adec:decorative xmlns:adec="http://schemas.microsoft.com/office/drawing/2017/decorative" val="1"/>
                        </a:ext>
                      </a:extLst>
                    </pic:cNvPr>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896000" cy="2936146"/>
                    </a:xfrm>
                    <a:prstGeom prst="rect">
                      <a:avLst/>
                    </a:prstGeom>
                    <a:noFill/>
                  </pic:spPr>
                </pic:pic>
              </a:graphicData>
            </a:graphic>
          </wp:inline>
        </w:drawing>
      </w:r>
    </w:p>
    <w:p w14:paraId="6EA9123C" w14:textId="77777777" w:rsidR="00F1628D" w:rsidRPr="005F78FD" w:rsidRDefault="00F1628D" w:rsidP="00F1628D">
      <w:pPr>
        <w:spacing w:before="80"/>
        <w:rPr>
          <w:rFonts w:cs="Segoe UI"/>
          <w:sz w:val="17"/>
          <w:szCs w:val="17"/>
        </w:rPr>
      </w:pPr>
      <w:r w:rsidRPr="005F78FD">
        <w:rPr>
          <w:rFonts w:cs="Segoe UI"/>
          <w:sz w:val="17"/>
          <w:szCs w:val="17"/>
        </w:rPr>
        <w:t xml:space="preserve">Notes: The data excludes forensic inpatient services and </w:t>
      </w:r>
      <w:r w:rsidRPr="0FE006CE">
        <w:rPr>
          <w:rFonts w:cs="Segoe UI"/>
          <w:sz w:val="17"/>
          <w:szCs w:val="17"/>
        </w:rPr>
        <w:t>regional intellectual disability secure services. All years before 2020/21 are calendar years.</w:t>
      </w:r>
    </w:p>
    <w:p w14:paraId="672D885F" w14:textId="77777777" w:rsidR="00F1628D" w:rsidRPr="005F78FD" w:rsidRDefault="00F1628D" w:rsidP="00F1628D">
      <w:pPr>
        <w:spacing w:before="80"/>
        <w:rPr>
          <w:rFonts w:cs="Segoe UI"/>
          <w:sz w:val="17"/>
        </w:rPr>
      </w:pPr>
      <w:r w:rsidRPr="005F78FD">
        <w:rPr>
          <w:rFonts w:cs="Segoe UI"/>
          <w:sz w:val="17"/>
        </w:rPr>
        <w:t>Sources: PRIMHD data (extracted 28 February 2024) and manual data from Health New Zealand South Canterbury, Tairāwhiti and Waitematā.</w:t>
      </w:r>
    </w:p>
    <w:p w14:paraId="58D59906" w14:textId="77777777" w:rsidR="00F1628D" w:rsidRPr="005F78FD" w:rsidRDefault="00F1628D" w:rsidP="00F1628D">
      <w:pPr>
        <w:rPr>
          <w:rFonts w:cs="Segoe UI"/>
        </w:rPr>
      </w:pPr>
    </w:p>
    <w:p w14:paraId="155C6654" w14:textId="388F0AC2" w:rsidR="00F1628D" w:rsidRPr="005F78FD" w:rsidRDefault="00F1628D" w:rsidP="00F1628D">
      <w:pPr>
        <w:pStyle w:val="Figure"/>
        <w:ind w:right="-568"/>
      </w:pPr>
      <w:bookmarkStart w:id="353" w:name="_Ref141108424"/>
      <w:bookmarkStart w:id="354" w:name="_Toc63764767"/>
      <w:bookmarkStart w:id="355" w:name="_Toc75176489"/>
      <w:bookmarkStart w:id="356" w:name="_Toc85442580"/>
      <w:bookmarkStart w:id="357" w:name="_Toc85445927"/>
      <w:bookmarkStart w:id="358" w:name="_Toc87429973"/>
      <w:bookmarkStart w:id="359" w:name="_Toc88561405"/>
      <w:bookmarkStart w:id="360" w:name="_Toc115188863"/>
      <w:bookmarkStart w:id="361" w:name="_Toc142314704"/>
      <w:bookmarkStart w:id="362" w:name="_Toc145394287"/>
      <w:bookmarkStart w:id="363" w:name="_Toc189053962"/>
      <w:bookmarkStart w:id="364" w:name="_Toc189647947"/>
      <w:r w:rsidRPr="005F78FD">
        <w:t>Figure </w:t>
      </w:r>
      <w:r w:rsidRPr="005F78FD">
        <w:fldChar w:fldCharType="begin"/>
      </w:r>
      <w:r w:rsidRPr="005F78FD">
        <w:instrText>SEQ Figure \* ARABIC</w:instrText>
      </w:r>
      <w:r w:rsidRPr="005F78FD">
        <w:fldChar w:fldCharType="separate"/>
      </w:r>
      <w:r w:rsidR="00753BC8">
        <w:rPr>
          <w:noProof/>
        </w:rPr>
        <w:t>21</w:t>
      </w:r>
      <w:r w:rsidRPr="005F78FD">
        <w:fldChar w:fldCharType="end"/>
      </w:r>
      <w:bookmarkEnd w:id="353"/>
      <w:r w:rsidRPr="005F78FD">
        <w:t>: Number of seclusion hours in adult inpatient services nationally, 2007 to 20</w:t>
      </w:r>
      <w:bookmarkEnd w:id="354"/>
      <w:r w:rsidRPr="005F78FD">
        <w:t>22</w:t>
      </w:r>
      <w:bookmarkEnd w:id="355"/>
      <w:bookmarkEnd w:id="356"/>
      <w:bookmarkEnd w:id="357"/>
      <w:bookmarkEnd w:id="358"/>
      <w:bookmarkEnd w:id="359"/>
      <w:r w:rsidRPr="005F78FD">
        <w:t>/23</w:t>
      </w:r>
      <w:bookmarkEnd w:id="360"/>
      <w:bookmarkEnd w:id="361"/>
      <w:bookmarkEnd w:id="362"/>
      <w:bookmarkEnd w:id="363"/>
      <w:bookmarkEnd w:id="364"/>
    </w:p>
    <w:p w14:paraId="21ED4F6F" w14:textId="5E7222FA" w:rsidR="00F1628D" w:rsidRDefault="00F1628D" w:rsidP="00F1628D">
      <w:r>
        <w:rPr>
          <w:noProof/>
        </w:rPr>
        <w:drawing>
          <wp:inline distT="0" distB="0" distL="0" distR="0" wp14:anchorId="7EA16F59" wp14:editId="2B588953">
            <wp:extent cx="4896000" cy="2982780"/>
            <wp:effectExtent l="0" t="0" r="0" b="8255"/>
            <wp:docPr id="25" name="Pictur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a:extLst>
                        <a:ext uri="{C183D7F6-B498-43B3-948B-1728B52AA6E4}">
                          <adec:decorative xmlns:adec="http://schemas.microsoft.com/office/drawing/2017/decorative" val="1"/>
                        </a:ext>
                      </a:extLst>
                    </pic:cNvP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896000" cy="2982780"/>
                    </a:xfrm>
                    <a:prstGeom prst="rect">
                      <a:avLst/>
                    </a:prstGeom>
                    <a:noFill/>
                  </pic:spPr>
                </pic:pic>
              </a:graphicData>
            </a:graphic>
          </wp:inline>
        </w:drawing>
      </w:r>
    </w:p>
    <w:p w14:paraId="3DEE8502" w14:textId="77777777" w:rsidR="00F1628D" w:rsidRPr="005F78FD" w:rsidRDefault="00F1628D" w:rsidP="00F1628D">
      <w:pPr>
        <w:spacing w:before="80"/>
        <w:rPr>
          <w:rFonts w:cs="Segoe UI"/>
          <w:sz w:val="17"/>
          <w:szCs w:val="17"/>
        </w:rPr>
      </w:pPr>
      <w:r w:rsidRPr="005F78FD">
        <w:rPr>
          <w:rFonts w:cs="Segoe UI"/>
          <w:sz w:val="17"/>
          <w:szCs w:val="17"/>
        </w:rPr>
        <w:t>Notes: The data excludes forensic inpatient services and</w:t>
      </w:r>
      <w:r w:rsidRPr="0FE006CE">
        <w:rPr>
          <w:rFonts w:cs="Segoe UI"/>
          <w:sz w:val="17"/>
          <w:szCs w:val="17"/>
        </w:rPr>
        <w:t xml:space="preserve"> regional intellectual disability secure services. All years before 2020/21 are calendar years. </w:t>
      </w:r>
    </w:p>
    <w:p w14:paraId="02716CB4" w14:textId="77777777" w:rsidR="00F1628D" w:rsidRPr="005F78FD" w:rsidRDefault="00F1628D" w:rsidP="00F1628D">
      <w:pPr>
        <w:spacing w:before="80"/>
        <w:rPr>
          <w:rFonts w:cs="Segoe UI"/>
          <w:sz w:val="17"/>
        </w:rPr>
      </w:pPr>
      <w:r w:rsidRPr="005F78FD">
        <w:rPr>
          <w:rFonts w:cs="Segoe UI"/>
          <w:sz w:val="17"/>
        </w:rPr>
        <w:t>Sources: PRIMHD data (extracted 28 February 2024) and manual data from Health New Zealand South Canterbury, Tairāwhiti and Waitematā.</w:t>
      </w:r>
    </w:p>
    <w:p w14:paraId="0E345C64" w14:textId="77777777" w:rsidR="00F1628D" w:rsidRPr="005F78FD" w:rsidRDefault="00F1628D" w:rsidP="00F1628D">
      <w:pPr>
        <w:pStyle w:val="Heading2"/>
      </w:pPr>
      <w:bookmarkStart w:id="365" w:name="_Toc87429912"/>
      <w:bookmarkStart w:id="366" w:name="_Toc88826960"/>
      <w:bookmarkStart w:id="367" w:name="_Toc115188810"/>
      <w:bookmarkStart w:id="368" w:name="_Toc145394238"/>
      <w:bookmarkStart w:id="369" w:name="_Toc189053908"/>
      <w:bookmarkStart w:id="370" w:name="_Toc189647897"/>
      <w:r w:rsidRPr="005F78FD">
        <w:t>Seclusion in Aotearoa</w:t>
      </w:r>
      <w:r>
        <w:t xml:space="preserve"> New Zealand</w:t>
      </w:r>
      <w:r w:rsidRPr="005F78FD">
        <w:t xml:space="preserve"> mental health services</w:t>
      </w:r>
      <w:bookmarkEnd w:id="365"/>
      <w:bookmarkEnd w:id="366"/>
      <w:bookmarkEnd w:id="367"/>
      <w:bookmarkEnd w:id="368"/>
      <w:r w:rsidRPr="00501296">
        <w:rPr>
          <w:vertAlign w:val="superscript"/>
        </w:rPr>
        <w:footnoteReference w:id="17"/>
      </w:r>
      <w:bookmarkEnd w:id="369"/>
      <w:bookmarkEnd w:id="370"/>
    </w:p>
    <w:p w14:paraId="09C92E9D" w14:textId="77777777" w:rsidR="00F1628D" w:rsidRPr="005F78FD" w:rsidRDefault="00F1628D" w:rsidP="00F1628D">
      <w:pPr>
        <w:rPr>
          <w:rFonts w:cs="Segoe UI"/>
        </w:rPr>
      </w:pPr>
      <w:r>
        <w:rPr>
          <w:rFonts w:cs="Segoe UI"/>
        </w:rPr>
        <w:t>In the</w:t>
      </w:r>
      <w:r w:rsidRPr="005F78FD">
        <w:rPr>
          <w:rFonts w:cs="Segoe UI"/>
        </w:rPr>
        <w:t xml:space="preserve"> 2022</w:t>
      </w:r>
      <w:r>
        <w:rPr>
          <w:rFonts w:cs="Segoe UI"/>
        </w:rPr>
        <w:t>/23 financial year</w:t>
      </w:r>
      <w:r w:rsidRPr="005F78FD">
        <w:rPr>
          <w:rFonts w:cs="Segoe UI"/>
        </w:rPr>
        <w:t>, Aotearoa New Zealand adult mental health services (excluding forensic and other regional rehabilitation services) accommodated 7,866 people for a total of 215,233 bed nights. Of these, 699 people (8.9%) were secluded at some stage during the reporting period. Māori made up 55% of all adults secluded.</w:t>
      </w:r>
    </w:p>
    <w:p w14:paraId="060DFF0D" w14:textId="77777777" w:rsidR="00F1628D" w:rsidRPr="005F78FD" w:rsidRDefault="00F1628D" w:rsidP="00F1628D">
      <w:pPr>
        <w:rPr>
          <w:rFonts w:cs="Segoe UI"/>
        </w:rPr>
      </w:pPr>
    </w:p>
    <w:p w14:paraId="61FE4A2C" w14:textId="77777777" w:rsidR="00F1628D" w:rsidRPr="005F78FD" w:rsidRDefault="00F1628D" w:rsidP="00F1628D">
      <w:pPr>
        <w:rPr>
          <w:rFonts w:cs="Segoe UI"/>
        </w:rPr>
      </w:pPr>
      <w:r w:rsidRPr="005F78FD">
        <w:rPr>
          <w:rFonts w:cs="Segoe UI"/>
        </w:rPr>
        <w:t>Many were secluded more than once (on average</w:t>
      </w:r>
      <w:r>
        <w:rPr>
          <w:rFonts w:cs="Segoe UI"/>
        </w:rPr>
        <w:t>,</w:t>
      </w:r>
      <w:r w:rsidRPr="005F78FD">
        <w:rPr>
          <w:rFonts w:cs="Segoe UI"/>
        </w:rPr>
        <w:t xml:space="preserve"> 1.7 times). For this reason, the number of seclusion events in adult inpatient services (1,178) was higher than the number of people secluded. </w:t>
      </w:r>
      <w:r>
        <w:rPr>
          <w:rFonts w:cs="Segoe UI"/>
        </w:rPr>
        <w:t>The seclusion reduction policy helps to explain this trend in that s</w:t>
      </w:r>
      <w:r w:rsidRPr="005F78FD">
        <w:rPr>
          <w:rFonts w:cs="Segoe UI"/>
        </w:rPr>
        <w:t xml:space="preserve">ervices are encouraged to support patients </w:t>
      </w:r>
      <w:r>
        <w:rPr>
          <w:rFonts w:cs="Segoe UI"/>
        </w:rPr>
        <w:t>to</w:t>
      </w:r>
      <w:r w:rsidRPr="005F78FD">
        <w:rPr>
          <w:rFonts w:cs="Segoe UI"/>
        </w:rPr>
        <w:t xml:space="preserve"> exit seclusion</w:t>
      </w:r>
      <w:r>
        <w:rPr>
          <w:rFonts w:cs="Segoe UI"/>
        </w:rPr>
        <w:t xml:space="preserve"> rather than</w:t>
      </w:r>
      <w:r w:rsidRPr="005F78FD">
        <w:rPr>
          <w:rFonts w:cs="Segoe UI"/>
        </w:rPr>
        <w:t xml:space="preserve"> seclud</w:t>
      </w:r>
      <w:r>
        <w:rPr>
          <w:rFonts w:cs="Segoe UI"/>
        </w:rPr>
        <w:t>ing them</w:t>
      </w:r>
      <w:r w:rsidRPr="005F78FD">
        <w:rPr>
          <w:rFonts w:cs="Segoe UI"/>
        </w:rPr>
        <w:t xml:space="preserve"> for a longer single session. If the period outside of seclusion is not yet successful, they may be secluded again, </w:t>
      </w:r>
      <w:r>
        <w:rPr>
          <w:rFonts w:cs="Segoe UI"/>
        </w:rPr>
        <w:t>with the result that</w:t>
      </w:r>
      <w:r w:rsidRPr="005F78FD">
        <w:rPr>
          <w:rFonts w:cs="Segoe UI"/>
        </w:rPr>
        <w:t xml:space="preserve"> a patient could have several seclusion events. </w:t>
      </w:r>
    </w:p>
    <w:p w14:paraId="73705984" w14:textId="77777777" w:rsidR="00F1628D" w:rsidRPr="005F78FD" w:rsidRDefault="00F1628D" w:rsidP="00F1628D">
      <w:pPr>
        <w:rPr>
          <w:rFonts w:cs="Segoe UI"/>
        </w:rPr>
      </w:pPr>
    </w:p>
    <w:p w14:paraId="38270D7F" w14:textId="77777777" w:rsidR="00F1628D" w:rsidRPr="005F78FD" w:rsidRDefault="00F1628D" w:rsidP="00F1628D">
      <w:pPr>
        <w:rPr>
          <w:rFonts w:cs="Segoe UI"/>
        </w:rPr>
      </w:pPr>
      <w:r w:rsidRPr="005F78FD">
        <w:rPr>
          <w:rFonts w:cs="Segoe UI"/>
        </w:rPr>
        <w:t>There were 5.5 seclusion events per 1,000 bed nights in adult inpatient units. This means that nationally and on average, for every 1,000 bed nights a person spent in an inpatient unit, they would have 5.5 seclusion events.</w:t>
      </w:r>
    </w:p>
    <w:p w14:paraId="4D3D9462" w14:textId="77777777" w:rsidR="00F1628D" w:rsidRPr="005F78FD" w:rsidRDefault="00F1628D" w:rsidP="00F1628D">
      <w:pPr>
        <w:rPr>
          <w:rFonts w:cs="Segoe UI"/>
        </w:rPr>
      </w:pPr>
    </w:p>
    <w:p w14:paraId="4E7245DF" w14:textId="77777777" w:rsidR="00F1628D" w:rsidRPr="005F78FD" w:rsidRDefault="00F1628D" w:rsidP="00F1628D">
      <w:pPr>
        <w:rPr>
          <w:rFonts w:cs="Segoe UI"/>
        </w:rPr>
      </w:pPr>
      <w:r w:rsidRPr="005F78FD">
        <w:rPr>
          <w:rFonts w:cs="Segoe UI"/>
        </w:rPr>
        <w:t xml:space="preserve">Across all inpatient services, including forensic, intellectual disability and youth services, 942 people experienced at least </w:t>
      </w:r>
      <w:r w:rsidRPr="614949CD">
        <w:rPr>
          <w:rFonts w:cs="Segoe UI"/>
        </w:rPr>
        <w:t>one</w:t>
      </w:r>
      <w:r w:rsidRPr="005F78FD">
        <w:rPr>
          <w:rFonts w:cs="Segoe UI"/>
        </w:rPr>
        <w:t xml:space="preserve"> seclusion event</w:t>
      </w:r>
      <w:r>
        <w:rPr>
          <w:rFonts w:cs="Segoe UI"/>
        </w:rPr>
        <w:t>. Of those people,</w:t>
      </w:r>
      <w:r w:rsidRPr="005F78FD">
        <w:rPr>
          <w:rFonts w:cs="Segoe UI"/>
        </w:rPr>
        <w:t xml:space="preserve"> 71.8% </w:t>
      </w:r>
      <w:r>
        <w:rPr>
          <w:rFonts w:cs="Segoe UI"/>
        </w:rPr>
        <w:t xml:space="preserve">were </w:t>
      </w:r>
      <w:r w:rsidRPr="005F78FD">
        <w:rPr>
          <w:rFonts w:cs="Segoe UI"/>
        </w:rPr>
        <w:t xml:space="preserve">male and 28% </w:t>
      </w:r>
      <w:r>
        <w:rPr>
          <w:rFonts w:cs="Segoe UI"/>
        </w:rPr>
        <w:t xml:space="preserve">were </w:t>
      </w:r>
      <w:r w:rsidRPr="005F78FD">
        <w:rPr>
          <w:rFonts w:cs="Segoe UI"/>
        </w:rPr>
        <w:t xml:space="preserve">female. </w:t>
      </w:r>
    </w:p>
    <w:p w14:paraId="10EF66CA" w14:textId="77777777" w:rsidR="00F1628D" w:rsidRPr="005F78FD" w:rsidRDefault="00F1628D" w:rsidP="00F1628D">
      <w:pPr>
        <w:rPr>
          <w:rFonts w:cs="Segoe UI"/>
        </w:rPr>
      </w:pPr>
    </w:p>
    <w:p w14:paraId="4B4700A4" w14:textId="4B29DF13" w:rsidR="00F1628D" w:rsidRDefault="00F1628D" w:rsidP="00F1628D">
      <w:pPr>
        <w:rPr>
          <w:rFonts w:cs="Segoe UI"/>
        </w:rPr>
      </w:pPr>
      <w:r>
        <w:rPr>
          <w:rFonts w:cs="Segoe UI"/>
        </w:rPr>
        <w:t xml:space="preserve">As </w:t>
      </w:r>
      <w:r w:rsidR="00B5686F">
        <w:rPr>
          <w:rFonts w:cs="Segoe UI"/>
        </w:rPr>
        <w:fldChar w:fldCharType="begin"/>
      </w:r>
      <w:r w:rsidR="00B5686F">
        <w:rPr>
          <w:rFonts w:cs="Segoe UI"/>
        </w:rPr>
        <w:instrText xml:space="preserve"> REF _Ref141108457 \h </w:instrText>
      </w:r>
      <w:r w:rsidR="00B5686F">
        <w:rPr>
          <w:rFonts w:cs="Segoe UI"/>
        </w:rPr>
      </w:r>
      <w:r w:rsidR="00B5686F">
        <w:rPr>
          <w:rFonts w:cs="Segoe UI"/>
        </w:rPr>
        <w:fldChar w:fldCharType="separate"/>
      </w:r>
      <w:r w:rsidR="00753BC8" w:rsidRPr="005F78FD">
        <w:t>Figure </w:t>
      </w:r>
      <w:r w:rsidR="00753BC8">
        <w:rPr>
          <w:noProof/>
        </w:rPr>
        <w:t>22</w:t>
      </w:r>
      <w:r w:rsidR="00B5686F">
        <w:rPr>
          <w:rFonts w:cs="Segoe UI"/>
        </w:rPr>
        <w:fldChar w:fldCharType="end"/>
      </w:r>
      <w:r>
        <w:rPr>
          <w:rFonts w:cs="Segoe UI"/>
        </w:rPr>
        <w:t xml:space="preserve"> shows, the</w:t>
      </w:r>
      <w:r w:rsidRPr="005F78FD">
        <w:rPr>
          <w:rFonts w:cs="Segoe UI"/>
        </w:rPr>
        <w:t xml:space="preserve"> most common age group for those secluded was 20–29</w:t>
      </w:r>
      <w:r>
        <w:rPr>
          <w:rFonts w:cs="Segoe UI"/>
        </w:rPr>
        <w:t xml:space="preserve"> years</w:t>
      </w:r>
      <w:r w:rsidRPr="005F78FD">
        <w:rPr>
          <w:rFonts w:cs="Segoe UI"/>
        </w:rPr>
        <w:t xml:space="preserve">. A total of 102 young people (aged 19 </w:t>
      </w:r>
      <w:r>
        <w:rPr>
          <w:rFonts w:cs="Segoe UI"/>
        </w:rPr>
        <w:t xml:space="preserve">years </w:t>
      </w:r>
      <w:r w:rsidRPr="005F78FD">
        <w:rPr>
          <w:rFonts w:cs="Segoe UI"/>
        </w:rPr>
        <w:t>and under) experienced 234 seclusion events across mental health and intellectual disability services during the year</w:t>
      </w:r>
      <w:r>
        <w:rPr>
          <w:rFonts w:cs="Segoe UI"/>
        </w:rPr>
        <w:t xml:space="preserve">. </w:t>
      </w:r>
      <w:r w:rsidR="00B5686F">
        <w:rPr>
          <w:rFonts w:cs="Segoe UI"/>
        </w:rPr>
        <w:fldChar w:fldCharType="begin"/>
      </w:r>
      <w:r w:rsidR="00B5686F">
        <w:rPr>
          <w:rFonts w:cs="Segoe UI"/>
        </w:rPr>
        <w:instrText xml:space="preserve"> REF _Ref142302558 \h </w:instrText>
      </w:r>
      <w:r w:rsidR="00B5686F">
        <w:rPr>
          <w:rFonts w:cs="Segoe UI"/>
        </w:rPr>
      </w:r>
      <w:r w:rsidR="00B5686F">
        <w:rPr>
          <w:rFonts w:cs="Segoe UI"/>
        </w:rPr>
        <w:fldChar w:fldCharType="separate"/>
      </w:r>
      <w:r w:rsidR="00753BC8" w:rsidRPr="005F78FD">
        <w:t>Figure </w:t>
      </w:r>
      <w:r w:rsidR="00753BC8">
        <w:rPr>
          <w:noProof/>
        </w:rPr>
        <w:t>23</w:t>
      </w:r>
      <w:r w:rsidR="00B5686F">
        <w:rPr>
          <w:rFonts w:cs="Segoe UI"/>
        </w:rPr>
        <w:fldChar w:fldCharType="end"/>
      </w:r>
      <w:r>
        <w:rPr>
          <w:rFonts w:cs="Segoe UI"/>
        </w:rPr>
        <w:t xml:space="preserve"> presents the age group seclusion data as rates per 100,000 population to better demonstrate the differences between them</w:t>
      </w:r>
      <w:r w:rsidRPr="005F78FD">
        <w:rPr>
          <w:rFonts w:cs="Segoe UI"/>
        </w:rPr>
        <w:t>.</w:t>
      </w:r>
    </w:p>
    <w:p w14:paraId="7DF06253" w14:textId="77777777" w:rsidR="00F1628D" w:rsidRDefault="00F1628D" w:rsidP="00F1628D">
      <w:pPr>
        <w:rPr>
          <w:rFonts w:cs="Segoe UI"/>
        </w:rPr>
      </w:pPr>
    </w:p>
    <w:p w14:paraId="09F906B0" w14:textId="77777777" w:rsidR="00F1628D" w:rsidRPr="005F78FD" w:rsidRDefault="00F1628D" w:rsidP="00F1628D">
      <w:pPr>
        <w:rPr>
          <w:rFonts w:cs="Segoe UI"/>
        </w:rPr>
      </w:pPr>
      <w:r>
        <w:rPr>
          <w:rFonts w:cs="Segoe UI"/>
        </w:rPr>
        <w:t>Figures 24 and 25 present the number of seclusion events across all inpatient services by the length of event. 65.5% of events lasted for less than 24 hours.</w:t>
      </w:r>
    </w:p>
    <w:p w14:paraId="327561B5" w14:textId="77777777" w:rsidR="005F3002" w:rsidRDefault="005F3002" w:rsidP="00F1628D">
      <w:pPr>
        <w:rPr>
          <w:rFonts w:cs="Segoe UI"/>
        </w:rPr>
        <w:sectPr w:rsidR="005F3002" w:rsidSect="00D4159A">
          <w:pgSz w:w="11907" w:h="16834" w:code="9"/>
          <w:pgMar w:top="1418" w:right="1701" w:bottom="1134" w:left="1843" w:header="284" w:footer="425" w:gutter="284"/>
          <w:cols w:space="720"/>
        </w:sectPr>
      </w:pPr>
    </w:p>
    <w:p w14:paraId="31823D38" w14:textId="6F27191D" w:rsidR="00F1628D" w:rsidRPr="005F3002" w:rsidRDefault="005F3002" w:rsidP="005F3002">
      <w:pPr>
        <w:pStyle w:val="Figure"/>
      </w:pPr>
      <w:bookmarkStart w:id="371" w:name="_Ref141108457"/>
      <w:bookmarkStart w:id="372" w:name="_Toc63764768"/>
      <w:bookmarkStart w:id="373" w:name="_Toc75176490"/>
      <w:bookmarkStart w:id="374" w:name="_Toc85442581"/>
      <w:bookmarkStart w:id="375" w:name="_Toc85445928"/>
      <w:bookmarkStart w:id="376" w:name="_Toc87429974"/>
      <w:bookmarkStart w:id="377" w:name="_Toc88561406"/>
      <w:bookmarkStart w:id="378" w:name="_Toc115188864"/>
      <w:bookmarkStart w:id="379" w:name="_Toc142314705"/>
      <w:bookmarkStart w:id="380" w:name="_Toc145394288"/>
      <w:bookmarkStart w:id="381" w:name="_Toc189053963"/>
      <w:bookmarkStart w:id="382" w:name="_Toc189647948"/>
      <w:r w:rsidRPr="005F78FD">
        <w:t>Figure </w:t>
      </w:r>
      <w:r w:rsidRPr="005F78FD">
        <w:fldChar w:fldCharType="begin"/>
      </w:r>
      <w:r w:rsidRPr="005F78FD">
        <w:instrText>SEQ Figure \* ARABIC</w:instrText>
      </w:r>
      <w:r w:rsidRPr="005F78FD">
        <w:fldChar w:fldCharType="separate"/>
      </w:r>
      <w:r w:rsidR="00753BC8">
        <w:rPr>
          <w:noProof/>
        </w:rPr>
        <w:t>22</w:t>
      </w:r>
      <w:r w:rsidRPr="005F78FD">
        <w:fldChar w:fldCharType="end"/>
      </w:r>
      <w:bookmarkEnd w:id="371"/>
      <w:r w:rsidRPr="005F78FD">
        <w:t xml:space="preserve">: Number of people secluded across all inpatient services (adult, forensic, intellectual disability and youth), by age group, 1 </w:t>
      </w:r>
      <w:bookmarkEnd w:id="372"/>
      <w:bookmarkEnd w:id="373"/>
      <w:bookmarkEnd w:id="374"/>
      <w:bookmarkEnd w:id="375"/>
      <w:bookmarkEnd w:id="376"/>
      <w:bookmarkEnd w:id="377"/>
      <w:r w:rsidRPr="005F78FD">
        <w:t>July 2022 to 30 June 2023</w:t>
      </w:r>
      <w:bookmarkEnd w:id="378"/>
      <w:bookmarkEnd w:id="379"/>
      <w:bookmarkEnd w:id="380"/>
      <w:bookmarkEnd w:id="381"/>
      <w:bookmarkEnd w:id="382"/>
    </w:p>
    <w:p w14:paraId="5BB4A676" w14:textId="328CF6F4" w:rsidR="00F1628D" w:rsidRDefault="005F3002" w:rsidP="00F1628D">
      <w:r>
        <w:rPr>
          <w:noProof/>
        </w:rPr>
        <w:drawing>
          <wp:inline distT="0" distB="0" distL="0" distR="0" wp14:anchorId="04582C16" wp14:editId="7E98FE47">
            <wp:extent cx="5133340" cy="2353310"/>
            <wp:effectExtent l="0" t="0" r="0" b="8890"/>
            <wp:docPr id="26" name="Picture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a:extLst>
                        <a:ext uri="{C183D7F6-B498-43B3-948B-1728B52AA6E4}">
                          <adec:decorative xmlns:adec="http://schemas.microsoft.com/office/drawing/2017/decorative" val="1"/>
                        </a:ext>
                      </a:extLst>
                    </pic:cNvPr>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133340" cy="2353310"/>
                    </a:xfrm>
                    <a:prstGeom prst="rect">
                      <a:avLst/>
                    </a:prstGeom>
                    <a:noFill/>
                  </pic:spPr>
                </pic:pic>
              </a:graphicData>
            </a:graphic>
          </wp:inline>
        </w:drawing>
      </w:r>
    </w:p>
    <w:p w14:paraId="1235CB14" w14:textId="77777777" w:rsidR="005F3002" w:rsidRPr="005F78FD" w:rsidRDefault="005F3002" w:rsidP="005F3002">
      <w:pPr>
        <w:spacing w:before="80"/>
        <w:rPr>
          <w:rFonts w:cs="Segoe UI"/>
          <w:sz w:val="17"/>
        </w:rPr>
      </w:pPr>
      <w:r w:rsidRPr="005F78FD">
        <w:rPr>
          <w:rFonts w:cs="Segoe UI"/>
          <w:sz w:val="17"/>
        </w:rPr>
        <w:t>Note: The data includes patients treated in regional intellectual disability secure services.</w:t>
      </w:r>
    </w:p>
    <w:p w14:paraId="34BC70D8" w14:textId="77777777" w:rsidR="005F3002" w:rsidRPr="005F78FD" w:rsidRDefault="005F3002" w:rsidP="005F3002">
      <w:pPr>
        <w:spacing w:before="80"/>
        <w:rPr>
          <w:rFonts w:cs="Segoe UI"/>
          <w:sz w:val="17"/>
        </w:rPr>
      </w:pPr>
      <w:r w:rsidRPr="005F78FD">
        <w:rPr>
          <w:rFonts w:cs="Segoe UI"/>
          <w:sz w:val="17"/>
        </w:rPr>
        <w:t>Sources: PRIMHD data (extracted 28 February 2024) and manual data from Health New Zealand South Canterbury, Tairāwhiti and Waitematā.</w:t>
      </w:r>
    </w:p>
    <w:p w14:paraId="3C41D93F" w14:textId="77777777" w:rsidR="005F3002" w:rsidRPr="005F78FD" w:rsidRDefault="005F3002" w:rsidP="005F3002">
      <w:pPr>
        <w:rPr>
          <w:rFonts w:cs="Segoe UI"/>
        </w:rPr>
      </w:pPr>
    </w:p>
    <w:p w14:paraId="45382A5E" w14:textId="71D7BA31" w:rsidR="005F3002" w:rsidRPr="005F78FD" w:rsidRDefault="005F3002" w:rsidP="005F3002">
      <w:pPr>
        <w:pStyle w:val="Figure"/>
      </w:pPr>
      <w:bookmarkStart w:id="383" w:name="_Ref142302558"/>
      <w:bookmarkStart w:id="384" w:name="_Toc142314706"/>
      <w:bookmarkStart w:id="385" w:name="_Toc145394289"/>
      <w:bookmarkStart w:id="386" w:name="_Toc189053964"/>
      <w:bookmarkStart w:id="387" w:name="_Toc189647949"/>
      <w:r w:rsidRPr="005F78FD">
        <w:t>Figure </w:t>
      </w:r>
      <w:r w:rsidRPr="005F78FD">
        <w:fldChar w:fldCharType="begin"/>
      </w:r>
      <w:r w:rsidRPr="005F78FD">
        <w:instrText>SEQ Figure \* ARABIC</w:instrText>
      </w:r>
      <w:r w:rsidRPr="005F78FD">
        <w:fldChar w:fldCharType="separate"/>
      </w:r>
      <w:r w:rsidR="00753BC8">
        <w:rPr>
          <w:noProof/>
        </w:rPr>
        <w:t>23</w:t>
      </w:r>
      <w:r w:rsidRPr="005F78FD">
        <w:fldChar w:fldCharType="end"/>
      </w:r>
      <w:bookmarkEnd w:id="383"/>
      <w:r w:rsidRPr="005F78FD">
        <w:t xml:space="preserve">: </w:t>
      </w:r>
      <w:r>
        <w:t xml:space="preserve">Rate </w:t>
      </w:r>
      <w:r w:rsidRPr="005F78FD">
        <w:t>of people secluded across all inpatient services (adult, forensic, intellectual disability and youth) per 100,000 population, by age group, 1 July 2022 to 30</w:t>
      </w:r>
      <w:r>
        <w:t> </w:t>
      </w:r>
      <w:r w:rsidRPr="005F78FD">
        <w:t>June 202</w:t>
      </w:r>
      <w:bookmarkEnd w:id="384"/>
      <w:bookmarkEnd w:id="385"/>
      <w:r w:rsidRPr="005F78FD">
        <w:t>3</w:t>
      </w:r>
      <w:bookmarkEnd w:id="386"/>
      <w:bookmarkEnd w:id="387"/>
    </w:p>
    <w:p w14:paraId="64EAB871" w14:textId="4ED029B1" w:rsidR="005F3002" w:rsidRDefault="005F3002" w:rsidP="00F1628D">
      <w:r>
        <w:rPr>
          <w:noProof/>
        </w:rPr>
        <w:drawing>
          <wp:inline distT="0" distB="0" distL="0" distR="0" wp14:anchorId="654ADA41" wp14:editId="4E5FF4C9">
            <wp:extent cx="5133340" cy="2993390"/>
            <wp:effectExtent l="0" t="0" r="0" b="0"/>
            <wp:docPr id="27" name="Picture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a:extLst>
                        <a:ext uri="{C183D7F6-B498-43B3-948B-1728B52AA6E4}">
                          <adec:decorative xmlns:adec="http://schemas.microsoft.com/office/drawing/2017/decorative" val="1"/>
                        </a:ext>
                      </a:extLst>
                    </pic:cNvPr>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133340" cy="2993390"/>
                    </a:xfrm>
                    <a:prstGeom prst="rect">
                      <a:avLst/>
                    </a:prstGeom>
                    <a:noFill/>
                  </pic:spPr>
                </pic:pic>
              </a:graphicData>
            </a:graphic>
          </wp:inline>
        </w:drawing>
      </w:r>
    </w:p>
    <w:p w14:paraId="4408D084" w14:textId="77777777" w:rsidR="005F3002" w:rsidRPr="005F78FD" w:rsidRDefault="005F3002" w:rsidP="005F3002">
      <w:pPr>
        <w:spacing w:before="80"/>
        <w:rPr>
          <w:rFonts w:cs="Segoe UI"/>
          <w:sz w:val="17"/>
        </w:rPr>
      </w:pPr>
      <w:r w:rsidRPr="005F78FD">
        <w:rPr>
          <w:rFonts w:cs="Segoe UI"/>
          <w:sz w:val="17"/>
        </w:rPr>
        <w:t>Note: The data includes patients treated in regional intellectual disability secure services.</w:t>
      </w:r>
    </w:p>
    <w:p w14:paraId="21343D8F" w14:textId="77777777" w:rsidR="005F3002" w:rsidRPr="005F78FD" w:rsidRDefault="005F3002" w:rsidP="005F3002">
      <w:pPr>
        <w:spacing w:before="80"/>
        <w:rPr>
          <w:rFonts w:cs="Segoe UI"/>
          <w:sz w:val="17"/>
        </w:rPr>
      </w:pPr>
      <w:r w:rsidRPr="005F78FD">
        <w:rPr>
          <w:rFonts w:cs="Segoe UI"/>
          <w:sz w:val="17"/>
        </w:rPr>
        <w:t xml:space="preserve">Sources: PRIMHD data (extracted 28 February 2024) and manual data from Health New Zealand South Canterbury, Tairāwhiti and Waitematā. </w:t>
      </w:r>
    </w:p>
    <w:p w14:paraId="73837719" w14:textId="77777777" w:rsidR="005F3002" w:rsidRDefault="005F3002" w:rsidP="00F1628D">
      <w:pPr>
        <w:sectPr w:rsidR="005F3002" w:rsidSect="00D4159A">
          <w:pgSz w:w="11907" w:h="16834" w:code="9"/>
          <w:pgMar w:top="1418" w:right="1701" w:bottom="1134" w:left="1843" w:header="284" w:footer="425" w:gutter="284"/>
          <w:cols w:space="720"/>
        </w:sectPr>
      </w:pPr>
    </w:p>
    <w:p w14:paraId="772A4DCC" w14:textId="55E9682A" w:rsidR="005F3002" w:rsidRPr="005F78FD" w:rsidRDefault="005F3002" w:rsidP="005F3002">
      <w:pPr>
        <w:pStyle w:val="Figure"/>
      </w:pPr>
      <w:bookmarkStart w:id="388" w:name="_Toc115188865"/>
      <w:bookmarkStart w:id="389" w:name="_Toc142314707"/>
      <w:bookmarkStart w:id="390" w:name="_Toc145394290"/>
      <w:bookmarkStart w:id="391" w:name="_Toc189053965"/>
      <w:bookmarkStart w:id="392" w:name="_Toc189647950"/>
      <w:r w:rsidRPr="005F78FD">
        <w:t>Figure </w:t>
      </w:r>
      <w:r w:rsidRPr="005F78FD">
        <w:fldChar w:fldCharType="begin"/>
      </w:r>
      <w:r w:rsidRPr="005F78FD">
        <w:instrText>SEQ Figure \* ARABIC</w:instrText>
      </w:r>
      <w:r w:rsidRPr="005F78FD">
        <w:fldChar w:fldCharType="separate"/>
      </w:r>
      <w:r w:rsidR="00753BC8">
        <w:rPr>
          <w:noProof/>
        </w:rPr>
        <w:t>24</w:t>
      </w:r>
      <w:r w:rsidRPr="005F78FD">
        <w:fldChar w:fldCharType="end"/>
      </w:r>
      <w:r w:rsidRPr="005F78FD">
        <w:t xml:space="preserve">: Number of seclusion events across all inpatient services (adult, forensic, intellectual disability and youth), by length of event, 1 July 2022 to 30 June </w:t>
      </w:r>
      <w:bookmarkEnd w:id="388"/>
      <w:r w:rsidRPr="005F78FD">
        <w:t>2023</w:t>
      </w:r>
      <w:bookmarkEnd w:id="389"/>
      <w:bookmarkEnd w:id="390"/>
      <w:bookmarkEnd w:id="391"/>
      <w:bookmarkEnd w:id="392"/>
    </w:p>
    <w:p w14:paraId="22DC5A92" w14:textId="30630EAB" w:rsidR="005F3002" w:rsidRDefault="005F3002" w:rsidP="00F1628D">
      <w:r>
        <w:rPr>
          <w:noProof/>
        </w:rPr>
        <w:drawing>
          <wp:inline distT="0" distB="0" distL="0" distR="0" wp14:anchorId="766C7C87" wp14:editId="523E9AC3">
            <wp:extent cx="5111750" cy="2851652"/>
            <wp:effectExtent l="0" t="0" r="0" b="6350"/>
            <wp:docPr id="28" name="Picture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a:extLst>
                        <a:ext uri="{C183D7F6-B498-43B3-948B-1728B52AA6E4}">
                          <adec:decorative xmlns:adec="http://schemas.microsoft.com/office/drawing/2017/decorative" val="1"/>
                        </a:ext>
                      </a:extLst>
                    </pic:cNvPr>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131430" cy="2862631"/>
                    </a:xfrm>
                    <a:prstGeom prst="rect">
                      <a:avLst/>
                    </a:prstGeom>
                    <a:noFill/>
                  </pic:spPr>
                </pic:pic>
              </a:graphicData>
            </a:graphic>
          </wp:inline>
        </w:drawing>
      </w:r>
    </w:p>
    <w:p w14:paraId="3289A0D4" w14:textId="77777777" w:rsidR="005F3002" w:rsidRPr="005F78FD" w:rsidRDefault="005F3002" w:rsidP="005F3002">
      <w:pPr>
        <w:spacing w:before="80"/>
        <w:rPr>
          <w:rFonts w:cs="Segoe UI"/>
          <w:sz w:val="17"/>
          <w:szCs w:val="17"/>
        </w:rPr>
      </w:pPr>
      <w:r w:rsidRPr="2534902D">
        <w:rPr>
          <w:rFonts w:cs="Segoe UI"/>
          <w:sz w:val="17"/>
          <w:szCs w:val="17"/>
        </w:rPr>
        <w:t>Notes: The data includes patients treated in regional intellectual disability secure services. .</w:t>
      </w:r>
      <w:r>
        <w:rPr>
          <w:rFonts w:cs="Segoe UI"/>
          <w:sz w:val="17"/>
          <w:szCs w:val="17"/>
        </w:rPr>
        <w:t>The 0-1 hours category includes any time up to 59 minutes, 1-2 includes any time from 1 hour to 1 hour 59 minutes etc. The dashed vertical line indicates the point at which the axis shifts from time spans covering a single hour to time spans covering multiple hours.</w:t>
      </w:r>
    </w:p>
    <w:p w14:paraId="64EBA168" w14:textId="43EB13DD" w:rsidR="005F3002" w:rsidRDefault="005F3002" w:rsidP="005F3002">
      <w:pPr>
        <w:spacing w:before="80"/>
        <w:rPr>
          <w:rFonts w:cs="Segoe UI"/>
          <w:sz w:val="17"/>
        </w:rPr>
      </w:pPr>
      <w:r w:rsidRPr="005F78FD">
        <w:rPr>
          <w:rFonts w:cs="Segoe UI"/>
          <w:sz w:val="17"/>
        </w:rPr>
        <w:t>Sources: PRIMHD data (extracted 28 February 2024) and manual data from Health New Zealand South Canterbury, Tairāwhiti and Waitematā.</w:t>
      </w:r>
    </w:p>
    <w:p w14:paraId="2C65D2FD" w14:textId="77777777" w:rsidR="000455F2" w:rsidRPr="005F78FD" w:rsidRDefault="000455F2" w:rsidP="000455F2"/>
    <w:p w14:paraId="3E9BFC0E" w14:textId="39037F99" w:rsidR="005F3002" w:rsidRDefault="005F3002" w:rsidP="005F3002">
      <w:pPr>
        <w:pStyle w:val="Figure"/>
      </w:pPr>
      <w:bookmarkStart w:id="393" w:name="_Toc189053966"/>
      <w:bookmarkStart w:id="394" w:name="_Toc189647951"/>
      <w:r w:rsidRPr="005F78FD">
        <w:t>Figure </w:t>
      </w:r>
      <w:r w:rsidRPr="005F78FD">
        <w:fldChar w:fldCharType="begin"/>
      </w:r>
      <w:r w:rsidRPr="005F78FD">
        <w:instrText>SEQ Figure \* ARABIC</w:instrText>
      </w:r>
      <w:r w:rsidRPr="005F78FD">
        <w:fldChar w:fldCharType="separate"/>
      </w:r>
      <w:r w:rsidR="00753BC8">
        <w:rPr>
          <w:noProof/>
        </w:rPr>
        <w:t>25</w:t>
      </w:r>
      <w:r w:rsidRPr="005F78FD">
        <w:fldChar w:fldCharType="end"/>
      </w:r>
      <w:r w:rsidRPr="005F78FD">
        <w:t>: Number of seclusion events across all inpatient services (adult, forensic, intellectual disability and youth), by ethnicity and length of event, 1 July 2022 to 30 June 2023</w:t>
      </w:r>
      <w:bookmarkEnd w:id="393"/>
      <w:bookmarkEnd w:id="394"/>
    </w:p>
    <w:p w14:paraId="011936DA" w14:textId="2C916909" w:rsidR="005F3002" w:rsidRDefault="005F3002" w:rsidP="005F3002">
      <w:r>
        <w:rPr>
          <w:noProof/>
        </w:rPr>
        <w:drawing>
          <wp:inline distT="0" distB="0" distL="0" distR="0" wp14:anchorId="7B6CF693" wp14:editId="46C3F937">
            <wp:extent cx="5118100" cy="2512190"/>
            <wp:effectExtent l="0" t="0" r="6350" b="0"/>
            <wp:docPr id="29" name="Picture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a:extLst>
                        <a:ext uri="{C183D7F6-B498-43B3-948B-1728B52AA6E4}">
                          <adec:decorative xmlns:adec="http://schemas.microsoft.com/office/drawing/2017/decorative" val="1"/>
                        </a:ext>
                      </a:extLst>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133531" cy="2519764"/>
                    </a:xfrm>
                    <a:prstGeom prst="rect">
                      <a:avLst/>
                    </a:prstGeom>
                    <a:noFill/>
                  </pic:spPr>
                </pic:pic>
              </a:graphicData>
            </a:graphic>
          </wp:inline>
        </w:drawing>
      </w:r>
    </w:p>
    <w:p w14:paraId="1FCD4080" w14:textId="77777777" w:rsidR="00633A7A" w:rsidRPr="005F78FD" w:rsidRDefault="00633A7A" w:rsidP="00633A7A">
      <w:pPr>
        <w:rPr>
          <w:rFonts w:cs="Segoe UI"/>
          <w:sz w:val="17"/>
        </w:rPr>
      </w:pPr>
      <w:r w:rsidRPr="005F78FD">
        <w:rPr>
          <w:rFonts w:cs="Segoe UI"/>
          <w:sz w:val="17"/>
        </w:rPr>
        <w:t xml:space="preserve">Notes: The data includes patients treated in regional intellectual disability secure services. </w:t>
      </w:r>
      <w:r>
        <w:rPr>
          <w:rFonts w:cs="Segoe UI"/>
          <w:sz w:val="17"/>
          <w:szCs w:val="17"/>
        </w:rPr>
        <w:t>The 0-1 hours category includes any time up to 59 minutes, 1-2 includes any time from 1 hour to 1 hour 59 minutes etc. The dotted vertical line indicates the point at which the axis shifts from time spans covering a single hour to time spans covering multiple hours.</w:t>
      </w:r>
    </w:p>
    <w:p w14:paraId="203036F5" w14:textId="77777777" w:rsidR="00633A7A" w:rsidRPr="005F78FD" w:rsidRDefault="00633A7A" w:rsidP="00633A7A">
      <w:pPr>
        <w:spacing w:before="80"/>
        <w:rPr>
          <w:rFonts w:cs="Segoe UI"/>
          <w:sz w:val="17"/>
        </w:rPr>
      </w:pPr>
      <w:r w:rsidRPr="005F78FD">
        <w:rPr>
          <w:rFonts w:cs="Segoe UI"/>
          <w:sz w:val="17"/>
        </w:rPr>
        <w:t>Sources: PRIMHD data (extracted 28 February 2024) and manual data from Health New Zealand South Canterbury, Tairāwhiti and Waitematā.</w:t>
      </w:r>
    </w:p>
    <w:p w14:paraId="317A1111" w14:textId="77777777" w:rsidR="00633A7A" w:rsidRDefault="00633A7A" w:rsidP="005F3002">
      <w:pPr>
        <w:sectPr w:rsidR="00633A7A" w:rsidSect="00D4159A">
          <w:pgSz w:w="11907" w:h="16834" w:code="9"/>
          <w:pgMar w:top="1418" w:right="1701" w:bottom="1134" w:left="1843" w:header="284" w:footer="425" w:gutter="284"/>
          <w:cols w:space="720"/>
        </w:sectPr>
      </w:pPr>
    </w:p>
    <w:p w14:paraId="32AD2CC1" w14:textId="77777777" w:rsidR="00633A7A" w:rsidRPr="005F78FD" w:rsidRDefault="00633A7A" w:rsidP="00633A7A">
      <w:pPr>
        <w:pStyle w:val="Heading2"/>
        <w:spacing w:before="0"/>
      </w:pPr>
      <w:bookmarkStart w:id="395" w:name="_Toc65141624"/>
      <w:bookmarkStart w:id="396" w:name="_Toc75176448"/>
      <w:bookmarkStart w:id="397" w:name="_Toc87429913"/>
      <w:bookmarkStart w:id="398" w:name="_Toc88826961"/>
      <w:bookmarkStart w:id="399" w:name="_Toc115188811"/>
      <w:bookmarkStart w:id="400" w:name="_Toc145394239"/>
      <w:bookmarkStart w:id="401" w:name="_Toc189053909"/>
      <w:bookmarkStart w:id="402" w:name="_Toc189647898"/>
      <w:r w:rsidRPr="005F78FD">
        <w:t xml:space="preserve">Use of seclusion by </w:t>
      </w:r>
      <w:bookmarkEnd w:id="395"/>
      <w:bookmarkEnd w:id="396"/>
      <w:bookmarkEnd w:id="397"/>
      <w:bookmarkEnd w:id="398"/>
      <w:bookmarkEnd w:id="399"/>
      <w:bookmarkEnd w:id="400"/>
      <w:r>
        <w:t>district</w:t>
      </w:r>
      <w:bookmarkEnd w:id="401"/>
      <w:bookmarkEnd w:id="402"/>
    </w:p>
    <w:p w14:paraId="389AA628" w14:textId="77777777" w:rsidR="00633A7A" w:rsidRPr="005F78FD" w:rsidRDefault="00633A7A" w:rsidP="00633A7A">
      <w:pPr>
        <w:rPr>
          <w:rFonts w:cs="Segoe UI"/>
        </w:rPr>
      </w:pPr>
      <w:r w:rsidRPr="005F78FD">
        <w:rPr>
          <w:rFonts w:cs="Segoe UI"/>
        </w:rPr>
        <w:t xml:space="preserve">All Health New Zealand </w:t>
      </w:r>
      <w:r>
        <w:rPr>
          <w:rFonts w:cs="Segoe UI"/>
        </w:rPr>
        <w:t>d</w:t>
      </w:r>
      <w:r w:rsidRPr="005F78FD">
        <w:rPr>
          <w:rFonts w:cs="Segoe UI"/>
        </w:rPr>
        <w:t>istricts except for Wairarapa (which had no mental health inpatient service) used seclusion</w:t>
      </w:r>
      <w:r>
        <w:rPr>
          <w:rFonts w:cs="Segoe UI"/>
        </w:rPr>
        <w:t xml:space="preserve"> in the 2022/23 financial year</w:t>
      </w:r>
      <w:r w:rsidRPr="005F78FD">
        <w:rPr>
          <w:rFonts w:cs="Segoe UI"/>
        </w:rPr>
        <w:t>.</w:t>
      </w:r>
      <w:r w:rsidRPr="005F78FD">
        <w:rPr>
          <w:rFonts w:cs="Segoe UI"/>
          <w:vertAlign w:val="superscript"/>
        </w:rPr>
        <w:footnoteReference w:id="18"/>
      </w:r>
    </w:p>
    <w:p w14:paraId="1FE50F4B" w14:textId="77777777" w:rsidR="00633A7A" w:rsidRPr="005F78FD" w:rsidRDefault="00633A7A" w:rsidP="00633A7A">
      <w:pPr>
        <w:rPr>
          <w:rFonts w:cs="Segoe UI"/>
        </w:rPr>
      </w:pPr>
    </w:p>
    <w:p w14:paraId="31888404" w14:textId="2BD905A4" w:rsidR="00633A7A" w:rsidRPr="005F78FD" w:rsidRDefault="00633A7A" w:rsidP="00633A7A">
      <w:pPr>
        <w:rPr>
          <w:rFonts w:cs="Segoe UI"/>
        </w:rPr>
      </w:pPr>
      <w:r w:rsidRPr="005F78FD">
        <w:rPr>
          <w:rFonts w:cs="Segoe UI"/>
        </w:rPr>
        <w:t xml:space="preserve">At the national level </w:t>
      </w:r>
      <w:r>
        <w:rPr>
          <w:rFonts w:cs="Segoe UI"/>
        </w:rPr>
        <w:t>in</w:t>
      </w:r>
      <w:r w:rsidRPr="005F78FD">
        <w:rPr>
          <w:rFonts w:cs="Segoe UI"/>
        </w:rPr>
        <w:t xml:space="preserve"> 2022</w:t>
      </w:r>
      <w:r>
        <w:rPr>
          <w:rFonts w:cs="Segoe UI"/>
        </w:rPr>
        <w:t>/23</w:t>
      </w:r>
      <w:r w:rsidRPr="005F78FD">
        <w:rPr>
          <w:rFonts w:cs="Segoe UI"/>
        </w:rPr>
        <w:t>, the average number of people secluded in adult inpatient services was 22.8 per 100,000</w:t>
      </w:r>
      <w:r>
        <w:rPr>
          <w:rFonts w:cs="Segoe UI"/>
        </w:rPr>
        <w:t xml:space="preserve"> people in the general</w:t>
      </w:r>
      <w:r w:rsidRPr="005F78FD">
        <w:rPr>
          <w:rFonts w:cs="Segoe UI"/>
        </w:rPr>
        <w:t xml:space="preserve"> population. </w:t>
      </w:r>
      <w:r w:rsidRPr="005F78FD">
        <w:rPr>
          <w:rFonts w:cs="Segoe UI"/>
        </w:rPr>
        <w:fldChar w:fldCharType="begin"/>
      </w:r>
      <w:r w:rsidRPr="005F78FD">
        <w:rPr>
          <w:rFonts w:cs="Segoe UI"/>
        </w:rPr>
        <w:instrText xml:space="preserve"> REF _Ref141108490 \h </w:instrText>
      </w:r>
      <w:r w:rsidRPr="00501296">
        <w:rPr>
          <w:rFonts w:cs="Segoe UI"/>
        </w:rPr>
        <w:instrText xml:space="preserve"> \* MERGEFORMAT </w:instrText>
      </w:r>
      <w:r w:rsidRPr="005F78FD">
        <w:rPr>
          <w:rFonts w:cs="Segoe UI"/>
        </w:rPr>
      </w:r>
      <w:r w:rsidRPr="005F78FD">
        <w:rPr>
          <w:rFonts w:cs="Segoe UI"/>
        </w:rPr>
        <w:fldChar w:fldCharType="separate"/>
      </w:r>
      <w:r w:rsidR="00753BC8" w:rsidRPr="00753BC8">
        <w:rPr>
          <w:rFonts w:cs="Segoe UI"/>
        </w:rPr>
        <w:t>Figure 26</w:t>
      </w:r>
      <w:r w:rsidRPr="005F78FD">
        <w:rPr>
          <w:rFonts w:cs="Segoe UI"/>
        </w:rPr>
        <w:fldChar w:fldCharType="end"/>
      </w:r>
      <w:r w:rsidRPr="005F78FD">
        <w:rPr>
          <w:rFonts w:cs="Segoe UI"/>
        </w:rPr>
        <w:t xml:space="preserve"> shows how individual d</w:t>
      </w:r>
      <w:r>
        <w:rPr>
          <w:rFonts w:cs="Segoe UI"/>
        </w:rPr>
        <w:t>istricts</w:t>
      </w:r>
      <w:r w:rsidRPr="005F78FD">
        <w:rPr>
          <w:rFonts w:cs="Segoe UI"/>
        </w:rPr>
        <w:t xml:space="preserve"> compare with this national average. </w:t>
      </w:r>
      <w:r w:rsidR="00484D78">
        <w:rPr>
          <w:rFonts w:cs="Segoe UI"/>
        </w:rPr>
        <w:fldChar w:fldCharType="begin"/>
      </w:r>
      <w:r w:rsidR="00484D78">
        <w:rPr>
          <w:rFonts w:cs="Segoe UI"/>
        </w:rPr>
        <w:instrText xml:space="preserve"> REF _Ref189372096 \h </w:instrText>
      </w:r>
      <w:r w:rsidR="00484D78">
        <w:rPr>
          <w:rFonts w:cs="Segoe UI"/>
        </w:rPr>
      </w:r>
      <w:r w:rsidR="00484D78">
        <w:rPr>
          <w:rFonts w:cs="Segoe UI"/>
        </w:rPr>
        <w:fldChar w:fldCharType="separate"/>
      </w:r>
      <w:r w:rsidR="00753BC8">
        <w:t xml:space="preserve">Table </w:t>
      </w:r>
      <w:r w:rsidR="00753BC8">
        <w:rPr>
          <w:noProof/>
        </w:rPr>
        <w:t>8</w:t>
      </w:r>
      <w:r w:rsidR="00484D78">
        <w:rPr>
          <w:rFonts w:cs="Segoe UI"/>
        </w:rPr>
        <w:fldChar w:fldCharType="end"/>
      </w:r>
      <w:r w:rsidR="00497F1D" w:rsidRPr="00790FC8">
        <w:rPr>
          <w:rFonts w:cs="Segoe UI"/>
          <w:highlight w:val="yellow"/>
        </w:rPr>
        <w:fldChar w:fldCharType="begin"/>
      </w:r>
      <w:r w:rsidR="00497F1D" w:rsidRPr="00790FC8">
        <w:rPr>
          <w:rFonts w:cs="Segoe UI"/>
          <w:highlight w:val="yellow"/>
        </w:rPr>
        <w:instrText xml:space="preserve"> REF _Ref189372096 \h </w:instrText>
      </w:r>
      <w:r w:rsidR="00790FC8">
        <w:rPr>
          <w:rFonts w:cs="Segoe UI"/>
          <w:highlight w:val="yellow"/>
        </w:rPr>
        <w:instrText xml:space="preserve"> \* MERGEFORMAT </w:instrText>
      </w:r>
      <w:r w:rsidR="00497F1D" w:rsidRPr="00790FC8">
        <w:rPr>
          <w:rFonts w:cs="Segoe UI"/>
          <w:highlight w:val="yellow"/>
        </w:rPr>
      </w:r>
      <w:r w:rsidR="00753BC8">
        <w:rPr>
          <w:rFonts w:cs="Segoe UI"/>
          <w:highlight w:val="yellow"/>
        </w:rPr>
        <w:fldChar w:fldCharType="separate"/>
      </w:r>
      <w:r w:rsidR="00753BC8">
        <w:t xml:space="preserve">Table </w:t>
      </w:r>
      <w:r w:rsidR="00753BC8">
        <w:rPr>
          <w:noProof/>
        </w:rPr>
        <w:t>8</w:t>
      </w:r>
      <w:r w:rsidR="00497F1D" w:rsidRPr="00790FC8">
        <w:rPr>
          <w:rFonts w:cs="Segoe UI"/>
          <w:highlight w:val="yellow"/>
        </w:rPr>
        <w:fldChar w:fldCharType="end"/>
      </w:r>
      <w:r w:rsidR="000455F2">
        <w:rPr>
          <w:rFonts w:cs="Segoe UI"/>
        </w:rPr>
        <w:t xml:space="preserve"> </w:t>
      </w:r>
      <w:r w:rsidRPr="005F78FD">
        <w:rPr>
          <w:rFonts w:cs="Segoe UI"/>
        </w:rPr>
        <w:t>shows the seclusion rate for each d</w:t>
      </w:r>
      <w:r>
        <w:rPr>
          <w:rFonts w:cs="Segoe UI"/>
        </w:rPr>
        <w:t xml:space="preserve">istrict </w:t>
      </w:r>
      <w:r w:rsidRPr="005F78FD">
        <w:rPr>
          <w:rFonts w:cs="Segoe UI"/>
        </w:rPr>
        <w:t>as a percentage of patients admitted to adult inpatient services who experienced seclusion during their admission.</w:t>
      </w:r>
    </w:p>
    <w:p w14:paraId="5D3D6A23" w14:textId="1B6D772C" w:rsidR="00633A7A" w:rsidRDefault="00633A7A" w:rsidP="00633A7A">
      <w:pPr>
        <w:rPr>
          <w:rFonts w:cs="Segoe UI"/>
        </w:rPr>
      </w:pPr>
    </w:p>
    <w:p w14:paraId="0FAE05BC" w14:textId="105C609F" w:rsidR="00633A7A" w:rsidRDefault="00633A7A" w:rsidP="00633A7A">
      <w:pPr>
        <w:rPr>
          <w:rFonts w:cs="Segoe UI"/>
        </w:rPr>
      </w:pPr>
      <w:r w:rsidRPr="005F78FD">
        <w:rPr>
          <w:rFonts w:cs="Segoe UI"/>
        </w:rPr>
        <w:t xml:space="preserve">Nationally, the average number of seclusion events was </w:t>
      </w:r>
      <w:r>
        <w:rPr>
          <w:rFonts w:cs="Segoe UI"/>
        </w:rPr>
        <w:t>38.4</w:t>
      </w:r>
      <w:r w:rsidRPr="005F78FD">
        <w:rPr>
          <w:rFonts w:cs="Segoe UI"/>
        </w:rPr>
        <w:t> per 100,000</w:t>
      </w:r>
      <w:r>
        <w:rPr>
          <w:rFonts w:cs="Segoe UI"/>
        </w:rPr>
        <w:t xml:space="preserve"> people in the general</w:t>
      </w:r>
      <w:r w:rsidRPr="005F78FD">
        <w:rPr>
          <w:rFonts w:cs="Segoe UI"/>
        </w:rPr>
        <w:t xml:space="preserve"> population, down from 48.6 in the 2021/22 financial year. </w:t>
      </w:r>
    </w:p>
    <w:p w14:paraId="42F3733A" w14:textId="10984C25" w:rsidR="00633A7A" w:rsidRDefault="00633A7A" w:rsidP="00633A7A">
      <w:pPr>
        <w:rPr>
          <w:rFonts w:cs="Segoe UI"/>
        </w:rPr>
      </w:pPr>
    </w:p>
    <w:p w14:paraId="3DADD346" w14:textId="6D9D27B0" w:rsidR="00633A7A" w:rsidRDefault="00633A7A" w:rsidP="00633A7A">
      <w:pPr>
        <w:pStyle w:val="Table"/>
      </w:pPr>
      <w:bookmarkStart w:id="403" w:name="_Ref189372096"/>
      <w:bookmarkStart w:id="404" w:name="_Toc189647984"/>
      <w:r>
        <w:t xml:space="preserve">Table </w:t>
      </w:r>
      <w:r w:rsidR="00753BC8">
        <w:fldChar w:fldCharType="begin"/>
      </w:r>
      <w:r w:rsidR="00753BC8">
        <w:instrText xml:space="preserve"> SEQ Table \* ARABIC </w:instrText>
      </w:r>
      <w:r w:rsidR="00753BC8">
        <w:fldChar w:fldCharType="separate"/>
      </w:r>
      <w:r w:rsidR="00753BC8">
        <w:rPr>
          <w:noProof/>
        </w:rPr>
        <w:t>8</w:t>
      </w:r>
      <w:r w:rsidR="00753BC8">
        <w:rPr>
          <w:noProof/>
        </w:rPr>
        <w:fldChar w:fldCharType="end"/>
      </w:r>
      <w:bookmarkEnd w:id="403"/>
      <w:r>
        <w:t xml:space="preserve">: </w:t>
      </w:r>
      <w:r w:rsidRPr="00633A7A">
        <w:t>Percentage of admissions to adult inpatient services with seclusion recorded during admission, by district, 1 July 2022 to 30 June 2023</w:t>
      </w:r>
      <w:bookmarkEnd w:id="404"/>
    </w:p>
    <w:tbl>
      <w:tblPr>
        <w:tblW w:w="8023" w:type="dxa"/>
        <w:tblInd w:w="57" w:type="dxa"/>
        <w:tblBorders>
          <w:top w:val="single" w:sz="4" w:space="0" w:color="A6A6A6" w:themeColor="background1" w:themeShade="A6"/>
          <w:bottom w:val="single" w:sz="4" w:space="0" w:color="A6A6A6" w:themeColor="background1" w:themeShade="A6"/>
          <w:insideH w:val="single" w:sz="4" w:space="0" w:color="A6A6A6" w:themeColor="background1" w:themeShade="A6"/>
        </w:tblBorders>
        <w:tblLayout w:type="fixed"/>
        <w:tblCellMar>
          <w:left w:w="57" w:type="dxa"/>
          <w:right w:w="57" w:type="dxa"/>
        </w:tblCellMar>
        <w:tblLook w:val="04A0" w:firstRow="1" w:lastRow="0" w:firstColumn="1" w:lastColumn="0" w:noHBand="0" w:noVBand="1"/>
      </w:tblPr>
      <w:tblGrid>
        <w:gridCol w:w="2070"/>
        <w:gridCol w:w="1701"/>
        <w:gridCol w:w="283"/>
        <w:gridCol w:w="2268"/>
        <w:gridCol w:w="1701"/>
      </w:tblGrid>
      <w:tr w:rsidR="00497F1D" w:rsidRPr="00107996" w14:paraId="55F391D9" w14:textId="77777777" w:rsidTr="00497F1D">
        <w:trPr>
          <w:cantSplit/>
          <w:trHeight w:val="300"/>
        </w:trPr>
        <w:tc>
          <w:tcPr>
            <w:tcW w:w="2070" w:type="dxa"/>
            <w:tcBorders>
              <w:top w:val="nil"/>
              <w:bottom w:val="nil"/>
            </w:tcBorders>
            <w:shd w:val="clear" w:color="auto" w:fill="D9D9D9" w:themeFill="background1" w:themeFillShade="D9"/>
            <w:noWrap/>
            <w:vAlign w:val="bottom"/>
            <w:hideMark/>
          </w:tcPr>
          <w:p w14:paraId="204679A7" w14:textId="77777777" w:rsidR="00497F1D" w:rsidRPr="00107996" w:rsidRDefault="00497F1D" w:rsidP="00497F1D">
            <w:pPr>
              <w:pStyle w:val="TableText"/>
              <w:keepNext/>
              <w:rPr>
                <w:b/>
                <w:lang w:eastAsia="en-NZ"/>
              </w:rPr>
            </w:pPr>
            <w:r w:rsidRPr="00501296">
              <w:rPr>
                <w:b/>
                <w:lang w:eastAsia="en-NZ"/>
              </w:rPr>
              <w:t>District</w:t>
            </w:r>
          </w:p>
        </w:tc>
        <w:tc>
          <w:tcPr>
            <w:tcW w:w="1701" w:type="dxa"/>
            <w:tcBorders>
              <w:top w:val="nil"/>
              <w:bottom w:val="nil"/>
            </w:tcBorders>
            <w:shd w:val="clear" w:color="auto" w:fill="D9D9D9" w:themeFill="background1" w:themeFillShade="D9"/>
            <w:hideMark/>
          </w:tcPr>
          <w:p w14:paraId="33791F92" w14:textId="5AFFCC30" w:rsidR="00497F1D" w:rsidRPr="00497F1D" w:rsidRDefault="00497F1D" w:rsidP="00497F1D">
            <w:pPr>
              <w:pStyle w:val="TableText"/>
              <w:keepNext/>
              <w:jc w:val="center"/>
              <w:rPr>
                <w:b/>
                <w:bCs/>
                <w:lang w:eastAsia="en-NZ"/>
              </w:rPr>
            </w:pPr>
            <w:r w:rsidRPr="00497F1D">
              <w:rPr>
                <w:b/>
                <w:bCs/>
              </w:rPr>
              <w:t>Percentage</w:t>
            </w:r>
          </w:p>
        </w:tc>
        <w:tc>
          <w:tcPr>
            <w:tcW w:w="283" w:type="dxa"/>
            <w:tcBorders>
              <w:top w:val="nil"/>
              <w:bottom w:val="nil"/>
            </w:tcBorders>
            <w:shd w:val="clear" w:color="auto" w:fill="auto"/>
            <w:vAlign w:val="bottom"/>
          </w:tcPr>
          <w:p w14:paraId="48BCF63C" w14:textId="77777777" w:rsidR="00497F1D" w:rsidRPr="00107996" w:rsidRDefault="00497F1D" w:rsidP="00497F1D">
            <w:pPr>
              <w:pStyle w:val="TableText"/>
              <w:keepNext/>
              <w:rPr>
                <w:b/>
                <w:lang w:eastAsia="en-NZ"/>
              </w:rPr>
            </w:pPr>
          </w:p>
        </w:tc>
        <w:tc>
          <w:tcPr>
            <w:tcW w:w="2268" w:type="dxa"/>
            <w:tcBorders>
              <w:top w:val="nil"/>
              <w:bottom w:val="nil"/>
            </w:tcBorders>
            <w:shd w:val="clear" w:color="auto" w:fill="D9D9D9" w:themeFill="background1" w:themeFillShade="D9"/>
          </w:tcPr>
          <w:p w14:paraId="143F3F9B" w14:textId="0FB47F7A" w:rsidR="00497F1D" w:rsidRPr="00497F1D" w:rsidRDefault="00497F1D" w:rsidP="00497F1D">
            <w:pPr>
              <w:pStyle w:val="TableText"/>
              <w:keepNext/>
              <w:rPr>
                <w:b/>
                <w:bCs/>
                <w:lang w:eastAsia="en-NZ"/>
              </w:rPr>
            </w:pPr>
            <w:r w:rsidRPr="00497F1D">
              <w:rPr>
                <w:b/>
                <w:bCs/>
              </w:rPr>
              <w:t>District</w:t>
            </w:r>
          </w:p>
        </w:tc>
        <w:tc>
          <w:tcPr>
            <w:tcW w:w="1701" w:type="dxa"/>
            <w:tcBorders>
              <w:top w:val="nil"/>
              <w:bottom w:val="nil"/>
            </w:tcBorders>
            <w:shd w:val="clear" w:color="auto" w:fill="D9D9D9" w:themeFill="background1" w:themeFillShade="D9"/>
          </w:tcPr>
          <w:p w14:paraId="2D4F4AC1" w14:textId="1A8B380D" w:rsidR="00497F1D" w:rsidRPr="00497F1D" w:rsidRDefault="00497F1D" w:rsidP="00497F1D">
            <w:pPr>
              <w:pStyle w:val="TableText"/>
              <w:keepNext/>
              <w:jc w:val="center"/>
              <w:rPr>
                <w:b/>
                <w:bCs/>
                <w:lang w:eastAsia="en-NZ"/>
              </w:rPr>
            </w:pPr>
            <w:r w:rsidRPr="00497F1D">
              <w:rPr>
                <w:b/>
                <w:bCs/>
              </w:rPr>
              <w:t>Percentage</w:t>
            </w:r>
          </w:p>
        </w:tc>
      </w:tr>
      <w:tr w:rsidR="00497F1D" w:rsidRPr="00107996" w14:paraId="73E682A6" w14:textId="77777777" w:rsidTr="00497F1D">
        <w:trPr>
          <w:cantSplit/>
          <w:trHeight w:val="300"/>
        </w:trPr>
        <w:tc>
          <w:tcPr>
            <w:tcW w:w="2070" w:type="dxa"/>
            <w:tcBorders>
              <w:top w:val="nil"/>
            </w:tcBorders>
            <w:shd w:val="clear" w:color="auto" w:fill="auto"/>
            <w:noWrap/>
            <w:hideMark/>
          </w:tcPr>
          <w:p w14:paraId="7C2F1376" w14:textId="77777777" w:rsidR="00497F1D" w:rsidRPr="00107996" w:rsidRDefault="00497F1D" w:rsidP="00497F1D">
            <w:pPr>
              <w:pStyle w:val="TableText"/>
              <w:keepNext/>
              <w:rPr>
                <w:lang w:eastAsia="en-NZ"/>
              </w:rPr>
            </w:pPr>
            <w:r w:rsidRPr="00107996">
              <w:rPr>
                <w:lang w:eastAsia="en-NZ"/>
              </w:rPr>
              <w:t>Auckland</w:t>
            </w:r>
          </w:p>
        </w:tc>
        <w:tc>
          <w:tcPr>
            <w:tcW w:w="1701" w:type="dxa"/>
            <w:tcBorders>
              <w:top w:val="nil"/>
            </w:tcBorders>
            <w:shd w:val="clear" w:color="auto" w:fill="auto"/>
            <w:noWrap/>
            <w:hideMark/>
          </w:tcPr>
          <w:p w14:paraId="0A012ACB" w14:textId="6E0F8275" w:rsidR="00497F1D" w:rsidRPr="00107996" w:rsidRDefault="00497F1D" w:rsidP="00497F1D">
            <w:pPr>
              <w:pStyle w:val="TableText"/>
              <w:keepNext/>
              <w:tabs>
                <w:tab w:val="decimal" w:pos="458"/>
              </w:tabs>
              <w:jc w:val="center"/>
              <w:rPr>
                <w:lang w:eastAsia="en-NZ"/>
              </w:rPr>
            </w:pPr>
            <w:r w:rsidRPr="00090306">
              <w:t>1.9%</w:t>
            </w:r>
          </w:p>
        </w:tc>
        <w:tc>
          <w:tcPr>
            <w:tcW w:w="283" w:type="dxa"/>
            <w:tcBorders>
              <w:top w:val="nil"/>
              <w:bottom w:val="nil"/>
            </w:tcBorders>
            <w:shd w:val="clear" w:color="auto" w:fill="auto"/>
          </w:tcPr>
          <w:p w14:paraId="69D35C6D" w14:textId="77777777" w:rsidR="00497F1D" w:rsidRPr="00107996" w:rsidRDefault="00497F1D" w:rsidP="00497F1D">
            <w:pPr>
              <w:pStyle w:val="TableText"/>
              <w:keepNext/>
              <w:rPr>
                <w:lang w:eastAsia="en-NZ"/>
              </w:rPr>
            </w:pPr>
          </w:p>
        </w:tc>
        <w:tc>
          <w:tcPr>
            <w:tcW w:w="2268" w:type="dxa"/>
            <w:tcBorders>
              <w:top w:val="nil"/>
            </w:tcBorders>
          </w:tcPr>
          <w:p w14:paraId="6C8DA1A7" w14:textId="69F1FE32" w:rsidR="00497F1D" w:rsidRPr="00107996" w:rsidRDefault="00497F1D" w:rsidP="00497F1D">
            <w:pPr>
              <w:pStyle w:val="TableText"/>
              <w:keepNext/>
              <w:rPr>
                <w:lang w:eastAsia="en-NZ"/>
              </w:rPr>
            </w:pPr>
            <w:r w:rsidRPr="00C20522">
              <w:t>Northland</w:t>
            </w:r>
          </w:p>
        </w:tc>
        <w:tc>
          <w:tcPr>
            <w:tcW w:w="1701" w:type="dxa"/>
            <w:tcBorders>
              <w:top w:val="nil"/>
            </w:tcBorders>
          </w:tcPr>
          <w:p w14:paraId="0571A57E" w14:textId="03B1BC34" w:rsidR="00497F1D" w:rsidRPr="00107996" w:rsidRDefault="00497F1D" w:rsidP="00497F1D">
            <w:pPr>
              <w:pStyle w:val="TableText"/>
              <w:keepNext/>
              <w:jc w:val="center"/>
              <w:rPr>
                <w:lang w:eastAsia="en-NZ"/>
              </w:rPr>
            </w:pPr>
            <w:r w:rsidRPr="00C20522">
              <w:t>5.6%</w:t>
            </w:r>
          </w:p>
        </w:tc>
      </w:tr>
      <w:tr w:rsidR="00497F1D" w:rsidRPr="00107996" w14:paraId="4FC7E363" w14:textId="77777777" w:rsidTr="00497F1D">
        <w:trPr>
          <w:cantSplit/>
          <w:trHeight w:val="300"/>
        </w:trPr>
        <w:tc>
          <w:tcPr>
            <w:tcW w:w="2070" w:type="dxa"/>
            <w:shd w:val="clear" w:color="auto" w:fill="auto"/>
            <w:noWrap/>
          </w:tcPr>
          <w:p w14:paraId="6D2F1D21" w14:textId="77777777" w:rsidR="00497F1D" w:rsidRPr="00107996" w:rsidRDefault="00497F1D" w:rsidP="00497F1D">
            <w:pPr>
              <w:pStyle w:val="TableText"/>
              <w:keepNext/>
              <w:rPr>
                <w:lang w:eastAsia="en-NZ"/>
              </w:rPr>
            </w:pPr>
            <w:r w:rsidRPr="00107996">
              <w:t>Bay of Plenty</w:t>
            </w:r>
          </w:p>
        </w:tc>
        <w:tc>
          <w:tcPr>
            <w:tcW w:w="1701" w:type="dxa"/>
            <w:shd w:val="clear" w:color="auto" w:fill="auto"/>
            <w:noWrap/>
          </w:tcPr>
          <w:p w14:paraId="05F2FAE4" w14:textId="58F8271A" w:rsidR="00497F1D" w:rsidRPr="00107996" w:rsidRDefault="00497F1D" w:rsidP="00497F1D">
            <w:pPr>
              <w:pStyle w:val="TableText"/>
              <w:keepNext/>
              <w:tabs>
                <w:tab w:val="decimal" w:pos="458"/>
              </w:tabs>
              <w:jc w:val="center"/>
            </w:pPr>
            <w:r w:rsidRPr="00090306">
              <w:t>8.7%</w:t>
            </w:r>
          </w:p>
        </w:tc>
        <w:tc>
          <w:tcPr>
            <w:tcW w:w="283" w:type="dxa"/>
            <w:tcBorders>
              <w:top w:val="nil"/>
              <w:bottom w:val="nil"/>
            </w:tcBorders>
            <w:shd w:val="clear" w:color="auto" w:fill="auto"/>
          </w:tcPr>
          <w:p w14:paraId="558FBD0A" w14:textId="77777777" w:rsidR="00497F1D" w:rsidRPr="00107996" w:rsidRDefault="00497F1D" w:rsidP="00497F1D">
            <w:pPr>
              <w:pStyle w:val="TableText"/>
              <w:keepNext/>
              <w:rPr>
                <w:lang w:eastAsia="en-NZ"/>
              </w:rPr>
            </w:pPr>
          </w:p>
        </w:tc>
        <w:tc>
          <w:tcPr>
            <w:tcW w:w="2268" w:type="dxa"/>
          </w:tcPr>
          <w:p w14:paraId="06541C07" w14:textId="548DC9EA" w:rsidR="00497F1D" w:rsidRPr="00107996" w:rsidRDefault="00497F1D" w:rsidP="00497F1D">
            <w:pPr>
              <w:pStyle w:val="TableText"/>
              <w:keepNext/>
              <w:rPr>
                <w:lang w:eastAsia="en-NZ"/>
              </w:rPr>
            </w:pPr>
            <w:r w:rsidRPr="00C20522">
              <w:t>South Canterbury</w:t>
            </w:r>
          </w:p>
        </w:tc>
        <w:tc>
          <w:tcPr>
            <w:tcW w:w="1701" w:type="dxa"/>
          </w:tcPr>
          <w:p w14:paraId="3221A51C" w14:textId="5E880A98" w:rsidR="00497F1D" w:rsidRPr="00107996" w:rsidRDefault="00497F1D" w:rsidP="00497F1D">
            <w:pPr>
              <w:pStyle w:val="TableText"/>
              <w:keepNext/>
              <w:jc w:val="center"/>
              <w:rPr>
                <w:lang w:eastAsia="en-NZ"/>
              </w:rPr>
            </w:pPr>
            <w:r w:rsidRPr="00C20522">
              <w:t>6.2%</w:t>
            </w:r>
          </w:p>
        </w:tc>
      </w:tr>
      <w:tr w:rsidR="00497F1D" w:rsidRPr="00107996" w14:paraId="6B0301F7" w14:textId="77777777" w:rsidTr="00497F1D">
        <w:trPr>
          <w:cantSplit/>
          <w:trHeight w:val="300"/>
        </w:trPr>
        <w:tc>
          <w:tcPr>
            <w:tcW w:w="2070" w:type="dxa"/>
            <w:shd w:val="clear" w:color="auto" w:fill="auto"/>
            <w:noWrap/>
          </w:tcPr>
          <w:p w14:paraId="426B19FE" w14:textId="77777777" w:rsidR="00497F1D" w:rsidRPr="00107996" w:rsidRDefault="00497F1D" w:rsidP="00497F1D">
            <w:pPr>
              <w:pStyle w:val="TableText"/>
              <w:keepNext/>
              <w:rPr>
                <w:lang w:eastAsia="en-NZ"/>
              </w:rPr>
            </w:pPr>
            <w:r w:rsidRPr="00107996">
              <w:t>Canterbury</w:t>
            </w:r>
          </w:p>
        </w:tc>
        <w:tc>
          <w:tcPr>
            <w:tcW w:w="1701" w:type="dxa"/>
            <w:shd w:val="clear" w:color="auto" w:fill="auto"/>
            <w:noWrap/>
          </w:tcPr>
          <w:p w14:paraId="48665AF3" w14:textId="182281EC" w:rsidR="00497F1D" w:rsidRPr="00107996" w:rsidRDefault="00497F1D" w:rsidP="00497F1D">
            <w:pPr>
              <w:pStyle w:val="TableText"/>
              <w:keepNext/>
              <w:tabs>
                <w:tab w:val="decimal" w:pos="458"/>
              </w:tabs>
              <w:jc w:val="center"/>
              <w:rPr>
                <w:lang w:eastAsia="en-NZ"/>
              </w:rPr>
            </w:pPr>
            <w:r w:rsidRPr="00090306">
              <w:t>7.4%</w:t>
            </w:r>
          </w:p>
        </w:tc>
        <w:tc>
          <w:tcPr>
            <w:tcW w:w="283" w:type="dxa"/>
            <w:tcBorders>
              <w:top w:val="nil"/>
              <w:bottom w:val="nil"/>
            </w:tcBorders>
            <w:shd w:val="clear" w:color="auto" w:fill="auto"/>
          </w:tcPr>
          <w:p w14:paraId="19BC02C8" w14:textId="77777777" w:rsidR="00497F1D" w:rsidRPr="00107996" w:rsidRDefault="00497F1D" w:rsidP="00497F1D">
            <w:pPr>
              <w:pStyle w:val="TableText"/>
              <w:keepNext/>
              <w:rPr>
                <w:lang w:eastAsia="en-NZ"/>
              </w:rPr>
            </w:pPr>
          </w:p>
        </w:tc>
        <w:tc>
          <w:tcPr>
            <w:tcW w:w="2268" w:type="dxa"/>
          </w:tcPr>
          <w:p w14:paraId="5CC378B6" w14:textId="240B5B56" w:rsidR="00497F1D" w:rsidRPr="00107996" w:rsidRDefault="00497F1D" w:rsidP="00497F1D">
            <w:pPr>
              <w:pStyle w:val="TableText"/>
              <w:keepNext/>
              <w:rPr>
                <w:lang w:eastAsia="en-NZ"/>
              </w:rPr>
            </w:pPr>
            <w:r w:rsidRPr="00C20522">
              <w:t>Southern</w:t>
            </w:r>
          </w:p>
        </w:tc>
        <w:tc>
          <w:tcPr>
            <w:tcW w:w="1701" w:type="dxa"/>
          </w:tcPr>
          <w:p w14:paraId="45BC7C8D" w14:textId="62BBBE38" w:rsidR="00497F1D" w:rsidRPr="00107996" w:rsidRDefault="00497F1D" w:rsidP="00497F1D">
            <w:pPr>
              <w:pStyle w:val="TableText"/>
              <w:keepNext/>
              <w:jc w:val="center"/>
              <w:rPr>
                <w:lang w:eastAsia="en-NZ"/>
              </w:rPr>
            </w:pPr>
            <w:r w:rsidRPr="00C20522">
              <w:t>10.7%</w:t>
            </w:r>
          </w:p>
        </w:tc>
      </w:tr>
      <w:tr w:rsidR="00497F1D" w:rsidRPr="00107996" w14:paraId="6507BA63" w14:textId="77777777" w:rsidTr="00497F1D">
        <w:trPr>
          <w:cantSplit/>
          <w:trHeight w:val="300"/>
        </w:trPr>
        <w:tc>
          <w:tcPr>
            <w:tcW w:w="2070" w:type="dxa"/>
            <w:shd w:val="clear" w:color="auto" w:fill="auto"/>
            <w:noWrap/>
          </w:tcPr>
          <w:p w14:paraId="6D6F4B47" w14:textId="77777777" w:rsidR="00497F1D" w:rsidRPr="00107996" w:rsidRDefault="00497F1D" w:rsidP="00497F1D">
            <w:pPr>
              <w:pStyle w:val="TableText"/>
              <w:keepNext/>
              <w:rPr>
                <w:lang w:eastAsia="en-NZ"/>
              </w:rPr>
            </w:pPr>
            <w:r w:rsidRPr="00107996">
              <w:t xml:space="preserve">Capital &amp; Coast </w:t>
            </w:r>
          </w:p>
        </w:tc>
        <w:tc>
          <w:tcPr>
            <w:tcW w:w="1701" w:type="dxa"/>
            <w:shd w:val="clear" w:color="auto" w:fill="auto"/>
            <w:noWrap/>
          </w:tcPr>
          <w:p w14:paraId="397B0152" w14:textId="4C64DCC2" w:rsidR="00497F1D" w:rsidRPr="00107996" w:rsidRDefault="00497F1D" w:rsidP="00497F1D">
            <w:pPr>
              <w:pStyle w:val="TableText"/>
              <w:keepNext/>
              <w:tabs>
                <w:tab w:val="decimal" w:pos="458"/>
              </w:tabs>
              <w:jc w:val="center"/>
              <w:rPr>
                <w:lang w:eastAsia="en-NZ"/>
              </w:rPr>
            </w:pPr>
            <w:r w:rsidRPr="00090306">
              <w:t>8.4%</w:t>
            </w:r>
          </w:p>
        </w:tc>
        <w:tc>
          <w:tcPr>
            <w:tcW w:w="283" w:type="dxa"/>
            <w:tcBorders>
              <w:top w:val="nil"/>
              <w:bottom w:val="nil"/>
            </w:tcBorders>
            <w:shd w:val="clear" w:color="auto" w:fill="auto"/>
          </w:tcPr>
          <w:p w14:paraId="3EEE83A0" w14:textId="77777777" w:rsidR="00497F1D" w:rsidRPr="00107996" w:rsidRDefault="00497F1D" w:rsidP="00497F1D">
            <w:pPr>
              <w:pStyle w:val="TableText"/>
              <w:keepNext/>
              <w:rPr>
                <w:lang w:eastAsia="en-NZ"/>
              </w:rPr>
            </w:pPr>
          </w:p>
        </w:tc>
        <w:tc>
          <w:tcPr>
            <w:tcW w:w="2268" w:type="dxa"/>
          </w:tcPr>
          <w:p w14:paraId="5F3C6CFC" w14:textId="577D4B3A" w:rsidR="00497F1D" w:rsidRPr="00107996" w:rsidRDefault="00497F1D" w:rsidP="00497F1D">
            <w:pPr>
              <w:pStyle w:val="TableText"/>
              <w:keepNext/>
              <w:rPr>
                <w:lang w:eastAsia="en-NZ"/>
              </w:rPr>
            </w:pPr>
            <w:r w:rsidRPr="00C20522">
              <w:t>Tairāwhiti</w:t>
            </w:r>
          </w:p>
        </w:tc>
        <w:tc>
          <w:tcPr>
            <w:tcW w:w="1701" w:type="dxa"/>
          </w:tcPr>
          <w:p w14:paraId="7C8DBFE5" w14:textId="7CBBC496" w:rsidR="00497F1D" w:rsidRPr="00107996" w:rsidRDefault="00497F1D" w:rsidP="00497F1D">
            <w:pPr>
              <w:pStyle w:val="TableText"/>
              <w:keepNext/>
              <w:jc w:val="center"/>
              <w:rPr>
                <w:lang w:eastAsia="en-NZ"/>
              </w:rPr>
            </w:pPr>
            <w:r w:rsidRPr="00C20522">
              <w:t>8.7%</w:t>
            </w:r>
          </w:p>
        </w:tc>
      </w:tr>
      <w:tr w:rsidR="00497F1D" w:rsidRPr="00107996" w14:paraId="5A8B4C53" w14:textId="77777777" w:rsidTr="00497F1D">
        <w:trPr>
          <w:cantSplit/>
          <w:trHeight w:val="300"/>
        </w:trPr>
        <w:tc>
          <w:tcPr>
            <w:tcW w:w="2070" w:type="dxa"/>
            <w:shd w:val="clear" w:color="auto" w:fill="auto"/>
            <w:noWrap/>
          </w:tcPr>
          <w:p w14:paraId="74864E17" w14:textId="77777777" w:rsidR="00497F1D" w:rsidRPr="00107996" w:rsidRDefault="00497F1D" w:rsidP="00497F1D">
            <w:pPr>
              <w:pStyle w:val="TableText"/>
              <w:keepNext/>
              <w:rPr>
                <w:lang w:eastAsia="en-NZ"/>
              </w:rPr>
            </w:pPr>
            <w:r w:rsidRPr="00107996">
              <w:t>Counties Manukau</w:t>
            </w:r>
          </w:p>
        </w:tc>
        <w:tc>
          <w:tcPr>
            <w:tcW w:w="1701" w:type="dxa"/>
            <w:shd w:val="clear" w:color="auto" w:fill="auto"/>
            <w:noWrap/>
          </w:tcPr>
          <w:p w14:paraId="01E8959F" w14:textId="49BE98AA" w:rsidR="00497F1D" w:rsidRPr="00107996" w:rsidRDefault="00497F1D" w:rsidP="00497F1D">
            <w:pPr>
              <w:pStyle w:val="TableText"/>
              <w:keepNext/>
              <w:tabs>
                <w:tab w:val="decimal" w:pos="458"/>
              </w:tabs>
              <w:jc w:val="center"/>
              <w:rPr>
                <w:lang w:eastAsia="en-NZ"/>
              </w:rPr>
            </w:pPr>
            <w:r w:rsidRPr="00090306">
              <w:t>6.9%</w:t>
            </w:r>
          </w:p>
        </w:tc>
        <w:tc>
          <w:tcPr>
            <w:tcW w:w="283" w:type="dxa"/>
            <w:tcBorders>
              <w:top w:val="nil"/>
              <w:bottom w:val="nil"/>
            </w:tcBorders>
            <w:shd w:val="clear" w:color="auto" w:fill="auto"/>
          </w:tcPr>
          <w:p w14:paraId="52C0B62C" w14:textId="77777777" w:rsidR="00497F1D" w:rsidRPr="00107996" w:rsidRDefault="00497F1D" w:rsidP="00497F1D">
            <w:pPr>
              <w:pStyle w:val="TableText"/>
              <w:keepNext/>
              <w:rPr>
                <w:lang w:eastAsia="en-NZ"/>
              </w:rPr>
            </w:pPr>
          </w:p>
        </w:tc>
        <w:tc>
          <w:tcPr>
            <w:tcW w:w="2268" w:type="dxa"/>
          </w:tcPr>
          <w:p w14:paraId="4619A5C8" w14:textId="4A71AA80" w:rsidR="00497F1D" w:rsidRPr="00107996" w:rsidRDefault="00497F1D" w:rsidP="00497F1D">
            <w:pPr>
              <w:pStyle w:val="TableText"/>
              <w:keepNext/>
              <w:rPr>
                <w:lang w:eastAsia="en-NZ"/>
              </w:rPr>
            </w:pPr>
            <w:r w:rsidRPr="00C20522">
              <w:t>Taranaki</w:t>
            </w:r>
          </w:p>
        </w:tc>
        <w:tc>
          <w:tcPr>
            <w:tcW w:w="1701" w:type="dxa"/>
          </w:tcPr>
          <w:p w14:paraId="20BBAA91" w14:textId="05A6BBA8" w:rsidR="00497F1D" w:rsidRPr="00107996" w:rsidRDefault="00497F1D" w:rsidP="00497F1D">
            <w:pPr>
              <w:pStyle w:val="TableText"/>
              <w:keepNext/>
              <w:jc w:val="center"/>
              <w:rPr>
                <w:lang w:eastAsia="en-NZ"/>
              </w:rPr>
            </w:pPr>
            <w:r w:rsidRPr="00C20522">
              <w:t>7.8%</w:t>
            </w:r>
          </w:p>
        </w:tc>
      </w:tr>
      <w:tr w:rsidR="00497F1D" w:rsidRPr="00107996" w14:paraId="2A01CA25" w14:textId="77777777" w:rsidTr="00497F1D">
        <w:trPr>
          <w:cantSplit/>
          <w:trHeight w:val="300"/>
        </w:trPr>
        <w:tc>
          <w:tcPr>
            <w:tcW w:w="2070" w:type="dxa"/>
            <w:shd w:val="clear" w:color="auto" w:fill="auto"/>
            <w:noWrap/>
          </w:tcPr>
          <w:p w14:paraId="2CFBE937" w14:textId="77777777" w:rsidR="00497F1D" w:rsidRPr="00107996" w:rsidRDefault="00497F1D" w:rsidP="00497F1D">
            <w:pPr>
              <w:pStyle w:val="TableText"/>
              <w:keepNext/>
              <w:rPr>
                <w:lang w:eastAsia="en-NZ"/>
              </w:rPr>
            </w:pPr>
            <w:r w:rsidRPr="00107996">
              <w:t>Hawke’s Bay</w:t>
            </w:r>
          </w:p>
        </w:tc>
        <w:tc>
          <w:tcPr>
            <w:tcW w:w="1701" w:type="dxa"/>
            <w:shd w:val="clear" w:color="auto" w:fill="auto"/>
            <w:noWrap/>
          </w:tcPr>
          <w:p w14:paraId="08F2A249" w14:textId="2D563D39" w:rsidR="00497F1D" w:rsidRPr="00107996" w:rsidRDefault="00497F1D" w:rsidP="00497F1D">
            <w:pPr>
              <w:pStyle w:val="TableText"/>
              <w:keepNext/>
              <w:tabs>
                <w:tab w:val="decimal" w:pos="458"/>
              </w:tabs>
              <w:jc w:val="center"/>
              <w:rPr>
                <w:lang w:eastAsia="en-NZ"/>
              </w:rPr>
            </w:pPr>
            <w:r w:rsidRPr="00090306">
              <w:t>10.4%</w:t>
            </w:r>
          </w:p>
        </w:tc>
        <w:tc>
          <w:tcPr>
            <w:tcW w:w="283" w:type="dxa"/>
            <w:tcBorders>
              <w:top w:val="nil"/>
              <w:bottom w:val="nil"/>
            </w:tcBorders>
            <w:shd w:val="clear" w:color="auto" w:fill="auto"/>
          </w:tcPr>
          <w:p w14:paraId="5F4871EE" w14:textId="77777777" w:rsidR="00497F1D" w:rsidRPr="00107996" w:rsidRDefault="00497F1D" w:rsidP="00497F1D">
            <w:pPr>
              <w:pStyle w:val="TableText"/>
              <w:keepNext/>
              <w:rPr>
                <w:lang w:eastAsia="en-NZ"/>
              </w:rPr>
            </w:pPr>
          </w:p>
        </w:tc>
        <w:tc>
          <w:tcPr>
            <w:tcW w:w="2268" w:type="dxa"/>
          </w:tcPr>
          <w:p w14:paraId="7947A620" w14:textId="6879D69F" w:rsidR="00497F1D" w:rsidRPr="00107996" w:rsidRDefault="00497F1D" w:rsidP="00497F1D">
            <w:pPr>
              <w:pStyle w:val="TableText"/>
              <w:keepNext/>
              <w:rPr>
                <w:lang w:eastAsia="en-NZ"/>
              </w:rPr>
            </w:pPr>
            <w:r w:rsidRPr="00C20522">
              <w:t>Waikato</w:t>
            </w:r>
          </w:p>
        </w:tc>
        <w:tc>
          <w:tcPr>
            <w:tcW w:w="1701" w:type="dxa"/>
          </w:tcPr>
          <w:p w14:paraId="116D527A" w14:textId="252B939D" w:rsidR="00497F1D" w:rsidRPr="00107996" w:rsidRDefault="00497F1D" w:rsidP="00497F1D">
            <w:pPr>
              <w:pStyle w:val="TableText"/>
              <w:keepNext/>
              <w:jc w:val="center"/>
              <w:rPr>
                <w:lang w:eastAsia="en-NZ"/>
              </w:rPr>
            </w:pPr>
            <w:r w:rsidRPr="00C20522">
              <w:t>8.5%</w:t>
            </w:r>
          </w:p>
        </w:tc>
      </w:tr>
      <w:tr w:rsidR="00497F1D" w:rsidRPr="00107996" w14:paraId="496FED84" w14:textId="77777777" w:rsidTr="00497F1D">
        <w:trPr>
          <w:cantSplit/>
          <w:trHeight w:val="300"/>
        </w:trPr>
        <w:tc>
          <w:tcPr>
            <w:tcW w:w="2070" w:type="dxa"/>
            <w:shd w:val="clear" w:color="auto" w:fill="auto"/>
            <w:noWrap/>
          </w:tcPr>
          <w:p w14:paraId="21B4AD48" w14:textId="77777777" w:rsidR="00497F1D" w:rsidRPr="00107996" w:rsidRDefault="00497F1D" w:rsidP="00497F1D">
            <w:pPr>
              <w:pStyle w:val="TableText"/>
              <w:keepNext/>
              <w:rPr>
                <w:lang w:eastAsia="en-NZ"/>
              </w:rPr>
            </w:pPr>
            <w:r w:rsidRPr="00107996">
              <w:t>Hutt Valley</w:t>
            </w:r>
          </w:p>
        </w:tc>
        <w:tc>
          <w:tcPr>
            <w:tcW w:w="1701" w:type="dxa"/>
            <w:shd w:val="clear" w:color="auto" w:fill="auto"/>
            <w:noWrap/>
          </w:tcPr>
          <w:p w14:paraId="624CA9A5" w14:textId="607BFF35" w:rsidR="00497F1D" w:rsidRPr="00107996" w:rsidRDefault="00497F1D" w:rsidP="00497F1D">
            <w:pPr>
              <w:pStyle w:val="TableText"/>
              <w:keepNext/>
              <w:tabs>
                <w:tab w:val="decimal" w:pos="458"/>
              </w:tabs>
              <w:jc w:val="center"/>
              <w:rPr>
                <w:lang w:eastAsia="en-NZ"/>
              </w:rPr>
            </w:pPr>
            <w:r w:rsidRPr="00090306">
              <w:t>9.6%</w:t>
            </w:r>
          </w:p>
        </w:tc>
        <w:tc>
          <w:tcPr>
            <w:tcW w:w="283" w:type="dxa"/>
            <w:tcBorders>
              <w:top w:val="nil"/>
              <w:bottom w:val="nil"/>
            </w:tcBorders>
            <w:shd w:val="clear" w:color="auto" w:fill="auto"/>
          </w:tcPr>
          <w:p w14:paraId="32150B70" w14:textId="77777777" w:rsidR="00497F1D" w:rsidRPr="00107996" w:rsidRDefault="00497F1D" w:rsidP="00497F1D">
            <w:pPr>
              <w:pStyle w:val="TableText"/>
              <w:keepNext/>
              <w:rPr>
                <w:lang w:eastAsia="en-NZ"/>
              </w:rPr>
            </w:pPr>
          </w:p>
        </w:tc>
        <w:tc>
          <w:tcPr>
            <w:tcW w:w="2268" w:type="dxa"/>
          </w:tcPr>
          <w:p w14:paraId="6C64A220" w14:textId="13CABF8F" w:rsidR="00497F1D" w:rsidRPr="00107996" w:rsidRDefault="00497F1D" w:rsidP="00497F1D">
            <w:pPr>
              <w:pStyle w:val="TableText"/>
              <w:keepNext/>
              <w:rPr>
                <w:lang w:eastAsia="en-NZ"/>
              </w:rPr>
            </w:pPr>
            <w:r w:rsidRPr="00C20522">
              <w:t>Waitematā</w:t>
            </w:r>
          </w:p>
        </w:tc>
        <w:tc>
          <w:tcPr>
            <w:tcW w:w="1701" w:type="dxa"/>
          </w:tcPr>
          <w:p w14:paraId="23031CAD" w14:textId="64239C66" w:rsidR="00497F1D" w:rsidRPr="00107996" w:rsidRDefault="00497F1D" w:rsidP="00497F1D">
            <w:pPr>
              <w:pStyle w:val="TableText"/>
              <w:keepNext/>
              <w:jc w:val="center"/>
              <w:rPr>
                <w:lang w:eastAsia="en-NZ"/>
              </w:rPr>
            </w:pPr>
            <w:r w:rsidRPr="00C20522">
              <w:t>3.2%</w:t>
            </w:r>
          </w:p>
        </w:tc>
      </w:tr>
      <w:tr w:rsidR="00497F1D" w:rsidRPr="00107996" w14:paraId="11A8A7C2" w14:textId="77777777" w:rsidTr="00497F1D">
        <w:trPr>
          <w:cantSplit/>
          <w:trHeight w:val="300"/>
        </w:trPr>
        <w:tc>
          <w:tcPr>
            <w:tcW w:w="2070" w:type="dxa"/>
            <w:shd w:val="clear" w:color="auto" w:fill="auto"/>
            <w:noWrap/>
          </w:tcPr>
          <w:p w14:paraId="65F7C488" w14:textId="70DFE8A2" w:rsidR="00497F1D" w:rsidRPr="00501296" w:rsidRDefault="00497F1D" w:rsidP="00497F1D">
            <w:pPr>
              <w:pStyle w:val="TableText"/>
              <w:keepNext/>
            </w:pPr>
            <w:r>
              <w:t xml:space="preserve">Lakes </w:t>
            </w:r>
          </w:p>
        </w:tc>
        <w:tc>
          <w:tcPr>
            <w:tcW w:w="1701" w:type="dxa"/>
            <w:shd w:val="clear" w:color="auto" w:fill="auto"/>
            <w:noWrap/>
          </w:tcPr>
          <w:p w14:paraId="04043401" w14:textId="0FFA9090" w:rsidR="00497F1D" w:rsidRPr="00501296" w:rsidDel="00645EEB" w:rsidRDefault="00497F1D" w:rsidP="00497F1D">
            <w:pPr>
              <w:pStyle w:val="TableText"/>
              <w:keepNext/>
              <w:tabs>
                <w:tab w:val="decimal" w:pos="458"/>
              </w:tabs>
              <w:jc w:val="center"/>
            </w:pPr>
            <w:r w:rsidRPr="00090306">
              <w:t>8.2%</w:t>
            </w:r>
          </w:p>
        </w:tc>
        <w:tc>
          <w:tcPr>
            <w:tcW w:w="283" w:type="dxa"/>
            <w:tcBorders>
              <w:top w:val="nil"/>
              <w:bottom w:val="nil"/>
            </w:tcBorders>
            <w:shd w:val="clear" w:color="auto" w:fill="auto"/>
          </w:tcPr>
          <w:p w14:paraId="304BB945" w14:textId="77777777" w:rsidR="00497F1D" w:rsidRPr="00501296" w:rsidRDefault="00497F1D" w:rsidP="00497F1D">
            <w:pPr>
              <w:pStyle w:val="TableText"/>
              <w:keepNext/>
              <w:rPr>
                <w:lang w:eastAsia="en-NZ"/>
              </w:rPr>
            </w:pPr>
          </w:p>
        </w:tc>
        <w:tc>
          <w:tcPr>
            <w:tcW w:w="2268" w:type="dxa"/>
          </w:tcPr>
          <w:p w14:paraId="640F5AAA" w14:textId="4533F1E3" w:rsidR="00497F1D" w:rsidRPr="00501296" w:rsidRDefault="00497F1D" w:rsidP="00497F1D">
            <w:pPr>
              <w:pStyle w:val="TableText"/>
              <w:keepNext/>
              <w:rPr>
                <w:lang w:eastAsia="en-NZ"/>
              </w:rPr>
            </w:pPr>
            <w:r w:rsidRPr="00C20522">
              <w:t>West Coast</w:t>
            </w:r>
          </w:p>
        </w:tc>
        <w:tc>
          <w:tcPr>
            <w:tcW w:w="1701" w:type="dxa"/>
          </w:tcPr>
          <w:p w14:paraId="41987AB7" w14:textId="74D35C77" w:rsidR="00497F1D" w:rsidRPr="00501296" w:rsidRDefault="00497F1D" w:rsidP="00497F1D">
            <w:pPr>
              <w:pStyle w:val="TableText"/>
              <w:keepNext/>
              <w:jc w:val="center"/>
              <w:rPr>
                <w:lang w:eastAsia="en-NZ"/>
              </w:rPr>
            </w:pPr>
            <w:r w:rsidRPr="00C20522">
              <w:t>16.9%</w:t>
            </w:r>
          </w:p>
        </w:tc>
      </w:tr>
      <w:tr w:rsidR="00497F1D" w:rsidRPr="00107996" w14:paraId="011A64F8" w14:textId="77777777" w:rsidTr="00497F1D">
        <w:trPr>
          <w:cantSplit/>
          <w:trHeight w:val="300"/>
        </w:trPr>
        <w:tc>
          <w:tcPr>
            <w:tcW w:w="2070" w:type="dxa"/>
            <w:shd w:val="clear" w:color="auto" w:fill="auto"/>
            <w:noWrap/>
          </w:tcPr>
          <w:p w14:paraId="2AA4C10E" w14:textId="07EC8E6B" w:rsidR="00497F1D" w:rsidRPr="00501296" w:rsidRDefault="00497F1D" w:rsidP="00497F1D">
            <w:pPr>
              <w:pStyle w:val="TableText"/>
              <w:keepNext/>
            </w:pPr>
            <w:r w:rsidRPr="00501296">
              <w:t>MidCentral</w:t>
            </w:r>
          </w:p>
        </w:tc>
        <w:tc>
          <w:tcPr>
            <w:tcW w:w="1701" w:type="dxa"/>
            <w:shd w:val="clear" w:color="auto" w:fill="auto"/>
            <w:noWrap/>
          </w:tcPr>
          <w:p w14:paraId="0D8F0BCF" w14:textId="072AFB6D" w:rsidR="00497F1D" w:rsidRPr="00501296" w:rsidRDefault="00497F1D" w:rsidP="00497F1D">
            <w:pPr>
              <w:pStyle w:val="TableText"/>
              <w:keepNext/>
              <w:tabs>
                <w:tab w:val="decimal" w:pos="458"/>
              </w:tabs>
              <w:jc w:val="center"/>
              <w:rPr>
                <w:lang w:eastAsia="en-NZ"/>
              </w:rPr>
            </w:pPr>
            <w:r w:rsidRPr="00090306">
              <w:t>9.5%</w:t>
            </w:r>
          </w:p>
        </w:tc>
        <w:tc>
          <w:tcPr>
            <w:tcW w:w="283" w:type="dxa"/>
            <w:tcBorders>
              <w:top w:val="nil"/>
              <w:bottom w:val="nil"/>
            </w:tcBorders>
            <w:shd w:val="clear" w:color="auto" w:fill="auto"/>
          </w:tcPr>
          <w:p w14:paraId="43C4AFE2" w14:textId="77777777" w:rsidR="00497F1D" w:rsidRPr="00501296" w:rsidRDefault="00497F1D" w:rsidP="00497F1D">
            <w:pPr>
              <w:pStyle w:val="TableText"/>
              <w:keepNext/>
              <w:rPr>
                <w:lang w:eastAsia="en-NZ"/>
              </w:rPr>
            </w:pPr>
          </w:p>
        </w:tc>
        <w:tc>
          <w:tcPr>
            <w:tcW w:w="2268" w:type="dxa"/>
          </w:tcPr>
          <w:p w14:paraId="6B9C46F8" w14:textId="6B8F3A9D" w:rsidR="00497F1D" w:rsidRPr="009B6BC1" w:rsidRDefault="00497F1D" w:rsidP="00497F1D">
            <w:pPr>
              <w:pStyle w:val="TableText"/>
              <w:keepNext/>
              <w:rPr>
                <w:b/>
                <w:bCs/>
                <w:lang w:eastAsia="en-NZ"/>
              </w:rPr>
            </w:pPr>
            <w:r w:rsidRPr="00C20522">
              <w:t>Whanganui</w:t>
            </w:r>
          </w:p>
        </w:tc>
        <w:tc>
          <w:tcPr>
            <w:tcW w:w="1701" w:type="dxa"/>
          </w:tcPr>
          <w:p w14:paraId="655B7813" w14:textId="70C87CC3" w:rsidR="00497F1D" w:rsidRPr="009B6BC1" w:rsidRDefault="00497F1D" w:rsidP="00497F1D">
            <w:pPr>
              <w:pStyle w:val="TableText"/>
              <w:keepNext/>
              <w:jc w:val="center"/>
              <w:rPr>
                <w:b/>
                <w:bCs/>
                <w:lang w:eastAsia="en-NZ"/>
              </w:rPr>
            </w:pPr>
            <w:r w:rsidRPr="00C20522">
              <w:t>1.9%</w:t>
            </w:r>
          </w:p>
        </w:tc>
      </w:tr>
      <w:tr w:rsidR="00497F1D" w:rsidRPr="00107996" w14:paraId="04B95532" w14:textId="77777777" w:rsidTr="00497F1D">
        <w:trPr>
          <w:cantSplit/>
          <w:trHeight w:val="300"/>
        </w:trPr>
        <w:tc>
          <w:tcPr>
            <w:tcW w:w="2070" w:type="dxa"/>
            <w:shd w:val="clear" w:color="auto" w:fill="auto"/>
            <w:noWrap/>
          </w:tcPr>
          <w:p w14:paraId="69CC8779" w14:textId="628E0B9A" w:rsidR="00497F1D" w:rsidRPr="00501296" w:rsidRDefault="00497F1D" w:rsidP="00497F1D">
            <w:pPr>
              <w:pStyle w:val="TableText"/>
              <w:keepNext/>
            </w:pPr>
            <w:r w:rsidRPr="00107996">
              <w:t>Nelson Marlborough</w:t>
            </w:r>
          </w:p>
        </w:tc>
        <w:tc>
          <w:tcPr>
            <w:tcW w:w="1701" w:type="dxa"/>
            <w:shd w:val="clear" w:color="auto" w:fill="auto"/>
            <w:noWrap/>
          </w:tcPr>
          <w:p w14:paraId="66760DB0" w14:textId="16FC3F58" w:rsidR="00497F1D" w:rsidRPr="00501296" w:rsidRDefault="00497F1D" w:rsidP="00497F1D">
            <w:pPr>
              <w:pStyle w:val="TableText"/>
              <w:keepNext/>
              <w:tabs>
                <w:tab w:val="decimal" w:pos="458"/>
              </w:tabs>
              <w:jc w:val="center"/>
              <w:rPr>
                <w:lang w:eastAsia="en-NZ"/>
              </w:rPr>
            </w:pPr>
            <w:r w:rsidRPr="00090306">
              <w:t>15.6%</w:t>
            </w:r>
          </w:p>
        </w:tc>
        <w:tc>
          <w:tcPr>
            <w:tcW w:w="283" w:type="dxa"/>
            <w:tcBorders>
              <w:top w:val="nil"/>
              <w:bottom w:val="nil"/>
            </w:tcBorders>
            <w:shd w:val="clear" w:color="auto" w:fill="auto"/>
          </w:tcPr>
          <w:p w14:paraId="59F805E2" w14:textId="77777777" w:rsidR="00497F1D" w:rsidRPr="00501296" w:rsidRDefault="00497F1D" w:rsidP="00497F1D">
            <w:pPr>
              <w:pStyle w:val="TableText"/>
              <w:keepNext/>
              <w:rPr>
                <w:lang w:eastAsia="en-NZ"/>
              </w:rPr>
            </w:pPr>
          </w:p>
        </w:tc>
        <w:tc>
          <w:tcPr>
            <w:tcW w:w="2268" w:type="dxa"/>
          </w:tcPr>
          <w:p w14:paraId="1B068CFD" w14:textId="56673C0D" w:rsidR="00497F1D" w:rsidRPr="00497F1D" w:rsidRDefault="00497F1D" w:rsidP="00497F1D">
            <w:pPr>
              <w:pStyle w:val="TableText"/>
              <w:keepNext/>
              <w:rPr>
                <w:b/>
                <w:bCs/>
                <w:lang w:eastAsia="en-NZ"/>
              </w:rPr>
            </w:pPr>
            <w:r w:rsidRPr="00497F1D">
              <w:rPr>
                <w:b/>
                <w:bCs/>
              </w:rPr>
              <w:t>National average</w:t>
            </w:r>
          </w:p>
        </w:tc>
        <w:tc>
          <w:tcPr>
            <w:tcW w:w="1701" w:type="dxa"/>
          </w:tcPr>
          <w:p w14:paraId="655B903D" w14:textId="51779843" w:rsidR="00497F1D" w:rsidRPr="00497F1D" w:rsidRDefault="00497F1D" w:rsidP="00497F1D">
            <w:pPr>
              <w:pStyle w:val="TableText"/>
              <w:keepNext/>
              <w:jc w:val="center"/>
              <w:rPr>
                <w:b/>
                <w:bCs/>
                <w:lang w:eastAsia="en-NZ"/>
              </w:rPr>
            </w:pPr>
            <w:r w:rsidRPr="00497F1D">
              <w:rPr>
                <w:b/>
                <w:bCs/>
              </w:rPr>
              <w:t>7.5%</w:t>
            </w:r>
          </w:p>
        </w:tc>
      </w:tr>
    </w:tbl>
    <w:p w14:paraId="0E3878D3" w14:textId="2C46B349" w:rsidR="00497F1D" w:rsidRPr="00107996" w:rsidRDefault="00497F1D" w:rsidP="00497F1D">
      <w:pPr>
        <w:pStyle w:val="Note"/>
      </w:pPr>
      <w:r w:rsidRPr="00107996">
        <w:t>Note</w:t>
      </w:r>
      <w:r>
        <w:t>s</w:t>
      </w:r>
      <w:r w:rsidRPr="00107996">
        <w:t xml:space="preserve">: </w:t>
      </w:r>
      <w:r w:rsidRPr="00497F1D">
        <w:t>The data excludes forensic inpatient services, regional intellectual disability secure services, and Wairarapa as it had no inpatient service. Some services may have low admission rates, with the result that they have a higher percentage of admissions with seclusion recorded than other services.</w:t>
      </w:r>
    </w:p>
    <w:p w14:paraId="277FE4BC" w14:textId="4E8B4513" w:rsidR="00497F1D" w:rsidRDefault="00497F1D" w:rsidP="00497F1D">
      <w:pPr>
        <w:pStyle w:val="Source"/>
      </w:pPr>
      <w:r w:rsidRPr="00697BEF">
        <w:t xml:space="preserve">Sources: </w:t>
      </w:r>
      <w:r w:rsidRPr="00497F1D">
        <w:t>PRIMHD data (extracted 28 February 2024) and manual data from Health New Zealand South Canterbury, Tairāwhiti and Waitematā.</w:t>
      </w:r>
    </w:p>
    <w:p w14:paraId="4FE5B654" w14:textId="77777777" w:rsidR="00497F1D" w:rsidRPr="00497F1D" w:rsidRDefault="00497F1D" w:rsidP="00497F1D"/>
    <w:p w14:paraId="00407A31" w14:textId="77777777" w:rsidR="00753BC8" w:rsidRDefault="00DD667C" w:rsidP="00DD667C">
      <w:pPr>
        <w:pStyle w:val="Figure"/>
        <w:sectPr w:rsidR="00753BC8" w:rsidSect="00753BC8">
          <w:pgSz w:w="11907" w:h="16834" w:code="9"/>
          <w:pgMar w:top="1418" w:right="1701" w:bottom="1134" w:left="1843" w:header="284" w:footer="425" w:gutter="284"/>
          <w:cols w:space="720"/>
        </w:sectPr>
      </w:pPr>
      <w:r>
        <w:rPr>
          <w:rFonts w:cs="Segoe UI"/>
        </w:rPr>
        <w:fldChar w:fldCharType="begin"/>
      </w:r>
      <w:r>
        <w:rPr>
          <w:rFonts w:cs="Segoe UI"/>
        </w:rPr>
        <w:instrText xml:space="preserve"> REF _Ref189377263 \h </w:instrText>
      </w:r>
      <w:r>
        <w:rPr>
          <w:rFonts w:cs="Segoe UI"/>
        </w:rPr>
      </w:r>
      <w:r>
        <w:rPr>
          <w:rFonts w:cs="Segoe UI"/>
        </w:rPr>
        <w:fldChar w:fldCharType="separate"/>
      </w:r>
    </w:p>
    <w:p w14:paraId="424A3AA1" w14:textId="3A66247D" w:rsidR="00633A7A" w:rsidRPr="005F78FD" w:rsidRDefault="00753BC8" w:rsidP="00633A7A">
      <w:pPr>
        <w:rPr>
          <w:rFonts w:cs="Segoe UI"/>
        </w:rPr>
      </w:pPr>
      <w:r w:rsidRPr="005F78FD">
        <w:t>Figure </w:t>
      </w:r>
      <w:r>
        <w:rPr>
          <w:noProof/>
        </w:rPr>
        <w:t>27</w:t>
      </w:r>
      <w:r w:rsidR="00DD667C">
        <w:rPr>
          <w:rFonts w:cs="Segoe UI"/>
        </w:rPr>
        <w:fldChar w:fldCharType="end"/>
      </w:r>
      <w:r w:rsidR="00DD667C">
        <w:rPr>
          <w:rFonts w:cs="Segoe UI"/>
        </w:rPr>
        <w:t xml:space="preserve"> </w:t>
      </w:r>
      <w:r w:rsidR="00633A7A" w:rsidRPr="005F78FD">
        <w:rPr>
          <w:rFonts w:cs="Segoe UI"/>
        </w:rPr>
        <w:t xml:space="preserve">breaks this rate down by Health New Zealand </w:t>
      </w:r>
      <w:r w:rsidR="00633A7A">
        <w:rPr>
          <w:rFonts w:cs="Segoe UI"/>
        </w:rPr>
        <w:t>district</w:t>
      </w:r>
      <w:r w:rsidR="00633A7A" w:rsidRPr="005F78FD">
        <w:rPr>
          <w:rFonts w:cs="Segoe UI"/>
        </w:rPr>
        <w:t xml:space="preserve">. The average </w:t>
      </w:r>
      <w:r w:rsidR="00633A7A">
        <w:rPr>
          <w:rFonts w:cs="Segoe UI"/>
        </w:rPr>
        <w:t>length</w:t>
      </w:r>
      <w:r w:rsidR="00633A7A" w:rsidRPr="005F78FD">
        <w:rPr>
          <w:rFonts w:cs="Segoe UI"/>
        </w:rPr>
        <w:t xml:space="preserve"> of a seclusion event was </w:t>
      </w:r>
      <w:r w:rsidR="00633A7A">
        <w:rPr>
          <w:rFonts w:cs="Segoe UI"/>
        </w:rPr>
        <w:t xml:space="preserve">27.5 </w:t>
      </w:r>
      <w:r w:rsidR="00633A7A" w:rsidRPr="005F78FD">
        <w:rPr>
          <w:rFonts w:cs="Segoe UI"/>
        </w:rPr>
        <w:t>hours, a</w:t>
      </w:r>
      <w:r w:rsidR="00633A7A">
        <w:rPr>
          <w:rFonts w:cs="Segoe UI"/>
        </w:rPr>
        <w:t>n increase</w:t>
      </w:r>
      <w:r w:rsidR="00633A7A" w:rsidRPr="005F78FD">
        <w:rPr>
          <w:rFonts w:cs="Segoe UI"/>
        </w:rPr>
        <w:t xml:space="preserve"> from 26.6 hours in the previous year.</w:t>
      </w:r>
    </w:p>
    <w:p w14:paraId="34B8159F" w14:textId="77777777" w:rsidR="00633A7A" w:rsidRPr="005F78FD" w:rsidRDefault="00633A7A" w:rsidP="00633A7A">
      <w:pPr>
        <w:rPr>
          <w:rFonts w:cs="Segoe UI"/>
        </w:rPr>
      </w:pPr>
    </w:p>
    <w:p w14:paraId="61775748" w14:textId="662EEE55" w:rsidR="00633A7A" w:rsidRPr="005F3002" w:rsidRDefault="00633A7A" w:rsidP="005F3002"/>
    <w:p w14:paraId="63367C41" w14:textId="77777777" w:rsidR="005F3002" w:rsidRDefault="005F3002" w:rsidP="00F1628D"/>
    <w:p w14:paraId="61BF4598" w14:textId="77777777" w:rsidR="005F3002" w:rsidRPr="00F1628D" w:rsidRDefault="005F3002" w:rsidP="00F1628D"/>
    <w:p w14:paraId="10DA801A" w14:textId="21B06615" w:rsidR="00497F1D" w:rsidRPr="005F78FD" w:rsidRDefault="00497F1D" w:rsidP="00497F1D">
      <w:pPr>
        <w:pStyle w:val="Figure"/>
      </w:pPr>
      <w:bookmarkStart w:id="405" w:name="_Ref141108490"/>
      <w:bookmarkStart w:id="406" w:name="_Toc63764772"/>
      <w:bookmarkStart w:id="407" w:name="_Toc75176492"/>
      <w:bookmarkStart w:id="408" w:name="_Toc85442583"/>
      <w:bookmarkStart w:id="409" w:name="_Toc85445930"/>
      <w:bookmarkStart w:id="410" w:name="_Toc87429976"/>
      <w:bookmarkStart w:id="411" w:name="_Toc88561408"/>
      <w:bookmarkStart w:id="412" w:name="_Toc115188867"/>
      <w:bookmarkStart w:id="413" w:name="_Toc142314709"/>
      <w:bookmarkStart w:id="414" w:name="_Toc145394292"/>
      <w:bookmarkStart w:id="415" w:name="_Toc189053967"/>
      <w:bookmarkStart w:id="416" w:name="_Toc189647952"/>
      <w:r w:rsidRPr="005F78FD">
        <w:t>Figure </w:t>
      </w:r>
      <w:r w:rsidRPr="005F78FD">
        <w:fldChar w:fldCharType="begin"/>
      </w:r>
      <w:r w:rsidRPr="005F78FD">
        <w:instrText>SEQ Figure \* ARABIC</w:instrText>
      </w:r>
      <w:r w:rsidRPr="005F78FD">
        <w:fldChar w:fldCharType="separate"/>
      </w:r>
      <w:r w:rsidR="00753BC8">
        <w:rPr>
          <w:noProof/>
        </w:rPr>
        <w:t>26</w:t>
      </w:r>
      <w:r w:rsidRPr="005F78FD">
        <w:fldChar w:fldCharType="end"/>
      </w:r>
      <w:bookmarkEnd w:id="405"/>
      <w:r w:rsidRPr="005F78FD">
        <w:t>: Number of people secluded in adult inpatient services per 100,000 population, by</w:t>
      </w:r>
      <w:r>
        <w:t xml:space="preserve"> </w:t>
      </w:r>
      <w:r w:rsidRPr="2534902D">
        <w:rPr>
          <w:bCs/>
        </w:rPr>
        <w:t>district</w:t>
      </w:r>
      <w:r w:rsidRPr="005F78FD">
        <w:t xml:space="preserve">, 1 </w:t>
      </w:r>
      <w:bookmarkEnd w:id="406"/>
      <w:bookmarkEnd w:id="407"/>
      <w:bookmarkEnd w:id="408"/>
      <w:bookmarkEnd w:id="409"/>
      <w:bookmarkEnd w:id="410"/>
      <w:bookmarkEnd w:id="411"/>
      <w:r w:rsidRPr="005F78FD">
        <w:t>July 2022 to 30 June 2023</w:t>
      </w:r>
      <w:bookmarkEnd w:id="412"/>
      <w:bookmarkEnd w:id="413"/>
      <w:bookmarkEnd w:id="414"/>
      <w:bookmarkEnd w:id="415"/>
      <w:bookmarkEnd w:id="416"/>
    </w:p>
    <w:p w14:paraId="7104694A" w14:textId="54CC5DD4" w:rsidR="00F1628D" w:rsidRDefault="00497F1D" w:rsidP="00993CEF">
      <w:r>
        <w:rPr>
          <w:noProof/>
        </w:rPr>
        <w:drawing>
          <wp:inline distT="0" distB="0" distL="0" distR="0" wp14:anchorId="152878B8" wp14:editId="673C8CAB">
            <wp:extent cx="5133340" cy="3316605"/>
            <wp:effectExtent l="0" t="0" r="0" b="0"/>
            <wp:docPr id="30" name="Picture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a:extLst>
                        <a:ext uri="{C183D7F6-B498-43B3-948B-1728B52AA6E4}">
                          <adec:decorative xmlns:adec="http://schemas.microsoft.com/office/drawing/2017/decorative" val="1"/>
                        </a:ext>
                      </a:extLst>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133340" cy="3316605"/>
                    </a:xfrm>
                    <a:prstGeom prst="rect">
                      <a:avLst/>
                    </a:prstGeom>
                    <a:noFill/>
                  </pic:spPr>
                </pic:pic>
              </a:graphicData>
            </a:graphic>
          </wp:inline>
        </w:drawing>
      </w:r>
    </w:p>
    <w:p w14:paraId="0CCC46F9" w14:textId="77777777" w:rsidR="00497F1D" w:rsidRPr="005F78FD" w:rsidRDefault="00497F1D" w:rsidP="00497F1D">
      <w:pPr>
        <w:pStyle w:val="Note"/>
      </w:pPr>
      <w:r w:rsidRPr="005F78FD">
        <w:t xml:space="preserve">Notes: </w:t>
      </w:r>
      <w:r>
        <w:t>In this</w:t>
      </w:r>
      <w:r w:rsidRPr="005F78FD">
        <w:t xml:space="preserve"> </w:t>
      </w:r>
      <w:r>
        <w:t>figure,</w:t>
      </w:r>
      <w:r w:rsidRPr="005F78FD">
        <w:t xml:space="preserve"> </w:t>
      </w:r>
      <w:r>
        <w:t xml:space="preserve">the </w:t>
      </w:r>
      <w:r w:rsidRPr="005F78FD">
        <w:t>confidence intervals</w:t>
      </w:r>
      <w:r>
        <w:t xml:space="preserve"> </w:t>
      </w:r>
      <w:r w:rsidRPr="005F78FD">
        <w:t xml:space="preserve"> (for 99% confidence</w:t>
      </w:r>
      <w:r>
        <w:t>, shown as vertical lines through the blue diamond markers</w:t>
      </w:r>
      <w:r w:rsidRPr="005F78FD">
        <w:t xml:space="preserve">) </w:t>
      </w:r>
      <w:r>
        <w:t>can</w:t>
      </w:r>
      <w:r w:rsidRPr="005F78FD">
        <w:t xml:space="preserve"> help </w:t>
      </w:r>
      <w:r>
        <w:t>with</w:t>
      </w:r>
      <w:r w:rsidRPr="005F78FD">
        <w:t xml:space="preserve"> interpreting the data. </w:t>
      </w:r>
      <w:r>
        <w:t>Where a</w:t>
      </w:r>
      <w:r w:rsidRPr="005F78FD">
        <w:t xml:space="preserve"> service’s confidence interval cross</w:t>
      </w:r>
      <w:r>
        <w:t>es</w:t>
      </w:r>
      <w:r w:rsidRPr="005F78FD">
        <w:t xml:space="preserve"> the national average</w:t>
      </w:r>
      <w:r>
        <w:t>, that</w:t>
      </w:r>
      <w:r w:rsidRPr="005F78FD">
        <w:t xml:space="preserve"> means its rate was not statistically significantly different from the average. </w:t>
      </w:r>
      <w:r w:rsidRPr="005F78FD">
        <w:rPr>
          <w:szCs w:val="17"/>
        </w:rPr>
        <w:t>The data excludes forensic inpatient services and</w:t>
      </w:r>
      <w:r w:rsidRPr="005F78FD">
        <w:t xml:space="preserve"> regional intellectual disability secure services. Wairarapa </w:t>
      </w:r>
      <w:r>
        <w:t>had no</w:t>
      </w:r>
      <w:r w:rsidRPr="005F78FD">
        <w:t xml:space="preserve"> inpatient unit, so is not shown in this figure.</w:t>
      </w:r>
    </w:p>
    <w:p w14:paraId="13CB88CA" w14:textId="77777777" w:rsidR="00497F1D" w:rsidRPr="005F78FD" w:rsidRDefault="00497F1D" w:rsidP="00497F1D">
      <w:pPr>
        <w:spacing w:before="80"/>
        <w:rPr>
          <w:rFonts w:cs="Segoe UI"/>
          <w:sz w:val="17"/>
        </w:rPr>
      </w:pPr>
      <w:r w:rsidRPr="005F78FD">
        <w:rPr>
          <w:rFonts w:cs="Segoe UI"/>
          <w:sz w:val="17"/>
        </w:rPr>
        <w:t>Sources: PRIMHD data (extracted 28 February 2024) and manual data from Health New Zealand South Canterbury, Tairāwhiti, and Waitematā.</w:t>
      </w:r>
    </w:p>
    <w:p w14:paraId="024B680E" w14:textId="77777777" w:rsidR="00497F1D" w:rsidRPr="005F78FD" w:rsidRDefault="00497F1D" w:rsidP="00497F1D">
      <w:pPr>
        <w:rPr>
          <w:rFonts w:cs="Segoe UI"/>
        </w:rPr>
      </w:pPr>
    </w:p>
    <w:p w14:paraId="091731BD" w14:textId="77777777" w:rsidR="00484D78" w:rsidRDefault="00484D78" w:rsidP="00DD667C">
      <w:pPr>
        <w:pStyle w:val="Figure"/>
        <w:sectPr w:rsidR="00484D78" w:rsidSect="00D4159A">
          <w:pgSz w:w="11907" w:h="16834" w:code="9"/>
          <w:pgMar w:top="1418" w:right="1701" w:bottom="1134" w:left="1843" w:header="284" w:footer="425" w:gutter="284"/>
          <w:cols w:space="720"/>
        </w:sectPr>
      </w:pPr>
      <w:bookmarkStart w:id="417" w:name="_Ref189377263"/>
      <w:bookmarkStart w:id="418" w:name="_Toc189053968"/>
    </w:p>
    <w:p w14:paraId="042B1ACD" w14:textId="312EC08D" w:rsidR="00DD667C" w:rsidRPr="005F78FD" w:rsidRDefault="00DD667C" w:rsidP="00DD667C">
      <w:pPr>
        <w:pStyle w:val="Figure"/>
      </w:pPr>
      <w:bookmarkStart w:id="419" w:name="_Toc189647953"/>
      <w:r w:rsidRPr="005F78FD">
        <w:t>Figure </w:t>
      </w:r>
      <w:r w:rsidRPr="005F78FD">
        <w:fldChar w:fldCharType="begin"/>
      </w:r>
      <w:r w:rsidRPr="005F78FD">
        <w:instrText>SEQ Figure \* ARABIC</w:instrText>
      </w:r>
      <w:r w:rsidRPr="005F78FD">
        <w:fldChar w:fldCharType="separate"/>
      </w:r>
      <w:r w:rsidR="00753BC8">
        <w:rPr>
          <w:noProof/>
        </w:rPr>
        <w:t>27</w:t>
      </w:r>
      <w:r w:rsidRPr="005F78FD">
        <w:fldChar w:fldCharType="end"/>
      </w:r>
      <w:bookmarkEnd w:id="417"/>
      <w:r w:rsidRPr="005F78FD">
        <w:t xml:space="preserve">: Number of seclusion events in adult inpatient services per 100,000 population, by </w:t>
      </w:r>
      <w:r w:rsidRPr="2534902D">
        <w:rPr>
          <w:bCs/>
        </w:rPr>
        <w:t>district</w:t>
      </w:r>
      <w:r w:rsidRPr="005F78FD">
        <w:t>, 1 July 2022 to 30 June 2023</w:t>
      </w:r>
      <w:bookmarkEnd w:id="418"/>
      <w:bookmarkEnd w:id="419"/>
    </w:p>
    <w:p w14:paraId="3F386036" w14:textId="60E07A23" w:rsidR="00497F1D" w:rsidRDefault="00DD667C" w:rsidP="00993CEF">
      <w:r>
        <w:rPr>
          <w:noProof/>
        </w:rPr>
        <w:drawing>
          <wp:inline distT="0" distB="0" distL="0" distR="0" wp14:anchorId="4AFB30D1" wp14:editId="18ED6639">
            <wp:extent cx="5133340" cy="3237230"/>
            <wp:effectExtent l="0" t="0" r="0" b="1270"/>
            <wp:docPr id="31" name="Picture 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a:extLst>
                        <a:ext uri="{C183D7F6-B498-43B3-948B-1728B52AA6E4}">
                          <adec:decorative xmlns:adec="http://schemas.microsoft.com/office/drawing/2017/decorative" val="1"/>
                        </a:ext>
                      </a:extLst>
                    </pic:cNvPr>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133340" cy="3237230"/>
                    </a:xfrm>
                    <a:prstGeom prst="rect">
                      <a:avLst/>
                    </a:prstGeom>
                    <a:noFill/>
                  </pic:spPr>
                </pic:pic>
              </a:graphicData>
            </a:graphic>
          </wp:inline>
        </w:drawing>
      </w:r>
    </w:p>
    <w:p w14:paraId="5B29E0A3" w14:textId="77777777" w:rsidR="00DD667C" w:rsidRPr="005F78FD" w:rsidRDefault="00DD667C" w:rsidP="00DD667C">
      <w:pPr>
        <w:pStyle w:val="Note"/>
      </w:pPr>
      <w:r w:rsidRPr="005F78FD">
        <w:t xml:space="preserve">Notes: </w:t>
      </w:r>
      <w:r>
        <w:t>In this figure, the</w:t>
      </w:r>
      <w:r w:rsidRPr="005F78FD">
        <w:t xml:space="preserve"> confidence intervals (for 99% confidence</w:t>
      </w:r>
      <w:r>
        <w:t>, shown as vertical lines through the blue diamond markers</w:t>
      </w:r>
      <w:r w:rsidRPr="005F78FD">
        <w:t xml:space="preserve">) </w:t>
      </w:r>
      <w:r>
        <w:t>can</w:t>
      </w:r>
      <w:r w:rsidRPr="005F78FD">
        <w:t xml:space="preserve"> help </w:t>
      </w:r>
      <w:r>
        <w:t>with</w:t>
      </w:r>
      <w:r w:rsidRPr="005F78FD">
        <w:t xml:space="preserve"> interpreting the data. </w:t>
      </w:r>
      <w:r>
        <w:t xml:space="preserve">Where a </w:t>
      </w:r>
      <w:r w:rsidRPr="005F78FD">
        <w:t>service’s confidence interval cross</w:t>
      </w:r>
      <w:r>
        <w:t>es</w:t>
      </w:r>
      <w:r w:rsidRPr="005F78FD">
        <w:t xml:space="preserve"> the national average</w:t>
      </w:r>
      <w:r>
        <w:t>, that</w:t>
      </w:r>
      <w:r w:rsidRPr="005F78FD">
        <w:t xml:space="preserve"> means its rate was not statistically significantly different from the average. </w:t>
      </w:r>
      <w:r w:rsidRPr="005F78FD">
        <w:rPr>
          <w:szCs w:val="17"/>
        </w:rPr>
        <w:t>The data excludes forensic inpatient services and</w:t>
      </w:r>
      <w:r w:rsidRPr="005F78FD">
        <w:t xml:space="preserve"> regional intellectual disability secure services. Wairarapa </w:t>
      </w:r>
      <w:r>
        <w:t xml:space="preserve">had no </w:t>
      </w:r>
      <w:r w:rsidRPr="005F78FD">
        <w:t>inpatient unit, so is not shown in this figure.</w:t>
      </w:r>
    </w:p>
    <w:p w14:paraId="709BBC08" w14:textId="77777777" w:rsidR="00DD667C" w:rsidRPr="005F78FD" w:rsidRDefault="00DD667C" w:rsidP="00DD667C">
      <w:pPr>
        <w:spacing w:before="80"/>
        <w:rPr>
          <w:rFonts w:cs="Segoe UI"/>
          <w:sz w:val="17"/>
        </w:rPr>
      </w:pPr>
      <w:r w:rsidRPr="005F78FD">
        <w:rPr>
          <w:rFonts w:cs="Segoe UI"/>
          <w:sz w:val="17"/>
        </w:rPr>
        <w:t>Sources: PRIMHD data (extracted 28 February 2024) and manual data from Health New Zealand South Canterbury, Tairāwhiti and Waitematā.</w:t>
      </w:r>
    </w:p>
    <w:p w14:paraId="30D5DE67" w14:textId="77777777" w:rsidR="00DD667C" w:rsidRPr="005F78FD" w:rsidRDefault="00DD667C" w:rsidP="00DD667C">
      <w:pPr>
        <w:pStyle w:val="Heading2"/>
      </w:pPr>
      <w:bookmarkStart w:id="420" w:name="_Toc65141625"/>
      <w:bookmarkStart w:id="421" w:name="_Toc75176449"/>
      <w:bookmarkStart w:id="422" w:name="_Toc87429914"/>
      <w:bookmarkStart w:id="423" w:name="_Toc88826962"/>
      <w:bookmarkStart w:id="424" w:name="_Toc115188812"/>
      <w:bookmarkStart w:id="425" w:name="_Toc145394240"/>
      <w:bookmarkStart w:id="426" w:name="_Toc189053910"/>
      <w:bookmarkStart w:id="427" w:name="_Toc189647899"/>
      <w:r w:rsidRPr="005F78FD">
        <w:t>Seclusion and ethnicity</w:t>
      </w:r>
      <w:bookmarkEnd w:id="420"/>
      <w:bookmarkEnd w:id="421"/>
      <w:bookmarkEnd w:id="422"/>
      <w:bookmarkEnd w:id="423"/>
      <w:bookmarkEnd w:id="424"/>
      <w:bookmarkEnd w:id="425"/>
      <w:bookmarkEnd w:id="426"/>
      <w:bookmarkEnd w:id="427"/>
    </w:p>
    <w:p w14:paraId="17C1E764" w14:textId="77777777" w:rsidR="00DD667C" w:rsidRPr="005F78FD" w:rsidRDefault="00DD667C" w:rsidP="00DD667C">
      <w:r w:rsidRPr="005F78FD">
        <w:t xml:space="preserve">The rate of seclusion for Māori in adult inpatient services was 79.2 people per 100,000 </w:t>
      </w:r>
      <w:r>
        <w:t xml:space="preserve">people in the general </w:t>
      </w:r>
      <w:r w:rsidRPr="005F78FD">
        <w:t>population. Māori were 6.5 times more likely to be secluded than non-Māori, who had a rate of 12.2 people per 100,000.</w:t>
      </w:r>
    </w:p>
    <w:p w14:paraId="04D6B63B" w14:textId="77777777" w:rsidR="00DD667C" w:rsidRPr="005F78FD" w:rsidRDefault="00DD667C" w:rsidP="00DD667C"/>
    <w:p w14:paraId="4ED40D97" w14:textId="3FF4601A" w:rsidR="000455F2" w:rsidRPr="005F78FD" w:rsidRDefault="000455F2" w:rsidP="000455F2">
      <w:r w:rsidRPr="005F78FD">
        <w:fldChar w:fldCharType="begin"/>
      </w:r>
      <w:r w:rsidRPr="005F78FD">
        <w:instrText xml:space="preserve"> REF _Ref84319865 \h </w:instrText>
      </w:r>
      <w:r w:rsidRPr="00501296">
        <w:instrText xml:space="preserve"> \* MERGEFORMAT </w:instrText>
      </w:r>
      <w:r w:rsidRPr="005F78FD">
        <w:fldChar w:fldCharType="separate"/>
      </w:r>
      <w:r w:rsidR="00753BC8" w:rsidRPr="005F78FD">
        <w:t>Figure </w:t>
      </w:r>
      <w:r w:rsidR="00753BC8">
        <w:t>28</w:t>
      </w:r>
      <w:r w:rsidRPr="005F78FD">
        <w:fldChar w:fldCharType="end"/>
      </w:r>
      <w:r w:rsidRPr="005F78FD">
        <w:t xml:space="preserve"> shows the number of people secluded by ethnicity over three </w:t>
      </w:r>
      <w:r>
        <w:t>financial years</w:t>
      </w:r>
      <w:r w:rsidRPr="005F78FD">
        <w:t>: 2020/21, 2021/22 and 2022/23.</w:t>
      </w:r>
    </w:p>
    <w:p w14:paraId="309C7585" w14:textId="77777777" w:rsidR="000455F2" w:rsidRDefault="000455F2" w:rsidP="00F1628D">
      <w:pPr>
        <w:pStyle w:val="Table"/>
        <w:sectPr w:rsidR="000455F2" w:rsidSect="00D4159A">
          <w:pgSz w:w="11907" w:h="16834" w:code="9"/>
          <w:pgMar w:top="1418" w:right="1701" w:bottom="1134" w:left="1843" w:header="284" w:footer="425" w:gutter="284"/>
          <w:cols w:space="720"/>
        </w:sectPr>
      </w:pPr>
    </w:p>
    <w:p w14:paraId="4A54C72E" w14:textId="2D9C06B5" w:rsidR="000455F2" w:rsidRPr="005F78FD" w:rsidRDefault="000455F2" w:rsidP="000455F2">
      <w:pPr>
        <w:pStyle w:val="Figure"/>
      </w:pPr>
      <w:bookmarkStart w:id="428" w:name="_Ref84319865"/>
      <w:bookmarkStart w:id="429" w:name="_Toc85442585"/>
      <w:bookmarkStart w:id="430" w:name="_Toc85445932"/>
      <w:bookmarkStart w:id="431" w:name="_Toc87429978"/>
      <w:bookmarkStart w:id="432" w:name="_Toc88561410"/>
      <w:bookmarkStart w:id="433" w:name="_Toc115188869"/>
      <w:bookmarkStart w:id="434" w:name="_Toc142314712"/>
      <w:bookmarkStart w:id="435" w:name="_Toc145394294"/>
      <w:bookmarkStart w:id="436" w:name="_Toc189053969"/>
      <w:bookmarkStart w:id="437" w:name="_Toc189647954"/>
      <w:r w:rsidRPr="005F78FD">
        <w:t>Figure </w:t>
      </w:r>
      <w:r w:rsidRPr="005F78FD">
        <w:fldChar w:fldCharType="begin"/>
      </w:r>
      <w:r w:rsidRPr="005F78FD">
        <w:instrText>SEQ Figure \* ARABIC</w:instrText>
      </w:r>
      <w:r w:rsidRPr="005F78FD">
        <w:fldChar w:fldCharType="separate"/>
      </w:r>
      <w:r w:rsidR="00753BC8">
        <w:rPr>
          <w:noProof/>
        </w:rPr>
        <w:t>28</w:t>
      </w:r>
      <w:r w:rsidRPr="005F78FD">
        <w:fldChar w:fldCharType="end"/>
      </w:r>
      <w:bookmarkEnd w:id="428"/>
      <w:r w:rsidRPr="005F78FD">
        <w:t>: Number of people secluded in adult inpatient services, by ethnicity and year</w:t>
      </w:r>
      <w:r>
        <w:t>,</w:t>
      </w:r>
      <w:r w:rsidRPr="005F78FD">
        <w:t xml:space="preserve"> from 1 </w:t>
      </w:r>
      <w:bookmarkEnd w:id="429"/>
      <w:bookmarkEnd w:id="430"/>
      <w:bookmarkEnd w:id="431"/>
      <w:bookmarkEnd w:id="432"/>
      <w:r>
        <w:t>July</w:t>
      </w:r>
      <w:r w:rsidRPr="005F78FD">
        <w:t xml:space="preserve"> 202</w:t>
      </w:r>
      <w:r>
        <w:t>0</w:t>
      </w:r>
      <w:r w:rsidRPr="005F78FD">
        <w:t xml:space="preserve"> to 30 June </w:t>
      </w:r>
      <w:bookmarkEnd w:id="433"/>
      <w:bookmarkEnd w:id="434"/>
      <w:bookmarkEnd w:id="435"/>
      <w:r w:rsidRPr="005F78FD">
        <w:t>202</w:t>
      </w:r>
      <w:r>
        <w:t>3</w:t>
      </w:r>
      <w:bookmarkEnd w:id="436"/>
      <w:bookmarkEnd w:id="437"/>
    </w:p>
    <w:p w14:paraId="71BAD911" w14:textId="60155FCB" w:rsidR="00DD667C" w:rsidRDefault="000455F2" w:rsidP="00993CEF">
      <w:r>
        <w:rPr>
          <w:noProof/>
        </w:rPr>
        <w:drawing>
          <wp:inline distT="0" distB="0" distL="0" distR="0" wp14:anchorId="198AC548" wp14:editId="667753F9">
            <wp:extent cx="5124339" cy="2811780"/>
            <wp:effectExtent l="0" t="0" r="635" b="7620"/>
            <wp:docPr id="1297958817" name="Picture 12979588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7958817" name="Picture 1297958817">
                      <a:extLst>
                        <a:ext uri="{C183D7F6-B498-43B3-948B-1728B52AA6E4}">
                          <adec:decorative xmlns:adec="http://schemas.microsoft.com/office/drawing/2017/decorative" val="1"/>
                        </a:ext>
                      </a:extLst>
                    </pic:cNvP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127474" cy="2813500"/>
                    </a:xfrm>
                    <a:prstGeom prst="rect">
                      <a:avLst/>
                    </a:prstGeom>
                    <a:noFill/>
                  </pic:spPr>
                </pic:pic>
              </a:graphicData>
            </a:graphic>
          </wp:inline>
        </w:drawing>
      </w:r>
    </w:p>
    <w:p w14:paraId="65188858" w14:textId="77777777" w:rsidR="000455F2" w:rsidRPr="005F78FD" w:rsidRDefault="000455F2" w:rsidP="000455F2">
      <w:pPr>
        <w:spacing w:before="80"/>
        <w:rPr>
          <w:rFonts w:cs="Segoe UI"/>
          <w:sz w:val="17"/>
        </w:rPr>
      </w:pPr>
      <w:r w:rsidRPr="005F78FD">
        <w:rPr>
          <w:rFonts w:cs="Segoe UI"/>
          <w:sz w:val="17"/>
        </w:rPr>
        <w:t>Notes: The data excludes forensic services and regional intellectual disability secure services.</w:t>
      </w:r>
    </w:p>
    <w:p w14:paraId="79338AC1" w14:textId="77777777" w:rsidR="000455F2" w:rsidRPr="005F78FD" w:rsidRDefault="000455F2" w:rsidP="000455F2">
      <w:pPr>
        <w:spacing w:before="80"/>
        <w:rPr>
          <w:rFonts w:cs="Segoe UI"/>
          <w:sz w:val="17"/>
        </w:rPr>
      </w:pPr>
      <w:r w:rsidRPr="005F78FD">
        <w:rPr>
          <w:rFonts w:cs="Segoe UI"/>
          <w:sz w:val="17"/>
        </w:rPr>
        <w:t>Sources: PRIMHD data (extracted 28 February 2024) and manual data from Health New Zealand South Canterbury, Tairāwhiti and Waitematā.</w:t>
      </w:r>
    </w:p>
    <w:p w14:paraId="495F18CE" w14:textId="77777777" w:rsidR="000455F2" w:rsidRPr="005F78FD" w:rsidRDefault="000455F2" w:rsidP="000455F2">
      <w:pPr>
        <w:rPr>
          <w:rFonts w:cs="Segoe UI"/>
        </w:rPr>
      </w:pPr>
    </w:p>
    <w:p w14:paraId="60477911" w14:textId="5E4C6298" w:rsidR="000455F2" w:rsidRPr="005F78FD" w:rsidRDefault="000455F2" w:rsidP="000455F2">
      <w:pPr>
        <w:rPr>
          <w:rFonts w:cs="Segoe UI"/>
        </w:rPr>
      </w:pPr>
      <w:r w:rsidRPr="005F78FD">
        <w:rPr>
          <w:rFonts w:cs="Segoe UI"/>
        </w:rPr>
        <w:fldChar w:fldCharType="begin"/>
      </w:r>
      <w:r w:rsidRPr="005F78FD">
        <w:rPr>
          <w:rFonts w:cs="Segoe UI"/>
        </w:rPr>
        <w:instrText xml:space="preserve"> REF _Ref65672381 \h </w:instrText>
      </w:r>
      <w:r w:rsidRPr="00501296">
        <w:rPr>
          <w:rFonts w:cs="Segoe UI"/>
        </w:rPr>
        <w:instrText xml:space="preserve"> \* MERGEFORMAT </w:instrText>
      </w:r>
      <w:r w:rsidRPr="005F78FD">
        <w:rPr>
          <w:rFonts w:cs="Segoe UI"/>
        </w:rPr>
      </w:r>
      <w:r w:rsidRPr="005F78FD">
        <w:rPr>
          <w:rFonts w:cs="Segoe UI"/>
        </w:rPr>
        <w:fldChar w:fldCharType="separate"/>
      </w:r>
      <w:r w:rsidR="00753BC8" w:rsidRPr="00753BC8">
        <w:rPr>
          <w:rFonts w:cs="Segoe UI"/>
        </w:rPr>
        <w:t>Figure 29</w:t>
      </w:r>
      <w:r w:rsidRPr="005F78FD">
        <w:rPr>
          <w:rFonts w:cs="Segoe UI"/>
        </w:rPr>
        <w:fldChar w:fldCharType="end"/>
      </w:r>
      <w:r w:rsidRPr="005F78FD">
        <w:rPr>
          <w:rFonts w:cs="Segoe UI"/>
        </w:rPr>
        <w:t xml:space="preserve"> shows seclusion </w:t>
      </w:r>
      <w:r>
        <w:rPr>
          <w:rFonts w:cs="Segoe UI"/>
        </w:rPr>
        <w:t>rates</w:t>
      </w:r>
      <w:r w:rsidRPr="005F78FD">
        <w:rPr>
          <w:rFonts w:cs="Segoe UI"/>
        </w:rPr>
        <w:t xml:space="preserve"> for Māori, Pacific peoples and other ethnicities </w:t>
      </w:r>
      <w:r>
        <w:rPr>
          <w:rFonts w:cs="Segoe UI"/>
        </w:rPr>
        <w:t>in</w:t>
      </w:r>
      <w:r w:rsidRPr="005F78FD">
        <w:rPr>
          <w:rFonts w:cs="Segoe UI"/>
        </w:rPr>
        <w:t xml:space="preserve"> 20</w:t>
      </w:r>
      <w:r>
        <w:rPr>
          <w:rFonts w:cs="Segoe UI"/>
        </w:rPr>
        <w:t>22/23</w:t>
      </w:r>
      <w:r w:rsidRPr="005F78FD">
        <w:rPr>
          <w:rFonts w:cs="Segoe UI"/>
        </w:rPr>
        <w:t xml:space="preserve">. Māori were secluded at a rate of </w:t>
      </w:r>
      <w:r>
        <w:rPr>
          <w:rFonts w:cs="Segoe UI"/>
        </w:rPr>
        <w:t>79.2</w:t>
      </w:r>
      <w:r w:rsidRPr="005F78FD">
        <w:rPr>
          <w:rFonts w:cs="Segoe UI"/>
        </w:rPr>
        <w:t xml:space="preserve"> people per 100,000 </w:t>
      </w:r>
      <w:r>
        <w:rPr>
          <w:rFonts w:cs="Segoe UI"/>
        </w:rPr>
        <w:t xml:space="preserve">people in the general </w:t>
      </w:r>
      <w:r w:rsidRPr="005F78FD">
        <w:rPr>
          <w:rFonts w:cs="Segoe UI"/>
        </w:rPr>
        <w:t xml:space="preserve">population, Pacific peoples at </w:t>
      </w:r>
      <w:r>
        <w:rPr>
          <w:rFonts w:cs="Segoe UI"/>
        </w:rPr>
        <w:t>a rate of 22.6</w:t>
      </w:r>
      <w:r w:rsidRPr="005F78FD">
        <w:rPr>
          <w:rFonts w:cs="Segoe UI"/>
        </w:rPr>
        <w:t xml:space="preserve"> people per 100,000 and other ethnicities at a rate of </w:t>
      </w:r>
      <w:r>
        <w:rPr>
          <w:rFonts w:cs="Segoe UI"/>
        </w:rPr>
        <w:t>11.2</w:t>
      </w:r>
      <w:r w:rsidRPr="005F78FD">
        <w:rPr>
          <w:rFonts w:cs="Segoe UI"/>
        </w:rPr>
        <w:t xml:space="preserve"> people per 100,000.</w:t>
      </w:r>
      <w:r>
        <w:rPr>
          <w:rFonts w:cs="Segoe UI"/>
        </w:rPr>
        <w:t xml:space="preserve"> </w:t>
      </w:r>
      <w:r w:rsidRPr="00FD2B03">
        <w:rPr>
          <w:rFonts w:cs="Segoe UI"/>
          <w:bCs/>
        </w:rPr>
        <w:fldChar w:fldCharType="begin"/>
      </w:r>
      <w:r w:rsidRPr="004A7621">
        <w:rPr>
          <w:rFonts w:cs="Segoe UI"/>
          <w:bCs/>
        </w:rPr>
        <w:instrText xml:space="preserve"> REF _Ref185318711 \h </w:instrText>
      </w:r>
      <w:r>
        <w:rPr>
          <w:rFonts w:cs="Segoe UI"/>
          <w:bCs/>
        </w:rPr>
        <w:instrText xml:space="preserve"> \* MERGEFORMAT </w:instrText>
      </w:r>
      <w:r w:rsidRPr="00FD2B03">
        <w:rPr>
          <w:rFonts w:cs="Segoe UI"/>
          <w:bCs/>
        </w:rPr>
      </w:r>
      <w:r w:rsidRPr="00FD2B03">
        <w:rPr>
          <w:rFonts w:cs="Segoe UI"/>
          <w:bCs/>
        </w:rPr>
        <w:fldChar w:fldCharType="separate"/>
      </w:r>
      <w:r w:rsidR="00753BC8" w:rsidRPr="00753BC8">
        <w:rPr>
          <w:rFonts w:cs="Segoe UI"/>
          <w:bCs/>
        </w:rPr>
        <w:t>Figure 30</w:t>
      </w:r>
      <w:r w:rsidRPr="00FD2B03">
        <w:rPr>
          <w:rFonts w:cs="Segoe UI"/>
          <w:bCs/>
        </w:rPr>
        <w:fldChar w:fldCharType="end"/>
      </w:r>
      <w:r>
        <w:rPr>
          <w:rFonts w:cs="Segoe UI"/>
        </w:rPr>
        <w:t xml:space="preserve"> shows the percentage of people secluded in adult inpatient services by ethnicity and gender.</w:t>
      </w:r>
    </w:p>
    <w:p w14:paraId="30FC6009" w14:textId="77777777" w:rsidR="000455F2" w:rsidRPr="005F78FD" w:rsidRDefault="000455F2" w:rsidP="000455F2">
      <w:pPr>
        <w:rPr>
          <w:rFonts w:cs="Segoe UI"/>
        </w:rPr>
      </w:pPr>
    </w:p>
    <w:p w14:paraId="5CFD1175" w14:textId="4DA1C801" w:rsidR="000455F2" w:rsidRPr="005F78FD" w:rsidRDefault="000455F2" w:rsidP="000455F2">
      <w:pPr>
        <w:pStyle w:val="Figure"/>
      </w:pPr>
      <w:bookmarkStart w:id="438" w:name="_Ref65672381"/>
      <w:bookmarkStart w:id="439" w:name="_Toc63764776"/>
      <w:bookmarkStart w:id="440" w:name="_Toc75176494"/>
      <w:bookmarkStart w:id="441" w:name="_Toc85442586"/>
      <w:bookmarkStart w:id="442" w:name="_Toc85445933"/>
      <w:bookmarkStart w:id="443" w:name="_Toc87429979"/>
      <w:bookmarkStart w:id="444" w:name="_Toc88561411"/>
      <w:bookmarkStart w:id="445" w:name="_Toc115188870"/>
      <w:bookmarkStart w:id="446" w:name="_Toc142314713"/>
      <w:bookmarkStart w:id="447" w:name="_Toc145394295"/>
      <w:bookmarkStart w:id="448" w:name="_Toc189053970"/>
      <w:bookmarkStart w:id="449" w:name="_Toc189647955"/>
      <w:r w:rsidRPr="005F78FD">
        <w:t>Figure </w:t>
      </w:r>
      <w:r w:rsidRPr="005F78FD">
        <w:fldChar w:fldCharType="begin"/>
      </w:r>
      <w:r w:rsidRPr="005F78FD">
        <w:instrText>SEQ Figure \* ARABIC</w:instrText>
      </w:r>
      <w:r w:rsidRPr="005F78FD">
        <w:fldChar w:fldCharType="separate"/>
      </w:r>
      <w:r w:rsidR="00753BC8">
        <w:rPr>
          <w:noProof/>
        </w:rPr>
        <w:t>29</w:t>
      </w:r>
      <w:r w:rsidRPr="005F78FD">
        <w:fldChar w:fldCharType="end"/>
      </w:r>
      <w:bookmarkEnd w:id="438"/>
      <w:r w:rsidRPr="005F78FD">
        <w:t xml:space="preserve">: Seclusion indicators for adult inpatient services, by ethnicity, 1 </w:t>
      </w:r>
      <w:bookmarkEnd w:id="439"/>
      <w:bookmarkEnd w:id="440"/>
      <w:bookmarkEnd w:id="441"/>
      <w:bookmarkEnd w:id="442"/>
      <w:bookmarkEnd w:id="443"/>
      <w:bookmarkEnd w:id="444"/>
      <w:r w:rsidRPr="005F78FD">
        <w:t>July 2022 to 30</w:t>
      </w:r>
      <w:r>
        <w:t> </w:t>
      </w:r>
      <w:r w:rsidRPr="005F78FD">
        <w:t>June 2023</w:t>
      </w:r>
      <w:bookmarkEnd w:id="445"/>
      <w:bookmarkEnd w:id="446"/>
      <w:bookmarkEnd w:id="447"/>
      <w:bookmarkEnd w:id="448"/>
      <w:bookmarkEnd w:id="449"/>
    </w:p>
    <w:p w14:paraId="2F08DCD1" w14:textId="4AC02AB6" w:rsidR="000455F2" w:rsidRDefault="000455F2" w:rsidP="00993CEF">
      <w:r>
        <w:rPr>
          <w:noProof/>
        </w:rPr>
        <w:drawing>
          <wp:inline distT="0" distB="0" distL="0" distR="0" wp14:anchorId="6D02244D" wp14:editId="0ADD6B4D">
            <wp:extent cx="5133340" cy="2914015"/>
            <wp:effectExtent l="0" t="0" r="0" b="0"/>
            <wp:docPr id="1297958818" name="Picture 12979588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7958818" name="Picture 1297958818">
                      <a:extLst>
                        <a:ext uri="{C183D7F6-B498-43B3-948B-1728B52AA6E4}">
                          <adec:decorative xmlns:adec="http://schemas.microsoft.com/office/drawing/2017/decorative" val="1"/>
                        </a:ext>
                      </a:extLst>
                    </pic:cNvPr>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133340" cy="2914015"/>
                    </a:xfrm>
                    <a:prstGeom prst="rect">
                      <a:avLst/>
                    </a:prstGeom>
                    <a:noFill/>
                  </pic:spPr>
                </pic:pic>
              </a:graphicData>
            </a:graphic>
          </wp:inline>
        </w:drawing>
      </w:r>
    </w:p>
    <w:p w14:paraId="0EBF562D" w14:textId="77777777" w:rsidR="000455F2" w:rsidRPr="005F78FD" w:rsidRDefault="000455F2" w:rsidP="000455F2">
      <w:pPr>
        <w:spacing w:before="80"/>
        <w:rPr>
          <w:rFonts w:cs="Segoe UI"/>
          <w:sz w:val="17"/>
        </w:rPr>
      </w:pPr>
      <w:r w:rsidRPr="005F78FD">
        <w:rPr>
          <w:rFonts w:cs="Segoe UI"/>
          <w:sz w:val="17"/>
        </w:rPr>
        <w:t>Note: The data excludes forensic services and regional intellectual disability secure services.</w:t>
      </w:r>
    </w:p>
    <w:p w14:paraId="0BA8C5EF" w14:textId="77777777" w:rsidR="000455F2" w:rsidRPr="005F78FD" w:rsidRDefault="000455F2" w:rsidP="000455F2">
      <w:pPr>
        <w:spacing w:before="80"/>
        <w:rPr>
          <w:rFonts w:cs="Segoe UI"/>
          <w:sz w:val="17"/>
        </w:rPr>
      </w:pPr>
      <w:r w:rsidRPr="005F78FD">
        <w:rPr>
          <w:rFonts w:cs="Segoe UI"/>
          <w:sz w:val="17"/>
        </w:rPr>
        <w:t xml:space="preserve">Sources: PRIMHD data (extracted </w:t>
      </w:r>
      <w:r>
        <w:rPr>
          <w:rFonts w:cs="Segoe UI"/>
          <w:sz w:val="17"/>
        </w:rPr>
        <w:t>28 February 2024) and manual data for Health New Zealand South Canterbury, Tairāwhiti and Waitematā</w:t>
      </w:r>
      <w:r w:rsidRPr="005F78FD">
        <w:rPr>
          <w:rFonts w:cs="Segoe UI"/>
          <w:sz w:val="17"/>
        </w:rPr>
        <w:t>.</w:t>
      </w:r>
    </w:p>
    <w:p w14:paraId="6A91C4A9" w14:textId="0620255E" w:rsidR="000455F2" w:rsidRPr="00501296" w:rsidRDefault="000455F2" w:rsidP="000455F2">
      <w:pPr>
        <w:pStyle w:val="Figure"/>
      </w:pPr>
      <w:bookmarkStart w:id="450" w:name="_Ref185318711"/>
      <w:bookmarkStart w:id="451" w:name="_Toc63764778"/>
      <w:bookmarkStart w:id="452" w:name="_Toc75176495"/>
      <w:bookmarkStart w:id="453" w:name="_Toc85442587"/>
      <w:bookmarkStart w:id="454" w:name="_Toc85445934"/>
      <w:bookmarkStart w:id="455" w:name="_Toc87429980"/>
      <w:bookmarkStart w:id="456" w:name="_Toc88561412"/>
      <w:bookmarkStart w:id="457" w:name="_Toc115188871"/>
      <w:bookmarkStart w:id="458" w:name="_Toc142314714"/>
      <w:bookmarkStart w:id="459" w:name="_Toc145394296"/>
      <w:bookmarkStart w:id="460" w:name="_Ref185318707"/>
      <w:bookmarkStart w:id="461" w:name="_Toc189053971"/>
      <w:bookmarkStart w:id="462" w:name="_Toc189647956"/>
      <w:r w:rsidRPr="005F78FD">
        <w:t>Figure </w:t>
      </w:r>
      <w:r w:rsidRPr="005F78FD">
        <w:fldChar w:fldCharType="begin"/>
      </w:r>
      <w:r w:rsidRPr="005F78FD">
        <w:instrText>SEQ Figure \* ARABIC</w:instrText>
      </w:r>
      <w:r w:rsidRPr="005F78FD">
        <w:fldChar w:fldCharType="separate"/>
      </w:r>
      <w:r w:rsidR="00753BC8">
        <w:rPr>
          <w:noProof/>
        </w:rPr>
        <w:t>30</w:t>
      </w:r>
      <w:r w:rsidRPr="005F78FD">
        <w:fldChar w:fldCharType="end"/>
      </w:r>
      <w:bookmarkEnd w:id="450"/>
      <w:r w:rsidRPr="005F78FD">
        <w:t xml:space="preserve">: Percentage of people </w:t>
      </w:r>
      <w:r>
        <w:t>secluded</w:t>
      </w:r>
      <w:r w:rsidRPr="005F78FD">
        <w:t xml:space="preserve"> in adult inpatient services, by ethnicity and gender, 1 </w:t>
      </w:r>
      <w:bookmarkEnd w:id="451"/>
      <w:bookmarkEnd w:id="452"/>
      <w:bookmarkEnd w:id="453"/>
      <w:bookmarkEnd w:id="454"/>
      <w:bookmarkEnd w:id="455"/>
      <w:bookmarkEnd w:id="456"/>
      <w:r w:rsidRPr="005F78FD">
        <w:t>July 202</w:t>
      </w:r>
      <w:r w:rsidRPr="00501296">
        <w:t>2</w:t>
      </w:r>
      <w:r w:rsidRPr="005F78FD">
        <w:t xml:space="preserve"> to 30 June 202</w:t>
      </w:r>
      <w:r w:rsidRPr="00501296">
        <w:t>3</w:t>
      </w:r>
      <w:bookmarkEnd w:id="457"/>
      <w:bookmarkEnd w:id="458"/>
      <w:bookmarkEnd w:id="459"/>
      <w:bookmarkEnd w:id="460"/>
      <w:bookmarkEnd w:id="461"/>
      <w:bookmarkEnd w:id="462"/>
    </w:p>
    <w:p w14:paraId="6BC273D8" w14:textId="72AF2649" w:rsidR="00F1628D" w:rsidRPr="00F1628D" w:rsidRDefault="000455F2" w:rsidP="00F1628D">
      <w:r>
        <w:rPr>
          <w:noProof/>
        </w:rPr>
        <w:drawing>
          <wp:inline distT="0" distB="0" distL="0" distR="0" wp14:anchorId="63BBD2B5" wp14:editId="6B6A1567">
            <wp:extent cx="5133340" cy="2316480"/>
            <wp:effectExtent l="0" t="0" r="0" b="7620"/>
            <wp:docPr id="1297958819" name="Picture 12979588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7958819" name="Picture 1297958819">
                      <a:extLst>
                        <a:ext uri="{C183D7F6-B498-43B3-948B-1728B52AA6E4}">
                          <adec:decorative xmlns:adec="http://schemas.microsoft.com/office/drawing/2017/decorative" val="1"/>
                        </a:ext>
                      </a:extLst>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133340" cy="2316480"/>
                    </a:xfrm>
                    <a:prstGeom prst="rect">
                      <a:avLst/>
                    </a:prstGeom>
                    <a:noFill/>
                  </pic:spPr>
                </pic:pic>
              </a:graphicData>
            </a:graphic>
          </wp:inline>
        </w:drawing>
      </w:r>
    </w:p>
    <w:p w14:paraId="10CA54AA" w14:textId="77777777" w:rsidR="000455F2" w:rsidRPr="005F78FD" w:rsidRDefault="000455F2" w:rsidP="000455F2">
      <w:pPr>
        <w:spacing w:before="80"/>
        <w:rPr>
          <w:rFonts w:cs="Segoe UI"/>
          <w:sz w:val="17"/>
        </w:rPr>
      </w:pPr>
      <w:r w:rsidRPr="005F78FD">
        <w:rPr>
          <w:rFonts w:cs="Segoe UI"/>
          <w:sz w:val="17"/>
        </w:rPr>
        <w:t>Note: The data excludes forensic services and regional intellectual disability secure services.</w:t>
      </w:r>
    </w:p>
    <w:p w14:paraId="3D1EB462" w14:textId="77777777" w:rsidR="000455F2" w:rsidRPr="005F78FD" w:rsidRDefault="000455F2" w:rsidP="000455F2">
      <w:pPr>
        <w:spacing w:before="80"/>
        <w:rPr>
          <w:rFonts w:cs="Segoe UI"/>
          <w:sz w:val="17"/>
        </w:rPr>
      </w:pPr>
      <w:r w:rsidRPr="005F78FD">
        <w:rPr>
          <w:rFonts w:cs="Segoe UI"/>
          <w:sz w:val="17"/>
        </w:rPr>
        <w:t xml:space="preserve">Sources: PRIMHD data (extracted </w:t>
      </w:r>
      <w:r>
        <w:rPr>
          <w:rFonts w:cs="Segoe UI"/>
          <w:sz w:val="17"/>
        </w:rPr>
        <w:t>28 February 2024) and manual data for Health New Zealand South Canterbury, Tairāwhiti and Waitematā</w:t>
      </w:r>
      <w:r w:rsidRPr="005F78FD">
        <w:rPr>
          <w:rFonts w:cs="Segoe UI"/>
          <w:sz w:val="17"/>
        </w:rPr>
        <w:t>.</w:t>
      </w:r>
    </w:p>
    <w:p w14:paraId="5DFAD709" w14:textId="77777777" w:rsidR="000455F2" w:rsidRPr="005F78FD" w:rsidRDefault="000455F2" w:rsidP="000455F2">
      <w:pPr>
        <w:rPr>
          <w:rFonts w:cs="Segoe UI"/>
        </w:rPr>
      </w:pPr>
    </w:p>
    <w:bookmarkStart w:id="463" w:name="_Toc34653580"/>
    <w:p w14:paraId="7B186063" w14:textId="1BC1F4CE" w:rsidR="000455F2" w:rsidRPr="005F78FD" w:rsidRDefault="000455F2" w:rsidP="000455F2">
      <w:pPr>
        <w:rPr>
          <w:rFonts w:cs="Segoe UI"/>
          <w:b/>
        </w:rPr>
      </w:pPr>
      <w:r w:rsidRPr="005F78FD">
        <w:rPr>
          <w:rFonts w:cs="Segoe UI"/>
        </w:rPr>
        <w:fldChar w:fldCharType="begin"/>
      </w:r>
      <w:r w:rsidRPr="005F78FD">
        <w:rPr>
          <w:rFonts w:cs="Segoe UI"/>
        </w:rPr>
        <w:instrText xml:space="preserve"> REF _Ref65672396 \h </w:instrText>
      </w:r>
      <w:r w:rsidRPr="00501296">
        <w:rPr>
          <w:rFonts w:cs="Segoe UI"/>
        </w:rPr>
        <w:instrText xml:space="preserve"> \* MERGEFORMAT </w:instrText>
      </w:r>
      <w:r w:rsidRPr="005F78FD">
        <w:rPr>
          <w:rFonts w:cs="Segoe UI"/>
        </w:rPr>
      </w:r>
      <w:r w:rsidRPr="005F78FD">
        <w:rPr>
          <w:rFonts w:cs="Segoe UI"/>
        </w:rPr>
        <w:fldChar w:fldCharType="separate"/>
      </w:r>
      <w:r w:rsidR="00753BC8" w:rsidRPr="00753BC8">
        <w:rPr>
          <w:rFonts w:cs="Segoe UI"/>
        </w:rPr>
        <w:t>Figure 31</w:t>
      </w:r>
      <w:r w:rsidRPr="005F78FD">
        <w:rPr>
          <w:rFonts w:cs="Segoe UI"/>
        </w:rPr>
        <w:fldChar w:fldCharType="end"/>
      </w:r>
      <w:r w:rsidRPr="005F78FD">
        <w:rPr>
          <w:rFonts w:cs="Segoe UI"/>
        </w:rPr>
        <w:t xml:space="preserve"> shows the number of Māori and non-Māori aged 20–64 </w:t>
      </w:r>
      <w:r>
        <w:rPr>
          <w:rFonts w:cs="Segoe UI"/>
        </w:rPr>
        <w:t xml:space="preserve">years who were </w:t>
      </w:r>
      <w:r w:rsidRPr="005F78FD">
        <w:rPr>
          <w:rFonts w:cs="Segoe UI"/>
        </w:rPr>
        <w:t xml:space="preserve">secluded in adult inpatient services from the </w:t>
      </w:r>
      <w:r>
        <w:rPr>
          <w:rFonts w:cs="Segoe UI"/>
        </w:rPr>
        <w:t>2007</w:t>
      </w:r>
      <w:r w:rsidRPr="005F78FD">
        <w:rPr>
          <w:rFonts w:cs="Segoe UI"/>
        </w:rPr>
        <w:t xml:space="preserve"> calendar year to the 202</w:t>
      </w:r>
      <w:r>
        <w:rPr>
          <w:rFonts w:cs="Segoe UI"/>
        </w:rPr>
        <w:t>2</w:t>
      </w:r>
      <w:r w:rsidRPr="005F78FD">
        <w:rPr>
          <w:rFonts w:cs="Segoe UI"/>
        </w:rPr>
        <w:t>/2</w:t>
      </w:r>
      <w:r>
        <w:rPr>
          <w:rFonts w:cs="Segoe UI"/>
        </w:rPr>
        <w:t>3</w:t>
      </w:r>
      <w:r w:rsidRPr="005F78FD">
        <w:rPr>
          <w:rFonts w:cs="Segoe UI"/>
        </w:rPr>
        <w:t xml:space="preserve"> financial year. Nationally </w:t>
      </w:r>
      <w:r>
        <w:rPr>
          <w:rFonts w:cs="Segoe UI"/>
        </w:rPr>
        <w:t>since 2009 (when the seclusion reduction policies were introduced)</w:t>
      </w:r>
      <w:r w:rsidRPr="005F78FD">
        <w:rPr>
          <w:rFonts w:cs="Segoe UI"/>
        </w:rPr>
        <w:t xml:space="preserve">, the number of people secluded decreased </w:t>
      </w:r>
      <w:r w:rsidRPr="00C14C56">
        <w:rPr>
          <w:rFonts w:cs="Segoe UI"/>
        </w:rPr>
        <w:t xml:space="preserve">by </w:t>
      </w:r>
      <w:r>
        <w:rPr>
          <w:rFonts w:cs="Segoe UI"/>
        </w:rPr>
        <w:t>35%</w:t>
      </w:r>
      <w:r w:rsidRPr="00C14C56">
        <w:rPr>
          <w:rFonts w:cs="Segoe UI"/>
        </w:rPr>
        <w:t xml:space="preserve">. </w:t>
      </w:r>
      <w:r>
        <w:rPr>
          <w:rFonts w:cs="Segoe UI"/>
        </w:rPr>
        <w:t>However t</w:t>
      </w:r>
      <w:r w:rsidRPr="00C14C56">
        <w:rPr>
          <w:rFonts w:cs="Segoe UI"/>
        </w:rPr>
        <w:t xml:space="preserve">he number of </w:t>
      </w:r>
      <w:r>
        <w:rPr>
          <w:rFonts w:cs="Segoe UI"/>
        </w:rPr>
        <w:t>Māori</w:t>
      </w:r>
      <w:r w:rsidRPr="00C14C56">
        <w:rPr>
          <w:rFonts w:cs="Segoe UI"/>
        </w:rPr>
        <w:t xml:space="preserve"> secluded </w:t>
      </w:r>
      <w:r>
        <w:rPr>
          <w:rFonts w:cs="Segoe UI"/>
        </w:rPr>
        <w:t>in</w:t>
      </w:r>
      <w:r w:rsidRPr="00C14C56">
        <w:rPr>
          <w:rFonts w:cs="Segoe UI"/>
        </w:rPr>
        <w:t xml:space="preserve">creased by </w:t>
      </w:r>
      <w:r>
        <w:rPr>
          <w:rFonts w:cs="Segoe UI"/>
        </w:rPr>
        <w:t>43%</w:t>
      </w:r>
      <w:r w:rsidRPr="00C14C56">
        <w:rPr>
          <w:rFonts w:cs="Segoe UI"/>
        </w:rPr>
        <w:t xml:space="preserve"> over</w:t>
      </w:r>
      <w:r w:rsidRPr="005F78FD">
        <w:rPr>
          <w:rFonts w:cs="Segoe UI"/>
        </w:rPr>
        <w:t xml:space="preserve"> the same period.</w:t>
      </w:r>
    </w:p>
    <w:p w14:paraId="7136BA49" w14:textId="77777777" w:rsidR="000455F2" w:rsidRPr="005F78FD" w:rsidRDefault="000455F2" w:rsidP="000455F2">
      <w:pPr>
        <w:rPr>
          <w:rFonts w:cs="Segoe UI"/>
        </w:rPr>
      </w:pPr>
    </w:p>
    <w:p w14:paraId="5B957A54" w14:textId="0578250D" w:rsidR="000455F2" w:rsidRDefault="000455F2" w:rsidP="000455F2">
      <w:pPr>
        <w:pStyle w:val="Figure"/>
      </w:pPr>
      <w:bookmarkStart w:id="464" w:name="_Ref65672396"/>
      <w:bookmarkStart w:id="465" w:name="_Toc63764780"/>
      <w:bookmarkStart w:id="466" w:name="_Toc75176496"/>
      <w:bookmarkStart w:id="467" w:name="_Toc85442588"/>
      <w:bookmarkStart w:id="468" w:name="_Toc85445935"/>
      <w:bookmarkStart w:id="469" w:name="_Toc87429981"/>
      <w:bookmarkStart w:id="470" w:name="_Toc88561413"/>
      <w:bookmarkStart w:id="471" w:name="_Toc115188872"/>
      <w:bookmarkStart w:id="472" w:name="_Toc142314715"/>
      <w:bookmarkStart w:id="473" w:name="_Toc145394297"/>
      <w:bookmarkStart w:id="474" w:name="_Toc189053972"/>
      <w:bookmarkStart w:id="475" w:name="_Toc189647957"/>
      <w:bookmarkEnd w:id="463"/>
      <w:r w:rsidRPr="005F78FD">
        <w:t>Figure </w:t>
      </w:r>
      <w:r w:rsidRPr="005F78FD">
        <w:fldChar w:fldCharType="begin"/>
      </w:r>
      <w:r w:rsidRPr="005F78FD">
        <w:instrText>SEQ Figure \* ARABIC</w:instrText>
      </w:r>
      <w:r w:rsidRPr="005F78FD">
        <w:fldChar w:fldCharType="separate"/>
      </w:r>
      <w:r w:rsidR="00753BC8">
        <w:rPr>
          <w:noProof/>
        </w:rPr>
        <w:t>31</w:t>
      </w:r>
      <w:r w:rsidRPr="005F78FD">
        <w:fldChar w:fldCharType="end"/>
      </w:r>
      <w:bookmarkEnd w:id="464"/>
      <w:r w:rsidRPr="005F78FD">
        <w:t xml:space="preserve">: Number of Māori and non-Māori secluded in adult inpatient services, </w:t>
      </w:r>
      <w:r>
        <w:t>2007</w:t>
      </w:r>
      <w:r w:rsidRPr="005F78FD">
        <w:t xml:space="preserve"> to 20</w:t>
      </w:r>
      <w:bookmarkEnd w:id="465"/>
      <w:r w:rsidRPr="005F78FD">
        <w:t>2</w:t>
      </w:r>
      <w:r>
        <w:t>2</w:t>
      </w:r>
      <w:r w:rsidRPr="005F78FD">
        <w:t>/2</w:t>
      </w:r>
      <w:r>
        <w:t>3</w:t>
      </w:r>
      <w:bookmarkEnd w:id="466"/>
      <w:bookmarkEnd w:id="467"/>
      <w:bookmarkEnd w:id="468"/>
      <w:bookmarkEnd w:id="469"/>
      <w:bookmarkEnd w:id="470"/>
      <w:bookmarkEnd w:id="471"/>
      <w:bookmarkEnd w:id="472"/>
      <w:bookmarkEnd w:id="473"/>
      <w:bookmarkEnd w:id="474"/>
      <w:bookmarkEnd w:id="475"/>
    </w:p>
    <w:p w14:paraId="4A5A9D0B" w14:textId="07F1BDFE" w:rsidR="000455F2" w:rsidRPr="00F1628D" w:rsidRDefault="000455F2" w:rsidP="00F1628D">
      <w:r>
        <w:rPr>
          <w:noProof/>
        </w:rPr>
        <w:drawing>
          <wp:inline distT="0" distB="0" distL="0" distR="0" wp14:anchorId="7243DA5E" wp14:editId="5FC4059B">
            <wp:extent cx="5133340" cy="2487295"/>
            <wp:effectExtent l="0" t="0" r="0" b="8255"/>
            <wp:docPr id="1297958820" name="Picture 12979588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7958820" name="Picture 1297958820">
                      <a:extLst>
                        <a:ext uri="{C183D7F6-B498-43B3-948B-1728B52AA6E4}">
                          <adec:decorative xmlns:adec="http://schemas.microsoft.com/office/drawing/2017/decorative" val="1"/>
                        </a:ext>
                      </a:extLst>
                    </pic:cNvPr>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133340" cy="2487295"/>
                    </a:xfrm>
                    <a:prstGeom prst="rect">
                      <a:avLst/>
                    </a:prstGeom>
                    <a:noFill/>
                  </pic:spPr>
                </pic:pic>
              </a:graphicData>
            </a:graphic>
          </wp:inline>
        </w:drawing>
      </w:r>
    </w:p>
    <w:p w14:paraId="562E17CC" w14:textId="77777777" w:rsidR="000455F2" w:rsidRPr="005F78FD" w:rsidRDefault="000455F2" w:rsidP="000455F2">
      <w:pPr>
        <w:spacing w:before="80"/>
        <w:rPr>
          <w:rFonts w:cs="Segoe UI"/>
          <w:sz w:val="17"/>
        </w:rPr>
      </w:pPr>
      <w:r w:rsidRPr="005F78FD">
        <w:rPr>
          <w:rFonts w:cs="Segoe UI"/>
          <w:sz w:val="17"/>
        </w:rPr>
        <w:t>Notes: The data excludes forensic services and regional intellectual disability secure services. All years before 2020/21 are calendar years.</w:t>
      </w:r>
    </w:p>
    <w:p w14:paraId="4153D7BC" w14:textId="77777777" w:rsidR="000455F2" w:rsidRPr="005F78FD" w:rsidRDefault="000455F2" w:rsidP="000455F2">
      <w:pPr>
        <w:spacing w:before="80"/>
        <w:rPr>
          <w:rFonts w:cs="Segoe UI"/>
          <w:sz w:val="17"/>
        </w:rPr>
      </w:pPr>
      <w:r w:rsidRPr="005F78FD">
        <w:rPr>
          <w:rFonts w:cs="Segoe UI"/>
          <w:sz w:val="17"/>
        </w:rPr>
        <w:t xml:space="preserve">Sources: PRIMHD data (extracted </w:t>
      </w:r>
      <w:r>
        <w:rPr>
          <w:rFonts w:cs="Segoe UI"/>
          <w:sz w:val="17"/>
        </w:rPr>
        <w:t>28 February 2024) and manual data for Health New Zealand South Canterbury, Tairāwhiti and Waitematā</w:t>
      </w:r>
      <w:r w:rsidRPr="005F78FD">
        <w:rPr>
          <w:rFonts w:cs="Segoe UI"/>
          <w:sz w:val="17"/>
        </w:rPr>
        <w:t>.</w:t>
      </w:r>
    </w:p>
    <w:p w14:paraId="48880CFB" w14:textId="77777777" w:rsidR="000455F2" w:rsidRPr="005F78FD" w:rsidRDefault="000455F2" w:rsidP="000455F2">
      <w:pPr>
        <w:pStyle w:val="Heading2"/>
      </w:pPr>
      <w:bookmarkStart w:id="476" w:name="_Toc65141626"/>
      <w:bookmarkStart w:id="477" w:name="_Toc75176450"/>
      <w:bookmarkStart w:id="478" w:name="_Toc87429915"/>
      <w:bookmarkStart w:id="479" w:name="_Toc88826963"/>
      <w:bookmarkStart w:id="480" w:name="_Toc115188813"/>
      <w:bookmarkStart w:id="481" w:name="_Toc145394241"/>
      <w:bookmarkStart w:id="482" w:name="_Ref185320751"/>
      <w:bookmarkStart w:id="483" w:name="_Toc189053911"/>
      <w:bookmarkStart w:id="484" w:name="_Toc189647900"/>
      <w:r w:rsidRPr="005F78FD">
        <w:t>Seclusion in forensic units</w:t>
      </w:r>
      <w:bookmarkEnd w:id="476"/>
      <w:bookmarkEnd w:id="477"/>
      <w:bookmarkEnd w:id="478"/>
      <w:bookmarkEnd w:id="479"/>
      <w:bookmarkEnd w:id="480"/>
      <w:bookmarkEnd w:id="481"/>
      <w:bookmarkEnd w:id="482"/>
      <w:bookmarkEnd w:id="483"/>
      <w:bookmarkEnd w:id="484"/>
    </w:p>
    <w:p w14:paraId="2666D02D" w14:textId="77777777" w:rsidR="000455F2" w:rsidRPr="005F78FD" w:rsidRDefault="000455F2" w:rsidP="000455F2">
      <w:r>
        <w:t>Five</w:t>
      </w:r>
      <w:r w:rsidRPr="005F78FD">
        <w:t xml:space="preserve"> regional forensic mental health services</w:t>
      </w:r>
      <w:r w:rsidRPr="00F86493">
        <w:t xml:space="preserve"> </w:t>
      </w:r>
      <w:r w:rsidRPr="005F78FD">
        <w:t>provide</w:t>
      </w:r>
      <w:r w:rsidRPr="00F86493">
        <w:t xml:space="preserve"> </w:t>
      </w:r>
      <w:r>
        <w:t>s</w:t>
      </w:r>
      <w:r w:rsidRPr="005F78FD">
        <w:t>pecialist inpatient forensic care.</w:t>
      </w:r>
    </w:p>
    <w:p w14:paraId="514D23C4" w14:textId="77777777" w:rsidR="000455F2" w:rsidRPr="000455F2" w:rsidRDefault="000455F2" w:rsidP="000455F2">
      <w:pPr>
        <w:pStyle w:val="Bullet"/>
      </w:pPr>
      <w:r w:rsidRPr="000455F2">
        <w:t>Auckland Regional Forensic Psychiatry Service operates from Health New Zealand Waitematā and covers the Auckland, Counties Manukau, Northland and Waitematā districts.</w:t>
      </w:r>
    </w:p>
    <w:p w14:paraId="1761F2BE" w14:textId="77777777" w:rsidR="000455F2" w:rsidRPr="000455F2" w:rsidRDefault="000455F2" w:rsidP="000455F2">
      <w:pPr>
        <w:pStyle w:val="Bullet"/>
      </w:pPr>
      <w:r w:rsidRPr="000455F2">
        <w:t>Midland Regional Forensic Psychiatric Service operates from Health New Zealand Waikato and covers the Bay of Plenty, Lakes, Tairāwhiti, Taranaki and Waikato districts.</w:t>
      </w:r>
    </w:p>
    <w:p w14:paraId="23AA2304" w14:textId="77777777" w:rsidR="000455F2" w:rsidRPr="000455F2" w:rsidRDefault="000455F2" w:rsidP="000455F2">
      <w:pPr>
        <w:pStyle w:val="Bullet"/>
      </w:pPr>
      <w:r w:rsidRPr="000455F2">
        <w:t>Central Regional Forensic Mental Health Service operates from Health New Zealand Capital, Coast and Hutt Valley and covers the Capital &amp; Coast, Hawke’s Bay, Hutt Valley, MidCentral, Wairarapa and Whanganui districts.</w:t>
      </w:r>
    </w:p>
    <w:p w14:paraId="510E0893" w14:textId="77777777" w:rsidR="000455F2" w:rsidRPr="000455F2" w:rsidRDefault="000455F2" w:rsidP="000455F2">
      <w:pPr>
        <w:pStyle w:val="Bullet"/>
      </w:pPr>
      <w:r w:rsidRPr="000455F2">
        <w:t>Canterbury Regional Forensic Mental Health Service operates from Health New Zealand Canterbury and covers the Canterbury, Nelson Marlborough, South Canterbury and West Coast districts.</w:t>
      </w:r>
    </w:p>
    <w:p w14:paraId="226BCB1E" w14:textId="77777777" w:rsidR="000455F2" w:rsidRPr="000455F2" w:rsidRDefault="000455F2" w:rsidP="000455F2">
      <w:pPr>
        <w:pStyle w:val="Bullet"/>
      </w:pPr>
      <w:r w:rsidRPr="000455F2">
        <w:t>Southern Regional Forensic Mental Health Service operates from and covers the Southern district.</w:t>
      </w:r>
    </w:p>
    <w:p w14:paraId="1C5BFDF7" w14:textId="77777777" w:rsidR="000455F2" w:rsidRDefault="000455F2" w:rsidP="000455F2"/>
    <w:p w14:paraId="102AABD3" w14:textId="77777777" w:rsidR="000455F2" w:rsidRPr="005F78FD" w:rsidRDefault="000455F2" w:rsidP="000455F2">
      <w:r w:rsidRPr="005F78FD">
        <w:t>These services provide mental health treatment in a secure setting for prisoners with mental disorders and for people defined as a special or restricted patient.</w:t>
      </w:r>
      <w:r>
        <w:t xml:space="preserve"> Some services have more beds than others, which may be a reason contributing to their higher levels of seclusion use. </w:t>
      </w:r>
    </w:p>
    <w:p w14:paraId="500E6EE1" w14:textId="77777777" w:rsidR="000455F2" w:rsidRPr="005F78FD" w:rsidRDefault="000455F2" w:rsidP="000455F2"/>
    <w:p w14:paraId="54C0948A" w14:textId="6855E48A" w:rsidR="000455F2" w:rsidRDefault="000455F2" w:rsidP="000455F2">
      <w:r w:rsidRPr="005F78FD">
        <w:fldChar w:fldCharType="begin"/>
      </w:r>
      <w:r w:rsidRPr="005F78FD">
        <w:instrText xml:space="preserve"> REF _Ref85450538 \h </w:instrText>
      </w:r>
      <w:r w:rsidRPr="00501296">
        <w:instrText xml:space="preserve"> \* MERGEFORMAT </w:instrText>
      </w:r>
      <w:r w:rsidRPr="005F78FD">
        <w:fldChar w:fldCharType="separate"/>
      </w:r>
      <w:r w:rsidR="00753BC8" w:rsidRPr="005F78FD">
        <w:t>Table </w:t>
      </w:r>
      <w:r w:rsidR="00753BC8">
        <w:t>9</w:t>
      </w:r>
      <w:r w:rsidRPr="005F78FD">
        <w:fldChar w:fldCharType="end"/>
      </w:r>
      <w:r w:rsidRPr="005F78FD">
        <w:t xml:space="preserve"> presents seclusion indicators for </w:t>
      </w:r>
      <w:r>
        <w:t>each</w:t>
      </w:r>
      <w:r w:rsidRPr="005F78FD">
        <w:t xml:space="preserve"> regional </w:t>
      </w:r>
      <w:r>
        <w:t xml:space="preserve">service that provides </w:t>
      </w:r>
      <w:r w:rsidRPr="005F78FD">
        <w:t xml:space="preserve">forensic mental health services. </w:t>
      </w:r>
      <w:r>
        <w:t xml:space="preserve">With a focus on the national level, </w:t>
      </w:r>
      <w:r w:rsidRPr="00993CEF">
        <w:fldChar w:fldCharType="begin"/>
      </w:r>
      <w:r w:rsidRPr="00993CEF">
        <w:instrText xml:space="preserve"> REF _Ref141108775 \h  \* MERGEFORMAT </w:instrText>
      </w:r>
      <w:r w:rsidRPr="00993CEF">
        <w:fldChar w:fldCharType="separate"/>
      </w:r>
      <w:r w:rsidR="00753BC8" w:rsidRPr="00753BC8">
        <w:rPr>
          <w:lang w:val="en-US"/>
        </w:rPr>
        <w:t>Figure 32</w:t>
      </w:r>
      <w:r w:rsidRPr="00993CEF">
        <w:fldChar w:fldCharType="end"/>
      </w:r>
      <w:r>
        <w:t xml:space="preserve"> </w:t>
      </w:r>
      <w:r w:rsidRPr="005F78FD">
        <w:t>break</w:t>
      </w:r>
      <w:r>
        <w:t xml:space="preserve">s </w:t>
      </w:r>
      <w:r w:rsidRPr="005F78FD">
        <w:t xml:space="preserve">down the number of people secluded and number of events by ethnicity. These indicators cannot be compared with adult inpatient service indicators because they have a different client base. </w:t>
      </w:r>
    </w:p>
    <w:p w14:paraId="3236A86A" w14:textId="77777777" w:rsidR="000455F2" w:rsidRPr="005F78FD" w:rsidRDefault="000455F2" w:rsidP="000455F2"/>
    <w:p w14:paraId="7B0F5410" w14:textId="0A9E4878" w:rsidR="000455F2" w:rsidRPr="005F78FD" w:rsidRDefault="000455F2" w:rsidP="000455F2">
      <w:pPr>
        <w:pStyle w:val="Table"/>
      </w:pPr>
      <w:bookmarkStart w:id="485" w:name="_Ref85450538"/>
      <w:bookmarkStart w:id="486" w:name="_Toc87430006"/>
      <w:bookmarkStart w:id="487" w:name="_Toc88561363"/>
      <w:bookmarkStart w:id="488" w:name="_Toc115188898"/>
      <w:bookmarkStart w:id="489" w:name="_Toc142314759"/>
      <w:bookmarkStart w:id="490" w:name="_Toc145394322"/>
      <w:bookmarkStart w:id="491" w:name="_Toc189054000"/>
      <w:bookmarkStart w:id="492" w:name="_Toc189647985"/>
      <w:r w:rsidRPr="005F78FD">
        <w:t>Table </w:t>
      </w:r>
      <w:r w:rsidRPr="005F78FD">
        <w:fldChar w:fldCharType="begin"/>
      </w:r>
      <w:r w:rsidRPr="005F78FD">
        <w:instrText>SEQ Table \* ARABIC</w:instrText>
      </w:r>
      <w:r w:rsidRPr="005F78FD">
        <w:fldChar w:fldCharType="separate"/>
      </w:r>
      <w:r w:rsidR="00753BC8">
        <w:rPr>
          <w:noProof/>
        </w:rPr>
        <w:t>9</w:t>
      </w:r>
      <w:r w:rsidRPr="005F78FD">
        <w:fldChar w:fldCharType="end"/>
      </w:r>
      <w:bookmarkEnd w:id="485"/>
      <w:r w:rsidRPr="005F78FD">
        <w:t xml:space="preserve">: Seclusion indicators for forensic mental health services, by </w:t>
      </w:r>
      <w:r w:rsidRPr="0BC0B353">
        <w:rPr>
          <w:bCs/>
        </w:rPr>
        <w:t>regional service</w:t>
      </w:r>
      <w:r w:rsidRPr="005F78FD">
        <w:t xml:space="preserve">, 1 </w:t>
      </w:r>
      <w:bookmarkEnd w:id="486"/>
      <w:bookmarkEnd w:id="487"/>
      <w:r w:rsidRPr="005F78FD">
        <w:t>July 202</w:t>
      </w:r>
      <w:r>
        <w:t>2</w:t>
      </w:r>
      <w:r w:rsidRPr="005F78FD">
        <w:t xml:space="preserve"> to 30 June 202</w:t>
      </w:r>
      <w:r>
        <w:t>3</w:t>
      </w:r>
      <w:bookmarkEnd w:id="488"/>
      <w:bookmarkEnd w:id="489"/>
      <w:bookmarkEnd w:id="490"/>
      <w:bookmarkEnd w:id="491"/>
      <w:bookmarkEnd w:id="492"/>
    </w:p>
    <w:tbl>
      <w:tblPr>
        <w:tblW w:w="4900" w:type="pct"/>
        <w:tblInd w:w="57" w:type="dxa"/>
        <w:tblBorders>
          <w:top w:val="single" w:sz="4" w:space="0" w:color="A6A6A6" w:themeColor="background1" w:themeShade="A6"/>
          <w:bottom w:val="single" w:sz="4" w:space="0" w:color="A6A6A6" w:themeColor="background1" w:themeShade="A6"/>
          <w:insideH w:val="single" w:sz="4" w:space="0" w:color="A6A6A6" w:themeColor="background1" w:themeShade="A6"/>
        </w:tblBorders>
        <w:tblCellMar>
          <w:left w:w="57" w:type="dxa"/>
          <w:right w:w="57" w:type="dxa"/>
        </w:tblCellMar>
        <w:tblLook w:val="0460" w:firstRow="1" w:lastRow="1" w:firstColumn="0" w:lastColumn="0" w:noHBand="0" w:noVBand="1"/>
      </w:tblPr>
      <w:tblGrid>
        <w:gridCol w:w="1842"/>
        <w:gridCol w:w="1452"/>
        <w:gridCol w:w="1452"/>
        <w:gridCol w:w="1450"/>
        <w:gridCol w:w="1721"/>
      </w:tblGrid>
      <w:tr w:rsidR="000455F2" w:rsidRPr="005F78FD" w14:paraId="7C6B82FA" w14:textId="77777777" w:rsidTr="00E96DD0">
        <w:trPr>
          <w:cantSplit/>
          <w:trHeight w:val="311"/>
        </w:trPr>
        <w:tc>
          <w:tcPr>
            <w:tcW w:w="1163" w:type="pct"/>
            <w:tcBorders>
              <w:top w:val="nil"/>
              <w:left w:val="nil"/>
              <w:bottom w:val="nil"/>
              <w:right w:val="nil"/>
            </w:tcBorders>
            <w:shd w:val="clear" w:color="auto" w:fill="D9D9D9" w:themeFill="background1" w:themeFillShade="D9"/>
            <w:hideMark/>
          </w:tcPr>
          <w:p w14:paraId="1618D32A" w14:textId="77777777" w:rsidR="000455F2" w:rsidRPr="005F78FD" w:rsidRDefault="000455F2" w:rsidP="00E96DD0">
            <w:pPr>
              <w:rPr>
                <w:rFonts w:cs="Segoe UI"/>
                <w:b/>
                <w:sz w:val="18"/>
              </w:rPr>
            </w:pPr>
            <w:r w:rsidRPr="005F78FD">
              <w:rPr>
                <w:rFonts w:cs="Segoe UI"/>
                <w:b/>
                <w:sz w:val="18"/>
              </w:rPr>
              <w:t>Regional service</w:t>
            </w:r>
          </w:p>
        </w:tc>
        <w:tc>
          <w:tcPr>
            <w:tcW w:w="917" w:type="pct"/>
            <w:tcBorders>
              <w:top w:val="nil"/>
              <w:left w:val="nil"/>
              <w:bottom w:val="nil"/>
              <w:right w:val="nil"/>
            </w:tcBorders>
            <w:shd w:val="clear" w:color="auto" w:fill="D9D9D9" w:themeFill="background1" w:themeFillShade="D9"/>
            <w:hideMark/>
          </w:tcPr>
          <w:p w14:paraId="5169B4B8" w14:textId="77777777" w:rsidR="000455F2" w:rsidRPr="005F78FD" w:rsidRDefault="000455F2" w:rsidP="00E96DD0">
            <w:pPr>
              <w:jc w:val="center"/>
              <w:rPr>
                <w:rFonts w:cs="Segoe UI"/>
                <w:b/>
                <w:sz w:val="18"/>
              </w:rPr>
            </w:pPr>
            <w:r w:rsidRPr="005F78FD">
              <w:rPr>
                <w:rFonts w:cs="Segoe UI"/>
                <w:b/>
                <w:sz w:val="18"/>
              </w:rPr>
              <w:t>Number of people secluded</w:t>
            </w:r>
          </w:p>
        </w:tc>
        <w:tc>
          <w:tcPr>
            <w:tcW w:w="917" w:type="pct"/>
            <w:tcBorders>
              <w:top w:val="nil"/>
              <w:left w:val="nil"/>
              <w:bottom w:val="nil"/>
              <w:right w:val="nil"/>
            </w:tcBorders>
            <w:shd w:val="clear" w:color="auto" w:fill="D9D9D9" w:themeFill="background1" w:themeFillShade="D9"/>
            <w:hideMark/>
          </w:tcPr>
          <w:p w14:paraId="5F46D51A" w14:textId="77777777" w:rsidR="000455F2" w:rsidRPr="005F78FD" w:rsidRDefault="000455F2" w:rsidP="00E96DD0">
            <w:pPr>
              <w:jc w:val="center"/>
              <w:rPr>
                <w:rFonts w:cs="Segoe UI"/>
                <w:b/>
                <w:sz w:val="18"/>
              </w:rPr>
            </w:pPr>
            <w:r w:rsidRPr="005F78FD">
              <w:rPr>
                <w:rFonts w:cs="Segoe UI"/>
                <w:b/>
                <w:sz w:val="18"/>
              </w:rPr>
              <w:t>Number of events</w:t>
            </w:r>
          </w:p>
        </w:tc>
        <w:tc>
          <w:tcPr>
            <w:tcW w:w="916" w:type="pct"/>
            <w:tcBorders>
              <w:top w:val="nil"/>
              <w:left w:val="nil"/>
              <w:bottom w:val="nil"/>
              <w:right w:val="nil"/>
            </w:tcBorders>
            <w:shd w:val="clear" w:color="auto" w:fill="D9D9D9" w:themeFill="background1" w:themeFillShade="D9"/>
            <w:hideMark/>
          </w:tcPr>
          <w:p w14:paraId="3B6A339E" w14:textId="77777777" w:rsidR="000455F2" w:rsidRPr="005F78FD" w:rsidRDefault="000455F2" w:rsidP="00E96DD0">
            <w:pPr>
              <w:jc w:val="center"/>
              <w:rPr>
                <w:rFonts w:cs="Segoe UI"/>
                <w:b/>
                <w:sz w:val="18"/>
              </w:rPr>
            </w:pPr>
            <w:r w:rsidRPr="005F78FD">
              <w:rPr>
                <w:rFonts w:cs="Segoe UI"/>
                <w:b/>
                <w:sz w:val="18"/>
              </w:rPr>
              <w:t>Total</w:t>
            </w:r>
            <w:r w:rsidRPr="005F78FD">
              <w:rPr>
                <w:rFonts w:cs="Segoe UI"/>
                <w:b/>
                <w:sz w:val="18"/>
              </w:rPr>
              <w:br/>
              <w:t>hours</w:t>
            </w:r>
          </w:p>
        </w:tc>
        <w:tc>
          <w:tcPr>
            <w:tcW w:w="1087" w:type="pct"/>
            <w:tcBorders>
              <w:top w:val="nil"/>
              <w:left w:val="nil"/>
              <w:bottom w:val="nil"/>
              <w:right w:val="nil"/>
            </w:tcBorders>
            <w:shd w:val="clear" w:color="auto" w:fill="D9D9D9" w:themeFill="background1" w:themeFillShade="D9"/>
            <w:hideMark/>
          </w:tcPr>
          <w:p w14:paraId="744B00D3" w14:textId="77777777" w:rsidR="000455F2" w:rsidRPr="005F78FD" w:rsidRDefault="000455F2" w:rsidP="00E96DD0">
            <w:pPr>
              <w:jc w:val="center"/>
              <w:rPr>
                <w:rFonts w:cs="Segoe UI"/>
                <w:b/>
                <w:sz w:val="18"/>
              </w:rPr>
            </w:pPr>
            <w:r w:rsidRPr="005F78FD">
              <w:rPr>
                <w:rFonts w:cs="Segoe UI"/>
                <w:b/>
                <w:sz w:val="18"/>
              </w:rPr>
              <w:t>Average duration per event (hours)</w:t>
            </w:r>
          </w:p>
        </w:tc>
      </w:tr>
      <w:tr w:rsidR="000455F2" w:rsidRPr="005F78FD" w14:paraId="440E5C73" w14:textId="77777777" w:rsidTr="00E96DD0">
        <w:trPr>
          <w:cantSplit/>
          <w:trHeight w:val="300"/>
        </w:trPr>
        <w:tc>
          <w:tcPr>
            <w:tcW w:w="1163" w:type="pct"/>
            <w:tcBorders>
              <w:top w:val="nil"/>
              <w:left w:val="nil"/>
              <w:bottom w:val="single" w:sz="4" w:space="0" w:color="A6A6A6" w:themeColor="background1" w:themeShade="A6"/>
              <w:right w:val="nil"/>
            </w:tcBorders>
            <w:hideMark/>
          </w:tcPr>
          <w:p w14:paraId="438CB96A" w14:textId="77777777" w:rsidR="000455F2" w:rsidRPr="005F78FD" w:rsidRDefault="000455F2" w:rsidP="00E96DD0">
            <w:pPr>
              <w:spacing w:before="60" w:after="60"/>
              <w:rPr>
                <w:rFonts w:cs="Segoe UI"/>
                <w:sz w:val="18"/>
              </w:rPr>
            </w:pPr>
            <w:r w:rsidRPr="005F78FD">
              <w:rPr>
                <w:rFonts w:cs="Segoe UI"/>
                <w:sz w:val="18"/>
              </w:rPr>
              <w:t>Auckland</w:t>
            </w:r>
          </w:p>
        </w:tc>
        <w:tc>
          <w:tcPr>
            <w:tcW w:w="917" w:type="pct"/>
            <w:tcBorders>
              <w:top w:val="nil"/>
              <w:left w:val="nil"/>
              <w:bottom w:val="single" w:sz="4" w:space="0" w:color="A6A6A6" w:themeColor="background1" w:themeShade="A6"/>
              <w:right w:val="nil"/>
            </w:tcBorders>
            <w:hideMark/>
          </w:tcPr>
          <w:p w14:paraId="08B1F672" w14:textId="77777777" w:rsidR="000455F2" w:rsidRPr="005F78FD" w:rsidRDefault="000455F2" w:rsidP="00E96DD0">
            <w:pPr>
              <w:tabs>
                <w:tab w:val="decimal" w:pos="794"/>
              </w:tabs>
              <w:spacing w:before="60" w:after="60"/>
              <w:jc w:val="center"/>
              <w:rPr>
                <w:rFonts w:cs="Segoe UI"/>
                <w:sz w:val="18"/>
              </w:rPr>
            </w:pPr>
            <w:r>
              <w:rPr>
                <w:rFonts w:cs="Segoe UI"/>
                <w:sz w:val="18"/>
              </w:rPr>
              <w:t>49</w:t>
            </w:r>
          </w:p>
        </w:tc>
        <w:tc>
          <w:tcPr>
            <w:tcW w:w="917" w:type="pct"/>
            <w:tcBorders>
              <w:top w:val="nil"/>
              <w:left w:val="nil"/>
              <w:bottom w:val="single" w:sz="4" w:space="0" w:color="A6A6A6" w:themeColor="background1" w:themeShade="A6"/>
              <w:right w:val="nil"/>
            </w:tcBorders>
            <w:hideMark/>
          </w:tcPr>
          <w:p w14:paraId="2E482C36" w14:textId="77777777" w:rsidR="000455F2" w:rsidRPr="005F78FD" w:rsidRDefault="000455F2" w:rsidP="00E96DD0">
            <w:pPr>
              <w:tabs>
                <w:tab w:val="decimal" w:pos="794"/>
              </w:tabs>
              <w:spacing w:before="60" w:after="60"/>
              <w:jc w:val="center"/>
              <w:rPr>
                <w:rFonts w:cs="Segoe UI"/>
                <w:sz w:val="18"/>
              </w:rPr>
            </w:pPr>
            <w:r>
              <w:rPr>
                <w:rFonts w:cs="Segoe UI"/>
                <w:sz w:val="18"/>
              </w:rPr>
              <w:t>142</w:t>
            </w:r>
          </w:p>
        </w:tc>
        <w:tc>
          <w:tcPr>
            <w:tcW w:w="916" w:type="pct"/>
            <w:tcBorders>
              <w:top w:val="nil"/>
              <w:left w:val="nil"/>
              <w:bottom w:val="single" w:sz="4" w:space="0" w:color="A6A6A6" w:themeColor="background1" w:themeShade="A6"/>
              <w:right w:val="nil"/>
            </w:tcBorders>
            <w:hideMark/>
          </w:tcPr>
          <w:p w14:paraId="21D4E152" w14:textId="77777777" w:rsidR="000455F2" w:rsidRPr="005F78FD" w:rsidRDefault="000455F2" w:rsidP="00E96DD0">
            <w:pPr>
              <w:tabs>
                <w:tab w:val="decimal" w:pos="952"/>
              </w:tabs>
              <w:spacing w:before="60" w:after="60"/>
              <w:jc w:val="center"/>
              <w:rPr>
                <w:rFonts w:cs="Segoe UI"/>
                <w:sz w:val="18"/>
              </w:rPr>
            </w:pPr>
            <w:r>
              <w:rPr>
                <w:rFonts w:cs="Segoe UI"/>
                <w:sz w:val="18"/>
              </w:rPr>
              <w:t>9,879</w:t>
            </w:r>
          </w:p>
        </w:tc>
        <w:tc>
          <w:tcPr>
            <w:tcW w:w="1087" w:type="pct"/>
            <w:tcBorders>
              <w:top w:val="nil"/>
              <w:left w:val="nil"/>
              <w:bottom w:val="single" w:sz="4" w:space="0" w:color="A6A6A6" w:themeColor="background1" w:themeShade="A6"/>
              <w:right w:val="nil"/>
            </w:tcBorders>
            <w:hideMark/>
          </w:tcPr>
          <w:p w14:paraId="7ED4C81F" w14:textId="77777777" w:rsidR="000455F2" w:rsidRPr="005F78FD" w:rsidRDefault="000455F2" w:rsidP="00E96DD0">
            <w:pPr>
              <w:tabs>
                <w:tab w:val="decimal" w:pos="820"/>
              </w:tabs>
              <w:spacing w:before="60" w:after="60"/>
              <w:jc w:val="center"/>
              <w:rPr>
                <w:rFonts w:cs="Segoe UI"/>
                <w:sz w:val="18"/>
              </w:rPr>
            </w:pPr>
            <w:r>
              <w:rPr>
                <w:rFonts w:cs="Segoe UI"/>
                <w:sz w:val="18"/>
              </w:rPr>
              <w:t>69.6</w:t>
            </w:r>
          </w:p>
        </w:tc>
      </w:tr>
      <w:tr w:rsidR="000455F2" w:rsidRPr="005F78FD" w14:paraId="7A314B11" w14:textId="77777777" w:rsidTr="00E96DD0">
        <w:trPr>
          <w:cantSplit/>
          <w:trHeight w:val="300"/>
        </w:trPr>
        <w:tc>
          <w:tcPr>
            <w:tcW w:w="1163" w:type="pct"/>
            <w:tcBorders>
              <w:top w:val="nil"/>
              <w:left w:val="nil"/>
              <w:bottom w:val="single" w:sz="4" w:space="0" w:color="A6A6A6" w:themeColor="background1" w:themeShade="A6"/>
              <w:right w:val="nil"/>
            </w:tcBorders>
            <w:hideMark/>
          </w:tcPr>
          <w:p w14:paraId="75FD861C" w14:textId="77777777" w:rsidR="000455F2" w:rsidRPr="005F78FD" w:rsidRDefault="000455F2" w:rsidP="00E96DD0">
            <w:pPr>
              <w:spacing w:before="60" w:after="60"/>
              <w:rPr>
                <w:rFonts w:cs="Segoe UI"/>
                <w:sz w:val="18"/>
              </w:rPr>
            </w:pPr>
            <w:r w:rsidRPr="005F78FD">
              <w:rPr>
                <w:rFonts w:cs="Segoe UI"/>
                <w:sz w:val="18"/>
              </w:rPr>
              <w:t>Canterbury</w:t>
            </w:r>
          </w:p>
        </w:tc>
        <w:tc>
          <w:tcPr>
            <w:tcW w:w="917" w:type="pct"/>
            <w:tcBorders>
              <w:top w:val="nil"/>
              <w:left w:val="nil"/>
              <w:bottom w:val="single" w:sz="4" w:space="0" w:color="A6A6A6" w:themeColor="background1" w:themeShade="A6"/>
              <w:right w:val="nil"/>
            </w:tcBorders>
            <w:hideMark/>
          </w:tcPr>
          <w:p w14:paraId="1A0ED450" w14:textId="77777777" w:rsidR="000455F2" w:rsidRPr="005F78FD" w:rsidRDefault="000455F2" w:rsidP="00E96DD0">
            <w:pPr>
              <w:tabs>
                <w:tab w:val="decimal" w:pos="794"/>
              </w:tabs>
              <w:spacing w:before="60" w:after="60"/>
              <w:jc w:val="center"/>
              <w:rPr>
                <w:rFonts w:cs="Segoe UI"/>
                <w:sz w:val="18"/>
              </w:rPr>
            </w:pPr>
            <w:r>
              <w:rPr>
                <w:rFonts w:cs="Segoe UI"/>
                <w:sz w:val="18"/>
              </w:rPr>
              <w:t>26</w:t>
            </w:r>
          </w:p>
        </w:tc>
        <w:tc>
          <w:tcPr>
            <w:tcW w:w="917" w:type="pct"/>
            <w:tcBorders>
              <w:top w:val="nil"/>
              <w:left w:val="nil"/>
              <w:bottom w:val="single" w:sz="4" w:space="0" w:color="A6A6A6" w:themeColor="background1" w:themeShade="A6"/>
              <w:right w:val="nil"/>
            </w:tcBorders>
            <w:hideMark/>
          </w:tcPr>
          <w:p w14:paraId="45F3C985" w14:textId="77777777" w:rsidR="000455F2" w:rsidRPr="005F78FD" w:rsidRDefault="000455F2" w:rsidP="00E96DD0">
            <w:pPr>
              <w:tabs>
                <w:tab w:val="decimal" w:pos="794"/>
              </w:tabs>
              <w:spacing w:before="60" w:after="60"/>
              <w:jc w:val="center"/>
              <w:rPr>
                <w:rFonts w:cs="Segoe UI"/>
                <w:sz w:val="18"/>
              </w:rPr>
            </w:pPr>
            <w:r>
              <w:rPr>
                <w:rFonts w:cs="Segoe UI"/>
                <w:sz w:val="18"/>
              </w:rPr>
              <w:t>109</w:t>
            </w:r>
          </w:p>
        </w:tc>
        <w:tc>
          <w:tcPr>
            <w:tcW w:w="916" w:type="pct"/>
            <w:tcBorders>
              <w:top w:val="nil"/>
              <w:left w:val="nil"/>
              <w:bottom w:val="single" w:sz="4" w:space="0" w:color="A6A6A6" w:themeColor="background1" w:themeShade="A6"/>
              <w:right w:val="nil"/>
            </w:tcBorders>
            <w:hideMark/>
          </w:tcPr>
          <w:p w14:paraId="3486BF98" w14:textId="77777777" w:rsidR="000455F2" w:rsidRPr="005F78FD" w:rsidRDefault="000455F2" w:rsidP="00E96DD0">
            <w:pPr>
              <w:tabs>
                <w:tab w:val="decimal" w:pos="952"/>
              </w:tabs>
              <w:spacing w:before="60" w:after="60"/>
              <w:jc w:val="center"/>
              <w:rPr>
                <w:rFonts w:cs="Segoe UI"/>
                <w:sz w:val="18"/>
              </w:rPr>
            </w:pPr>
            <w:r>
              <w:rPr>
                <w:rFonts w:cs="Segoe UI"/>
                <w:sz w:val="18"/>
              </w:rPr>
              <w:t>8,615</w:t>
            </w:r>
          </w:p>
        </w:tc>
        <w:tc>
          <w:tcPr>
            <w:tcW w:w="1087" w:type="pct"/>
            <w:tcBorders>
              <w:top w:val="nil"/>
              <w:left w:val="nil"/>
              <w:bottom w:val="single" w:sz="4" w:space="0" w:color="A6A6A6" w:themeColor="background1" w:themeShade="A6"/>
              <w:right w:val="nil"/>
            </w:tcBorders>
            <w:hideMark/>
          </w:tcPr>
          <w:p w14:paraId="3071009D" w14:textId="77777777" w:rsidR="000455F2" w:rsidRPr="005F78FD" w:rsidRDefault="000455F2" w:rsidP="00E96DD0">
            <w:pPr>
              <w:tabs>
                <w:tab w:val="decimal" w:pos="820"/>
              </w:tabs>
              <w:spacing w:before="60" w:after="60"/>
              <w:jc w:val="center"/>
              <w:rPr>
                <w:rFonts w:cs="Segoe UI"/>
                <w:sz w:val="18"/>
              </w:rPr>
            </w:pPr>
            <w:r>
              <w:rPr>
                <w:rFonts w:cs="Segoe UI"/>
                <w:sz w:val="18"/>
              </w:rPr>
              <w:t>79.0</w:t>
            </w:r>
          </w:p>
        </w:tc>
      </w:tr>
      <w:tr w:rsidR="000455F2" w:rsidRPr="005F78FD" w14:paraId="2BC5E88B" w14:textId="77777777" w:rsidTr="00E96DD0">
        <w:trPr>
          <w:cantSplit/>
          <w:trHeight w:val="300"/>
        </w:trPr>
        <w:tc>
          <w:tcPr>
            <w:tcW w:w="1163" w:type="pct"/>
            <w:tcBorders>
              <w:top w:val="single" w:sz="4" w:space="0" w:color="A6A6A6" w:themeColor="background1" w:themeShade="A6"/>
              <w:left w:val="nil"/>
              <w:bottom w:val="single" w:sz="4" w:space="0" w:color="A6A6A6" w:themeColor="background1" w:themeShade="A6"/>
              <w:right w:val="nil"/>
            </w:tcBorders>
            <w:hideMark/>
          </w:tcPr>
          <w:p w14:paraId="5019C8AE" w14:textId="77777777" w:rsidR="000455F2" w:rsidRPr="005F78FD" w:rsidRDefault="000455F2" w:rsidP="00E96DD0">
            <w:pPr>
              <w:spacing w:before="60" w:after="60"/>
              <w:rPr>
                <w:rFonts w:cs="Segoe UI"/>
                <w:sz w:val="18"/>
              </w:rPr>
            </w:pPr>
            <w:r w:rsidRPr="005F78FD">
              <w:rPr>
                <w:rFonts w:cs="Segoe UI"/>
                <w:sz w:val="18"/>
              </w:rPr>
              <w:t>Central</w:t>
            </w:r>
          </w:p>
        </w:tc>
        <w:tc>
          <w:tcPr>
            <w:tcW w:w="917" w:type="pct"/>
            <w:tcBorders>
              <w:top w:val="single" w:sz="4" w:space="0" w:color="A6A6A6" w:themeColor="background1" w:themeShade="A6"/>
              <w:left w:val="nil"/>
              <w:bottom w:val="single" w:sz="4" w:space="0" w:color="A6A6A6" w:themeColor="background1" w:themeShade="A6"/>
              <w:right w:val="nil"/>
            </w:tcBorders>
            <w:hideMark/>
          </w:tcPr>
          <w:p w14:paraId="08349EA5" w14:textId="77777777" w:rsidR="000455F2" w:rsidRPr="005F78FD" w:rsidRDefault="000455F2" w:rsidP="00E96DD0">
            <w:pPr>
              <w:tabs>
                <w:tab w:val="decimal" w:pos="794"/>
              </w:tabs>
              <w:spacing w:before="60" w:after="60"/>
              <w:jc w:val="center"/>
              <w:rPr>
                <w:rFonts w:cs="Segoe UI"/>
                <w:sz w:val="18"/>
              </w:rPr>
            </w:pPr>
            <w:r>
              <w:rPr>
                <w:rFonts w:cs="Segoe UI"/>
                <w:sz w:val="18"/>
              </w:rPr>
              <w:t>8</w:t>
            </w:r>
          </w:p>
        </w:tc>
        <w:tc>
          <w:tcPr>
            <w:tcW w:w="917" w:type="pct"/>
            <w:tcBorders>
              <w:top w:val="single" w:sz="4" w:space="0" w:color="A6A6A6" w:themeColor="background1" w:themeShade="A6"/>
              <w:left w:val="nil"/>
              <w:bottom w:val="single" w:sz="4" w:space="0" w:color="A6A6A6" w:themeColor="background1" w:themeShade="A6"/>
              <w:right w:val="nil"/>
            </w:tcBorders>
            <w:hideMark/>
          </w:tcPr>
          <w:p w14:paraId="65B6D4D7" w14:textId="77777777" w:rsidR="000455F2" w:rsidRPr="005F78FD" w:rsidRDefault="000455F2" w:rsidP="00E96DD0">
            <w:pPr>
              <w:tabs>
                <w:tab w:val="decimal" w:pos="794"/>
              </w:tabs>
              <w:spacing w:before="60" w:after="60"/>
              <w:jc w:val="center"/>
              <w:rPr>
                <w:rFonts w:cs="Segoe UI"/>
                <w:sz w:val="18"/>
              </w:rPr>
            </w:pPr>
            <w:r>
              <w:rPr>
                <w:rFonts w:cs="Segoe UI"/>
                <w:sz w:val="18"/>
              </w:rPr>
              <w:t>11</w:t>
            </w:r>
          </w:p>
        </w:tc>
        <w:tc>
          <w:tcPr>
            <w:tcW w:w="916" w:type="pct"/>
            <w:tcBorders>
              <w:top w:val="single" w:sz="4" w:space="0" w:color="A6A6A6" w:themeColor="background1" w:themeShade="A6"/>
              <w:left w:val="nil"/>
              <w:bottom w:val="single" w:sz="4" w:space="0" w:color="A6A6A6" w:themeColor="background1" w:themeShade="A6"/>
              <w:right w:val="nil"/>
            </w:tcBorders>
            <w:hideMark/>
          </w:tcPr>
          <w:p w14:paraId="32101F16" w14:textId="77777777" w:rsidR="000455F2" w:rsidRPr="005F78FD" w:rsidRDefault="000455F2" w:rsidP="00E96DD0">
            <w:pPr>
              <w:tabs>
                <w:tab w:val="decimal" w:pos="952"/>
              </w:tabs>
              <w:spacing w:before="60" w:after="60"/>
              <w:jc w:val="center"/>
              <w:rPr>
                <w:rFonts w:cs="Segoe UI"/>
                <w:sz w:val="18"/>
              </w:rPr>
            </w:pPr>
            <w:r>
              <w:rPr>
                <w:rFonts w:cs="Segoe UI"/>
                <w:sz w:val="18"/>
              </w:rPr>
              <w:t>655</w:t>
            </w:r>
          </w:p>
        </w:tc>
        <w:tc>
          <w:tcPr>
            <w:tcW w:w="1087" w:type="pct"/>
            <w:tcBorders>
              <w:top w:val="single" w:sz="4" w:space="0" w:color="A6A6A6" w:themeColor="background1" w:themeShade="A6"/>
              <w:left w:val="nil"/>
              <w:bottom w:val="single" w:sz="4" w:space="0" w:color="A6A6A6" w:themeColor="background1" w:themeShade="A6"/>
              <w:right w:val="nil"/>
            </w:tcBorders>
            <w:hideMark/>
          </w:tcPr>
          <w:p w14:paraId="2F8566CF" w14:textId="77777777" w:rsidR="000455F2" w:rsidRPr="005F78FD" w:rsidRDefault="000455F2" w:rsidP="00E96DD0">
            <w:pPr>
              <w:tabs>
                <w:tab w:val="decimal" w:pos="820"/>
              </w:tabs>
              <w:spacing w:before="60" w:after="60"/>
              <w:jc w:val="center"/>
              <w:rPr>
                <w:rFonts w:cs="Segoe UI"/>
                <w:sz w:val="18"/>
              </w:rPr>
            </w:pPr>
            <w:r>
              <w:rPr>
                <w:rFonts w:cs="Segoe UI"/>
                <w:sz w:val="18"/>
              </w:rPr>
              <w:t>59.5</w:t>
            </w:r>
          </w:p>
        </w:tc>
      </w:tr>
      <w:tr w:rsidR="000455F2" w:rsidRPr="005F78FD" w14:paraId="081444F5" w14:textId="77777777" w:rsidTr="00E96DD0">
        <w:trPr>
          <w:cantSplit/>
          <w:trHeight w:val="300"/>
        </w:trPr>
        <w:tc>
          <w:tcPr>
            <w:tcW w:w="1163" w:type="pct"/>
            <w:tcBorders>
              <w:top w:val="single" w:sz="4" w:space="0" w:color="A6A6A6" w:themeColor="background1" w:themeShade="A6"/>
              <w:left w:val="nil"/>
              <w:bottom w:val="single" w:sz="4" w:space="0" w:color="A6A6A6" w:themeColor="background1" w:themeShade="A6"/>
              <w:right w:val="nil"/>
            </w:tcBorders>
            <w:hideMark/>
          </w:tcPr>
          <w:p w14:paraId="6276F210" w14:textId="77777777" w:rsidR="000455F2" w:rsidRPr="005F78FD" w:rsidRDefault="000455F2" w:rsidP="00E96DD0">
            <w:pPr>
              <w:spacing w:before="60" w:after="60"/>
              <w:rPr>
                <w:rFonts w:cs="Segoe UI"/>
                <w:sz w:val="18"/>
              </w:rPr>
            </w:pPr>
            <w:r w:rsidRPr="005F78FD">
              <w:rPr>
                <w:rFonts w:cs="Segoe UI"/>
                <w:sz w:val="18"/>
              </w:rPr>
              <w:t>Midland</w:t>
            </w:r>
          </w:p>
        </w:tc>
        <w:tc>
          <w:tcPr>
            <w:tcW w:w="917" w:type="pct"/>
            <w:tcBorders>
              <w:top w:val="single" w:sz="4" w:space="0" w:color="A6A6A6" w:themeColor="background1" w:themeShade="A6"/>
              <w:left w:val="nil"/>
              <w:bottom w:val="single" w:sz="4" w:space="0" w:color="A6A6A6" w:themeColor="background1" w:themeShade="A6"/>
              <w:right w:val="nil"/>
            </w:tcBorders>
            <w:hideMark/>
          </w:tcPr>
          <w:p w14:paraId="08313A4A" w14:textId="77777777" w:rsidR="000455F2" w:rsidRPr="005F78FD" w:rsidRDefault="000455F2" w:rsidP="00E96DD0">
            <w:pPr>
              <w:tabs>
                <w:tab w:val="decimal" w:pos="794"/>
              </w:tabs>
              <w:spacing w:before="60" w:after="60"/>
              <w:jc w:val="center"/>
              <w:rPr>
                <w:rFonts w:cs="Segoe UI"/>
                <w:sz w:val="18"/>
              </w:rPr>
            </w:pPr>
            <w:r>
              <w:rPr>
                <w:rFonts w:cs="Segoe UI"/>
                <w:sz w:val="18"/>
              </w:rPr>
              <w:t>27</w:t>
            </w:r>
          </w:p>
        </w:tc>
        <w:tc>
          <w:tcPr>
            <w:tcW w:w="917" w:type="pct"/>
            <w:tcBorders>
              <w:top w:val="single" w:sz="4" w:space="0" w:color="A6A6A6" w:themeColor="background1" w:themeShade="A6"/>
              <w:left w:val="nil"/>
              <w:bottom w:val="single" w:sz="4" w:space="0" w:color="A6A6A6" w:themeColor="background1" w:themeShade="A6"/>
              <w:right w:val="nil"/>
            </w:tcBorders>
            <w:hideMark/>
          </w:tcPr>
          <w:p w14:paraId="6395E0A1" w14:textId="77777777" w:rsidR="000455F2" w:rsidRPr="005F78FD" w:rsidRDefault="000455F2" w:rsidP="00E96DD0">
            <w:pPr>
              <w:tabs>
                <w:tab w:val="decimal" w:pos="794"/>
              </w:tabs>
              <w:spacing w:before="60" w:after="60"/>
              <w:jc w:val="center"/>
              <w:rPr>
                <w:rFonts w:cs="Segoe UI"/>
                <w:sz w:val="18"/>
              </w:rPr>
            </w:pPr>
            <w:r>
              <w:rPr>
                <w:rFonts w:cs="Segoe UI"/>
                <w:sz w:val="18"/>
              </w:rPr>
              <w:t>75</w:t>
            </w:r>
          </w:p>
        </w:tc>
        <w:tc>
          <w:tcPr>
            <w:tcW w:w="916" w:type="pct"/>
            <w:tcBorders>
              <w:top w:val="single" w:sz="4" w:space="0" w:color="A6A6A6" w:themeColor="background1" w:themeShade="A6"/>
              <w:left w:val="nil"/>
              <w:bottom w:val="single" w:sz="4" w:space="0" w:color="A6A6A6" w:themeColor="background1" w:themeShade="A6"/>
              <w:right w:val="nil"/>
            </w:tcBorders>
            <w:hideMark/>
          </w:tcPr>
          <w:p w14:paraId="07D75FBA" w14:textId="77777777" w:rsidR="000455F2" w:rsidRPr="005F78FD" w:rsidRDefault="000455F2" w:rsidP="00E96DD0">
            <w:pPr>
              <w:tabs>
                <w:tab w:val="decimal" w:pos="952"/>
              </w:tabs>
              <w:spacing w:before="60" w:after="60"/>
              <w:jc w:val="center"/>
              <w:rPr>
                <w:rFonts w:cs="Segoe UI"/>
                <w:sz w:val="18"/>
              </w:rPr>
            </w:pPr>
            <w:r>
              <w:rPr>
                <w:rFonts w:cs="Segoe UI"/>
                <w:sz w:val="18"/>
              </w:rPr>
              <w:t>2,654</w:t>
            </w:r>
          </w:p>
        </w:tc>
        <w:tc>
          <w:tcPr>
            <w:tcW w:w="1087" w:type="pct"/>
            <w:tcBorders>
              <w:top w:val="single" w:sz="4" w:space="0" w:color="A6A6A6" w:themeColor="background1" w:themeShade="A6"/>
              <w:left w:val="nil"/>
              <w:bottom w:val="single" w:sz="4" w:space="0" w:color="A6A6A6" w:themeColor="background1" w:themeShade="A6"/>
              <w:right w:val="nil"/>
            </w:tcBorders>
            <w:hideMark/>
          </w:tcPr>
          <w:p w14:paraId="6C8010E0" w14:textId="77777777" w:rsidR="000455F2" w:rsidRPr="005F78FD" w:rsidRDefault="000455F2" w:rsidP="00E96DD0">
            <w:pPr>
              <w:tabs>
                <w:tab w:val="decimal" w:pos="820"/>
              </w:tabs>
              <w:spacing w:before="60" w:after="60"/>
              <w:jc w:val="center"/>
              <w:rPr>
                <w:rFonts w:cs="Segoe UI"/>
                <w:sz w:val="18"/>
              </w:rPr>
            </w:pPr>
            <w:r>
              <w:rPr>
                <w:rFonts w:cs="Segoe UI"/>
                <w:sz w:val="18"/>
              </w:rPr>
              <w:t>35.4</w:t>
            </w:r>
          </w:p>
        </w:tc>
      </w:tr>
      <w:tr w:rsidR="000455F2" w:rsidRPr="005F78FD" w14:paraId="466C579A" w14:textId="77777777" w:rsidTr="00E96DD0">
        <w:trPr>
          <w:cantSplit/>
          <w:trHeight w:val="300"/>
        </w:trPr>
        <w:tc>
          <w:tcPr>
            <w:tcW w:w="1163" w:type="pct"/>
            <w:tcBorders>
              <w:top w:val="single" w:sz="4" w:space="0" w:color="A6A6A6" w:themeColor="background1" w:themeShade="A6"/>
              <w:left w:val="nil"/>
              <w:bottom w:val="single" w:sz="4" w:space="0" w:color="A6A6A6" w:themeColor="background1" w:themeShade="A6"/>
              <w:right w:val="nil"/>
            </w:tcBorders>
            <w:hideMark/>
          </w:tcPr>
          <w:p w14:paraId="0CA62DEB" w14:textId="77777777" w:rsidR="000455F2" w:rsidRPr="005F78FD" w:rsidRDefault="000455F2" w:rsidP="00E96DD0">
            <w:pPr>
              <w:spacing w:before="60" w:after="60"/>
              <w:rPr>
                <w:rFonts w:cs="Segoe UI"/>
                <w:sz w:val="18"/>
              </w:rPr>
            </w:pPr>
            <w:r w:rsidRPr="005F78FD">
              <w:rPr>
                <w:rFonts w:cs="Segoe UI"/>
                <w:sz w:val="18"/>
              </w:rPr>
              <w:t>Southern</w:t>
            </w:r>
          </w:p>
        </w:tc>
        <w:tc>
          <w:tcPr>
            <w:tcW w:w="917" w:type="pct"/>
            <w:tcBorders>
              <w:top w:val="single" w:sz="4" w:space="0" w:color="A6A6A6" w:themeColor="background1" w:themeShade="A6"/>
              <w:left w:val="nil"/>
              <w:bottom w:val="single" w:sz="4" w:space="0" w:color="A6A6A6" w:themeColor="background1" w:themeShade="A6"/>
              <w:right w:val="nil"/>
            </w:tcBorders>
            <w:hideMark/>
          </w:tcPr>
          <w:p w14:paraId="5E3C4BB6" w14:textId="77777777" w:rsidR="000455F2" w:rsidRPr="005F78FD" w:rsidRDefault="000455F2" w:rsidP="00E96DD0">
            <w:pPr>
              <w:tabs>
                <w:tab w:val="decimal" w:pos="794"/>
              </w:tabs>
              <w:spacing w:before="60" w:after="60"/>
              <w:jc w:val="center"/>
              <w:rPr>
                <w:rFonts w:cs="Segoe UI"/>
                <w:sz w:val="18"/>
              </w:rPr>
            </w:pPr>
            <w:r>
              <w:rPr>
                <w:rFonts w:cs="Segoe UI"/>
                <w:sz w:val="18"/>
              </w:rPr>
              <w:t>9</w:t>
            </w:r>
          </w:p>
        </w:tc>
        <w:tc>
          <w:tcPr>
            <w:tcW w:w="917" w:type="pct"/>
            <w:tcBorders>
              <w:top w:val="single" w:sz="4" w:space="0" w:color="A6A6A6" w:themeColor="background1" w:themeShade="A6"/>
              <w:left w:val="nil"/>
              <w:bottom w:val="single" w:sz="4" w:space="0" w:color="A6A6A6" w:themeColor="background1" w:themeShade="A6"/>
              <w:right w:val="nil"/>
            </w:tcBorders>
            <w:hideMark/>
          </w:tcPr>
          <w:p w14:paraId="4A317FED" w14:textId="77777777" w:rsidR="000455F2" w:rsidRPr="005F78FD" w:rsidRDefault="000455F2" w:rsidP="00E96DD0">
            <w:pPr>
              <w:tabs>
                <w:tab w:val="decimal" w:pos="794"/>
              </w:tabs>
              <w:spacing w:before="60" w:after="60"/>
              <w:jc w:val="center"/>
              <w:rPr>
                <w:rFonts w:cs="Segoe UI"/>
                <w:sz w:val="18"/>
              </w:rPr>
            </w:pPr>
            <w:r>
              <w:rPr>
                <w:rFonts w:cs="Segoe UI"/>
                <w:sz w:val="18"/>
              </w:rPr>
              <w:t>18</w:t>
            </w:r>
          </w:p>
        </w:tc>
        <w:tc>
          <w:tcPr>
            <w:tcW w:w="916" w:type="pct"/>
            <w:tcBorders>
              <w:top w:val="single" w:sz="4" w:space="0" w:color="A6A6A6" w:themeColor="background1" w:themeShade="A6"/>
              <w:left w:val="nil"/>
              <w:bottom w:val="single" w:sz="4" w:space="0" w:color="A6A6A6" w:themeColor="background1" w:themeShade="A6"/>
              <w:right w:val="nil"/>
            </w:tcBorders>
            <w:hideMark/>
          </w:tcPr>
          <w:p w14:paraId="680575C5" w14:textId="77777777" w:rsidR="000455F2" w:rsidRPr="005F78FD" w:rsidRDefault="000455F2" w:rsidP="00E96DD0">
            <w:pPr>
              <w:tabs>
                <w:tab w:val="decimal" w:pos="952"/>
              </w:tabs>
              <w:spacing w:before="60" w:after="60"/>
              <w:jc w:val="center"/>
              <w:rPr>
                <w:rFonts w:cs="Segoe UI"/>
                <w:sz w:val="18"/>
              </w:rPr>
            </w:pPr>
            <w:r>
              <w:rPr>
                <w:rFonts w:cs="Segoe UI"/>
                <w:sz w:val="18"/>
              </w:rPr>
              <w:t>1,916</w:t>
            </w:r>
          </w:p>
        </w:tc>
        <w:tc>
          <w:tcPr>
            <w:tcW w:w="1087" w:type="pct"/>
            <w:tcBorders>
              <w:top w:val="single" w:sz="4" w:space="0" w:color="A6A6A6" w:themeColor="background1" w:themeShade="A6"/>
              <w:left w:val="nil"/>
              <w:bottom w:val="single" w:sz="4" w:space="0" w:color="A6A6A6" w:themeColor="background1" w:themeShade="A6"/>
              <w:right w:val="nil"/>
            </w:tcBorders>
            <w:hideMark/>
          </w:tcPr>
          <w:p w14:paraId="3483FC21" w14:textId="77777777" w:rsidR="000455F2" w:rsidRPr="005F78FD" w:rsidRDefault="000455F2" w:rsidP="00E96DD0">
            <w:pPr>
              <w:tabs>
                <w:tab w:val="decimal" w:pos="820"/>
              </w:tabs>
              <w:spacing w:before="60" w:after="60"/>
              <w:jc w:val="center"/>
              <w:rPr>
                <w:rFonts w:cs="Segoe UI"/>
                <w:sz w:val="18"/>
              </w:rPr>
            </w:pPr>
            <w:r>
              <w:rPr>
                <w:rFonts w:cs="Segoe UI"/>
                <w:sz w:val="18"/>
              </w:rPr>
              <w:t>106.4</w:t>
            </w:r>
          </w:p>
        </w:tc>
      </w:tr>
      <w:tr w:rsidR="000455F2" w:rsidRPr="005F78FD" w14:paraId="21F00561" w14:textId="77777777" w:rsidTr="00E96DD0">
        <w:trPr>
          <w:cantSplit/>
          <w:trHeight w:val="70"/>
        </w:trPr>
        <w:tc>
          <w:tcPr>
            <w:tcW w:w="1163" w:type="pct"/>
            <w:tcBorders>
              <w:top w:val="single" w:sz="4" w:space="0" w:color="A6A6A6" w:themeColor="background1" w:themeShade="A6"/>
              <w:left w:val="nil"/>
              <w:bottom w:val="single" w:sz="4" w:space="0" w:color="A6A6A6" w:themeColor="background1" w:themeShade="A6"/>
              <w:right w:val="nil"/>
            </w:tcBorders>
            <w:hideMark/>
          </w:tcPr>
          <w:p w14:paraId="45699213" w14:textId="77777777" w:rsidR="000455F2" w:rsidRPr="005F78FD" w:rsidRDefault="000455F2" w:rsidP="00E96DD0">
            <w:pPr>
              <w:spacing w:before="60" w:after="60"/>
              <w:rPr>
                <w:rFonts w:cs="Segoe UI"/>
                <w:b/>
                <w:sz w:val="18"/>
              </w:rPr>
            </w:pPr>
            <w:r>
              <w:rPr>
                <w:rFonts w:cs="Segoe UI"/>
                <w:b/>
                <w:sz w:val="18"/>
              </w:rPr>
              <w:t>Nationally</w:t>
            </w:r>
          </w:p>
        </w:tc>
        <w:tc>
          <w:tcPr>
            <w:tcW w:w="917" w:type="pct"/>
            <w:tcBorders>
              <w:top w:val="single" w:sz="4" w:space="0" w:color="A6A6A6" w:themeColor="background1" w:themeShade="A6"/>
              <w:left w:val="nil"/>
              <w:bottom w:val="single" w:sz="4" w:space="0" w:color="A6A6A6" w:themeColor="background1" w:themeShade="A6"/>
              <w:right w:val="nil"/>
            </w:tcBorders>
            <w:hideMark/>
          </w:tcPr>
          <w:p w14:paraId="7E15C8A7" w14:textId="77777777" w:rsidR="000455F2" w:rsidRPr="005F78FD" w:rsidRDefault="000455F2" w:rsidP="00E96DD0">
            <w:pPr>
              <w:tabs>
                <w:tab w:val="decimal" w:pos="794"/>
              </w:tabs>
              <w:spacing w:before="60" w:after="60"/>
              <w:jc w:val="center"/>
              <w:rPr>
                <w:rFonts w:cs="Segoe UI"/>
                <w:b/>
                <w:bCs/>
                <w:sz w:val="18"/>
              </w:rPr>
            </w:pPr>
            <w:r>
              <w:rPr>
                <w:rFonts w:cs="Segoe UI"/>
                <w:b/>
                <w:bCs/>
                <w:sz w:val="18"/>
              </w:rPr>
              <w:t>119</w:t>
            </w:r>
          </w:p>
        </w:tc>
        <w:tc>
          <w:tcPr>
            <w:tcW w:w="917" w:type="pct"/>
            <w:tcBorders>
              <w:top w:val="single" w:sz="4" w:space="0" w:color="A6A6A6" w:themeColor="background1" w:themeShade="A6"/>
              <w:left w:val="nil"/>
              <w:bottom w:val="single" w:sz="4" w:space="0" w:color="A6A6A6" w:themeColor="background1" w:themeShade="A6"/>
              <w:right w:val="nil"/>
            </w:tcBorders>
            <w:hideMark/>
          </w:tcPr>
          <w:p w14:paraId="24BFA222" w14:textId="77777777" w:rsidR="000455F2" w:rsidRPr="005F78FD" w:rsidRDefault="000455F2" w:rsidP="00E96DD0">
            <w:pPr>
              <w:tabs>
                <w:tab w:val="decimal" w:pos="794"/>
              </w:tabs>
              <w:spacing w:before="60" w:after="60"/>
              <w:jc w:val="center"/>
              <w:rPr>
                <w:rFonts w:cs="Segoe UI"/>
                <w:b/>
                <w:bCs/>
                <w:sz w:val="18"/>
              </w:rPr>
            </w:pPr>
            <w:r>
              <w:rPr>
                <w:rFonts w:cs="Segoe UI"/>
                <w:b/>
                <w:bCs/>
                <w:sz w:val="18"/>
              </w:rPr>
              <w:t>355</w:t>
            </w:r>
          </w:p>
        </w:tc>
        <w:tc>
          <w:tcPr>
            <w:tcW w:w="916" w:type="pct"/>
            <w:tcBorders>
              <w:top w:val="single" w:sz="4" w:space="0" w:color="A6A6A6" w:themeColor="background1" w:themeShade="A6"/>
              <w:left w:val="nil"/>
              <w:bottom w:val="single" w:sz="4" w:space="0" w:color="A6A6A6" w:themeColor="background1" w:themeShade="A6"/>
              <w:right w:val="nil"/>
            </w:tcBorders>
            <w:hideMark/>
          </w:tcPr>
          <w:p w14:paraId="66BBC8BE" w14:textId="77777777" w:rsidR="000455F2" w:rsidRPr="005F78FD" w:rsidRDefault="000455F2" w:rsidP="00E96DD0">
            <w:pPr>
              <w:tabs>
                <w:tab w:val="decimal" w:pos="952"/>
              </w:tabs>
              <w:spacing w:before="60" w:after="60"/>
              <w:jc w:val="center"/>
              <w:rPr>
                <w:rFonts w:cs="Segoe UI"/>
                <w:b/>
                <w:bCs/>
                <w:sz w:val="18"/>
              </w:rPr>
            </w:pPr>
            <w:r>
              <w:rPr>
                <w:rFonts w:cs="Segoe UI"/>
                <w:b/>
                <w:bCs/>
                <w:sz w:val="18"/>
              </w:rPr>
              <w:t>23,718</w:t>
            </w:r>
          </w:p>
        </w:tc>
        <w:tc>
          <w:tcPr>
            <w:tcW w:w="1087" w:type="pct"/>
            <w:tcBorders>
              <w:top w:val="single" w:sz="4" w:space="0" w:color="A6A6A6" w:themeColor="background1" w:themeShade="A6"/>
              <w:left w:val="nil"/>
              <w:bottom w:val="single" w:sz="4" w:space="0" w:color="A6A6A6" w:themeColor="background1" w:themeShade="A6"/>
              <w:right w:val="nil"/>
            </w:tcBorders>
            <w:hideMark/>
          </w:tcPr>
          <w:p w14:paraId="4D110B6C" w14:textId="77777777" w:rsidR="000455F2" w:rsidRPr="005F78FD" w:rsidRDefault="000455F2" w:rsidP="00E96DD0">
            <w:pPr>
              <w:tabs>
                <w:tab w:val="decimal" w:pos="820"/>
              </w:tabs>
              <w:spacing w:before="60" w:after="60"/>
              <w:jc w:val="center"/>
              <w:rPr>
                <w:rFonts w:cs="Segoe UI"/>
                <w:b/>
                <w:bCs/>
                <w:sz w:val="18"/>
              </w:rPr>
            </w:pPr>
            <w:r>
              <w:rPr>
                <w:rFonts w:cs="Segoe UI"/>
                <w:b/>
                <w:bCs/>
                <w:sz w:val="18"/>
              </w:rPr>
              <w:t>66.8</w:t>
            </w:r>
          </w:p>
        </w:tc>
      </w:tr>
    </w:tbl>
    <w:p w14:paraId="100B173C" w14:textId="77777777" w:rsidR="000455F2" w:rsidRPr="005F78FD" w:rsidRDefault="000455F2" w:rsidP="000455F2">
      <w:pPr>
        <w:spacing w:before="80"/>
        <w:rPr>
          <w:rFonts w:cs="Segoe UI"/>
          <w:sz w:val="17"/>
        </w:rPr>
      </w:pPr>
      <w:r w:rsidRPr="005F78FD">
        <w:rPr>
          <w:rFonts w:cs="Segoe UI"/>
          <w:sz w:val="17"/>
        </w:rPr>
        <w:t xml:space="preserve">Notes: This data is for </w:t>
      </w:r>
      <w:r>
        <w:rPr>
          <w:rFonts w:cs="Segoe UI"/>
          <w:sz w:val="17"/>
        </w:rPr>
        <w:t xml:space="preserve">forensic </w:t>
      </w:r>
      <w:r w:rsidRPr="005F78FD">
        <w:rPr>
          <w:rFonts w:cs="Segoe UI"/>
          <w:sz w:val="17"/>
        </w:rPr>
        <w:t>mental health service users aged 20–64</w:t>
      </w:r>
      <w:r>
        <w:rPr>
          <w:rFonts w:cs="Segoe UI"/>
          <w:sz w:val="17"/>
        </w:rPr>
        <w:t xml:space="preserve"> years</w:t>
      </w:r>
      <w:r w:rsidRPr="005F78FD">
        <w:rPr>
          <w:rFonts w:cs="Segoe UI"/>
          <w:sz w:val="17"/>
        </w:rPr>
        <w:t xml:space="preserve">. It excludes </w:t>
      </w:r>
      <w:r>
        <w:rPr>
          <w:rFonts w:cs="Segoe UI"/>
          <w:sz w:val="17"/>
        </w:rPr>
        <w:t>one</w:t>
      </w:r>
      <w:r w:rsidRPr="005F78FD">
        <w:rPr>
          <w:rFonts w:cs="Segoe UI"/>
          <w:sz w:val="17"/>
        </w:rPr>
        <w:t xml:space="preserve"> outlier.</w:t>
      </w:r>
    </w:p>
    <w:p w14:paraId="148706BB" w14:textId="77777777" w:rsidR="000455F2" w:rsidRPr="005F78FD" w:rsidRDefault="000455F2" w:rsidP="000455F2">
      <w:pPr>
        <w:spacing w:before="80"/>
        <w:rPr>
          <w:rFonts w:cs="Segoe UI"/>
          <w:sz w:val="17"/>
        </w:rPr>
      </w:pPr>
      <w:r w:rsidRPr="005F78FD">
        <w:rPr>
          <w:rFonts w:cs="Segoe UI"/>
          <w:sz w:val="17"/>
        </w:rPr>
        <w:t xml:space="preserve">Sources: PRIMHD data (extracted </w:t>
      </w:r>
      <w:r>
        <w:rPr>
          <w:rFonts w:cs="Segoe UI"/>
          <w:sz w:val="17"/>
        </w:rPr>
        <w:t>28 February 2024) and manual data for Health New Zealand South Canterbury, Tairāwhiti and Waitematā</w:t>
      </w:r>
      <w:r w:rsidRPr="005F78FD">
        <w:rPr>
          <w:rFonts w:cs="Segoe UI"/>
          <w:sz w:val="17"/>
        </w:rPr>
        <w:t>.</w:t>
      </w:r>
    </w:p>
    <w:p w14:paraId="1B19F4AD" w14:textId="77777777" w:rsidR="000455F2" w:rsidRPr="005F78FD" w:rsidRDefault="000455F2" w:rsidP="000455F2">
      <w:pPr>
        <w:rPr>
          <w:rFonts w:cs="Segoe UI"/>
        </w:rPr>
      </w:pPr>
    </w:p>
    <w:p w14:paraId="550E0224" w14:textId="1EAB7D82" w:rsidR="000455F2" w:rsidRDefault="000455F2" w:rsidP="000455F2"/>
    <w:p w14:paraId="33FA953B" w14:textId="2D1C7B6D" w:rsidR="000455F2" w:rsidRDefault="000455F2" w:rsidP="000455F2"/>
    <w:p w14:paraId="3D6553BA" w14:textId="73675BB9" w:rsidR="000455F2" w:rsidRDefault="000455F2" w:rsidP="000455F2">
      <w:pPr>
        <w:pStyle w:val="Figure"/>
      </w:pPr>
      <w:bookmarkStart w:id="493" w:name="_Ref108534826"/>
      <w:bookmarkStart w:id="494" w:name="_Ref141108775"/>
      <w:bookmarkStart w:id="495" w:name="_Toc115188873"/>
      <w:bookmarkStart w:id="496" w:name="_Toc142314716"/>
      <w:bookmarkStart w:id="497" w:name="_Toc145394298"/>
      <w:bookmarkStart w:id="498" w:name="_Toc189053973"/>
      <w:bookmarkStart w:id="499" w:name="_Toc189647958"/>
      <w:r w:rsidRPr="005F78FD">
        <w:t xml:space="preserve">Figure </w:t>
      </w:r>
      <w:r w:rsidRPr="005F78FD">
        <w:fldChar w:fldCharType="begin"/>
      </w:r>
      <w:r w:rsidRPr="005F78FD">
        <w:instrText>SEQ Figure \* ARABIC</w:instrText>
      </w:r>
      <w:r w:rsidRPr="005F78FD">
        <w:fldChar w:fldCharType="separate"/>
      </w:r>
      <w:r w:rsidR="00753BC8">
        <w:rPr>
          <w:noProof/>
        </w:rPr>
        <w:t>32</w:t>
      </w:r>
      <w:r w:rsidRPr="005F78FD">
        <w:fldChar w:fldCharType="end"/>
      </w:r>
      <w:bookmarkEnd w:id="493"/>
      <w:bookmarkEnd w:id="494"/>
      <w:r w:rsidRPr="005F78FD">
        <w:t>: Seclusion indicators for forensic mental health services, by ethnicity, 1</w:t>
      </w:r>
      <w:r>
        <w:t> </w:t>
      </w:r>
      <w:r w:rsidRPr="005F78FD">
        <w:t>July 202</w:t>
      </w:r>
      <w:r>
        <w:t>2</w:t>
      </w:r>
      <w:r w:rsidRPr="005F78FD">
        <w:t xml:space="preserve"> to 30 June </w:t>
      </w:r>
      <w:bookmarkEnd w:id="495"/>
      <w:r w:rsidRPr="005F78FD">
        <w:t>202</w:t>
      </w:r>
      <w:r>
        <w:t>3</w:t>
      </w:r>
      <w:bookmarkEnd w:id="496"/>
      <w:bookmarkEnd w:id="497"/>
      <w:bookmarkEnd w:id="498"/>
      <w:bookmarkEnd w:id="499"/>
    </w:p>
    <w:p w14:paraId="4B558BD9" w14:textId="41DBBA72" w:rsidR="000455F2" w:rsidRPr="005F78FD" w:rsidRDefault="000455F2" w:rsidP="000455F2">
      <w:pPr>
        <w:keepNext/>
        <w:spacing w:before="120" w:after="120"/>
        <w:rPr>
          <w:rFonts w:cs="Segoe UI"/>
        </w:rPr>
      </w:pPr>
      <w:r>
        <w:rPr>
          <w:rFonts w:cs="Segoe UI"/>
          <w:noProof/>
        </w:rPr>
        <w:drawing>
          <wp:inline distT="0" distB="0" distL="0" distR="0" wp14:anchorId="037627F8" wp14:editId="7E17E871">
            <wp:extent cx="5135752" cy="3110345"/>
            <wp:effectExtent l="0" t="0" r="8255" b="0"/>
            <wp:docPr id="1297958821" name="Picture 12979588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7958821" name="Picture 1297958821">
                      <a:extLst>
                        <a:ext uri="{C183D7F6-B498-43B3-948B-1728B52AA6E4}">
                          <adec:decorative xmlns:adec="http://schemas.microsoft.com/office/drawing/2017/decorative" val="1"/>
                        </a:ext>
                      </a:extLst>
                    </pic:cNvP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154280" cy="3121566"/>
                    </a:xfrm>
                    <a:prstGeom prst="rect">
                      <a:avLst/>
                    </a:prstGeom>
                    <a:noFill/>
                  </pic:spPr>
                </pic:pic>
              </a:graphicData>
            </a:graphic>
          </wp:inline>
        </w:drawing>
      </w:r>
    </w:p>
    <w:p w14:paraId="2BE2DD73" w14:textId="77777777" w:rsidR="000455F2" w:rsidRPr="005F78FD" w:rsidRDefault="000455F2" w:rsidP="000455F2">
      <w:pPr>
        <w:spacing w:before="80"/>
        <w:rPr>
          <w:rFonts w:cs="Segoe UI"/>
          <w:sz w:val="17"/>
          <w:szCs w:val="17"/>
        </w:rPr>
      </w:pPr>
      <w:r w:rsidRPr="32CFDF87">
        <w:rPr>
          <w:rFonts w:cs="Segoe UI"/>
          <w:sz w:val="17"/>
          <w:szCs w:val="17"/>
        </w:rPr>
        <w:t xml:space="preserve">Notes: This data is for forensic mental health service users aged 20–64. It excludes </w:t>
      </w:r>
      <w:r>
        <w:rPr>
          <w:rFonts w:cs="Segoe UI"/>
          <w:sz w:val="17"/>
          <w:szCs w:val="17"/>
        </w:rPr>
        <w:t>one</w:t>
      </w:r>
      <w:r w:rsidRPr="32CFDF87">
        <w:rPr>
          <w:rFonts w:cs="Segoe UI"/>
          <w:sz w:val="17"/>
          <w:szCs w:val="17"/>
        </w:rPr>
        <w:t xml:space="preserve"> outlier.</w:t>
      </w:r>
    </w:p>
    <w:p w14:paraId="3956418C" w14:textId="77777777" w:rsidR="000455F2" w:rsidRPr="005F78FD" w:rsidRDefault="000455F2" w:rsidP="000455F2">
      <w:pPr>
        <w:spacing w:before="80"/>
        <w:rPr>
          <w:rFonts w:cs="Segoe UI"/>
          <w:sz w:val="17"/>
        </w:rPr>
      </w:pPr>
      <w:r w:rsidRPr="005F78FD">
        <w:rPr>
          <w:rFonts w:cs="Segoe UI"/>
          <w:sz w:val="17"/>
        </w:rPr>
        <w:t xml:space="preserve">Sources: PRIMHD data (extracted </w:t>
      </w:r>
      <w:r>
        <w:rPr>
          <w:rFonts w:cs="Segoe UI"/>
          <w:sz w:val="17"/>
        </w:rPr>
        <w:t>28 February 2024) and manual data for Health New Zealand South Canterbury, Tairāwhiti and Waitematā</w:t>
      </w:r>
      <w:r w:rsidRPr="005F78FD">
        <w:rPr>
          <w:rFonts w:cs="Segoe UI"/>
          <w:sz w:val="17"/>
        </w:rPr>
        <w:t>.</w:t>
      </w:r>
    </w:p>
    <w:p w14:paraId="7C13DD37" w14:textId="77777777" w:rsidR="000455F2" w:rsidRPr="005F78FD" w:rsidRDefault="000455F2" w:rsidP="000455F2">
      <w:pPr>
        <w:pStyle w:val="Heading2"/>
      </w:pPr>
      <w:bookmarkStart w:id="500" w:name="_Toc115188814"/>
      <w:bookmarkStart w:id="501" w:name="_Toc145394242"/>
      <w:bookmarkStart w:id="502" w:name="_Toc189053912"/>
      <w:bookmarkStart w:id="503" w:name="_Toc189647901"/>
      <w:r w:rsidRPr="005F78FD">
        <w:t>People with intellectual disabilities cared for in an intellectual disability forensic service</w:t>
      </w:r>
      <w:bookmarkEnd w:id="500"/>
      <w:bookmarkEnd w:id="501"/>
      <w:bookmarkEnd w:id="502"/>
      <w:bookmarkEnd w:id="503"/>
    </w:p>
    <w:p w14:paraId="211A83AA" w14:textId="77777777" w:rsidR="000455F2" w:rsidRPr="005F78FD" w:rsidRDefault="000455F2" w:rsidP="000455F2">
      <w:r w:rsidRPr="005F78FD">
        <w:t xml:space="preserve">The </w:t>
      </w:r>
      <w:r w:rsidRPr="2A0E5E16">
        <w:t>five</w:t>
      </w:r>
      <w:r w:rsidRPr="005F78FD">
        <w:t xml:space="preserve"> regional forensic mental health services listed </w:t>
      </w:r>
      <w:r>
        <w:t xml:space="preserve">in the section </w:t>
      </w:r>
      <w:r w:rsidRPr="005F78FD">
        <w:t>above also provide forensic intellectual disability services for people with an intellectual disability under the Intellectual Disability Care Act, as care recipients or special care recipients. Individuals become subject to the Intellectual Disability Care Act when convicted of criminal offending and compulsory care is ordered rather than a prison sentence. A small number of individuals in forensic intellectual disability services are under the Mental Health Act.</w:t>
      </w:r>
    </w:p>
    <w:p w14:paraId="1139CDD4" w14:textId="77777777" w:rsidR="000455F2" w:rsidRPr="005F78FD" w:rsidRDefault="000455F2" w:rsidP="000455F2"/>
    <w:p w14:paraId="7199F2EA" w14:textId="77777777" w:rsidR="000455F2" w:rsidRPr="005F78FD" w:rsidRDefault="000455F2" w:rsidP="000455F2">
      <w:pPr>
        <w:rPr>
          <w:rFonts w:cs="Segoe UI"/>
        </w:rPr>
      </w:pPr>
      <w:r w:rsidRPr="005F78FD">
        <w:rPr>
          <w:rFonts w:cs="Segoe UI"/>
        </w:rPr>
        <w:t>The seclusion data presented</w:t>
      </w:r>
      <w:r>
        <w:rPr>
          <w:rFonts w:cs="Segoe UI"/>
        </w:rPr>
        <w:t xml:space="preserve"> in Tables 10-12</w:t>
      </w:r>
      <w:r w:rsidRPr="005F78FD">
        <w:rPr>
          <w:rFonts w:cs="Segoe UI"/>
        </w:rPr>
        <w:t xml:space="preserve"> for people with intellectual disabilities is for individuals with a legal status under the Intellectual Disability Care Act or the Mental Health Act. People receiving care under these Acts can be secluded only in hospital-level secure services that meet specific requirements.</w:t>
      </w:r>
    </w:p>
    <w:p w14:paraId="3A08DDFD" w14:textId="77777777" w:rsidR="000455F2" w:rsidRDefault="000455F2" w:rsidP="000455F2">
      <w:pPr>
        <w:rPr>
          <w:rFonts w:cs="Segoe UI"/>
        </w:rPr>
      </w:pPr>
    </w:p>
    <w:p w14:paraId="01390ACE" w14:textId="4554D838" w:rsidR="000455F2" w:rsidRPr="005F78FD" w:rsidRDefault="000455F2" w:rsidP="000455F2">
      <w:pPr>
        <w:rPr>
          <w:rFonts w:cs="Segoe UI"/>
        </w:rPr>
      </w:pPr>
      <w:r>
        <w:rPr>
          <w:rFonts w:cs="Segoe UI"/>
        </w:rPr>
        <w:t>Previous annual regulatory reports have presented this seclusion data by regional service. However, due to low numbers, this year we present the data on a national level to protect individuals’ privacy. Similarly, the seclusion indicators for Māori and non-Māori with intellectual disabilities are presented per 100,000 people in the general population (</w:t>
      </w:r>
      <w:r>
        <w:rPr>
          <w:rFonts w:cs="Segoe UI"/>
        </w:rPr>
        <w:fldChar w:fldCharType="begin"/>
      </w:r>
      <w:r>
        <w:rPr>
          <w:rFonts w:cs="Segoe UI"/>
        </w:rPr>
        <w:instrText xml:space="preserve"> REF _Ref141108883 \h </w:instrText>
      </w:r>
      <w:r>
        <w:rPr>
          <w:rFonts w:cs="Segoe UI"/>
        </w:rPr>
      </w:r>
      <w:r>
        <w:rPr>
          <w:rFonts w:cs="Segoe UI"/>
        </w:rPr>
        <w:fldChar w:fldCharType="separate"/>
      </w:r>
      <w:r w:rsidR="00753BC8" w:rsidRPr="00097BF7">
        <w:t>Table </w:t>
      </w:r>
      <w:r w:rsidR="00753BC8">
        <w:rPr>
          <w:noProof/>
        </w:rPr>
        <w:t>12</w:t>
      </w:r>
      <w:r>
        <w:rPr>
          <w:rFonts w:cs="Segoe UI"/>
        </w:rPr>
        <w:fldChar w:fldCharType="end"/>
      </w:r>
      <w:r>
        <w:rPr>
          <w:rFonts w:cs="Segoe UI"/>
        </w:rPr>
        <w:t>), rather than as raw figures.</w:t>
      </w:r>
    </w:p>
    <w:p w14:paraId="7A228E77" w14:textId="03029FB8" w:rsidR="000455F2" w:rsidRPr="00097BF7" w:rsidRDefault="000455F2" w:rsidP="000455F2">
      <w:pPr>
        <w:pStyle w:val="Table"/>
      </w:pPr>
      <w:bookmarkStart w:id="504" w:name="_Ref141108836"/>
      <w:bookmarkStart w:id="505" w:name="_Toc87430007"/>
      <w:bookmarkStart w:id="506" w:name="_Toc88561364"/>
      <w:bookmarkStart w:id="507" w:name="_Toc115188899"/>
      <w:bookmarkStart w:id="508" w:name="_Toc142314760"/>
      <w:bookmarkStart w:id="509" w:name="_Toc145394323"/>
      <w:bookmarkStart w:id="510" w:name="_Toc189054001"/>
      <w:bookmarkStart w:id="511" w:name="_Toc189647986"/>
      <w:r w:rsidRPr="00097BF7">
        <w:t>Table </w:t>
      </w:r>
      <w:r w:rsidRPr="00097BF7">
        <w:fldChar w:fldCharType="begin"/>
      </w:r>
      <w:r w:rsidRPr="00097BF7">
        <w:instrText>SEQ Table \* ARABIC</w:instrText>
      </w:r>
      <w:r w:rsidRPr="00097BF7">
        <w:fldChar w:fldCharType="separate"/>
      </w:r>
      <w:r w:rsidR="00753BC8">
        <w:rPr>
          <w:noProof/>
        </w:rPr>
        <w:t>10</w:t>
      </w:r>
      <w:r w:rsidRPr="00097BF7">
        <w:fldChar w:fldCharType="end"/>
      </w:r>
      <w:bookmarkEnd w:id="504"/>
      <w:r w:rsidRPr="00097BF7">
        <w:t>: Seclusion indicators for people with intellectual disabilities, nationally, 1 </w:t>
      </w:r>
      <w:bookmarkEnd w:id="505"/>
      <w:bookmarkEnd w:id="506"/>
      <w:r w:rsidRPr="00097BF7">
        <w:t>July</w:t>
      </w:r>
      <w:r>
        <w:t> </w:t>
      </w:r>
      <w:r w:rsidRPr="00097BF7">
        <w:t xml:space="preserve">2022 to 30 June </w:t>
      </w:r>
      <w:bookmarkEnd w:id="507"/>
      <w:bookmarkEnd w:id="508"/>
      <w:bookmarkEnd w:id="509"/>
      <w:r w:rsidRPr="00097BF7">
        <w:t>2023</w:t>
      </w:r>
      <w:bookmarkEnd w:id="510"/>
      <w:bookmarkEnd w:id="511"/>
    </w:p>
    <w:tbl>
      <w:tblPr>
        <w:tblW w:w="4965" w:type="pct"/>
        <w:tblInd w:w="57" w:type="dxa"/>
        <w:tblBorders>
          <w:top w:val="single" w:sz="4" w:space="0" w:color="A6A6A6"/>
          <w:bottom w:val="single" w:sz="4" w:space="0" w:color="A6A6A6"/>
          <w:insideH w:val="single" w:sz="4" w:space="0" w:color="A6A6A6"/>
        </w:tblBorders>
        <w:tblCellMar>
          <w:left w:w="57" w:type="dxa"/>
          <w:right w:w="57" w:type="dxa"/>
        </w:tblCellMar>
        <w:tblLook w:val="0460" w:firstRow="1" w:lastRow="1" w:firstColumn="0" w:lastColumn="0" w:noHBand="0" w:noVBand="1"/>
      </w:tblPr>
      <w:tblGrid>
        <w:gridCol w:w="1602"/>
        <w:gridCol w:w="1605"/>
        <w:gridCol w:w="1605"/>
        <w:gridCol w:w="1604"/>
        <w:gridCol w:w="1606"/>
      </w:tblGrid>
      <w:tr w:rsidR="000455F2" w:rsidRPr="00721E78" w14:paraId="11DB6FB2" w14:textId="77777777" w:rsidTr="000455F2">
        <w:trPr>
          <w:cantSplit/>
        </w:trPr>
        <w:tc>
          <w:tcPr>
            <w:tcW w:w="998" w:type="pct"/>
            <w:tcBorders>
              <w:top w:val="nil"/>
              <w:left w:val="nil"/>
              <w:bottom w:val="nil"/>
              <w:right w:val="nil"/>
            </w:tcBorders>
            <w:shd w:val="clear" w:color="auto" w:fill="D9D9D9"/>
            <w:hideMark/>
          </w:tcPr>
          <w:p w14:paraId="1AC06194" w14:textId="77777777" w:rsidR="000455F2" w:rsidRPr="00097BF7" w:rsidRDefault="000455F2" w:rsidP="00E96DD0">
            <w:pPr>
              <w:spacing w:before="60" w:after="60"/>
              <w:rPr>
                <w:rFonts w:cs="Segoe UI"/>
                <w:b/>
                <w:sz w:val="18"/>
              </w:rPr>
            </w:pPr>
            <w:bookmarkStart w:id="512" w:name="_Hlk111534877"/>
            <w:r w:rsidRPr="00097BF7">
              <w:rPr>
                <w:rFonts w:cs="Segoe UI"/>
                <w:b/>
                <w:sz w:val="18"/>
              </w:rPr>
              <w:t>Act</w:t>
            </w:r>
          </w:p>
        </w:tc>
        <w:tc>
          <w:tcPr>
            <w:tcW w:w="1000" w:type="pct"/>
            <w:tcBorders>
              <w:top w:val="nil"/>
              <w:left w:val="nil"/>
              <w:bottom w:val="nil"/>
              <w:right w:val="nil"/>
            </w:tcBorders>
            <w:shd w:val="clear" w:color="auto" w:fill="D9D9D9"/>
            <w:hideMark/>
          </w:tcPr>
          <w:p w14:paraId="616C2608" w14:textId="77777777" w:rsidR="000455F2" w:rsidRPr="00097BF7" w:rsidRDefault="000455F2" w:rsidP="00E96DD0">
            <w:pPr>
              <w:spacing w:before="60" w:after="60"/>
              <w:jc w:val="center"/>
              <w:rPr>
                <w:rFonts w:cs="Segoe UI"/>
                <w:b/>
                <w:sz w:val="18"/>
              </w:rPr>
            </w:pPr>
            <w:r w:rsidRPr="00097BF7">
              <w:rPr>
                <w:rFonts w:cs="Segoe UI"/>
                <w:b/>
                <w:sz w:val="18"/>
              </w:rPr>
              <w:t>Number of people secluded</w:t>
            </w:r>
          </w:p>
        </w:tc>
        <w:tc>
          <w:tcPr>
            <w:tcW w:w="1000" w:type="pct"/>
            <w:tcBorders>
              <w:top w:val="nil"/>
              <w:left w:val="nil"/>
              <w:bottom w:val="nil"/>
              <w:right w:val="nil"/>
            </w:tcBorders>
            <w:shd w:val="clear" w:color="auto" w:fill="D9D9D9"/>
            <w:hideMark/>
          </w:tcPr>
          <w:p w14:paraId="0CFBF4C0" w14:textId="77777777" w:rsidR="000455F2" w:rsidRPr="00097BF7" w:rsidRDefault="000455F2" w:rsidP="00E96DD0">
            <w:pPr>
              <w:spacing w:before="60" w:after="60"/>
              <w:jc w:val="center"/>
              <w:rPr>
                <w:rFonts w:cs="Segoe UI"/>
                <w:b/>
                <w:sz w:val="18"/>
              </w:rPr>
            </w:pPr>
            <w:r w:rsidRPr="00097BF7">
              <w:rPr>
                <w:rFonts w:cs="Segoe UI"/>
                <w:b/>
                <w:sz w:val="18"/>
              </w:rPr>
              <w:t>Number</w:t>
            </w:r>
            <w:r w:rsidRPr="00097BF7">
              <w:rPr>
                <w:rFonts w:cs="Segoe UI"/>
                <w:b/>
                <w:sz w:val="18"/>
              </w:rPr>
              <w:br/>
              <w:t>of events</w:t>
            </w:r>
          </w:p>
        </w:tc>
        <w:tc>
          <w:tcPr>
            <w:tcW w:w="1000" w:type="pct"/>
            <w:tcBorders>
              <w:top w:val="nil"/>
              <w:left w:val="nil"/>
              <w:bottom w:val="nil"/>
              <w:right w:val="nil"/>
            </w:tcBorders>
            <w:shd w:val="clear" w:color="auto" w:fill="D9D9D9"/>
            <w:hideMark/>
          </w:tcPr>
          <w:p w14:paraId="38E9162F" w14:textId="77777777" w:rsidR="000455F2" w:rsidRPr="00097BF7" w:rsidRDefault="000455F2" w:rsidP="00E96DD0">
            <w:pPr>
              <w:spacing w:before="60" w:after="60"/>
              <w:jc w:val="center"/>
              <w:rPr>
                <w:rFonts w:cs="Segoe UI"/>
                <w:b/>
                <w:sz w:val="18"/>
              </w:rPr>
            </w:pPr>
            <w:r w:rsidRPr="00097BF7">
              <w:rPr>
                <w:rFonts w:cs="Segoe UI"/>
                <w:b/>
                <w:sz w:val="18"/>
              </w:rPr>
              <w:t>Median</w:t>
            </w:r>
            <w:r w:rsidRPr="00097BF7">
              <w:rPr>
                <w:rFonts w:cs="Segoe UI"/>
                <w:b/>
                <w:sz w:val="18"/>
              </w:rPr>
              <w:br/>
              <w:t>number of events</w:t>
            </w:r>
          </w:p>
        </w:tc>
        <w:tc>
          <w:tcPr>
            <w:tcW w:w="1001" w:type="pct"/>
            <w:tcBorders>
              <w:top w:val="nil"/>
              <w:left w:val="nil"/>
              <w:bottom w:val="nil"/>
              <w:right w:val="nil"/>
            </w:tcBorders>
            <w:shd w:val="clear" w:color="auto" w:fill="D9D9D9"/>
            <w:hideMark/>
          </w:tcPr>
          <w:p w14:paraId="6104D7E6" w14:textId="77777777" w:rsidR="000455F2" w:rsidRPr="00097BF7" w:rsidRDefault="000455F2" w:rsidP="00E96DD0">
            <w:pPr>
              <w:spacing w:before="60" w:after="60"/>
              <w:jc w:val="center"/>
              <w:rPr>
                <w:rFonts w:cs="Segoe UI"/>
                <w:b/>
                <w:sz w:val="18"/>
              </w:rPr>
            </w:pPr>
            <w:r w:rsidRPr="00097BF7">
              <w:rPr>
                <w:rFonts w:cs="Segoe UI"/>
                <w:b/>
                <w:sz w:val="18"/>
              </w:rPr>
              <w:t>Average number of events per person</w:t>
            </w:r>
          </w:p>
        </w:tc>
      </w:tr>
      <w:tr w:rsidR="000455F2" w:rsidRPr="00721E78" w14:paraId="265CB4E8" w14:textId="77777777" w:rsidTr="000455F2">
        <w:trPr>
          <w:cantSplit/>
        </w:trPr>
        <w:tc>
          <w:tcPr>
            <w:tcW w:w="998" w:type="pct"/>
            <w:tcBorders>
              <w:top w:val="nil"/>
              <w:left w:val="nil"/>
              <w:bottom w:val="single" w:sz="4" w:space="0" w:color="A6A6A6"/>
              <w:right w:val="nil"/>
            </w:tcBorders>
            <w:hideMark/>
          </w:tcPr>
          <w:p w14:paraId="2A58AAAD" w14:textId="77777777" w:rsidR="000455F2" w:rsidRPr="00097BF7" w:rsidRDefault="000455F2" w:rsidP="00E96DD0">
            <w:pPr>
              <w:spacing w:before="60" w:after="60"/>
              <w:rPr>
                <w:rFonts w:cs="Segoe UI"/>
                <w:sz w:val="18"/>
              </w:rPr>
            </w:pPr>
            <w:r w:rsidRPr="00097BF7">
              <w:rPr>
                <w:rFonts w:cs="Segoe UI"/>
                <w:sz w:val="18"/>
              </w:rPr>
              <w:t>Intellectual Disability Care Act</w:t>
            </w:r>
          </w:p>
        </w:tc>
        <w:tc>
          <w:tcPr>
            <w:tcW w:w="1000" w:type="pct"/>
            <w:tcBorders>
              <w:top w:val="nil"/>
              <w:left w:val="nil"/>
              <w:bottom w:val="single" w:sz="4" w:space="0" w:color="A6A6A6"/>
              <w:right w:val="nil"/>
            </w:tcBorders>
            <w:hideMark/>
          </w:tcPr>
          <w:p w14:paraId="26986C5E" w14:textId="77777777" w:rsidR="000455F2" w:rsidRPr="00097BF7" w:rsidRDefault="000455F2" w:rsidP="00E96DD0">
            <w:pPr>
              <w:tabs>
                <w:tab w:val="decimal" w:pos="652"/>
              </w:tabs>
              <w:spacing w:before="60" w:after="60"/>
              <w:jc w:val="center"/>
              <w:rPr>
                <w:rFonts w:cs="Segoe UI"/>
                <w:sz w:val="18"/>
              </w:rPr>
            </w:pPr>
            <w:r w:rsidRPr="00097BF7">
              <w:rPr>
                <w:rFonts w:cs="Segoe UI"/>
                <w:sz w:val="18"/>
              </w:rPr>
              <w:t>18</w:t>
            </w:r>
          </w:p>
        </w:tc>
        <w:tc>
          <w:tcPr>
            <w:tcW w:w="1000" w:type="pct"/>
            <w:tcBorders>
              <w:top w:val="nil"/>
              <w:left w:val="nil"/>
              <w:bottom w:val="single" w:sz="4" w:space="0" w:color="A6A6A6"/>
              <w:right w:val="nil"/>
            </w:tcBorders>
            <w:hideMark/>
          </w:tcPr>
          <w:p w14:paraId="40820A7F" w14:textId="77777777" w:rsidR="000455F2" w:rsidRPr="00097BF7" w:rsidRDefault="000455F2" w:rsidP="00E96DD0">
            <w:pPr>
              <w:tabs>
                <w:tab w:val="decimal" w:pos="700"/>
              </w:tabs>
              <w:spacing w:before="60" w:after="60"/>
              <w:jc w:val="center"/>
              <w:rPr>
                <w:rFonts w:cs="Segoe UI"/>
                <w:sz w:val="18"/>
              </w:rPr>
            </w:pPr>
            <w:r w:rsidRPr="00097BF7">
              <w:rPr>
                <w:rFonts w:cs="Segoe UI"/>
                <w:sz w:val="18"/>
              </w:rPr>
              <w:t>66</w:t>
            </w:r>
          </w:p>
        </w:tc>
        <w:tc>
          <w:tcPr>
            <w:tcW w:w="1000" w:type="pct"/>
            <w:tcBorders>
              <w:top w:val="nil"/>
              <w:left w:val="nil"/>
              <w:bottom w:val="single" w:sz="4" w:space="0" w:color="A6A6A6"/>
              <w:right w:val="nil"/>
            </w:tcBorders>
            <w:hideMark/>
          </w:tcPr>
          <w:p w14:paraId="57D97464" w14:textId="77777777" w:rsidR="000455F2" w:rsidRPr="00097BF7" w:rsidRDefault="000455F2" w:rsidP="00E96DD0">
            <w:pPr>
              <w:tabs>
                <w:tab w:val="decimal" w:pos="822"/>
              </w:tabs>
              <w:spacing w:before="60" w:after="60"/>
              <w:jc w:val="center"/>
              <w:rPr>
                <w:rFonts w:cs="Segoe UI"/>
                <w:sz w:val="18"/>
              </w:rPr>
            </w:pPr>
            <w:r w:rsidRPr="00097BF7">
              <w:rPr>
                <w:rFonts w:cs="Segoe UI"/>
                <w:sz w:val="18"/>
              </w:rPr>
              <w:t>2.0</w:t>
            </w:r>
          </w:p>
        </w:tc>
        <w:tc>
          <w:tcPr>
            <w:tcW w:w="1001" w:type="pct"/>
            <w:tcBorders>
              <w:top w:val="nil"/>
              <w:left w:val="nil"/>
              <w:bottom w:val="single" w:sz="4" w:space="0" w:color="A6A6A6"/>
              <w:right w:val="nil"/>
            </w:tcBorders>
            <w:hideMark/>
          </w:tcPr>
          <w:p w14:paraId="4C52FA64" w14:textId="77777777" w:rsidR="000455F2" w:rsidRPr="00097BF7" w:rsidRDefault="000455F2" w:rsidP="00E96DD0">
            <w:pPr>
              <w:tabs>
                <w:tab w:val="decimal" w:pos="851"/>
              </w:tabs>
              <w:spacing w:before="60" w:after="60"/>
              <w:jc w:val="center"/>
              <w:rPr>
                <w:rFonts w:cs="Segoe UI"/>
                <w:sz w:val="18"/>
              </w:rPr>
            </w:pPr>
            <w:r w:rsidRPr="00097BF7">
              <w:rPr>
                <w:rFonts w:cs="Segoe UI"/>
                <w:sz w:val="18"/>
              </w:rPr>
              <w:t>3.7</w:t>
            </w:r>
          </w:p>
        </w:tc>
      </w:tr>
      <w:tr w:rsidR="000455F2" w:rsidRPr="00721E78" w14:paraId="11A0FEB5" w14:textId="77777777" w:rsidTr="000455F2">
        <w:trPr>
          <w:cantSplit/>
        </w:trPr>
        <w:tc>
          <w:tcPr>
            <w:tcW w:w="998" w:type="pct"/>
            <w:tcBorders>
              <w:top w:val="single" w:sz="4" w:space="0" w:color="A6A6A6"/>
              <w:left w:val="nil"/>
              <w:bottom w:val="single" w:sz="4" w:space="0" w:color="A6A6A6"/>
              <w:right w:val="nil"/>
            </w:tcBorders>
            <w:hideMark/>
          </w:tcPr>
          <w:p w14:paraId="4D94F54F" w14:textId="77777777" w:rsidR="000455F2" w:rsidRPr="00097BF7" w:rsidRDefault="000455F2" w:rsidP="00E96DD0">
            <w:pPr>
              <w:spacing w:before="60" w:after="60"/>
              <w:rPr>
                <w:rFonts w:cs="Segoe UI"/>
                <w:sz w:val="18"/>
              </w:rPr>
            </w:pPr>
            <w:r w:rsidRPr="00097BF7">
              <w:rPr>
                <w:rFonts w:cs="Segoe UI"/>
                <w:sz w:val="18"/>
              </w:rPr>
              <w:t>Mental Health Act</w:t>
            </w:r>
          </w:p>
        </w:tc>
        <w:tc>
          <w:tcPr>
            <w:tcW w:w="1000" w:type="pct"/>
            <w:tcBorders>
              <w:top w:val="single" w:sz="4" w:space="0" w:color="A6A6A6"/>
              <w:left w:val="nil"/>
              <w:bottom w:val="single" w:sz="4" w:space="0" w:color="A6A6A6"/>
              <w:right w:val="nil"/>
            </w:tcBorders>
            <w:hideMark/>
          </w:tcPr>
          <w:p w14:paraId="6693A70C" w14:textId="77777777" w:rsidR="000455F2" w:rsidRPr="00097BF7" w:rsidRDefault="000455F2" w:rsidP="00E96DD0">
            <w:pPr>
              <w:tabs>
                <w:tab w:val="decimal" w:pos="652"/>
              </w:tabs>
              <w:spacing w:before="60" w:after="60"/>
              <w:jc w:val="center"/>
              <w:rPr>
                <w:rFonts w:cs="Segoe UI"/>
                <w:sz w:val="18"/>
              </w:rPr>
            </w:pPr>
            <w:r w:rsidRPr="00097BF7">
              <w:rPr>
                <w:rFonts w:cs="Segoe UI"/>
                <w:sz w:val="18"/>
              </w:rPr>
              <w:t>6</w:t>
            </w:r>
          </w:p>
        </w:tc>
        <w:tc>
          <w:tcPr>
            <w:tcW w:w="1000" w:type="pct"/>
            <w:tcBorders>
              <w:top w:val="single" w:sz="4" w:space="0" w:color="A6A6A6"/>
              <w:left w:val="nil"/>
              <w:bottom w:val="single" w:sz="4" w:space="0" w:color="A6A6A6"/>
              <w:right w:val="nil"/>
            </w:tcBorders>
            <w:hideMark/>
          </w:tcPr>
          <w:p w14:paraId="497C5EE9" w14:textId="77777777" w:rsidR="000455F2" w:rsidRPr="00097BF7" w:rsidRDefault="000455F2" w:rsidP="00E96DD0">
            <w:pPr>
              <w:tabs>
                <w:tab w:val="decimal" w:pos="700"/>
              </w:tabs>
              <w:spacing w:before="60" w:after="60"/>
              <w:jc w:val="center"/>
              <w:rPr>
                <w:rFonts w:cs="Segoe UI"/>
                <w:sz w:val="18"/>
              </w:rPr>
            </w:pPr>
            <w:r w:rsidRPr="00097BF7">
              <w:rPr>
                <w:rFonts w:cs="Segoe UI"/>
                <w:sz w:val="18"/>
              </w:rPr>
              <w:t>29</w:t>
            </w:r>
          </w:p>
        </w:tc>
        <w:tc>
          <w:tcPr>
            <w:tcW w:w="1000" w:type="pct"/>
            <w:tcBorders>
              <w:top w:val="single" w:sz="4" w:space="0" w:color="A6A6A6"/>
              <w:left w:val="nil"/>
              <w:bottom w:val="single" w:sz="4" w:space="0" w:color="A6A6A6"/>
              <w:right w:val="nil"/>
            </w:tcBorders>
            <w:hideMark/>
          </w:tcPr>
          <w:p w14:paraId="4351EB88" w14:textId="77777777" w:rsidR="000455F2" w:rsidRPr="00097BF7" w:rsidRDefault="000455F2" w:rsidP="00E96DD0">
            <w:pPr>
              <w:tabs>
                <w:tab w:val="decimal" w:pos="822"/>
              </w:tabs>
              <w:spacing w:before="60" w:after="60"/>
              <w:jc w:val="center"/>
              <w:rPr>
                <w:rFonts w:cs="Segoe UI"/>
                <w:sz w:val="18"/>
              </w:rPr>
            </w:pPr>
            <w:r w:rsidRPr="00097BF7">
              <w:rPr>
                <w:rFonts w:cs="Segoe UI"/>
                <w:sz w:val="18"/>
              </w:rPr>
              <w:t>4.0</w:t>
            </w:r>
          </w:p>
        </w:tc>
        <w:tc>
          <w:tcPr>
            <w:tcW w:w="1001" w:type="pct"/>
            <w:tcBorders>
              <w:top w:val="single" w:sz="4" w:space="0" w:color="A6A6A6"/>
              <w:left w:val="nil"/>
              <w:bottom w:val="single" w:sz="4" w:space="0" w:color="A6A6A6"/>
              <w:right w:val="nil"/>
            </w:tcBorders>
            <w:hideMark/>
          </w:tcPr>
          <w:p w14:paraId="38C5A6E9" w14:textId="77777777" w:rsidR="000455F2" w:rsidRPr="00097BF7" w:rsidRDefault="000455F2" w:rsidP="00E96DD0">
            <w:pPr>
              <w:tabs>
                <w:tab w:val="decimal" w:pos="851"/>
              </w:tabs>
              <w:spacing w:before="60" w:after="60"/>
              <w:jc w:val="center"/>
              <w:rPr>
                <w:rFonts w:cs="Segoe UI"/>
                <w:sz w:val="18"/>
              </w:rPr>
            </w:pPr>
            <w:r w:rsidRPr="00097BF7">
              <w:rPr>
                <w:rFonts w:cs="Segoe UI"/>
                <w:sz w:val="18"/>
              </w:rPr>
              <w:t>4.8</w:t>
            </w:r>
          </w:p>
        </w:tc>
      </w:tr>
    </w:tbl>
    <w:bookmarkEnd w:id="512"/>
    <w:p w14:paraId="685812DC" w14:textId="77777777" w:rsidR="000455F2" w:rsidRPr="00097BF7" w:rsidRDefault="000455F2" w:rsidP="000455F2">
      <w:pPr>
        <w:spacing w:before="80"/>
        <w:rPr>
          <w:rFonts w:cs="Segoe UI"/>
          <w:sz w:val="17"/>
        </w:rPr>
      </w:pPr>
      <w:r w:rsidRPr="00097BF7">
        <w:rPr>
          <w:rFonts w:cs="Segoe UI"/>
          <w:sz w:val="17"/>
        </w:rPr>
        <w:t>Source: PRIMHD data (extracted 28 February 2024).</w:t>
      </w:r>
    </w:p>
    <w:p w14:paraId="15D8691A" w14:textId="77777777" w:rsidR="000455F2" w:rsidRPr="00501296" w:rsidRDefault="000455F2" w:rsidP="000455F2">
      <w:pPr>
        <w:rPr>
          <w:rFonts w:cs="Segoe UI"/>
          <w:highlight w:val="yellow"/>
        </w:rPr>
      </w:pPr>
    </w:p>
    <w:p w14:paraId="2A44C27E" w14:textId="443E5D7C" w:rsidR="000455F2" w:rsidRPr="00097BF7" w:rsidRDefault="000455F2" w:rsidP="000455F2">
      <w:pPr>
        <w:pStyle w:val="Table"/>
      </w:pPr>
      <w:bookmarkStart w:id="513" w:name="_Ref141108866"/>
      <w:bookmarkStart w:id="514" w:name="_Toc87430008"/>
      <w:bookmarkStart w:id="515" w:name="_Toc88561365"/>
      <w:bookmarkStart w:id="516" w:name="_Toc115188900"/>
      <w:bookmarkStart w:id="517" w:name="_Toc142314761"/>
      <w:bookmarkStart w:id="518" w:name="_Toc145394324"/>
      <w:bookmarkStart w:id="519" w:name="_Toc189054002"/>
      <w:bookmarkStart w:id="520" w:name="_Toc189647987"/>
      <w:r w:rsidRPr="00097BF7">
        <w:t>Table </w:t>
      </w:r>
      <w:r w:rsidRPr="00097BF7">
        <w:fldChar w:fldCharType="begin"/>
      </w:r>
      <w:r w:rsidRPr="00097BF7">
        <w:instrText>SEQ Table \* ARABIC</w:instrText>
      </w:r>
      <w:r w:rsidRPr="00097BF7">
        <w:fldChar w:fldCharType="separate"/>
      </w:r>
      <w:r w:rsidR="00753BC8">
        <w:rPr>
          <w:noProof/>
        </w:rPr>
        <w:t>11</w:t>
      </w:r>
      <w:r w:rsidRPr="00097BF7">
        <w:fldChar w:fldCharType="end"/>
      </w:r>
      <w:bookmarkEnd w:id="513"/>
      <w:r w:rsidRPr="00097BF7">
        <w:t>: Length of seclusion for people with intellectual disabilities, nationally, 1 </w:t>
      </w:r>
      <w:bookmarkEnd w:id="514"/>
      <w:bookmarkEnd w:id="515"/>
      <w:r w:rsidRPr="00097BF7">
        <w:t>July</w:t>
      </w:r>
      <w:r>
        <w:t> </w:t>
      </w:r>
      <w:r w:rsidRPr="00097BF7">
        <w:t xml:space="preserve">2022 to 30 June </w:t>
      </w:r>
      <w:bookmarkEnd w:id="516"/>
      <w:bookmarkEnd w:id="517"/>
      <w:bookmarkEnd w:id="518"/>
      <w:r w:rsidRPr="00097BF7">
        <w:t>2023</w:t>
      </w:r>
      <w:bookmarkEnd w:id="519"/>
      <w:bookmarkEnd w:id="520"/>
    </w:p>
    <w:tbl>
      <w:tblPr>
        <w:tblW w:w="4955" w:type="pct"/>
        <w:tblInd w:w="57" w:type="dxa"/>
        <w:tblBorders>
          <w:top w:val="single" w:sz="4" w:space="0" w:color="A6A6A6" w:themeColor="background1" w:themeShade="A6"/>
          <w:bottom w:val="single" w:sz="4" w:space="0" w:color="A6A6A6" w:themeColor="background1" w:themeShade="A6"/>
          <w:insideH w:val="single" w:sz="4" w:space="0" w:color="A6A6A6" w:themeColor="background1" w:themeShade="A6"/>
        </w:tblBorders>
        <w:tblLayout w:type="fixed"/>
        <w:tblCellMar>
          <w:left w:w="57" w:type="dxa"/>
          <w:right w:w="57" w:type="dxa"/>
        </w:tblCellMar>
        <w:tblLook w:val="0460" w:firstRow="1" w:lastRow="1" w:firstColumn="0" w:lastColumn="0" w:noHBand="0" w:noVBand="1"/>
      </w:tblPr>
      <w:tblGrid>
        <w:gridCol w:w="1909"/>
        <w:gridCol w:w="1864"/>
        <w:gridCol w:w="2118"/>
        <w:gridCol w:w="2115"/>
      </w:tblGrid>
      <w:tr w:rsidR="000455F2" w:rsidRPr="00721E78" w14:paraId="3D3F09C8" w14:textId="77777777" w:rsidTr="000455F2">
        <w:trPr>
          <w:cantSplit/>
        </w:trPr>
        <w:tc>
          <w:tcPr>
            <w:tcW w:w="1192" w:type="pct"/>
            <w:tcBorders>
              <w:top w:val="nil"/>
              <w:left w:val="nil"/>
              <w:bottom w:val="nil"/>
              <w:right w:val="nil"/>
            </w:tcBorders>
            <w:shd w:val="clear" w:color="auto" w:fill="D9D9D9" w:themeFill="background1" w:themeFillShade="D9"/>
            <w:hideMark/>
          </w:tcPr>
          <w:p w14:paraId="2AE63085" w14:textId="77777777" w:rsidR="000455F2" w:rsidRPr="00097BF7" w:rsidRDefault="000455F2" w:rsidP="00E96DD0">
            <w:pPr>
              <w:spacing w:before="60" w:after="60"/>
              <w:rPr>
                <w:rFonts w:cs="Segoe UI"/>
                <w:b/>
                <w:sz w:val="18"/>
              </w:rPr>
            </w:pPr>
            <w:r w:rsidRPr="00097BF7">
              <w:rPr>
                <w:rFonts w:cs="Segoe UI"/>
                <w:b/>
                <w:sz w:val="18"/>
              </w:rPr>
              <w:t>Act</w:t>
            </w:r>
          </w:p>
        </w:tc>
        <w:tc>
          <w:tcPr>
            <w:tcW w:w="1164" w:type="pct"/>
            <w:tcBorders>
              <w:top w:val="nil"/>
              <w:left w:val="nil"/>
              <w:bottom w:val="nil"/>
              <w:right w:val="nil"/>
            </w:tcBorders>
            <w:shd w:val="clear" w:color="auto" w:fill="D9D9D9" w:themeFill="background1" w:themeFillShade="D9"/>
            <w:hideMark/>
          </w:tcPr>
          <w:p w14:paraId="5BE02280" w14:textId="77777777" w:rsidR="000455F2" w:rsidRPr="00097BF7" w:rsidRDefault="000455F2" w:rsidP="00E96DD0">
            <w:pPr>
              <w:spacing w:before="60" w:after="60"/>
              <w:jc w:val="center"/>
              <w:rPr>
                <w:rFonts w:cs="Segoe UI"/>
                <w:b/>
                <w:sz w:val="18"/>
              </w:rPr>
            </w:pPr>
            <w:r w:rsidRPr="00097BF7">
              <w:rPr>
                <w:rFonts w:cs="Segoe UI"/>
                <w:b/>
                <w:sz w:val="18"/>
              </w:rPr>
              <w:t>Total seclusion hours</w:t>
            </w:r>
          </w:p>
        </w:tc>
        <w:tc>
          <w:tcPr>
            <w:tcW w:w="1323" w:type="pct"/>
            <w:tcBorders>
              <w:top w:val="nil"/>
              <w:left w:val="nil"/>
              <w:bottom w:val="nil"/>
              <w:right w:val="nil"/>
            </w:tcBorders>
            <w:shd w:val="clear" w:color="auto" w:fill="D9D9D9" w:themeFill="background1" w:themeFillShade="D9"/>
            <w:hideMark/>
          </w:tcPr>
          <w:p w14:paraId="40986D94" w14:textId="77777777" w:rsidR="000455F2" w:rsidRPr="00097BF7" w:rsidRDefault="000455F2" w:rsidP="00E96DD0">
            <w:pPr>
              <w:spacing w:before="60" w:after="60"/>
              <w:jc w:val="center"/>
              <w:rPr>
                <w:rFonts w:cs="Segoe UI"/>
                <w:b/>
                <w:sz w:val="18"/>
              </w:rPr>
            </w:pPr>
            <w:r w:rsidRPr="00097BF7">
              <w:rPr>
                <w:rFonts w:cs="Segoe UI"/>
                <w:b/>
                <w:sz w:val="18"/>
              </w:rPr>
              <w:t>Median length of seclusion events (hours: minutes)</w:t>
            </w:r>
          </w:p>
        </w:tc>
        <w:tc>
          <w:tcPr>
            <w:tcW w:w="1322" w:type="pct"/>
            <w:tcBorders>
              <w:top w:val="nil"/>
              <w:left w:val="nil"/>
              <w:bottom w:val="nil"/>
              <w:right w:val="nil"/>
            </w:tcBorders>
            <w:shd w:val="clear" w:color="auto" w:fill="D9D9D9" w:themeFill="background1" w:themeFillShade="D9"/>
            <w:hideMark/>
          </w:tcPr>
          <w:p w14:paraId="32B0A1E1" w14:textId="77777777" w:rsidR="000455F2" w:rsidRPr="00097BF7" w:rsidRDefault="000455F2" w:rsidP="00E96DD0">
            <w:pPr>
              <w:spacing w:before="60" w:after="60"/>
              <w:jc w:val="center"/>
              <w:rPr>
                <w:rFonts w:cs="Segoe UI"/>
                <w:b/>
                <w:sz w:val="18"/>
              </w:rPr>
            </w:pPr>
            <w:r w:rsidRPr="00097BF7">
              <w:rPr>
                <w:rFonts w:cs="Segoe UI"/>
                <w:b/>
                <w:sz w:val="18"/>
              </w:rPr>
              <w:t>Average length of seclusion events (hours: minutes)</w:t>
            </w:r>
          </w:p>
        </w:tc>
      </w:tr>
      <w:tr w:rsidR="000455F2" w:rsidRPr="00721E78" w14:paraId="42786A15" w14:textId="77777777" w:rsidTr="000455F2">
        <w:trPr>
          <w:cantSplit/>
          <w:trHeight w:val="300"/>
        </w:trPr>
        <w:tc>
          <w:tcPr>
            <w:tcW w:w="1192" w:type="pct"/>
            <w:tcBorders>
              <w:top w:val="nil"/>
              <w:left w:val="nil"/>
              <w:bottom w:val="nil"/>
              <w:right w:val="nil"/>
            </w:tcBorders>
            <w:hideMark/>
          </w:tcPr>
          <w:p w14:paraId="36671DB7" w14:textId="77777777" w:rsidR="000455F2" w:rsidRPr="00097BF7" w:rsidRDefault="000455F2" w:rsidP="00E96DD0">
            <w:pPr>
              <w:spacing w:before="60" w:after="60"/>
              <w:rPr>
                <w:rFonts w:cs="Segoe UI"/>
                <w:sz w:val="18"/>
              </w:rPr>
            </w:pPr>
            <w:r w:rsidRPr="00097BF7">
              <w:rPr>
                <w:rFonts w:cs="Segoe UI"/>
                <w:sz w:val="18"/>
              </w:rPr>
              <w:t>Intellectual Disability Care Act</w:t>
            </w:r>
          </w:p>
        </w:tc>
        <w:tc>
          <w:tcPr>
            <w:tcW w:w="1164" w:type="pct"/>
            <w:tcBorders>
              <w:top w:val="nil"/>
              <w:left w:val="nil"/>
              <w:bottom w:val="single" w:sz="4" w:space="0" w:color="A6A6A6" w:themeColor="background1" w:themeShade="A6"/>
              <w:right w:val="nil"/>
            </w:tcBorders>
            <w:hideMark/>
          </w:tcPr>
          <w:p w14:paraId="2CEBCA13" w14:textId="77777777" w:rsidR="000455F2" w:rsidRPr="00097BF7" w:rsidRDefault="000455F2" w:rsidP="00E96DD0">
            <w:pPr>
              <w:tabs>
                <w:tab w:val="decimal" w:pos="933"/>
              </w:tabs>
              <w:spacing w:before="60" w:after="60"/>
              <w:jc w:val="center"/>
              <w:rPr>
                <w:rFonts w:cs="Segoe UI"/>
                <w:sz w:val="18"/>
                <w:szCs w:val="18"/>
              </w:rPr>
            </w:pPr>
            <w:r w:rsidRPr="78A63064">
              <w:rPr>
                <w:rFonts w:cs="Segoe UI"/>
                <w:sz w:val="18"/>
                <w:szCs w:val="18"/>
              </w:rPr>
              <w:t>1,894.2</w:t>
            </w:r>
          </w:p>
        </w:tc>
        <w:tc>
          <w:tcPr>
            <w:tcW w:w="1323" w:type="pct"/>
            <w:tcBorders>
              <w:top w:val="nil"/>
              <w:left w:val="nil"/>
              <w:bottom w:val="single" w:sz="4" w:space="0" w:color="A6A6A6" w:themeColor="background1" w:themeShade="A6"/>
              <w:right w:val="nil"/>
            </w:tcBorders>
            <w:hideMark/>
          </w:tcPr>
          <w:p w14:paraId="6CB41783" w14:textId="77777777" w:rsidR="000455F2" w:rsidRPr="00097BF7" w:rsidRDefault="000455F2" w:rsidP="00E96DD0">
            <w:pPr>
              <w:tabs>
                <w:tab w:val="decimal" w:pos="934"/>
              </w:tabs>
              <w:spacing w:before="60" w:after="60"/>
              <w:jc w:val="center"/>
              <w:rPr>
                <w:rFonts w:cs="Segoe UI"/>
                <w:sz w:val="18"/>
                <w:szCs w:val="18"/>
              </w:rPr>
            </w:pPr>
            <w:r w:rsidRPr="78A63064">
              <w:rPr>
                <w:rFonts w:cs="Segoe UI"/>
                <w:sz w:val="18"/>
                <w:szCs w:val="18"/>
              </w:rPr>
              <w:t>5:0</w:t>
            </w:r>
          </w:p>
        </w:tc>
        <w:tc>
          <w:tcPr>
            <w:tcW w:w="1322" w:type="pct"/>
            <w:tcBorders>
              <w:top w:val="nil"/>
              <w:left w:val="nil"/>
              <w:bottom w:val="single" w:sz="4" w:space="0" w:color="A6A6A6" w:themeColor="background1" w:themeShade="A6"/>
              <w:right w:val="nil"/>
            </w:tcBorders>
            <w:hideMark/>
          </w:tcPr>
          <w:p w14:paraId="53F6E9E9" w14:textId="77777777" w:rsidR="000455F2" w:rsidRPr="00097BF7" w:rsidRDefault="000455F2" w:rsidP="00E96DD0">
            <w:pPr>
              <w:tabs>
                <w:tab w:val="decimal" w:pos="863"/>
              </w:tabs>
              <w:spacing w:before="60" w:after="60"/>
              <w:jc w:val="center"/>
              <w:rPr>
                <w:rFonts w:cs="Segoe UI"/>
                <w:sz w:val="18"/>
                <w:szCs w:val="18"/>
              </w:rPr>
            </w:pPr>
            <w:r w:rsidRPr="78A63064">
              <w:rPr>
                <w:rFonts w:cs="Segoe UI"/>
                <w:sz w:val="18"/>
                <w:szCs w:val="18"/>
              </w:rPr>
              <w:t>28:42</w:t>
            </w:r>
          </w:p>
        </w:tc>
      </w:tr>
      <w:tr w:rsidR="000455F2" w:rsidRPr="00721E78" w14:paraId="45C6C40E" w14:textId="77777777" w:rsidTr="000455F2">
        <w:trPr>
          <w:cantSplit/>
          <w:trHeight w:val="300"/>
        </w:trPr>
        <w:tc>
          <w:tcPr>
            <w:tcW w:w="1192" w:type="pct"/>
            <w:tcBorders>
              <w:top w:val="single" w:sz="4" w:space="0" w:color="A6A6A6" w:themeColor="background1" w:themeShade="A6"/>
              <w:left w:val="nil"/>
              <w:bottom w:val="single" w:sz="4" w:space="0" w:color="A6A6A6" w:themeColor="background1" w:themeShade="A6"/>
              <w:right w:val="nil"/>
            </w:tcBorders>
            <w:hideMark/>
          </w:tcPr>
          <w:p w14:paraId="208A8AB0" w14:textId="77777777" w:rsidR="000455F2" w:rsidRPr="00097BF7" w:rsidRDefault="000455F2" w:rsidP="00E96DD0">
            <w:pPr>
              <w:spacing w:before="60" w:after="60"/>
              <w:rPr>
                <w:rFonts w:cs="Segoe UI"/>
                <w:sz w:val="18"/>
              </w:rPr>
            </w:pPr>
            <w:r w:rsidRPr="00097BF7">
              <w:rPr>
                <w:rFonts w:cs="Segoe UI"/>
                <w:sz w:val="18"/>
              </w:rPr>
              <w:t>Mental Health Act</w:t>
            </w:r>
          </w:p>
        </w:tc>
        <w:tc>
          <w:tcPr>
            <w:tcW w:w="1164" w:type="pct"/>
            <w:tcBorders>
              <w:top w:val="single" w:sz="4" w:space="0" w:color="A6A6A6" w:themeColor="background1" w:themeShade="A6"/>
              <w:left w:val="nil"/>
              <w:bottom w:val="single" w:sz="4" w:space="0" w:color="A6A6A6" w:themeColor="background1" w:themeShade="A6"/>
              <w:right w:val="nil"/>
            </w:tcBorders>
            <w:hideMark/>
          </w:tcPr>
          <w:p w14:paraId="7DF73A5B" w14:textId="77777777" w:rsidR="000455F2" w:rsidRPr="00097BF7" w:rsidRDefault="000455F2" w:rsidP="00E96DD0">
            <w:pPr>
              <w:tabs>
                <w:tab w:val="decimal" w:pos="933"/>
              </w:tabs>
              <w:spacing w:before="60" w:after="60"/>
              <w:jc w:val="center"/>
              <w:rPr>
                <w:rFonts w:cs="Segoe UI"/>
                <w:sz w:val="18"/>
                <w:szCs w:val="18"/>
              </w:rPr>
            </w:pPr>
            <w:r w:rsidRPr="78A63064">
              <w:rPr>
                <w:rFonts w:cs="Segoe UI"/>
                <w:sz w:val="18"/>
                <w:szCs w:val="18"/>
              </w:rPr>
              <w:t>1,211.4</w:t>
            </w:r>
          </w:p>
        </w:tc>
        <w:tc>
          <w:tcPr>
            <w:tcW w:w="1323" w:type="pct"/>
            <w:tcBorders>
              <w:top w:val="single" w:sz="4" w:space="0" w:color="A6A6A6" w:themeColor="background1" w:themeShade="A6"/>
              <w:left w:val="nil"/>
              <w:bottom w:val="single" w:sz="4" w:space="0" w:color="A6A6A6" w:themeColor="background1" w:themeShade="A6"/>
              <w:right w:val="nil"/>
            </w:tcBorders>
            <w:hideMark/>
          </w:tcPr>
          <w:p w14:paraId="1086ACA6" w14:textId="77777777" w:rsidR="000455F2" w:rsidRPr="00097BF7" w:rsidRDefault="000455F2" w:rsidP="00E96DD0">
            <w:pPr>
              <w:tabs>
                <w:tab w:val="decimal" w:pos="934"/>
              </w:tabs>
              <w:spacing w:before="60" w:after="60"/>
              <w:jc w:val="center"/>
              <w:rPr>
                <w:rFonts w:cs="Segoe UI"/>
                <w:sz w:val="18"/>
                <w:szCs w:val="18"/>
              </w:rPr>
            </w:pPr>
            <w:r w:rsidRPr="78A63064">
              <w:rPr>
                <w:rFonts w:cs="Segoe UI"/>
                <w:sz w:val="18"/>
                <w:szCs w:val="18"/>
              </w:rPr>
              <w:t>4:25</w:t>
            </w:r>
          </w:p>
        </w:tc>
        <w:tc>
          <w:tcPr>
            <w:tcW w:w="1322" w:type="pct"/>
            <w:tcBorders>
              <w:top w:val="single" w:sz="4" w:space="0" w:color="A6A6A6" w:themeColor="background1" w:themeShade="A6"/>
              <w:left w:val="nil"/>
              <w:bottom w:val="single" w:sz="4" w:space="0" w:color="A6A6A6" w:themeColor="background1" w:themeShade="A6"/>
              <w:right w:val="nil"/>
            </w:tcBorders>
            <w:hideMark/>
          </w:tcPr>
          <w:p w14:paraId="199A0BE3" w14:textId="77777777" w:rsidR="000455F2" w:rsidRPr="00097BF7" w:rsidRDefault="000455F2" w:rsidP="00E96DD0">
            <w:pPr>
              <w:tabs>
                <w:tab w:val="decimal" w:pos="863"/>
              </w:tabs>
              <w:spacing w:before="60" w:after="60"/>
              <w:jc w:val="center"/>
              <w:rPr>
                <w:rFonts w:cs="Segoe UI"/>
                <w:sz w:val="18"/>
                <w:szCs w:val="18"/>
              </w:rPr>
            </w:pPr>
            <w:r w:rsidRPr="78A63064">
              <w:rPr>
                <w:rFonts w:cs="Segoe UI"/>
                <w:sz w:val="18"/>
                <w:szCs w:val="18"/>
              </w:rPr>
              <w:t>41:46</w:t>
            </w:r>
          </w:p>
        </w:tc>
      </w:tr>
    </w:tbl>
    <w:p w14:paraId="755C1696" w14:textId="77777777" w:rsidR="000455F2" w:rsidRPr="00097BF7" w:rsidRDefault="000455F2" w:rsidP="000455F2">
      <w:pPr>
        <w:spacing w:before="80"/>
        <w:rPr>
          <w:rFonts w:cs="Segoe UI"/>
          <w:sz w:val="17"/>
        </w:rPr>
      </w:pPr>
      <w:r w:rsidRPr="00097BF7">
        <w:rPr>
          <w:rFonts w:cs="Segoe UI"/>
          <w:sz w:val="17"/>
        </w:rPr>
        <w:t>Source: PRIMHD data (extracted 28 February 2024).</w:t>
      </w:r>
    </w:p>
    <w:p w14:paraId="68DB7FF6" w14:textId="77777777" w:rsidR="000455F2" w:rsidRPr="00501296" w:rsidRDefault="000455F2" w:rsidP="000455F2">
      <w:pPr>
        <w:rPr>
          <w:rFonts w:cs="Segoe UI"/>
          <w:highlight w:val="yellow"/>
        </w:rPr>
      </w:pPr>
    </w:p>
    <w:p w14:paraId="19CB89A1" w14:textId="09E28D4A" w:rsidR="000455F2" w:rsidRPr="00097BF7" w:rsidRDefault="000455F2" w:rsidP="000455F2">
      <w:pPr>
        <w:pStyle w:val="Table"/>
      </w:pPr>
      <w:bookmarkStart w:id="521" w:name="_Ref141108883"/>
      <w:bookmarkStart w:id="522" w:name="_Toc87430009"/>
      <w:bookmarkStart w:id="523" w:name="_Toc88561366"/>
      <w:bookmarkStart w:id="524" w:name="_Toc115188901"/>
      <w:bookmarkStart w:id="525" w:name="_Toc142314762"/>
      <w:bookmarkStart w:id="526" w:name="_Toc145394325"/>
      <w:bookmarkStart w:id="527" w:name="_Toc189054003"/>
      <w:bookmarkStart w:id="528" w:name="_Toc189647988"/>
      <w:r w:rsidRPr="00097BF7">
        <w:t>Table </w:t>
      </w:r>
      <w:r w:rsidRPr="00097BF7">
        <w:fldChar w:fldCharType="begin"/>
      </w:r>
      <w:r w:rsidRPr="00097BF7">
        <w:instrText>SEQ Table \* ARABIC</w:instrText>
      </w:r>
      <w:r w:rsidRPr="00097BF7">
        <w:fldChar w:fldCharType="separate"/>
      </w:r>
      <w:r w:rsidR="00753BC8">
        <w:rPr>
          <w:noProof/>
        </w:rPr>
        <w:t>12</w:t>
      </w:r>
      <w:r w:rsidRPr="00097BF7">
        <w:fldChar w:fldCharType="end"/>
      </w:r>
      <w:bookmarkEnd w:id="521"/>
      <w:r w:rsidRPr="00097BF7">
        <w:t xml:space="preserve">: Seclusion indicators for Māori and non-Māori with intellectual disabilities, </w:t>
      </w:r>
      <w:r>
        <w:t xml:space="preserve">nationally, </w:t>
      </w:r>
      <w:r w:rsidRPr="00097BF7">
        <w:t>1 J</w:t>
      </w:r>
      <w:bookmarkEnd w:id="522"/>
      <w:bookmarkEnd w:id="523"/>
      <w:r w:rsidRPr="00097BF7">
        <w:t xml:space="preserve">uly 2022 to 30 June </w:t>
      </w:r>
      <w:bookmarkEnd w:id="524"/>
      <w:bookmarkEnd w:id="525"/>
      <w:bookmarkEnd w:id="526"/>
      <w:r w:rsidRPr="00097BF7">
        <w:t>2023</w:t>
      </w:r>
      <w:bookmarkEnd w:id="527"/>
      <w:bookmarkEnd w:id="528"/>
    </w:p>
    <w:tbl>
      <w:tblPr>
        <w:tblW w:w="4965" w:type="pct"/>
        <w:tblInd w:w="57" w:type="dxa"/>
        <w:tblBorders>
          <w:top w:val="single" w:sz="4" w:space="0" w:color="A6A6A6" w:themeColor="background1" w:themeShade="A6"/>
          <w:bottom w:val="single" w:sz="4" w:space="0" w:color="A6A6A6" w:themeColor="background1" w:themeShade="A6"/>
          <w:insideH w:val="single" w:sz="4" w:space="0" w:color="A6A6A6" w:themeColor="background1" w:themeShade="A6"/>
        </w:tblBorders>
        <w:tblCellMar>
          <w:left w:w="57" w:type="dxa"/>
          <w:right w:w="57" w:type="dxa"/>
        </w:tblCellMar>
        <w:tblLook w:val="0460" w:firstRow="1" w:lastRow="1" w:firstColumn="0" w:lastColumn="0" w:noHBand="0" w:noVBand="1"/>
      </w:tblPr>
      <w:tblGrid>
        <w:gridCol w:w="1602"/>
        <w:gridCol w:w="1605"/>
        <w:gridCol w:w="1605"/>
        <w:gridCol w:w="1604"/>
        <w:gridCol w:w="1606"/>
      </w:tblGrid>
      <w:tr w:rsidR="000455F2" w:rsidRPr="00721E78" w14:paraId="647A97DD" w14:textId="77777777" w:rsidTr="000455F2">
        <w:trPr>
          <w:cantSplit/>
          <w:trHeight w:val="855"/>
        </w:trPr>
        <w:tc>
          <w:tcPr>
            <w:tcW w:w="998" w:type="pct"/>
            <w:tcBorders>
              <w:top w:val="nil"/>
              <w:left w:val="nil"/>
              <w:bottom w:val="nil"/>
              <w:right w:val="nil"/>
            </w:tcBorders>
            <w:shd w:val="clear" w:color="auto" w:fill="D9D9D9" w:themeFill="background1" w:themeFillShade="D9"/>
            <w:hideMark/>
          </w:tcPr>
          <w:p w14:paraId="306BA986" w14:textId="77777777" w:rsidR="000455F2" w:rsidRPr="00097BF7" w:rsidRDefault="000455F2" w:rsidP="00E96DD0">
            <w:pPr>
              <w:spacing w:before="60" w:after="60"/>
              <w:rPr>
                <w:rFonts w:cs="Segoe UI"/>
                <w:b/>
                <w:sz w:val="18"/>
              </w:rPr>
            </w:pPr>
            <w:r w:rsidRPr="00097BF7">
              <w:rPr>
                <w:rFonts w:cs="Segoe UI"/>
                <w:b/>
                <w:sz w:val="18"/>
              </w:rPr>
              <w:t>Act</w:t>
            </w:r>
          </w:p>
        </w:tc>
        <w:tc>
          <w:tcPr>
            <w:tcW w:w="1000" w:type="pct"/>
            <w:tcBorders>
              <w:top w:val="nil"/>
              <w:left w:val="nil"/>
              <w:bottom w:val="nil"/>
              <w:right w:val="nil"/>
            </w:tcBorders>
            <w:shd w:val="clear" w:color="auto" w:fill="D9D9D9" w:themeFill="background1" w:themeFillShade="D9"/>
            <w:hideMark/>
          </w:tcPr>
          <w:p w14:paraId="2D5350D3" w14:textId="77777777" w:rsidR="000455F2" w:rsidRPr="00097BF7" w:rsidRDefault="000455F2" w:rsidP="00E96DD0">
            <w:pPr>
              <w:spacing w:before="60" w:after="60"/>
              <w:rPr>
                <w:rFonts w:cs="Segoe UI"/>
                <w:b/>
                <w:sz w:val="18"/>
              </w:rPr>
            </w:pPr>
            <w:r w:rsidRPr="00097BF7">
              <w:rPr>
                <w:rFonts w:cs="Segoe UI"/>
                <w:b/>
                <w:sz w:val="18"/>
              </w:rPr>
              <w:t>Ethnicity</w:t>
            </w:r>
          </w:p>
        </w:tc>
        <w:tc>
          <w:tcPr>
            <w:tcW w:w="1000" w:type="pct"/>
            <w:tcBorders>
              <w:top w:val="nil"/>
              <w:left w:val="nil"/>
              <w:bottom w:val="nil"/>
              <w:right w:val="nil"/>
            </w:tcBorders>
            <w:shd w:val="clear" w:color="auto" w:fill="D9D9D9" w:themeFill="background1" w:themeFillShade="D9"/>
            <w:hideMark/>
          </w:tcPr>
          <w:p w14:paraId="70506BA4" w14:textId="77777777" w:rsidR="000455F2" w:rsidRPr="00097BF7" w:rsidRDefault="000455F2" w:rsidP="00E96DD0">
            <w:pPr>
              <w:spacing w:before="60" w:after="60"/>
              <w:jc w:val="center"/>
              <w:rPr>
                <w:rFonts w:cs="Segoe UI"/>
                <w:b/>
                <w:sz w:val="18"/>
              </w:rPr>
            </w:pPr>
            <w:r w:rsidRPr="00097BF7">
              <w:rPr>
                <w:rFonts w:cs="Segoe UI"/>
                <w:b/>
                <w:sz w:val="18"/>
              </w:rPr>
              <w:t>People secluded per 100,000 population</w:t>
            </w:r>
          </w:p>
        </w:tc>
        <w:tc>
          <w:tcPr>
            <w:tcW w:w="1000" w:type="pct"/>
            <w:tcBorders>
              <w:top w:val="nil"/>
              <w:left w:val="nil"/>
              <w:bottom w:val="nil"/>
              <w:right w:val="nil"/>
            </w:tcBorders>
            <w:shd w:val="clear" w:color="auto" w:fill="D9D9D9" w:themeFill="background1" w:themeFillShade="D9"/>
            <w:hideMark/>
          </w:tcPr>
          <w:p w14:paraId="583E6D3C" w14:textId="77777777" w:rsidR="000455F2" w:rsidRPr="00097BF7" w:rsidRDefault="000455F2" w:rsidP="00E96DD0">
            <w:pPr>
              <w:spacing w:before="60" w:after="60"/>
              <w:jc w:val="center"/>
              <w:rPr>
                <w:rFonts w:cs="Segoe UI"/>
                <w:b/>
                <w:sz w:val="18"/>
              </w:rPr>
            </w:pPr>
            <w:r w:rsidRPr="00097BF7">
              <w:rPr>
                <w:rFonts w:cs="Segoe UI"/>
                <w:b/>
                <w:sz w:val="18"/>
              </w:rPr>
              <w:t>Seclusion events per 100,000 population</w:t>
            </w:r>
          </w:p>
        </w:tc>
        <w:tc>
          <w:tcPr>
            <w:tcW w:w="1001" w:type="pct"/>
            <w:tcBorders>
              <w:top w:val="nil"/>
              <w:left w:val="nil"/>
              <w:bottom w:val="nil"/>
              <w:right w:val="nil"/>
            </w:tcBorders>
            <w:shd w:val="clear" w:color="auto" w:fill="D9D9D9" w:themeFill="background1" w:themeFillShade="D9"/>
            <w:hideMark/>
          </w:tcPr>
          <w:p w14:paraId="6DF17DF8" w14:textId="77777777" w:rsidR="000455F2" w:rsidRPr="00097BF7" w:rsidRDefault="000455F2" w:rsidP="00E96DD0">
            <w:pPr>
              <w:spacing w:before="60" w:after="60"/>
              <w:jc w:val="center"/>
              <w:rPr>
                <w:rFonts w:cs="Segoe UI"/>
                <w:b/>
                <w:sz w:val="18"/>
              </w:rPr>
            </w:pPr>
            <w:r w:rsidRPr="00097BF7">
              <w:rPr>
                <w:rFonts w:cs="Segoe UI"/>
                <w:b/>
                <w:sz w:val="18"/>
              </w:rPr>
              <w:t>Average events per person</w:t>
            </w:r>
          </w:p>
        </w:tc>
      </w:tr>
      <w:tr w:rsidR="000455F2" w:rsidRPr="00721E78" w14:paraId="7DE6F416" w14:textId="77777777" w:rsidTr="000455F2">
        <w:trPr>
          <w:cantSplit/>
          <w:trHeight w:val="366"/>
        </w:trPr>
        <w:tc>
          <w:tcPr>
            <w:tcW w:w="998" w:type="pct"/>
            <w:vMerge w:val="restart"/>
            <w:tcBorders>
              <w:top w:val="nil"/>
              <w:left w:val="nil"/>
              <w:bottom w:val="single" w:sz="4" w:space="0" w:color="A6A6A6" w:themeColor="background1" w:themeShade="A6"/>
              <w:right w:val="nil"/>
            </w:tcBorders>
            <w:vAlign w:val="center"/>
            <w:hideMark/>
          </w:tcPr>
          <w:p w14:paraId="4E20F464" w14:textId="77777777" w:rsidR="000455F2" w:rsidRPr="00097BF7" w:rsidRDefault="000455F2" w:rsidP="00E96DD0">
            <w:pPr>
              <w:spacing w:before="60" w:after="60"/>
              <w:rPr>
                <w:rFonts w:cs="Segoe UI"/>
                <w:sz w:val="18"/>
              </w:rPr>
            </w:pPr>
            <w:r w:rsidRPr="00097BF7">
              <w:rPr>
                <w:rFonts w:cs="Segoe UI"/>
                <w:sz w:val="18"/>
              </w:rPr>
              <w:t>Intellectual Disability Care Act</w:t>
            </w:r>
          </w:p>
        </w:tc>
        <w:tc>
          <w:tcPr>
            <w:tcW w:w="1000" w:type="pct"/>
            <w:tcBorders>
              <w:top w:val="nil"/>
              <w:left w:val="nil"/>
              <w:bottom w:val="single" w:sz="4" w:space="0" w:color="A6A6A6" w:themeColor="background1" w:themeShade="A6"/>
              <w:right w:val="nil"/>
            </w:tcBorders>
            <w:vAlign w:val="center"/>
            <w:hideMark/>
          </w:tcPr>
          <w:p w14:paraId="614C8AE0" w14:textId="77777777" w:rsidR="000455F2" w:rsidRPr="00097BF7" w:rsidRDefault="000455F2" w:rsidP="00E96DD0">
            <w:pPr>
              <w:spacing w:before="60" w:after="60"/>
              <w:rPr>
                <w:rFonts w:cs="Segoe UI"/>
                <w:sz w:val="18"/>
              </w:rPr>
            </w:pPr>
            <w:r w:rsidRPr="00097BF7">
              <w:rPr>
                <w:rFonts w:cs="Segoe UI"/>
                <w:sz w:val="18"/>
              </w:rPr>
              <w:t>Māori</w:t>
            </w:r>
          </w:p>
        </w:tc>
        <w:tc>
          <w:tcPr>
            <w:tcW w:w="1000" w:type="pct"/>
            <w:tcBorders>
              <w:top w:val="nil"/>
              <w:left w:val="nil"/>
              <w:bottom w:val="single" w:sz="4" w:space="0" w:color="A6A6A6" w:themeColor="background1" w:themeShade="A6"/>
              <w:right w:val="nil"/>
            </w:tcBorders>
            <w:hideMark/>
          </w:tcPr>
          <w:p w14:paraId="50789874" w14:textId="77777777" w:rsidR="000455F2" w:rsidRPr="00097BF7" w:rsidRDefault="000455F2" w:rsidP="00E96DD0">
            <w:pPr>
              <w:tabs>
                <w:tab w:val="decimal" w:pos="851"/>
              </w:tabs>
              <w:spacing w:before="60" w:after="60"/>
              <w:jc w:val="center"/>
              <w:rPr>
                <w:rFonts w:cs="Segoe UI"/>
                <w:sz w:val="18"/>
                <w:szCs w:val="18"/>
              </w:rPr>
            </w:pPr>
            <w:r w:rsidRPr="78A63064">
              <w:rPr>
                <w:rFonts w:cs="Segoe UI"/>
                <w:sz w:val="18"/>
                <w:szCs w:val="18"/>
              </w:rPr>
              <w:t>0.8</w:t>
            </w:r>
          </w:p>
        </w:tc>
        <w:tc>
          <w:tcPr>
            <w:tcW w:w="1000" w:type="pct"/>
            <w:tcBorders>
              <w:top w:val="nil"/>
              <w:left w:val="nil"/>
              <w:bottom w:val="single" w:sz="4" w:space="0" w:color="A6A6A6" w:themeColor="background1" w:themeShade="A6"/>
              <w:right w:val="nil"/>
            </w:tcBorders>
            <w:hideMark/>
          </w:tcPr>
          <w:p w14:paraId="3D7D7541" w14:textId="77777777" w:rsidR="000455F2" w:rsidRPr="00097BF7" w:rsidRDefault="000455F2" w:rsidP="00E96DD0">
            <w:pPr>
              <w:tabs>
                <w:tab w:val="decimal" w:pos="761"/>
              </w:tabs>
              <w:spacing w:before="60" w:after="60"/>
              <w:jc w:val="center"/>
              <w:rPr>
                <w:rFonts w:cs="Segoe UI"/>
                <w:sz w:val="18"/>
                <w:szCs w:val="18"/>
              </w:rPr>
            </w:pPr>
            <w:r w:rsidRPr="78A63064">
              <w:rPr>
                <w:rFonts w:cs="Segoe UI"/>
                <w:sz w:val="18"/>
                <w:szCs w:val="18"/>
              </w:rPr>
              <w:t>1.4</w:t>
            </w:r>
          </w:p>
        </w:tc>
        <w:tc>
          <w:tcPr>
            <w:tcW w:w="1001" w:type="pct"/>
            <w:tcBorders>
              <w:top w:val="nil"/>
              <w:left w:val="nil"/>
              <w:bottom w:val="single" w:sz="4" w:space="0" w:color="A6A6A6" w:themeColor="background1" w:themeShade="A6"/>
              <w:right w:val="nil"/>
            </w:tcBorders>
            <w:hideMark/>
          </w:tcPr>
          <w:p w14:paraId="110813A9" w14:textId="77777777" w:rsidR="000455F2" w:rsidRPr="00097BF7" w:rsidRDefault="000455F2" w:rsidP="00E96DD0">
            <w:pPr>
              <w:tabs>
                <w:tab w:val="decimal" w:pos="740"/>
              </w:tabs>
              <w:spacing w:before="60" w:after="60"/>
              <w:jc w:val="center"/>
              <w:rPr>
                <w:rFonts w:eastAsia="Calibri" w:cs="Segoe UI"/>
                <w:sz w:val="18"/>
                <w:szCs w:val="18"/>
              </w:rPr>
            </w:pPr>
            <w:r w:rsidRPr="78A63064">
              <w:rPr>
                <w:rFonts w:cs="Segoe UI"/>
                <w:sz w:val="18"/>
                <w:szCs w:val="18"/>
              </w:rPr>
              <w:t>1.9</w:t>
            </w:r>
          </w:p>
        </w:tc>
      </w:tr>
      <w:tr w:rsidR="000455F2" w:rsidRPr="00721E78" w14:paraId="4FDB975C" w14:textId="77777777" w:rsidTr="000455F2">
        <w:trPr>
          <w:cantSplit/>
          <w:trHeight w:val="488"/>
        </w:trPr>
        <w:tc>
          <w:tcPr>
            <w:tcW w:w="998" w:type="pct"/>
            <w:vMerge/>
            <w:vAlign w:val="center"/>
            <w:hideMark/>
          </w:tcPr>
          <w:p w14:paraId="202EEAF4" w14:textId="77777777" w:rsidR="000455F2" w:rsidRPr="00097BF7" w:rsidRDefault="000455F2" w:rsidP="00E96DD0">
            <w:pPr>
              <w:rPr>
                <w:rFonts w:cs="Segoe UI"/>
                <w:sz w:val="18"/>
              </w:rPr>
            </w:pPr>
          </w:p>
        </w:tc>
        <w:tc>
          <w:tcPr>
            <w:tcW w:w="1000" w:type="pct"/>
            <w:tcBorders>
              <w:top w:val="nil"/>
              <w:left w:val="nil"/>
              <w:bottom w:val="single" w:sz="4" w:space="0" w:color="A6A6A6" w:themeColor="background1" w:themeShade="A6"/>
              <w:right w:val="nil"/>
            </w:tcBorders>
            <w:vAlign w:val="center"/>
            <w:hideMark/>
          </w:tcPr>
          <w:p w14:paraId="42F848F7" w14:textId="77777777" w:rsidR="000455F2" w:rsidRPr="00097BF7" w:rsidRDefault="000455F2" w:rsidP="00E96DD0">
            <w:pPr>
              <w:spacing w:before="60" w:after="60"/>
              <w:rPr>
                <w:rFonts w:cs="Segoe UI"/>
                <w:sz w:val="18"/>
              </w:rPr>
            </w:pPr>
            <w:r w:rsidRPr="00097BF7">
              <w:rPr>
                <w:rFonts w:cs="Segoe UI"/>
                <w:sz w:val="18"/>
              </w:rPr>
              <w:t>Non-Māori</w:t>
            </w:r>
          </w:p>
        </w:tc>
        <w:tc>
          <w:tcPr>
            <w:tcW w:w="1000" w:type="pct"/>
            <w:tcBorders>
              <w:top w:val="nil"/>
              <w:left w:val="nil"/>
              <w:bottom w:val="single" w:sz="4" w:space="0" w:color="A6A6A6" w:themeColor="background1" w:themeShade="A6"/>
              <w:right w:val="nil"/>
            </w:tcBorders>
            <w:hideMark/>
          </w:tcPr>
          <w:p w14:paraId="4A13F9A8" w14:textId="77777777" w:rsidR="000455F2" w:rsidRPr="00097BF7" w:rsidRDefault="000455F2" w:rsidP="00E96DD0">
            <w:pPr>
              <w:tabs>
                <w:tab w:val="decimal" w:pos="851"/>
              </w:tabs>
              <w:spacing w:before="60" w:after="60"/>
              <w:jc w:val="center"/>
              <w:rPr>
                <w:rFonts w:cs="Segoe UI"/>
                <w:sz w:val="18"/>
                <w:szCs w:val="18"/>
              </w:rPr>
            </w:pPr>
            <w:r w:rsidRPr="78A63064">
              <w:rPr>
                <w:rFonts w:cs="Segoe UI"/>
                <w:sz w:val="18"/>
                <w:szCs w:val="18"/>
              </w:rPr>
              <w:t>0.3</w:t>
            </w:r>
          </w:p>
        </w:tc>
        <w:tc>
          <w:tcPr>
            <w:tcW w:w="1000" w:type="pct"/>
            <w:tcBorders>
              <w:top w:val="nil"/>
              <w:left w:val="nil"/>
              <w:bottom w:val="single" w:sz="4" w:space="0" w:color="A6A6A6" w:themeColor="background1" w:themeShade="A6"/>
              <w:right w:val="nil"/>
            </w:tcBorders>
            <w:hideMark/>
          </w:tcPr>
          <w:p w14:paraId="7B5D7845" w14:textId="77777777" w:rsidR="000455F2" w:rsidRPr="00097BF7" w:rsidRDefault="000455F2" w:rsidP="00E96DD0">
            <w:pPr>
              <w:tabs>
                <w:tab w:val="decimal" w:pos="761"/>
              </w:tabs>
              <w:spacing w:before="60" w:after="60"/>
              <w:jc w:val="center"/>
              <w:rPr>
                <w:rFonts w:cs="Segoe UI"/>
                <w:sz w:val="18"/>
                <w:szCs w:val="18"/>
              </w:rPr>
            </w:pPr>
            <w:r w:rsidRPr="78A63064">
              <w:rPr>
                <w:rFonts w:cs="Segoe UI"/>
                <w:sz w:val="18"/>
                <w:szCs w:val="18"/>
              </w:rPr>
              <w:t>1.2</w:t>
            </w:r>
          </w:p>
        </w:tc>
        <w:tc>
          <w:tcPr>
            <w:tcW w:w="1001" w:type="pct"/>
            <w:tcBorders>
              <w:top w:val="nil"/>
              <w:left w:val="nil"/>
              <w:bottom w:val="single" w:sz="4" w:space="0" w:color="A6A6A6" w:themeColor="background1" w:themeShade="A6"/>
              <w:right w:val="nil"/>
            </w:tcBorders>
            <w:hideMark/>
          </w:tcPr>
          <w:p w14:paraId="4BDBF1E4" w14:textId="77777777" w:rsidR="000455F2" w:rsidRPr="00097BF7" w:rsidRDefault="000455F2" w:rsidP="00E96DD0">
            <w:pPr>
              <w:tabs>
                <w:tab w:val="decimal" w:pos="740"/>
              </w:tabs>
              <w:spacing w:before="60" w:after="60"/>
              <w:jc w:val="center"/>
              <w:rPr>
                <w:rFonts w:eastAsia="Calibri" w:cs="Segoe UI"/>
                <w:sz w:val="18"/>
                <w:szCs w:val="18"/>
              </w:rPr>
            </w:pPr>
            <w:r w:rsidRPr="78A63064">
              <w:rPr>
                <w:rFonts w:cs="Segoe UI"/>
                <w:sz w:val="18"/>
                <w:szCs w:val="18"/>
              </w:rPr>
              <w:t>4.8</w:t>
            </w:r>
          </w:p>
        </w:tc>
      </w:tr>
      <w:tr w:rsidR="000455F2" w:rsidRPr="00721E78" w14:paraId="5AA21D8E" w14:textId="77777777" w:rsidTr="000455F2">
        <w:trPr>
          <w:cantSplit/>
          <w:trHeight w:val="351"/>
        </w:trPr>
        <w:tc>
          <w:tcPr>
            <w:tcW w:w="998" w:type="pct"/>
            <w:vMerge w:val="restart"/>
            <w:tcBorders>
              <w:top w:val="single" w:sz="4" w:space="0" w:color="A6A6A6" w:themeColor="background1" w:themeShade="A6"/>
              <w:left w:val="nil"/>
              <w:bottom w:val="single" w:sz="4" w:space="0" w:color="A6A6A6" w:themeColor="background1" w:themeShade="A6"/>
              <w:right w:val="nil"/>
            </w:tcBorders>
            <w:vAlign w:val="center"/>
            <w:hideMark/>
          </w:tcPr>
          <w:p w14:paraId="364A94F7" w14:textId="77777777" w:rsidR="000455F2" w:rsidRPr="00097BF7" w:rsidRDefault="000455F2" w:rsidP="00E96DD0">
            <w:pPr>
              <w:spacing w:before="60" w:after="60"/>
              <w:rPr>
                <w:rFonts w:cs="Segoe UI"/>
                <w:sz w:val="18"/>
              </w:rPr>
            </w:pPr>
            <w:r w:rsidRPr="00097BF7">
              <w:rPr>
                <w:rFonts w:cs="Segoe UI"/>
                <w:sz w:val="18"/>
              </w:rPr>
              <w:t>Mental Health Act</w:t>
            </w:r>
          </w:p>
        </w:tc>
        <w:tc>
          <w:tcPr>
            <w:tcW w:w="1000" w:type="pct"/>
            <w:tcBorders>
              <w:top w:val="single" w:sz="4" w:space="0" w:color="A6A6A6" w:themeColor="background1" w:themeShade="A6"/>
              <w:left w:val="nil"/>
              <w:bottom w:val="single" w:sz="4" w:space="0" w:color="A6A6A6" w:themeColor="background1" w:themeShade="A6"/>
              <w:right w:val="nil"/>
            </w:tcBorders>
            <w:vAlign w:val="center"/>
            <w:hideMark/>
          </w:tcPr>
          <w:p w14:paraId="66419AD3" w14:textId="77777777" w:rsidR="000455F2" w:rsidRPr="00097BF7" w:rsidRDefault="000455F2" w:rsidP="00E96DD0">
            <w:pPr>
              <w:spacing w:before="60" w:after="60"/>
              <w:rPr>
                <w:rFonts w:cs="Segoe UI"/>
                <w:sz w:val="18"/>
              </w:rPr>
            </w:pPr>
            <w:r w:rsidRPr="00097BF7">
              <w:rPr>
                <w:rFonts w:cs="Segoe UI"/>
                <w:sz w:val="18"/>
              </w:rPr>
              <w:t>Māori</w:t>
            </w:r>
          </w:p>
        </w:tc>
        <w:tc>
          <w:tcPr>
            <w:tcW w:w="1000" w:type="pct"/>
            <w:tcBorders>
              <w:top w:val="single" w:sz="4" w:space="0" w:color="A6A6A6" w:themeColor="background1" w:themeShade="A6"/>
              <w:left w:val="nil"/>
              <w:bottom w:val="single" w:sz="4" w:space="0" w:color="A6A6A6" w:themeColor="background1" w:themeShade="A6"/>
              <w:right w:val="nil"/>
            </w:tcBorders>
            <w:hideMark/>
          </w:tcPr>
          <w:p w14:paraId="7DDD7B59" w14:textId="77777777" w:rsidR="000455F2" w:rsidRPr="00097BF7" w:rsidRDefault="000455F2" w:rsidP="00E96DD0">
            <w:pPr>
              <w:tabs>
                <w:tab w:val="decimal" w:pos="851"/>
              </w:tabs>
              <w:spacing w:before="60" w:after="60"/>
              <w:jc w:val="center"/>
              <w:rPr>
                <w:rFonts w:cs="Segoe UI"/>
                <w:sz w:val="18"/>
                <w:szCs w:val="18"/>
              </w:rPr>
            </w:pPr>
            <w:r w:rsidRPr="78A63064">
              <w:rPr>
                <w:rFonts w:cs="Segoe UI"/>
                <w:sz w:val="18"/>
                <w:szCs w:val="18"/>
              </w:rPr>
              <w:t>0.2</w:t>
            </w:r>
          </w:p>
        </w:tc>
        <w:tc>
          <w:tcPr>
            <w:tcW w:w="1000" w:type="pct"/>
            <w:tcBorders>
              <w:top w:val="single" w:sz="4" w:space="0" w:color="A6A6A6" w:themeColor="background1" w:themeShade="A6"/>
              <w:left w:val="nil"/>
              <w:bottom w:val="single" w:sz="4" w:space="0" w:color="A6A6A6" w:themeColor="background1" w:themeShade="A6"/>
              <w:right w:val="nil"/>
            </w:tcBorders>
            <w:hideMark/>
          </w:tcPr>
          <w:p w14:paraId="34D1F859" w14:textId="77777777" w:rsidR="000455F2" w:rsidRPr="00097BF7" w:rsidRDefault="000455F2" w:rsidP="00E96DD0">
            <w:pPr>
              <w:tabs>
                <w:tab w:val="decimal" w:pos="761"/>
              </w:tabs>
              <w:spacing w:before="60" w:after="60"/>
              <w:jc w:val="center"/>
              <w:rPr>
                <w:rFonts w:cs="Segoe UI"/>
                <w:sz w:val="18"/>
                <w:szCs w:val="18"/>
              </w:rPr>
            </w:pPr>
            <w:r w:rsidRPr="78A63064">
              <w:rPr>
                <w:rFonts w:cs="Segoe UI"/>
                <w:sz w:val="18"/>
                <w:szCs w:val="18"/>
              </w:rPr>
              <w:t>0.8</w:t>
            </w:r>
          </w:p>
        </w:tc>
        <w:tc>
          <w:tcPr>
            <w:tcW w:w="1001" w:type="pct"/>
            <w:tcBorders>
              <w:top w:val="single" w:sz="4" w:space="0" w:color="A6A6A6" w:themeColor="background1" w:themeShade="A6"/>
              <w:left w:val="nil"/>
              <w:bottom w:val="single" w:sz="4" w:space="0" w:color="A6A6A6" w:themeColor="background1" w:themeShade="A6"/>
              <w:right w:val="nil"/>
            </w:tcBorders>
            <w:hideMark/>
          </w:tcPr>
          <w:p w14:paraId="76314146" w14:textId="77777777" w:rsidR="000455F2" w:rsidRPr="00097BF7" w:rsidRDefault="000455F2" w:rsidP="00E96DD0">
            <w:pPr>
              <w:tabs>
                <w:tab w:val="decimal" w:pos="740"/>
              </w:tabs>
              <w:spacing w:before="60" w:after="60"/>
              <w:jc w:val="center"/>
              <w:rPr>
                <w:rFonts w:eastAsia="Calibri" w:cs="Segoe UI"/>
                <w:sz w:val="18"/>
                <w:szCs w:val="18"/>
              </w:rPr>
            </w:pPr>
            <w:r w:rsidRPr="78A63064">
              <w:rPr>
                <w:rFonts w:cs="Segoe UI"/>
                <w:sz w:val="18"/>
                <w:szCs w:val="18"/>
              </w:rPr>
              <w:t>3.5</w:t>
            </w:r>
          </w:p>
        </w:tc>
      </w:tr>
      <w:tr w:rsidR="000455F2" w:rsidRPr="005F78FD" w14:paraId="7DDD8632" w14:textId="77777777" w:rsidTr="000455F2">
        <w:trPr>
          <w:cantSplit/>
          <w:trHeight w:val="381"/>
        </w:trPr>
        <w:tc>
          <w:tcPr>
            <w:tcW w:w="998" w:type="pct"/>
            <w:vMerge/>
            <w:vAlign w:val="center"/>
            <w:hideMark/>
          </w:tcPr>
          <w:p w14:paraId="1854A5A2" w14:textId="77777777" w:rsidR="000455F2" w:rsidRPr="00097BF7" w:rsidRDefault="000455F2" w:rsidP="00E96DD0">
            <w:pPr>
              <w:rPr>
                <w:rFonts w:cs="Segoe UI"/>
                <w:sz w:val="18"/>
              </w:rPr>
            </w:pPr>
          </w:p>
        </w:tc>
        <w:tc>
          <w:tcPr>
            <w:tcW w:w="1000" w:type="pct"/>
            <w:tcBorders>
              <w:top w:val="single" w:sz="4" w:space="0" w:color="A6A6A6" w:themeColor="background1" w:themeShade="A6"/>
              <w:left w:val="nil"/>
              <w:bottom w:val="single" w:sz="4" w:space="0" w:color="A6A6A6" w:themeColor="background1" w:themeShade="A6"/>
              <w:right w:val="nil"/>
            </w:tcBorders>
            <w:vAlign w:val="center"/>
            <w:hideMark/>
          </w:tcPr>
          <w:p w14:paraId="0262F18D" w14:textId="77777777" w:rsidR="000455F2" w:rsidRPr="00097BF7" w:rsidRDefault="000455F2" w:rsidP="00E96DD0">
            <w:pPr>
              <w:spacing w:before="60" w:after="60"/>
              <w:rPr>
                <w:rFonts w:cs="Segoe UI"/>
                <w:sz w:val="18"/>
              </w:rPr>
            </w:pPr>
            <w:r w:rsidRPr="00097BF7">
              <w:rPr>
                <w:rFonts w:cs="Segoe UI"/>
                <w:sz w:val="18"/>
              </w:rPr>
              <w:t>Non-Māori</w:t>
            </w:r>
          </w:p>
        </w:tc>
        <w:tc>
          <w:tcPr>
            <w:tcW w:w="1000" w:type="pct"/>
            <w:tcBorders>
              <w:top w:val="single" w:sz="4" w:space="0" w:color="A6A6A6" w:themeColor="background1" w:themeShade="A6"/>
              <w:left w:val="nil"/>
              <w:bottom w:val="single" w:sz="4" w:space="0" w:color="A6A6A6" w:themeColor="background1" w:themeShade="A6"/>
              <w:right w:val="nil"/>
            </w:tcBorders>
            <w:hideMark/>
          </w:tcPr>
          <w:p w14:paraId="28D95C75" w14:textId="77777777" w:rsidR="000455F2" w:rsidRPr="00097BF7" w:rsidRDefault="000455F2" w:rsidP="00E96DD0">
            <w:pPr>
              <w:tabs>
                <w:tab w:val="decimal" w:pos="851"/>
              </w:tabs>
              <w:spacing w:before="60" w:after="60"/>
              <w:jc w:val="center"/>
              <w:rPr>
                <w:rFonts w:cs="Segoe UI"/>
                <w:sz w:val="18"/>
                <w:szCs w:val="18"/>
              </w:rPr>
            </w:pPr>
            <w:r w:rsidRPr="78A63064">
              <w:rPr>
                <w:rFonts w:cs="Segoe UI"/>
                <w:sz w:val="18"/>
                <w:szCs w:val="18"/>
              </w:rPr>
              <w:t>0.1</w:t>
            </w:r>
          </w:p>
        </w:tc>
        <w:tc>
          <w:tcPr>
            <w:tcW w:w="1000" w:type="pct"/>
            <w:tcBorders>
              <w:top w:val="single" w:sz="4" w:space="0" w:color="A6A6A6" w:themeColor="background1" w:themeShade="A6"/>
              <w:left w:val="nil"/>
              <w:bottom w:val="single" w:sz="4" w:space="0" w:color="A6A6A6" w:themeColor="background1" w:themeShade="A6"/>
              <w:right w:val="nil"/>
            </w:tcBorders>
            <w:hideMark/>
          </w:tcPr>
          <w:p w14:paraId="35BCAAC1" w14:textId="77777777" w:rsidR="000455F2" w:rsidRPr="00097BF7" w:rsidRDefault="000455F2" w:rsidP="00E96DD0">
            <w:pPr>
              <w:tabs>
                <w:tab w:val="decimal" w:pos="761"/>
              </w:tabs>
              <w:spacing w:before="60" w:after="60"/>
              <w:jc w:val="center"/>
              <w:rPr>
                <w:rFonts w:cs="Segoe UI"/>
                <w:sz w:val="18"/>
                <w:szCs w:val="18"/>
              </w:rPr>
            </w:pPr>
            <w:r w:rsidRPr="78A63064">
              <w:rPr>
                <w:rFonts w:cs="Segoe UI"/>
                <w:sz w:val="18"/>
                <w:szCs w:val="18"/>
              </w:rPr>
              <w:t>0.5</w:t>
            </w:r>
          </w:p>
        </w:tc>
        <w:tc>
          <w:tcPr>
            <w:tcW w:w="1001" w:type="pct"/>
            <w:tcBorders>
              <w:top w:val="single" w:sz="4" w:space="0" w:color="A6A6A6" w:themeColor="background1" w:themeShade="A6"/>
              <w:left w:val="nil"/>
              <w:bottom w:val="single" w:sz="4" w:space="0" w:color="A6A6A6" w:themeColor="background1" w:themeShade="A6"/>
              <w:right w:val="nil"/>
            </w:tcBorders>
            <w:hideMark/>
          </w:tcPr>
          <w:p w14:paraId="21EF8C13" w14:textId="77777777" w:rsidR="000455F2" w:rsidRPr="005F78FD" w:rsidRDefault="000455F2" w:rsidP="00E96DD0">
            <w:pPr>
              <w:tabs>
                <w:tab w:val="decimal" w:pos="740"/>
              </w:tabs>
              <w:spacing w:before="60" w:after="60"/>
              <w:jc w:val="center"/>
              <w:rPr>
                <w:rFonts w:eastAsia="Calibri" w:cs="Segoe UI"/>
                <w:sz w:val="18"/>
                <w:szCs w:val="18"/>
              </w:rPr>
            </w:pPr>
            <w:r w:rsidRPr="78A63064">
              <w:rPr>
                <w:rFonts w:cs="Segoe UI"/>
                <w:sz w:val="18"/>
                <w:szCs w:val="18"/>
              </w:rPr>
              <w:t>5.5</w:t>
            </w:r>
          </w:p>
        </w:tc>
      </w:tr>
    </w:tbl>
    <w:p w14:paraId="36722F70" w14:textId="77777777" w:rsidR="000455F2" w:rsidRPr="005F78FD" w:rsidRDefault="000455F2" w:rsidP="000455F2">
      <w:pPr>
        <w:spacing w:before="80"/>
        <w:rPr>
          <w:rFonts w:cs="Segoe UI"/>
          <w:sz w:val="17"/>
        </w:rPr>
      </w:pPr>
      <w:r w:rsidRPr="005F78FD">
        <w:rPr>
          <w:rFonts w:cs="Segoe UI"/>
          <w:sz w:val="17"/>
        </w:rPr>
        <w:t xml:space="preserve">Sources: PRIMHD data (extracted </w:t>
      </w:r>
      <w:r>
        <w:rPr>
          <w:rFonts w:cs="Segoe UI"/>
          <w:sz w:val="17"/>
        </w:rPr>
        <w:t>28 February 2024).</w:t>
      </w:r>
    </w:p>
    <w:p w14:paraId="5592BE84" w14:textId="77777777" w:rsidR="000455F2" w:rsidRPr="00501296" w:rsidRDefault="000455F2" w:rsidP="000455F2">
      <w:pPr>
        <w:rPr>
          <w:rFonts w:cs="Segoe UI"/>
        </w:rPr>
      </w:pPr>
    </w:p>
    <w:p w14:paraId="139D2B6B" w14:textId="77777777" w:rsidR="00BB7D17" w:rsidRDefault="00BB7D17" w:rsidP="00753A1F">
      <w:pPr>
        <w:rPr>
          <w:rFonts w:eastAsia="Arial Unicode MS"/>
        </w:rPr>
        <w:sectPr w:rsidR="00BB7D17" w:rsidSect="00D4159A">
          <w:pgSz w:w="11907" w:h="16834" w:code="9"/>
          <w:pgMar w:top="1418" w:right="1701" w:bottom="1134" w:left="1843" w:header="284" w:footer="425" w:gutter="284"/>
          <w:cols w:space="720"/>
        </w:sectPr>
      </w:pPr>
    </w:p>
    <w:p w14:paraId="0EB186A1" w14:textId="77777777" w:rsidR="00BB7D17" w:rsidRPr="00200234" w:rsidRDefault="00BB7D17" w:rsidP="00BB7D17">
      <w:pPr>
        <w:pStyle w:val="Heading1"/>
        <w:spacing w:before="0"/>
      </w:pPr>
      <w:bookmarkStart w:id="529" w:name="_Toc65141627"/>
      <w:bookmarkStart w:id="530" w:name="_Toc75176451"/>
      <w:bookmarkStart w:id="531" w:name="_Toc87429918"/>
      <w:bookmarkStart w:id="532" w:name="_Toc88826966"/>
      <w:bookmarkStart w:id="533" w:name="_Toc115188816"/>
      <w:bookmarkStart w:id="534" w:name="_Toc145394243"/>
      <w:bookmarkStart w:id="535" w:name="_Toc189053913"/>
      <w:bookmarkStart w:id="536" w:name="_Toc189647902"/>
      <w:r w:rsidRPr="00200234">
        <w:t>Special and restricted patients</w:t>
      </w:r>
      <w:bookmarkEnd w:id="529"/>
      <w:bookmarkEnd w:id="530"/>
      <w:bookmarkEnd w:id="531"/>
      <w:bookmarkEnd w:id="532"/>
      <w:bookmarkEnd w:id="533"/>
      <w:bookmarkEnd w:id="534"/>
      <w:bookmarkEnd w:id="535"/>
      <w:bookmarkEnd w:id="536"/>
    </w:p>
    <w:p w14:paraId="4B86882F" w14:textId="77777777" w:rsidR="00BB7D17" w:rsidRDefault="00BB7D17" w:rsidP="00BB7D17">
      <w:r w:rsidRPr="00200234">
        <w:t xml:space="preserve">Under </w:t>
      </w:r>
      <w:r>
        <w:t xml:space="preserve">Aotearoa New Zealand </w:t>
      </w:r>
      <w:r w:rsidRPr="00200234">
        <w:t>law, people who have been charged with committing crimes while severe mental illness</w:t>
      </w:r>
      <w:r>
        <w:t xml:space="preserve"> was influencing their judgement </w:t>
      </w:r>
      <w:r w:rsidRPr="00200234">
        <w:t xml:space="preserve">may be treated in a secure mental health facility instead of going to prison. These people are given </w:t>
      </w:r>
      <w:r>
        <w:t>‘</w:t>
      </w:r>
      <w:r w:rsidRPr="00200234">
        <w:t>special patient</w:t>
      </w:r>
      <w:r>
        <w:t>’</w:t>
      </w:r>
      <w:r w:rsidRPr="00200234">
        <w:t xml:space="preserve"> status.</w:t>
      </w:r>
    </w:p>
    <w:p w14:paraId="032347AC" w14:textId="77777777" w:rsidR="00BB7D17" w:rsidRPr="00200234" w:rsidRDefault="00BB7D17" w:rsidP="00BB7D17"/>
    <w:p w14:paraId="7B8147BB" w14:textId="77777777" w:rsidR="00BB7D17" w:rsidRPr="00200234" w:rsidRDefault="00BB7D17" w:rsidP="00BB7D17">
      <w:r w:rsidRPr="00200234">
        <w:t>Special patients include:</w:t>
      </w:r>
    </w:p>
    <w:p w14:paraId="29A9BE42" w14:textId="77777777" w:rsidR="00BB7D17" w:rsidRPr="00ED4FA1" w:rsidRDefault="00BB7D17" w:rsidP="00BB7D17">
      <w:pPr>
        <w:pStyle w:val="Bullet"/>
        <w:tabs>
          <w:tab w:val="num" w:pos="284"/>
        </w:tabs>
      </w:pPr>
      <w:r w:rsidRPr="00ED4FA1">
        <w:t>people charged with, or convicted of, a criminal offence and remanded to a hospital for a psychiatric report</w:t>
      </w:r>
    </w:p>
    <w:p w14:paraId="6FF4B4FA" w14:textId="77777777" w:rsidR="00BB7D17" w:rsidRPr="00ED4FA1" w:rsidRDefault="00BB7D17" w:rsidP="00BB7D17">
      <w:pPr>
        <w:pStyle w:val="Bullet"/>
        <w:tabs>
          <w:tab w:val="num" w:pos="284"/>
        </w:tabs>
      </w:pPr>
      <w:r w:rsidRPr="00ED4FA1">
        <w:t>remanded or sentenced prisoners transferred from prison to a hospital</w:t>
      </w:r>
    </w:p>
    <w:p w14:paraId="19CFD435" w14:textId="77777777" w:rsidR="00BB7D17" w:rsidRPr="00ED4FA1" w:rsidRDefault="00BB7D17" w:rsidP="00BB7D17">
      <w:pPr>
        <w:pStyle w:val="Bullet"/>
        <w:tabs>
          <w:tab w:val="num" w:pos="284"/>
        </w:tabs>
      </w:pPr>
      <w:r w:rsidRPr="00ED4FA1">
        <w:t>defendants found not guilty by reason of insanity</w:t>
      </w:r>
      <w:r>
        <w:t xml:space="preserve"> or who have a finding of act proven but not criminally responsible on account of insanity</w:t>
      </w:r>
    </w:p>
    <w:p w14:paraId="550CB29F" w14:textId="77777777" w:rsidR="00BB7D17" w:rsidRPr="00ED4FA1" w:rsidRDefault="00BB7D17" w:rsidP="00BB7D17">
      <w:pPr>
        <w:pStyle w:val="Bullet"/>
        <w:tabs>
          <w:tab w:val="num" w:pos="284"/>
        </w:tabs>
      </w:pPr>
      <w:r w:rsidRPr="00ED4FA1">
        <w:t>defendants who are unfit to stand trial</w:t>
      </w:r>
    </w:p>
    <w:p w14:paraId="632D4E88" w14:textId="77777777" w:rsidR="00BB7D17" w:rsidRPr="00ED4FA1" w:rsidRDefault="00BB7D17" w:rsidP="00BB7D17">
      <w:pPr>
        <w:pStyle w:val="Bullet"/>
        <w:tabs>
          <w:tab w:val="num" w:pos="284"/>
        </w:tabs>
      </w:pPr>
      <w:r w:rsidRPr="00ED4FA1">
        <w:t xml:space="preserve">people who have been convicted of a criminal offence and </w:t>
      </w:r>
      <w:r>
        <w:t xml:space="preserve">are </w:t>
      </w:r>
      <w:r w:rsidRPr="00ED4FA1">
        <w:t xml:space="preserve">both sentenced to a term of imprisonment and placed under a </w:t>
      </w:r>
      <w:r>
        <w:t>CTO</w:t>
      </w:r>
      <w:r w:rsidRPr="00ED4FA1">
        <w:t>.</w:t>
      </w:r>
    </w:p>
    <w:p w14:paraId="5C2AB044" w14:textId="77777777" w:rsidR="00BB7D17" w:rsidRPr="00200234" w:rsidRDefault="00BB7D17" w:rsidP="00BB7D17"/>
    <w:p w14:paraId="6CB8FA04" w14:textId="77777777" w:rsidR="00BB7D17" w:rsidRPr="00200234" w:rsidRDefault="00BB7D17" w:rsidP="00BB7D17">
      <w:r w:rsidRPr="00200234">
        <w:t>Restricted patients are people detained in forensic mental health services by court orde</w:t>
      </w:r>
      <w:r>
        <w:t>r</w:t>
      </w:r>
      <w:r w:rsidRPr="00200234">
        <w:t xml:space="preserve"> because they pose a danger to others. They </w:t>
      </w:r>
      <w:r>
        <w:t>have</w:t>
      </w:r>
      <w:r w:rsidRPr="00200234">
        <w:t xml:space="preserve"> not </w:t>
      </w:r>
      <w:r>
        <w:t>necessarily been</w:t>
      </w:r>
      <w:r w:rsidRPr="00200234">
        <w:t xml:space="preserve"> charged with or convicted of a crime. They may have also been transferred from prison or previously had a special patient status that changed when their sentence ended.</w:t>
      </w:r>
    </w:p>
    <w:p w14:paraId="0F5C5914" w14:textId="77777777" w:rsidR="00BB7D17" w:rsidRDefault="00BB7D17" w:rsidP="00BB7D17"/>
    <w:p w14:paraId="64D1FDD9" w14:textId="41058EB8" w:rsidR="00BB7D17" w:rsidRDefault="00BB7D17" w:rsidP="00BB7D17">
      <w:r>
        <w:t>Special and restricted patients can be detained in the</w:t>
      </w:r>
      <w:r w:rsidDel="00A803F5">
        <w:t xml:space="preserve"> </w:t>
      </w:r>
      <w:r>
        <w:t xml:space="preserve">five regional forensic mental health services (see the </w:t>
      </w:r>
      <w:r>
        <w:fldChar w:fldCharType="begin"/>
      </w:r>
      <w:r>
        <w:instrText xml:space="preserve"> REF _Ref185320751 \h </w:instrText>
      </w:r>
      <w:r>
        <w:fldChar w:fldCharType="separate"/>
      </w:r>
      <w:r w:rsidR="00753BC8" w:rsidRPr="005F78FD">
        <w:t>Seclusion in forensic units</w:t>
      </w:r>
      <w:r>
        <w:fldChar w:fldCharType="end"/>
      </w:r>
      <w:r>
        <w:t xml:space="preserve"> section).</w:t>
      </w:r>
    </w:p>
    <w:p w14:paraId="670466C4" w14:textId="77777777" w:rsidR="00BB7D17" w:rsidRDefault="00BB7D17" w:rsidP="00BB7D17"/>
    <w:p w14:paraId="2EE74D7D" w14:textId="77777777" w:rsidR="00BB7D17" w:rsidRDefault="00BB7D17" w:rsidP="00BB7D17">
      <w:r>
        <w:t>Previous annual regulatory reports presented data on the forensic services under the name of their operating district. Here we present the data under the five regional forensic mental health services separately.</w:t>
      </w:r>
    </w:p>
    <w:p w14:paraId="7A94778B" w14:textId="77777777" w:rsidR="00BB7D17" w:rsidRDefault="00BB7D17" w:rsidP="00BB7D17"/>
    <w:p w14:paraId="2CBB061C" w14:textId="77777777" w:rsidR="00BB7D17" w:rsidRDefault="00BB7D17" w:rsidP="00BB7D17">
      <w:r>
        <w:t>The national total of 461 special patients is lower than the sum of special patients by regional service. This is because some special patients may have transferred across services during the year.</w:t>
      </w:r>
    </w:p>
    <w:p w14:paraId="1DE62855" w14:textId="77777777" w:rsidR="00BB7D17" w:rsidRDefault="00BB7D17" w:rsidP="00BB7D17"/>
    <w:p w14:paraId="21A5F549" w14:textId="4A822670" w:rsidR="00BB7D17" w:rsidRDefault="00BB7D17" w:rsidP="00BB7D17">
      <w:r>
        <w:fldChar w:fldCharType="begin"/>
      </w:r>
      <w:r>
        <w:instrText xml:space="preserve"> REF _Ref65672403 \h </w:instrText>
      </w:r>
      <w:r>
        <w:fldChar w:fldCharType="separate"/>
      </w:r>
      <w:r w:rsidR="00753BC8">
        <w:t>Figure </w:t>
      </w:r>
      <w:r w:rsidR="00753BC8">
        <w:rPr>
          <w:noProof/>
        </w:rPr>
        <w:t>33</w:t>
      </w:r>
      <w:r>
        <w:fldChar w:fldCharType="end"/>
      </w:r>
      <w:r w:rsidRPr="00200234">
        <w:t xml:space="preserve"> present</w:t>
      </w:r>
      <w:r>
        <w:t>s</w:t>
      </w:r>
      <w:r w:rsidRPr="00200234">
        <w:t xml:space="preserve"> the total number of special patients in the care of each regional forensic </w:t>
      </w:r>
      <w:r>
        <w:t>mental health</w:t>
      </w:r>
      <w:r w:rsidRPr="00200234">
        <w:t xml:space="preserve"> service. </w:t>
      </w:r>
    </w:p>
    <w:p w14:paraId="76BFB208" w14:textId="77777777" w:rsidR="00BB7D17" w:rsidRPr="00200234" w:rsidRDefault="00BB7D17" w:rsidP="00BB7D17">
      <w:pPr>
        <w:rPr>
          <w:rFonts w:cs="Segoe UI"/>
        </w:rPr>
      </w:pPr>
    </w:p>
    <w:p w14:paraId="331DC5CF" w14:textId="77777777" w:rsidR="00BB7D17" w:rsidRPr="00200234" w:rsidRDefault="00BB7D17" w:rsidP="00BB7D17">
      <w:r>
        <w:t>Special and restricted patients may be detained for either extended or short-term care. The following discussion details these variations.</w:t>
      </w:r>
    </w:p>
    <w:p w14:paraId="183A5511" w14:textId="77777777" w:rsidR="00BB7D17" w:rsidRPr="00200234" w:rsidRDefault="00BB7D17" w:rsidP="00BB7D17">
      <w:pPr>
        <w:rPr>
          <w:rFonts w:cs="Segoe UI"/>
        </w:rPr>
      </w:pPr>
    </w:p>
    <w:p w14:paraId="16BAEFF2" w14:textId="77777777" w:rsidR="00CC1A7C" w:rsidRDefault="00CC1A7C" w:rsidP="00753A1F">
      <w:pPr>
        <w:rPr>
          <w:rFonts w:eastAsia="Arial Unicode MS"/>
        </w:rPr>
      </w:pPr>
    </w:p>
    <w:p w14:paraId="704347E8" w14:textId="77777777" w:rsidR="00BB7D17" w:rsidRDefault="00BB7D17" w:rsidP="00753A1F">
      <w:pPr>
        <w:rPr>
          <w:rFonts w:eastAsia="Arial Unicode MS"/>
        </w:rPr>
      </w:pPr>
    </w:p>
    <w:p w14:paraId="5A036E7C" w14:textId="77777777" w:rsidR="00BB7D17" w:rsidRDefault="00BB7D17" w:rsidP="00753A1F">
      <w:pPr>
        <w:rPr>
          <w:rFonts w:eastAsia="Arial Unicode MS"/>
        </w:rPr>
      </w:pPr>
    </w:p>
    <w:p w14:paraId="68E33278" w14:textId="77777777" w:rsidR="00BB7D17" w:rsidRDefault="00BB7D17" w:rsidP="00753A1F">
      <w:pPr>
        <w:rPr>
          <w:rFonts w:eastAsia="Arial Unicode MS"/>
        </w:rPr>
      </w:pPr>
    </w:p>
    <w:p w14:paraId="6F20E123" w14:textId="77777777" w:rsidR="00BB7D17" w:rsidRDefault="00BB7D17" w:rsidP="00753A1F">
      <w:pPr>
        <w:rPr>
          <w:rFonts w:eastAsia="Arial Unicode MS"/>
        </w:rPr>
      </w:pPr>
    </w:p>
    <w:p w14:paraId="3B0DD0BD" w14:textId="3F96C035" w:rsidR="00BB7D17" w:rsidRPr="00BB7D17" w:rsidRDefault="00BB7D17" w:rsidP="00BB7D17">
      <w:pPr>
        <w:pStyle w:val="Figure"/>
      </w:pPr>
      <w:bookmarkStart w:id="537" w:name="_Ref65672403"/>
      <w:bookmarkStart w:id="538" w:name="_Toc63764781"/>
      <w:bookmarkStart w:id="539" w:name="_Toc75176497"/>
      <w:bookmarkStart w:id="540" w:name="_Toc85442589"/>
      <w:bookmarkStart w:id="541" w:name="_Toc85445937"/>
      <w:bookmarkStart w:id="542" w:name="_Toc87429982"/>
      <w:bookmarkStart w:id="543" w:name="_Toc88561414"/>
      <w:bookmarkStart w:id="544" w:name="_Toc115188874"/>
      <w:bookmarkStart w:id="545" w:name="_Toc142314717"/>
      <w:bookmarkStart w:id="546" w:name="_Toc145394299"/>
      <w:bookmarkStart w:id="547" w:name="_Toc189053974"/>
      <w:bookmarkStart w:id="548" w:name="_Toc189647959"/>
      <w:r>
        <w:t>Figure </w:t>
      </w:r>
      <w:r>
        <w:fldChar w:fldCharType="begin"/>
      </w:r>
      <w:r>
        <w:instrText>SEQ Figure \* ARABIC</w:instrText>
      </w:r>
      <w:r>
        <w:fldChar w:fldCharType="separate"/>
      </w:r>
      <w:r w:rsidR="00753BC8">
        <w:rPr>
          <w:noProof/>
        </w:rPr>
        <w:t>33</w:t>
      </w:r>
      <w:r>
        <w:fldChar w:fldCharType="end"/>
      </w:r>
      <w:bookmarkEnd w:id="537"/>
      <w:r w:rsidRPr="00200234">
        <w:t xml:space="preserve">: </w:t>
      </w:r>
      <w:r w:rsidRPr="002F2889">
        <w:t xml:space="preserve">Total number of special patients, by </w:t>
      </w:r>
      <w:r>
        <w:t>regional service</w:t>
      </w:r>
      <w:r w:rsidRPr="002F2889">
        <w:t xml:space="preserve">, 1 </w:t>
      </w:r>
      <w:bookmarkEnd w:id="538"/>
      <w:bookmarkEnd w:id="539"/>
      <w:bookmarkEnd w:id="540"/>
      <w:bookmarkEnd w:id="541"/>
      <w:bookmarkEnd w:id="542"/>
      <w:bookmarkEnd w:id="543"/>
      <w:r w:rsidRPr="002F2889">
        <w:t>July 202</w:t>
      </w:r>
      <w:r>
        <w:t>2</w:t>
      </w:r>
      <w:r w:rsidRPr="002F2889">
        <w:t xml:space="preserve"> to 30 June 202</w:t>
      </w:r>
      <w:bookmarkEnd w:id="544"/>
      <w:bookmarkEnd w:id="545"/>
      <w:bookmarkEnd w:id="546"/>
      <w:r>
        <w:t>3</w:t>
      </w:r>
      <w:bookmarkEnd w:id="547"/>
      <w:bookmarkEnd w:id="548"/>
    </w:p>
    <w:p w14:paraId="758BB1A1" w14:textId="77777777" w:rsidR="00BB7D17" w:rsidRDefault="00BB7D17" w:rsidP="00753A1F">
      <w:pPr>
        <w:rPr>
          <w:rFonts w:eastAsia="Arial Unicode MS"/>
        </w:rPr>
      </w:pPr>
      <w:r>
        <w:rPr>
          <w:rFonts w:eastAsia="Arial Unicode MS"/>
          <w:noProof/>
        </w:rPr>
        <w:drawing>
          <wp:inline distT="0" distB="0" distL="0" distR="0" wp14:anchorId="436EF392" wp14:editId="763D2EC9">
            <wp:extent cx="5130800" cy="3271406"/>
            <wp:effectExtent l="0" t="0" r="0" b="5715"/>
            <wp:docPr id="1297958822" name="Picture 12979588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7958822" name="Picture 1297958822">
                      <a:extLst>
                        <a:ext uri="{C183D7F6-B498-43B3-948B-1728B52AA6E4}">
                          <adec:decorative xmlns:adec="http://schemas.microsoft.com/office/drawing/2017/decorative" val="1"/>
                        </a:ext>
                      </a:extLst>
                    </pic:cNvPr>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136041" cy="3274748"/>
                    </a:xfrm>
                    <a:prstGeom prst="rect">
                      <a:avLst/>
                    </a:prstGeom>
                    <a:noFill/>
                  </pic:spPr>
                </pic:pic>
              </a:graphicData>
            </a:graphic>
          </wp:inline>
        </w:drawing>
      </w:r>
    </w:p>
    <w:p w14:paraId="7BB223B9" w14:textId="77777777" w:rsidR="00BB7D17" w:rsidRDefault="00BB7D17" w:rsidP="00BB7D17">
      <w:pPr>
        <w:pStyle w:val="Source"/>
      </w:pPr>
      <w:r w:rsidRPr="00200234">
        <w:t xml:space="preserve">Source: PRIMHD </w:t>
      </w:r>
      <w:r>
        <w:t>data (extracted</w:t>
      </w:r>
      <w:r w:rsidRPr="00200234">
        <w:t xml:space="preserve"> </w:t>
      </w:r>
      <w:r>
        <w:t>28 February 2024).</w:t>
      </w:r>
    </w:p>
    <w:p w14:paraId="7C115D86" w14:textId="77777777" w:rsidR="00BB7D17" w:rsidRPr="00200234" w:rsidRDefault="00BB7D17" w:rsidP="00BB7D17">
      <w:pPr>
        <w:pStyle w:val="Heading2"/>
      </w:pPr>
      <w:bookmarkStart w:id="549" w:name="_Toc65141628"/>
      <w:bookmarkStart w:id="550" w:name="_Toc75176452"/>
      <w:bookmarkStart w:id="551" w:name="_Toc87429919"/>
      <w:bookmarkStart w:id="552" w:name="_Toc88826967"/>
      <w:bookmarkStart w:id="553" w:name="_Toc115188817"/>
      <w:bookmarkStart w:id="554" w:name="_Toc145394244"/>
      <w:bookmarkStart w:id="555" w:name="_Toc189053914"/>
      <w:bookmarkStart w:id="556" w:name="_Toc189647903"/>
      <w:r w:rsidRPr="00200234">
        <w:t>Extended forensic care special patients</w:t>
      </w:r>
      <w:bookmarkEnd w:id="549"/>
      <w:bookmarkEnd w:id="550"/>
      <w:bookmarkEnd w:id="551"/>
      <w:bookmarkEnd w:id="552"/>
      <w:bookmarkEnd w:id="553"/>
      <w:bookmarkEnd w:id="554"/>
      <w:bookmarkEnd w:id="555"/>
      <w:bookmarkEnd w:id="556"/>
    </w:p>
    <w:p w14:paraId="413DDE7B" w14:textId="77777777" w:rsidR="00BB7D17" w:rsidRPr="00200234" w:rsidRDefault="00BB7D17" w:rsidP="00BB7D17">
      <w:r w:rsidRPr="00200234">
        <w:t>Extended forensic care</w:t>
      </w:r>
      <w:r>
        <w:t xml:space="preserve"> (EFC)</w:t>
      </w:r>
      <w:r w:rsidRPr="00200234">
        <w:t xml:space="preserve"> patients include special patients who have been found not guilty by reason of insanity or unfit to stand trial under section 24(2)(a) of </w:t>
      </w:r>
      <w:r>
        <w:t xml:space="preserve">the </w:t>
      </w:r>
      <w:r w:rsidRPr="00066817">
        <w:t>Criminal Procedure (Mentally Impaired Persons) Act 2003</w:t>
      </w:r>
      <w:r w:rsidRPr="00200234">
        <w:t xml:space="preserve">. Restricted patients under section 55 of the Mental Health Act are also </w:t>
      </w:r>
      <w:r>
        <w:t>supported in</w:t>
      </w:r>
      <w:r w:rsidRPr="00200234">
        <w:t xml:space="preserve"> extended forensic care</w:t>
      </w:r>
      <w:r>
        <w:t xml:space="preserve"> facilities</w:t>
      </w:r>
      <w:r w:rsidRPr="00200234">
        <w:t>.</w:t>
      </w:r>
    </w:p>
    <w:p w14:paraId="7D8CF7CF" w14:textId="77777777" w:rsidR="00BB7D17" w:rsidRPr="00200234" w:rsidRDefault="00BB7D17" w:rsidP="00BB7D17"/>
    <w:p w14:paraId="240BCC51" w14:textId="77777777" w:rsidR="00BB7D17" w:rsidRDefault="00BB7D17" w:rsidP="00BB7D17">
      <w:r>
        <w:t>From 1 July 2022 to 30 June 2023</w:t>
      </w:r>
      <w:r w:rsidRPr="00200234">
        <w:t xml:space="preserve">, </w:t>
      </w:r>
      <w:r>
        <w:t xml:space="preserve">Aotearoa New Zealand </w:t>
      </w:r>
      <w:r w:rsidRPr="00200234">
        <w:t xml:space="preserve">had </w:t>
      </w:r>
      <w:r w:rsidRPr="005E76CD">
        <w:t>1</w:t>
      </w:r>
      <w:r>
        <w:t>75</w:t>
      </w:r>
      <w:r w:rsidRPr="00200234">
        <w:t xml:space="preserve"> </w:t>
      </w:r>
      <w:r>
        <w:t>EFC</w:t>
      </w:r>
      <w:r w:rsidRPr="00200234">
        <w:t xml:space="preserve"> special patients. </w:t>
      </w:r>
    </w:p>
    <w:p w14:paraId="73AA0CAD" w14:textId="77777777" w:rsidR="00BB7D17" w:rsidRDefault="00BB7D17" w:rsidP="00BB7D17"/>
    <w:p w14:paraId="5DB52D1A" w14:textId="63A71EF2" w:rsidR="00BB7D17" w:rsidRPr="00200234" w:rsidRDefault="00BB7D17" w:rsidP="00BB7D17">
      <w:r>
        <w:fldChar w:fldCharType="begin"/>
      </w:r>
      <w:r>
        <w:rPr>
          <w:noProof/>
        </w:rPr>
        <w:instrText xml:space="preserve"> REF _Ref85450596 \h </w:instrText>
      </w:r>
      <w:r>
        <w:fldChar w:fldCharType="separate"/>
      </w:r>
      <w:r w:rsidR="00753BC8">
        <w:t>Table </w:t>
      </w:r>
      <w:r w:rsidR="00753BC8">
        <w:rPr>
          <w:noProof/>
        </w:rPr>
        <w:t>13</w:t>
      </w:r>
      <w:r>
        <w:fldChar w:fldCharType="end"/>
      </w:r>
      <w:r>
        <w:rPr>
          <w:noProof/>
        </w:rPr>
        <w:t xml:space="preserve"> </w:t>
      </w:r>
      <w:r>
        <w:t>shows</w:t>
      </w:r>
      <w:r w:rsidRPr="00200234">
        <w:t xml:space="preserve"> the number of these patients in the care of </w:t>
      </w:r>
      <w:r>
        <w:t xml:space="preserve">each </w:t>
      </w:r>
      <w:r w:rsidRPr="00200234">
        <w:t xml:space="preserve">regional forensic </w:t>
      </w:r>
      <w:r>
        <w:t>mental health</w:t>
      </w:r>
      <w:r w:rsidRPr="00200234">
        <w:t xml:space="preserve"> service.</w:t>
      </w:r>
    </w:p>
    <w:p w14:paraId="0A9019C9" w14:textId="77777777" w:rsidR="00BB7D17" w:rsidRPr="00200234" w:rsidRDefault="00BB7D17" w:rsidP="00BB7D17">
      <w:pPr>
        <w:pStyle w:val="Heading2"/>
      </w:pPr>
      <w:bookmarkStart w:id="557" w:name="_Toc65141629"/>
      <w:bookmarkStart w:id="558" w:name="_Toc75176453"/>
      <w:bookmarkStart w:id="559" w:name="_Toc87429920"/>
      <w:bookmarkStart w:id="560" w:name="_Toc88826968"/>
      <w:bookmarkStart w:id="561" w:name="_Toc115188818"/>
      <w:bookmarkStart w:id="562" w:name="_Toc145394245"/>
      <w:bookmarkStart w:id="563" w:name="_Toc189053915"/>
      <w:bookmarkStart w:id="564" w:name="_Toc189647904"/>
      <w:r w:rsidRPr="00200234">
        <w:t>Short-term forensic care special patients</w:t>
      </w:r>
      <w:bookmarkEnd w:id="557"/>
      <w:bookmarkEnd w:id="558"/>
      <w:bookmarkEnd w:id="559"/>
      <w:bookmarkEnd w:id="560"/>
      <w:bookmarkEnd w:id="561"/>
      <w:bookmarkEnd w:id="562"/>
      <w:bookmarkEnd w:id="563"/>
      <w:bookmarkEnd w:id="564"/>
    </w:p>
    <w:p w14:paraId="5539F79B" w14:textId="77777777" w:rsidR="00BB7D17" w:rsidRPr="00200234" w:rsidRDefault="00BB7D17" w:rsidP="00BB7D17">
      <w:r w:rsidRPr="00200234">
        <w:t xml:space="preserve">Short-term forensic care </w:t>
      </w:r>
      <w:r>
        <w:t xml:space="preserve">(SFC) </w:t>
      </w:r>
      <w:r w:rsidRPr="00200234">
        <w:t xml:space="preserve">patients include people transferred from prison to a forensic mental health service. </w:t>
      </w:r>
      <w:r>
        <w:t>When</w:t>
      </w:r>
      <w:r w:rsidRPr="00200234">
        <w:t xml:space="preserve"> a person has been sentenced to a term of imprisonment, any </w:t>
      </w:r>
      <w:r>
        <w:t>Mental Health Act status</w:t>
      </w:r>
      <w:r w:rsidRPr="00200234">
        <w:t xml:space="preserve"> no longer applies. Remand prisoners may remain on a </w:t>
      </w:r>
      <w:r>
        <w:t>current CTO</w:t>
      </w:r>
      <w:r w:rsidRPr="00200234">
        <w:t xml:space="preserve">, but it is unlawful to enforce compulsory treatment in the prison environment. However, a court may make a </w:t>
      </w:r>
      <w:r>
        <w:t>‘</w:t>
      </w:r>
      <w:r w:rsidRPr="00200234">
        <w:t>hybrid order</w:t>
      </w:r>
      <w:r>
        <w:t>’</w:t>
      </w:r>
      <w:r w:rsidRPr="00200234">
        <w:t xml:space="preserve"> under section 34(1)(a)(i) of the </w:t>
      </w:r>
      <w:r w:rsidRPr="00066817">
        <w:t>Criminal Procedure (Mentally Impaired Persons) Act 2003</w:t>
      </w:r>
      <w:r w:rsidRPr="00200234">
        <w:t>, sentencing an offender to a term of imprisonment while also ordering their detention in hospital as a special patient.</w:t>
      </w:r>
    </w:p>
    <w:p w14:paraId="2BDCC901" w14:textId="77777777" w:rsidR="00BB7D17" w:rsidRPr="00200234" w:rsidRDefault="00BB7D17" w:rsidP="00BB7D17"/>
    <w:p w14:paraId="50180115" w14:textId="77777777" w:rsidR="00BB7D17" w:rsidRDefault="00BB7D17" w:rsidP="00E96DD0">
      <w:r>
        <w:t>From 1 July 2022 to 30 June 2023,</w:t>
      </w:r>
      <w:r w:rsidRPr="00200234">
        <w:t xml:space="preserve"> </w:t>
      </w:r>
      <w:r>
        <w:t xml:space="preserve">Aotearoa New Zealand </w:t>
      </w:r>
      <w:r w:rsidRPr="00200234">
        <w:t xml:space="preserve">had a total of </w:t>
      </w:r>
      <w:r>
        <w:t>302</w:t>
      </w:r>
      <w:r w:rsidRPr="00200234">
        <w:t xml:space="preserve"> </w:t>
      </w:r>
      <w:r>
        <w:t>SFC</w:t>
      </w:r>
      <w:r w:rsidRPr="00200234">
        <w:t xml:space="preserve"> special patients. </w:t>
      </w:r>
    </w:p>
    <w:p w14:paraId="250F4BFC" w14:textId="77777777" w:rsidR="00BB7D17" w:rsidRDefault="00BB7D17" w:rsidP="00E96DD0">
      <w:pPr>
        <w:rPr>
          <w:rFonts w:eastAsia="Arial Unicode MS"/>
        </w:rPr>
      </w:pPr>
    </w:p>
    <w:p w14:paraId="56E2B965" w14:textId="41778C0C" w:rsidR="00BB7D17" w:rsidRPr="00E96DD0" w:rsidRDefault="0024354A" w:rsidP="00E96DD0">
      <w:r>
        <w:rPr>
          <w:bCs/>
        </w:rPr>
        <w:fldChar w:fldCharType="begin"/>
      </w:r>
      <w:r>
        <w:rPr>
          <w:bCs/>
        </w:rPr>
        <w:instrText xml:space="preserve"> REF _Ref85450596 \h </w:instrText>
      </w:r>
      <w:r>
        <w:rPr>
          <w:bCs/>
        </w:rPr>
      </w:r>
      <w:r>
        <w:rPr>
          <w:bCs/>
        </w:rPr>
        <w:fldChar w:fldCharType="separate"/>
      </w:r>
      <w:r w:rsidR="00753BC8">
        <w:t>Table </w:t>
      </w:r>
      <w:r w:rsidR="00753BC8">
        <w:rPr>
          <w:noProof/>
        </w:rPr>
        <w:t>13</w:t>
      </w:r>
      <w:r>
        <w:rPr>
          <w:bCs/>
        </w:rPr>
        <w:fldChar w:fldCharType="end"/>
      </w:r>
      <w:r w:rsidR="00BB7D17" w:rsidRPr="00E96DD0">
        <w:rPr>
          <w:bCs/>
        </w:rPr>
        <w:t xml:space="preserve"> shows the number of these patients in the care of each regional forensic mental health service.</w:t>
      </w:r>
      <w:r w:rsidR="00E96DD0" w:rsidRPr="00E96DD0">
        <w:rPr>
          <w:bCs/>
        </w:rPr>
        <w:t xml:space="preserve"> </w:t>
      </w:r>
      <w:r w:rsidR="00BB7D17" w:rsidRPr="00E96DD0">
        <w:rPr>
          <w:bCs/>
        </w:rPr>
        <w:t xml:space="preserve"> </w:t>
      </w:r>
      <w:r w:rsidR="00E96DD0" w:rsidRPr="00E96DD0">
        <w:fldChar w:fldCharType="begin"/>
      </w:r>
      <w:r w:rsidR="00E96DD0" w:rsidRPr="00E96DD0">
        <w:instrText xml:space="preserve"> REF _Ref189394011 \h  \* MERGEFORMAT </w:instrText>
      </w:r>
      <w:r w:rsidR="00E96DD0" w:rsidRPr="00E96DD0">
        <w:fldChar w:fldCharType="separate"/>
      </w:r>
      <w:r w:rsidR="00753BC8">
        <w:t>Figure 34</w:t>
      </w:r>
      <w:r w:rsidR="00E96DD0" w:rsidRPr="00E96DD0">
        <w:fldChar w:fldCharType="end"/>
      </w:r>
      <w:r w:rsidR="00E96DD0" w:rsidRPr="00E96DD0">
        <w:t xml:space="preserve"> </w:t>
      </w:r>
      <w:r w:rsidR="00BB7D17" w:rsidRPr="00E96DD0">
        <w:t>shows</w:t>
      </w:r>
      <w:r w:rsidR="00BB7D17" w:rsidRPr="00E96DD0" w:rsidDel="001B42F3">
        <w:t xml:space="preserve"> </w:t>
      </w:r>
      <w:r w:rsidR="00BB7D17" w:rsidRPr="00E96DD0">
        <w:t>the percentage of court orders given for SFC and EFC legal status in each of these services.</w:t>
      </w:r>
    </w:p>
    <w:p w14:paraId="52EF3008" w14:textId="77777777" w:rsidR="00BB7D17" w:rsidRPr="00200234" w:rsidRDefault="00BB7D17" w:rsidP="00E96DD0"/>
    <w:p w14:paraId="3D1282AA" w14:textId="68058FB9" w:rsidR="00BB7D17" w:rsidRDefault="00BB7D17" w:rsidP="00BB7D17">
      <w:pPr>
        <w:pStyle w:val="Table"/>
      </w:pPr>
      <w:bookmarkStart w:id="565" w:name="_Ref85450596"/>
      <w:bookmarkStart w:id="566" w:name="_Toc87430010"/>
      <w:bookmarkStart w:id="567" w:name="_Toc88561367"/>
      <w:bookmarkStart w:id="568" w:name="_Toc115188902"/>
      <w:bookmarkStart w:id="569" w:name="_Toc142314763"/>
      <w:bookmarkStart w:id="570" w:name="_Toc145394326"/>
      <w:bookmarkStart w:id="571" w:name="_Toc189054004"/>
      <w:bookmarkStart w:id="572" w:name="_Toc189647989"/>
      <w:r>
        <w:t>Table </w:t>
      </w:r>
      <w:r>
        <w:fldChar w:fldCharType="begin"/>
      </w:r>
      <w:r>
        <w:instrText>SEQ Table \* ARABIC</w:instrText>
      </w:r>
      <w:r>
        <w:fldChar w:fldCharType="separate"/>
      </w:r>
      <w:r w:rsidR="00753BC8">
        <w:rPr>
          <w:noProof/>
        </w:rPr>
        <w:t>13</w:t>
      </w:r>
      <w:r>
        <w:fldChar w:fldCharType="end"/>
      </w:r>
      <w:bookmarkEnd w:id="565"/>
      <w:r w:rsidRPr="00D9092F">
        <w:t xml:space="preserve">: </w:t>
      </w:r>
      <w:r w:rsidRPr="003C233F">
        <w:t xml:space="preserve">Total number of special patients, by type and </w:t>
      </w:r>
      <w:r>
        <w:t>service</w:t>
      </w:r>
      <w:r w:rsidRPr="003C233F">
        <w:t xml:space="preserve">, 1 </w:t>
      </w:r>
      <w:bookmarkEnd w:id="566"/>
      <w:bookmarkEnd w:id="567"/>
      <w:r w:rsidRPr="003C233F">
        <w:t>July 202</w:t>
      </w:r>
      <w:r>
        <w:t>2</w:t>
      </w:r>
      <w:r w:rsidRPr="003C233F">
        <w:t xml:space="preserve"> to 30 June 202</w:t>
      </w:r>
      <w:bookmarkEnd w:id="568"/>
      <w:bookmarkEnd w:id="569"/>
      <w:bookmarkEnd w:id="570"/>
      <w:r>
        <w:t>3</w:t>
      </w:r>
      <w:bookmarkEnd w:id="571"/>
      <w:bookmarkEnd w:id="572"/>
    </w:p>
    <w:tbl>
      <w:tblPr>
        <w:tblW w:w="4931" w:type="pct"/>
        <w:tblInd w:w="57" w:type="dxa"/>
        <w:tblLayout w:type="fixed"/>
        <w:tblCellMar>
          <w:left w:w="57" w:type="dxa"/>
          <w:right w:w="57" w:type="dxa"/>
        </w:tblCellMar>
        <w:tblLook w:val="01E0" w:firstRow="1" w:lastRow="1" w:firstColumn="1" w:lastColumn="1" w:noHBand="0" w:noVBand="0"/>
      </w:tblPr>
      <w:tblGrid>
        <w:gridCol w:w="1846"/>
        <w:gridCol w:w="2040"/>
        <w:gridCol w:w="2041"/>
        <w:gridCol w:w="2041"/>
      </w:tblGrid>
      <w:tr w:rsidR="00BB7D17" w:rsidRPr="00061913" w14:paraId="1B765B71" w14:textId="77777777" w:rsidTr="00E96DD0">
        <w:trPr>
          <w:cantSplit/>
        </w:trPr>
        <w:tc>
          <w:tcPr>
            <w:tcW w:w="1158" w:type="pct"/>
            <w:shd w:val="clear" w:color="auto" w:fill="D9D9D9" w:themeFill="background1" w:themeFillShade="D9"/>
          </w:tcPr>
          <w:p w14:paraId="0A2B92D8" w14:textId="77777777" w:rsidR="00BB7D17" w:rsidRPr="00061913" w:rsidRDefault="00BB7D17" w:rsidP="00E96DD0">
            <w:pPr>
              <w:pStyle w:val="TableText"/>
              <w:rPr>
                <w:b/>
              </w:rPr>
            </w:pPr>
            <w:r w:rsidRPr="00061913">
              <w:rPr>
                <w:b/>
              </w:rPr>
              <w:t>Regional service</w:t>
            </w:r>
          </w:p>
        </w:tc>
        <w:tc>
          <w:tcPr>
            <w:tcW w:w="1280" w:type="pct"/>
            <w:shd w:val="clear" w:color="auto" w:fill="D9D9D9" w:themeFill="background1" w:themeFillShade="D9"/>
          </w:tcPr>
          <w:p w14:paraId="44AD2F33" w14:textId="77777777" w:rsidR="00BB7D17" w:rsidRPr="00061913" w:rsidRDefault="00BB7D17" w:rsidP="00E96DD0">
            <w:pPr>
              <w:pStyle w:val="TableText"/>
              <w:jc w:val="center"/>
              <w:rPr>
                <w:b/>
              </w:rPr>
            </w:pPr>
            <w:r w:rsidRPr="00061913">
              <w:rPr>
                <w:b/>
              </w:rPr>
              <w:t>EFC special patients</w:t>
            </w:r>
          </w:p>
        </w:tc>
        <w:tc>
          <w:tcPr>
            <w:tcW w:w="1281" w:type="pct"/>
            <w:shd w:val="clear" w:color="auto" w:fill="D9D9D9" w:themeFill="background1" w:themeFillShade="D9"/>
          </w:tcPr>
          <w:p w14:paraId="42F8A359" w14:textId="77777777" w:rsidR="00BB7D17" w:rsidRPr="00061913" w:rsidRDefault="00BB7D17" w:rsidP="00E96DD0">
            <w:pPr>
              <w:pStyle w:val="TableText"/>
              <w:jc w:val="center"/>
              <w:rPr>
                <w:b/>
              </w:rPr>
            </w:pPr>
            <w:r w:rsidRPr="00061913">
              <w:rPr>
                <w:b/>
              </w:rPr>
              <w:t>SFC special patients</w:t>
            </w:r>
          </w:p>
        </w:tc>
        <w:tc>
          <w:tcPr>
            <w:tcW w:w="1281" w:type="pct"/>
            <w:shd w:val="clear" w:color="auto" w:fill="D9D9D9" w:themeFill="background1" w:themeFillShade="D9"/>
          </w:tcPr>
          <w:p w14:paraId="579F75C8" w14:textId="77777777" w:rsidR="00BB7D17" w:rsidRPr="00061913" w:rsidRDefault="00BB7D17" w:rsidP="00E96DD0">
            <w:pPr>
              <w:pStyle w:val="TableText"/>
              <w:jc w:val="center"/>
              <w:rPr>
                <w:b/>
              </w:rPr>
            </w:pPr>
            <w:r w:rsidRPr="00061913">
              <w:rPr>
                <w:b/>
              </w:rPr>
              <w:t>Total special patients</w:t>
            </w:r>
          </w:p>
        </w:tc>
      </w:tr>
      <w:tr w:rsidR="00BB7D17" w:rsidRPr="00061913" w14:paraId="28E239BD" w14:textId="77777777" w:rsidTr="00E96DD0">
        <w:trPr>
          <w:cantSplit/>
          <w:trHeight w:val="300"/>
        </w:trPr>
        <w:tc>
          <w:tcPr>
            <w:tcW w:w="1158" w:type="pct"/>
            <w:tcBorders>
              <w:bottom w:val="single" w:sz="4" w:space="0" w:color="A6A6A6" w:themeColor="background1" w:themeShade="A6"/>
            </w:tcBorders>
          </w:tcPr>
          <w:p w14:paraId="269EB31A" w14:textId="77777777" w:rsidR="00BB7D17" w:rsidRPr="00061913" w:rsidRDefault="00BB7D17" w:rsidP="00E96DD0">
            <w:pPr>
              <w:pStyle w:val="TableText"/>
            </w:pPr>
            <w:r w:rsidRPr="00061913">
              <w:t>Auckland</w:t>
            </w:r>
          </w:p>
        </w:tc>
        <w:tc>
          <w:tcPr>
            <w:tcW w:w="1280" w:type="pct"/>
            <w:tcBorders>
              <w:bottom w:val="single" w:sz="4" w:space="0" w:color="A6A6A6" w:themeColor="background1" w:themeShade="A6"/>
            </w:tcBorders>
          </w:tcPr>
          <w:p w14:paraId="3149B700" w14:textId="77777777" w:rsidR="00BB7D17" w:rsidRPr="00061913" w:rsidRDefault="00BB7D17" w:rsidP="00E96DD0">
            <w:pPr>
              <w:pStyle w:val="TableText"/>
              <w:tabs>
                <w:tab w:val="decimal" w:pos="1173"/>
              </w:tabs>
              <w:jc w:val="center"/>
            </w:pPr>
            <w:r w:rsidRPr="00061913">
              <w:t>49</w:t>
            </w:r>
          </w:p>
        </w:tc>
        <w:tc>
          <w:tcPr>
            <w:tcW w:w="1281" w:type="pct"/>
            <w:tcBorders>
              <w:bottom w:val="single" w:sz="4" w:space="0" w:color="A6A6A6" w:themeColor="background1" w:themeShade="A6"/>
            </w:tcBorders>
          </w:tcPr>
          <w:p w14:paraId="73FE4A92" w14:textId="77777777" w:rsidR="00BB7D17" w:rsidRPr="00061913" w:rsidRDefault="00BB7D17" w:rsidP="00E96DD0">
            <w:pPr>
              <w:pStyle w:val="TableText"/>
              <w:tabs>
                <w:tab w:val="decimal" w:pos="1173"/>
              </w:tabs>
              <w:jc w:val="center"/>
            </w:pPr>
            <w:r w:rsidRPr="00061913">
              <w:t>103</w:t>
            </w:r>
          </w:p>
        </w:tc>
        <w:tc>
          <w:tcPr>
            <w:tcW w:w="1281" w:type="pct"/>
            <w:tcBorders>
              <w:bottom w:val="single" w:sz="4" w:space="0" w:color="A6A6A6" w:themeColor="background1" w:themeShade="A6"/>
            </w:tcBorders>
          </w:tcPr>
          <w:p w14:paraId="7D7FBF7E" w14:textId="77777777" w:rsidR="00BB7D17" w:rsidRPr="00061913" w:rsidRDefault="00BB7D17" w:rsidP="00E96DD0">
            <w:pPr>
              <w:pStyle w:val="TableText"/>
              <w:tabs>
                <w:tab w:val="decimal" w:pos="1173"/>
              </w:tabs>
              <w:jc w:val="center"/>
            </w:pPr>
            <w:r w:rsidRPr="00061913">
              <w:t>149</w:t>
            </w:r>
          </w:p>
        </w:tc>
      </w:tr>
      <w:tr w:rsidR="00BB7D17" w:rsidRPr="00061913" w14:paraId="581F0C00" w14:textId="77777777" w:rsidTr="00E96DD0">
        <w:trPr>
          <w:cantSplit/>
          <w:trHeight w:val="300"/>
        </w:trPr>
        <w:tc>
          <w:tcPr>
            <w:tcW w:w="1158" w:type="pct"/>
            <w:tcBorders>
              <w:top w:val="single" w:sz="4" w:space="0" w:color="A6A6A6" w:themeColor="background1" w:themeShade="A6"/>
              <w:bottom w:val="single" w:sz="4" w:space="0" w:color="A6A6A6" w:themeColor="background1" w:themeShade="A6"/>
            </w:tcBorders>
          </w:tcPr>
          <w:p w14:paraId="09CDCFF8" w14:textId="77777777" w:rsidR="00BB7D17" w:rsidRPr="00061913" w:rsidRDefault="00BB7D17" w:rsidP="00E96DD0">
            <w:pPr>
              <w:pStyle w:val="TableText"/>
            </w:pPr>
            <w:r w:rsidRPr="00061913">
              <w:t>Canterbury</w:t>
            </w:r>
          </w:p>
        </w:tc>
        <w:tc>
          <w:tcPr>
            <w:tcW w:w="1280" w:type="pct"/>
            <w:tcBorders>
              <w:top w:val="single" w:sz="4" w:space="0" w:color="A6A6A6" w:themeColor="background1" w:themeShade="A6"/>
              <w:bottom w:val="single" w:sz="4" w:space="0" w:color="A6A6A6" w:themeColor="background1" w:themeShade="A6"/>
            </w:tcBorders>
          </w:tcPr>
          <w:p w14:paraId="37B01B6F" w14:textId="77777777" w:rsidR="00BB7D17" w:rsidRPr="00061913" w:rsidRDefault="00BB7D17" w:rsidP="00E96DD0">
            <w:pPr>
              <w:pStyle w:val="TableText"/>
              <w:tabs>
                <w:tab w:val="decimal" w:pos="1173"/>
              </w:tabs>
              <w:jc w:val="center"/>
            </w:pPr>
            <w:r w:rsidRPr="00061913">
              <w:t>17</w:t>
            </w:r>
          </w:p>
        </w:tc>
        <w:tc>
          <w:tcPr>
            <w:tcW w:w="1281" w:type="pct"/>
            <w:tcBorders>
              <w:top w:val="single" w:sz="4" w:space="0" w:color="A6A6A6" w:themeColor="background1" w:themeShade="A6"/>
              <w:bottom w:val="single" w:sz="4" w:space="0" w:color="A6A6A6" w:themeColor="background1" w:themeShade="A6"/>
            </w:tcBorders>
          </w:tcPr>
          <w:p w14:paraId="7A194FF5" w14:textId="77777777" w:rsidR="00BB7D17" w:rsidRPr="00061913" w:rsidRDefault="00BB7D17" w:rsidP="00E96DD0">
            <w:pPr>
              <w:pStyle w:val="TableText"/>
              <w:tabs>
                <w:tab w:val="decimal" w:pos="1173"/>
              </w:tabs>
              <w:jc w:val="center"/>
            </w:pPr>
            <w:r w:rsidRPr="00061913">
              <w:t>26</w:t>
            </w:r>
          </w:p>
        </w:tc>
        <w:tc>
          <w:tcPr>
            <w:tcW w:w="1281" w:type="pct"/>
            <w:tcBorders>
              <w:top w:val="single" w:sz="4" w:space="0" w:color="A6A6A6" w:themeColor="background1" w:themeShade="A6"/>
              <w:bottom w:val="single" w:sz="4" w:space="0" w:color="A6A6A6" w:themeColor="background1" w:themeShade="A6"/>
            </w:tcBorders>
          </w:tcPr>
          <w:p w14:paraId="381D53A7" w14:textId="77777777" w:rsidR="00BB7D17" w:rsidRPr="00061913" w:rsidRDefault="00BB7D17" w:rsidP="00E96DD0">
            <w:pPr>
              <w:pStyle w:val="TableText"/>
              <w:tabs>
                <w:tab w:val="decimal" w:pos="1173"/>
              </w:tabs>
              <w:jc w:val="center"/>
            </w:pPr>
            <w:r w:rsidRPr="00061913">
              <w:t>42</w:t>
            </w:r>
          </w:p>
        </w:tc>
      </w:tr>
      <w:tr w:rsidR="00BB7D17" w:rsidRPr="00061913" w14:paraId="4FED0EBE" w14:textId="77777777" w:rsidTr="00E96DD0">
        <w:trPr>
          <w:cantSplit/>
          <w:trHeight w:val="300"/>
        </w:trPr>
        <w:tc>
          <w:tcPr>
            <w:tcW w:w="1158" w:type="pct"/>
            <w:tcBorders>
              <w:top w:val="single" w:sz="4" w:space="0" w:color="A6A6A6" w:themeColor="background1" w:themeShade="A6"/>
              <w:bottom w:val="single" w:sz="4" w:space="0" w:color="A6A6A6" w:themeColor="background1" w:themeShade="A6"/>
            </w:tcBorders>
          </w:tcPr>
          <w:p w14:paraId="3A1C5024" w14:textId="77777777" w:rsidR="00BB7D17" w:rsidRPr="00061913" w:rsidRDefault="00BB7D17" w:rsidP="00E96DD0">
            <w:pPr>
              <w:pStyle w:val="TableText"/>
            </w:pPr>
            <w:r w:rsidRPr="00061913">
              <w:t>Central</w:t>
            </w:r>
          </w:p>
        </w:tc>
        <w:tc>
          <w:tcPr>
            <w:tcW w:w="1280" w:type="pct"/>
            <w:tcBorders>
              <w:top w:val="single" w:sz="4" w:space="0" w:color="A6A6A6" w:themeColor="background1" w:themeShade="A6"/>
              <w:bottom w:val="single" w:sz="4" w:space="0" w:color="A6A6A6" w:themeColor="background1" w:themeShade="A6"/>
            </w:tcBorders>
          </w:tcPr>
          <w:p w14:paraId="6B3B3D62" w14:textId="77777777" w:rsidR="00BB7D17" w:rsidRPr="00061913" w:rsidRDefault="00BB7D17" w:rsidP="00E96DD0">
            <w:pPr>
              <w:pStyle w:val="TableText"/>
              <w:tabs>
                <w:tab w:val="decimal" w:pos="1173"/>
              </w:tabs>
              <w:jc w:val="center"/>
            </w:pPr>
            <w:r w:rsidRPr="00061913">
              <w:t>64</w:t>
            </w:r>
          </w:p>
        </w:tc>
        <w:tc>
          <w:tcPr>
            <w:tcW w:w="1281" w:type="pct"/>
            <w:tcBorders>
              <w:top w:val="single" w:sz="4" w:space="0" w:color="A6A6A6" w:themeColor="background1" w:themeShade="A6"/>
              <w:bottom w:val="single" w:sz="4" w:space="0" w:color="A6A6A6" w:themeColor="background1" w:themeShade="A6"/>
            </w:tcBorders>
          </w:tcPr>
          <w:p w14:paraId="5AAEBD4E" w14:textId="77777777" w:rsidR="00BB7D17" w:rsidRPr="00061913" w:rsidRDefault="00BB7D17" w:rsidP="00E96DD0">
            <w:pPr>
              <w:pStyle w:val="TableText"/>
              <w:tabs>
                <w:tab w:val="decimal" w:pos="1173"/>
              </w:tabs>
              <w:jc w:val="center"/>
            </w:pPr>
            <w:r w:rsidRPr="00061913">
              <w:t>80</w:t>
            </w:r>
          </w:p>
        </w:tc>
        <w:tc>
          <w:tcPr>
            <w:tcW w:w="1281" w:type="pct"/>
            <w:tcBorders>
              <w:top w:val="single" w:sz="4" w:space="0" w:color="A6A6A6" w:themeColor="background1" w:themeShade="A6"/>
              <w:bottom w:val="single" w:sz="4" w:space="0" w:color="A6A6A6" w:themeColor="background1" w:themeShade="A6"/>
            </w:tcBorders>
          </w:tcPr>
          <w:p w14:paraId="7CA137F8" w14:textId="77777777" w:rsidR="00BB7D17" w:rsidRPr="00061913" w:rsidRDefault="00BB7D17" w:rsidP="00E96DD0">
            <w:pPr>
              <w:pStyle w:val="TableText"/>
              <w:tabs>
                <w:tab w:val="decimal" w:pos="1173"/>
              </w:tabs>
              <w:jc w:val="center"/>
            </w:pPr>
            <w:r w:rsidRPr="00061913">
              <w:t>139</w:t>
            </w:r>
          </w:p>
        </w:tc>
      </w:tr>
      <w:tr w:rsidR="00BB7D17" w:rsidRPr="00061913" w14:paraId="15F85044" w14:textId="77777777" w:rsidTr="00E96DD0">
        <w:trPr>
          <w:cantSplit/>
          <w:trHeight w:val="300"/>
        </w:trPr>
        <w:tc>
          <w:tcPr>
            <w:tcW w:w="1158" w:type="pct"/>
            <w:tcBorders>
              <w:top w:val="single" w:sz="4" w:space="0" w:color="A6A6A6" w:themeColor="background1" w:themeShade="A6"/>
              <w:bottom w:val="single" w:sz="4" w:space="0" w:color="A6A6A6" w:themeColor="background1" w:themeShade="A6"/>
            </w:tcBorders>
          </w:tcPr>
          <w:p w14:paraId="545B6D5B" w14:textId="77777777" w:rsidR="00BB7D17" w:rsidRPr="00061913" w:rsidRDefault="00BB7D17" w:rsidP="00E96DD0">
            <w:pPr>
              <w:pStyle w:val="TableText"/>
            </w:pPr>
            <w:r w:rsidRPr="00061913">
              <w:t>Midland</w:t>
            </w:r>
          </w:p>
        </w:tc>
        <w:tc>
          <w:tcPr>
            <w:tcW w:w="1280" w:type="pct"/>
            <w:tcBorders>
              <w:top w:val="single" w:sz="4" w:space="0" w:color="A6A6A6" w:themeColor="background1" w:themeShade="A6"/>
              <w:bottom w:val="single" w:sz="4" w:space="0" w:color="A6A6A6" w:themeColor="background1" w:themeShade="A6"/>
            </w:tcBorders>
          </w:tcPr>
          <w:p w14:paraId="527F3032" w14:textId="77777777" w:rsidR="00BB7D17" w:rsidRPr="00061913" w:rsidRDefault="00BB7D17" w:rsidP="00E96DD0">
            <w:pPr>
              <w:pStyle w:val="TableText"/>
              <w:tabs>
                <w:tab w:val="decimal" w:pos="1173"/>
              </w:tabs>
              <w:jc w:val="center"/>
            </w:pPr>
            <w:r>
              <w:t>40</w:t>
            </w:r>
          </w:p>
        </w:tc>
        <w:tc>
          <w:tcPr>
            <w:tcW w:w="1281" w:type="pct"/>
            <w:tcBorders>
              <w:top w:val="single" w:sz="4" w:space="0" w:color="A6A6A6" w:themeColor="background1" w:themeShade="A6"/>
              <w:bottom w:val="single" w:sz="4" w:space="0" w:color="A6A6A6" w:themeColor="background1" w:themeShade="A6"/>
            </w:tcBorders>
          </w:tcPr>
          <w:p w14:paraId="7468DCD5" w14:textId="77777777" w:rsidR="00BB7D17" w:rsidRPr="00061913" w:rsidRDefault="00BB7D17" w:rsidP="00E96DD0">
            <w:pPr>
              <w:pStyle w:val="TableText"/>
              <w:tabs>
                <w:tab w:val="decimal" w:pos="1173"/>
              </w:tabs>
              <w:jc w:val="center"/>
            </w:pPr>
            <w:r>
              <w:t>81</w:t>
            </w:r>
          </w:p>
        </w:tc>
        <w:tc>
          <w:tcPr>
            <w:tcW w:w="1281" w:type="pct"/>
            <w:tcBorders>
              <w:top w:val="single" w:sz="4" w:space="0" w:color="A6A6A6" w:themeColor="background1" w:themeShade="A6"/>
              <w:bottom w:val="single" w:sz="4" w:space="0" w:color="A6A6A6" w:themeColor="background1" w:themeShade="A6"/>
            </w:tcBorders>
          </w:tcPr>
          <w:p w14:paraId="75ECBC14" w14:textId="77777777" w:rsidR="00BB7D17" w:rsidRPr="00061913" w:rsidRDefault="00BB7D17" w:rsidP="00E96DD0">
            <w:pPr>
              <w:pStyle w:val="TableText"/>
              <w:tabs>
                <w:tab w:val="decimal" w:pos="1173"/>
              </w:tabs>
              <w:jc w:val="center"/>
            </w:pPr>
            <w:r>
              <w:t>115</w:t>
            </w:r>
          </w:p>
        </w:tc>
      </w:tr>
      <w:tr w:rsidR="00BB7D17" w:rsidRPr="00061913" w14:paraId="4BF45843" w14:textId="77777777" w:rsidTr="00E96DD0">
        <w:trPr>
          <w:cantSplit/>
          <w:trHeight w:val="300"/>
        </w:trPr>
        <w:tc>
          <w:tcPr>
            <w:tcW w:w="1158" w:type="pct"/>
            <w:tcBorders>
              <w:top w:val="single" w:sz="4" w:space="0" w:color="A6A6A6" w:themeColor="background1" w:themeShade="A6"/>
              <w:bottom w:val="single" w:sz="4" w:space="0" w:color="A6A6A6" w:themeColor="background1" w:themeShade="A6"/>
            </w:tcBorders>
          </w:tcPr>
          <w:p w14:paraId="722C0410" w14:textId="77777777" w:rsidR="00BB7D17" w:rsidRPr="00061913" w:rsidRDefault="00BB7D17" w:rsidP="00E96DD0">
            <w:pPr>
              <w:pStyle w:val="TableText"/>
            </w:pPr>
            <w:r w:rsidRPr="00061913">
              <w:t>Southern</w:t>
            </w:r>
          </w:p>
        </w:tc>
        <w:tc>
          <w:tcPr>
            <w:tcW w:w="1280" w:type="pct"/>
            <w:tcBorders>
              <w:top w:val="single" w:sz="4" w:space="0" w:color="A6A6A6" w:themeColor="background1" w:themeShade="A6"/>
              <w:bottom w:val="single" w:sz="4" w:space="0" w:color="A6A6A6" w:themeColor="background1" w:themeShade="A6"/>
            </w:tcBorders>
          </w:tcPr>
          <w:p w14:paraId="1DA4BEF8" w14:textId="77777777" w:rsidR="00BB7D17" w:rsidRPr="00061913" w:rsidRDefault="00BB7D17" w:rsidP="00E96DD0">
            <w:pPr>
              <w:pStyle w:val="TableText"/>
              <w:tabs>
                <w:tab w:val="decimal" w:pos="1173"/>
              </w:tabs>
              <w:jc w:val="center"/>
            </w:pPr>
            <w:r w:rsidRPr="00061913">
              <w:t>9</w:t>
            </w:r>
          </w:p>
        </w:tc>
        <w:tc>
          <w:tcPr>
            <w:tcW w:w="1281" w:type="pct"/>
            <w:tcBorders>
              <w:top w:val="single" w:sz="4" w:space="0" w:color="A6A6A6" w:themeColor="background1" w:themeShade="A6"/>
              <w:bottom w:val="single" w:sz="4" w:space="0" w:color="A6A6A6" w:themeColor="background1" w:themeShade="A6"/>
            </w:tcBorders>
          </w:tcPr>
          <w:p w14:paraId="543EEBF6" w14:textId="77777777" w:rsidR="00BB7D17" w:rsidRPr="00061913" w:rsidRDefault="00BB7D17" w:rsidP="00E96DD0">
            <w:pPr>
              <w:pStyle w:val="TableText"/>
              <w:tabs>
                <w:tab w:val="decimal" w:pos="1173"/>
              </w:tabs>
              <w:jc w:val="center"/>
            </w:pPr>
            <w:r w:rsidRPr="00061913">
              <w:t>14</w:t>
            </w:r>
          </w:p>
        </w:tc>
        <w:tc>
          <w:tcPr>
            <w:tcW w:w="1281" w:type="pct"/>
            <w:tcBorders>
              <w:top w:val="single" w:sz="4" w:space="0" w:color="A6A6A6" w:themeColor="background1" w:themeShade="A6"/>
              <w:bottom w:val="single" w:sz="4" w:space="0" w:color="A6A6A6" w:themeColor="background1" w:themeShade="A6"/>
            </w:tcBorders>
          </w:tcPr>
          <w:p w14:paraId="0CEF1B3B" w14:textId="77777777" w:rsidR="00BB7D17" w:rsidRPr="00061913" w:rsidRDefault="00BB7D17" w:rsidP="00E96DD0">
            <w:pPr>
              <w:pStyle w:val="TableText"/>
              <w:tabs>
                <w:tab w:val="decimal" w:pos="1173"/>
              </w:tabs>
              <w:jc w:val="center"/>
            </w:pPr>
            <w:r w:rsidRPr="00061913">
              <w:t>22</w:t>
            </w:r>
          </w:p>
        </w:tc>
      </w:tr>
      <w:tr w:rsidR="00BB7D17" w:rsidRPr="00061913" w14:paraId="1B74F7D0" w14:textId="77777777" w:rsidTr="00E96DD0">
        <w:trPr>
          <w:cantSplit/>
          <w:trHeight w:val="300"/>
        </w:trPr>
        <w:tc>
          <w:tcPr>
            <w:tcW w:w="1158" w:type="pct"/>
            <w:tcBorders>
              <w:top w:val="single" w:sz="4" w:space="0" w:color="A6A6A6" w:themeColor="background1" w:themeShade="A6"/>
              <w:bottom w:val="single" w:sz="4" w:space="0" w:color="A6A6A6" w:themeColor="background1" w:themeShade="A6"/>
            </w:tcBorders>
          </w:tcPr>
          <w:p w14:paraId="77EAD429" w14:textId="77777777" w:rsidR="00BB7D17" w:rsidRPr="00061913" w:rsidRDefault="00BB7D17" w:rsidP="00E96DD0">
            <w:pPr>
              <w:pStyle w:val="TableText"/>
              <w:rPr>
                <w:b/>
                <w:bCs/>
              </w:rPr>
            </w:pPr>
            <w:r>
              <w:rPr>
                <w:b/>
                <w:bCs/>
              </w:rPr>
              <w:t>Nationally</w:t>
            </w:r>
          </w:p>
        </w:tc>
        <w:tc>
          <w:tcPr>
            <w:tcW w:w="1280" w:type="pct"/>
            <w:tcBorders>
              <w:top w:val="single" w:sz="4" w:space="0" w:color="A6A6A6" w:themeColor="background1" w:themeShade="A6"/>
              <w:bottom w:val="single" w:sz="4" w:space="0" w:color="A6A6A6" w:themeColor="background1" w:themeShade="A6"/>
            </w:tcBorders>
          </w:tcPr>
          <w:p w14:paraId="06DA1039" w14:textId="77777777" w:rsidR="00BB7D17" w:rsidRPr="00061913" w:rsidRDefault="00BB7D17" w:rsidP="00E96DD0">
            <w:pPr>
              <w:pStyle w:val="TableText"/>
              <w:tabs>
                <w:tab w:val="decimal" w:pos="1173"/>
              </w:tabs>
              <w:jc w:val="center"/>
              <w:rPr>
                <w:b/>
                <w:bCs/>
              </w:rPr>
            </w:pPr>
            <w:r>
              <w:rPr>
                <w:b/>
                <w:bCs/>
              </w:rPr>
              <w:t>175</w:t>
            </w:r>
          </w:p>
        </w:tc>
        <w:tc>
          <w:tcPr>
            <w:tcW w:w="1281" w:type="pct"/>
            <w:tcBorders>
              <w:top w:val="single" w:sz="4" w:space="0" w:color="A6A6A6" w:themeColor="background1" w:themeShade="A6"/>
              <w:bottom w:val="single" w:sz="4" w:space="0" w:color="A6A6A6" w:themeColor="background1" w:themeShade="A6"/>
            </w:tcBorders>
          </w:tcPr>
          <w:p w14:paraId="76AD20C3" w14:textId="77777777" w:rsidR="00BB7D17" w:rsidRPr="00061913" w:rsidRDefault="00BB7D17" w:rsidP="00E96DD0">
            <w:pPr>
              <w:pStyle w:val="TableText"/>
              <w:tabs>
                <w:tab w:val="decimal" w:pos="1173"/>
              </w:tabs>
              <w:jc w:val="center"/>
              <w:rPr>
                <w:b/>
                <w:bCs/>
              </w:rPr>
            </w:pPr>
            <w:r>
              <w:rPr>
                <w:b/>
                <w:bCs/>
              </w:rPr>
              <w:t>302</w:t>
            </w:r>
          </w:p>
        </w:tc>
        <w:tc>
          <w:tcPr>
            <w:tcW w:w="1281" w:type="pct"/>
            <w:tcBorders>
              <w:top w:val="single" w:sz="4" w:space="0" w:color="A6A6A6" w:themeColor="background1" w:themeShade="A6"/>
              <w:bottom w:val="single" w:sz="4" w:space="0" w:color="A6A6A6" w:themeColor="background1" w:themeShade="A6"/>
            </w:tcBorders>
          </w:tcPr>
          <w:p w14:paraId="6ACED2AC" w14:textId="77777777" w:rsidR="00BB7D17" w:rsidRPr="00061913" w:rsidRDefault="00BB7D17" w:rsidP="00E96DD0">
            <w:pPr>
              <w:pStyle w:val="TableText"/>
              <w:tabs>
                <w:tab w:val="decimal" w:pos="1173"/>
              </w:tabs>
              <w:jc w:val="center"/>
              <w:rPr>
                <w:b/>
                <w:bCs/>
              </w:rPr>
            </w:pPr>
            <w:r>
              <w:rPr>
                <w:b/>
                <w:bCs/>
              </w:rPr>
              <w:t>461</w:t>
            </w:r>
          </w:p>
        </w:tc>
      </w:tr>
    </w:tbl>
    <w:p w14:paraId="7153AC9E" w14:textId="77777777" w:rsidR="00BB7D17" w:rsidRPr="00061913" w:rsidRDefault="00BB7D17" w:rsidP="00BB7D17">
      <w:pPr>
        <w:pStyle w:val="Note"/>
      </w:pPr>
      <w:r w:rsidRPr="00061913">
        <w:t xml:space="preserve">Notes: Special patients who receive treatment with more than </w:t>
      </w:r>
      <w:r>
        <w:t>one</w:t>
      </w:r>
      <w:r w:rsidRPr="00061913">
        <w:t xml:space="preserve"> service are counted in each, which is why the sum of patients in the </w:t>
      </w:r>
      <w:r>
        <w:t>five</w:t>
      </w:r>
      <w:r w:rsidRPr="00061913">
        <w:t xml:space="preserve"> services is higher than the national total. A patient may be represented under both the EFC and SFC categories in this table. Court orders for a </w:t>
      </w:r>
      <w:r>
        <w:t>small number of</w:t>
      </w:r>
      <w:r w:rsidRPr="00061913">
        <w:t xml:space="preserve"> special patients directed them to receive treatment outside a regional forensic service. This data is excluded to protect patient confidentiality.</w:t>
      </w:r>
    </w:p>
    <w:p w14:paraId="3212233C" w14:textId="77777777" w:rsidR="00BB7D17" w:rsidRPr="00200234" w:rsidRDefault="00BB7D17" w:rsidP="00BB7D17">
      <w:pPr>
        <w:pStyle w:val="Source"/>
      </w:pPr>
      <w:r w:rsidRPr="00061913">
        <w:t>Source: PRIMHD data (extracted 28 February 2024).</w:t>
      </w:r>
    </w:p>
    <w:p w14:paraId="7CDE75C2" w14:textId="77777777" w:rsidR="00BB7D17" w:rsidRPr="00200234" w:rsidRDefault="00BB7D17" w:rsidP="00BB7D17"/>
    <w:p w14:paraId="4BE08E9E" w14:textId="77777777" w:rsidR="00BB7D17" w:rsidRDefault="00BB7D17" w:rsidP="00BB7D17">
      <w:pPr>
        <w:pStyle w:val="Figure"/>
        <w:sectPr w:rsidR="00BB7D17" w:rsidSect="00D4159A">
          <w:pgSz w:w="11907" w:h="16834" w:code="9"/>
          <w:pgMar w:top="1418" w:right="1701" w:bottom="1134" w:left="1843" w:header="284" w:footer="425" w:gutter="284"/>
          <w:cols w:space="720"/>
        </w:sectPr>
      </w:pPr>
      <w:bookmarkStart w:id="573" w:name="_Ref65672426"/>
      <w:bookmarkStart w:id="574" w:name="_Toc63764783"/>
      <w:bookmarkStart w:id="575" w:name="_Toc75176498"/>
      <w:bookmarkStart w:id="576" w:name="_Toc85442590"/>
      <w:bookmarkStart w:id="577" w:name="_Toc85445939"/>
      <w:bookmarkStart w:id="578" w:name="_Toc87429983"/>
      <w:bookmarkStart w:id="579" w:name="_Toc88561415"/>
      <w:bookmarkStart w:id="580" w:name="_Toc115188875"/>
      <w:bookmarkStart w:id="581" w:name="_Toc142314718"/>
      <w:bookmarkStart w:id="582" w:name="_Toc145394300"/>
      <w:bookmarkStart w:id="583" w:name="_Toc189053975"/>
    </w:p>
    <w:p w14:paraId="7D587FD2" w14:textId="194EB6DB" w:rsidR="00BB7D17" w:rsidRDefault="00BB7D17" w:rsidP="00BB7D17">
      <w:pPr>
        <w:pStyle w:val="Figure"/>
      </w:pPr>
      <w:bookmarkStart w:id="584" w:name="_Ref189394011"/>
      <w:bookmarkStart w:id="585" w:name="_Toc189647960"/>
      <w:r>
        <w:t>Figure </w:t>
      </w:r>
      <w:r w:rsidRPr="6AFA72B0">
        <w:fldChar w:fldCharType="begin"/>
      </w:r>
      <w:r>
        <w:instrText xml:space="preserve"> SEQ Figure \* ARABIC </w:instrText>
      </w:r>
      <w:r w:rsidRPr="6AFA72B0">
        <w:fldChar w:fldCharType="separate"/>
      </w:r>
      <w:r w:rsidR="00753BC8">
        <w:rPr>
          <w:noProof/>
        </w:rPr>
        <w:t>34</w:t>
      </w:r>
      <w:r w:rsidRPr="6AFA72B0">
        <w:rPr>
          <w:noProof/>
        </w:rPr>
        <w:fldChar w:fldCharType="end"/>
      </w:r>
      <w:bookmarkEnd w:id="573"/>
      <w:bookmarkEnd w:id="584"/>
      <w:r>
        <w:t xml:space="preserve">: Percentage of court orders given for extended and short-term forensic care, by regional service, 1 </w:t>
      </w:r>
      <w:bookmarkEnd w:id="574"/>
      <w:bookmarkEnd w:id="575"/>
      <w:bookmarkEnd w:id="576"/>
      <w:bookmarkEnd w:id="577"/>
      <w:bookmarkEnd w:id="578"/>
      <w:bookmarkEnd w:id="579"/>
      <w:r>
        <w:t>July 2022 to 30 June 202</w:t>
      </w:r>
      <w:bookmarkEnd w:id="580"/>
      <w:bookmarkEnd w:id="581"/>
      <w:bookmarkEnd w:id="582"/>
      <w:r>
        <w:t>3</w:t>
      </w:r>
      <w:bookmarkEnd w:id="583"/>
      <w:bookmarkEnd w:id="585"/>
    </w:p>
    <w:p w14:paraId="472C8E4E" w14:textId="00C113D5" w:rsidR="00BB7D17" w:rsidRPr="00A85442" w:rsidRDefault="00BB7D17" w:rsidP="00BB7D17">
      <w:r>
        <w:rPr>
          <w:noProof/>
        </w:rPr>
        <w:drawing>
          <wp:inline distT="0" distB="0" distL="0" distR="0" wp14:anchorId="6B45DCA2" wp14:editId="2438B90D">
            <wp:extent cx="5163820" cy="2773680"/>
            <wp:effectExtent l="0" t="0" r="0" b="0"/>
            <wp:docPr id="1297958823" name="Picture 12979588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7958823" name="Picture 1297958823">
                      <a:extLst>
                        <a:ext uri="{C183D7F6-B498-43B3-948B-1728B52AA6E4}">
                          <adec:decorative xmlns:adec="http://schemas.microsoft.com/office/drawing/2017/decorative" val="1"/>
                        </a:ext>
                      </a:extLst>
                    </pic:cNvPr>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163820" cy="2773680"/>
                    </a:xfrm>
                    <a:prstGeom prst="rect">
                      <a:avLst/>
                    </a:prstGeom>
                    <a:noFill/>
                  </pic:spPr>
                </pic:pic>
              </a:graphicData>
            </a:graphic>
          </wp:inline>
        </w:drawing>
      </w:r>
    </w:p>
    <w:p w14:paraId="135C1949" w14:textId="77777777" w:rsidR="00BB7D17" w:rsidRPr="002A6005" w:rsidRDefault="00BB7D17" w:rsidP="00BB7D17">
      <w:pPr>
        <w:pStyle w:val="Note"/>
      </w:pPr>
      <w:r w:rsidRPr="002A6005">
        <w:t xml:space="preserve">Notes: Unlike previous data in this section, this figure is based on a count of court orders rather than the number of special patients. A single special patient may have many court orders in the year, which could include both EFC and SFC, but each special patient’s legal status is counted in only </w:t>
      </w:r>
      <w:r>
        <w:t>one</w:t>
      </w:r>
      <w:r w:rsidRPr="002A6005">
        <w:t xml:space="preserve"> category at any </w:t>
      </w:r>
      <w:r>
        <w:t>one</w:t>
      </w:r>
      <w:r w:rsidRPr="002A6005">
        <w:t xml:space="preserve"> time. Please use caution when comparing the counts of court orders for legal status with the counts of people with either EFC or SFC legal status. </w:t>
      </w:r>
    </w:p>
    <w:p w14:paraId="4F42BBEB" w14:textId="77777777" w:rsidR="00BB7D17" w:rsidRPr="00200234" w:rsidRDefault="00BB7D17" w:rsidP="00BB7D17">
      <w:pPr>
        <w:pStyle w:val="Source"/>
      </w:pPr>
      <w:r w:rsidRPr="002A6005">
        <w:t>Source: PRIMHD data (extracted 28 February 2024).</w:t>
      </w:r>
    </w:p>
    <w:p w14:paraId="38EAEEAD" w14:textId="77777777" w:rsidR="00BB7D17" w:rsidRPr="00200234" w:rsidRDefault="00BB7D17" w:rsidP="00BB7D17">
      <w:pPr>
        <w:pStyle w:val="Heading2"/>
      </w:pPr>
      <w:bookmarkStart w:id="586" w:name="_Toc65141630"/>
      <w:bookmarkStart w:id="587" w:name="_Toc75176454"/>
      <w:bookmarkStart w:id="588" w:name="_Toc115188819"/>
      <w:bookmarkStart w:id="589" w:name="_Toc145394246"/>
      <w:bookmarkStart w:id="590" w:name="_Toc87429921"/>
      <w:bookmarkStart w:id="591" w:name="_Toc88826969"/>
      <w:bookmarkStart w:id="592" w:name="_Toc189053916"/>
      <w:bookmarkStart w:id="593" w:name="_Toc189647905"/>
      <w:r>
        <w:t>Gender</w:t>
      </w:r>
      <w:r w:rsidRPr="00200234">
        <w:t>, age and ethnicity of special patients</w:t>
      </w:r>
      <w:bookmarkEnd w:id="586"/>
      <w:bookmarkEnd w:id="587"/>
      <w:bookmarkEnd w:id="588"/>
      <w:bookmarkEnd w:id="589"/>
      <w:bookmarkEnd w:id="590"/>
      <w:bookmarkEnd w:id="591"/>
      <w:bookmarkEnd w:id="592"/>
      <w:bookmarkEnd w:id="593"/>
    </w:p>
    <w:p w14:paraId="27D32D7A" w14:textId="7A4299EF" w:rsidR="00BB7D17" w:rsidRDefault="00BB7D17" w:rsidP="00BB7D17">
      <w:r w:rsidRPr="00395C85">
        <w:t xml:space="preserve">Special patients were over </w:t>
      </w:r>
      <w:r>
        <w:t>six</w:t>
      </w:r>
      <w:r w:rsidRPr="00395C85">
        <w:t xml:space="preserve"> times more likely to be male (86.</w:t>
      </w:r>
      <w:r>
        <w:t>6</w:t>
      </w:r>
      <w:r w:rsidRPr="00395C85">
        <w:t>%) than female (13.</w:t>
      </w:r>
      <w:r>
        <w:t>4</w:t>
      </w:r>
      <w:r w:rsidRPr="00395C85">
        <w:t>%) (</w:t>
      </w:r>
      <w:r w:rsidRPr="00395C85">
        <w:fldChar w:fldCharType="begin"/>
      </w:r>
      <w:r w:rsidRPr="00395C85">
        <w:instrText xml:space="preserve"> REF _Ref84315086 \h </w:instrText>
      </w:r>
      <w:r>
        <w:instrText xml:space="preserve"> \* MERGEFORMAT </w:instrText>
      </w:r>
      <w:r w:rsidRPr="00395C85">
        <w:fldChar w:fldCharType="separate"/>
      </w:r>
      <w:r w:rsidR="00753BC8">
        <w:t>Figure 35</w:t>
      </w:r>
      <w:r w:rsidRPr="00395C85">
        <w:fldChar w:fldCharType="end"/>
      </w:r>
      <w:r w:rsidRPr="00395C85">
        <w:t xml:space="preserve">). The most common age </w:t>
      </w:r>
      <w:r>
        <w:t>groups</w:t>
      </w:r>
      <w:r w:rsidRPr="00395C85">
        <w:t xml:space="preserve"> for special patients </w:t>
      </w:r>
      <w:r>
        <w:t>in</w:t>
      </w:r>
      <w:r w:rsidRPr="00395C85">
        <w:t xml:space="preserve"> 2022</w:t>
      </w:r>
      <w:r>
        <w:t>/23</w:t>
      </w:r>
      <w:r w:rsidRPr="00395C85">
        <w:t xml:space="preserve"> </w:t>
      </w:r>
      <w:r>
        <w:t>were</w:t>
      </w:r>
      <w:r w:rsidRPr="00395C85">
        <w:t xml:space="preserve"> </w:t>
      </w:r>
      <w:r>
        <w:t xml:space="preserve">25–29 and </w:t>
      </w:r>
      <w:r w:rsidRPr="00395C85">
        <w:t xml:space="preserve">30–34 </w:t>
      </w:r>
      <w:r>
        <w:t xml:space="preserve">years </w:t>
      </w:r>
      <w:r w:rsidRPr="00395C85">
        <w:t>(</w:t>
      </w:r>
      <w:r w:rsidRPr="00395C85">
        <w:fldChar w:fldCharType="begin"/>
      </w:r>
      <w:r w:rsidRPr="00395C85">
        <w:instrText xml:space="preserve"> REF _Ref88550576 \h </w:instrText>
      </w:r>
      <w:r>
        <w:instrText xml:space="preserve"> \* MERGEFORMAT </w:instrText>
      </w:r>
      <w:r w:rsidRPr="00395C85">
        <w:fldChar w:fldCharType="separate"/>
      </w:r>
      <w:r w:rsidR="00753BC8">
        <w:t>Figure 36</w:t>
      </w:r>
      <w:r w:rsidRPr="00395C85">
        <w:fldChar w:fldCharType="end"/>
      </w:r>
      <w:r w:rsidRPr="00395C85">
        <w:t>).</w:t>
      </w:r>
    </w:p>
    <w:p w14:paraId="6B8477DC" w14:textId="77777777" w:rsidR="00BB7D17" w:rsidRDefault="00BB7D17" w:rsidP="00BB7D17"/>
    <w:p w14:paraId="6557367B" w14:textId="3C5FCF32" w:rsidR="00BB7D17" w:rsidRPr="00BB7D17" w:rsidRDefault="00BB7D17" w:rsidP="00BB7D17">
      <w:pPr>
        <w:pStyle w:val="Figure"/>
      </w:pPr>
      <w:bookmarkStart w:id="594" w:name="_Ref84315086"/>
      <w:bookmarkStart w:id="595" w:name="_Ref84315078"/>
      <w:bookmarkStart w:id="596" w:name="_Toc85442591"/>
      <w:bookmarkStart w:id="597" w:name="_Toc85445940"/>
      <w:bookmarkStart w:id="598" w:name="_Toc87429984"/>
      <w:bookmarkStart w:id="599" w:name="_Toc88561416"/>
      <w:bookmarkStart w:id="600" w:name="_Toc115188876"/>
      <w:bookmarkStart w:id="601" w:name="_Toc142314719"/>
      <w:bookmarkStart w:id="602" w:name="_Toc145394301"/>
      <w:bookmarkStart w:id="603" w:name="_Toc189053976"/>
      <w:bookmarkStart w:id="604" w:name="_Toc189647961"/>
      <w:r>
        <w:t>Figure </w:t>
      </w:r>
      <w:r>
        <w:fldChar w:fldCharType="begin"/>
      </w:r>
      <w:r>
        <w:instrText>SEQ Figure \* ARABIC</w:instrText>
      </w:r>
      <w:r>
        <w:fldChar w:fldCharType="separate"/>
      </w:r>
      <w:r w:rsidR="00753BC8">
        <w:rPr>
          <w:noProof/>
        </w:rPr>
        <w:t>35</w:t>
      </w:r>
      <w:r>
        <w:fldChar w:fldCharType="end"/>
      </w:r>
      <w:bookmarkEnd w:id="594"/>
      <w:r w:rsidRPr="00200234">
        <w:t xml:space="preserve">: </w:t>
      </w:r>
      <w:r w:rsidRPr="00272736">
        <w:t xml:space="preserve">Number of special patients, by </w:t>
      </w:r>
      <w:r>
        <w:t>gender</w:t>
      </w:r>
      <w:r w:rsidRPr="00272736">
        <w:t xml:space="preserve">, 1 </w:t>
      </w:r>
      <w:bookmarkEnd w:id="595"/>
      <w:bookmarkEnd w:id="596"/>
      <w:bookmarkEnd w:id="597"/>
      <w:bookmarkEnd w:id="598"/>
      <w:bookmarkEnd w:id="599"/>
      <w:r w:rsidRPr="00272736">
        <w:t xml:space="preserve">July </w:t>
      </w:r>
      <w:r>
        <w:t>2022</w:t>
      </w:r>
      <w:r w:rsidRPr="00272736">
        <w:t xml:space="preserve"> to 30 June 202</w:t>
      </w:r>
      <w:bookmarkEnd w:id="600"/>
      <w:bookmarkEnd w:id="601"/>
      <w:bookmarkEnd w:id="602"/>
      <w:r>
        <w:t>3</w:t>
      </w:r>
      <w:bookmarkEnd w:id="603"/>
      <w:bookmarkEnd w:id="604"/>
    </w:p>
    <w:p w14:paraId="514F59BF" w14:textId="77777777" w:rsidR="00BB7D17" w:rsidRDefault="00BB7D17" w:rsidP="00753A1F">
      <w:pPr>
        <w:rPr>
          <w:rFonts w:eastAsia="Arial Unicode MS"/>
        </w:rPr>
      </w:pPr>
      <w:r>
        <w:rPr>
          <w:rFonts w:eastAsia="Arial Unicode MS"/>
          <w:noProof/>
        </w:rPr>
        <w:drawing>
          <wp:inline distT="0" distB="0" distL="0" distR="0" wp14:anchorId="05C26613" wp14:editId="2F1FEE15">
            <wp:extent cx="4188460" cy="2353310"/>
            <wp:effectExtent l="0" t="0" r="0" b="8890"/>
            <wp:docPr id="1297958824" name="Picture 12979588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7958824" name="Picture 1297958824">
                      <a:extLst>
                        <a:ext uri="{C183D7F6-B498-43B3-948B-1728B52AA6E4}">
                          <adec:decorative xmlns:adec="http://schemas.microsoft.com/office/drawing/2017/decorative" val="1"/>
                        </a:ext>
                      </a:extLst>
                    </pic:cNvPr>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188460" cy="2353310"/>
                    </a:xfrm>
                    <a:prstGeom prst="rect">
                      <a:avLst/>
                    </a:prstGeom>
                    <a:noFill/>
                  </pic:spPr>
                </pic:pic>
              </a:graphicData>
            </a:graphic>
          </wp:inline>
        </w:drawing>
      </w:r>
    </w:p>
    <w:p w14:paraId="6C32CEAC" w14:textId="77777777" w:rsidR="00BB7D17" w:rsidRDefault="00BB7D17" w:rsidP="00BB7D17">
      <w:pPr>
        <w:pStyle w:val="Source"/>
      </w:pPr>
      <w:r w:rsidRPr="00200234">
        <w:t xml:space="preserve">Source: PRIMHD </w:t>
      </w:r>
      <w:r w:rsidRPr="00F3393F">
        <w:t>data</w:t>
      </w:r>
      <w:r>
        <w:t xml:space="preserve"> (extracted</w:t>
      </w:r>
      <w:r w:rsidRPr="00200234">
        <w:t xml:space="preserve"> </w:t>
      </w:r>
      <w:r>
        <w:t>28 February 2024).</w:t>
      </w:r>
    </w:p>
    <w:p w14:paraId="1AEF4509" w14:textId="7FB48529" w:rsidR="00BB7D17" w:rsidRDefault="00BB7D17" w:rsidP="00BB7D17">
      <w:pPr>
        <w:pStyle w:val="Figure"/>
      </w:pPr>
      <w:bookmarkStart w:id="605" w:name="_Ref88550576"/>
      <w:bookmarkStart w:id="606" w:name="_Toc85442592"/>
      <w:bookmarkStart w:id="607" w:name="_Toc85445941"/>
      <w:bookmarkStart w:id="608" w:name="_Toc87429985"/>
      <w:bookmarkStart w:id="609" w:name="_Toc88561417"/>
      <w:bookmarkStart w:id="610" w:name="_Toc115188877"/>
      <w:bookmarkStart w:id="611" w:name="_Toc142314720"/>
      <w:bookmarkStart w:id="612" w:name="_Toc145394302"/>
      <w:bookmarkStart w:id="613" w:name="_Toc189053977"/>
      <w:bookmarkStart w:id="614" w:name="_Toc189647962"/>
      <w:r>
        <w:t>Figure </w:t>
      </w:r>
      <w:r>
        <w:fldChar w:fldCharType="begin"/>
      </w:r>
      <w:r>
        <w:instrText>SEQ Figure \* ARABIC</w:instrText>
      </w:r>
      <w:r>
        <w:fldChar w:fldCharType="separate"/>
      </w:r>
      <w:r w:rsidR="00753BC8">
        <w:rPr>
          <w:noProof/>
        </w:rPr>
        <w:t>36</w:t>
      </w:r>
      <w:r>
        <w:fldChar w:fldCharType="end"/>
      </w:r>
      <w:bookmarkEnd w:id="605"/>
      <w:r w:rsidRPr="00200234">
        <w:t xml:space="preserve">: </w:t>
      </w:r>
      <w:r w:rsidRPr="00705603">
        <w:t>Total number of special patients, by age group, 1 J</w:t>
      </w:r>
      <w:bookmarkEnd w:id="606"/>
      <w:bookmarkEnd w:id="607"/>
      <w:bookmarkEnd w:id="608"/>
      <w:bookmarkEnd w:id="609"/>
      <w:r w:rsidRPr="00705603">
        <w:t>uly 202</w:t>
      </w:r>
      <w:r>
        <w:t>2</w:t>
      </w:r>
      <w:r w:rsidRPr="00705603">
        <w:t xml:space="preserve"> to 30 June 202</w:t>
      </w:r>
      <w:r>
        <w:t>3</w:t>
      </w:r>
      <w:bookmarkEnd w:id="610"/>
      <w:bookmarkEnd w:id="611"/>
      <w:bookmarkEnd w:id="612"/>
      <w:bookmarkEnd w:id="613"/>
      <w:bookmarkEnd w:id="614"/>
    </w:p>
    <w:p w14:paraId="683834E5" w14:textId="1C0DFB6B" w:rsidR="00BB7D17" w:rsidRPr="00A85442" w:rsidRDefault="00BB7D17" w:rsidP="00BB7D17">
      <w:r>
        <w:rPr>
          <w:noProof/>
        </w:rPr>
        <w:drawing>
          <wp:inline distT="0" distB="0" distL="0" distR="0" wp14:anchorId="07961F71" wp14:editId="76FD649B">
            <wp:extent cx="5255260" cy="2731135"/>
            <wp:effectExtent l="0" t="0" r="0" b="0"/>
            <wp:docPr id="1297958825" name="Picture 12979588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7958825" name="Picture 1297958825">
                      <a:extLst>
                        <a:ext uri="{C183D7F6-B498-43B3-948B-1728B52AA6E4}">
                          <adec:decorative xmlns:adec="http://schemas.microsoft.com/office/drawing/2017/decorative" val="1"/>
                        </a:ext>
                      </a:extLst>
                    </pic:cNvPr>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255260" cy="2731135"/>
                    </a:xfrm>
                    <a:prstGeom prst="rect">
                      <a:avLst/>
                    </a:prstGeom>
                    <a:noFill/>
                  </pic:spPr>
                </pic:pic>
              </a:graphicData>
            </a:graphic>
          </wp:inline>
        </w:drawing>
      </w:r>
    </w:p>
    <w:p w14:paraId="4F523219" w14:textId="77777777" w:rsidR="00BB7D17" w:rsidRDefault="00BB7D17" w:rsidP="00BB7D17">
      <w:pPr>
        <w:pStyle w:val="Source"/>
      </w:pPr>
      <w:r w:rsidRPr="00200234">
        <w:t xml:space="preserve">Source: PRIMHD </w:t>
      </w:r>
      <w:r w:rsidRPr="00F3393F">
        <w:t>data</w:t>
      </w:r>
      <w:r>
        <w:t xml:space="preserve"> (extracted</w:t>
      </w:r>
      <w:r w:rsidRPr="00200234">
        <w:t xml:space="preserve"> </w:t>
      </w:r>
      <w:r>
        <w:t>28 February 2024).</w:t>
      </w:r>
    </w:p>
    <w:p w14:paraId="1F58BB0E" w14:textId="77777777" w:rsidR="00BB7D17" w:rsidRDefault="00BB7D17" w:rsidP="00BB7D17"/>
    <w:p w14:paraId="2A0CD6FD" w14:textId="1C3C3EC3" w:rsidR="00BB7D17" w:rsidRDefault="00BB7D17" w:rsidP="00BB7D17">
      <w:r>
        <w:t>Among</w:t>
      </w:r>
      <w:r w:rsidRPr="00200234">
        <w:t xml:space="preserve"> people subject to a special patient order</w:t>
      </w:r>
      <w:r>
        <w:t xml:space="preserve">, </w:t>
      </w:r>
      <w:r w:rsidRPr="00D72A50">
        <w:t>most (53.4%) were Māori (</w:t>
      </w:r>
      <w:r w:rsidRPr="00D72A50">
        <w:fldChar w:fldCharType="begin"/>
      </w:r>
      <w:r w:rsidRPr="00D72A50">
        <w:instrText xml:space="preserve"> REF _Ref141109045 \h </w:instrText>
      </w:r>
      <w:r>
        <w:instrText xml:space="preserve"> \* MERGEFORMAT </w:instrText>
      </w:r>
      <w:r w:rsidRPr="00D72A50">
        <w:fldChar w:fldCharType="separate"/>
      </w:r>
      <w:r w:rsidR="00753BC8">
        <w:t>Figure 37</w:t>
      </w:r>
      <w:r w:rsidRPr="00D72A50">
        <w:fldChar w:fldCharType="end"/>
      </w:r>
      <w:r w:rsidRPr="00D72A50">
        <w:t>). Māori represented the highest proportion of both EFC (43.4%) and SFC (57.9%) special patients.</w:t>
      </w:r>
      <w:r w:rsidRPr="00200234">
        <w:t xml:space="preserve"> </w:t>
      </w:r>
    </w:p>
    <w:p w14:paraId="58B48FA3" w14:textId="21F74B4A" w:rsidR="00BB7D17" w:rsidRDefault="00BB7D17" w:rsidP="00BB7D17"/>
    <w:p w14:paraId="21FB4A96" w14:textId="1733BF5C" w:rsidR="00BB7D17" w:rsidRDefault="00BB7D17" w:rsidP="00BB7D17">
      <w:pPr>
        <w:pStyle w:val="Figure"/>
      </w:pPr>
      <w:bookmarkStart w:id="615" w:name="_Ref141109045"/>
      <w:bookmarkStart w:id="616" w:name="_Toc142314721"/>
      <w:bookmarkStart w:id="617" w:name="_Toc145394303"/>
      <w:bookmarkStart w:id="618" w:name="_Toc189053978"/>
      <w:bookmarkStart w:id="619" w:name="_Toc189647963"/>
      <w:r>
        <w:t>Figure </w:t>
      </w:r>
      <w:r>
        <w:fldChar w:fldCharType="begin"/>
      </w:r>
      <w:r>
        <w:instrText>SEQ Figure \* ARABIC</w:instrText>
      </w:r>
      <w:r>
        <w:fldChar w:fldCharType="separate"/>
      </w:r>
      <w:r w:rsidR="00753BC8">
        <w:rPr>
          <w:noProof/>
        </w:rPr>
        <w:t>37</w:t>
      </w:r>
      <w:r>
        <w:fldChar w:fldCharType="end"/>
      </w:r>
      <w:bookmarkEnd w:id="615"/>
      <w:r w:rsidRPr="00200234">
        <w:t xml:space="preserve">: </w:t>
      </w:r>
      <w:r w:rsidRPr="00962CE9">
        <w:t>Percentage</w:t>
      </w:r>
      <w:r>
        <w:t xml:space="preserve"> (and number)</w:t>
      </w:r>
      <w:r w:rsidRPr="00962CE9">
        <w:t xml:space="preserve"> of special patients, by ethnicity</w:t>
      </w:r>
      <w:r>
        <w:t xml:space="preserve"> and special patient type</w:t>
      </w:r>
      <w:r w:rsidRPr="00962CE9">
        <w:t>, 1</w:t>
      </w:r>
      <w:r>
        <w:t> </w:t>
      </w:r>
      <w:r w:rsidRPr="00962CE9">
        <w:t>July 202</w:t>
      </w:r>
      <w:r>
        <w:t>2</w:t>
      </w:r>
      <w:r w:rsidRPr="00962CE9">
        <w:t xml:space="preserve"> to 30 June 202</w:t>
      </w:r>
      <w:r>
        <w:t>3</w:t>
      </w:r>
      <w:bookmarkEnd w:id="616"/>
      <w:bookmarkEnd w:id="617"/>
      <w:bookmarkEnd w:id="618"/>
      <w:bookmarkEnd w:id="619"/>
    </w:p>
    <w:p w14:paraId="4069130A" w14:textId="5A345DB2" w:rsidR="00BB7D17" w:rsidRPr="00A55698" w:rsidRDefault="00BB7D17" w:rsidP="00BB7D17">
      <w:r>
        <w:rPr>
          <w:noProof/>
        </w:rPr>
        <w:drawing>
          <wp:inline distT="0" distB="0" distL="0" distR="0" wp14:anchorId="668BA280" wp14:editId="72098B5C">
            <wp:extent cx="5148298" cy="2438400"/>
            <wp:effectExtent l="0" t="0" r="0" b="0"/>
            <wp:docPr id="1297958826" name="Picture 12979588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7958826" name="Picture 1297958826">
                      <a:extLst>
                        <a:ext uri="{C183D7F6-B498-43B3-948B-1728B52AA6E4}">
                          <adec:decorative xmlns:adec="http://schemas.microsoft.com/office/drawing/2017/decorative" val="1"/>
                        </a:ext>
                      </a:extLst>
                    </pic:cNvPr>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171107" cy="2449203"/>
                    </a:xfrm>
                    <a:prstGeom prst="rect">
                      <a:avLst/>
                    </a:prstGeom>
                    <a:noFill/>
                  </pic:spPr>
                </pic:pic>
              </a:graphicData>
            </a:graphic>
          </wp:inline>
        </w:drawing>
      </w:r>
    </w:p>
    <w:p w14:paraId="1A0C4977" w14:textId="77777777" w:rsidR="00BB7D17" w:rsidRDefault="00BB7D17" w:rsidP="00BB7D17">
      <w:pPr>
        <w:pStyle w:val="Source"/>
      </w:pPr>
      <w:r w:rsidRPr="00200234">
        <w:t>Note</w:t>
      </w:r>
      <w:r>
        <w:t>s</w:t>
      </w:r>
      <w:r w:rsidRPr="00200234">
        <w:t xml:space="preserve">: </w:t>
      </w:r>
      <w:r>
        <w:t>A single patient may be represented under both the EFC and SFC categories in this figure. Numbers in brackets are the number of special patients. In previous years, people of Asian ethnicity were included as a category; however, due to low numbers in 2022/23, they have been added to the ‘other’ category to avoid identification.</w:t>
      </w:r>
    </w:p>
    <w:p w14:paraId="646B241C" w14:textId="77777777" w:rsidR="00BB7D17" w:rsidRPr="00200234" w:rsidRDefault="00BB7D17" w:rsidP="00BB7D17">
      <w:pPr>
        <w:pStyle w:val="Source"/>
      </w:pPr>
      <w:r w:rsidRPr="00200234">
        <w:t xml:space="preserve">Source: PRIMHD </w:t>
      </w:r>
      <w:r w:rsidRPr="00F3393F">
        <w:t>data</w:t>
      </w:r>
      <w:r>
        <w:t xml:space="preserve"> (extracted</w:t>
      </w:r>
      <w:r w:rsidRPr="00200234">
        <w:t xml:space="preserve"> </w:t>
      </w:r>
      <w:r>
        <w:t>28 February 2024).</w:t>
      </w:r>
    </w:p>
    <w:p w14:paraId="7D5523C1" w14:textId="77777777" w:rsidR="00BB7D17" w:rsidRPr="00200234" w:rsidRDefault="00BB7D17" w:rsidP="00BB7D17">
      <w:pPr>
        <w:pStyle w:val="Heading2"/>
      </w:pPr>
      <w:bookmarkStart w:id="620" w:name="_Toc65141631"/>
      <w:bookmarkStart w:id="621" w:name="_Toc75176455"/>
      <w:bookmarkStart w:id="622" w:name="_Toc87429922"/>
      <w:bookmarkStart w:id="623" w:name="_Toc88826970"/>
      <w:bookmarkStart w:id="624" w:name="_Toc115188820"/>
      <w:bookmarkStart w:id="625" w:name="_Toc145394247"/>
      <w:bookmarkStart w:id="626" w:name="_Toc189053917"/>
      <w:bookmarkStart w:id="627" w:name="_Toc189647906"/>
      <w:r w:rsidRPr="00200234">
        <w:t>Decisions about leave and change of legal status for special and restricted patients</w:t>
      </w:r>
      <w:bookmarkEnd w:id="620"/>
      <w:bookmarkEnd w:id="621"/>
      <w:bookmarkEnd w:id="622"/>
      <w:bookmarkEnd w:id="623"/>
      <w:bookmarkEnd w:id="624"/>
      <w:bookmarkEnd w:id="625"/>
      <w:bookmarkEnd w:id="626"/>
      <w:bookmarkEnd w:id="627"/>
    </w:p>
    <w:p w14:paraId="46499E4C" w14:textId="77777777" w:rsidR="00BB7D17" w:rsidRPr="00200234" w:rsidRDefault="00BB7D17" w:rsidP="00BB7D17">
      <w:r w:rsidRPr="00200234">
        <w:t xml:space="preserve">The Director of Mental Health </w:t>
      </w:r>
      <w:r>
        <w:t xml:space="preserve">(the Director) </w:t>
      </w:r>
      <w:r w:rsidRPr="00200234">
        <w:t>has a central role in managing special patients and restricted patients</w:t>
      </w:r>
      <w:r>
        <w:t xml:space="preserve"> throughout the continuum of care</w:t>
      </w:r>
      <w:r w:rsidRPr="00200234">
        <w:t xml:space="preserve">. The Director must be notified </w:t>
      </w:r>
      <w:r>
        <w:t>when</w:t>
      </w:r>
      <w:r w:rsidRPr="00200234">
        <w:t xml:space="preserve"> special and restricted patients </w:t>
      </w:r>
      <w:r>
        <w:t xml:space="preserve">are admitted, discharged or transferred, </w:t>
      </w:r>
      <w:r w:rsidRPr="00200234">
        <w:t xml:space="preserve">and </w:t>
      </w:r>
      <w:r>
        <w:t xml:space="preserve">when </w:t>
      </w:r>
      <w:r w:rsidRPr="00200234">
        <w:t xml:space="preserve">certain incidents involving these people </w:t>
      </w:r>
      <w:r>
        <w:t xml:space="preserve">occur </w:t>
      </w:r>
      <w:r w:rsidRPr="00200234">
        <w:t xml:space="preserve">(section 43 of the Mental Health Act). The Director may authorise the transfer of patients between </w:t>
      </w:r>
      <w:r>
        <w:t>district</w:t>
      </w:r>
      <w:r w:rsidRPr="00200234">
        <w:t xml:space="preserve">s under section 49 of the Mental Health Act or grant leave for any period no longer than </w:t>
      </w:r>
      <w:r>
        <w:t>seven</w:t>
      </w:r>
      <w:r w:rsidRPr="00200234">
        <w:t xml:space="preserve"> days for certain special and restricted patients (section 52</w:t>
      </w:r>
      <w:r>
        <w:t>A</w:t>
      </w:r>
      <w:r w:rsidRPr="00200234">
        <w:t>).</w:t>
      </w:r>
    </w:p>
    <w:p w14:paraId="114A94C4" w14:textId="77777777" w:rsidR="00BB7D17" w:rsidRPr="00200234" w:rsidRDefault="00BB7D17" w:rsidP="00BB7D17"/>
    <w:p w14:paraId="7539DDCB" w14:textId="77777777" w:rsidR="00BB7D17" w:rsidRPr="00200234" w:rsidRDefault="00BB7D17" w:rsidP="00BB7D17">
      <w:r w:rsidRPr="00200234">
        <w:t>Under section 50</w:t>
      </w:r>
      <w:r>
        <w:t>A</w:t>
      </w:r>
      <w:r w:rsidRPr="00200234">
        <w:t xml:space="preserve"> of the Mental Health Act, the Minister of Health can grant periods of leave for longer than </w:t>
      </w:r>
      <w:r>
        <w:t>seven</w:t>
      </w:r>
      <w:r w:rsidRPr="00200234">
        <w:t xml:space="preserve"> days to certain categories of special patients. The Director briefs the Minister of Health when requests for </w:t>
      </w:r>
      <w:r>
        <w:t xml:space="preserve">this type of </w:t>
      </w:r>
      <w:r w:rsidRPr="00200234">
        <w:t xml:space="preserve">leave are made. </w:t>
      </w:r>
      <w:r>
        <w:t>If the Minister grants t</w:t>
      </w:r>
      <w:r w:rsidRPr="00200234">
        <w:t xml:space="preserve">he first </w:t>
      </w:r>
      <w:r>
        <w:t>application under</w:t>
      </w:r>
      <w:r w:rsidRPr="00200234">
        <w:t xml:space="preserve"> section 50</w:t>
      </w:r>
      <w:r>
        <w:t>A, it</w:t>
      </w:r>
      <w:r w:rsidRPr="00200234">
        <w:t xml:space="preserve"> is usually for a period of </w:t>
      </w:r>
      <w:r>
        <w:t>six</w:t>
      </w:r>
      <w:r w:rsidRPr="00200234">
        <w:t xml:space="preserve"> months</w:t>
      </w:r>
      <w:r>
        <w:t>.</w:t>
      </w:r>
      <w:r w:rsidRPr="00200234">
        <w:t xml:space="preserve"> </w:t>
      </w:r>
      <w:r>
        <w:t>F</w:t>
      </w:r>
      <w:r w:rsidRPr="00200234">
        <w:t>urther applications for ministerial leave</w:t>
      </w:r>
      <w:r>
        <w:t xml:space="preserve"> </w:t>
      </w:r>
      <w:r w:rsidRPr="00200234">
        <w:t>for a period of 12 months</w:t>
      </w:r>
      <w:r w:rsidRPr="009C37F7">
        <w:t xml:space="preserve"> </w:t>
      </w:r>
      <w:r>
        <w:t>are possible</w:t>
      </w:r>
      <w:r w:rsidRPr="00200234">
        <w:t>.</w:t>
      </w:r>
    </w:p>
    <w:p w14:paraId="47FEB699" w14:textId="77777777" w:rsidR="00BB7D17" w:rsidRPr="00200234" w:rsidRDefault="00BB7D17" w:rsidP="00BB7D17"/>
    <w:p w14:paraId="11AFDD2F" w14:textId="77777777" w:rsidR="00BB7D17" w:rsidRPr="00200234" w:rsidRDefault="00BB7D17" w:rsidP="00BB7D17">
      <w:r>
        <w:t>Where a s</w:t>
      </w:r>
      <w:r w:rsidRPr="00200234">
        <w:t xml:space="preserve">pecial patient </w:t>
      </w:r>
      <w:r>
        <w:t>has been aquitted</w:t>
      </w:r>
      <w:r w:rsidRPr="00200234">
        <w:t xml:space="preserve"> </w:t>
      </w:r>
      <w:r>
        <w:t xml:space="preserve"> by reason of </w:t>
      </w:r>
      <w:r w:rsidRPr="00200234">
        <w:t>of insanity</w:t>
      </w:r>
      <w:r>
        <w:t>, or the criminal act is proven but they are not criminally responsible on account of insanity,</w:t>
      </w:r>
      <w:r>
        <w:rPr>
          <w:rStyle w:val="FootnoteReference"/>
        </w:rPr>
        <w:footnoteReference w:id="19"/>
      </w:r>
      <w:r w:rsidRPr="00200234">
        <w:t xml:space="preserve"> </w:t>
      </w:r>
      <w:r>
        <w:t xml:space="preserve">they </w:t>
      </w:r>
      <w:r w:rsidRPr="00200234">
        <w:t>may be considered for a change of legal status if it is determined that their detention as a special patient is no longer necessary to safeguard the</w:t>
      </w:r>
      <w:r>
        <w:t>ir own or the public’s</w:t>
      </w:r>
      <w:r w:rsidRPr="00200234">
        <w:t xml:space="preserve"> interests. This</w:t>
      </w:r>
      <w:r>
        <w:t xml:space="preserve"> change in legal status</w:t>
      </w:r>
      <w:r w:rsidRPr="00200234">
        <w:t xml:space="preserve"> will usually occur after the person has been living successfully in the community on ministerial long leave for several years. </w:t>
      </w:r>
      <w:r>
        <w:t>Forensic s</w:t>
      </w:r>
      <w:r w:rsidRPr="00200234">
        <w:t xml:space="preserve">ervices </w:t>
      </w:r>
      <w:r>
        <w:t>apply</w:t>
      </w:r>
      <w:r w:rsidRPr="00200234">
        <w:t xml:space="preserve"> to the Director for </w:t>
      </w:r>
      <w:r>
        <w:t xml:space="preserve">this </w:t>
      </w:r>
      <w:r w:rsidRPr="00200234">
        <w:t>change. After careful consideration, the Director makes a recommendation for the Minister</w:t>
      </w:r>
      <w:r>
        <w:t xml:space="preserve"> of Health’</w:t>
      </w:r>
      <w:r w:rsidRPr="00200234">
        <w:t>s decision about a person</w:t>
      </w:r>
      <w:r>
        <w:t>’</w:t>
      </w:r>
      <w:r w:rsidRPr="00200234">
        <w:t>s legal status.</w:t>
      </w:r>
    </w:p>
    <w:p w14:paraId="22C50022" w14:textId="77777777" w:rsidR="00BB7D17" w:rsidRPr="00200234" w:rsidRDefault="00BB7D17" w:rsidP="00BB7D17"/>
    <w:p w14:paraId="7AA2EAB2" w14:textId="53AC9227" w:rsidR="00BB7D17" w:rsidRDefault="00BB7D17" w:rsidP="00BB7D17">
      <w:r>
        <w:fldChar w:fldCharType="begin"/>
      </w:r>
      <w:r>
        <w:instrText xml:space="preserve"> REF _Ref85451994 \h  \* MERGEFORMAT </w:instrText>
      </w:r>
      <w:r>
        <w:fldChar w:fldCharType="separate"/>
      </w:r>
      <w:r w:rsidR="00753BC8" w:rsidRPr="004B150F">
        <w:t>Table </w:t>
      </w:r>
      <w:r w:rsidR="00753BC8">
        <w:t>14</w:t>
      </w:r>
      <w:r>
        <w:fldChar w:fldCharType="end"/>
      </w:r>
      <w:r w:rsidRPr="00200234">
        <w:t xml:space="preserve"> shows the number of applications for </w:t>
      </w:r>
      <w:r>
        <w:t xml:space="preserve">granting </w:t>
      </w:r>
      <w:r w:rsidRPr="00200234">
        <w:t>section 50</w:t>
      </w:r>
      <w:r>
        <w:t>A</w:t>
      </w:r>
      <w:r w:rsidRPr="00200234">
        <w:t xml:space="preserve"> long leave, revo</w:t>
      </w:r>
      <w:r>
        <w:t>king that</w:t>
      </w:r>
      <w:r w:rsidRPr="00200234">
        <w:t xml:space="preserve"> leave and reclassif</w:t>
      </w:r>
      <w:r>
        <w:t>ying a person’s legal status that</w:t>
      </w:r>
      <w:r w:rsidRPr="00200234">
        <w:t xml:space="preserve"> </w:t>
      </w:r>
      <w:r>
        <w:t>the</w:t>
      </w:r>
      <w:r w:rsidRPr="00200234">
        <w:t xml:space="preserve"> Office </w:t>
      </w:r>
      <w:r>
        <w:t xml:space="preserve">of the Director of Mental Health and Addiction Services </w:t>
      </w:r>
      <w:r w:rsidRPr="00200234">
        <w:t>processed</w:t>
      </w:r>
      <w:r>
        <w:t xml:space="preserve"> through to the Minister of Health</w:t>
      </w:r>
      <w:r w:rsidRPr="00200234">
        <w:t xml:space="preserve"> </w:t>
      </w:r>
      <w:r>
        <w:t>in 2022/23</w:t>
      </w:r>
      <w:r w:rsidRPr="00200234">
        <w:t>.</w:t>
      </w:r>
    </w:p>
    <w:p w14:paraId="5712A067" w14:textId="77777777" w:rsidR="00BB7D17" w:rsidRPr="00200234" w:rsidRDefault="00BB7D17" w:rsidP="00BB7D17"/>
    <w:p w14:paraId="00A0856F" w14:textId="6F659CEF" w:rsidR="00BB7D17" w:rsidRDefault="00BB7D17" w:rsidP="00BB7D17">
      <w:pPr>
        <w:pStyle w:val="Table"/>
      </w:pPr>
      <w:bookmarkStart w:id="628" w:name="_Ref85451994"/>
      <w:bookmarkStart w:id="629" w:name="_Toc87430011"/>
      <w:bookmarkStart w:id="630" w:name="_Toc88561368"/>
      <w:bookmarkStart w:id="631" w:name="_Toc115188903"/>
      <w:bookmarkStart w:id="632" w:name="_Toc142314764"/>
      <w:bookmarkStart w:id="633" w:name="_Toc145394327"/>
      <w:bookmarkStart w:id="634" w:name="_Toc189054005"/>
      <w:bookmarkStart w:id="635" w:name="_Toc189647990"/>
      <w:r w:rsidRPr="004B150F">
        <w:t>Table </w:t>
      </w:r>
      <w:r>
        <w:fldChar w:fldCharType="begin"/>
      </w:r>
      <w:r>
        <w:instrText>SEQ Table \* ARABIC</w:instrText>
      </w:r>
      <w:r>
        <w:fldChar w:fldCharType="separate"/>
      </w:r>
      <w:r w:rsidR="00753BC8">
        <w:rPr>
          <w:noProof/>
        </w:rPr>
        <w:t>14</w:t>
      </w:r>
      <w:r>
        <w:fldChar w:fldCharType="end"/>
      </w:r>
      <w:bookmarkEnd w:id="628"/>
      <w:r w:rsidRPr="004B150F">
        <w:t>: Number of</w:t>
      </w:r>
      <w:r w:rsidRPr="00EB085C">
        <w:t xml:space="preserve"> </w:t>
      </w:r>
      <w:r w:rsidRPr="004B150F">
        <w:t>applications</w:t>
      </w:r>
      <w:r>
        <w:t xml:space="preserve"> for granting</w:t>
      </w:r>
      <w:r w:rsidRPr="004B150F">
        <w:t xml:space="preserve"> section 50</w:t>
      </w:r>
      <w:r>
        <w:t>A</w:t>
      </w:r>
      <w:r w:rsidRPr="004B150F">
        <w:t xml:space="preserve"> long leave, revo</w:t>
      </w:r>
      <w:r>
        <w:t>king that leave</w:t>
      </w:r>
      <w:r w:rsidRPr="004B150F">
        <w:t xml:space="preserve"> and reclassif</w:t>
      </w:r>
      <w:r>
        <w:t>ying legal status that</w:t>
      </w:r>
      <w:r w:rsidRPr="004B150F">
        <w:t xml:space="preserve"> the Minister of Health </w:t>
      </w:r>
      <w:r>
        <w:t xml:space="preserve">received </w:t>
      </w:r>
      <w:r w:rsidRPr="004B150F">
        <w:t>for special and restricted patients, 1 J</w:t>
      </w:r>
      <w:bookmarkEnd w:id="629"/>
      <w:bookmarkEnd w:id="630"/>
      <w:r w:rsidRPr="004B150F">
        <w:t>uly 202</w:t>
      </w:r>
      <w:r>
        <w:t>2</w:t>
      </w:r>
      <w:r w:rsidRPr="004B150F">
        <w:t xml:space="preserve"> to 30 June 202</w:t>
      </w:r>
      <w:r>
        <w:t>3</w:t>
      </w:r>
      <w:bookmarkEnd w:id="631"/>
      <w:bookmarkEnd w:id="632"/>
      <w:bookmarkEnd w:id="633"/>
      <w:bookmarkEnd w:id="634"/>
      <w:bookmarkEnd w:id="635"/>
    </w:p>
    <w:tbl>
      <w:tblPr>
        <w:tblW w:w="8023" w:type="dxa"/>
        <w:tblInd w:w="57" w:type="dxa"/>
        <w:tblLayout w:type="fixed"/>
        <w:tblCellMar>
          <w:left w:w="57" w:type="dxa"/>
          <w:right w:w="57" w:type="dxa"/>
        </w:tblCellMar>
        <w:tblLook w:val="01E0" w:firstRow="1" w:lastRow="1" w:firstColumn="1" w:lastColumn="1" w:noHBand="0" w:noVBand="0"/>
      </w:tblPr>
      <w:tblGrid>
        <w:gridCol w:w="5046"/>
        <w:gridCol w:w="2977"/>
      </w:tblGrid>
      <w:tr w:rsidR="00BB7D17" w:rsidRPr="008E5A9E" w14:paraId="5D06B1A1" w14:textId="77777777" w:rsidTr="00E96DD0">
        <w:trPr>
          <w:cantSplit/>
        </w:trPr>
        <w:tc>
          <w:tcPr>
            <w:tcW w:w="5046" w:type="dxa"/>
            <w:shd w:val="clear" w:color="auto" w:fill="D9D9D9" w:themeFill="background1" w:themeFillShade="D9"/>
          </w:tcPr>
          <w:p w14:paraId="292BAA06" w14:textId="77777777" w:rsidR="00BB7D17" w:rsidRPr="00097BF7" w:rsidRDefault="00BB7D17" w:rsidP="00E96DD0">
            <w:pPr>
              <w:pStyle w:val="TableText"/>
              <w:keepNext/>
              <w:rPr>
                <w:b/>
              </w:rPr>
            </w:pPr>
            <w:bookmarkStart w:id="636" w:name="_Hlk62740241"/>
            <w:r w:rsidRPr="00097BF7">
              <w:rPr>
                <w:b/>
              </w:rPr>
              <w:t>Type of request</w:t>
            </w:r>
          </w:p>
        </w:tc>
        <w:tc>
          <w:tcPr>
            <w:tcW w:w="2977" w:type="dxa"/>
            <w:shd w:val="clear" w:color="auto" w:fill="D9D9D9" w:themeFill="background1" w:themeFillShade="D9"/>
          </w:tcPr>
          <w:p w14:paraId="0B267297" w14:textId="77777777" w:rsidR="00BB7D17" w:rsidRPr="00097BF7" w:rsidRDefault="00BB7D17" w:rsidP="00E96DD0">
            <w:pPr>
              <w:pStyle w:val="TableText"/>
              <w:keepNext/>
              <w:jc w:val="center"/>
              <w:rPr>
                <w:b/>
              </w:rPr>
            </w:pPr>
            <w:r w:rsidRPr="00097BF7">
              <w:rPr>
                <w:b/>
              </w:rPr>
              <w:t>Number completed</w:t>
            </w:r>
          </w:p>
        </w:tc>
      </w:tr>
      <w:tr w:rsidR="00BB7D17" w:rsidRPr="005D237F" w14:paraId="590AB0D3" w14:textId="77777777" w:rsidTr="00E96DD0">
        <w:trPr>
          <w:cantSplit/>
        </w:trPr>
        <w:tc>
          <w:tcPr>
            <w:tcW w:w="5046" w:type="dxa"/>
            <w:tcBorders>
              <w:bottom w:val="single" w:sz="4" w:space="0" w:color="A6A6A6" w:themeColor="background1" w:themeShade="A6"/>
            </w:tcBorders>
          </w:tcPr>
          <w:p w14:paraId="64D95A78" w14:textId="77777777" w:rsidR="00BB7D17" w:rsidRPr="00097BF7" w:rsidRDefault="00BB7D17" w:rsidP="00E96DD0">
            <w:pPr>
              <w:pStyle w:val="TableText"/>
              <w:keepNext/>
            </w:pPr>
            <w:r w:rsidRPr="00097BF7">
              <w:t>Initial ministerial section 50A leave applications approved</w:t>
            </w:r>
          </w:p>
        </w:tc>
        <w:tc>
          <w:tcPr>
            <w:tcW w:w="2977" w:type="dxa"/>
            <w:tcBorders>
              <w:bottom w:val="single" w:sz="4" w:space="0" w:color="A6A6A6" w:themeColor="background1" w:themeShade="A6"/>
            </w:tcBorders>
          </w:tcPr>
          <w:p w14:paraId="0170A230" w14:textId="77777777" w:rsidR="00BB7D17" w:rsidRPr="00097BF7" w:rsidRDefault="00BB7D17" w:rsidP="00E96DD0">
            <w:pPr>
              <w:pStyle w:val="TableText"/>
              <w:keepNext/>
              <w:tabs>
                <w:tab w:val="decimal" w:pos="1360"/>
              </w:tabs>
              <w:jc w:val="center"/>
            </w:pPr>
            <w:r w:rsidRPr="00097BF7">
              <w:t>10</w:t>
            </w:r>
          </w:p>
        </w:tc>
      </w:tr>
      <w:tr w:rsidR="00BB7D17" w:rsidRPr="005D237F" w14:paraId="6114AC43" w14:textId="77777777" w:rsidTr="00E96DD0">
        <w:trPr>
          <w:cantSplit/>
        </w:trPr>
        <w:tc>
          <w:tcPr>
            <w:tcW w:w="5046" w:type="dxa"/>
            <w:tcBorders>
              <w:top w:val="single" w:sz="4" w:space="0" w:color="A6A6A6" w:themeColor="background1" w:themeShade="A6"/>
              <w:bottom w:val="single" w:sz="4" w:space="0" w:color="A6A6A6" w:themeColor="background1" w:themeShade="A6"/>
            </w:tcBorders>
          </w:tcPr>
          <w:p w14:paraId="0A2E80FF" w14:textId="77777777" w:rsidR="00BB7D17" w:rsidRPr="00097BF7" w:rsidRDefault="00BB7D17" w:rsidP="00E96DD0">
            <w:pPr>
              <w:pStyle w:val="TableText"/>
              <w:keepNext/>
            </w:pPr>
            <w:r w:rsidRPr="00097BF7">
              <w:t>Initial ministerial section 50A leave applications not approved</w:t>
            </w:r>
          </w:p>
        </w:tc>
        <w:tc>
          <w:tcPr>
            <w:tcW w:w="2977" w:type="dxa"/>
            <w:tcBorders>
              <w:top w:val="single" w:sz="4" w:space="0" w:color="A6A6A6" w:themeColor="background1" w:themeShade="A6"/>
              <w:bottom w:val="single" w:sz="4" w:space="0" w:color="A6A6A6" w:themeColor="background1" w:themeShade="A6"/>
            </w:tcBorders>
          </w:tcPr>
          <w:p w14:paraId="35177C9F" w14:textId="77777777" w:rsidR="00BB7D17" w:rsidRPr="00097BF7" w:rsidRDefault="00BB7D17" w:rsidP="00E96DD0">
            <w:pPr>
              <w:pStyle w:val="TableText"/>
              <w:keepNext/>
              <w:tabs>
                <w:tab w:val="decimal" w:pos="1360"/>
              </w:tabs>
              <w:jc w:val="center"/>
            </w:pPr>
            <w:r w:rsidRPr="00097BF7">
              <w:t>0</w:t>
            </w:r>
          </w:p>
        </w:tc>
      </w:tr>
      <w:tr w:rsidR="00BB7D17" w:rsidRPr="005D237F" w14:paraId="53736797" w14:textId="77777777" w:rsidTr="00E96DD0">
        <w:trPr>
          <w:cantSplit/>
        </w:trPr>
        <w:tc>
          <w:tcPr>
            <w:tcW w:w="5046" w:type="dxa"/>
            <w:tcBorders>
              <w:top w:val="single" w:sz="4" w:space="0" w:color="A6A6A6" w:themeColor="background1" w:themeShade="A6"/>
              <w:bottom w:val="single" w:sz="4" w:space="0" w:color="A6A6A6" w:themeColor="background1" w:themeShade="A6"/>
            </w:tcBorders>
          </w:tcPr>
          <w:p w14:paraId="712171A2" w14:textId="77777777" w:rsidR="00BB7D17" w:rsidRPr="00097BF7" w:rsidRDefault="00BB7D17" w:rsidP="00E96DD0">
            <w:pPr>
              <w:pStyle w:val="TableText"/>
              <w:keepNext/>
            </w:pPr>
            <w:r w:rsidRPr="00097BF7">
              <w:t>Ministerial section 50A leave revocations (initial and further)</w:t>
            </w:r>
          </w:p>
        </w:tc>
        <w:tc>
          <w:tcPr>
            <w:tcW w:w="2977" w:type="dxa"/>
            <w:tcBorders>
              <w:top w:val="single" w:sz="4" w:space="0" w:color="A6A6A6" w:themeColor="background1" w:themeShade="A6"/>
              <w:bottom w:val="single" w:sz="4" w:space="0" w:color="A6A6A6" w:themeColor="background1" w:themeShade="A6"/>
            </w:tcBorders>
          </w:tcPr>
          <w:p w14:paraId="2B115840" w14:textId="77777777" w:rsidR="00BB7D17" w:rsidRPr="00097BF7" w:rsidRDefault="00BB7D17" w:rsidP="00E96DD0">
            <w:pPr>
              <w:pStyle w:val="TableText"/>
              <w:keepNext/>
              <w:tabs>
                <w:tab w:val="decimal" w:pos="1360"/>
              </w:tabs>
              <w:jc w:val="center"/>
            </w:pPr>
            <w:r w:rsidRPr="00097BF7">
              <w:t>1</w:t>
            </w:r>
          </w:p>
        </w:tc>
      </w:tr>
      <w:tr w:rsidR="00BB7D17" w:rsidRPr="005D237F" w14:paraId="1186FCFF" w14:textId="77777777" w:rsidTr="00E96DD0">
        <w:trPr>
          <w:cantSplit/>
        </w:trPr>
        <w:tc>
          <w:tcPr>
            <w:tcW w:w="5046" w:type="dxa"/>
            <w:tcBorders>
              <w:top w:val="single" w:sz="4" w:space="0" w:color="A6A6A6" w:themeColor="background1" w:themeShade="A6"/>
              <w:bottom w:val="single" w:sz="4" w:space="0" w:color="A6A6A6" w:themeColor="background1" w:themeShade="A6"/>
            </w:tcBorders>
          </w:tcPr>
          <w:p w14:paraId="0D59EB9E" w14:textId="77777777" w:rsidR="00BB7D17" w:rsidRPr="00097BF7" w:rsidRDefault="00BB7D17" w:rsidP="00E96DD0">
            <w:pPr>
              <w:pStyle w:val="TableText"/>
              <w:keepNext/>
            </w:pPr>
            <w:r w:rsidRPr="00097BF7">
              <w:t>Further ministerial section 50A leave applications approved</w:t>
            </w:r>
          </w:p>
        </w:tc>
        <w:tc>
          <w:tcPr>
            <w:tcW w:w="2977" w:type="dxa"/>
            <w:tcBorders>
              <w:top w:val="single" w:sz="4" w:space="0" w:color="A6A6A6" w:themeColor="background1" w:themeShade="A6"/>
              <w:bottom w:val="single" w:sz="4" w:space="0" w:color="A6A6A6" w:themeColor="background1" w:themeShade="A6"/>
            </w:tcBorders>
          </w:tcPr>
          <w:p w14:paraId="4DB0C51E" w14:textId="77777777" w:rsidR="00BB7D17" w:rsidRPr="00097BF7" w:rsidRDefault="00BB7D17" w:rsidP="00E96DD0">
            <w:pPr>
              <w:pStyle w:val="TableText"/>
              <w:keepNext/>
              <w:tabs>
                <w:tab w:val="decimal" w:pos="1360"/>
              </w:tabs>
              <w:jc w:val="center"/>
            </w:pPr>
            <w:r w:rsidRPr="00097BF7">
              <w:t>21</w:t>
            </w:r>
          </w:p>
        </w:tc>
      </w:tr>
      <w:tr w:rsidR="00BB7D17" w:rsidRPr="005D237F" w14:paraId="66CEF867" w14:textId="77777777" w:rsidTr="00E96DD0">
        <w:trPr>
          <w:cantSplit/>
        </w:trPr>
        <w:tc>
          <w:tcPr>
            <w:tcW w:w="5046" w:type="dxa"/>
            <w:tcBorders>
              <w:top w:val="single" w:sz="4" w:space="0" w:color="A6A6A6" w:themeColor="background1" w:themeShade="A6"/>
              <w:bottom w:val="single" w:sz="4" w:space="0" w:color="A6A6A6" w:themeColor="background1" w:themeShade="A6"/>
            </w:tcBorders>
          </w:tcPr>
          <w:p w14:paraId="02A48819" w14:textId="77777777" w:rsidR="00BB7D17" w:rsidRPr="00097BF7" w:rsidRDefault="00BB7D17" w:rsidP="00E96DD0">
            <w:pPr>
              <w:pStyle w:val="TableText"/>
              <w:keepNext/>
            </w:pPr>
            <w:r w:rsidRPr="00097BF7">
              <w:t>Further ministerial section 50A applications not approved</w:t>
            </w:r>
          </w:p>
        </w:tc>
        <w:tc>
          <w:tcPr>
            <w:tcW w:w="2977" w:type="dxa"/>
            <w:tcBorders>
              <w:top w:val="single" w:sz="4" w:space="0" w:color="A6A6A6" w:themeColor="background1" w:themeShade="A6"/>
              <w:bottom w:val="single" w:sz="4" w:space="0" w:color="A6A6A6" w:themeColor="background1" w:themeShade="A6"/>
            </w:tcBorders>
          </w:tcPr>
          <w:p w14:paraId="7D05E92A" w14:textId="77777777" w:rsidR="00BB7D17" w:rsidRPr="00097BF7" w:rsidRDefault="00BB7D17" w:rsidP="00E96DD0">
            <w:pPr>
              <w:pStyle w:val="TableText"/>
              <w:keepNext/>
              <w:tabs>
                <w:tab w:val="decimal" w:pos="1360"/>
              </w:tabs>
              <w:jc w:val="center"/>
            </w:pPr>
            <w:r w:rsidRPr="00097BF7">
              <w:t>0</w:t>
            </w:r>
          </w:p>
        </w:tc>
      </w:tr>
      <w:tr w:rsidR="00BB7D17" w:rsidRPr="005D237F" w14:paraId="59604FD5" w14:textId="77777777" w:rsidTr="00E96DD0">
        <w:trPr>
          <w:cantSplit/>
        </w:trPr>
        <w:tc>
          <w:tcPr>
            <w:tcW w:w="5046" w:type="dxa"/>
            <w:tcBorders>
              <w:top w:val="single" w:sz="4" w:space="0" w:color="A6A6A6" w:themeColor="background1" w:themeShade="A6"/>
              <w:bottom w:val="single" w:sz="4" w:space="0" w:color="A6A6A6" w:themeColor="background1" w:themeShade="A6"/>
            </w:tcBorders>
          </w:tcPr>
          <w:p w14:paraId="2D1C79D6" w14:textId="77777777" w:rsidR="00BB7D17" w:rsidRPr="00097BF7" w:rsidRDefault="00BB7D17" w:rsidP="00E96DD0">
            <w:pPr>
              <w:pStyle w:val="TableText"/>
              <w:keepNext/>
            </w:pPr>
            <w:r w:rsidRPr="00097BF7">
              <w:t>Change of legal status applications approved</w:t>
            </w:r>
          </w:p>
        </w:tc>
        <w:tc>
          <w:tcPr>
            <w:tcW w:w="2977" w:type="dxa"/>
            <w:tcBorders>
              <w:top w:val="single" w:sz="4" w:space="0" w:color="A6A6A6" w:themeColor="background1" w:themeShade="A6"/>
              <w:bottom w:val="single" w:sz="4" w:space="0" w:color="A6A6A6" w:themeColor="background1" w:themeShade="A6"/>
            </w:tcBorders>
          </w:tcPr>
          <w:p w14:paraId="387AC83B" w14:textId="77777777" w:rsidR="00BB7D17" w:rsidRPr="00097BF7" w:rsidRDefault="00BB7D17" w:rsidP="00E96DD0">
            <w:pPr>
              <w:pStyle w:val="TableText"/>
              <w:keepNext/>
              <w:tabs>
                <w:tab w:val="decimal" w:pos="1360"/>
              </w:tabs>
              <w:jc w:val="center"/>
            </w:pPr>
            <w:r w:rsidRPr="00097BF7">
              <w:t>4</w:t>
            </w:r>
          </w:p>
        </w:tc>
      </w:tr>
      <w:tr w:rsidR="00BB7D17" w:rsidRPr="005D237F" w14:paraId="17F0306C" w14:textId="77777777" w:rsidTr="00E96DD0">
        <w:trPr>
          <w:cantSplit/>
        </w:trPr>
        <w:tc>
          <w:tcPr>
            <w:tcW w:w="5046" w:type="dxa"/>
            <w:tcBorders>
              <w:top w:val="single" w:sz="4" w:space="0" w:color="A6A6A6" w:themeColor="background1" w:themeShade="A6"/>
              <w:bottom w:val="single" w:sz="4" w:space="0" w:color="A6A6A6" w:themeColor="background1" w:themeShade="A6"/>
            </w:tcBorders>
          </w:tcPr>
          <w:p w14:paraId="5EE37465" w14:textId="77777777" w:rsidR="00BB7D17" w:rsidRPr="00097BF7" w:rsidRDefault="00BB7D17" w:rsidP="00E96DD0">
            <w:pPr>
              <w:pStyle w:val="TableText"/>
              <w:keepNext/>
            </w:pPr>
            <w:r w:rsidRPr="00097BF7">
              <w:t>Change of legal status applications not approved</w:t>
            </w:r>
          </w:p>
        </w:tc>
        <w:tc>
          <w:tcPr>
            <w:tcW w:w="2977" w:type="dxa"/>
            <w:tcBorders>
              <w:top w:val="single" w:sz="4" w:space="0" w:color="A6A6A6" w:themeColor="background1" w:themeShade="A6"/>
              <w:bottom w:val="single" w:sz="4" w:space="0" w:color="A6A6A6" w:themeColor="background1" w:themeShade="A6"/>
            </w:tcBorders>
          </w:tcPr>
          <w:p w14:paraId="56F5349C" w14:textId="77777777" w:rsidR="00BB7D17" w:rsidRPr="00097BF7" w:rsidRDefault="00BB7D17" w:rsidP="00E96DD0">
            <w:pPr>
              <w:pStyle w:val="TableText"/>
              <w:keepNext/>
              <w:tabs>
                <w:tab w:val="decimal" w:pos="1360"/>
              </w:tabs>
              <w:jc w:val="center"/>
            </w:pPr>
            <w:r w:rsidRPr="00097BF7">
              <w:t>1</w:t>
            </w:r>
          </w:p>
        </w:tc>
      </w:tr>
      <w:tr w:rsidR="00BB7D17" w:rsidRPr="008E5A9E" w14:paraId="43EC0C9F" w14:textId="77777777" w:rsidTr="00E96DD0">
        <w:trPr>
          <w:cantSplit/>
        </w:trPr>
        <w:tc>
          <w:tcPr>
            <w:tcW w:w="5046" w:type="dxa"/>
            <w:tcBorders>
              <w:top w:val="single" w:sz="4" w:space="0" w:color="A6A6A6" w:themeColor="background1" w:themeShade="A6"/>
              <w:bottom w:val="single" w:sz="4" w:space="0" w:color="A6A6A6" w:themeColor="background1" w:themeShade="A6"/>
            </w:tcBorders>
          </w:tcPr>
          <w:p w14:paraId="747E5A5A" w14:textId="77777777" w:rsidR="00BB7D17" w:rsidRPr="00097BF7" w:rsidRDefault="00BB7D17" w:rsidP="00E96DD0">
            <w:pPr>
              <w:pStyle w:val="TableText"/>
              <w:keepNext/>
              <w:rPr>
                <w:b/>
              </w:rPr>
            </w:pPr>
            <w:r w:rsidRPr="00097BF7">
              <w:rPr>
                <w:b/>
              </w:rPr>
              <w:t>Total applications completed</w:t>
            </w:r>
          </w:p>
        </w:tc>
        <w:tc>
          <w:tcPr>
            <w:tcW w:w="2977" w:type="dxa"/>
            <w:tcBorders>
              <w:top w:val="single" w:sz="4" w:space="0" w:color="A6A6A6" w:themeColor="background1" w:themeShade="A6"/>
              <w:bottom w:val="single" w:sz="4" w:space="0" w:color="A6A6A6" w:themeColor="background1" w:themeShade="A6"/>
            </w:tcBorders>
          </w:tcPr>
          <w:p w14:paraId="2E5D1499" w14:textId="77777777" w:rsidR="00BB7D17" w:rsidRPr="00097BF7" w:rsidRDefault="00BB7D17" w:rsidP="00E96DD0">
            <w:pPr>
              <w:pStyle w:val="TableText"/>
              <w:keepNext/>
              <w:tabs>
                <w:tab w:val="decimal" w:pos="1360"/>
              </w:tabs>
              <w:jc w:val="center"/>
              <w:rPr>
                <w:b/>
              </w:rPr>
            </w:pPr>
            <w:r w:rsidRPr="00097BF7">
              <w:rPr>
                <w:b/>
              </w:rPr>
              <w:t>37</w:t>
            </w:r>
          </w:p>
        </w:tc>
      </w:tr>
    </w:tbl>
    <w:bookmarkEnd w:id="636"/>
    <w:p w14:paraId="51ACFDD6" w14:textId="77777777" w:rsidR="00BB7D17" w:rsidRPr="00200234" w:rsidRDefault="00BB7D17" w:rsidP="00BB7D17">
      <w:pPr>
        <w:pStyle w:val="Note"/>
        <w:keepNext/>
      </w:pPr>
      <w:r w:rsidRPr="00B71C3F">
        <w:t>Notes</w:t>
      </w:r>
      <w:r w:rsidRPr="00200234">
        <w:t xml:space="preserve">: </w:t>
      </w:r>
      <w:r>
        <w:t>This table does not include a</w:t>
      </w:r>
      <w:r w:rsidRPr="00200234">
        <w:t>pplications that were withdrawn before the Minister of Health received them</w:t>
      </w:r>
      <w:r>
        <w:t xml:space="preserve"> and applications for adjustments to be made to section 50 leave conditions for a special patient.</w:t>
      </w:r>
      <w:r w:rsidRPr="00B71C3F">
        <w:t xml:space="preserve"> </w:t>
      </w:r>
      <w:r>
        <w:t>T</w:t>
      </w:r>
      <w:r w:rsidRPr="00B71C3F">
        <w:t>he Rights for Victims of Insane Offenders Act 2021</w:t>
      </w:r>
      <w:r>
        <w:t xml:space="preserve"> has caused changes to</w:t>
      </w:r>
      <w:r w:rsidRPr="00B71C3F">
        <w:t xml:space="preserve"> the Mental Health Act</w:t>
      </w:r>
      <w:r>
        <w:t>, including by changing what were provisions</w:t>
      </w:r>
      <w:r w:rsidRPr="00B71C3F">
        <w:t xml:space="preserve"> </w:t>
      </w:r>
      <w:r>
        <w:t>under section 50 to become provisions under</w:t>
      </w:r>
      <w:r w:rsidRPr="00B71C3F">
        <w:t xml:space="preserve"> section</w:t>
      </w:r>
      <w:r>
        <w:t xml:space="preserve"> 50A. </w:t>
      </w:r>
    </w:p>
    <w:p w14:paraId="7492DEEB" w14:textId="4D43CBBB" w:rsidR="00BB7D17" w:rsidRDefault="00BB7D17" w:rsidP="00BB7D17">
      <w:pPr>
        <w:pStyle w:val="Source"/>
      </w:pPr>
      <w:r w:rsidRPr="00200234">
        <w:t>Source: Office of the Director of Mental Health and Addiction Services records.</w:t>
      </w:r>
    </w:p>
    <w:p w14:paraId="4902FA64" w14:textId="77777777" w:rsidR="00BB7D17" w:rsidRDefault="00BB7D17" w:rsidP="00BB7D17">
      <w:pPr>
        <w:sectPr w:rsidR="00BB7D17" w:rsidSect="00D4159A">
          <w:pgSz w:w="11907" w:h="16834" w:code="9"/>
          <w:pgMar w:top="1418" w:right="1701" w:bottom="1134" w:left="1843" w:header="284" w:footer="425" w:gutter="284"/>
          <w:cols w:space="720"/>
        </w:sectPr>
      </w:pPr>
    </w:p>
    <w:p w14:paraId="4D644E69" w14:textId="77777777" w:rsidR="00BB7D17" w:rsidRPr="00200234" w:rsidRDefault="00BB7D17" w:rsidP="00BB7D17">
      <w:pPr>
        <w:pStyle w:val="Heading1"/>
        <w:spacing w:before="0"/>
      </w:pPr>
      <w:bookmarkStart w:id="637" w:name="_Toc65141632"/>
      <w:bookmarkStart w:id="638" w:name="_Toc75176456"/>
      <w:bookmarkStart w:id="639" w:name="_Toc87429923"/>
      <w:bookmarkStart w:id="640" w:name="_Toc88826971"/>
      <w:bookmarkStart w:id="641" w:name="_Toc115188821"/>
      <w:bookmarkStart w:id="642" w:name="_Toc145394248"/>
      <w:bookmarkStart w:id="643" w:name="_Toc189053918"/>
      <w:bookmarkStart w:id="644" w:name="_Toc189647907"/>
      <w:r w:rsidRPr="00200234">
        <w:t>Mental health and addiction adverse event reporting</w:t>
      </w:r>
      <w:bookmarkEnd w:id="637"/>
      <w:bookmarkEnd w:id="638"/>
      <w:bookmarkEnd w:id="639"/>
      <w:bookmarkEnd w:id="640"/>
      <w:bookmarkEnd w:id="641"/>
      <w:bookmarkEnd w:id="642"/>
      <w:bookmarkEnd w:id="643"/>
      <w:bookmarkEnd w:id="644"/>
    </w:p>
    <w:p w14:paraId="342CC9B0" w14:textId="069BBC59" w:rsidR="00BB7D17" w:rsidRPr="00BB7D17" w:rsidRDefault="00BB7D17" w:rsidP="00BB7D17">
      <w:r>
        <w:t>Aotearoa New Zealand has two major national reporting mechanisms for adverse events relating to mental health.</w:t>
      </w:r>
      <w:r>
        <w:rPr>
          <w:rStyle w:val="FootnoteReference"/>
        </w:rPr>
        <w:footnoteReference w:id="20"/>
      </w:r>
    </w:p>
    <w:p w14:paraId="354237E2" w14:textId="77777777" w:rsidR="00BB7D17" w:rsidRPr="006E6DAE" w:rsidRDefault="00BB7D17" w:rsidP="00BB7D17">
      <w:pPr>
        <w:pStyle w:val="ListNumber"/>
        <w:spacing w:before="90"/>
        <w:ind w:left="357" w:hanging="357"/>
        <w:contextualSpacing w:val="0"/>
      </w:pPr>
      <w:r w:rsidRPr="006E6DAE">
        <w:t>Health New Zealand districts notify the Director of Mental Health of the death of any person or special patient under the Mental Health Act.</w:t>
      </w:r>
    </w:p>
    <w:p w14:paraId="275BB42E" w14:textId="77777777" w:rsidR="00BB7D17" w:rsidRPr="006E6DAE" w:rsidRDefault="00BB7D17" w:rsidP="00BB7D17">
      <w:pPr>
        <w:pStyle w:val="ListNumber"/>
        <w:spacing w:before="90"/>
        <w:ind w:left="357" w:hanging="357"/>
        <w:contextualSpacing w:val="0"/>
      </w:pPr>
      <w:r w:rsidRPr="006E6DAE">
        <w:t>Districts report all adverse events rated Severity Assessment Code (SAC)</w:t>
      </w:r>
      <w:r w:rsidRPr="006E6DAE">
        <w:footnoteReference w:id="21"/>
      </w:r>
      <w:r w:rsidRPr="006E6DAE">
        <w:t xml:space="preserve"> 1 or 2 to Te Tāhū Hauora Health Quality &amp; Safety Commission (Te Tāhū Hauora) in line with the National Adverse Events Reporting Policy.</w:t>
      </w:r>
      <w:r w:rsidRPr="006E6DAE">
        <w:footnoteReference w:id="22"/>
      </w:r>
      <w:r w:rsidRPr="006E6DAE">
        <w:t xml:space="preserve"> At the time the data reported here was collected, mental health services not funded by districts were encouraged but not required to report adverse events to Te Tāhū Hauora. </w:t>
      </w:r>
    </w:p>
    <w:p w14:paraId="041C1AD6" w14:textId="77777777" w:rsidR="00BB7D17" w:rsidRDefault="00BB7D17" w:rsidP="00BB7D17"/>
    <w:p w14:paraId="453E3A37" w14:textId="77777777" w:rsidR="00BB7D17" w:rsidRDefault="00BB7D17" w:rsidP="00BB7D17">
      <w:r>
        <w:t>Public reporting of a</w:t>
      </w:r>
      <w:r>
        <w:rPr>
          <w:spacing w:val="-2"/>
        </w:rPr>
        <w:t xml:space="preserve">dverse events </w:t>
      </w:r>
      <w:r>
        <w:t xml:space="preserve">began in </w:t>
      </w:r>
      <w:r>
        <w:rPr>
          <w:spacing w:val="-2"/>
        </w:rPr>
        <w:t xml:space="preserve">2006. </w:t>
      </w:r>
      <w:r>
        <w:t xml:space="preserve">Since </w:t>
      </w:r>
      <w:r>
        <w:rPr>
          <w:spacing w:val="-2"/>
        </w:rPr>
        <w:t xml:space="preserve">then, the number of </w:t>
      </w:r>
      <w:r>
        <w:t xml:space="preserve">reported </w:t>
      </w:r>
      <w:r>
        <w:rPr>
          <w:spacing w:val="-2"/>
        </w:rPr>
        <w:t>adverse events has increased each year. .</w:t>
      </w:r>
    </w:p>
    <w:p w14:paraId="7F4C2BD7" w14:textId="77777777" w:rsidR="00BB7D17" w:rsidRDefault="00BB7D17" w:rsidP="00BB7D17">
      <w:pPr>
        <w:rPr>
          <w:spacing w:val="-2"/>
        </w:rPr>
      </w:pPr>
    </w:p>
    <w:p w14:paraId="283ACB79" w14:textId="77777777" w:rsidR="00BB7D17" w:rsidRDefault="00BB7D17" w:rsidP="00BB7D17">
      <w:r w:rsidRPr="009F6964">
        <w:t>To provide timely access to adverse event</w:t>
      </w:r>
      <w:r>
        <w:t>s</w:t>
      </w:r>
      <w:r w:rsidRPr="009F6964">
        <w:t xml:space="preserve"> data</w:t>
      </w:r>
      <w:r>
        <w:t xml:space="preserve"> on</w:t>
      </w:r>
      <w:r w:rsidRPr="009F6964">
        <w:t xml:space="preserve"> </w:t>
      </w:r>
      <w:r>
        <w:t xml:space="preserve">mental health and addiction services, </w:t>
      </w:r>
      <w:r w:rsidRPr="009F6964">
        <w:t>Te Tāhū Hauora publish</w:t>
      </w:r>
      <w:r>
        <w:t>es</w:t>
      </w:r>
      <w:r w:rsidRPr="009F6964">
        <w:t xml:space="preserve"> </w:t>
      </w:r>
      <w:r>
        <w:t xml:space="preserve">the </w:t>
      </w:r>
      <w:hyperlink r:id="rId73" w:history="1">
        <w:r w:rsidRPr="0024354A">
          <w:rPr>
            <w:rStyle w:val="Hyperlink"/>
          </w:rPr>
          <w:t>national quarterly dashboard</w:t>
        </w:r>
      </w:hyperlink>
      <w:r>
        <w:t xml:space="preserve"> online. In publishing </w:t>
      </w:r>
      <w:r w:rsidRPr="009F6964">
        <w:t>providers</w:t>
      </w:r>
      <w:r>
        <w:t>’</w:t>
      </w:r>
      <w:r w:rsidRPr="009F6964">
        <w:t xml:space="preserve"> report</w:t>
      </w:r>
      <w:r>
        <w:t xml:space="preserve">ed adverse events, </w:t>
      </w:r>
      <w:r w:rsidRPr="009F6964">
        <w:t xml:space="preserve">Te Tāhū Hauora </w:t>
      </w:r>
      <w:r>
        <w:t xml:space="preserve">aims to </w:t>
      </w:r>
      <w:r w:rsidRPr="009F6964">
        <w:t>mak</w:t>
      </w:r>
      <w:r>
        <w:t>e</w:t>
      </w:r>
      <w:r w:rsidRPr="009F6964">
        <w:t xml:space="preserve"> harm visible and transparent. </w:t>
      </w:r>
    </w:p>
    <w:p w14:paraId="729C97E0" w14:textId="77777777" w:rsidR="00BB7D17" w:rsidRDefault="00BB7D17" w:rsidP="00BB7D17"/>
    <w:p w14:paraId="7C7B720B" w14:textId="77777777" w:rsidR="00BB7D17" w:rsidRPr="009F6964" w:rsidRDefault="00BB7D17" w:rsidP="00BB7D17">
      <w:pPr>
        <w:rPr>
          <w:rFonts w:cs="Segoe UI"/>
        </w:rPr>
      </w:pPr>
      <w:r w:rsidRPr="213F89C8">
        <w:rPr>
          <w:color w:val="000000" w:themeColor="text1"/>
          <w:lang w:eastAsia="en-NZ"/>
        </w:rPr>
        <w:t>Event totals</w:t>
      </w:r>
      <w:r>
        <w:rPr>
          <w:color w:val="000000" w:themeColor="text1"/>
          <w:lang w:eastAsia="en-NZ"/>
        </w:rPr>
        <w:t xml:space="preserve"> </w:t>
      </w:r>
      <w:r w:rsidRPr="009F6964">
        <w:t>displayed in the dashboards</w:t>
      </w:r>
      <w:r>
        <w:t xml:space="preserve"> </w:t>
      </w:r>
      <w:r w:rsidRPr="213F89C8">
        <w:rPr>
          <w:color w:val="000000" w:themeColor="text1"/>
          <w:lang w:eastAsia="en-NZ"/>
        </w:rPr>
        <w:t xml:space="preserve">fluctuate because </w:t>
      </w:r>
      <w:r>
        <w:rPr>
          <w:color w:val="000000" w:themeColor="text1"/>
          <w:lang w:eastAsia="en-NZ"/>
        </w:rPr>
        <w:t xml:space="preserve">later reviews may </w:t>
      </w:r>
      <w:r w:rsidRPr="213F89C8">
        <w:rPr>
          <w:color w:val="000000" w:themeColor="text1"/>
          <w:lang w:eastAsia="en-NZ"/>
        </w:rPr>
        <w:t xml:space="preserve">change the SAC rating </w:t>
      </w:r>
      <w:r>
        <w:rPr>
          <w:color w:val="000000" w:themeColor="text1"/>
          <w:lang w:eastAsia="en-NZ"/>
        </w:rPr>
        <w:t xml:space="preserve">of </w:t>
      </w:r>
      <w:r w:rsidRPr="213F89C8">
        <w:rPr>
          <w:color w:val="000000" w:themeColor="text1"/>
          <w:lang w:eastAsia="en-NZ"/>
        </w:rPr>
        <w:t xml:space="preserve">some events </w:t>
      </w:r>
      <w:r>
        <w:rPr>
          <w:color w:val="000000" w:themeColor="text1"/>
          <w:lang w:eastAsia="en-NZ"/>
        </w:rPr>
        <w:t xml:space="preserve">to </w:t>
      </w:r>
      <w:r w:rsidRPr="213F89C8">
        <w:rPr>
          <w:color w:val="000000" w:themeColor="text1"/>
          <w:lang w:eastAsia="en-NZ"/>
        </w:rPr>
        <w:t xml:space="preserve">more accurately </w:t>
      </w:r>
      <w:r>
        <w:rPr>
          <w:color w:val="000000" w:themeColor="text1"/>
          <w:lang w:eastAsia="en-NZ"/>
        </w:rPr>
        <w:t>reflect their level of severity. That, in turn, changes a provider’s</w:t>
      </w:r>
      <w:r w:rsidRPr="213F89C8">
        <w:rPr>
          <w:color w:val="000000" w:themeColor="text1"/>
          <w:lang w:eastAsia="en-NZ"/>
        </w:rPr>
        <w:t xml:space="preserve"> obligation to report or not. </w:t>
      </w:r>
    </w:p>
    <w:p w14:paraId="26D31200" w14:textId="77777777" w:rsidR="00BB7D17" w:rsidRPr="009F6964" w:rsidRDefault="00BB7D17" w:rsidP="00BB7D17">
      <w:pPr>
        <w:rPr>
          <w:rFonts w:ascii="Calibri" w:hAnsi="Calibri" w:cs="Calibri"/>
          <w:sz w:val="22"/>
          <w:szCs w:val="22"/>
          <w:lang w:eastAsia="en-US"/>
        </w:rPr>
      </w:pPr>
    </w:p>
    <w:p w14:paraId="0A66432D" w14:textId="3A624140" w:rsidR="00BB7D17" w:rsidRDefault="00BB7D17" w:rsidP="00BB7D17">
      <w:r w:rsidRPr="00961B60">
        <w:t>Te Tāhū Hauora</w:t>
      </w:r>
      <w:r w:rsidRPr="009F6964">
        <w:t xml:space="preserve"> </w:t>
      </w:r>
      <w:r>
        <w:t>welcomes</w:t>
      </w:r>
      <w:r w:rsidRPr="009F6964">
        <w:t xml:space="preserve"> increases in reporting rates, because</w:t>
      </w:r>
      <w:r w:rsidRPr="00E423FA">
        <w:t xml:space="preserve"> </w:t>
      </w:r>
      <w:r>
        <w:t>it</w:t>
      </w:r>
      <w:r w:rsidRPr="009F6964">
        <w:t xml:space="preserve"> believe</w:t>
      </w:r>
      <w:r>
        <w:t>s</w:t>
      </w:r>
      <w:r w:rsidRPr="009F6964">
        <w:t xml:space="preserve"> they represent more thorough and consistent reporting of the events that have always been a part of the system</w:t>
      </w:r>
      <w:r>
        <w:t>,</w:t>
      </w:r>
      <w:r w:rsidRPr="009F6964">
        <w:t xml:space="preserve"> rather than </w:t>
      </w:r>
      <w:r>
        <w:t>that</w:t>
      </w:r>
      <w:r w:rsidRPr="009F6964">
        <w:t xml:space="preserve"> rates of adverse events</w:t>
      </w:r>
      <w:r>
        <w:t xml:space="preserve"> are actually worsening</w:t>
      </w:r>
      <w:r w:rsidRPr="009F6964">
        <w:t xml:space="preserve">. This stronger reporting culture </w:t>
      </w:r>
      <w:r>
        <w:t>can create</w:t>
      </w:r>
      <w:r w:rsidRPr="009F6964">
        <w:t xml:space="preserve"> real opportunities for improvement across the system.</w:t>
      </w:r>
      <w:r>
        <w:t xml:space="preserve"> </w:t>
      </w:r>
    </w:p>
    <w:p w14:paraId="27012B6D" w14:textId="77777777" w:rsidR="00BB7D17" w:rsidRPr="00BB7D17" w:rsidRDefault="00BB7D17" w:rsidP="00BB7D17">
      <w:pPr>
        <w:pStyle w:val="Heading2"/>
      </w:pPr>
      <w:bookmarkStart w:id="645" w:name="_Toc75176458"/>
      <w:bookmarkStart w:id="646" w:name="_Toc87429925"/>
      <w:bookmarkStart w:id="647" w:name="_Toc88826973"/>
      <w:bookmarkStart w:id="648" w:name="_Toc115188823"/>
      <w:bookmarkStart w:id="649" w:name="_Toc145394249"/>
      <w:bookmarkStart w:id="650" w:name="_Toc189053919"/>
      <w:bookmarkStart w:id="651" w:name="_Toc189647908"/>
      <w:r w:rsidRPr="00BB7D17">
        <w:t>Deaths reported to the Director of Mental Health</w:t>
      </w:r>
      <w:bookmarkEnd w:id="645"/>
      <w:bookmarkEnd w:id="646"/>
      <w:bookmarkEnd w:id="647"/>
      <w:bookmarkEnd w:id="648"/>
      <w:bookmarkEnd w:id="649"/>
      <w:bookmarkEnd w:id="650"/>
      <w:bookmarkEnd w:id="651"/>
    </w:p>
    <w:p w14:paraId="72EBB003" w14:textId="77777777" w:rsidR="00BB7D17" w:rsidRDefault="00BB7D17" w:rsidP="00BB7D17">
      <w:r>
        <w:t>Section 132 of the Mental Health Act requires services to notify the Director within 14 days of the death of any patient or special patient under the Mental Health Act. This includes identifying the apparent cause of death.</w:t>
      </w:r>
    </w:p>
    <w:p w14:paraId="56CC64DD" w14:textId="77777777" w:rsidR="00BB7D17" w:rsidRDefault="00BB7D17" w:rsidP="00BB7D17"/>
    <w:p w14:paraId="7A466333" w14:textId="77777777" w:rsidR="00BB7D17" w:rsidRDefault="00BB7D17" w:rsidP="00BB7D17">
      <w:r>
        <w:t xml:space="preserve">In Aotearoa New Zealand, a coroner determines a cause of death after completing their inquiry. Only deaths that the coroner decides are ‘intentionally self-inflicted’ will receive a final verdict of suicide. The coronial inquiry is unlikely to occur within a year of a death. When a death appears to be self-inflicted but the coroner has not yet made a ruling, it is called a ‘suspected suicide’. For more information and data, search for ‘suicide statistics’ on the </w:t>
      </w:r>
      <w:hyperlink r:id="rId74" w:history="1">
        <w:r w:rsidRPr="005C3BE5">
          <w:rPr>
            <w:rStyle w:val="Hyperlink"/>
          </w:rPr>
          <w:t>Ministry’s website</w:t>
        </w:r>
      </w:hyperlink>
      <w:r>
        <w:t>.</w:t>
      </w:r>
    </w:p>
    <w:p w14:paraId="79589176" w14:textId="77777777" w:rsidR="00BB7D17" w:rsidRDefault="00BB7D17" w:rsidP="00BB7D17"/>
    <w:p w14:paraId="55D15879" w14:textId="77AEE4B3" w:rsidR="00BB7D17" w:rsidRPr="007A2B17" w:rsidRDefault="00BB7D17" w:rsidP="00BB7D17">
      <w:r>
        <w:t>In</w:t>
      </w:r>
      <w:r w:rsidRPr="007A2B17">
        <w:t xml:space="preserve"> 2022</w:t>
      </w:r>
      <w:r>
        <w:t>/23</w:t>
      </w:r>
      <w:r w:rsidRPr="007A2B17">
        <w:t xml:space="preserve">, the Director received </w:t>
      </w:r>
      <w:r w:rsidRPr="00501296">
        <w:t>62</w:t>
      </w:r>
      <w:r w:rsidRPr="007A2B17">
        <w:t xml:space="preserve"> death notifications relating to people under the Mental Health Act (</w:t>
      </w:r>
      <w:r w:rsidRPr="007A2B17">
        <w:fldChar w:fldCharType="begin"/>
      </w:r>
      <w:r w:rsidRPr="007A2B17">
        <w:instrText xml:space="preserve"> REF _Ref85452193 \h </w:instrText>
      </w:r>
      <w:r>
        <w:instrText xml:space="preserve"> \* MERGEFORMAT </w:instrText>
      </w:r>
      <w:r w:rsidRPr="007A2B17">
        <w:fldChar w:fldCharType="separate"/>
      </w:r>
      <w:r w:rsidR="00753BC8" w:rsidRPr="007A2B17">
        <w:t>Table </w:t>
      </w:r>
      <w:r w:rsidR="00753BC8">
        <w:t>15</w:t>
      </w:r>
      <w:r w:rsidRPr="007A2B17">
        <w:fldChar w:fldCharType="end"/>
      </w:r>
      <w:r w:rsidRPr="007A2B17">
        <w:t xml:space="preserve">). Of these, </w:t>
      </w:r>
      <w:r w:rsidRPr="00501296">
        <w:t>14</w:t>
      </w:r>
      <w:r w:rsidRPr="007A2B17">
        <w:t xml:space="preserve"> related to people who were reported to have died by suspected suicide. The remaining </w:t>
      </w:r>
      <w:r w:rsidRPr="00501296">
        <w:t>48</w:t>
      </w:r>
      <w:r w:rsidRPr="007A2B17">
        <w:t xml:space="preserve"> reportedly died by other means, including natural causes and illnesses unrelated to their mental health status.</w:t>
      </w:r>
    </w:p>
    <w:p w14:paraId="5B3BF67E" w14:textId="77777777" w:rsidR="00BB7D17" w:rsidRPr="007A2B17" w:rsidRDefault="00BB7D17" w:rsidP="00BB7D17"/>
    <w:p w14:paraId="266C2621" w14:textId="5A143197" w:rsidR="00BB7D17" w:rsidRPr="007A2B17" w:rsidRDefault="00BB7D17" w:rsidP="00BB7D17">
      <w:pPr>
        <w:pStyle w:val="Table"/>
      </w:pPr>
      <w:bookmarkStart w:id="652" w:name="_Ref85452193"/>
      <w:bookmarkStart w:id="653" w:name="_Toc87430014"/>
      <w:bookmarkStart w:id="654" w:name="_Toc88561371"/>
      <w:bookmarkStart w:id="655" w:name="_Toc115188906"/>
      <w:bookmarkStart w:id="656" w:name="_Toc142314765"/>
      <w:bookmarkStart w:id="657" w:name="_Toc145394328"/>
      <w:bookmarkStart w:id="658" w:name="_Toc189054006"/>
      <w:bookmarkStart w:id="659" w:name="_Toc189647991"/>
      <w:r w:rsidRPr="007A2B17">
        <w:t>Table </w:t>
      </w:r>
      <w:r w:rsidRPr="007A2B17">
        <w:fldChar w:fldCharType="begin"/>
      </w:r>
      <w:r w:rsidRPr="007A2B17">
        <w:instrText>SEQ Table \* ARABIC</w:instrText>
      </w:r>
      <w:r w:rsidRPr="007A2B17">
        <w:fldChar w:fldCharType="separate"/>
      </w:r>
      <w:r w:rsidR="00753BC8">
        <w:rPr>
          <w:noProof/>
        </w:rPr>
        <w:t>15</w:t>
      </w:r>
      <w:r w:rsidRPr="007A2B17">
        <w:fldChar w:fldCharType="end"/>
      </w:r>
      <w:bookmarkEnd w:id="652"/>
      <w:r w:rsidRPr="007A2B17">
        <w:t>: Outcomes of reportable death notifications under section 132 of the Mental Health Act, 1 July 2022 to 30 June 2023</w:t>
      </w:r>
      <w:bookmarkEnd w:id="653"/>
      <w:bookmarkEnd w:id="654"/>
      <w:bookmarkEnd w:id="655"/>
      <w:bookmarkEnd w:id="656"/>
      <w:bookmarkEnd w:id="657"/>
      <w:bookmarkEnd w:id="658"/>
      <w:bookmarkEnd w:id="659"/>
    </w:p>
    <w:tbl>
      <w:tblPr>
        <w:tblW w:w="8023" w:type="dxa"/>
        <w:tblInd w:w="57" w:type="dxa"/>
        <w:tblBorders>
          <w:top w:val="single" w:sz="4" w:space="0" w:color="auto"/>
          <w:bottom w:val="single" w:sz="4" w:space="0" w:color="auto"/>
          <w:insideH w:val="single" w:sz="4" w:space="0" w:color="auto"/>
        </w:tblBorders>
        <w:tblLayout w:type="fixed"/>
        <w:tblCellMar>
          <w:left w:w="57" w:type="dxa"/>
          <w:right w:w="57" w:type="dxa"/>
        </w:tblCellMar>
        <w:tblLook w:val="04A0" w:firstRow="1" w:lastRow="0" w:firstColumn="1" w:lastColumn="0" w:noHBand="0" w:noVBand="1"/>
      </w:tblPr>
      <w:tblGrid>
        <w:gridCol w:w="4011"/>
        <w:gridCol w:w="4012"/>
      </w:tblGrid>
      <w:tr w:rsidR="00BB7D17" w:rsidRPr="007A2B17" w14:paraId="297BB588" w14:textId="77777777" w:rsidTr="00E96DD0">
        <w:trPr>
          <w:cantSplit/>
          <w:trHeight w:val="267"/>
        </w:trPr>
        <w:tc>
          <w:tcPr>
            <w:tcW w:w="4011" w:type="dxa"/>
            <w:tcBorders>
              <w:top w:val="nil"/>
              <w:bottom w:val="nil"/>
            </w:tcBorders>
            <w:shd w:val="clear" w:color="auto" w:fill="D9D9D9" w:themeFill="background1" w:themeFillShade="D9"/>
            <w:vAlign w:val="center"/>
          </w:tcPr>
          <w:p w14:paraId="1DFF781D" w14:textId="77777777" w:rsidR="00BB7D17" w:rsidRPr="007A2B17" w:rsidRDefault="00BB7D17" w:rsidP="00E96DD0">
            <w:pPr>
              <w:pStyle w:val="TableText"/>
              <w:rPr>
                <w:b/>
              </w:rPr>
            </w:pPr>
            <w:r w:rsidRPr="007A2B17">
              <w:rPr>
                <w:b/>
              </w:rPr>
              <w:t>Reportable death outcome</w:t>
            </w:r>
          </w:p>
        </w:tc>
        <w:tc>
          <w:tcPr>
            <w:tcW w:w="4012" w:type="dxa"/>
            <w:tcBorders>
              <w:top w:val="nil"/>
              <w:bottom w:val="nil"/>
            </w:tcBorders>
            <w:shd w:val="clear" w:color="auto" w:fill="D9D9D9" w:themeFill="background1" w:themeFillShade="D9"/>
            <w:vAlign w:val="center"/>
          </w:tcPr>
          <w:p w14:paraId="6CAFA5E2" w14:textId="77777777" w:rsidR="00BB7D17" w:rsidRPr="007A2B17" w:rsidRDefault="00BB7D17" w:rsidP="00E96DD0">
            <w:pPr>
              <w:pStyle w:val="TableText"/>
              <w:jc w:val="center"/>
              <w:rPr>
                <w:b/>
              </w:rPr>
            </w:pPr>
            <w:r w:rsidRPr="007A2B17">
              <w:rPr>
                <w:b/>
              </w:rPr>
              <w:t>Number of deaths</w:t>
            </w:r>
          </w:p>
        </w:tc>
      </w:tr>
      <w:tr w:rsidR="00BB7D17" w:rsidRPr="007A2B17" w14:paraId="6491DC43" w14:textId="77777777" w:rsidTr="00E96DD0">
        <w:trPr>
          <w:cantSplit/>
          <w:trHeight w:val="267"/>
        </w:trPr>
        <w:tc>
          <w:tcPr>
            <w:tcW w:w="4011" w:type="dxa"/>
            <w:tcBorders>
              <w:top w:val="nil"/>
              <w:bottom w:val="single" w:sz="4" w:space="0" w:color="A6A6A6" w:themeColor="background1" w:themeShade="A6"/>
            </w:tcBorders>
            <w:vAlign w:val="center"/>
          </w:tcPr>
          <w:p w14:paraId="09EFE193" w14:textId="77777777" w:rsidR="00BB7D17" w:rsidRPr="007A2B17" w:rsidRDefault="00BB7D17" w:rsidP="00E96DD0">
            <w:pPr>
              <w:pStyle w:val="TableText"/>
            </w:pPr>
            <w:r w:rsidRPr="007A2B17">
              <w:t>Suspected suicide</w:t>
            </w:r>
          </w:p>
        </w:tc>
        <w:tc>
          <w:tcPr>
            <w:tcW w:w="4012" w:type="dxa"/>
            <w:tcBorders>
              <w:top w:val="nil"/>
              <w:bottom w:val="single" w:sz="4" w:space="0" w:color="A6A6A6" w:themeColor="background1" w:themeShade="A6"/>
            </w:tcBorders>
            <w:vAlign w:val="center"/>
          </w:tcPr>
          <w:p w14:paraId="52AD7C99" w14:textId="77777777" w:rsidR="00BB7D17" w:rsidRPr="007A2B17" w:rsidRDefault="00BB7D17" w:rsidP="00E96DD0">
            <w:pPr>
              <w:pStyle w:val="TableText"/>
              <w:jc w:val="center"/>
            </w:pPr>
            <w:r w:rsidRPr="00501296">
              <w:t>14</w:t>
            </w:r>
          </w:p>
        </w:tc>
      </w:tr>
      <w:tr w:rsidR="00BB7D17" w:rsidRPr="007A2B17" w14:paraId="1163B4A4" w14:textId="77777777" w:rsidTr="00E96DD0">
        <w:trPr>
          <w:cantSplit/>
          <w:trHeight w:val="267"/>
        </w:trPr>
        <w:tc>
          <w:tcPr>
            <w:tcW w:w="4011" w:type="dxa"/>
            <w:tcBorders>
              <w:top w:val="single" w:sz="4" w:space="0" w:color="A6A6A6" w:themeColor="background1" w:themeShade="A6"/>
              <w:bottom w:val="single" w:sz="4" w:space="0" w:color="A6A6A6" w:themeColor="background1" w:themeShade="A6"/>
            </w:tcBorders>
            <w:vAlign w:val="center"/>
          </w:tcPr>
          <w:p w14:paraId="4ABBD8A5" w14:textId="77777777" w:rsidR="00BB7D17" w:rsidRPr="007A2B17" w:rsidRDefault="00BB7D17" w:rsidP="00E96DD0">
            <w:pPr>
              <w:pStyle w:val="TableText"/>
            </w:pPr>
            <w:r w:rsidRPr="007A2B17">
              <w:t>Other deaths</w:t>
            </w:r>
          </w:p>
        </w:tc>
        <w:tc>
          <w:tcPr>
            <w:tcW w:w="4012" w:type="dxa"/>
            <w:tcBorders>
              <w:top w:val="single" w:sz="4" w:space="0" w:color="A6A6A6" w:themeColor="background1" w:themeShade="A6"/>
              <w:bottom w:val="single" w:sz="4" w:space="0" w:color="A6A6A6" w:themeColor="background1" w:themeShade="A6"/>
            </w:tcBorders>
            <w:vAlign w:val="center"/>
          </w:tcPr>
          <w:p w14:paraId="237317C5" w14:textId="77777777" w:rsidR="00BB7D17" w:rsidRPr="007A2B17" w:rsidRDefault="00BB7D17" w:rsidP="00E96DD0">
            <w:pPr>
              <w:pStyle w:val="TableText"/>
              <w:jc w:val="center"/>
            </w:pPr>
            <w:r w:rsidRPr="00501296">
              <w:t>48</w:t>
            </w:r>
          </w:p>
        </w:tc>
      </w:tr>
      <w:tr w:rsidR="00BB7D17" w:rsidRPr="007A2B17" w14:paraId="1C850005" w14:textId="77777777" w:rsidTr="00E96DD0">
        <w:trPr>
          <w:cantSplit/>
          <w:trHeight w:val="255"/>
        </w:trPr>
        <w:tc>
          <w:tcPr>
            <w:tcW w:w="4011" w:type="dxa"/>
            <w:tcBorders>
              <w:top w:val="single" w:sz="4" w:space="0" w:color="A6A6A6" w:themeColor="background1" w:themeShade="A6"/>
              <w:bottom w:val="single" w:sz="4" w:space="0" w:color="A6A6A6" w:themeColor="background1" w:themeShade="A6"/>
            </w:tcBorders>
            <w:vAlign w:val="center"/>
          </w:tcPr>
          <w:p w14:paraId="3915A369" w14:textId="77777777" w:rsidR="00BB7D17" w:rsidRPr="007A2B17" w:rsidRDefault="00BB7D17" w:rsidP="00E96DD0">
            <w:pPr>
              <w:pStyle w:val="TableText"/>
              <w:rPr>
                <w:b/>
              </w:rPr>
            </w:pPr>
            <w:r>
              <w:rPr>
                <w:b/>
              </w:rPr>
              <w:t>All reportable deaths</w:t>
            </w:r>
          </w:p>
        </w:tc>
        <w:tc>
          <w:tcPr>
            <w:tcW w:w="4012" w:type="dxa"/>
            <w:tcBorders>
              <w:top w:val="single" w:sz="4" w:space="0" w:color="A6A6A6" w:themeColor="background1" w:themeShade="A6"/>
              <w:bottom w:val="single" w:sz="4" w:space="0" w:color="A6A6A6" w:themeColor="background1" w:themeShade="A6"/>
            </w:tcBorders>
            <w:vAlign w:val="center"/>
          </w:tcPr>
          <w:p w14:paraId="0E2AD6F4" w14:textId="77777777" w:rsidR="00BB7D17" w:rsidRPr="007A2B17" w:rsidRDefault="00BB7D17" w:rsidP="00E96DD0">
            <w:pPr>
              <w:pStyle w:val="TableText"/>
              <w:jc w:val="center"/>
              <w:rPr>
                <w:b/>
              </w:rPr>
            </w:pPr>
            <w:r w:rsidRPr="00501296">
              <w:rPr>
                <w:b/>
              </w:rPr>
              <w:t>62</w:t>
            </w:r>
          </w:p>
        </w:tc>
      </w:tr>
    </w:tbl>
    <w:p w14:paraId="355E8E31" w14:textId="77777777" w:rsidR="00BB7D17" w:rsidRDefault="00BB7D17" w:rsidP="00BB7D17">
      <w:pPr>
        <w:pStyle w:val="Source"/>
      </w:pPr>
      <w:r w:rsidRPr="007A2B17">
        <w:t>Source: Office of the Director of Mental Health and Addiction Services records.</w:t>
      </w:r>
    </w:p>
    <w:p w14:paraId="0781C77E" w14:textId="77777777" w:rsidR="00BB7D17" w:rsidRPr="00BB7D17" w:rsidRDefault="00BB7D17" w:rsidP="00BB7D17">
      <w:pPr>
        <w:pStyle w:val="Heading2"/>
      </w:pPr>
      <w:bookmarkStart w:id="660" w:name="_Toc87429926"/>
      <w:bookmarkStart w:id="661" w:name="_Toc88826974"/>
      <w:bookmarkStart w:id="662" w:name="_Toc115188824"/>
      <w:bookmarkStart w:id="663" w:name="_Toc145394250"/>
      <w:bookmarkStart w:id="664" w:name="_Toc189053920"/>
      <w:bookmarkStart w:id="665" w:name="_Toc189647909"/>
      <w:r w:rsidRPr="00BB7D17">
        <w:t>Section 95 inquiries and section 99 in</w:t>
      </w:r>
      <w:bookmarkEnd w:id="660"/>
      <w:bookmarkEnd w:id="661"/>
      <w:r w:rsidRPr="00BB7D17">
        <w:t>spections</w:t>
      </w:r>
      <w:bookmarkEnd w:id="662"/>
      <w:bookmarkEnd w:id="663"/>
      <w:bookmarkEnd w:id="664"/>
      <w:bookmarkEnd w:id="665"/>
    </w:p>
    <w:p w14:paraId="18CEF083" w14:textId="7454E862" w:rsidR="00BB7D17" w:rsidRDefault="00BB7D17" w:rsidP="00BB7D17">
      <w:r>
        <w:t>The Director will occasionally require a district inspector to carry out an inquiry under section 95 of the Mental Health Act or undertake an inspection themselves under section 99. Inquiries and inspections generally focus on systemic issues across one or more mental health services. As a result of either an inquiry or an inspection, typically a district inspector or the Director makes specific recommendations about the mental health services and/or their system.</w:t>
      </w:r>
    </w:p>
    <w:p w14:paraId="7863E871" w14:textId="77777777" w:rsidR="00BB7D17" w:rsidRDefault="00BB7D17" w:rsidP="00BB7D17"/>
    <w:p w14:paraId="55ED8CDB" w14:textId="77777777" w:rsidR="00BB7D17" w:rsidRDefault="00BB7D17" w:rsidP="00BB7D17">
      <w:r>
        <w:t>Following an inquiry under s95 of the Mental Health Act, the Director considers the recommendations and acts on any that have implications for the Ministry of Health or the wider mental health sector. The Director later audits the specific district’s implementation of the recommendations.</w:t>
      </w:r>
    </w:p>
    <w:p w14:paraId="1541A167" w14:textId="77777777" w:rsidR="00BB7D17" w:rsidRDefault="00BB7D17" w:rsidP="00BB7D17"/>
    <w:p w14:paraId="11D998DB" w14:textId="2BD9262C" w:rsidR="00BB7D17" w:rsidRDefault="00BB7D17" w:rsidP="00BB7D17">
      <w:r>
        <w:t>Following an inquiry under section 99 of the Mental Health Act, the Director will make specific recommendations to district mental health services and will monitor the implementation of these.</w:t>
      </w:r>
    </w:p>
    <w:p w14:paraId="449A27D9" w14:textId="68F77CB5" w:rsidR="00BB7D17" w:rsidRDefault="00BB7D17" w:rsidP="00BB7D17"/>
    <w:p w14:paraId="0F9C9741" w14:textId="77777777" w:rsidR="00BB7D17" w:rsidRDefault="00BB7D17" w:rsidP="00BB7D17">
      <w:r>
        <w:t>The inquiry process is complete when the Director considers that the district concerned and, if appropriate, the Ministry and all other districts have satisfactorily implemented the recommendations.</w:t>
      </w:r>
    </w:p>
    <w:p w14:paraId="05635D7A" w14:textId="77777777" w:rsidR="00BB7D17" w:rsidRDefault="00BB7D17" w:rsidP="00BB7D17"/>
    <w:p w14:paraId="5005C206" w14:textId="5F2E11C6" w:rsidR="00BB7D17" w:rsidRDefault="00BB7D17" w:rsidP="00BB7D17">
      <w:r w:rsidRPr="00097BF7">
        <w:t xml:space="preserve">No section 95 inquiries or section 99 inspections were completed </w:t>
      </w:r>
      <w:r>
        <w:t>in the</w:t>
      </w:r>
      <w:r w:rsidRPr="00097BF7">
        <w:t xml:space="preserve"> 2022</w:t>
      </w:r>
      <w:r>
        <w:t xml:space="preserve">/23 financial year. </w:t>
      </w:r>
      <w:r w:rsidRPr="009A40BD">
        <w:fldChar w:fldCharType="begin"/>
      </w:r>
      <w:r w:rsidRPr="009A40BD">
        <w:instrText xml:space="preserve"> REF _Ref85550138 \h  \* MERGEFORMAT </w:instrText>
      </w:r>
      <w:r w:rsidRPr="009A40BD">
        <w:fldChar w:fldCharType="separate"/>
      </w:r>
      <w:r w:rsidR="00753BC8">
        <w:t>Table 16</w:t>
      </w:r>
      <w:r w:rsidRPr="009A40BD">
        <w:fldChar w:fldCharType="end"/>
      </w:r>
      <w:r>
        <w:t xml:space="preserve"> shows the number of completed section 95 inquiry reports the Director received and the number of </w:t>
      </w:r>
      <w:bookmarkStart w:id="666" w:name="_Int_BoaxsjAy"/>
      <w:r>
        <w:t>section</w:t>
      </w:r>
      <w:bookmarkEnd w:id="666"/>
      <w:r>
        <w:t xml:space="preserve"> 99 reports</w:t>
      </w:r>
      <w:r w:rsidRPr="00B7386E">
        <w:t xml:space="preserve"> </w:t>
      </w:r>
      <w:r>
        <w:t>the Director received or completed between 1 July 2012 and 30 June 2023.</w:t>
      </w:r>
    </w:p>
    <w:p w14:paraId="07F13C92" w14:textId="77777777" w:rsidR="00BB7D17" w:rsidRDefault="00BB7D17" w:rsidP="00BB7D17"/>
    <w:p w14:paraId="4CAD5F17" w14:textId="77777777" w:rsidR="00BB7D17" w:rsidRDefault="00BB7D17" w:rsidP="00BB7D17">
      <w:r>
        <w:t>The Director initiated a</w:t>
      </w:r>
      <w:r w:rsidRPr="00097BF7">
        <w:t xml:space="preserve"> section 99 inspection on 6 July 2022, following a serious incident in late June 2022 and in the context of concerns </w:t>
      </w:r>
      <w:r>
        <w:t xml:space="preserve">about </w:t>
      </w:r>
      <w:r w:rsidRPr="00097BF7">
        <w:t xml:space="preserve">the Canterbury adult inpatient </w:t>
      </w:r>
      <w:r>
        <w:t xml:space="preserve">service </w:t>
      </w:r>
      <w:r w:rsidRPr="00097BF7">
        <w:t xml:space="preserve">and associated mental health services. Due to delays in </w:t>
      </w:r>
      <w:r>
        <w:t>providing</w:t>
      </w:r>
      <w:r w:rsidRPr="00097BF7">
        <w:t xml:space="preserve"> information </w:t>
      </w:r>
      <w:r>
        <w:t>that would</w:t>
      </w:r>
      <w:r w:rsidRPr="00097BF7">
        <w:t xml:space="preserve"> support the Director in </w:t>
      </w:r>
      <w:r>
        <w:t>producing</w:t>
      </w:r>
      <w:r w:rsidRPr="00097BF7">
        <w:t xml:space="preserve"> his report, this report is still in development. </w:t>
      </w:r>
      <w:r>
        <w:t>For m</w:t>
      </w:r>
      <w:r w:rsidRPr="00097BF7">
        <w:t xml:space="preserve">ore information, including the </w:t>
      </w:r>
      <w:r>
        <w:t>t</w:t>
      </w:r>
      <w:r w:rsidRPr="00097BF7">
        <w:t xml:space="preserve">erms of </w:t>
      </w:r>
      <w:r>
        <w:t>r</w:t>
      </w:r>
      <w:r w:rsidRPr="00097BF7">
        <w:t xml:space="preserve">eference, </w:t>
      </w:r>
      <w:r>
        <w:t xml:space="preserve">see </w:t>
      </w:r>
      <w:hyperlink r:id="rId75" w:history="1">
        <w:r w:rsidRPr="00DF5B63">
          <w:rPr>
            <w:rStyle w:val="Hyperlink"/>
            <w:lang w:eastAsia="en-NZ"/>
          </w:rPr>
          <w:t>Section 99 inspection of Canterbury Mental Health Services</w:t>
        </w:r>
      </w:hyperlink>
      <w:r>
        <w:rPr>
          <w:lang w:eastAsia="en-NZ"/>
        </w:rPr>
        <w:t xml:space="preserve"> on</w:t>
      </w:r>
      <w:r>
        <w:t xml:space="preserve"> </w:t>
      </w:r>
      <w:r w:rsidRPr="00097BF7">
        <w:t xml:space="preserve">the </w:t>
      </w:r>
      <w:r>
        <w:t>Ministry’s</w:t>
      </w:r>
      <w:r w:rsidRPr="00097BF7">
        <w:t xml:space="preserve"> website</w:t>
      </w:r>
      <w:r>
        <w:t xml:space="preserve">.  </w:t>
      </w:r>
    </w:p>
    <w:p w14:paraId="3225DC15" w14:textId="77777777" w:rsidR="00BB7D17" w:rsidRDefault="00BB7D17" w:rsidP="00BB7D17"/>
    <w:p w14:paraId="7178EC97" w14:textId="51A36413" w:rsidR="00BB7D17" w:rsidRDefault="00BB7D17" w:rsidP="00BB7D17">
      <w:pPr>
        <w:pStyle w:val="Table"/>
      </w:pPr>
      <w:bookmarkStart w:id="667" w:name="_Ref85550138"/>
      <w:bookmarkStart w:id="668" w:name="_Toc87430015"/>
      <w:bookmarkStart w:id="669" w:name="_Toc88561372"/>
      <w:bookmarkStart w:id="670" w:name="_Toc115188907"/>
      <w:bookmarkStart w:id="671" w:name="_Toc142314766"/>
      <w:bookmarkStart w:id="672" w:name="_Toc145394329"/>
      <w:bookmarkStart w:id="673" w:name="_Toc189054007"/>
      <w:bookmarkStart w:id="674" w:name="_Toc189647992"/>
      <w:r>
        <w:t>Table </w:t>
      </w:r>
      <w:r>
        <w:fldChar w:fldCharType="begin"/>
      </w:r>
      <w:r>
        <w:instrText>SEQ Table \* ARABIC</w:instrText>
      </w:r>
      <w:r>
        <w:fldChar w:fldCharType="separate"/>
      </w:r>
      <w:r w:rsidR="00753BC8">
        <w:rPr>
          <w:noProof/>
        </w:rPr>
        <w:t>16</w:t>
      </w:r>
      <w:r>
        <w:fldChar w:fldCharType="end"/>
      </w:r>
      <w:bookmarkEnd w:id="667"/>
      <w:r w:rsidRPr="004C5503">
        <w:t xml:space="preserve">: </w:t>
      </w:r>
      <w:r w:rsidRPr="009A581E">
        <w:t>Number of</w:t>
      </w:r>
      <w:r>
        <w:t xml:space="preserve"> </w:t>
      </w:r>
      <w:r w:rsidRPr="009A581E">
        <w:t>section 95</w:t>
      </w:r>
      <w:r>
        <w:t xml:space="preserve"> inquiries</w:t>
      </w:r>
      <w:r w:rsidRPr="009A581E">
        <w:t xml:space="preserve"> </w:t>
      </w:r>
      <w:r>
        <w:t>completed and section 99 inspections</w:t>
      </w:r>
      <w:r w:rsidRPr="009A581E">
        <w:t xml:space="preserve"> reports received</w:t>
      </w:r>
      <w:r>
        <w:t xml:space="preserve"> or completed</w:t>
      </w:r>
      <w:r w:rsidRPr="009A581E">
        <w:t xml:space="preserve"> by the Director, 201</w:t>
      </w:r>
      <w:r>
        <w:t>2</w:t>
      </w:r>
      <w:r w:rsidRPr="009A581E">
        <w:t>/1</w:t>
      </w:r>
      <w:r>
        <w:t xml:space="preserve">3 to </w:t>
      </w:r>
      <w:r w:rsidRPr="009A581E">
        <w:t>202</w:t>
      </w:r>
      <w:r>
        <w:t>2</w:t>
      </w:r>
      <w:bookmarkEnd w:id="668"/>
      <w:bookmarkEnd w:id="669"/>
      <w:r w:rsidRPr="009A581E">
        <w:t>/2</w:t>
      </w:r>
      <w:r>
        <w:t>3</w:t>
      </w:r>
      <w:bookmarkEnd w:id="670"/>
      <w:bookmarkEnd w:id="671"/>
      <w:bookmarkEnd w:id="672"/>
      <w:bookmarkEnd w:id="673"/>
      <w:bookmarkEnd w:id="674"/>
    </w:p>
    <w:tbl>
      <w:tblPr>
        <w:tblW w:w="8161" w:type="dxa"/>
        <w:tblInd w:w="57" w:type="dxa"/>
        <w:tblBorders>
          <w:top w:val="single" w:sz="4" w:space="0" w:color="A6A6A6" w:themeColor="background1" w:themeShade="A6"/>
          <w:bottom w:val="single" w:sz="4" w:space="0" w:color="A6A6A6" w:themeColor="background1" w:themeShade="A6"/>
          <w:insideH w:val="single" w:sz="4" w:space="0" w:color="A6A6A6" w:themeColor="background1" w:themeShade="A6"/>
        </w:tblBorders>
        <w:tblLayout w:type="fixed"/>
        <w:tblCellMar>
          <w:left w:w="57" w:type="dxa"/>
          <w:right w:w="57" w:type="dxa"/>
        </w:tblCellMar>
        <w:tblLook w:val="04A0" w:firstRow="1" w:lastRow="0" w:firstColumn="1" w:lastColumn="0" w:noHBand="0" w:noVBand="1"/>
      </w:tblPr>
      <w:tblGrid>
        <w:gridCol w:w="742"/>
        <w:gridCol w:w="742"/>
        <w:gridCol w:w="742"/>
        <w:gridCol w:w="741"/>
        <w:gridCol w:w="742"/>
        <w:gridCol w:w="742"/>
        <w:gridCol w:w="742"/>
        <w:gridCol w:w="742"/>
        <w:gridCol w:w="742"/>
        <w:gridCol w:w="742"/>
        <w:gridCol w:w="742"/>
      </w:tblGrid>
      <w:tr w:rsidR="00BB7D17" w:rsidRPr="00EF4C97" w14:paraId="135A1606" w14:textId="77777777" w:rsidTr="00E96DD0">
        <w:trPr>
          <w:cantSplit/>
          <w:trHeight w:val="382"/>
        </w:trPr>
        <w:tc>
          <w:tcPr>
            <w:tcW w:w="742" w:type="dxa"/>
            <w:tcBorders>
              <w:top w:val="nil"/>
              <w:left w:val="nil"/>
              <w:bottom w:val="nil"/>
              <w:right w:val="nil"/>
            </w:tcBorders>
            <w:shd w:val="clear" w:color="auto" w:fill="D9D9D9" w:themeFill="background1" w:themeFillShade="D9"/>
            <w:hideMark/>
          </w:tcPr>
          <w:p w14:paraId="47194A53" w14:textId="77777777" w:rsidR="00BB7D17" w:rsidRPr="00EF4C97" w:rsidRDefault="00BB7D17" w:rsidP="00E96DD0">
            <w:pPr>
              <w:pStyle w:val="TableText"/>
              <w:jc w:val="center"/>
              <w:rPr>
                <w:b/>
                <w:sz w:val="16"/>
                <w:szCs w:val="16"/>
              </w:rPr>
            </w:pPr>
            <w:r w:rsidRPr="00EF4C97">
              <w:rPr>
                <w:b/>
                <w:sz w:val="16"/>
                <w:szCs w:val="16"/>
              </w:rPr>
              <w:t>2012</w:t>
            </w:r>
            <w:r>
              <w:rPr>
                <w:b/>
                <w:sz w:val="16"/>
                <w:szCs w:val="16"/>
              </w:rPr>
              <w:t>/13</w:t>
            </w:r>
          </w:p>
        </w:tc>
        <w:tc>
          <w:tcPr>
            <w:tcW w:w="742" w:type="dxa"/>
            <w:tcBorders>
              <w:top w:val="nil"/>
              <w:left w:val="nil"/>
              <w:bottom w:val="nil"/>
              <w:right w:val="nil"/>
            </w:tcBorders>
            <w:shd w:val="clear" w:color="auto" w:fill="D9D9D9" w:themeFill="background1" w:themeFillShade="D9"/>
            <w:hideMark/>
          </w:tcPr>
          <w:p w14:paraId="30453A87" w14:textId="77777777" w:rsidR="00BB7D17" w:rsidRPr="00EF4C97" w:rsidRDefault="00BB7D17" w:rsidP="00E96DD0">
            <w:pPr>
              <w:pStyle w:val="TableText"/>
              <w:jc w:val="center"/>
              <w:rPr>
                <w:b/>
                <w:sz w:val="16"/>
                <w:szCs w:val="16"/>
              </w:rPr>
            </w:pPr>
            <w:r w:rsidRPr="00EF4C97">
              <w:rPr>
                <w:b/>
                <w:sz w:val="16"/>
                <w:szCs w:val="16"/>
              </w:rPr>
              <w:t>2013</w:t>
            </w:r>
            <w:r>
              <w:rPr>
                <w:b/>
                <w:sz w:val="16"/>
                <w:szCs w:val="16"/>
              </w:rPr>
              <w:t>/14</w:t>
            </w:r>
          </w:p>
        </w:tc>
        <w:tc>
          <w:tcPr>
            <w:tcW w:w="742" w:type="dxa"/>
            <w:tcBorders>
              <w:top w:val="nil"/>
              <w:left w:val="nil"/>
              <w:bottom w:val="nil"/>
              <w:right w:val="nil"/>
            </w:tcBorders>
            <w:shd w:val="clear" w:color="auto" w:fill="D9D9D9" w:themeFill="background1" w:themeFillShade="D9"/>
            <w:hideMark/>
          </w:tcPr>
          <w:p w14:paraId="6AE327DB" w14:textId="77777777" w:rsidR="00BB7D17" w:rsidRPr="00EF4C97" w:rsidRDefault="00BB7D17" w:rsidP="00E96DD0">
            <w:pPr>
              <w:pStyle w:val="TableText"/>
              <w:jc w:val="center"/>
              <w:rPr>
                <w:b/>
                <w:sz w:val="16"/>
                <w:szCs w:val="16"/>
              </w:rPr>
            </w:pPr>
            <w:r w:rsidRPr="00EF4C97">
              <w:rPr>
                <w:b/>
                <w:sz w:val="16"/>
                <w:szCs w:val="16"/>
              </w:rPr>
              <w:t>2014</w:t>
            </w:r>
            <w:r>
              <w:rPr>
                <w:b/>
                <w:sz w:val="16"/>
                <w:szCs w:val="16"/>
              </w:rPr>
              <w:t>/15</w:t>
            </w:r>
          </w:p>
        </w:tc>
        <w:tc>
          <w:tcPr>
            <w:tcW w:w="741" w:type="dxa"/>
            <w:tcBorders>
              <w:top w:val="nil"/>
              <w:left w:val="nil"/>
              <w:bottom w:val="nil"/>
              <w:right w:val="nil"/>
            </w:tcBorders>
            <w:shd w:val="clear" w:color="auto" w:fill="D9D9D9" w:themeFill="background1" w:themeFillShade="D9"/>
            <w:hideMark/>
          </w:tcPr>
          <w:p w14:paraId="277CDC18" w14:textId="77777777" w:rsidR="00BB7D17" w:rsidRPr="00EF4C97" w:rsidRDefault="00BB7D17" w:rsidP="00E96DD0">
            <w:pPr>
              <w:pStyle w:val="TableText"/>
              <w:jc w:val="center"/>
              <w:rPr>
                <w:b/>
                <w:sz w:val="16"/>
                <w:szCs w:val="16"/>
              </w:rPr>
            </w:pPr>
            <w:r w:rsidRPr="00EF4C97">
              <w:rPr>
                <w:b/>
                <w:sz w:val="16"/>
                <w:szCs w:val="16"/>
              </w:rPr>
              <w:t>2015</w:t>
            </w:r>
            <w:r>
              <w:rPr>
                <w:b/>
                <w:sz w:val="16"/>
                <w:szCs w:val="16"/>
              </w:rPr>
              <w:t>/16</w:t>
            </w:r>
          </w:p>
        </w:tc>
        <w:tc>
          <w:tcPr>
            <w:tcW w:w="742" w:type="dxa"/>
            <w:tcBorders>
              <w:top w:val="nil"/>
              <w:left w:val="nil"/>
              <w:bottom w:val="nil"/>
              <w:right w:val="nil"/>
            </w:tcBorders>
            <w:shd w:val="clear" w:color="auto" w:fill="D9D9D9" w:themeFill="background1" w:themeFillShade="D9"/>
            <w:hideMark/>
          </w:tcPr>
          <w:p w14:paraId="7C144EF8" w14:textId="77777777" w:rsidR="00BB7D17" w:rsidRPr="00EF4C97" w:rsidRDefault="00BB7D17" w:rsidP="00E96DD0">
            <w:pPr>
              <w:pStyle w:val="TableText"/>
              <w:jc w:val="center"/>
              <w:rPr>
                <w:b/>
                <w:sz w:val="16"/>
                <w:szCs w:val="16"/>
              </w:rPr>
            </w:pPr>
            <w:r w:rsidRPr="00EF4C97">
              <w:rPr>
                <w:b/>
                <w:sz w:val="16"/>
                <w:szCs w:val="16"/>
              </w:rPr>
              <w:t>2016</w:t>
            </w:r>
            <w:r>
              <w:rPr>
                <w:b/>
                <w:sz w:val="16"/>
                <w:szCs w:val="16"/>
              </w:rPr>
              <w:t>/17</w:t>
            </w:r>
          </w:p>
        </w:tc>
        <w:tc>
          <w:tcPr>
            <w:tcW w:w="742" w:type="dxa"/>
            <w:tcBorders>
              <w:top w:val="nil"/>
              <w:left w:val="nil"/>
              <w:bottom w:val="nil"/>
              <w:right w:val="nil"/>
            </w:tcBorders>
            <w:shd w:val="clear" w:color="auto" w:fill="D9D9D9" w:themeFill="background1" w:themeFillShade="D9"/>
            <w:hideMark/>
          </w:tcPr>
          <w:p w14:paraId="32268086" w14:textId="77777777" w:rsidR="00BB7D17" w:rsidRPr="00EF4C97" w:rsidRDefault="00BB7D17" w:rsidP="00E96DD0">
            <w:pPr>
              <w:pStyle w:val="TableText"/>
              <w:jc w:val="center"/>
              <w:rPr>
                <w:b/>
                <w:sz w:val="16"/>
                <w:szCs w:val="16"/>
              </w:rPr>
            </w:pPr>
            <w:r w:rsidRPr="00EF4C97">
              <w:rPr>
                <w:b/>
                <w:sz w:val="16"/>
                <w:szCs w:val="16"/>
              </w:rPr>
              <w:t>2017</w:t>
            </w:r>
            <w:r>
              <w:rPr>
                <w:b/>
                <w:sz w:val="16"/>
                <w:szCs w:val="16"/>
              </w:rPr>
              <w:t>/18</w:t>
            </w:r>
          </w:p>
        </w:tc>
        <w:tc>
          <w:tcPr>
            <w:tcW w:w="742" w:type="dxa"/>
            <w:tcBorders>
              <w:top w:val="nil"/>
              <w:left w:val="nil"/>
              <w:bottom w:val="nil"/>
              <w:right w:val="nil"/>
            </w:tcBorders>
            <w:shd w:val="clear" w:color="auto" w:fill="D9D9D9" w:themeFill="background1" w:themeFillShade="D9"/>
            <w:hideMark/>
          </w:tcPr>
          <w:p w14:paraId="0A1D550C" w14:textId="77777777" w:rsidR="00BB7D17" w:rsidRPr="00EF4C97" w:rsidRDefault="00BB7D17" w:rsidP="00E96DD0">
            <w:pPr>
              <w:pStyle w:val="TableText"/>
              <w:jc w:val="center"/>
              <w:rPr>
                <w:b/>
                <w:sz w:val="16"/>
                <w:szCs w:val="16"/>
              </w:rPr>
            </w:pPr>
            <w:r w:rsidRPr="00EF4C97">
              <w:rPr>
                <w:b/>
                <w:sz w:val="16"/>
                <w:szCs w:val="16"/>
              </w:rPr>
              <w:t>2018</w:t>
            </w:r>
            <w:r>
              <w:rPr>
                <w:b/>
                <w:sz w:val="16"/>
                <w:szCs w:val="16"/>
              </w:rPr>
              <w:t>/19</w:t>
            </w:r>
          </w:p>
        </w:tc>
        <w:tc>
          <w:tcPr>
            <w:tcW w:w="742" w:type="dxa"/>
            <w:tcBorders>
              <w:top w:val="nil"/>
              <w:left w:val="nil"/>
              <w:bottom w:val="nil"/>
              <w:right w:val="nil"/>
            </w:tcBorders>
            <w:shd w:val="clear" w:color="auto" w:fill="D9D9D9" w:themeFill="background1" w:themeFillShade="D9"/>
            <w:hideMark/>
          </w:tcPr>
          <w:p w14:paraId="225461F6" w14:textId="77777777" w:rsidR="00BB7D17" w:rsidRPr="00EF4C97" w:rsidRDefault="00BB7D17" w:rsidP="00E96DD0">
            <w:pPr>
              <w:pStyle w:val="TableText"/>
              <w:jc w:val="center"/>
              <w:rPr>
                <w:b/>
                <w:sz w:val="16"/>
                <w:szCs w:val="16"/>
              </w:rPr>
            </w:pPr>
            <w:r w:rsidRPr="00EF4C97">
              <w:rPr>
                <w:b/>
                <w:sz w:val="16"/>
                <w:szCs w:val="16"/>
              </w:rPr>
              <w:t>2019</w:t>
            </w:r>
            <w:r>
              <w:rPr>
                <w:b/>
                <w:sz w:val="16"/>
                <w:szCs w:val="16"/>
              </w:rPr>
              <w:t>/20</w:t>
            </w:r>
          </w:p>
        </w:tc>
        <w:tc>
          <w:tcPr>
            <w:tcW w:w="742" w:type="dxa"/>
            <w:tcBorders>
              <w:top w:val="nil"/>
              <w:left w:val="nil"/>
              <w:bottom w:val="nil"/>
              <w:right w:val="nil"/>
            </w:tcBorders>
            <w:shd w:val="clear" w:color="auto" w:fill="D9D9D9" w:themeFill="background1" w:themeFillShade="D9"/>
          </w:tcPr>
          <w:p w14:paraId="1A3EE17A" w14:textId="77777777" w:rsidR="00BB7D17" w:rsidRPr="00EF4C97" w:rsidRDefault="00BB7D17" w:rsidP="00E96DD0">
            <w:pPr>
              <w:pStyle w:val="TableText"/>
              <w:jc w:val="center"/>
              <w:rPr>
                <w:b/>
                <w:sz w:val="16"/>
                <w:szCs w:val="16"/>
              </w:rPr>
            </w:pPr>
            <w:r w:rsidRPr="00EF4C97">
              <w:rPr>
                <w:b/>
                <w:sz w:val="16"/>
                <w:szCs w:val="16"/>
              </w:rPr>
              <w:t>2020</w:t>
            </w:r>
            <w:r>
              <w:rPr>
                <w:b/>
                <w:sz w:val="16"/>
                <w:szCs w:val="16"/>
              </w:rPr>
              <w:t>/21</w:t>
            </w:r>
          </w:p>
        </w:tc>
        <w:tc>
          <w:tcPr>
            <w:tcW w:w="742" w:type="dxa"/>
            <w:tcBorders>
              <w:top w:val="nil"/>
              <w:left w:val="nil"/>
              <w:bottom w:val="nil"/>
              <w:right w:val="nil"/>
            </w:tcBorders>
            <w:shd w:val="clear" w:color="auto" w:fill="D9D9D9" w:themeFill="background1" w:themeFillShade="D9"/>
          </w:tcPr>
          <w:p w14:paraId="795CC741" w14:textId="77777777" w:rsidR="00BB7D17" w:rsidRPr="00EF4C97" w:rsidRDefault="00BB7D17" w:rsidP="00E96DD0">
            <w:pPr>
              <w:pStyle w:val="TableText"/>
              <w:jc w:val="center"/>
              <w:rPr>
                <w:b/>
                <w:sz w:val="16"/>
                <w:szCs w:val="16"/>
              </w:rPr>
            </w:pPr>
            <w:r>
              <w:rPr>
                <w:b/>
                <w:sz w:val="16"/>
                <w:szCs w:val="16"/>
              </w:rPr>
              <w:t>2021/22</w:t>
            </w:r>
          </w:p>
        </w:tc>
        <w:tc>
          <w:tcPr>
            <w:tcW w:w="742" w:type="dxa"/>
            <w:tcBorders>
              <w:top w:val="nil"/>
              <w:left w:val="nil"/>
              <w:bottom w:val="nil"/>
              <w:right w:val="nil"/>
            </w:tcBorders>
            <w:shd w:val="clear" w:color="auto" w:fill="D9D9D9" w:themeFill="background1" w:themeFillShade="D9"/>
          </w:tcPr>
          <w:p w14:paraId="775502D1" w14:textId="77777777" w:rsidR="00BB7D17" w:rsidRDefault="00BB7D17" w:rsidP="00E96DD0">
            <w:pPr>
              <w:pStyle w:val="TableText"/>
              <w:jc w:val="center"/>
              <w:rPr>
                <w:b/>
                <w:sz w:val="16"/>
                <w:szCs w:val="16"/>
              </w:rPr>
            </w:pPr>
            <w:r>
              <w:rPr>
                <w:b/>
                <w:sz w:val="16"/>
                <w:szCs w:val="16"/>
              </w:rPr>
              <w:t>2022/23</w:t>
            </w:r>
          </w:p>
        </w:tc>
      </w:tr>
      <w:tr w:rsidR="00BB7D17" w:rsidRPr="007240A9" w14:paraId="004D0C5E" w14:textId="77777777" w:rsidTr="00E96DD0">
        <w:trPr>
          <w:cantSplit/>
          <w:trHeight w:val="382"/>
        </w:trPr>
        <w:tc>
          <w:tcPr>
            <w:tcW w:w="742" w:type="dxa"/>
            <w:tcBorders>
              <w:top w:val="nil"/>
              <w:left w:val="nil"/>
              <w:bottom w:val="single" w:sz="4" w:space="0" w:color="A6A6A6" w:themeColor="background1" w:themeShade="A6"/>
              <w:right w:val="nil"/>
            </w:tcBorders>
            <w:hideMark/>
          </w:tcPr>
          <w:p w14:paraId="020B8EAB" w14:textId="77777777" w:rsidR="00BB7D17" w:rsidRPr="00097BF7" w:rsidRDefault="00BB7D17" w:rsidP="00E96DD0">
            <w:pPr>
              <w:pStyle w:val="TableText"/>
              <w:jc w:val="center"/>
              <w:rPr>
                <w:sz w:val="16"/>
                <w:szCs w:val="16"/>
              </w:rPr>
            </w:pPr>
            <w:r w:rsidRPr="00097BF7">
              <w:rPr>
                <w:sz w:val="16"/>
                <w:szCs w:val="16"/>
              </w:rPr>
              <w:t>0</w:t>
            </w:r>
          </w:p>
        </w:tc>
        <w:tc>
          <w:tcPr>
            <w:tcW w:w="742" w:type="dxa"/>
            <w:tcBorders>
              <w:top w:val="nil"/>
              <w:left w:val="nil"/>
              <w:bottom w:val="single" w:sz="4" w:space="0" w:color="A6A6A6" w:themeColor="background1" w:themeShade="A6"/>
              <w:right w:val="nil"/>
            </w:tcBorders>
            <w:hideMark/>
          </w:tcPr>
          <w:p w14:paraId="106CE93A" w14:textId="77777777" w:rsidR="00BB7D17" w:rsidRPr="00097BF7" w:rsidRDefault="00BB7D17" w:rsidP="00E96DD0">
            <w:pPr>
              <w:pStyle w:val="TableText"/>
              <w:jc w:val="center"/>
              <w:rPr>
                <w:sz w:val="16"/>
                <w:szCs w:val="16"/>
              </w:rPr>
            </w:pPr>
            <w:r w:rsidRPr="00097BF7">
              <w:rPr>
                <w:sz w:val="16"/>
                <w:szCs w:val="16"/>
              </w:rPr>
              <w:t>0</w:t>
            </w:r>
          </w:p>
        </w:tc>
        <w:tc>
          <w:tcPr>
            <w:tcW w:w="742" w:type="dxa"/>
            <w:tcBorders>
              <w:top w:val="nil"/>
              <w:left w:val="nil"/>
              <w:bottom w:val="single" w:sz="4" w:space="0" w:color="A6A6A6" w:themeColor="background1" w:themeShade="A6"/>
              <w:right w:val="nil"/>
            </w:tcBorders>
            <w:hideMark/>
          </w:tcPr>
          <w:p w14:paraId="3D3C04E7" w14:textId="77777777" w:rsidR="00BB7D17" w:rsidRPr="00097BF7" w:rsidRDefault="00BB7D17" w:rsidP="00E96DD0">
            <w:pPr>
              <w:pStyle w:val="TableText"/>
              <w:jc w:val="center"/>
              <w:rPr>
                <w:sz w:val="16"/>
                <w:szCs w:val="16"/>
              </w:rPr>
            </w:pPr>
            <w:r w:rsidRPr="00097BF7">
              <w:rPr>
                <w:sz w:val="16"/>
                <w:szCs w:val="16"/>
              </w:rPr>
              <w:t>1</w:t>
            </w:r>
          </w:p>
        </w:tc>
        <w:tc>
          <w:tcPr>
            <w:tcW w:w="741" w:type="dxa"/>
            <w:tcBorders>
              <w:top w:val="nil"/>
              <w:left w:val="nil"/>
              <w:bottom w:val="single" w:sz="4" w:space="0" w:color="A6A6A6" w:themeColor="background1" w:themeShade="A6"/>
              <w:right w:val="nil"/>
            </w:tcBorders>
            <w:hideMark/>
          </w:tcPr>
          <w:p w14:paraId="4294F08D" w14:textId="77777777" w:rsidR="00BB7D17" w:rsidRPr="00097BF7" w:rsidRDefault="00BB7D17" w:rsidP="00E96DD0">
            <w:pPr>
              <w:pStyle w:val="TableText"/>
              <w:jc w:val="center"/>
              <w:rPr>
                <w:sz w:val="16"/>
                <w:szCs w:val="16"/>
              </w:rPr>
            </w:pPr>
            <w:r w:rsidRPr="00097BF7">
              <w:rPr>
                <w:sz w:val="16"/>
                <w:szCs w:val="16"/>
              </w:rPr>
              <w:t>2</w:t>
            </w:r>
          </w:p>
        </w:tc>
        <w:tc>
          <w:tcPr>
            <w:tcW w:w="742" w:type="dxa"/>
            <w:tcBorders>
              <w:top w:val="nil"/>
              <w:left w:val="nil"/>
              <w:bottom w:val="single" w:sz="4" w:space="0" w:color="A6A6A6" w:themeColor="background1" w:themeShade="A6"/>
              <w:right w:val="nil"/>
            </w:tcBorders>
            <w:hideMark/>
          </w:tcPr>
          <w:p w14:paraId="66DD3ADF" w14:textId="77777777" w:rsidR="00BB7D17" w:rsidRPr="00097BF7" w:rsidRDefault="00BB7D17" w:rsidP="00E96DD0">
            <w:pPr>
              <w:pStyle w:val="TableText"/>
              <w:jc w:val="center"/>
              <w:rPr>
                <w:sz w:val="16"/>
                <w:szCs w:val="16"/>
              </w:rPr>
            </w:pPr>
            <w:r w:rsidRPr="00097BF7">
              <w:rPr>
                <w:sz w:val="16"/>
                <w:szCs w:val="16"/>
              </w:rPr>
              <w:t>0</w:t>
            </w:r>
          </w:p>
        </w:tc>
        <w:tc>
          <w:tcPr>
            <w:tcW w:w="742" w:type="dxa"/>
            <w:tcBorders>
              <w:top w:val="nil"/>
              <w:left w:val="nil"/>
              <w:bottom w:val="single" w:sz="4" w:space="0" w:color="A6A6A6" w:themeColor="background1" w:themeShade="A6"/>
              <w:right w:val="nil"/>
            </w:tcBorders>
            <w:hideMark/>
          </w:tcPr>
          <w:p w14:paraId="50285B32" w14:textId="77777777" w:rsidR="00BB7D17" w:rsidRPr="00097BF7" w:rsidRDefault="00BB7D17" w:rsidP="00E96DD0">
            <w:pPr>
              <w:pStyle w:val="TableText"/>
              <w:jc w:val="center"/>
              <w:rPr>
                <w:sz w:val="16"/>
                <w:szCs w:val="16"/>
              </w:rPr>
            </w:pPr>
            <w:r w:rsidRPr="00097BF7">
              <w:rPr>
                <w:sz w:val="16"/>
                <w:szCs w:val="16"/>
              </w:rPr>
              <w:t>0</w:t>
            </w:r>
          </w:p>
        </w:tc>
        <w:tc>
          <w:tcPr>
            <w:tcW w:w="742" w:type="dxa"/>
            <w:tcBorders>
              <w:top w:val="nil"/>
              <w:left w:val="nil"/>
              <w:bottom w:val="single" w:sz="4" w:space="0" w:color="A6A6A6" w:themeColor="background1" w:themeShade="A6"/>
              <w:right w:val="nil"/>
            </w:tcBorders>
            <w:hideMark/>
          </w:tcPr>
          <w:p w14:paraId="373F735E" w14:textId="77777777" w:rsidR="00BB7D17" w:rsidRPr="00097BF7" w:rsidRDefault="00BB7D17" w:rsidP="00E96DD0">
            <w:pPr>
              <w:pStyle w:val="TableText"/>
              <w:jc w:val="center"/>
              <w:rPr>
                <w:sz w:val="16"/>
                <w:szCs w:val="16"/>
              </w:rPr>
            </w:pPr>
            <w:r w:rsidRPr="00097BF7">
              <w:rPr>
                <w:sz w:val="16"/>
                <w:szCs w:val="16"/>
              </w:rPr>
              <w:t>0</w:t>
            </w:r>
          </w:p>
        </w:tc>
        <w:tc>
          <w:tcPr>
            <w:tcW w:w="742" w:type="dxa"/>
            <w:tcBorders>
              <w:top w:val="nil"/>
              <w:left w:val="nil"/>
              <w:bottom w:val="single" w:sz="4" w:space="0" w:color="A6A6A6" w:themeColor="background1" w:themeShade="A6"/>
              <w:right w:val="nil"/>
            </w:tcBorders>
            <w:hideMark/>
          </w:tcPr>
          <w:p w14:paraId="1839ADB3" w14:textId="77777777" w:rsidR="00BB7D17" w:rsidRPr="00097BF7" w:rsidRDefault="00BB7D17" w:rsidP="00E96DD0">
            <w:pPr>
              <w:pStyle w:val="TableText"/>
              <w:jc w:val="center"/>
              <w:rPr>
                <w:sz w:val="16"/>
                <w:szCs w:val="16"/>
              </w:rPr>
            </w:pPr>
            <w:r w:rsidRPr="00097BF7">
              <w:rPr>
                <w:sz w:val="16"/>
                <w:szCs w:val="16"/>
              </w:rPr>
              <w:t>0</w:t>
            </w:r>
          </w:p>
        </w:tc>
        <w:tc>
          <w:tcPr>
            <w:tcW w:w="742" w:type="dxa"/>
            <w:tcBorders>
              <w:top w:val="nil"/>
              <w:left w:val="nil"/>
              <w:bottom w:val="single" w:sz="4" w:space="0" w:color="A6A6A6" w:themeColor="background1" w:themeShade="A6"/>
              <w:right w:val="nil"/>
            </w:tcBorders>
          </w:tcPr>
          <w:p w14:paraId="77C9699E" w14:textId="77777777" w:rsidR="00BB7D17" w:rsidRPr="00097BF7" w:rsidRDefault="00BB7D17" w:rsidP="00E96DD0">
            <w:pPr>
              <w:pStyle w:val="TableText"/>
              <w:jc w:val="center"/>
              <w:rPr>
                <w:sz w:val="16"/>
                <w:szCs w:val="16"/>
              </w:rPr>
            </w:pPr>
            <w:r w:rsidRPr="00097BF7">
              <w:rPr>
                <w:sz w:val="16"/>
                <w:szCs w:val="16"/>
              </w:rPr>
              <w:t>0</w:t>
            </w:r>
          </w:p>
        </w:tc>
        <w:tc>
          <w:tcPr>
            <w:tcW w:w="742" w:type="dxa"/>
            <w:tcBorders>
              <w:top w:val="nil"/>
              <w:left w:val="nil"/>
              <w:bottom w:val="single" w:sz="4" w:space="0" w:color="A6A6A6" w:themeColor="background1" w:themeShade="A6"/>
              <w:right w:val="nil"/>
            </w:tcBorders>
          </w:tcPr>
          <w:p w14:paraId="04E5B814" w14:textId="77777777" w:rsidR="00BB7D17" w:rsidRPr="00097BF7" w:rsidRDefault="00BB7D17" w:rsidP="00E96DD0">
            <w:pPr>
              <w:pStyle w:val="TableText"/>
              <w:jc w:val="center"/>
              <w:rPr>
                <w:sz w:val="16"/>
                <w:szCs w:val="16"/>
              </w:rPr>
            </w:pPr>
            <w:r w:rsidRPr="00097BF7">
              <w:rPr>
                <w:sz w:val="16"/>
                <w:szCs w:val="16"/>
              </w:rPr>
              <w:t>0</w:t>
            </w:r>
          </w:p>
        </w:tc>
        <w:tc>
          <w:tcPr>
            <w:tcW w:w="742" w:type="dxa"/>
            <w:tcBorders>
              <w:top w:val="nil"/>
              <w:left w:val="nil"/>
              <w:bottom w:val="single" w:sz="4" w:space="0" w:color="A6A6A6" w:themeColor="background1" w:themeShade="A6"/>
              <w:right w:val="nil"/>
            </w:tcBorders>
          </w:tcPr>
          <w:p w14:paraId="7BD39D78" w14:textId="77777777" w:rsidR="00BB7D17" w:rsidRPr="00097BF7" w:rsidRDefault="00BB7D17" w:rsidP="00E96DD0">
            <w:pPr>
              <w:pStyle w:val="TableText"/>
              <w:jc w:val="center"/>
              <w:rPr>
                <w:sz w:val="16"/>
                <w:szCs w:val="16"/>
              </w:rPr>
            </w:pPr>
            <w:r w:rsidRPr="00097BF7">
              <w:rPr>
                <w:sz w:val="16"/>
                <w:szCs w:val="16"/>
              </w:rPr>
              <w:t>0</w:t>
            </w:r>
          </w:p>
        </w:tc>
      </w:tr>
    </w:tbl>
    <w:p w14:paraId="26E02AB9" w14:textId="77777777" w:rsidR="00BB7D17" w:rsidRDefault="00BB7D17" w:rsidP="00BB7D17">
      <w:pPr>
        <w:pStyle w:val="Source"/>
      </w:pPr>
      <w:r>
        <w:t>Source: Office of the Director of Mental Health and Addiction Services records.</w:t>
      </w:r>
    </w:p>
    <w:p w14:paraId="00D3B402" w14:textId="77777777" w:rsidR="00BB7D17" w:rsidRDefault="00BB7D17" w:rsidP="00BB7D17"/>
    <w:p w14:paraId="54AD6673" w14:textId="77777777" w:rsidR="00BB7D17" w:rsidRPr="003A47EF" w:rsidRDefault="00BB7D17" w:rsidP="00BB7D17">
      <w:pPr>
        <w:spacing w:after="160" w:line="259" w:lineRule="auto"/>
        <w:rPr>
          <w:sz w:val="17"/>
        </w:rPr>
      </w:pPr>
    </w:p>
    <w:p w14:paraId="1B402CB0" w14:textId="77777777" w:rsidR="00BB7D17" w:rsidRDefault="00BB7D17" w:rsidP="00BB7D17">
      <w:pPr>
        <w:spacing w:after="160" w:line="259" w:lineRule="auto"/>
      </w:pPr>
      <w:r>
        <w:br w:type="page"/>
      </w:r>
    </w:p>
    <w:p w14:paraId="3E360F84" w14:textId="77777777" w:rsidR="00BB7D17" w:rsidRPr="000420E5" w:rsidRDefault="00BB7D17" w:rsidP="000420E5">
      <w:pPr>
        <w:pStyle w:val="Heading1"/>
        <w:ind w:right="-426"/>
        <w:rPr>
          <w:sz w:val="68"/>
          <w:szCs w:val="68"/>
        </w:rPr>
      </w:pPr>
      <w:bookmarkStart w:id="675" w:name="_Toc65141634"/>
      <w:bookmarkStart w:id="676" w:name="_Toc75176459"/>
      <w:bookmarkStart w:id="677" w:name="_Toc87429927"/>
      <w:bookmarkStart w:id="678" w:name="_Toc88826975"/>
      <w:bookmarkStart w:id="679" w:name="_Toc115188825"/>
      <w:bookmarkStart w:id="680" w:name="_Toc145394251"/>
      <w:bookmarkStart w:id="681" w:name="_Toc189053921"/>
      <w:bookmarkStart w:id="682" w:name="_Toc189647910"/>
      <w:r w:rsidRPr="000420E5">
        <w:rPr>
          <w:sz w:val="68"/>
          <w:szCs w:val="68"/>
        </w:rPr>
        <w:t>Electroconvulsive therapy</w:t>
      </w:r>
      <w:bookmarkEnd w:id="675"/>
      <w:bookmarkEnd w:id="676"/>
      <w:bookmarkEnd w:id="677"/>
      <w:bookmarkEnd w:id="678"/>
      <w:bookmarkEnd w:id="679"/>
      <w:bookmarkEnd w:id="680"/>
      <w:bookmarkEnd w:id="681"/>
      <w:bookmarkEnd w:id="682"/>
    </w:p>
    <w:p w14:paraId="3AFE134B" w14:textId="77777777" w:rsidR="00BB7D17" w:rsidRDefault="00BB7D17" w:rsidP="00BB7D17">
      <w:r w:rsidRPr="00200234">
        <w:t>Electroconvulsive therapy (ECT) is a therapeutic procedure that delivers a brief pulse of electricity to a person</w:t>
      </w:r>
      <w:r>
        <w:t>’</w:t>
      </w:r>
      <w:r w:rsidRPr="00200234">
        <w:t xml:space="preserve">s brain to </w:t>
      </w:r>
      <w:r>
        <w:t>generate</w:t>
      </w:r>
      <w:r w:rsidRPr="00200234">
        <w:t xml:space="preserve"> a seizure</w:t>
      </w:r>
      <w:r>
        <w:t xml:space="preserve"> while they are under anaesthesia.</w:t>
      </w:r>
      <w:r w:rsidRPr="00200234">
        <w:t xml:space="preserve"> </w:t>
      </w:r>
      <w:r>
        <w:t>ECT</w:t>
      </w:r>
      <w:r w:rsidRPr="00200234">
        <w:t xml:space="preserve"> can be an effective treatment for depression, mania, catatonia and other serious neuropsychiatric conditions. It can </w:t>
      </w:r>
      <w:r>
        <w:t>happen</w:t>
      </w:r>
      <w:r w:rsidRPr="007459A9">
        <w:t xml:space="preserve"> </w:t>
      </w:r>
      <w:r w:rsidRPr="00200234">
        <w:t xml:space="preserve">only </w:t>
      </w:r>
      <w:r>
        <w:t>if the person receiving it consents or</w:t>
      </w:r>
      <w:r w:rsidRPr="00200234">
        <w:t xml:space="preserve"> in carefully defined circumstances</w:t>
      </w:r>
      <w:r>
        <w:t xml:space="preserve"> without their consent.</w:t>
      </w:r>
    </w:p>
    <w:p w14:paraId="40370401" w14:textId="77777777" w:rsidR="00BB7D17" w:rsidRPr="00200234" w:rsidRDefault="00BB7D17" w:rsidP="00BB7D17"/>
    <w:p w14:paraId="19A17973" w14:textId="3745CF3A" w:rsidR="00BB7D17" w:rsidRDefault="00E96DD0" w:rsidP="00BB7D17">
      <w:r>
        <w:t xml:space="preserve">In last year’s regulatory report, some of the ECT data on MidCentral district was missing. </w:t>
      </w:r>
      <w:r>
        <w:fldChar w:fldCharType="begin"/>
      </w:r>
      <w:r>
        <w:instrText xml:space="preserve"> REF _Ref184980425 \h </w:instrText>
      </w:r>
      <w:r>
        <w:fldChar w:fldCharType="separate"/>
      </w:r>
      <w:r w:rsidR="00753BC8" w:rsidRPr="00DB6B70">
        <w:t xml:space="preserve">Appendix </w:t>
      </w:r>
      <w:r w:rsidR="00753BC8">
        <w:t>4</w:t>
      </w:r>
      <w:r w:rsidR="00753BC8" w:rsidRPr="00DB6B70">
        <w:t xml:space="preserve">: </w:t>
      </w:r>
      <w:r w:rsidR="00753BC8">
        <w:t>2021/22 corrected ECT data</w:t>
      </w:r>
      <w:r>
        <w:fldChar w:fldCharType="end"/>
      </w:r>
      <w:r>
        <w:t xml:space="preserve"> presents the corrected data.</w:t>
      </w:r>
    </w:p>
    <w:p w14:paraId="62BCF782" w14:textId="77777777" w:rsidR="00BB7D17" w:rsidRPr="00200234" w:rsidRDefault="00BB7D17" w:rsidP="00BB7D17"/>
    <w:p w14:paraId="0670220D" w14:textId="77777777" w:rsidR="00BB7D17" w:rsidRPr="00200234" w:rsidRDefault="00BB7D17" w:rsidP="00BB7D17">
      <w:r>
        <w:t>The following summarises ECT data</w:t>
      </w:r>
      <w:r w:rsidRPr="009A4134">
        <w:t xml:space="preserve"> </w:t>
      </w:r>
      <w:r>
        <w:t>from 1 July 2022 to 30 June 2023.</w:t>
      </w:r>
      <w:r>
        <w:rPr>
          <w:rStyle w:val="FootnoteReference"/>
        </w:rPr>
        <w:footnoteReference w:id="23"/>
      </w:r>
    </w:p>
    <w:p w14:paraId="16D70ED0" w14:textId="77777777" w:rsidR="00BB7D17" w:rsidRPr="00BB7D17" w:rsidRDefault="00BB7D17" w:rsidP="00BB7D17">
      <w:pPr>
        <w:pStyle w:val="Bullet"/>
      </w:pPr>
      <w:r w:rsidRPr="00BB7D17">
        <w:t>264 people received ECT (5.0 people per 100,000 population).</w:t>
      </w:r>
    </w:p>
    <w:p w14:paraId="535FFCFB" w14:textId="77777777" w:rsidR="00BB7D17" w:rsidRPr="00BB7D17" w:rsidRDefault="00BB7D17" w:rsidP="00BB7D17">
      <w:pPr>
        <w:pStyle w:val="Bullet"/>
      </w:pPr>
      <w:r w:rsidRPr="00BB7D17">
        <w:t>Services administered a total of 3,015 treatments of ECT.</w:t>
      </w:r>
    </w:p>
    <w:p w14:paraId="24790499" w14:textId="77777777" w:rsidR="00BB7D17" w:rsidRPr="00BB7D17" w:rsidRDefault="00BB7D17" w:rsidP="00BB7D17">
      <w:pPr>
        <w:pStyle w:val="Bullet"/>
      </w:pPr>
      <w:r w:rsidRPr="00BB7D17">
        <w:t>ECT patients received an average of 11.4 ECT treatments each over the year.</w:t>
      </w:r>
    </w:p>
    <w:p w14:paraId="51B22C23" w14:textId="77777777" w:rsidR="00BB7D17" w:rsidRPr="00BB7D17" w:rsidRDefault="00BB7D17" w:rsidP="00BB7D17">
      <w:pPr>
        <w:pStyle w:val="Bullet"/>
      </w:pPr>
      <w:r w:rsidRPr="00BB7D17">
        <w:t>Females (59.1%) were more likely to receive ECT than males (40.9%).</w:t>
      </w:r>
    </w:p>
    <w:p w14:paraId="3B540A4A" w14:textId="77777777" w:rsidR="00BB7D17" w:rsidRPr="00BB7D17" w:rsidRDefault="00BB7D17" w:rsidP="00BB7D17">
      <w:pPr>
        <w:pStyle w:val="Bullet"/>
      </w:pPr>
      <w:r w:rsidRPr="00BB7D17">
        <w:t>Older people were more likely to receive ECT. Those aged over 50 years made up 62.5% of ECT patients.</w:t>
      </w:r>
    </w:p>
    <w:p w14:paraId="221B8EFA" w14:textId="77777777" w:rsidR="00BB7D17" w:rsidRPr="00200234" w:rsidRDefault="00BB7D17" w:rsidP="00BB7D17">
      <w:pPr>
        <w:pStyle w:val="Heading2"/>
      </w:pPr>
      <w:bookmarkStart w:id="683" w:name="_Toc115188826"/>
      <w:bookmarkStart w:id="684" w:name="_Toc145394252"/>
      <w:bookmarkStart w:id="685" w:name="_Toc189053922"/>
      <w:bookmarkStart w:id="686" w:name="_Toc65141635"/>
      <w:bookmarkStart w:id="687" w:name="_Toc75176460"/>
      <w:bookmarkStart w:id="688" w:name="_Toc87429928"/>
      <w:bookmarkStart w:id="689" w:name="_Toc88826976"/>
      <w:bookmarkStart w:id="690" w:name="_Toc189647911"/>
      <w:r>
        <w:t xml:space="preserve">Number of people receiving </w:t>
      </w:r>
      <w:r w:rsidRPr="00200234">
        <w:t>ECT</w:t>
      </w:r>
      <w:bookmarkEnd w:id="683"/>
      <w:bookmarkEnd w:id="684"/>
      <w:bookmarkEnd w:id="685"/>
      <w:bookmarkEnd w:id="690"/>
      <w:r w:rsidRPr="00200234">
        <w:t xml:space="preserve"> </w:t>
      </w:r>
      <w:bookmarkEnd w:id="686"/>
      <w:bookmarkEnd w:id="687"/>
      <w:bookmarkEnd w:id="688"/>
      <w:bookmarkEnd w:id="689"/>
    </w:p>
    <w:p w14:paraId="3F6641CA" w14:textId="3873B4F0" w:rsidR="00E96DD0" w:rsidRDefault="00E96DD0" w:rsidP="0024354A">
      <w:r w:rsidRPr="00A33FB8">
        <w:t xml:space="preserve">Around </w:t>
      </w:r>
      <w:r w:rsidRPr="00CC4823">
        <w:t>200 to 300</w:t>
      </w:r>
      <w:r w:rsidRPr="00A33FB8">
        <w:t xml:space="preserve"> people receive </w:t>
      </w:r>
      <w:r>
        <w:t>ECT</w:t>
      </w:r>
      <w:r w:rsidRPr="00A33FB8">
        <w:t xml:space="preserve"> treatment each year</w:t>
      </w:r>
      <w:r>
        <w:t>. This number has remained relatively stable since 2006</w:t>
      </w:r>
      <w:r w:rsidR="0024354A">
        <w:t xml:space="preserve"> (</w:t>
      </w:r>
      <w:r w:rsidR="0024354A">
        <w:fldChar w:fldCharType="begin"/>
      </w:r>
      <w:r w:rsidR="0024354A">
        <w:instrText xml:space="preserve"> REF _Ref189454844 \h </w:instrText>
      </w:r>
      <w:r w:rsidR="0024354A">
        <w:fldChar w:fldCharType="separate"/>
      </w:r>
      <w:r w:rsidR="00753BC8">
        <w:t>Figure </w:t>
      </w:r>
      <w:r w:rsidR="00753BC8">
        <w:rPr>
          <w:noProof/>
        </w:rPr>
        <w:t>38</w:t>
      </w:r>
      <w:r w:rsidR="0024354A">
        <w:fldChar w:fldCharType="end"/>
      </w:r>
      <w:r w:rsidR="0024354A">
        <w:t>)</w:t>
      </w:r>
      <w:r w:rsidRPr="00A33FB8">
        <w:t>.</w:t>
      </w:r>
    </w:p>
    <w:p w14:paraId="0413A699" w14:textId="274B98BB" w:rsidR="00BB7D17" w:rsidRDefault="00BB7D17" w:rsidP="00BB7D17">
      <w:pPr>
        <w:pStyle w:val="Figure"/>
      </w:pPr>
      <w:bookmarkStart w:id="691" w:name="_Ref141109299"/>
      <w:bookmarkStart w:id="692" w:name="_Ref189454844"/>
      <w:bookmarkStart w:id="693" w:name="_Toc63764791"/>
      <w:bookmarkStart w:id="694" w:name="_Toc75176502"/>
      <w:bookmarkStart w:id="695" w:name="_Toc85442595"/>
      <w:bookmarkStart w:id="696" w:name="_Toc85445948"/>
      <w:bookmarkStart w:id="697" w:name="_Toc87429988"/>
      <w:bookmarkStart w:id="698" w:name="_Toc88561420"/>
      <w:bookmarkStart w:id="699" w:name="_Toc115188880"/>
      <w:bookmarkStart w:id="700" w:name="_Ref141109282"/>
      <w:bookmarkStart w:id="701" w:name="_Toc142314722"/>
      <w:bookmarkStart w:id="702" w:name="_Toc145394304"/>
      <w:bookmarkStart w:id="703" w:name="_Toc189053979"/>
      <w:bookmarkStart w:id="704" w:name="_Toc189647964"/>
      <w:r>
        <w:t>Figure </w:t>
      </w:r>
      <w:r>
        <w:fldChar w:fldCharType="begin"/>
      </w:r>
      <w:r>
        <w:instrText>SEQ Figure \* ARABIC</w:instrText>
      </w:r>
      <w:r>
        <w:fldChar w:fldCharType="separate"/>
      </w:r>
      <w:r w:rsidR="00753BC8">
        <w:rPr>
          <w:noProof/>
        </w:rPr>
        <w:t>38</w:t>
      </w:r>
      <w:r>
        <w:fldChar w:fldCharType="end"/>
      </w:r>
      <w:bookmarkEnd w:id="691"/>
      <w:bookmarkEnd w:id="692"/>
      <w:r w:rsidRPr="00200234">
        <w:t xml:space="preserve">: </w:t>
      </w:r>
      <w:r>
        <w:t>Number</w:t>
      </w:r>
      <w:r w:rsidRPr="00A33FB8">
        <w:t xml:space="preserve"> of ECT </w:t>
      </w:r>
      <w:r>
        <w:t xml:space="preserve">patients </w:t>
      </w:r>
      <w:r w:rsidRPr="00A33FB8">
        <w:t>per 100,000 population, 2005</w:t>
      </w:r>
      <w:r>
        <w:t xml:space="preserve"> to </w:t>
      </w:r>
      <w:r w:rsidRPr="00A33FB8">
        <w:t>20</w:t>
      </w:r>
      <w:bookmarkEnd w:id="693"/>
      <w:r w:rsidRPr="00A33FB8">
        <w:t>2</w:t>
      </w:r>
      <w:r>
        <w:t>2</w:t>
      </w:r>
      <w:bookmarkEnd w:id="694"/>
      <w:bookmarkEnd w:id="695"/>
      <w:bookmarkEnd w:id="696"/>
      <w:bookmarkEnd w:id="697"/>
      <w:bookmarkEnd w:id="698"/>
      <w:r w:rsidRPr="00A33FB8">
        <w:t>/2</w:t>
      </w:r>
      <w:r>
        <w:t>3</w:t>
      </w:r>
      <w:bookmarkEnd w:id="699"/>
      <w:bookmarkEnd w:id="700"/>
      <w:bookmarkEnd w:id="701"/>
      <w:bookmarkEnd w:id="702"/>
      <w:bookmarkEnd w:id="703"/>
      <w:bookmarkEnd w:id="704"/>
    </w:p>
    <w:p w14:paraId="4F25FE76" w14:textId="77777777" w:rsidR="00BB7D17" w:rsidRDefault="00BB7D17" w:rsidP="00BB7D17">
      <w:pPr>
        <w:rPr>
          <w:rFonts w:eastAsia="Arial Unicode MS"/>
        </w:rPr>
      </w:pPr>
      <w:r>
        <w:rPr>
          <w:noProof/>
        </w:rPr>
        <w:drawing>
          <wp:inline distT="0" distB="0" distL="0" distR="0" wp14:anchorId="5A026D02" wp14:editId="73344EC4">
            <wp:extent cx="5116185" cy="2692400"/>
            <wp:effectExtent l="0" t="0" r="8890" b="0"/>
            <wp:docPr id="1297958827" name="Picture 12979588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7958827" name="Picture 1297958827">
                      <a:extLst>
                        <a:ext uri="{C183D7F6-B498-43B3-948B-1728B52AA6E4}">
                          <adec:decorative xmlns:adec="http://schemas.microsoft.com/office/drawing/2017/decorative" val="1"/>
                        </a:ext>
                      </a:extLst>
                    </pic:cNvPr>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143129" cy="2706579"/>
                    </a:xfrm>
                    <a:prstGeom prst="rect">
                      <a:avLst/>
                    </a:prstGeom>
                    <a:noFill/>
                  </pic:spPr>
                </pic:pic>
              </a:graphicData>
            </a:graphic>
          </wp:inline>
        </w:drawing>
      </w:r>
    </w:p>
    <w:p w14:paraId="5F94EE79" w14:textId="77777777" w:rsidR="00BB7D17" w:rsidRDefault="00BB7D17" w:rsidP="00BB7D17">
      <w:pPr>
        <w:pStyle w:val="Source"/>
      </w:pPr>
      <w:r w:rsidRPr="00200234">
        <w:t>Sources: PRIMHD data</w:t>
      </w:r>
      <w:r>
        <w:t xml:space="preserve"> (extracted</w:t>
      </w:r>
      <w:r w:rsidRPr="00200234">
        <w:t xml:space="preserve"> </w:t>
      </w:r>
      <w:r w:rsidRPr="00501296">
        <w:t>28 February</w:t>
      </w:r>
      <w:r w:rsidRPr="00EE3FCE">
        <w:t xml:space="preserve"> 2</w:t>
      </w:r>
      <w:r>
        <w:t>024)</w:t>
      </w:r>
      <w:r w:rsidRPr="00200234">
        <w:t xml:space="preserve"> and manual data f</w:t>
      </w:r>
      <w:r>
        <w:t>or Health New Zealand</w:t>
      </w:r>
      <w:r w:rsidRPr="00200234">
        <w:t xml:space="preserve"> </w:t>
      </w:r>
      <w:r w:rsidRPr="00783BC1">
        <w:t>MidCentral, Southern, Waikato and Waitemat</w:t>
      </w:r>
      <w:r>
        <w:t>ā</w:t>
      </w:r>
      <w:r w:rsidRPr="00200234">
        <w:t>.</w:t>
      </w:r>
      <w:r>
        <w:t xml:space="preserve"> All years before 2020/21 are calendar years.</w:t>
      </w:r>
    </w:p>
    <w:p w14:paraId="6F8D83DA" w14:textId="77777777" w:rsidR="00BB7D17" w:rsidRPr="00200234" w:rsidRDefault="00BB7D17" w:rsidP="00BB7D17">
      <w:pPr>
        <w:pStyle w:val="Heading2"/>
      </w:pPr>
      <w:bookmarkStart w:id="705" w:name="_Toc65141636"/>
      <w:bookmarkStart w:id="706" w:name="_Toc75176461"/>
      <w:bookmarkStart w:id="707" w:name="_Toc87429929"/>
      <w:bookmarkStart w:id="708" w:name="_Toc88826977"/>
      <w:bookmarkStart w:id="709" w:name="_Toc115188827"/>
      <w:bookmarkStart w:id="710" w:name="_Toc145394253"/>
      <w:bookmarkStart w:id="711" w:name="_Toc189053923"/>
      <w:bookmarkStart w:id="712" w:name="_Toc189647912"/>
      <w:r w:rsidRPr="00200234">
        <w:t xml:space="preserve">ECT by </w:t>
      </w:r>
      <w:bookmarkEnd w:id="705"/>
      <w:bookmarkEnd w:id="706"/>
      <w:bookmarkEnd w:id="707"/>
      <w:bookmarkEnd w:id="708"/>
      <w:bookmarkEnd w:id="709"/>
      <w:bookmarkEnd w:id="710"/>
      <w:r>
        <w:t>region</w:t>
      </w:r>
      <w:bookmarkEnd w:id="711"/>
      <w:bookmarkEnd w:id="712"/>
    </w:p>
    <w:p w14:paraId="2308319E" w14:textId="027B3935" w:rsidR="00BB7D17" w:rsidRDefault="00E96DD0" w:rsidP="00BB7D17">
      <w:r w:rsidRPr="00200234">
        <w:t>The number and rate of ECT treatments vary regionally (</w:t>
      </w:r>
      <w:r>
        <w:fldChar w:fldCharType="begin"/>
      </w:r>
      <w:r>
        <w:instrText xml:space="preserve"> REF _Ref85452298 \h </w:instrText>
      </w:r>
      <w:r>
        <w:fldChar w:fldCharType="separate"/>
      </w:r>
      <w:r w:rsidR="00753BC8">
        <w:t>Table </w:t>
      </w:r>
      <w:r w:rsidR="00753BC8">
        <w:rPr>
          <w:noProof/>
        </w:rPr>
        <w:t>17</w:t>
      </w:r>
      <w:r>
        <w:fldChar w:fldCharType="end"/>
      </w:r>
      <w:r w:rsidRPr="00200234">
        <w:t xml:space="preserve"> and </w:t>
      </w:r>
      <w:r>
        <w:fldChar w:fldCharType="begin"/>
      </w:r>
      <w:r>
        <w:instrText xml:space="preserve"> REF _Ref86343700 \h </w:instrText>
      </w:r>
      <w:r>
        <w:fldChar w:fldCharType="separate"/>
      </w:r>
      <w:r w:rsidR="00753BC8">
        <w:t>Figure </w:t>
      </w:r>
      <w:r w:rsidR="00753BC8">
        <w:rPr>
          <w:noProof/>
        </w:rPr>
        <w:t>39</w:t>
      </w:r>
      <w:r>
        <w:fldChar w:fldCharType="end"/>
      </w:r>
      <w:r>
        <w:t xml:space="preserve">, </w:t>
      </w:r>
      <w:r>
        <w:rPr>
          <w:noProof/>
        </w:rPr>
        <w:fldChar w:fldCharType="begin"/>
      </w:r>
      <w:r>
        <w:instrText xml:space="preserve"> REF _Ref111472332 \h </w:instrText>
      </w:r>
      <w:r>
        <w:rPr>
          <w:noProof/>
        </w:rPr>
      </w:r>
      <w:r>
        <w:rPr>
          <w:noProof/>
        </w:rPr>
        <w:fldChar w:fldCharType="separate"/>
      </w:r>
      <w:r w:rsidR="00753BC8">
        <w:t>Figure </w:t>
      </w:r>
      <w:r w:rsidR="00753BC8">
        <w:rPr>
          <w:noProof/>
        </w:rPr>
        <w:t>40</w:t>
      </w:r>
      <w:r>
        <w:rPr>
          <w:noProof/>
        </w:rPr>
        <w:fldChar w:fldCharType="end"/>
      </w:r>
      <w:r>
        <w:t xml:space="preserve"> and</w:t>
      </w:r>
      <w:r w:rsidR="000420E5">
        <w:t xml:space="preserve"> </w:t>
      </w:r>
      <w:r w:rsidR="000420E5">
        <w:fldChar w:fldCharType="begin"/>
      </w:r>
      <w:r w:rsidR="000420E5">
        <w:instrText xml:space="preserve"> REF _Ref189454994 \h </w:instrText>
      </w:r>
      <w:r w:rsidR="000420E5">
        <w:fldChar w:fldCharType="separate"/>
      </w:r>
      <w:r w:rsidR="00753BC8">
        <w:t>Figure </w:t>
      </w:r>
      <w:r w:rsidR="00753BC8">
        <w:rPr>
          <w:noProof/>
        </w:rPr>
        <w:t>41</w:t>
      </w:r>
      <w:r w:rsidR="000420E5">
        <w:fldChar w:fldCharType="end"/>
      </w:r>
      <w:r w:rsidRPr="00200234">
        <w:t xml:space="preserve">). </w:t>
      </w:r>
      <w:r>
        <w:t>S</w:t>
      </w:r>
      <w:r w:rsidRPr="00200234">
        <w:t>everal factors help to explain these variations.</w:t>
      </w:r>
      <w:r>
        <w:t xml:space="preserve"> </w:t>
      </w:r>
    </w:p>
    <w:p w14:paraId="0C6431C6" w14:textId="77777777" w:rsidR="00BB7D17" w:rsidRDefault="00BB7D17" w:rsidP="00BB7D17">
      <w:pPr>
        <w:pStyle w:val="Bullet"/>
        <w:tabs>
          <w:tab w:val="num" w:pos="284"/>
        </w:tabs>
      </w:pPr>
      <w:r>
        <w:t>Districts</w:t>
      </w:r>
      <w:r w:rsidRPr="00200234">
        <w:t xml:space="preserve"> with smaller populations are more vulnerable to variations </w:t>
      </w:r>
      <w:r>
        <w:t xml:space="preserve">between years </w:t>
      </w:r>
      <w:r w:rsidRPr="00200234">
        <w:t>(</w:t>
      </w:r>
      <w:r>
        <w:t>based on</w:t>
      </w:r>
      <w:r w:rsidRPr="00200234">
        <w:t xml:space="preserve"> the needs of the population at any given time). </w:t>
      </w:r>
    </w:p>
    <w:p w14:paraId="7AD63552" w14:textId="77777777" w:rsidR="00BB7D17" w:rsidRDefault="00BB7D17" w:rsidP="00BB7D17">
      <w:pPr>
        <w:pStyle w:val="Bullet"/>
        <w:tabs>
          <w:tab w:val="num" w:pos="284"/>
        </w:tabs>
      </w:pPr>
      <w:r>
        <w:t>P</w:t>
      </w:r>
      <w:r w:rsidRPr="00200234">
        <w:t xml:space="preserve">eople receiving </w:t>
      </w:r>
      <w:r>
        <w:t>ECT</w:t>
      </w:r>
      <w:r w:rsidRPr="00200234">
        <w:t xml:space="preserve"> treatment </w:t>
      </w:r>
      <w:r>
        <w:t xml:space="preserve">to maintain the improvement in their mental health </w:t>
      </w:r>
      <w:r w:rsidRPr="00200234">
        <w:t xml:space="preserve">will typically receive more treatments in a year than those treated with an acute course. </w:t>
      </w:r>
    </w:p>
    <w:p w14:paraId="06C87411" w14:textId="77777777" w:rsidR="00BB7D17" w:rsidRDefault="00BB7D17" w:rsidP="00BB7D17">
      <w:pPr>
        <w:pStyle w:val="Bullet"/>
        <w:tabs>
          <w:tab w:val="num" w:pos="284"/>
        </w:tabs>
        <w:spacing w:after="240"/>
      </w:pPr>
      <w:r>
        <w:t>People</w:t>
      </w:r>
      <w:r w:rsidRPr="00200234">
        <w:t xml:space="preserve"> in some </w:t>
      </w:r>
      <w:r>
        <w:t>districts</w:t>
      </w:r>
      <w:r w:rsidRPr="00200234">
        <w:t xml:space="preserve"> have </w:t>
      </w:r>
      <w:r>
        <w:t xml:space="preserve">fewer barriers to </w:t>
      </w:r>
      <w:r w:rsidRPr="00200234">
        <w:t>access</w:t>
      </w:r>
      <w:r>
        <w:t>ing</w:t>
      </w:r>
      <w:r w:rsidRPr="00200234">
        <w:t xml:space="preserve"> ECT services</w:t>
      </w:r>
      <w:r>
        <w:t xml:space="preserve"> than those in other districts</w:t>
      </w:r>
      <w:r w:rsidRPr="00200234">
        <w:t>.</w:t>
      </w:r>
      <w:r>
        <w:t xml:space="preserve"> Some districts have no ECT facilities.</w:t>
      </w:r>
    </w:p>
    <w:p w14:paraId="53196B98" w14:textId="77777777" w:rsidR="00BB7D17" w:rsidRDefault="00BB7D17" w:rsidP="00BB7D17">
      <w:r>
        <w:t>It is important to keep these factors in mind when interpreting the following information.</w:t>
      </w:r>
    </w:p>
    <w:p w14:paraId="114181A2" w14:textId="77777777" w:rsidR="00BB7D17" w:rsidRDefault="00BB7D17" w:rsidP="00BB7D17"/>
    <w:p w14:paraId="1916EE68" w14:textId="77777777" w:rsidR="00BB7D17" w:rsidRDefault="00BB7D17" w:rsidP="00BB7D17">
      <w:pPr>
        <w:spacing w:after="60"/>
      </w:pPr>
      <w:r>
        <w:t>In previous years, we reported ECT indicators by district health board, or districts. Because numbers in some districts were low in 2022/23, here we present this data regionally to protect the privacy of individuals. These regions are:</w:t>
      </w:r>
    </w:p>
    <w:p w14:paraId="1FC4DB5B" w14:textId="77777777" w:rsidR="00BB7D17" w:rsidRDefault="00BB7D17" w:rsidP="00BB7D17">
      <w:pPr>
        <w:pStyle w:val="Bullet"/>
        <w:tabs>
          <w:tab w:val="num" w:pos="284"/>
        </w:tabs>
      </w:pPr>
      <w:r>
        <w:t>Northern: covering Health New Zealand Northland, Waitematā, Auckland and Counties Manukau</w:t>
      </w:r>
    </w:p>
    <w:p w14:paraId="5E200826" w14:textId="77777777" w:rsidR="00BB7D17" w:rsidRDefault="00BB7D17" w:rsidP="00BB7D17">
      <w:pPr>
        <w:pStyle w:val="Bullet"/>
        <w:tabs>
          <w:tab w:val="num" w:pos="284"/>
        </w:tabs>
      </w:pPr>
      <w:r>
        <w:t>Midland: covering Health New Zealand Waikato, Bay of Plenty, Tairāwhiti, Lakes and Taranaki</w:t>
      </w:r>
    </w:p>
    <w:p w14:paraId="0DE58EB2" w14:textId="77777777" w:rsidR="00BB7D17" w:rsidRDefault="00BB7D17" w:rsidP="00BB7D17">
      <w:pPr>
        <w:pStyle w:val="Bullet"/>
        <w:tabs>
          <w:tab w:val="num" w:pos="284"/>
        </w:tabs>
      </w:pPr>
      <w:r>
        <w:t>Central: covering Health New Zealand Whanganui, Hawke’s Bay, MidCentral, Wairarapa, and Capital, Coast and Hutt Valley</w:t>
      </w:r>
    </w:p>
    <w:p w14:paraId="3AA003ED" w14:textId="77777777" w:rsidR="00BB7D17" w:rsidRDefault="00BB7D17" w:rsidP="00BB7D17">
      <w:pPr>
        <w:pStyle w:val="Bullet"/>
        <w:tabs>
          <w:tab w:val="num" w:pos="284"/>
        </w:tabs>
      </w:pPr>
      <w:r>
        <w:t>South Island: covering Health New Zealand Nelson Marlborough, West Coast, Canterbury, South Canterbury and Southern.</w:t>
      </w:r>
    </w:p>
    <w:p w14:paraId="27C37CF5" w14:textId="77777777" w:rsidR="00BB7D17" w:rsidRPr="00200234" w:rsidRDefault="00BB7D17" w:rsidP="00BB7D17"/>
    <w:p w14:paraId="119D7F06" w14:textId="1740B26A" w:rsidR="00BB7D17" w:rsidRDefault="00BB7D17" w:rsidP="00BB7D17">
      <w:pPr>
        <w:pStyle w:val="Table"/>
      </w:pPr>
      <w:bookmarkStart w:id="713" w:name="_Ref85452298"/>
      <w:bookmarkStart w:id="714" w:name="_Toc87430016"/>
      <w:bookmarkStart w:id="715" w:name="_Toc88561373"/>
      <w:bookmarkStart w:id="716" w:name="_Toc115188908"/>
      <w:bookmarkStart w:id="717" w:name="_Ref141109359"/>
      <w:bookmarkStart w:id="718" w:name="_Toc142314767"/>
      <w:bookmarkStart w:id="719" w:name="_Toc145394330"/>
      <w:bookmarkStart w:id="720" w:name="_Toc189054008"/>
      <w:bookmarkStart w:id="721" w:name="_Toc189647993"/>
      <w:r>
        <w:t>Table </w:t>
      </w:r>
      <w:r>
        <w:fldChar w:fldCharType="begin"/>
      </w:r>
      <w:r>
        <w:instrText>SEQ Table \* ARABIC</w:instrText>
      </w:r>
      <w:r>
        <w:fldChar w:fldCharType="separate"/>
      </w:r>
      <w:r w:rsidR="00753BC8">
        <w:rPr>
          <w:noProof/>
        </w:rPr>
        <w:t>17</w:t>
      </w:r>
      <w:r>
        <w:fldChar w:fldCharType="end"/>
      </w:r>
      <w:bookmarkEnd w:id="713"/>
      <w:r w:rsidRPr="0081115B">
        <w:t xml:space="preserve">: </w:t>
      </w:r>
      <w:r w:rsidRPr="00BD35B5">
        <w:t xml:space="preserve">ECT indicators, by </w:t>
      </w:r>
      <w:r>
        <w:t>region</w:t>
      </w:r>
      <w:r w:rsidRPr="00BD35B5">
        <w:t xml:space="preserve"> of domicile, 1 </w:t>
      </w:r>
      <w:bookmarkEnd w:id="714"/>
      <w:bookmarkEnd w:id="715"/>
      <w:r w:rsidRPr="00BD35B5">
        <w:t>July 202</w:t>
      </w:r>
      <w:r>
        <w:t>2</w:t>
      </w:r>
      <w:r w:rsidRPr="00BD35B5">
        <w:t xml:space="preserve"> to 30 June 202</w:t>
      </w:r>
      <w:bookmarkEnd w:id="716"/>
      <w:r>
        <w:t>3</w:t>
      </w:r>
      <w:bookmarkEnd w:id="717"/>
      <w:bookmarkEnd w:id="718"/>
      <w:bookmarkEnd w:id="719"/>
      <w:bookmarkEnd w:id="720"/>
      <w:bookmarkEnd w:id="721"/>
    </w:p>
    <w:tbl>
      <w:tblPr>
        <w:tblW w:w="4931" w:type="pct"/>
        <w:tblInd w:w="57" w:type="dxa"/>
        <w:tblBorders>
          <w:top w:val="single" w:sz="4" w:space="0" w:color="auto"/>
          <w:bottom w:val="single" w:sz="4" w:space="0" w:color="auto"/>
          <w:insideH w:val="single" w:sz="4" w:space="0" w:color="auto"/>
        </w:tblBorders>
        <w:tblLayout w:type="fixed"/>
        <w:tblCellMar>
          <w:left w:w="57" w:type="dxa"/>
          <w:right w:w="57" w:type="dxa"/>
        </w:tblCellMar>
        <w:tblLook w:val="01E0" w:firstRow="1" w:lastRow="1" w:firstColumn="1" w:lastColumn="1" w:noHBand="0" w:noVBand="0"/>
      </w:tblPr>
      <w:tblGrid>
        <w:gridCol w:w="2097"/>
        <w:gridCol w:w="1957"/>
        <w:gridCol w:w="1398"/>
        <w:gridCol w:w="2516"/>
      </w:tblGrid>
      <w:tr w:rsidR="00BB7D17" w:rsidRPr="0048119A" w14:paraId="4F48C436" w14:textId="77777777" w:rsidTr="00E96DD0">
        <w:trPr>
          <w:cantSplit/>
        </w:trPr>
        <w:tc>
          <w:tcPr>
            <w:tcW w:w="1316" w:type="pct"/>
            <w:tcBorders>
              <w:top w:val="nil"/>
              <w:bottom w:val="nil"/>
            </w:tcBorders>
            <w:shd w:val="clear" w:color="auto" w:fill="D9D9D9" w:themeFill="background1" w:themeFillShade="D9"/>
          </w:tcPr>
          <w:p w14:paraId="621ECF9C" w14:textId="77777777" w:rsidR="00BB7D17" w:rsidRPr="00CA394B" w:rsidRDefault="00BB7D17" w:rsidP="00E96DD0">
            <w:pPr>
              <w:pStyle w:val="TableText"/>
              <w:keepNext/>
              <w:spacing w:before="50" w:after="50"/>
              <w:rPr>
                <w:b/>
              </w:rPr>
            </w:pPr>
            <w:r>
              <w:rPr>
                <w:b/>
              </w:rPr>
              <w:t xml:space="preserve">Region </w:t>
            </w:r>
            <w:r w:rsidRPr="00CA394B">
              <w:rPr>
                <w:b/>
              </w:rPr>
              <w:t>of domicile</w:t>
            </w:r>
          </w:p>
        </w:tc>
        <w:tc>
          <w:tcPr>
            <w:tcW w:w="1228" w:type="pct"/>
            <w:tcBorders>
              <w:top w:val="nil"/>
              <w:bottom w:val="nil"/>
            </w:tcBorders>
            <w:shd w:val="clear" w:color="auto" w:fill="D9D9D9" w:themeFill="background1" w:themeFillShade="D9"/>
          </w:tcPr>
          <w:p w14:paraId="530F89FC" w14:textId="77777777" w:rsidR="00BB7D17" w:rsidRPr="00CA394B" w:rsidRDefault="00BB7D17" w:rsidP="00E96DD0">
            <w:pPr>
              <w:pStyle w:val="TableText"/>
              <w:keepNext/>
              <w:spacing w:before="50" w:after="50"/>
              <w:jc w:val="center"/>
              <w:rPr>
                <w:b/>
              </w:rPr>
            </w:pPr>
            <w:r w:rsidRPr="00CA394B">
              <w:rPr>
                <w:b/>
              </w:rPr>
              <w:t>Number of people treated with ECT</w:t>
            </w:r>
          </w:p>
        </w:tc>
        <w:tc>
          <w:tcPr>
            <w:tcW w:w="877" w:type="pct"/>
            <w:tcBorders>
              <w:top w:val="nil"/>
              <w:bottom w:val="nil"/>
            </w:tcBorders>
            <w:shd w:val="clear" w:color="auto" w:fill="D9D9D9" w:themeFill="background1" w:themeFillShade="D9"/>
          </w:tcPr>
          <w:p w14:paraId="162D5B1F" w14:textId="77777777" w:rsidR="00BB7D17" w:rsidRPr="00CA394B" w:rsidRDefault="00BB7D17" w:rsidP="00E96DD0">
            <w:pPr>
              <w:pStyle w:val="TableText"/>
              <w:keepNext/>
              <w:spacing w:before="50" w:after="50"/>
              <w:jc w:val="center"/>
              <w:rPr>
                <w:b/>
              </w:rPr>
            </w:pPr>
            <w:r w:rsidRPr="00CA394B">
              <w:rPr>
                <w:b/>
              </w:rPr>
              <w:t>Number of treatments</w:t>
            </w:r>
          </w:p>
        </w:tc>
        <w:tc>
          <w:tcPr>
            <w:tcW w:w="1579" w:type="pct"/>
            <w:tcBorders>
              <w:top w:val="nil"/>
              <w:bottom w:val="nil"/>
            </w:tcBorders>
            <w:shd w:val="clear" w:color="auto" w:fill="D9D9D9" w:themeFill="background1" w:themeFillShade="D9"/>
          </w:tcPr>
          <w:p w14:paraId="650D6E2E" w14:textId="77777777" w:rsidR="00BB7D17" w:rsidRPr="00CA394B" w:rsidRDefault="00BB7D17" w:rsidP="00E96DD0">
            <w:pPr>
              <w:pStyle w:val="TableText"/>
              <w:keepNext/>
              <w:spacing w:before="50" w:after="50"/>
              <w:jc w:val="center"/>
              <w:rPr>
                <w:b/>
              </w:rPr>
            </w:pPr>
            <w:r w:rsidRPr="00CA394B">
              <w:rPr>
                <w:b/>
              </w:rPr>
              <w:t>Mean number of treatments per person (range)</w:t>
            </w:r>
          </w:p>
        </w:tc>
      </w:tr>
      <w:tr w:rsidR="00BB7D17" w:rsidRPr="00200234" w14:paraId="489546FC" w14:textId="77777777" w:rsidTr="00E96DD0">
        <w:trPr>
          <w:cantSplit/>
          <w:trHeight w:val="300"/>
        </w:trPr>
        <w:tc>
          <w:tcPr>
            <w:tcW w:w="1316" w:type="pct"/>
            <w:tcBorders>
              <w:top w:val="nil"/>
              <w:bottom w:val="single" w:sz="4" w:space="0" w:color="A6A6A6" w:themeColor="background1" w:themeShade="A6"/>
            </w:tcBorders>
            <w:shd w:val="clear" w:color="auto" w:fill="auto"/>
          </w:tcPr>
          <w:p w14:paraId="359C1BDE" w14:textId="77777777" w:rsidR="00BB7D17" w:rsidRPr="00CA394B" w:rsidRDefault="00BB7D17" w:rsidP="00E96DD0">
            <w:pPr>
              <w:pStyle w:val="TableText"/>
              <w:keepNext/>
              <w:spacing w:before="50" w:after="50"/>
              <w:rPr>
                <w:bCs/>
                <w:szCs w:val="18"/>
              </w:rPr>
            </w:pPr>
            <w:r>
              <w:rPr>
                <w:bCs/>
                <w:szCs w:val="18"/>
              </w:rPr>
              <w:t>Northern</w:t>
            </w:r>
          </w:p>
        </w:tc>
        <w:tc>
          <w:tcPr>
            <w:tcW w:w="1228" w:type="pct"/>
            <w:tcBorders>
              <w:top w:val="nil"/>
              <w:bottom w:val="single" w:sz="4" w:space="0" w:color="A6A6A6" w:themeColor="background1" w:themeShade="A6"/>
            </w:tcBorders>
            <w:shd w:val="clear" w:color="auto" w:fill="auto"/>
          </w:tcPr>
          <w:p w14:paraId="40E5DBBB" w14:textId="77777777" w:rsidR="00BB7D17" w:rsidRPr="00CA394B" w:rsidRDefault="00BB7D17" w:rsidP="00E96DD0">
            <w:pPr>
              <w:pStyle w:val="TableText"/>
              <w:keepNext/>
              <w:tabs>
                <w:tab w:val="decimal" w:pos="1077"/>
              </w:tabs>
              <w:spacing w:before="50" w:after="50"/>
              <w:jc w:val="center"/>
            </w:pPr>
            <w:r>
              <w:t>75</w:t>
            </w:r>
          </w:p>
        </w:tc>
        <w:tc>
          <w:tcPr>
            <w:tcW w:w="877" w:type="pct"/>
            <w:tcBorders>
              <w:top w:val="nil"/>
              <w:bottom w:val="single" w:sz="4" w:space="0" w:color="A6A6A6" w:themeColor="background1" w:themeShade="A6"/>
            </w:tcBorders>
            <w:shd w:val="clear" w:color="auto" w:fill="auto"/>
          </w:tcPr>
          <w:p w14:paraId="4D2B64BB" w14:textId="77777777" w:rsidR="00BB7D17" w:rsidRPr="00CA394B" w:rsidRDefault="00BB7D17" w:rsidP="00E96DD0">
            <w:pPr>
              <w:pStyle w:val="TableText"/>
              <w:keepNext/>
              <w:tabs>
                <w:tab w:val="decimal" w:pos="935"/>
              </w:tabs>
              <w:spacing w:before="50" w:after="50"/>
              <w:jc w:val="center"/>
            </w:pPr>
            <w:r>
              <w:t>893</w:t>
            </w:r>
          </w:p>
        </w:tc>
        <w:tc>
          <w:tcPr>
            <w:tcW w:w="1579" w:type="pct"/>
            <w:tcBorders>
              <w:top w:val="nil"/>
              <w:bottom w:val="single" w:sz="4" w:space="0" w:color="A6A6A6" w:themeColor="background1" w:themeShade="A6"/>
            </w:tcBorders>
            <w:shd w:val="clear" w:color="auto" w:fill="auto"/>
          </w:tcPr>
          <w:p w14:paraId="14C444EF" w14:textId="77777777" w:rsidR="00BB7D17" w:rsidRPr="00CA394B" w:rsidRDefault="00BB7D17" w:rsidP="00E96DD0">
            <w:pPr>
              <w:pStyle w:val="TableText"/>
              <w:keepNext/>
              <w:tabs>
                <w:tab w:val="decimal" w:pos="936"/>
              </w:tabs>
              <w:spacing w:before="50" w:after="50"/>
              <w:jc w:val="center"/>
            </w:pPr>
            <w:r>
              <w:t>12 (1–52)</w:t>
            </w:r>
          </w:p>
        </w:tc>
      </w:tr>
      <w:tr w:rsidR="00BB7D17" w:rsidRPr="00200234" w14:paraId="647AD9F3" w14:textId="77777777" w:rsidTr="00E96DD0">
        <w:trPr>
          <w:cantSplit/>
          <w:trHeight w:val="300"/>
        </w:trPr>
        <w:tc>
          <w:tcPr>
            <w:tcW w:w="1316" w:type="pct"/>
            <w:tcBorders>
              <w:top w:val="single" w:sz="4" w:space="0" w:color="A6A6A6" w:themeColor="background1" w:themeShade="A6"/>
              <w:bottom w:val="single" w:sz="4" w:space="0" w:color="A6A6A6" w:themeColor="background1" w:themeShade="A6"/>
            </w:tcBorders>
            <w:shd w:val="clear" w:color="auto" w:fill="auto"/>
          </w:tcPr>
          <w:p w14:paraId="21D11A4C" w14:textId="77777777" w:rsidR="00BB7D17" w:rsidRPr="00CA394B" w:rsidRDefault="00BB7D17" w:rsidP="00E96DD0">
            <w:pPr>
              <w:pStyle w:val="TableText"/>
              <w:keepNext/>
              <w:spacing w:before="50" w:after="50"/>
              <w:rPr>
                <w:bCs/>
                <w:szCs w:val="18"/>
              </w:rPr>
            </w:pPr>
            <w:r>
              <w:rPr>
                <w:bCs/>
                <w:szCs w:val="18"/>
              </w:rPr>
              <w:t>Midland</w:t>
            </w:r>
          </w:p>
        </w:tc>
        <w:tc>
          <w:tcPr>
            <w:tcW w:w="1228" w:type="pct"/>
            <w:tcBorders>
              <w:top w:val="single" w:sz="4" w:space="0" w:color="A6A6A6" w:themeColor="background1" w:themeShade="A6"/>
              <w:bottom w:val="single" w:sz="4" w:space="0" w:color="A6A6A6" w:themeColor="background1" w:themeShade="A6"/>
            </w:tcBorders>
            <w:shd w:val="clear" w:color="auto" w:fill="auto"/>
          </w:tcPr>
          <w:p w14:paraId="6DEAACE6" w14:textId="77777777" w:rsidR="00BB7D17" w:rsidRPr="00CA394B" w:rsidRDefault="00BB7D17" w:rsidP="00E96DD0">
            <w:pPr>
              <w:pStyle w:val="TableText"/>
              <w:keepNext/>
              <w:tabs>
                <w:tab w:val="decimal" w:pos="1077"/>
              </w:tabs>
              <w:spacing w:before="50" w:after="50"/>
              <w:jc w:val="center"/>
            </w:pPr>
            <w:r>
              <w:t>74</w:t>
            </w:r>
          </w:p>
        </w:tc>
        <w:tc>
          <w:tcPr>
            <w:tcW w:w="877" w:type="pct"/>
            <w:tcBorders>
              <w:top w:val="single" w:sz="4" w:space="0" w:color="A6A6A6" w:themeColor="background1" w:themeShade="A6"/>
              <w:bottom w:val="single" w:sz="4" w:space="0" w:color="A6A6A6" w:themeColor="background1" w:themeShade="A6"/>
            </w:tcBorders>
            <w:shd w:val="clear" w:color="auto" w:fill="auto"/>
          </w:tcPr>
          <w:p w14:paraId="5EF7E4D8" w14:textId="77777777" w:rsidR="00BB7D17" w:rsidRPr="00CA394B" w:rsidRDefault="00BB7D17" w:rsidP="00E96DD0">
            <w:pPr>
              <w:pStyle w:val="TableText"/>
              <w:keepNext/>
              <w:tabs>
                <w:tab w:val="decimal" w:pos="935"/>
              </w:tabs>
              <w:spacing w:before="50" w:after="50"/>
              <w:jc w:val="center"/>
            </w:pPr>
            <w:r>
              <w:t>863</w:t>
            </w:r>
          </w:p>
        </w:tc>
        <w:tc>
          <w:tcPr>
            <w:tcW w:w="1579" w:type="pct"/>
            <w:tcBorders>
              <w:top w:val="single" w:sz="4" w:space="0" w:color="A6A6A6" w:themeColor="background1" w:themeShade="A6"/>
              <w:bottom w:val="single" w:sz="4" w:space="0" w:color="A6A6A6" w:themeColor="background1" w:themeShade="A6"/>
            </w:tcBorders>
            <w:shd w:val="clear" w:color="auto" w:fill="auto"/>
          </w:tcPr>
          <w:p w14:paraId="671324E2" w14:textId="77777777" w:rsidR="00BB7D17" w:rsidRPr="00CA394B" w:rsidRDefault="00BB7D17" w:rsidP="00E96DD0">
            <w:pPr>
              <w:pStyle w:val="TableText"/>
              <w:keepNext/>
              <w:tabs>
                <w:tab w:val="decimal" w:pos="936"/>
              </w:tabs>
              <w:spacing w:before="50" w:after="50"/>
              <w:jc w:val="center"/>
            </w:pPr>
            <w:r>
              <w:t>12 (1–55)</w:t>
            </w:r>
          </w:p>
        </w:tc>
      </w:tr>
      <w:tr w:rsidR="00BB7D17" w:rsidRPr="00200234" w14:paraId="42509E9F" w14:textId="77777777" w:rsidTr="00E96DD0">
        <w:trPr>
          <w:cantSplit/>
          <w:trHeight w:val="300"/>
        </w:trPr>
        <w:tc>
          <w:tcPr>
            <w:tcW w:w="1316" w:type="pct"/>
            <w:tcBorders>
              <w:top w:val="single" w:sz="4" w:space="0" w:color="A6A6A6" w:themeColor="background1" w:themeShade="A6"/>
              <w:bottom w:val="single" w:sz="4" w:space="0" w:color="A6A6A6" w:themeColor="background1" w:themeShade="A6"/>
            </w:tcBorders>
            <w:shd w:val="clear" w:color="auto" w:fill="auto"/>
          </w:tcPr>
          <w:p w14:paraId="5808360A" w14:textId="77777777" w:rsidR="00BB7D17" w:rsidRPr="00CA394B" w:rsidRDefault="00BB7D17" w:rsidP="00E96DD0">
            <w:pPr>
              <w:pStyle w:val="TableText"/>
              <w:keepNext/>
              <w:spacing w:before="50" w:after="50"/>
              <w:rPr>
                <w:bCs/>
                <w:szCs w:val="18"/>
              </w:rPr>
            </w:pPr>
            <w:r>
              <w:rPr>
                <w:bCs/>
                <w:szCs w:val="18"/>
              </w:rPr>
              <w:t>Central</w:t>
            </w:r>
          </w:p>
        </w:tc>
        <w:tc>
          <w:tcPr>
            <w:tcW w:w="1228" w:type="pct"/>
            <w:tcBorders>
              <w:top w:val="single" w:sz="4" w:space="0" w:color="A6A6A6" w:themeColor="background1" w:themeShade="A6"/>
              <w:bottom w:val="single" w:sz="4" w:space="0" w:color="A6A6A6" w:themeColor="background1" w:themeShade="A6"/>
            </w:tcBorders>
            <w:shd w:val="clear" w:color="auto" w:fill="auto"/>
          </w:tcPr>
          <w:p w14:paraId="4E0DF3A6" w14:textId="77777777" w:rsidR="00BB7D17" w:rsidRPr="00CA394B" w:rsidRDefault="00BB7D17" w:rsidP="00E96DD0">
            <w:pPr>
              <w:pStyle w:val="TableText"/>
              <w:keepNext/>
              <w:tabs>
                <w:tab w:val="decimal" w:pos="1077"/>
              </w:tabs>
              <w:spacing w:before="50" w:after="50"/>
              <w:jc w:val="center"/>
            </w:pPr>
            <w:r>
              <w:t>62</w:t>
            </w:r>
          </w:p>
        </w:tc>
        <w:tc>
          <w:tcPr>
            <w:tcW w:w="877" w:type="pct"/>
            <w:tcBorders>
              <w:top w:val="single" w:sz="4" w:space="0" w:color="A6A6A6" w:themeColor="background1" w:themeShade="A6"/>
              <w:bottom w:val="single" w:sz="4" w:space="0" w:color="A6A6A6" w:themeColor="background1" w:themeShade="A6"/>
            </w:tcBorders>
            <w:shd w:val="clear" w:color="auto" w:fill="auto"/>
          </w:tcPr>
          <w:p w14:paraId="0849153A" w14:textId="77777777" w:rsidR="00BB7D17" w:rsidRPr="00CA394B" w:rsidRDefault="00BB7D17" w:rsidP="00E96DD0">
            <w:pPr>
              <w:pStyle w:val="TableText"/>
              <w:keepNext/>
              <w:tabs>
                <w:tab w:val="decimal" w:pos="935"/>
              </w:tabs>
              <w:spacing w:before="50" w:after="50"/>
              <w:jc w:val="center"/>
            </w:pPr>
            <w:r>
              <w:t>637</w:t>
            </w:r>
          </w:p>
        </w:tc>
        <w:tc>
          <w:tcPr>
            <w:tcW w:w="1579" w:type="pct"/>
            <w:tcBorders>
              <w:top w:val="single" w:sz="4" w:space="0" w:color="A6A6A6" w:themeColor="background1" w:themeShade="A6"/>
              <w:bottom w:val="single" w:sz="4" w:space="0" w:color="A6A6A6" w:themeColor="background1" w:themeShade="A6"/>
            </w:tcBorders>
            <w:shd w:val="clear" w:color="auto" w:fill="auto"/>
          </w:tcPr>
          <w:p w14:paraId="76C01773" w14:textId="77777777" w:rsidR="00BB7D17" w:rsidRPr="00CA394B" w:rsidRDefault="00BB7D17" w:rsidP="00E96DD0">
            <w:pPr>
              <w:pStyle w:val="TableText"/>
              <w:keepNext/>
              <w:tabs>
                <w:tab w:val="decimal" w:pos="936"/>
              </w:tabs>
              <w:spacing w:before="50" w:after="50"/>
              <w:jc w:val="center"/>
            </w:pPr>
            <w:r>
              <w:t>10 (1–32)</w:t>
            </w:r>
          </w:p>
        </w:tc>
      </w:tr>
      <w:tr w:rsidR="00BB7D17" w:rsidRPr="00200234" w14:paraId="29D18F34" w14:textId="77777777" w:rsidTr="00E96DD0">
        <w:trPr>
          <w:cantSplit/>
          <w:trHeight w:val="300"/>
        </w:trPr>
        <w:tc>
          <w:tcPr>
            <w:tcW w:w="1316" w:type="pct"/>
            <w:tcBorders>
              <w:top w:val="single" w:sz="4" w:space="0" w:color="A6A6A6" w:themeColor="background1" w:themeShade="A6"/>
              <w:bottom w:val="single" w:sz="4" w:space="0" w:color="A6A6A6" w:themeColor="background1" w:themeShade="A6"/>
            </w:tcBorders>
            <w:shd w:val="clear" w:color="auto" w:fill="auto"/>
          </w:tcPr>
          <w:p w14:paraId="29E21FBE" w14:textId="77777777" w:rsidR="00BB7D17" w:rsidRPr="00CA394B" w:rsidRDefault="00BB7D17" w:rsidP="00E96DD0">
            <w:pPr>
              <w:pStyle w:val="TableText"/>
              <w:keepNext/>
              <w:spacing w:before="50" w:after="50"/>
              <w:rPr>
                <w:bCs/>
                <w:szCs w:val="18"/>
              </w:rPr>
            </w:pPr>
            <w:r>
              <w:rPr>
                <w:bCs/>
                <w:szCs w:val="18"/>
              </w:rPr>
              <w:t>South Island</w:t>
            </w:r>
          </w:p>
        </w:tc>
        <w:tc>
          <w:tcPr>
            <w:tcW w:w="1228" w:type="pct"/>
            <w:tcBorders>
              <w:top w:val="single" w:sz="4" w:space="0" w:color="A6A6A6" w:themeColor="background1" w:themeShade="A6"/>
              <w:bottom w:val="single" w:sz="4" w:space="0" w:color="A6A6A6" w:themeColor="background1" w:themeShade="A6"/>
            </w:tcBorders>
            <w:shd w:val="clear" w:color="auto" w:fill="auto"/>
          </w:tcPr>
          <w:p w14:paraId="62E877AA" w14:textId="77777777" w:rsidR="00BB7D17" w:rsidRPr="00CA394B" w:rsidRDefault="00BB7D17" w:rsidP="00E96DD0">
            <w:pPr>
              <w:pStyle w:val="TableText"/>
              <w:keepNext/>
              <w:tabs>
                <w:tab w:val="decimal" w:pos="1077"/>
              </w:tabs>
              <w:spacing w:before="50" w:after="50"/>
              <w:jc w:val="center"/>
            </w:pPr>
            <w:r>
              <w:t>53</w:t>
            </w:r>
          </w:p>
        </w:tc>
        <w:tc>
          <w:tcPr>
            <w:tcW w:w="877" w:type="pct"/>
            <w:tcBorders>
              <w:top w:val="single" w:sz="4" w:space="0" w:color="A6A6A6" w:themeColor="background1" w:themeShade="A6"/>
              <w:bottom w:val="single" w:sz="4" w:space="0" w:color="A6A6A6" w:themeColor="background1" w:themeShade="A6"/>
            </w:tcBorders>
            <w:shd w:val="clear" w:color="auto" w:fill="auto"/>
          </w:tcPr>
          <w:p w14:paraId="0B43A514" w14:textId="77777777" w:rsidR="00BB7D17" w:rsidRPr="00CA394B" w:rsidRDefault="00BB7D17" w:rsidP="00E96DD0">
            <w:pPr>
              <w:pStyle w:val="TableText"/>
              <w:keepNext/>
              <w:tabs>
                <w:tab w:val="decimal" w:pos="935"/>
              </w:tabs>
              <w:spacing w:before="50" w:after="50"/>
              <w:jc w:val="center"/>
            </w:pPr>
            <w:r>
              <w:t>622</w:t>
            </w:r>
          </w:p>
        </w:tc>
        <w:tc>
          <w:tcPr>
            <w:tcW w:w="1579" w:type="pct"/>
            <w:tcBorders>
              <w:top w:val="single" w:sz="4" w:space="0" w:color="A6A6A6" w:themeColor="background1" w:themeShade="A6"/>
              <w:bottom w:val="single" w:sz="4" w:space="0" w:color="A6A6A6" w:themeColor="background1" w:themeShade="A6"/>
            </w:tcBorders>
            <w:shd w:val="clear" w:color="auto" w:fill="auto"/>
          </w:tcPr>
          <w:p w14:paraId="3D20AE75" w14:textId="77777777" w:rsidR="00BB7D17" w:rsidRPr="00CA394B" w:rsidRDefault="00BB7D17" w:rsidP="00E96DD0">
            <w:pPr>
              <w:pStyle w:val="TableText"/>
              <w:keepNext/>
              <w:tabs>
                <w:tab w:val="decimal" w:pos="936"/>
              </w:tabs>
              <w:spacing w:before="50" w:after="50"/>
              <w:jc w:val="center"/>
            </w:pPr>
            <w:r>
              <w:t>12 (1–35)</w:t>
            </w:r>
          </w:p>
        </w:tc>
      </w:tr>
      <w:tr w:rsidR="00BB7D17" w:rsidRPr="0048119A" w14:paraId="635ABBE3" w14:textId="77777777" w:rsidTr="00E96DD0">
        <w:trPr>
          <w:cantSplit/>
          <w:trHeight w:val="300"/>
        </w:trPr>
        <w:tc>
          <w:tcPr>
            <w:tcW w:w="1316" w:type="pct"/>
            <w:tcBorders>
              <w:top w:val="single" w:sz="4" w:space="0" w:color="A6A6A6" w:themeColor="background1" w:themeShade="A6"/>
              <w:bottom w:val="single" w:sz="4" w:space="0" w:color="A6A6A6" w:themeColor="background1" w:themeShade="A6"/>
            </w:tcBorders>
            <w:shd w:val="clear" w:color="auto" w:fill="auto"/>
          </w:tcPr>
          <w:p w14:paraId="676F896B" w14:textId="77777777" w:rsidR="00BB7D17" w:rsidRPr="005C1A03" w:rsidRDefault="00BB7D17" w:rsidP="00E96DD0">
            <w:pPr>
              <w:pStyle w:val="TableText"/>
              <w:spacing w:before="50" w:after="50"/>
              <w:rPr>
                <w:b/>
                <w:szCs w:val="18"/>
              </w:rPr>
            </w:pPr>
            <w:r>
              <w:rPr>
                <w:b/>
                <w:szCs w:val="18"/>
              </w:rPr>
              <w:t>Nationally</w:t>
            </w:r>
          </w:p>
        </w:tc>
        <w:tc>
          <w:tcPr>
            <w:tcW w:w="1228" w:type="pct"/>
            <w:tcBorders>
              <w:top w:val="single" w:sz="4" w:space="0" w:color="A6A6A6" w:themeColor="background1" w:themeShade="A6"/>
              <w:bottom w:val="single" w:sz="4" w:space="0" w:color="A6A6A6" w:themeColor="background1" w:themeShade="A6"/>
            </w:tcBorders>
            <w:shd w:val="clear" w:color="auto" w:fill="auto"/>
          </w:tcPr>
          <w:p w14:paraId="3CF7AB4F" w14:textId="77777777" w:rsidR="00BB7D17" w:rsidRPr="005C1A03" w:rsidRDefault="00BB7D17" w:rsidP="00E96DD0">
            <w:pPr>
              <w:pStyle w:val="TableText"/>
              <w:tabs>
                <w:tab w:val="decimal" w:pos="1077"/>
              </w:tabs>
              <w:spacing w:before="50" w:after="50"/>
              <w:jc w:val="center"/>
              <w:rPr>
                <w:b/>
              </w:rPr>
            </w:pPr>
            <w:r w:rsidRPr="005C1A03">
              <w:rPr>
                <w:b/>
                <w:bCs/>
              </w:rPr>
              <w:t>2</w:t>
            </w:r>
            <w:r w:rsidRPr="00501296">
              <w:rPr>
                <w:b/>
                <w:bCs/>
              </w:rPr>
              <w:t>64</w:t>
            </w:r>
          </w:p>
        </w:tc>
        <w:tc>
          <w:tcPr>
            <w:tcW w:w="877" w:type="pct"/>
            <w:tcBorders>
              <w:top w:val="single" w:sz="4" w:space="0" w:color="A6A6A6" w:themeColor="background1" w:themeShade="A6"/>
              <w:bottom w:val="single" w:sz="4" w:space="0" w:color="A6A6A6" w:themeColor="background1" w:themeShade="A6"/>
            </w:tcBorders>
            <w:shd w:val="clear" w:color="auto" w:fill="auto"/>
          </w:tcPr>
          <w:p w14:paraId="0473BC96" w14:textId="77777777" w:rsidR="00BB7D17" w:rsidRPr="005C1A03" w:rsidRDefault="00BB7D17" w:rsidP="00E96DD0">
            <w:pPr>
              <w:pStyle w:val="TableText"/>
              <w:tabs>
                <w:tab w:val="decimal" w:pos="935"/>
              </w:tabs>
              <w:spacing w:before="50" w:after="50"/>
              <w:jc w:val="center"/>
              <w:rPr>
                <w:b/>
              </w:rPr>
            </w:pPr>
            <w:r w:rsidRPr="00501296">
              <w:rPr>
                <w:b/>
                <w:bCs/>
              </w:rPr>
              <w:t>3,015</w:t>
            </w:r>
          </w:p>
        </w:tc>
        <w:tc>
          <w:tcPr>
            <w:tcW w:w="1579" w:type="pct"/>
            <w:tcBorders>
              <w:top w:val="single" w:sz="4" w:space="0" w:color="A6A6A6" w:themeColor="background1" w:themeShade="A6"/>
              <w:bottom w:val="single" w:sz="4" w:space="0" w:color="A6A6A6" w:themeColor="background1" w:themeShade="A6"/>
            </w:tcBorders>
            <w:shd w:val="clear" w:color="auto" w:fill="auto"/>
          </w:tcPr>
          <w:p w14:paraId="67167386" w14:textId="77777777" w:rsidR="00BB7D17" w:rsidRPr="005C1A03" w:rsidRDefault="00BB7D17" w:rsidP="00E96DD0">
            <w:pPr>
              <w:pStyle w:val="TableText"/>
              <w:tabs>
                <w:tab w:val="decimal" w:pos="936"/>
              </w:tabs>
              <w:spacing w:before="50" w:after="50"/>
              <w:jc w:val="center"/>
              <w:rPr>
                <w:b/>
              </w:rPr>
            </w:pPr>
            <w:r w:rsidRPr="587EA636">
              <w:rPr>
                <w:b/>
              </w:rPr>
              <w:t>11 (1–55)</w:t>
            </w:r>
          </w:p>
        </w:tc>
      </w:tr>
    </w:tbl>
    <w:p w14:paraId="2AE6D5FF" w14:textId="77777777" w:rsidR="00BB7D17" w:rsidRPr="00A22956" w:rsidRDefault="00BB7D17" w:rsidP="00BB7D17">
      <w:pPr>
        <w:pStyle w:val="Note"/>
      </w:pPr>
      <w:r w:rsidRPr="00200234">
        <w:t>Note</w:t>
      </w:r>
      <w:r w:rsidRPr="00A22956">
        <w:t>: In 2022/23, 18 people were treated out</w:t>
      </w:r>
      <w:r>
        <w:t>side</w:t>
      </w:r>
      <w:r w:rsidRPr="00A22956">
        <w:t xml:space="preserve"> of </w:t>
      </w:r>
      <w:r>
        <w:t>their district of domicile.</w:t>
      </w:r>
    </w:p>
    <w:p w14:paraId="74AC6C01" w14:textId="77777777" w:rsidR="00BB7D17" w:rsidRDefault="00BB7D17" w:rsidP="00BB7D17">
      <w:pPr>
        <w:pStyle w:val="Source"/>
      </w:pPr>
      <w:r w:rsidRPr="00A22956">
        <w:t xml:space="preserve">Sources: PRIMHD data (extracted </w:t>
      </w:r>
      <w:r w:rsidRPr="00501296">
        <w:t>28 February 2024) and manual data from Health New Zealand MidCentral, Southern, Waikato and Waitematā</w:t>
      </w:r>
      <w:r w:rsidRPr="00A22956">
        <w:t>.</w:t>
      </w:r>
    </w:p>
    <w:p w14:paraId="5EE9CACF" w14:textId="729792CA" w:rsidR="00BB7D17" w:rsidRDefault="00BB7D17" w:rsidP="00BB7D17">
      <w:pPr>
        <w:rPr>
          <w:rFonts w:eastAsia="Arial Unicode MS"/>
        </w:rPr>
      </w:pPr>
    </w:p>
    <w:p w14:paraId="32892EF7" w14:textId="5AD84554" w:rsidR="00E96DD0" w:rsidRDefault="00E96DD0" w:rsidP="00E96DD0">
      <w:pPr>
        <w:pStyle w:val="Figure"/>
      </w:pPr>
      <w:bookmarkStart w:id="722" w:name="_Ref86343700"/>
      <w:bookmarkStart w:id="723" w:name="_Toc87429989"/>
      <w:bookmarkStart w:id="724" w:name="_Toc88561421"/>
      <w:bookmarkStart w:id="725" w:name="_Toc115188881"/>
      <w:bookmarkStart w:id="726" w:name="_Toc142314723"/>
      <w:bookmarkStart w:id="727" w:name="_Toc145394305"/>
      <w:bookmarkStart w:id="728" w:name="_Toc189053980"/>
      <w:bookmarkStart w:id="729" w:name="_Toc189647965"/>
      <w:r>
        <w:t>Figure </w:t>
      </w:r>
      <w:r>
        <w:fldChar w:fldCharType="begin"/>
      </w:r>
      <w:r>
        <w:instrText>SEQ Figure \* ARABIC</w:instrText>
      </w:r>
      <w:r>
        <w:fldChar w:fldCharType="separate"/>
      </w:r>
      <w:r w:rsidR="00753BC8">
        <w:rPr>
          <w:noProof/>
        </w:rPr>
        <w:t>39</w:t>
      </w:r>
      <w:r>
        <w:fldChar w:fldCharType="end"/>
      </w:r>
      <w:bookmarkEnd w:id="722"/>
      <w:r w:rsidRPr="009B4EE3">
        <w:t xml:space="preserve">: Number of people per 100,000 population treated with ECT, by </w:t>
      </w:r>
      <w:r>
        <w:t>district of domicile</w:t>
      </w:r>
      <w:r w:rsidRPr="009B4EE3">
        <w:t>, 1 </w:t>
      </w:r>
      <w:bookmarkEnd w:id="723"/>
      <w:bookmarkEnd w:id="724"/>
      <w:r w:rsidRPr="009B4EE3">
        <w:t>July 202</w:t>
      </w:r>
      <w:r>
        <w:t>2</w:t>
      </w:r>
      <w:r w:rsidRPr="009B4EE3">
        <w:t xml:space="preserve"> to 30 June 202</w:t>
      </w:r>
      <w:r>
        <w:t>3</w:t>
      </w:r>
      <w:bookmarkEnd w:id="725"/>
      <w:bookmarkEnd w:id="726"/>
      <w:bookmarkEnd w:id="727"/>
      <w:bookmarkEnd w:id="728"/>
      <w:bookmarkEnd w:id="729"/>
    </w:p>
    <w:p w14:paraId="53DB7A9E" w14:textId="25289CAE" w:rsidR="00E96DD0" w:rsidRPr="00A85442" w:rsidRDefault="00E96DD0" w:rsidP="00E96DD0">
      <w:r>
        <w:rPr>
          <w:noProof/>
        </w:rPr>
        <w:drawing>
          <wp:inline distT="0" distB="0" distL="0" distR="0" wp14:anchorId="03A5DD36" wp14:editId="38BEA945">
            <wp:extent cx="5143500" cy="2965848"/>
            <wp:effectExtent l="0" t="0" r="0" b="6350"/>
            <wp:docPr id="1297958837" name="Picture 12979588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7958837" name="Picture 1297958837">
                      <a:extLst>
                        <a:ext uri="{C183D7F6-B498-43B3-948B-1728B52AA6E4}">
                          <adec:decorative xmlns:adec="http://schemas.microsoft.com/office/drawing/2017/decorative" val="1"/>
                        </a:ext>
                      </a:extLst>
                    </pic:cNvPr>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161677" cy="2976329"/>
                    </a:xfrm>
                    <a:prstGeom prst="rect">
                      <a:avLst/>
                    </a:prstGeom>
                    <a:noFill/>
                  </pic:spPr>
                </pic:pic>
              </a:graphicData>
            </a:graphic>
          </wp:inline>
        </w:drawing>
      </w:r>
    </w:p>
    <w:p w14:paraId="25FBE4C7" w14:textId="77777777" w:rsidR="00E96DD0" w:rsidRPr="00BC0EF7" w:rsidRDefault="00E96DD0" w:rsidP="000420E5">
      <w:pPr>
        <w:pStyle w:val="Source"/>
        <w:ind w:right="-426"/>
      </w:pPr>
      <w:r w:rsidRPr="00BC0EF7">
        <w:t xml:space="preserve">Note: </w:t>
      </w:r>
      <w:r>
        <w:t>In this figure, the</w:t>
      </w:r>
      <w:r w:rsidRPr="005F78FD">
        <w:t xml:space="preserve"> confidence intervals (for 99% confidence</w:t>
      </w:r>
      <w:r>
        <w:t>, shown as vertical lines through the blue diamond markers</w:t>
      </w:r>
      <w:r w:rsidRPr="005F78FD">
        <w:t xml:space="preserve">) </w:t>
      </w:r>
      <w:r>
        <w:t>can</w:t>
      </w:r>
      <w:r w:rsidRPr="005F78FD">
        <w:t xml:space="preserve"> help </w:t>
      </w:r>
      <w:r>
        <w:t>with</w:t>
      </w:r>
      <w:r w:rsidRPr="005F78FD">
        <w:t xml:space="preserve"> interpreting the data. </w:t>
      </w:r>
      <w:r>
        <w:t xml:space="preserve">Where a </w:t>
      </w:r>
      <w:r w:rsidRPr="005F78FD">
        <w:t>service’s confidence interval cross</w:t>
      </w:r>
      <w:r>
        <w:t>es</w:t>
      </w:r>
      <w:r w:rsidRPr="005F78FD">
        <w:t xml:space="preserve"> the national average</w:t>
      </w:r>
      <w:r>
        <w:t>, that</w:t>
      </w:r>
      <w:r w:rsidRPr="005F78FD">
        <w:t xml:space="preserve"> means its rate was not statistically significantly different from the average.</w:t>
      </w:r>
      <w:r>
        <w:t xml:space="preserve"> </w:t>
      </w:r>
      <w:r w:rsidRPr="00BC0EF7">
        <w:t>No one living in South Canterbury</w:t>
      </w:r>
      <w:r w:rsidRPr="00501296">
        <w:t xml:space="preserve"> or Tairāwhiti </w:t>
      </w:r>
      <w:r w:rsidRPr="00BC0EF7">
        <w:t xml:space="preserve">received ECT treatment in the period, so these </w:t>
      </w:r>
      <w:r w:rsidRPr="00501296">
        <w:t>districts</w:t>
      </w:r>
      <w:r w:rsidRPr="00BC0EF7">
        <w:t xml:space="preserve"> are not included in the figure.</w:t>
      </w:r>
    </w:p>
    <w:p w14:paraId="4B8476EA" w14:textId="77777777" w:rsidR="00E96DD0" w:rsidRDefault="00E96DD0" w:rsidP="00E96DD0">
      <w:pPr>
        <w:pStyle w:val="Source"/>
      </w:pPr>
      <w:r w:rsidRPr="00BC0EF7">
        <w:t>Sources: PRIMHD data (extracted 28 February 2024) and manual data for Health New Zealand MidCentral, Southern, Waikato and Waitematā</w:t>
      </w:r>
      <w:r>
        <w:t>.</w:t>
      </w:r>
    </w:p>
    <w:p w14:paraId="33D2D9EE" w14:textId="77777777" w:rsidR="00E96DD0" w:rsidRPr="009B4EE3" w:rsidRDefault="00E96DD0" w:rsidP="00E96DD0"/>
    <w:p w14:paraId="3AFF6105" w14:textId="2538B427" w:rsidR="00E96DD0" w:rsidRDefault="00E96DD0" w:rsidP="00E96DD0">
      <w:pPr>
        <w:pStyle w:val="Figure"/>
      </w:pPr>
      <w:bookmarkStart w:id="730" w:name="_Ref111472332"/>
      <w:bookmarkStart w:id="731" w:name="_Toc115188882"/>
      <w:bookmarkStart w:id="732" w:name="_Toc142314724"/>
      <w:bookmarkStart w:id="733" w:name="_Toc145394306"/>
      <w:bookmarkStart w:id="734" w:name="_Toc189053981"/>
      <w:bookmarkStart w:id="735" w:name="_Toc189647966"/>
      <w:r>
        <w:t>Figure </w:t>
      </w:r>
      <w:r>
        <w:fldChar w:fldCharType="begin"/>
      </w:r>
      <w:r>
        <w:instrText>SEQ Figure \* ARABIC</w:instrText>
      </w:r>
      <w:r>
        <w:fldChar w:fldCharType="separate"/>
      </w:r>
      <w:r w:rsidR="00753BC8">
        <w:rPr>
          <w:noProof/>
        </w:rPr>
        <w:t>40</w:t>
      </w:r>
      <w:r>
        <w:fldChar w:fldCharType="end"/>
      </w:r>
      <w:bookmarkEnd w:id="730"/>
      <w:r w:rsidRPr="009B4EE3">
        <w:t xml:space="preserve">: Number of </w:t>
      </w:r>
      <w:r>
        <w:t>ECT treatments</w:t>
      </w:r>
      <w:r w:rsidRPr="009B4EE3">
        <w:t xml:space="preserve"> per 100,000 population, by </w:t>
      </w:r>
      <w:r>
        <w:t>district of domicile</w:t>
      </w:r>
      <w:r w:rsidRPr="009B4EE3">
        <w:t>, 1 July 202</w:t>
      </w:r>
      <w:r>
        <w:t>2</w:t>
      </w:r>
      <w:r w:rsidRPr="009B4EE3">
        <w:t xml:space="preserve"> to 30 June 202</w:t>
      </w:r>
      <w:r>
        <w:t>3</w:t>
      </w:r>
      <w:bookmarkEnd w:id="731"/>
      <w:bookmarkEnd w:id="732"/>
      <w:bookmarkEnd w:id="733"/>
      <w:bookmarkEnd w:id="734"/>
      <w:bookmarkEnd w:id="735"/>
    </w:p>
    <w:p w14:paraId="7239C352" w14:textId="2F776CF0" w:rsidR="00E96DD0" w:rsidRPr="00A85442" w:rsidRDefault="00E96DD0" w:rsidP="00E96DD0">
      <w:r>
        <w:rPr>
          <w:noProof/>
        </w:rPr>
        <w:drawing>
          <wp:inline distT="0" distB="0" distL="0" distR="0" wp14:anchorId="7CFD3991" wp14:editId="05707D7C">
            <wp:extent cx="5124450" cy="2845844"/>
            <wp:effectExtent l="0" t="0" r="0" b="0"/>
            <wp:docPr id="1297958838" name="Picture 12979588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7958838" name="Picture 1297958838">
                      <a:extLst>
                        <a:ext uri="{C183D7F6-B498-43B3-948B-1728B52AA6E4}">
                          <adec:decorative xmlns:adec="http://schemas.microsoft.com/office/drawing/2017/decorative" val="1"/>
                        </a:ext>
                      </a:extLst>
                    </pic:cNvPr>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136664" cy="2852627"/>
                    </a:xfrm>
                    <a:prstGeom prst="rect">
                      <a:avLst/>
                    </a:prstGeom>
                    <a:noFill/>
                  </pic:spPr>
                </pic:pic>
              </a:graphicData>
            </a:graphic>
          </wp:inline>
        </w:drawing>
      </w:r>
    </w:p>
    <w:p w14:paraId="2D071E12" w14:textId="77777777" w:rsidR="00E96DD0" w:rsidRPr="00BC0EF7" w:rsidRDefault="00E96DD0" w:rsidP="00E96DD0">
      <w:pPr>
        <w:pStyle w:val="Source"/>
      </w:pPr>
      <w:r w:rsidRPr="00BC0EF7">
        <w:t xml:space="preserve">Note: </w:t>
      </w:r>
      <w:r>
        <w:t>In this figure, the</w:t>
      </w:r>
      <w:r w:rsidRPr="005F78FD">
        <w:t xml:space="preserve"> confidence intervals (for 99% confidence</w:t>
      </w:r>
      <w:r>
        <w:t>, shown as vertical lines through the blue diamond markers</w:t>
      </w:r>
      <w:r w:rsidRPr="005F78FD">
        <w:t xml:space="preserve">) </w:t>
      </w:r>
      <w:r>
        <w:t>can</w:t>
      </w:r>
      <w:r w:rsidRPr="005F78FD">
        <w:t xml:space="preserve"> help </w:t>
      </w:r>
      <w:r>
        <w:t>with</w:t>
      </w:r>
      <w:r w:rsidRPr="005F78FD">
        <w:t xml:space="preserve"> interpreting the data. </w:t>
      </w:r>
      <w:r>
        <w:t xml:space="preserve">Where a </w:t>
      </w:r>
      <w:r w:rsidRPr="005F78FD">
        <w:t>service’s confidence interval cross</w:t>
      </w:r>
      <w:r>
        <w:t>es</w:t>
      </w:r>
      <w:r w:rsidRPr="005F78FD">
        <w:t xml:space="preserve"> the national average</w:t>
      </w:r>
      <w:r>
        <w:t>, that</w:t>
      </w:r>
      <w:r w:rsidRPr="005F78FD">
        <w:t xml:space="preserve"> means its rate was not statistically significantly different from the average.</w:t>
      </w:r>
      <w:r>
        <w:t xml:space="preserve"> </w:t>
      </w:r>
      <w:r w:rsidRPr="00BC0EF7">
        <w:t>No one living in South Canterbury</w:t>
      </w:r>
      <w:r w:rsidRPr="00624128">
        <w:t xml:space="preserve"> or Tairāwhiti </w:t>
      </w:r>
      <w:r w:rsidRPr="00BC0EF7">
        <w:t xml:space="preserve">received ECT treatment in the period, so these </w:t>
      </w:r>
      <w:r w:rsidRPr="00624128">
        <w:t>districts</w:t>
      </w:r>
      <w:r w:rsidRPr="00BC0EF7">
        <w:t xml:space="preserve"> are not included in the figure.</w:t>
      </w:r>
    </w:p>
    <w:p w14:paraId="051966FE" w14:textId="77777777" w:rsidR="00E96DD0" w:rsidRDefault="00E96DD0" w:rsidP="00E96DD0">
      <w:pPr>
        <w:pStyle w:val="Source"/>
      </w:pPr>
      <w:r w:rsidRPr="00BC0EF7">
        <w:t>Sources: PRIMHD data (extracted 28 February 2024) and manual data for Health New Zealand MidCentral, Southern, Waikato and Waitematā</w:t>
      </w:r>
      <w:r>
        <w:t>.</w:t>
      </w:r>
    </w:p>
    <w:p w14:paraId="3A90D891" w14:textId="4B229FCD" w:rsidR="00E96DD0" w:rsidRDefault="00E96DD0" w:rsidP="00E96DD0">
      <w:pPr>
        <w:pStyle w:val="Figure"/>
      </w:pPr>
      <w:bookmarkStart w:id="736" w:name="_Ref111473382"/>
      <w:bookmarkStart w:id="737" w:name="_Ref189454994"/>
      <w:bookmarkStart w:id="738" w:name="_Toc115188883"/>
      <w:bookmarkStart w:id="739" w:name="_Toc142314725"/>
      <w:bookmarkStart w:id="740" w:name="_Toc145394307"/>
      <w:bookmarkStart w:id="741" w:name="_Toc189053982"/>
      <w:bookmarkStart w:id="742" w:name="_Toc189647967"/>
      <w:r>
        <w:t>Figure </w:t>
      </w:r>
      <w:r>
        <w:fldChar w:fldCharType="begin"/>
      </w:r>
      <w:r>
        <w:instrText>SEQ Figure \* ARABIC</w:instrText>
      </w:r>
      <w:r>
        <w:fldChar w:fldCharType="separate"/>
      </w:r>
      <w:r w:rsidR="00753BC8">
        <w:rPr>
          <w:noProof/>
        </w:rPr>
        <w:t>41</w:t>
      </w:r>
      <w:r>
        <w:fldChar w:fldCharType="end"/>
      </w:r>
      <w:bookmarkEnd w:id="736"/>
      <w:bookmarkEnd w:id="737"/>
      <w:r w:rsidRPr="009B4EE3">
        <w:t xml:space="preserve">: </w:t>
      </w:r>
      <w:r>
        <w:t>Number</w:t>
      </w:r>
      <w:r w:rsidRPr="009B4EE3">
        <w:t xml:space="preserve"> of </w:t>
      </w:r>
      <w:r>
        <w:t>people treated with ECT</w:t>
      </w:r>
      <w:r w:rsidRPr="009B4EE3">
        <w:t xml:space="preserve"> per 100,000 population, by </w:t>
      </w:r>
      <w:r>
        <w:t>district of domicile</w:t>
      </w:r>
      <w:r w:rsidRPr="009B4EE3">
        <w:t>, 1 July 202</w:t>
      </w:r>
      <w:r>
        <w:t>2</w:t>
      </w:r>
      <w:r w:rsidRPr="009B4EE3">
        <w:t xml:space="preserve"> to 30 June 202</w:t>
      </w:r>
      <w:r>
        <w:t>3</w:t>
      </w:r>
      <w:bookmarkEnd w:id="738"/>
      <w:bookmarkEnd w:id="739"/>
      <w:bookmarkEnd w:id="740"/>
      <w:bookmarkEnd w:id="741"/>
      <w:bookmarkEnd w:id="742"/>
    </w:p>
    <w:p w14:paraId="61D118A7" w14:textId="410EDF22" w:rsidR="00E96DD0" w:rsidRPr="00A85442" w:rsidRDefault="00E96DD0" w:rsidP="00E96DD0">
      <w:r>
        <w:rPr>
          <w:noProof/>
        </w:rPr>
        <w:drawing>
          <wp:inline distT="0" distB="0" distL="0" distR="0" wp14:anchorId="16DC1BA1" wp14:editId="478AA11D">
            <wp:extent cx="5153025" cy="2365656"/>
            <wp:effectExtent l="0" t="0" r="0" b="0"/>
            <wp:docPr id="1297958839" name="Picture 12979588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7958839" name="Picture 1297958839">
                      <a:extLst>
                        <a:ext uri="{C183D7F6-B498-43B3-948B-1728B52AA6E4}">
                          <adec:decorative xmlns:adec="http://schemas.microsoft.com/office/drawing/2017/decorative" val="1"/>
                        </a:ext>
                      </a:extLst>
                    </pic:cNvPr>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174104" cy="2375333"/>
                    </a:xfrm>
                    <a:prstGeom prst="rect">
                      <a:avLst/>
                    </a:prstGeom>
                    <a:noFill/>
                  </pic:spPr>
                </pic:pic>
              </a:graphicData>
            </a:graphic>
          </wp:inline>
        </w:drawing>
      </w:r>
    </w:p>
    <w:p w14:paraId="2DABA0AD" w14:textId="77777777" w:rsidR="00E96DD0" w:rsidRPr="00BC0EF7" w:rsidRDefault="00E96DD0" w:rsidP="00E96DD0">
      <w:pPr>
        <w:pStyle w:val="Source"/>
      </w:pPr>
      <w:r w:rsidRPr="00BC0EF7">
        <w:t>Note: No one living in South Canterbury</w:t>
      </w:r>
      <w:r w:rsidRPr="00624128">
        <w:t xml:space="preserve"> or Tairāwhiti </w:t>
      </w:r>
      <w:r w:rsidRPr="00BC0EF7">
        <w:t xml:space="preserve">received ECT treatment in the period, so these </w:t>
      </w:r>
      <w:r w:rsidRPr="00624128">
        <w:t>districts</w:t>
      </w:r>
      <w:r w:rsidRPr="00BC0EF7">
        <w:t xml:space="preserve"> are not included in the figure.</w:t>
      </w:r>
    </w:p>
    <w:p w14:paraId="2C3FD6CE" w14:textId="77777777" w:rsidR="00E96DD0" w:rsidRPr="00993F35" w:rsidRDefault="00E96DD0" w:rsidP="00E96DD0">
      <w:pPr>
        <w:pStyle w:val="Source"/>
      </w:pPr>
      <w:r w:rsidRPr="00BC0EF7">
        <w:t>Sources: PRIMHD data (extracted 28 February 2024) and manual data for Health New Zealand MidCentral, Southern, Waikato and Waitematā</w:t>
      </w:r>
      <w:r>
        <w:t>.</w:t>
      </w:r>
    </w:p>
    <w:p w14:paraId="28205B07" w14:textId="77777777" w:rsidR="00E96DD0" w:rsidRPr="00200234" w:rsidRDefault="00E96DD0" w:rsidP="00E96DD0">
      <w:pPr>
        <w:pStyle w:val="Heading2"/>
      </w:pPr>
      <w:bookmarkStart w:id="743" w:name="_Toc65141637"/>
      <w:bookmarkStart w:id="744" w:name="_Toc75176462"/>
      <w:bookmarkStart w:id="745" w:name="_Toc87429930"/>
      <w:bookmarkStart w:id="746" w:name="_Toc88826978"/>
      <w:bookmarkStart w:id="747" w:name="_Toc115188828"/>
      <w:bookmarkStart w:id="748" w:name="_Toc145394254"/>
      <w:bookmarkStart w:id="749" w:name="_Toc189053924"/>
      <w:bookmarkStart w:id="750" w:name="_Toc189647913"/>
      <w:r>
        <w:t xml:space="preserve">Age </w:t>
      </w:r>
      <w:r w:rsidRPr="00200234">
        <w:t xml:space="preserve">and </w:t>
      </w:r>
      <w:r>
        <w:t>gender</w:t>
      </w:r>
      <w:r w:rsidRPr="00200234">
        <w:t xml:space="preserve"> of people receiving ECT</w:t>
      </w:r>
      <w:bookmarkEnd w:id="743"/>
      <w:bookmarkEnd w:id="744"/>
      <w:bookmarkEnd w:id="745"/>
      <w:bookmarkEnd w:id="746"/>
      <w:bookmarkEnd w:id="747"/>
      <w:bookmarkEnd w:id="748"/>
      <w:bookmarkEnd w:id="749"/>
      <w:bookmarkEnd w:id="750"/>
    </w:p>
    <w:p w14:paraId="7C50EC3D" w14:textId="5D9C06A7" w:rsidR="00E96DD0" w:rsidRPr="00200234" w:rsidRDefault="00E96DD0" w:rsidP="00E96DD0">
      <w:r>
        <w:t>In the 2022/23 financial year</w:t>
      </w:r>
      <w:r w:rsidRPr="00814804">
        <w:t xml:space="preserve">, women were more likely to receive ECT than men. Older people were more likely to receive ECT, with those </w:t>
      </w:r>
      <w:r>
        <w:t xml:space="preserve">aged </w:t>
      </w:r>
      <w:r w:rsidRPr="00814804">
        <w:t xml:space="preserve">over 50 </w:t>
      </w:r>
      <w:r>
        <w:t xml:space="preserve">years </w:t>
      </w:r>
      <w:r w:rsidRPr="00814804">
        <w:t xml:space="preserve">making up 62.5% of ECT patients. </w:t>
      </w:r>
      <w:r w:rsidRPr="00814804">
        <w:fldChar w:fldCharType="begin"/>
      </w:r>
      <w:r w:rsidRPr="00814804">
        <w:instrText xml:space="preserve"> REF _Ref65672687 \h </w:instrText>
      </w:r>
      <w:r>
        <w:instrText xml:space="preserve"> \* MERGEFORMAT </w:instrText>
      </w:r>
      <w:r w:rsidRPr="00814804">
        <w:fldChar w:fldCharType="separate"/>
      </w:r>
      <w:r w:rsidR="00753BC8">
        <w:t>Figure 42</w:t>
      </w:r>
      <w:r w:rsidRPr="00814804">
        <w:fldChar w:fldCharType="end"/>
      </w:r>
      <w:r w:rsidRPr="00814804">
        <w:t xml:space="preserve"> </w:t>
      </w:r>
      <w:r>
        <w:t>breaks down</w:t>
      </w:r>
      <w:r w:rsidRPr="00814804">
        <w:t xml:space="preserve"> the </w:t>
      </w:r>
      <w:r>
        <w:t>number of people treated with ECT</w:t>
      </w:r>
      <w:r w:rsidRPr="00814804">
        <w:t xml:space="preserve"> by age group and gender.</w:t>
      </w:r>
    </w:p>
    <w:p w14:paraId="3BE74685" w14:textId="77777777" w:rsidR="00E96DD0" w:rsidRDefault="00E96DD0" w:rsidP="00BB7D17">
      <w:pPr>
        <w:rPr>
          <w:rFonts w:eastAsia="Arial Unicode MS"/>
        </w:rPr>
      </w:pPr>
    </w:p>
    <w:p w14:paraId="54F7C7D9" w14:textId="5D3790DB" w:rsidR="00E96DD0" w:rsidRDefault="00E96DD0" w:rsidP="00E96DD0">
      <w:pPr>
        <w:pStyle w:val="Figure"/>
      </w:pPr>
      <w:bookmarkStart w:id="751" w:name="_Ref65672687"/>
      <w:bookmarkStart w:id="752" w:name="_Toc63764792"/>
      <w:bookmarkStart w:id="753" w:name="_Toc75176503"/>
      <w:bookmarkStart w:id="754" w:name="_Toc85442596"/>
      <w:bookmarkStart w:id="755" w:name="_Toc85445950"/>
      <w:bookmarkStart w:id="756" w:name="_Toc87429990"/>
      <w:bookmarkStart w:id="757" w:name="_Toc88561422"/>
      <w:bookmarkStart w:id="758" w:name="_Toc115188884"/>
      <w:bookmarkStart w:id="759" w:name="_Toc142314726"/>
      <w:bookmarkStart w:id="760" w:name="_Toc145394308"/>
      <w:bookmarkStart w:id="761" w:name="_Toc189053983"/>
      <w:bookmarkStart w:id="762" w:name="_Toc189647968"/>
      <w:r>
        <w:t xml:space="preserve">Figure </w:t>
      </w:r>
      <w:r w:rsidR="00753BC8">
        <w:fldChar w:fldCharType="begin"/>
      </w:r>
      <w:r w:rsidR="00753BC8">
        <w:instrText xml:space="preserve"> SEQ Figure \* ARABIC </w:instrText>
      </w:r>
      <w:r w:rsidR="00753BC8">
        <w:fldChar w:fldCharType="separate"/>
      </w:r>
      <w:r w:rsidR="00753BC8">
        <w:rPr>
          <w:noProof/>
        </w:rPr>
        <w:t>42</w:t>
      </w:r>
      <w:r w:rsidR="00753BC8">
        <w:rPr>
          <w:noProof/>
        </w:rPr>
        <w:fldChar w:fldCharType="end"/>
      </w:r>
      <w:bookmarkEnd w:id="751"/>
      <w:r w:rsidRPr="00BC75AF">
        <w:t xml:space="preserve">: Number of people treated with ECT, by age group and </w:t>
      </w:r>
      <w:r>
        <w:t>gender,</w:t>
      </w:r>
      <w:r w:rsidRPr="00BC75AF">
        <w:t xml:space="preserve"> 1 </w:t>
      </w:r>
      <w:bookmarkEnd w:id="752"/>
      <w:bookmarkEnd w:id="753"/>
      <w:bookmarkEnd w:id="754"/>
      <w:bookmarkEnd w:id="755"/>
      <w:bookmarkEnd w:id="756"/>
      <w:bookmarkEnd w:id="757"/>
      <w:r w:rsidRPr="00BC75AF">
        <w:t>July 202</w:t>
      </w:r>
      <w:r>
        <w:t>2</w:t>
      </w:r>
      <w:r w:rsidRPr="00BC75AF">
        <w:t xml:space="preserve"> to 30 June 202</w:t>
      </w:r>
      <w:r>
        <w:t>3</w:t>
      </w:r>
      <w:bookmarkEnd w:id="758"/>
      <w:bookmarkEnd w:id="759"/>
      <w:bookmarkEnd w:id="760"/>
      <w:bookmarkEnd w:id="761"/>
      <w:bookmarkEnd w:id="762"/>
    </w:p>
    <w:p w14:paraId="40BAB296" w14:textId="22673F70" w:rsidR="00E96DD0" w:rsidRPr="00A85442" w:rsidRDefault="00E96DD0" w:rsidP="00E96DD0">
      <w:r>
        <w:rPr>
          <w:noProof/>
        </w:rPr>
        <w:drawing>
          <wp:inline distT="0" distB="0" distL="0" distR="0" wp14:anchorId="55CE6083" wp14:editId="2C53AFAD">
            <wp:extent cx="5170628" cy="2318657"/>
            <wp:effectExtent l="0" t="0" r="0" b="5715"/>
            <wp:docPr id="1297958840" name="Picture 12979588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7958840" name="Picture 1297958840">
                      <a:extLst>
                        <a:ext uri="{C183D7F6-B498-43B3-948B-1728B52AA6E4}">
                          <adec:decorative xmlns:adec="http://schemas.microsoft.com/office/drawing/2017/decorative" val="1"/>
                        </a:ext>
                      </a:extLst>
                    </pic:cNvPr>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236466" cy="2348180"/>
                    </a:xfrm>
                    <a:prstGeom prst="rect">
                      <a:avLst/>
                    </a:prstGeom>
                    <a:noFill/>
                  </pic:spPr>
                </pic:pic>
              </a:graphicData>
            </a:graphic>
          </wp:inline>
        </w:drawing>
      </w:r>
    </w:p>
    <w:p w14:paraId="55620DC4" w14:textId="77777777" w:rsidR="00E96DD0" w:rsidRDefault="00E96DD0" w:rsidP="00E96DD0">
      <w:pPr>
        <w:pStyle w:val="Source"/>
      </w:pPr>
      <w:r w:rsidRPr="008F1CFA">
        <w:t xml:space="preserve">Note: No one aged under 15 or over 89 </w:t>
      </w:r>
      <w:r>
        <w:t xml:space="preserve">years </w:t>
      </w:r>
      <w:r w:rsidRPr="008F1CFA">
        <w:t>received ECT</w:t>
      </w:r>
      <w:r>
        <w:t>.</w:t>
      </w:r>
    </w:p>
    <w:p w14:paraId="2DB6F9E9" w14:textId="77777777" w:rsidR="00E96DD0" w:rsidRPr="00D7747A" w:rsidRDefault="00E96DD0" w:rsidP="00E96DD0">
      <w:pPr>
        <w:pStyle w:val="Source"/>
      </w:pPr>
      <w:r w:rsidRPr="00BC0EF7">
        <w:t>Sources: PRIMHD data (extracted 28 February 2024) and manual data for Health New Zealand MidCentral, Southern, Waikato and Waitematā</w:t>
      </w:r>
      <w:r>
        <w:t>.</w:t>
      </w:r>
    </w:p>
    <w:p w14:paraId="5F9E3416" w14:textId="6CCF5915" w:rsidR="00E96DD0" w:rsidRDefault="00E96DD0" w:rsidP="00E96DD0">
      <w:pPr>
        <w:pStyle w:val="Heading2"/>
      </w:pPr>
      <w:bookmarkStart w:id="763" w:name="_Toc65141638"/>
      <w:bookmarkStart w:id="764" w:name="_Toc75176463"/>
      <w:bookmarkStart w:id="765" w:name="_Toc87429931"/>
      <w:bookmarkStart w:id="766" w:name="_Toc88826979"/>
      <w:bookmarkStart w:id="767" w:name="_Toc115188829"/>
      <w:bookmarkStart w:id="768" w:name="_Toc145394255"/>
      <w:bookmarkStart w:id="769" w:name="_Toc189053925"/>
      <w:bookmarkStart w:id="770" w:name="_Toc189647914"/>
      <w:r w:rsidRPr="00200234">
        <w:t xml:space="preserve">Ethnicity of people treated with </w:t>
      </w:r>
      <w:r w:rsidRPr="003A59E3">
        <w:t>ECT</w:t>
      </w:r>
      <w:bookmarkEnd w:id="763"/>
      <w:bookmarkEnd w:id="764"/>
      <w:bookmarkEnd w:id="765"/>
      <w:bookmarkEnd w:id="766"/>
      <w:bookmarkEnd w:id="767"/>
      <w:bookmarkEnd w:id="768"/>
      <w:bookmarkEnd w:id="769"/>
      <w:bookmarkEnd w:id="770"/>
    </w:p>
    <w:bookmarkStart w:id="771" w:name="_Ref85452367"/>
    <w:bookmarkStart w:id="772" w:name="_Ref141109478"/>
    <w:bookmarkStart w:id="773" w:name="_Toc87430017"/>
    <w:bookmarkStart w:id="774" w:name="_Toc88561374"/>
    <w:bookmarkStart w:id="775" w:name="_Toc115188909"/>
    <w:bookmarkStart w:id="776" w:name="_Toc142314768"/>
    <w:bookmarkStart w:id="777" w:name="_Toc145394331"/>
    <w:bookmarkStart w:id="778" w:name="_Toc189054009"/>
    <w:p w14:paraId="71578415" w14:textId="287219F3" w:rsidR="00E96DD0" w:rsidRDefault="000420E5" w:rsidP="000420E5">
      <w:r>
        <w:fldChar w:fldCharType="begin"/>
      </w:r>
      <w:r>
        <w:instrText xml:space="preserve"> REF _Ref189455094 \h </w:instrText>
      </w:r>
      <w:r>
        <w:fldChar w:fldCharType="separate"/>
      </w:r>
      <w:r w:rsidR="00753BC8" w:rsidRPr="00BC75AF">
        <w:t>Table </w:t>
      </w:r>
      <w:r w:rsidR="00753BC8">
        <w:rPr>
          <w:noProof/>
        </w:rPr>
        <w:t>18</w:t>
      </w:r>
      <w:r>
        <w:fldChar w:fldCharType="end"/>
      </w:r>
      <w:r>
        <w:t xml:space="preserve"> indicates that Asian, Māori and Pacific peoples were less likely to receive ECT than people of other ethnicities, such as New Zealand Europeans. However, the numbers involved are so small that it is not statistically appropriate to compare the percentage of people receiving ECT in each ethnic group with that group’s proportion of the total population.</w:t>
      </w:r>
    </w:p>
    <w:p w14:paraId="6561A527" w14:textId="77777777" w:rsidR="000420E5" w:rsidRDefault="000420E5" w:rsidP="000420E5"/>
    <w:p w14:paraId="14EAAC6D" w14:textId="01F97CDC" w:rsidR="00E96DD0" w:rsidRDefault="00E96DD0" w:rsidP="00E96DD0">
      <w:pPr>
        <w:pStyle w:val="Table"/>
      </w:pPr>
      <w:bookmarkStart w:id="779" w:name="_Ref189455094"/>
      <w:bookmarkStart w:id="780" w:name="_Toc189647994"/>
      <w:r w:rsidRPr="00BC75AF">
        <w:t>Table </w:t>
      </w:r>
      <w:r>
        <w:fldChar w:fldCharType="begin"/>
      </w:r>
      <w:r>
        <w:instrText>SEQ Table \* ARABIC</w:instrText>
      </w:r>
      <w:r>
        <w:fldChar w:fldCharType="separate"/>
      </w:r>
      <w:r w:rsidR="00753BC8">
        <w:rPr>
          <w:noProof/>
        </w:rPr>
        <w:t>18</w:t>
      </w:r>
      <w:r>
        <w:fldChar w:fldCharType="end"/>
      </w:r>
      <w:bookmarkEnd w:id="771"/>
      <w:bookmarkEnd w:id="772"/>
      <w:bookmarkEnd w:id="779"/>
      <w:r w:rsidRPr="00BC75AF">
        <w:t>: Number of people treated with ECT and rate per 100,000 population, by ethnicity, 1</w:t>
      </w:r>
      <w:r>
        <w:t> </w:t>
      </w:r>
      <w:bookmarkEnd w:id="773"/>
      <w:bookmarkEnd w:id="774"/>
      <w:r w:rsidRPr="00BC75AF">
        <w:t>July 202</w:t>
      </w:r>
      <w:r>
        <w:t>2</w:t>
      </w:r>
      <w:r w:rsidRPr="00BC75AF">
        <w:t xml:space="preserve"> to 30 June 202</w:t>
      </w:r>
      <w:r>
        <w:t>3</w:t>
      </w:r>
      <w:bookmarkEnd w:id="775"/>
      <w:bookmarkEnd w:id="776"/>
      <w:bookmarkEnd w:id="777"/>
      <w:bookmarkEnd w:id="778"/>
      <w:bookmarkEnd w:id="780"/>
    </w:p>
    <w:tbl>
      <w:tblPr>
        <w:tblW w:w="8023" w:type="dxa"/>
        <w:tblInd w:w="57" w:type="dxa"/>
        <w:tblBorders>
          <w:top w:val="single" w:sz="4" w:space="0" w:color="A6A6A6" w:themeColor="background1" w:themeShade="A6"/>
          <w:bottom w:val="single" w:sz="4" w:space="0" w:color="A6A6A6" w:themeColor="background1" w:themeShade="A6"/>
          <w:insideH w:val="single" w:sz="4" w:space="0" w:color="A6A6A6" w:themeColor="background1" w:themeShade="A6"/>
        </w:tblBorders>
        <w:tblLayout w:type="fixed"/>
        <w:tblCellMar>
          <w:left w:w="57" w:type="dxa"/>
          <w:right w:w="57" w:type="dxa"/>
        </w:tblCellMar>
        <w:tblLook w:val="04A0" w:firstRow="1" w:lastRow="0" w:firstColumn="1" w:lastColumn="0" w:noHBand="0" w:noVBand="1"/>
      </w:tblPr>
      <w:tblGrid>
        <w:gridCol w:w="2674"/>
        <w:gridCol w:w="2674"/>
        <w:gridCol w:w="2675"/>
      </w:tblGrid>
      <w:tr w:rsidR="00E96DD0" w:rsidRPr="004E7454" w14:paraId="033F861E" w14:textId="77777777" w:rsidTr="00E96DD0">
        <w:trPr>
          <w:cantSplit/>
          <w:trHeight w:val="351"/>
        </w:trPr>
        <w:tc>
          <w:tcPr>
            <w:tcW w:w="2674" w:type="dxa"/>
            <w:tcBorders>
              <w:top w:val="nil"/>
              <w:bottom w:val="nil"/>
            </w:tcBorders>
            <w:shd w:val="clear" w:color="auto" w:fill="D9D9D9" w:themeFill="background1" w:themeFillShade="D9"/>
          </w:tcPr>
          <w:p w14:paraId="09E58E5E" w14:textId="77777777" w:rsidR="00E96DD0" w:rsidRPr="004E7454" w:rsidRDefault="00E96DD0" w:rsidP="00E96DD0">
            <w:pPr>
              <w:pStyle w:val="TableText"/>
              <w:keepNext/>
              <w:rPr>
                <w:b/>
              </w:rPr>
            </w:pPr>
            <w:r w:rsidRPr="004E7454">
              <w:rPr>
                <w:b/>
              </w:rPr>
              <w:t>Ethnicity</w:t>
            </w:r>
          </w:p>
        </w:tc>
        <w:tc>
          <w:tcPr>
            <w:tcW w:w="2674" w:type="dxa"/>
            <w:tcBorders>
              <w:top w:val="nil"/>
              <w:bottom w:val="nil"/>
            </w:tcBorders>
            <w:shd w:val="clear" w:color="auto" w:fill="D9D9D9" w:themeFill="background1" w:themeFillShade="D9"/>
          </w:tcPr>
          <w:p w14:paraId="46936B8A" w14:textId="77777777" w:rsidR="00E96DD0" w:rsidRPr="004E7454" w:rsidRDefault="00E96DD0" w:rsidP="00E96DD0">
            <w:pPr>
              <w:pStyle w:val="TableText"/>
              <w:keepNext/>
              <w:jc w:val="center"/>
              <w:rPr>
                <w:b/>
              </w:rPr>
            </w:pPr>
            <w:r w:rsidRPr="004E7454">
              <w:rPr>
                <w:b/>
              </w:rPr>
              <w:t>Number</w:t>
            </w:r>
          </w:p>
        </w:tc>
        <w:tc>
          <w:tcPr>
            <w:tcW w:w="2675" w:type="dxa"/>
            <w:tcBorders>
              <w:top w:val="nil"/>
              <w:bottom w:val="nil"/>
            </w:tcBorders>
            <w:shd w:val="clear" w:color="auto" w:fill="D9D9D9" w:themeFill="background1" w:themeFillShade="D9"/>
          </w:tcPr>
          <w:p w14:paraId="20915A3C" w14:textId="77777777" w:rsidR="00E96DD0" w:rsidRPr="004E7454" w:rsidRDefault="00E96DD0" w:rsidP="00E96DD0">
            <w:pPr>
              <w:pStyle w:val="TableText"/>
              <w:keepNext/>
              <w:jc w:val="center"/>
              <w:rPr>
                <w:b/>
              </w:rPr>
            </w:pPr>
            <w:r w:rsidRPr="004E7454">
              <w:rPr>
                <w:b/>
              </w:rPr>
              <w:t>Rate per 100,000</w:t>
            </w:r>
          </w:p>
        </w:tc>
      </w:tr>
      <w:tr w:rsidR="00E96DD0" w:rsidRPr="004E7454" w14:paraId="715F2FB9" w14:textId="77777777" w:rsidTr="00E96DD0">
        <w:trPr>
          <w:cantSplit/>
          <w:trHeight w:val="352"/>
        </w:trPr>
        <w:tc>
          <w:tcPr>
            <w:tcW w:w="2674" w:type="dxa"/>
            <w:tcBorders>
              <w:top w:val="nil"/>
            </w:tcBorders>
          </w:tcPr>
          <w:p w14:paraId="3708E9F7" w14:textId="77777777" w:rsidR="00E96DD0" w:rsidRPr="004E7454" w:rsidRDefault="00E96DD0" w:rsidP="00E96DD0">
            <w:pPr>
              <w:pStyle w:val="TableText"/>
              <w:keepNext/>
            </w:pPr>
            <w:r w:rsidRPr="004E7454">
              <w:t>Māori</w:t>
            </w:r>
          </w:p>
        </w:tc>
        <w:tc>
          <w:tcPr>
            <w:tcW w:w="2674" w:type="dxa"/>
            <w:tcBorders>
              <w:top w:val="nil"/>
            </w:tcBorders>
          </w:tcPr>
          <w:p w14:paraId="6C0483FE" w14:textId="77777777" w:rsidR="00E96DD0" w:rsidRPr="004E7454" w:rsidRDefault="00E96DD0" w:rsidP="00E96DD0">
            <w:pPr>
              <w:pStyle w:val="TableText"/>
              <w:keepNext/>
              <w:tabs>
                <w:tab w:val="decimal" w:pos="709"/>
              </w:tabs>
              <w:jc w:val="center"/>
            </w:pPr>
            <w:r w:rsidRPr="00501296">
              <w:t>36</w:t>
            </w:r>
          </w:p>
        </w:tc>
        <w:tc>
          <w:tcPr>
            <w:tcW w:w="2675" w:type="dxa"/>
            <w:tcBorders>
              <w:top w:val="nil"/>
            </w:tcBorders>
          </w:tcPr>
          <w:p w14:paraId="0448A143" w14:textId="77777777" w:rsidR="00E96DD0" w:rsidRPr="004E7454" w:rsidRDefault="00E96DD0" w:rsidP="00E96DD0">
            <w:pPr>
              <w:pStyle w:val="TableText"/>
              <w:keepNext/>
              <w:tabs>
                <w:tab w:val="decimal" w:pos="709"/>
              </w:tabs>
              <w:jc w:val="center"/>
            </w:pPr>
            <w:r w:rsidRPr="00501296">
              <w:t>4.0</w:t>
            </w:r>
          </w:p>
        </w:tc>
      </w:tr>
      <w:tr w:rsidR="00E96DD0" w:rsidRPr="004E7454" w14:paraId="61F09B5E" w14:textId="77777777" w:rsidTr="00E96DD0">
        <w:trPr>
          <w:cantSplit/>
          <w:trHeight w:val="351"/>
        </w:trPr>
        <w:tc>
          <w:tcPr>
            <w:tcW w:w="2674" w:type="dxa"/>
          </w:tcPr>
          <w:p w14:paraId="6BB6C8BC" w14:textId="77777777" w:rsidR="00E96DD0" w:rsidRPr="004E7454" w:rsidRDefault="00E96DD0" w:rsidP="00E96DD0">
            <w:pPr>
              <w:pStyle w:val="TableText"/>
            </w:pPr>
            <w:r w:rsidRPr="004E7454">
              <w:t>Pacific peoples</w:t>
            </w:r>
          </w:p>
        </w:tc>
        <w:tc>
          <w:tcPr>
            <w:tcW w:w="2674" w:type="dxa"/>
          </w:tcPr>
          <w:p w14:paraId="5E3FD04D" w14:textId="77777777" w:rsidR="00E96DD0" w:rsidRPr="004E7454" w:rsidRDefault="00E96DD0" w:rsidP="00E96DD0">
            <w:pPr>
              <w:pStyle w:val="TableText"/>
              <w:tabs>
                <w:tab w:val="decimal" w:pos="709"/>
              </w:tabs>
              <w:jc w:val="center"/>
            </w:pPr>
            <w:r w:rsidRPr="00501296">
              <w:t>10</w:t>
            </w:r>
          </w:p>
        </w:tc>
        <w:tc>
          <w:tcPr>
            <w:tcW w:w="2675" w:type="dxa"/>
          </w:tcPr>
          <w:p w14:paraId="51270B7D" w14:textId="77777777" w:rsidR="00E96DD0" w:rsidRPr="004E7454" w:rsidRDefault="00E96DD0" w:rsidP="00E96DD0">
            <w:pPr>
              <w:pStyle w:val="TableText"/>
              <w:tabs>
                <w:tab w:val="decimal" w:pos="709"/>
              </w:tabs>
              <w:jc w:val="center"/>
            </w:pPr>
            <w:r w:rsidRPr="00501296">
              <w:t>2.7</w:t>
            </w:r>
          </w:p>
        </w:tc>
      </w:tr>
      <w:tr w:rsidR="00E96DD0" w:rsidRPr="004E7454" w14:paraId="7F130300" w14:textId="77777777" w:rsidTr="00E96DD0">
        <w:trPr>
          <w:cantSplit/>
          <w:trHeight w:val="351"/>
        </w:trPr>
        <w:tc>
          <w:tcPr>
            <w:tcW w:w="2674" w:type="dxa"/>
          </w:tcPr>
          <w:p w14:paraId="668540A2" w14:textId="77777777" w:rsidR="00E96DD0" w:rsidRPr="004E7454" w:rsidRDefault="00E96DD0" w:rsidP="00E96DD0">
            <w:pPr>
              <w:pStyle w:val="TableText"/>
            </w:pPr>
            <w:r>
              <w:t>Asian</w:t>
            </w:r>
          </w:p>
        </w:tc>
        <w:tc>
          <w:tcPr>
            <w:tcW w:w="2674" w:type="dxa"/>
          </w:tcPr>
          <w:p w14:paraId="210D7EBD" w14:textId="77777777" w:rsidR="00E96DD0" w:rsidRPr="00501296" w:rsidRDefault="00E96DD0" w:rsidP="00E96DD0">
            <w:pPr>
              <w:pStyle w:val="TableText"/>
              <w:tabs>
                <w:tab w:val="decimal" w:pos="709"/>
              </w:tabs>
              <w:jc w:val="center"/>
            </w:pPr>
            <w:r>
              <w:t>20</w:t>
            </w:r>
          </w:p>
        </w:tc>
        <w:tc>
          <w:tcPr>
            <w:tcW w:w="2675" w:type="dxa"/>
          </w:tcPr>
          <w:p w14:paraId="1DC3E41E" w14:textId="77777777" w:rsidR="00E96DD0" w:rsidRPr="00501296" w:rsidRDefault="00E96DD0" w:rsidP="00E96DD0">
            <w:pPr>
              <w:pStyle w:val="TableText"/>
              <w:tabs>
                <w:tab w:val="decimal" w:pos="709"/>
              </w:tabs>
              <w:jc w:val="center"/>
            </w:pPr>
            <w:r>
              <w:t>2.2</w:t>
            </w:r>
          </w:p>
        </w:tc>
      </w:tr>
      <w:tr w:rsidR="00E96DD0" w:rsidRPr="004E7454" w14:paraId="466DB15C" w14:textId="77777777" w:rsidTr="00E96DD0">
        <w:trPr>
          <w:cantSplit/>
          <w:trHeight w:val="351"/>
        </w:trPr>
        <w:tc>
          <w:tcPr>
            <w:tcW w:w="2674" w:type="dxa"/>
          </w:tcPr>
          <w:p w14:paraId="1767085F" w14:textId="77777777" w:rsidR="00E96DD0" w:rsidRPr="004E7454" w:rsidRDefault="00E96DD0" w:rsidP="00E96DD0">
            <w:pPr>
              <w:pStyle w:val="TableText"/>
            </w:pPr>
            <w:r w:rsidRPr="004E7454">
              <w:t>Other</w:t>
            </w:r>
          </w:p>
        </w:tc>
        <w:tc>
          <w:tcPr>
            <w:tcW w:w="2674" w:type="dxa"/>
          </w:tcPr>
          <w:p w14:paraId="66B8D13E" w14:textId="77777777" w:rsidR="00E96DD0" w:rsidRPr="004E7454" w:rsidRDefault="00E96DD0" w:rsidP="00E96DD0">
            <w:pPr>
              <w:pStyle w:val="TableText"/>
              <w:tabs>
                <w:tab w:val="decimal" w:pos="709"/>
              </w:tabs>
              <w:jc w:val="center"/>
            </w:pPr>
            <w:r>
              <w:t>198</w:t>
            </w:r>
          </w:p>
        </w:tc>
        <w:tc>
          <w:tcPr>
            <w:tcW w:w="2675" w:type="dxa"/>
          </w:tcPr>
          <w:p w14:paraId="5B402238" w14:textId="77777777" w:rsidR="00E96DD0" w:rsidRPr="004E7454" w:rsidRDefault="00E96DD0" w:rsidP="00E96DD0">
            <w:pPr>
              <w:pStyle w:val="TableText"/>
              <w:tabs>
                <w:tab w:val="decimal" w:pos="709"/>
              </w:tabs>
              <w:jc w:val="center"/>
            </w:pPr>
            <w:r>
              <w:t>6.5</w:t>
            </w:r>
          </w:p>
        </w:tc>
      </w:tr>
      <w:tr w:rsidR="00E96DD0" w:rsidRPr="004E7454" w14:paraId="708601EB" w14:textId="77777777" w:rsidTr="00E96DD0">
        <w:trPr>
          <w:cantSplit/>
          <w:trHeight w:val="352"/>
        </w:trPr>
        <w:tc>
          <w:tcPr>
            <w:tcW w:w="2674" w:type="dxa"/>
          </w:tcPr>
          <w:p w14:paraId="7939E94A" w14:textId="77777777" w:rsidR="00E96DD0" w:rsidRPr="004E7454" w:rsidRDefault="00E96DD0" w:rsidP="00E96DD0">
            <w:pPr>
              <w:pStyle w:val="TableText"/>
              <w:rPr>
                <w:b/>
              </w:rPr>
            </w:pPr>
            <w:r>
              <w:rPr>
                <w:b/>
              </w:rPr>
              <w:t>All</w:t>
            </w:r>
          </w:p>
        </w:tc>
        <w:tc>
          <w:tcPr>
            <w:tcW w:w="2674" w:type="dxa"/>
          </w:tcPr>
          <w:p w14:paraId="3DB7B80A" w14:textId="77777777" w:rsidR="00E96DD0" w:rsidRPr="004E7454" w:rsidRDefault="00E96DD0" w:rsidP="00E96DD0">
            <w:pPr>
              <w:pStyle w:val="TableText"/>
              <w:tabs>
                <w:tab w:val="decimal" w:pos="709"/>
              </w:tabs>
              <w:jc w:val="center"/>
              <w:rPr>
                <w:b/>
              </w:rPr>
            </w:pPr>
            <w:r w:rsidRPr="004E7454">
              <w:rPr>
                <w:b/>
              </w:rPr>
              <w:t>2</w:t>
            </w:r>
            <w:r w:rsidRPr="00501296">
              <w:rPr>
                <w:b/>
              </w:rPr>
              <w:t>64</w:t>
            </w:r>
          </w:p>
        </w:tc>
        <w:tc>
          <w:tcPr>
            <w:tcW w:w="2675" w:type="dxa"/>
          </w:tcPr>
          <w:p w14:paraId="4C1C30B9" w14:textId="77777777" w:rsidR="00E96DD0" w:rsidRPr="004E7454" w:rsidRDefault="00E96DD0" w:rsidP="00E96DD0">
            <w:pPr>
              <w:pStyle w:val="TableText"/>
              <w:tabs>
                <w:tab w:val="decimal" w:pos="709"/>
              </w:tabs>
              <w:jc w:val="center"/>
              <w:rPr>
                <w:b/>
              </w:rPr>
            </w:pPr>
            <w:r w:rsidRPr="004E7454">
              <w:rPr>
                <w:b/>
              </w:rPr>
              <w:t>5.0</w:t>
            </w:r>
          </w:p>
        </w:tc>
      </w:tr>
    </w:tbl>
    <w:p w14:paraId="600496F8" w14:textId="77777777" w:rsidR="00E96DD0" w:rsidRPr="004E7454" w:rsidRDefault="00E96DD0" w:rsidP="00E96DD0">
      <w:pPr>
        <w:pStyle w:val="Source"/>
      </w:pPr>
      <w:r w:rsidRPr="00BC0EF7">
        <w:t>Sources: PRIMHD data (extracted 28 February 2024) and manual data for Health New Zealand MidCentral, Southern, Waikato and Waitematā</w:t>
      </w:r>
      <w:r>
        <w:t>.</w:t>
      </w:r>
    </w:p>
    <w:p w14:paraId="0F8839AB" w14:textId="77777777" w:rsidR="00E96DD0" w:rsidRPr="00E96DD0" w:rsidRDefault="00E96DD0" w:rsidP="00E96DD0">
      <w:pPr>
        <w:pStyle w:val="Heading2"/>
      </w:pPr>
      <w:bookmarkStart w:id="781" w:name="_Toc65141639"/>
      <w:bookmarkStart w:id="782" w:name="_Toc75176464"/>
      <w:bookmarkStart w:id="783" w:name="_Toc87429932"/>
      <w:bookmarkStart w:id="784" w:name="_Toc88826980"/>
      <w:bookmarkStart w:id="785" w:name="_Toc115188830"/>
      <w:bookmarkStart w:id="786" w:name="_Toc145394256"/>
      <w:bookmarkStart w:id="787" w:name="_Toc189053926"/>
      <w:bookmarkStart w:id="788" w:name="_Toc189647915"/>
      <w:r w:rsidRPr="00E96DD0">
        <w:t>Consent to ECT treatment</w:t>
      </w:r>
      <w:bookmarkEnd w:id="781"/>
      <w:bookmarkEnd w:id="782"/>
      <w:bookmarkEnd w:id="783"/>
      <w:bookmarkEnd w:id="784"/>
      <w:bookmarkEnd w:id="785"/>
      <w:bookmarkEnd w:id="786"/>
      <w:bookmarkEnd w:id="787"/>
      <w:bookmarkEnd w:id="788"/>
    </w:p>
    <w:p w14:paraId="78191D6C" w14:textId="77777777" w:rsidR="00E96DD0" w:rsidRPr="00200234" w:rsidRDefault="00E96DD0" w:rsidP="00E96DD0">
      <w:r w:rsidRPr="00200234">
        <w:t>Under the Mental Health Act, a person can be treated with ECT if they consent in writing or if an independent psychiatrist appointed by the Mental Health Review Tribunal</w:t>
      </w:r>
      <w:r w:rsidRPr="0048119A">
        <w:rPr>
          <w:rStyle w:val="FootnoteReference"/>
        </w:rPr>
        <w:footnoteReference w:id="24"/>
      </w:r>
      <w:r w:rsidRPr="00200234">
        <w:t xml:space="preserve"> considers this treatment to be in the person</w:t>
      </w:r>
      <w:r>
        <w:t>’</w:t>
      </w:r>
      <w:r w:rsidRPr="00200234">
        <w:t>s interests. An independent psychiatrist cannot be the patient</w:t>
      </w:r>
      <w:r>
        <w:t>’</w:t>
      </w:r>
      <w:r w:rsidRPr="00200234">
        <w:t>s responsible clinician or part of the patient</w:t>
      </w:r>
      <w:r>
        <w:t>’</w:t>
      </w:r>
      <w:r w:rsidRPr="00200234">
        <w:t>s clinical team.</w:t>
      </w:r>
    </w:p>
    <w:p w14:paraId="768AC34C" w14:textId="77777777" w:rsidR="00E96DD0" w:rsidRPr="00200234" w:rsidRDefault="00E96DD0" w:rsidP="00E96DD0"/>
    <w:p w14:paraId="4C932A54" w14:textId="38AA7956" w:rsidR="00E96DD0" w:rsidRDefault="00E96DD0" w:rsidP="00E96DD0">
      <w:pPr>
        <w:rPr>
          <w:rFonts w:cs="Segoe UI"/>
        </w:rPr>
      </w:pPr>
      <w:r>
        <w:t>In</w:t>
      </w:r>
      <w:r w:rsidRPr="00190AFB">
        <w:t xml:space="preserve"> 2022</w:t>
      </w:r>
      <w:r>
        <w:t>/23</w:t>
      </w:r>
      <w:r w:rsidRPr="00190AFB">
        <w:t>, a total of 1,091 ECT</w:t>
      </w:r>
      <w:r w:rsidRPr="00A26654">
        <w:t xml:space="preserve"> treatments were administered to </w:t>
      </w:r>
      <w:r w:rsidRPr="00190AFB">
        <w:t>11</w:t>
      </w:r>
      <w:r>
        <w:t>3</w:t>
      </w:r>
      <w:r w:rsidRPr="00A26654">
        <w:t xml:space="preserve"> people who did not have capacity to consent. In all of these cases, an independent psychiatrist</w:t>
      </w:r>
      <w:r>
        <w:t xml:space="preserve"> provided</w:t>
      </w:r>
      <w:r w:rsidRPr="00C20202">
        <w:t xml:space="preserve"> </w:t>
      </w:r>
      <w:r w:rsidRPr="00A26654">
        <w:t>a second opinion</w:t>
      </w:r>
      <w:r>
        <w:t xml:space="preserve">. </w:t>
      </w:r>
      <w:r>
        <w:rPr>
          <w:rFonts w:eastAsia="Segoe UI"/>
        </w:rPr>
        <w:t xml:space="preserve">No treatments were </w:t>
      </w:r>
      <w:r>
        <w:t xml:space="preserve">reported to be administered to people who had capacity but refused to consent </w:t>
      </w:r>
      <w:r w:rsidR="000420E5">
        <w:fldChar w:fldCharType="begin"/>
      </w:r>
      <w:r w:rsidR="000420E5">
        <w:instrText xml:space="preserve"> REF _Ref189455137 \h </w:instrText>
      </w:r>
      <w:r w:rsidR="000420E5">
        <w:fldChar w:fldCharType="separate"/>
      </w:r>
      <w:r w:rsidR="00753BC8">
        <w:t>Table </w:t>
      </w:r>
      <w:r w:rsidR="00753BC8">
        <w:rPr>
          <w:noProof/>
        </w:rPr>
        <w:t>19</w:t>
      </w:r>
      <w:r w:rsidR="000420E5">
        <w:fldChar w:fldCharType="end"/>
      </w:r>
      <w:r>
        <w:t xml:space="preserve"> </w:t>
      </w:r>
      <w:r w:rsidRPr="00200234">
        <w:rPr>
          <w:rFonts w:cs="Segoe UI"/>
        </w:rPr>
        <w:t>show</w:t>
      </w:r>
      <w:r>
        <w:rPr>
          <w:rFonts w:cs="Segoe UI"/>
        </w:rPr>
        <w:t>s</w:t>
      </w:r>
      <w:r w:rsidRPr="00200234">
        <w:rPr>
          <w:rFonts w:cs="Segoe UI"/>
        </w:rPr>
        <w:t xml:space="preserve"> the number of treatments administered without consent during </w:t>
      </w:r>
      <w:r>
        <w:rPr>
          <w:rFonts w:cs="Segoe UI"/>
        </w:rPr>
        <w:t>this period.</w:t>
      </w:r>
      <w:bookmarkStart w:id="789" w:name="_Ref141109499"/>
      <w:bookmarkStart w:id="790" w:name="_Toc142314769"/>
      <w:bookmarkStart w:id="791" w:name="_Toc145394332"/>
    </w:p>
    <w:p w14:paraId="44CBB8F3" w14:textId="77777777" w:rsidR="00E96DD0" w:rsidRDefault="00E96DD0" w:rsidP="00E96DD0"/>
    <w:p w14:paraId="1E1D2ECC" w14:textId="77777777" w:rsidR="00E96DD0" w:rsidRDefault="00E96DD0" w:rsidP="00E96DD0">
      <w:pPr>
        <w:pStyle w:val="Table"/>
        <w:sectPr w:rsidR="00E96DD0" w:rsidSect="00753A1F">
          <w:pgSz w:w="11907" w:h="16834" w:code="9"/>
          <w:pgMar w:top="1418" w:right="1701" w:bottom="1134" w:left="1843" w:header="284" w:footer="425" w:gutter="284"/>
          <w:cols w:space="720"/>
        </w:sectPr>
      </w:pPr>
      <w:bookmarkStart w:id="792" w:name="_Toc189054010"/>
    </w:p>
    <w:p w14:paraId="56831359" w14:textId="227753CD" w:rsidR="00E96DD0" w:rsidRDefault="00E96DD0" w:rsidP="00E96DD0">
      <w:pPr>
        <w:pStyle w:val="Table"/>
      </w:pPr>
      <w:bookmarkStart w:id="793" w:name="_Ref189455137"/>
      <w:bookmarkStart w:id="794" w:name="_Toc189647995"/>
      <w:r>
        <w:t>Table </w:t>
      </w:r>
      <w:r>
        <w:fldChar w:fldCharType="begin"/>
      </w:r>
      <w:r>
        <w:instrText>SEQ Table \* ARABIC</w:instrText>
      </w:r>
      <w:r>
        <w:fldChar w:fldCharType="separate"/>
      </w:r>
      <w:r w:rsidR="00753BC8">
        <w:rPr>
          <w:noProof/>
        </w:rPr>
        <w:t>19</w:t>
      </w:r>
      <w:r>
        <w:fldChar w:fldCharType="end"/>
      </w:r>
      <w:bookmarkEnd w:id="789"/>
      <w:bookmarkEnd w:id="793"/>
      <w:r w:rsidRPr="00B040CF">
        <w:t xml:space="preserve">: </w:t>
      </w:r>
      <w:r w:rsidRPr="009C189E">
        <w:t xml:space="preserve">ECT administered under second opinion without consent, by </w:t>
      </w:r>
      <w:r>
        <w:t>region</w:t>
      </w:r>
      <w:r w:rsidRPr="009C189E">
        <w:t xml:space="preserve"> of service, 1 July 202</w:t>
      </w:r>
      <w:r>
        <w:t>2</w:t>
      </w:r>
      <w:r w:rsidRPr="009C189E">
        <w:t xml:space="preserve"> to 30 June 202</w:t>
      </w:r>
      <w:bookmarkEnd w:id="790"/>
      <w:bookmarkEnd w:id="791"/>
      <w:r>
        <w:t>3</w:t>
      </w:r>
      <w:bookmarkEnd w:id="792"/>
      <w:bookmarkEnd w:id="794"/>
    </w:p>
    <w:tbl>
      <w:tblPr>
        <w:tblW w:w="8899" w:type="dxa"/>
        <w:tblInd w:w="57" w:type="dxa"/>
        <w:tblBorders>
          <w:top w:val="single" w:sz="4" w:space="0" w:color="A6A6A6" w:themeColor="background1" w:themeShade="A6"/>
          <w:bottom w:val="single" w:sz="4" w:space="0" w:color="A6A6A6" w:themeColor="background1" w:themeShade="A6"/>
          <w:insideH w:val="single" w:sz="6" w:space="0" w:color="A6A6A6" w:themeColor="background1" w:themeShade="A6"/>
        </w:tblBorders>
        <w:tblLayout w:type="fixed"/>
        <w:tblCellMar>
          <w:left w:w="57" w:type="dxa"/>
          <w:right w:w="57" w:type="dxa"/>
        </w:tblCellMar>
        <w:tblLook w:val="01E0" w:firstRow="1" w:lastRow="1" w:firstColumn="1" w:lastColumn="1" w:noHBand="0" w:noVBand="0"/>
      </w:tblPr>
      <w:tblGrid>
        <w:gridCol w:w="2408"/>
        <w:gridCol w:w="1622"/>
        <w:gridCol w:w="1623"/>
        <w:gridCol w:w="1623"/>
        <w:gridCol w:w="1623"/>
      </w:tblGrid>
      <w:tr w:rsidR="00E96DD0" w:rsidRPr="0048119A" w14:paraId="5CEBE704" w14:textId="77777777" w:rsidTr="00E96DD0">
        <w:trPr>
          <w:cantSplit/>
        </w:trPr>
        <w:tc>
          <w:tcPr>
            <w:tcW w:w="2408" w:type="dxa"/>
            <w:vMerge w:val="restart"/>
            <w:tcBorders>
              <w:top w:val="nil"/>
              <w:bottom w:val="single" w:sz="6" w:space="0" w:color="A6A6A6" w:themeColor="background1" w:themeShade="A6"/>
              <w:right w:val="nil"/>
            </w:tcBorders>
            <w:shd w:val="clear" w:color="auto" w:fill="D9D9D9" w:themeFill="background1" w:themeFillShade="D9"/>
          </w:tcPr>
          <w:p w14:paraId="7D8A2BB3" w14:textId="77777777" w:rsidR="00E96DD0" w:rsidRPr="0048119A" w:rsidRDefault="00E96DD0" w:rsidP="00E96DD0">
            <w:pPr>
              <w:pStyle w:val="TableText"/>
              <w:keepNext/>
              <w:rPr>
                <w:b/>
              </w:rPr>
            </w:pPr>
            <w:r>
              <w:rPr>
                <w:b/>
              </w:rPr>
              <w:t>Region of service</w:t>
            </w:r>
          </w:p>
        </w:tc>
        <w:tc>
          <w:tcPr>
            <w:tcW w:w="3245" w:type="dxa"/>
            <w:gridSpan w:val="2"/>
            <w:tcBorders>
              <w:top w:val="nil"/>
              <w:left w:val="nil"/>
              <w:bottom w:val="single" w:sz="8" w:space="0" w:color="A6A6A6" w:themeColor="background1" w:themeShade="A6"/>
              <w:right w:val="nil"/>
            </w:tcBorders>
            <w:shd w:val="clear" w:color="auto" w:fill="D9D9D9" w:themeFill="background1" w:themeFillShade="D9"/>
          </w:tcPr>
          <w:p w14:paraId="38BB6139" w14:textId="77777777" w:rsidR="00E96DD0" w:rsidRPr="0048119A" w:rsidRDefault="00E96DD0" w:rsidP="00E96DD0">
            <w:pPr>
              <w:pStyle w:val="TableText"/>
              <w:keepNext/>
              <w:jc w:val="center"/>
              <w:rPr>
                <w:b/>
              </w:rPr>
            </w:pPr>
            <w:r w:rsidRPr="0048119A">
              <w:rPr>
                <w:b/>
              </w:rPr>
              <w:t>Second opinion where patient did not have the capacity to consent</w:t>
            </w:r>
          </w:p>
        </w:tc>
        <w:tc>
          <w:tcPr>
            <w:tcW w:w="3246" w:type="dxa"/>
            <w:gridSpan w:val="2"/>
            <w:tcBorders>
              <w:top w:val="nil"/>
              <w:left w:val="nil"/>
              <w:bottom w:val="single" w:sz="8" w:space="0" w:color="A6A6A6" w:themeColor="background1" w:themeShade="A6"/>
              <w:right w:val="nil"/>
            </w:tcBorders>
            <w:shd w:val="clear" w:color="auto" w:fill="D9D9D9" w:themeFill="background1" w:themeFillShade="D9"/>
          </w:tcPr>
          <w:p w14:paraId="078D9077" w14:textId="77777777" w:rsidR="00E96DD0" w:rsidRPr="0048119A" w:rsidRDefault="00E96DD0" w:rsidP="00E96DD0">
            <w:pPr>
              <w:pStyle w:val="TableText"/>
              <w:keepNext/>
              <w:jc w:val="center"/>
              <w:rPr>
                <w:b/>
              </w:rPr>
            </w:pPr>
            <w:r w:rsidRPr="0048119A">
              <w:rPr>
                <w:b/>
              </w:rPr>
              <w:t>Second opinion where patient had the capacity but refused to consent</w:t>
            </w:r>
          </w:p>
        </w:tc>
      </w:tr>
      <w:tr w:rsidR="00E96DD0" w:rsidRPr="0048119A" w14:paraId="05785F2B" w14:textId="77777777" w:rsidTr="00E96DD0">
        <w:trPr>
          <w:cantSplit/>
        </w:trPr>
        <w:tc>
          <w:tcPr>
            <w:tcW w:w="2408" w:type="dxa"/>
            <w:vMerge/>
          </w:tcPr>
          <w:p w14:paraId="610A70B9" w14:textId="77777777" w:rsidR="00E96DD0" w:rsidRPr="0048119A" w:rsidRDefault="00E96DD0" w:rsidP="00E96DD0">
            <w:pPr>
              <w:pStyle w:val="TableText"/>
              <w:rPr>
                <w:b/>
              </w:rPr>
            </w:pPr>
          </w:p>
        </w:tc>
        <w:tc>
          <w:tcPr>
            <w:tcW w:w="1622" w:type="dxa"/>
            <w:tcBorders>
              <w:top w:val="single" w:sz="8" w:space="0" w:color="A6A6A6" w:themeColor="background1" w:themeShade="A6"/>
              <w:left w:val="nil"/>
              <w:bottom w:val="single" w:sz="8" w:space="0" w:color="A6A6A6" w:themeColor="background1" w:themeShade="A6"/>
              <w:right w:val="nil"/>
            </w:tcBorders>
            <w:shd w:val="clear" w:color="auto" w:fill="D9D9D9" w:themeFill="background1" w:themeFillShade="D9"/>
          </w:tcPr>
          <w:p w14:paraId="6893551A" w14:textId="77777777" w:rsidR="00E96DD0" w:rsidRPr="0048119A" w:rsidRDefault="00E96DD0" w:rsidP="00E96DD0">
            <w:pPr>
              <w:pStyle w:val="TableText"/>
              <w:spacing w:before="0"/>
              <w:jc w:val="center"/>
              <w:rPr>
                <w:b/>
              </w:rPr>
            </w:pPr>
            <w:r w:rsidRPr="0048119A">
              <w:rPr>
                <w:b/>
              </w:rPr>
              <w:t>Number of people given ECT</w:t>
            </w:r>
          </w:p>
        </w:tc>
        <w:tc>
          <w:tcPr>
            <w:tcW w:w="1623" w:type="dxa"/>
            <w:tcBorders>
              <w:top w:val="single" w:sz="8" w:space="0" w:color="A6A6A6" w:themeColor="background1" w:themeShade="A6"/>
              <w:left w:val="nil"/>
              <w:bottom w:val="single" w:sz="8" w:space="0" w:color="A6A6A6" w:themeColor="background1" w:themeShade="A6"/>
              <w:right w:val="nil"/>
            </w:tcBorders>
            <w:shd w:val="clear" w:color="auto" w:fill="D9D9D9" w:themeFill="background1" w:themeFillShade="D9"/>
          </w:tcPr>
          <w:p w14:paraId="7734B5DC" w14:textId="77777777" w:rsidR="00E96DD0" w:rsidRPr="0048119A" w:rsidRDefault="00E96DD0" w:rsidP="00E96DD0">
            <w:pPr>
              <w:pStyle w:val="TableText"/>
              <w:spacing w:before="0"/>
              <w:jc w:val="center"/>
              <w:rPr>
                <w:b/>
              </w:rPr>
            </w:pPr>
            <w:r w:rsidRPr="0048119A">
              <w:rPr>
                <w:b/>
              </w:rPr>
              <w:t>Number of treatments administered</w:t>
            </w:r>
          </w:p>
        </w:tc>
        <w:tc>
          <w:tcPr>
            <w:tcW w:w="1623" w:type="dxa"/>
            <w:tcBorders>
              <w:top w:val="single" w:sz="8" w:space="0" w:color="A6A6A6" w:themeColor="background1" w:themeShade="A6"/>
              <w:left w:val="nil"/>
              <w:bottom w:val="single" w:sz="8" w:space="0" w:color="A6A6A6" w:themeColor="background1" w:themeShade="A6"/>
              <w:right w:val="nil"/>
            </w:tcBorders>
            <w:shd w:val="clear" w:color="auto" w:fill="D9D9D9" w:themeFill="background1" w:themeFillShade="D9"/>
          </w:tcPr>
          <w:p w14:paraId="3C31BCF2" w14:textId="77777777" w:rsidR="00E96DD0" w:rsidRPr="0048119A" w:rsidRDefault="00E96DD0" w:rsidP="00E96DD0">
            <w:pPr>
              <w:pStyle w:val="TableText"/>
              <w:spacing w:before="0"/>
              <w:jc w:val="center"/>
              <w:rPr>
                <w:b/>
              </w:rPr>
            </w:pPr>
            <w:r w:rsidRPr="0048119A">
              <w:rPr>
                <w:b/>
              </w:rPr>
              <w:t>Number of people given ECT</w:t>
            </w:r>
          </w:p>
        </w:tc>
        <w:tc>
          <w:tcPr>
            <w:tcW w:w="1623" w:type="dxa"/>
            <w:tcBorders>
              <w:top w:val="single" w:sz="8" w:space="0" w:color="A6A6A6" w:themeColor="background1" w:themeShade="A6"/>
              <w:left w:val="nil"/>
              <w:bottom w:val="single" w:sz="8" w:space="0" w:color="A6A6A6" w:themeColor="background1" w:themeShade="A6"/>
              <w:right w:val="nil"/>
            </w:tcBorders>
            <w:shd w:val="clear" w:color="auto" w:fill="D9D9D9" w:themeFill="background1" w:themeFillShade="D9"/>
          </w:tcPr>
          <w:p w14:paraId="5B2A6BDA" w14:textId="77777777" w:rsidR="00E96DD0" w:rsidRPr="0048119A" w:rsidRDefault="00E96DD0" w:rsidP="00E96DD0">
            <w:pPr>
              <w:pStyle w:val="TableText"/>
              <w:spacing w:before="0"/>
              <w:jc w:val="center"/>
              <w:rPr>
                <w:b/>
              </w:rPr>
            </w:pPr>
            <w:r w:rsidRPr="0048119A">
              <w:rPr>
                <w:b/>
              </w:rPr>
              <w:t>Number of treatments administered</w:t>
            </w:r>
          </w:p>
        </w:tc>
      </w:tr>
      <w:tr w:rsidR="00E96DD0" w:rsidRPr="00200234" w14:paraId="6A445315" w14:textId="77777777" w:rsidTr="00E96DD0">
        <w:trPr>
          <w:cantSplit/>
          <w:trHeight w:val="300"/>
        </w:trPr>
        <w:tc>
          <w:tcPr>
            <w:tcW w:w="2408" w:type="dxa"/>
            <w:tcBorders>
              <w:top w:val="nil"/>
              <w:bottom w:val="single" w:sz="6" w:space="0" w:color="A6A6A6" w:themeColor="background1" w:themeShade="A6"/>
              <w:right w:val="nil"/>
            </w:tcBorders>
            <w:shd w:val="clear" w:color="auto" w:fill="auto"/>
          </w:tcPr>
          <w:p w14:paraId="75E7A758" w14:textId="77777777" w:rsidR="00E96DD0" w:rsidRPr="00200234" w:rsidRDefault="00E96DD0" w:rsidP="00E96DD0">
            <w:pPr>
              <w:pStyle w:val="TableText"/>
            </w:pPr>
            <w:r>
              <w:t>Northern</w:t>
            </w:r>
          </w:p>
        </w:tc>
        <w:tc>
          <w:tcPr>
            <w:tcW w:w="1622" w:type="dxa"/>
            <w:tcBorders>
              <w:top w:val="single" w:sz="8" w:space="0" w:color="A6A6A6" w:themeColor="background1" w:themeShade="A6"/>
              <w:left w:val="nil"/>
              <w:bottom w:val="single" w:sz="6" w:space="0" w:color="A6A6A6" w:themeColor="background1" w:themeShade="A6"/>
              <w:right w:val="nil"/>
            </w:tcBorders>
            <w:shd w:val="clear" w:color="auto" w:fill="auto"/>
          </w:tcPr>
          <w:p w14:paraId="530BDA0C" w14:textId="77777777" w:rsidR="00E96DD0" w:rsidRPr="00CB4993" w:rsidRDefault="00E96DD0" w:rsidP="00E96DD0">
            <w:pPr>
              <w:pStyle w:val="TableText"/>
              <w:tabs>
                <w:tab w:val="decimal" w:pos="794"/>
              </w:tabs>
              <w:jc w:val="center"/>
            </w:pPr>
            <w:r>
              <w:t>48</w:t>
            </w:r>
          </w:p>
        </w:tc>
        <w:tc>
          <w:tcPr>
            <w:tcW w:w="1623" w:type="dxa"/>
            <w:tcBorders>
              <w:top w:val="single" w:sz="8" w:space="0" w:color="A6A6A6" w:themeColor="background1" w:themeShade="A6"/>
              <w:left w:val="nil"/>
              <w:bottom w:val="single" w:sz="6" w:space="0" w:color="A6A6A6" w:themeColor="background1" w:themeShade="A6"/>
              <w:right w:val="nil"/>
            </w:tcBorders>
            <w:shd w:val="clear" w:color="auto" w:fill="auto"/>
          </w:tcPr>
          <w:p w14:paraId="08B8DA9A" w14:textId="77777777" w:rsidR="00E96DD0" w:rsidRPr="00CB4993" w:rsidRDefault="00E96DD0" w:rsidP="00E96DD0">
            <w:pPr>
              <w:pStyle w:val="TableText"/>
              <w:tabs>
                <w:tab w:val="decimal" w:pos="794"/>
              </w:tabs>
              <w:jc w:val="center"/>
            </w:pPr>
            <w:r>
              <w:t>512</w:t>
            </w:r>
          </w:p>
        </w:tc>
        <w:tc>
          <w:tcPr>
            <w:tcW w:w="1623" w:type="dxa"/>
            <w:tcBorders>
              <w:top w:val="single" w:sz="8" w:space="0" w:color="A6A6A6" w:themeColor="background1" w:themeShade="A6"/>
              <w:left w:val="nil"/>
              <w:bottom w:val="single" w:sz="6" w:space="0" w:color="A6A6A6" w:themeColor="background1" w:themeShade="A6"/>
              <w:right w:val="nil"/>
            </w:tcBorders>
            <w:shd w:val="clear" w:color="auto" w:fill="auto"/>
          </w:tcPr>
          <w:p w14:paraId="36A6EA10" w14:textId="77777777" w:rsidR="00E96DD0" w:rsidRPr="00CB4993" w:rsidRDefault="00E96DD0" w:rsidP="00E96DD0">
            <w:pPr>
              <w:pStyle w:val="TableText"/>
              <w:jc w:val="center"/>
            </w:pPr>
            <w:r w:rsidRPr="00765D0B">
              <w:t>0</w:t>
            </w:r>
          </w:p>
        </w:tc>
        <w:tc>
          <w:tcPr>
            <w:tcW w:w="1623" w:type="dxa"/>
            <w:tcBorders>
              <w:top w:val="single" w:sz="8" w:space="0" w:color="A6A6A6" w:themeColor="background1" w:themeShade="A6"/>
              <w:left w:val="nil"/>
              <w:bottom w:val="single" w:sz="6" w:space="0" w:color="A6A6A6" w:themeColor="background1" w:themeShade="A6"/>
              <w:right w:val="none" w:sz="8" w:space="0" w:color="A6A6A6" w:themeColor="background1" w:themeShade="A6"/>
            </w:tcBorders>
            <w:shd w:val="clear" w:color="auto" w:fill="auto"/>
          </w:tcPr>
          <w:p w14:paraId="3C6E306B" w14:textId="77777777" w:rsidR="00E96DD0" w:rsidRPr="00CB4993" w:rsidRDefault="00E96DD0" w:rsidP="00E96DD0">
            <w:pPr>
              <w:pStyle w:val="TableText"/>
              <w:tabs>
                <w:tab w:val="decimal" w:pos="794"/>
              </w:tabs>
              <w:jc w:val="center"/>
            </w:pPr>
            <w:r w:rsidRPr="00765D0B">
              <w:t>0</w:t>
            </w:r>
          </w:p>
        </w:tc>
      </w:tr>
      <w:tr w:rsidR="00E96DD0" w:rsidRPr="00200234" w14:paraId="77A8BCCA" w14:textId="77777777" w:rsidTr="00E96DD0">
        <w:trPr>
          <w:cantSplit/>
          <w:trHeight w:val="300"/>
        </w:trPr>
        <w:tc>
          <w:tcPr>
            <w:tcW w:w="2408" w:type="dxa"/>
            <w:tcBorders>
              <w:top w:val="single" w:sz="6" w:space="0" w:color="A6A6A6" w:themeColor="background1" w:themeShade="A6"/>
              <w:bottom w:val="single" w:sz="6" w:space="0" w:color="A6A6A6" w:themeColor="background1" w:themeShade="A6"/>
              <w:right w:val="nil"/>
            </w:tcBorders>
            <w:shd w:val="clear" w:color="auto" w:fill="auto"/>
          </w:tcPr>
          <w:p w14:paraId="5A344124" w14:textId="77777777" w:rsidR="00E96DD0" w:rsidRPr="00200234" w:rsidRDefault="00E96DD0" w:rsidP="00E96DD0">
            <w:pPr>
              <w:pStyle w:val="TableText"/>
            </w:pPr>
            <w:r>
              <w:t>Midland</w:t>
            </w:r>
          </w:p>
        </w:tc>
        <w:tc>
          <w:tcPr>
            <w:tcW w:w="1622" w:type="dxa"/>
            <w:tcBorders>
              <w:top w:val="single" w:sz="6" w:space="0" w:color="A6A6A6" w:themeColor="background1" w:themeShade="A6"/>
              <w:left w:val="nil"/>
              <w:bottom w:val="single" w:sz="4" w:space="0" w:color="A6A6A6" w:themeColor="background1" w:themeShade="A6"/>
              <w:right w:val="nil"/>
            </w:tcBorders>
            <w:shd w:val="clear" w:color="auto" w:fill="auto"/>
          </w:tcPr>
          <w:p w14:paraId="21B3ED3A" w14:textId="77777777" w:rsidR="00E96DD0" w:rsidRPr="00CB4993" w:rsidRDefault="00E96DD0" w:rsidP="00E96DD0">
            <w:pPr>
              <w:pStyle w:val="TableText"/>
              <w:tabs>
                <w:tab w:val="decimal" w:pos="794"/>
              </w:tabs>
              <w:jc w:val="center"/>
            </w:pPr>
            <w:r>
              <w:t>22</w:t>
            </w:r>
          </w:p>
        </w:tc>
        <w:tc>
          <w:tcPr>
            <w:tcW w:w="1623" w:type="dxa"/>
            <w:tcBorders>
              <w:top w:val="single" w:sz="6" w:space="0" w:color="A6A6A6" w:themeColor="background1" w:themeShade="A6"/>
              <w:left w:val="nil"/>
              <w:bottom w:val="single" w:sz="4" w:space="0" w:color="A6A6A6" w:themeColor="background1" w:themeShade="A6"/>
              <w:right w:val="nil"/>
            </w:tcBorders>
            <w:shd w:val="clear" w:color="auto" w:fill="auto"/>
          </w:tcPr>
          <w:p w14:paraId="0EA09A2C" w14:textId="77777777" w:rsidR="00E96DD0" w:rsidRPr="00CB4993" w:rsidRDefault="00E96DD0" w:rsidP="00E96DD0">
            <w:pPr>
              <w:pStyle w:val="TableText"/>
              <w:tabs>
                <w:tab w:val="decimal" w:pos="794"/>
              </w:tabs>
              <w:jc w:val="center"/>
            </w:pPr>
            <w:r>
              <w:t>145</w:t>
            </w:r>
          </w:p>
        </w:tc>
        <w:tc>
          <w:tcPr>
            <w:tcW w:w="1623" w:type="dxa"/>
            <w:tcBorders>
              <w:top w:val="single" w:sz="6" w:space="0" w:color="A6A6A6" w:themeColor="background1" w:themeShade="A6"/>
              <w:left w:val="nil"/>
              <w:bottom w:val="single" w:sz="4" w:space="0" w:color="A6A6A6" w:themeColor="background1" w:themeShade="A6"/>
              <w:right w:val="nil"/>
            </w:tcBorders>
            <w:shd w:val="clear" w:color="auto" w:fill="auto"/>
          </w:tcPr>
          <w:p w14:paraId="42474421" w14:textId="77777777" w:rsidR="00E96DD0" w:rsidRPr="00CB4993" w:rsidRDefault="00E96DD0" w:rsidP="00E96DD0">
            <w:pPr>
              <w:pStyle w:val="TableText"/>
              <w:jc w:val="center"/>
            </w:pPr>
            <w:r w:rsidRPr="00765D0B">
              <w:t>0</w:t>
            </w:r>
          </w:p>
        </w:tc>
        <w:tc>
          <w:tcPr>
            <w:tcW w:w="1623" w:type="dxa"/>
            <w:tcBorders>
              <w:top w:val="single" w:sz="6" w:space="0" w:color="A6A6A6" w:themeColor="background1" w:themeShade="A6"/>
              <w:left w:val="nil"/>
              <w:bottom w:val="single" w:sz="4" w:space="0" w:color="A6A6A6" w:themeColor="background1" w:themeShade="A6"/>
            </w:tcBorders>
            <w:shd w:val="clear" w:color="auto" w:fill="auto"/>
          </w:tcPr>
          <w:p w14:paraId="430D7E07" w14:textId="77777777" w:rsidR="00E96DD0" w:rsidRPr="00CB4993" w:rsidRDefault="00E96DD0" w:rsidP="00E96DD0">
            <w:pPr>
              <w:pStyle w:val="TableText"/>
              <w:tabs>
                <w:tab w:val="decimal" w:pos="794"/>
              </w:tabs>
              <w:jc w:val="center"/>
            </w:pPr>
            <w:r w:rsidRPr="00765D0B">
              <w:t>0</w:t>
            </w:r>
          </w:p>
        </w:tc>
      </w:tr>
      <w:tr w:rsidR="00E96DD0" w:rsidRPr="00200234" w14:paraId="5FA996E1" w14:textId="77777777" w:rsidTr="00E96DD0">
        <w:trPr>
          <w:cantSplit/>
          <w:trHeight w:val="300"/>
        </w:trPr>
        <w:tc>
          <w:tcPr>
            <w:tcW w:w="2408" w:type="dxa"/>
            <w:tcBorders>
              <w:top w:val="single" w:sz="6" w:space="0" w:color="A6A6A6" w:themeColor="background1" w:themeShade="A6"/>
              <w:bottom w:val="single" w:sz="6" w:space="0" w:color="A6A6A6" w:themeColor="background1" w:themeShade="A6"/>
              <w:right w:val="nil"/>
            </w:tcBorders>
            <w:shd w:val="clear" w:color="auto" w:fill="auto"/>
          </w:tcPr>
          <w:p w14:paraId="1F5F80F4" w14:textId="77777777" w:rsidR="00E96DD0" w:rsidRPr="00200234" w:rsidRDefault="00E96DD0" w:rsidP="00E96DD0">
            <w:pPr>
              <w:pStyle w:val="TableText"/>
            </w:pPr>
            <w:r w:rsidRPr="00200234">
              <w:t>C</w:t>
            </w:r>
            <w:r>
              <w:t>entral</w:t>
            </w:r>
          </w:p>
        </w:tc>
        <w:tc>
          <w:tcPr>
            <w:tcW w:w="1622" w:type="dxa"/>
            <w:tcBorders>
              <w:top w:val="single" w:sz="4" w:space="0" w:color="A6A6A6" w:themeColor="background1" w:themeShade="A6"/>
              <w:left w:val="nil"/>
              <w:bottom w:val="single" w:sz="4" w:space="0" w:color="A6A6A6" w:themeColor="background1" w:themeShade="A6"/>
              <w:right w:val="nil"/>
            </w:tcBorders>
            <w:shd w:val="clear" w:color="auto" w:fill="auto"/>
          </w:tcPr>
          <w:p w14:paraId="2DE2D5F3" w14:textId="77777777" w:rsidR="00E96DD0" w:rsidRPr="00CB4993" w:rsidRDefault="00E96DD0" w:rsidP="00E96DD0">
            <w:pPr>
              <w:pStyle w:val="TableText"/>
              <w:tabs>
                <w:tab w:val="decimal" w:pos="794"/>
              </w:tabs>
              <w:jc w:val="center"/>
            </w:pPr>
            <w:r>
              <w:t>18</w:t>
            </w:r>
          </w:p>
        </w:tc>
        <w:tc>
          <w:tcPr>
            <w:tcW w:w="1623" w:type="dxa"/>
            <w:tcBorders>
              <w:top w:val="single" w:sz="4" w:space="0" w:color="A6A6A6" w:themeColor="background1" w:themeShade="A6"/>
              <w:left w:val="nil"/>
              <w:bottom w:val="single" w:sz="4" w:space="0" w:color="A6A6A6" w:themeColor="background1" w:themeShade="A6"/>
              <w:right w:val="nil"/>
            </w:tcBorders>
            <w:shd w:val="clear" w:color="auto" w:fill="auto"/>
          </w:tcPr>
          <w:p w14:paraId="7236A5CA" w14:textId="77777777" w:rsidR="00E96DD0" w:rsidRPr="00CB4993" w:rsidRDefault="00E96DD0" w:rsidP="00E96DD0">
            <w:pPr>
              <w:pStyle w:val="TableText"/>
              <w:tabs>
                <w:tab w:val="decimal" w:pos="794"/>
              </w:tabs>
              <w:jc w:val="center"/>
            </w:pPr>
            <w:r>
              <w:t>141</w:t>
            </w:r>
          </w:p>
        </w:tc>
        <w:tc>
          <w:tcPr>
            <w:tcW w:w="1623" w:type="dxa"/>
            <w:tcBorders>
              <w:top w:val="single" w:sz="4" w:space="0" w:color="A6A6A6" w:themeColor="background1" w:themeShade="A6"/>
              <w:left w:val="nil"/>
              <w:bottom w:val="single" w:sz="4" w:space="0" w:color="A6A6A6" w:themeColor="background1" w:themeShade="A6"/>
              <w:right w:val="nil"/>
            </w:tcBorders>
            <w:shd w:val="clear" w:color="auto" w:fill="auto"/>
          </w:tcPr>
          <w:p w14:paraId="35832068" w14:textId="77777777" w:rsidR="00E96DD0" w:rsidRPr="00CB4993" w:rsidRDefault="00E96DD0" w:rsidP="00E96DD0">
            <w:pPr>
              <w:pStyle w:val="TableText"/>
              <w:jc w:val="center"/>
            </w:pPr>
            <w:r w:rsidRPr="00765D0B">
              <w:t>0</w:t>
            </w:r>
          </w:p>
        </w:tc>
        <w:tc>
          <w:tcPr>
            <w:tcW w:w="1623" w:type="dxa"/>
            <w:tcBorders>
              <w:top w:val="single" w:sz="4" w:space="0" w:color="A6A6A6" w:themeColor="background1" w:themeShade="A6"/>
              <w:left w:val="nil"/>
              <w:bottom w:val="single" w:sz="4" w:space="0" w:color="A6A6A6" w:themeColor="background1" w:themeShade="A6"/>
            </w:tcBorders>
            <w:shd w:val="clear" w:color="auto" w:fill="auto"/>
          </w:tcPr>
          <w:p w14:paraId="027F1086" w14:textId="77777777" w:rsidR="00E96DD0" w:rsidRPr="00CB4993" w:rsidRDefault="00E96DD0" w:rsidP="00E96DD0">
            <w:pPr>
              <w:pStyle w:val="TableText"/>
              <w:tabs>
                <w:tab w:val="decimal" w:pos="794"/>
              </w:tabs>
              <w:jc w:val="center"/>
            </w:pPr>
            <w:r w:rsidRPr="00765D0B">
              <w:t>0</w:t>
            </w:r>
          </w:p>
        </w:tc>
      </w:tr>
      <w:tr w:rsidR="00E96DD0" w:rsidRPr="00200234" w14:paraId="024CE7D0" w14:textId="77777777" w:rsidTr="00E96DD0">
        <w:trPr>
          <w:cantSplit/>
          <w:trHeight w:val="300"/>
        </w:trPr>
        <w:tc>
          <w:tcPr>
            <w:tcW w:w="2408" w:type="dxa"/>
            <w:tcBorders>
              <w:top w:val="single" w:sz="6" w:space="0" w:color="A6A6A6" w:themeColor="background1" w:themeShade="A6"/>
              <w:bottom w:val="single" w:sz="6" w:space="0" w:color="A6A6A6" w:themeColor="background1" w:themeShade="A6"/>
              <w:right w:val="nil"/>
            </w:tcBorders>
            <w:shd w:val="clear" w:color="auto" w:fill="auto"/>
          </w:tcPr>
          <w:p w14:paraId="080E2A68" w14:textId="77777777" w:rsidR="00E96DD0" w:rsidRPr="00200234" w:rsidRDefault="00E96DD0" w:rsidP="00E96DD0">
            <w:pPr>
              <w:pStyle w:val="TableText"/>
            </w:pPr>
            <w:r>
              <w:t>South Island</w:t>
            </w:r>
          </w:p>
        </w:tc>
        <w:tc>
          <w:tcPr>
            <w:tcW w:w="1622" w:type="dxa"/>
            <w:tcBorders>
              <w:top w:val="single" w:sz="4" w:space="0" w:color="A6A6A6" w:themeColor="background1" w:themeShade="A6"/>
              <w:left w:val="nil"/>
              <w:bottom w:val="single" w:sz="4" w:space="0" w:color="A6A6A6" w:themeColor="background1" w:themeShade="A6"/>
              <w:right w:val="nil"/>
            </w:tcBorders>
            <w:shd w:val="clear" w:color="auto" w:fill="auto"/>
          </w:tcPr>
          <w:p w14:paraId="227D9B25" w14:textId="77777777" w:rsidR="00E96DD0" w:rsidRPr="00CB4993" w:rsidRDefault="00E96DD0" w:rsidP="00E96DD0">
            <w:pPr>
              <w:pStyle w:val="TableText"/>
              <w:tabs>
                <w:tab w:val="decimal" w:pos="794"/>
              </w:tabs>
              <w:jc w:val="center"/>
            </w:pPr>
            <w:r>
              <w:t>25</w:t>
            </w:r>
          </w:p>
        </w:tc>
        <w:tc>
          <w:tcPr>
            <w:tcW w:w="1623" w:type="dxa"/>
            <w:tcBorders>
              <w:top w:val="single" w:sz="4" w:space="0" w:color="A6A6A6" w:themeColor="background1" w:themeShade="A6"/>
              <w:left w:val="nil"/>
              <w:bottom w:val="single" w:sz="4" w:space="0" w:color="A6A6A6" w:themeColor="background1" w:themeShade="A6"/>
              <w:right w:val="nil"/>
            </w:tcBorders>
            <w:shd w:val="clear" w:color="auto" w:fill="auto"/>
          </w:tcPr>
          <w:p w14:paraId="47B5993B" w14:textId="77777777" w:rsidR="00E96DD0" w:rsidRPr="00CB4993" w:rsidRDefault="00E96DD0" w:rsidP="00E96DD0">
            <w:pPr>
              <w:pStyle w:val="TableText"/>
              <w:tabs>
                <w:tab w:val="decimal" w:pos="794"/>
              </w:tabs>
              <w:jc w:val="center"/>
            </w:pPr>
            <w:r>
              <w:t>293</w:t>
            </w:r>
          </w:p>
        </w:tc>
        <w:tc>
          <w:tcPr>
            <w:tcW w:w="1623" w:type="dxa"/>
            <w:tcBorders>
              <w:top w:val="single" w:sz="4" w:space="0" w:color="A6A6A6" w:themeColor="background1" w:themeShade="A6"/>
              <w:left w:val="nil"/>
              <w:bottom w:val="single" w:sz="4" w:space="0" w:color="A6A6A6" w:themeColor="background1" w:themeShade="A6"/>
              <w:right w:val="nil"/>
            </w:tcBorders>
            <w:shd w:val="clear" w:color="auto" w:fill="auto"/>
          </w:tcPr>
          <w:p w14:paraId="1CC44E84" w14:textId="77777777" w:rsidR="00E96DD0" w:rsidRPr="00CB4993" w:rsidRDefault="00E96DD0" w:rsidP="00E96DD0">
            <w:pPr>
              <w:pStyle w:val="TableText"/>
              <w:jc w:val="center"/>
            </w:pPr>
            <w:r>
              <w:t>0</w:t>
            </w:r>
          </w:p>
        </w:tc>
        <w:tc>
          <w:tcPr>
            <w:tcW w:w="1623" w:type="dxa"/>
            <w:tcBorders>
              <w:top w:val="single" w:sz="4" w:space="0" w:color="A6A6A6" w:themeColor="background1" w:themeShade="A6"/>
              <w:left w:val="nil"/>
              <w:bottom w:val="single" w:sz="4" w:space="0" w:color="A6A6A6" w:themeColor="background1" w:themeShade="A6"/>
            </w:tcBorders>
            <w:shd w:val="clear" w:color="auto" w:fill="auto"/>
          </w:tcPr>
          <w:p w14:paraId="3204EEE0" w14:textId="77777777" w:rsidR="00E96DD0" w:rsidRPr="00CB4993" w:rsidRDefault="00E96DD0" w:rsidP="00E96DD0">
            <w:pPr>
              <w:pStyle w:val="TableText"/>
              <w:tabs>
                <w:tab w:val="decimal" w:pos="794"/>
              </w:tabs>
              <w:jc w:val="center"/>
            </w:pPr>
            <w:r>
              <w:t>0</w:t>
            </w:r>
          </w:p>
        </w:tc>
      </w:tr>
      <w:tr w:rsidR="00E96DD0" w:rsidRPr="005739A3" w14:paraId="758AF275" w14:textId="77777777" w:rsidTr="00E96DD0">
        <w:trPr>
          <w:cantSplit/>
          <w:trHeight w:val="300"/>
        </w:trPr>
        <w:tc>
          <w:tcPr>
            <w:tcW w:w="2408" w:type="dxa"/>
            <w:tcBorders>
              <w:top w:val="single" w:sz="4" w:space="0" w:color="A6A6A6" w:themeColor="background1" w:themeShade="A6"/>
              <w:bottom w:val="single" w:sz="4" w:space="0" w:color="A6A6A6" w:themeColor="background1" w:themeShade="A6"/>
              <w:right w:val="nil"/>
            </w:tcBorders>
            <w:shd w:val="clear" w:color="auto" w:fill="auto"/>
          </w:tcPr>
          <w:p w14:paraId="5B65C145" w14:textId="77777777" w:rsidR="00E96DD0" w:rsidRPr="005739A3" w:rsidRDefault="00E96DD0" w:rsidP="00E96DD0">
            <w:pPr>
              <w:pStyle w:val="TableText"/>
              <w:rPr>
                <w:b/>
              </w:rPr>
            </w:pPr>
            <w:r>
              <w:rPr>
                <w:b/>
              </w:rPr>
              <w:t>Nationally</w:t>
            </w:r>
          </w:p>
        </w:tc>
        <w:tc>
          <w:tcPr>
            <w:tcW w:w="1622" w:type="dxa"/>
            <w:tcBorders>
              <w:top w:val="single" w:sz="6" w:space="0" w:color="A6A6A6" w:themeColor="background1" w:themeShade="A6"/>
              <w:left w:val="nil"/>
              <w:bottom w:val="single" w:sz="4" w:space="0" w:color="A6A6A6" w:themeColor="background1" w:themeShade="A6"/>
            </w:tcBorders>
            <w:shd w:val="clear" w:color="auto" w:fill="auto"/>
          </w:tcPr>
          <w:p w14:paraId="69B46270" w14:textId="77777777" w:rsidR="00E96DD0" w:rsidRPr="00B60080" w:rsidRDefault="00E96DD0" w:rsidP="00E96DD0">
            <w:pPr>
              <w:pStyle w:val="TableText"/>
              <w:tabs>
                <w:tab w:val="decimal" w:pos="794"/>
              </w:tabs>
              <w:jc w:val="center"/>
              <w:rPr>
                <w:b/>
                <w:bCs/>
              </w:rPr>
            </w:pPr>
            <w:r w:rsidRPr="00190AFB">
              <w:rPr>
                <w:b/>
                <w:bCs/>
              </w:rPr>
              <w:t>11</w:t>
            </w:r>
            <w:r>
              <w:rPr>
                <w:b/>
                <w:bCs/>
              </w:rPr>
              <w:t>3</w:t>
            </w:r>
          </w:p>
        </w:tc>
        <w:tc>
          <w:tcPr>
            <w:tcW w:w="1623" w:type="dxa"/>
            <w:tcBorders>
              <w:top w:val="single" w:sz="6" w:space="0" w:color="A6A6A6" w:themeColor="background1" w:themeShade="A6"/>
              <w:bottom w:val="single" w:sz="4" w:space="0" w:color="A6A6A6" w:themeColor="background1" w:themeShade="A6"/>
              <w:right w:val="nil"/>
            </w:tcBorders>
            <w:shd w:val="clear" w:color="auto" w:fill="auto"/>
          </w:tcPr>
          <w:p w14:paraId="48314285" w14:textId="77777777" w:rsidR="00E96DD0" w:rsidRPr="00B60080" w:rsidRDefault="00E96DD0" w:rsidP="00E96DD0">
            <w:pPr>
              <w:pStyle w:val="TableText"/>
              <w:tabs>
                <w:tab w:val="decimal" w:pos="794"/>
              </w:tabs>
              <w:jc w:val="center"/>
              <w:rPr>
                <w:b/>
                <w:bCs/>
              </w:rPr>
            </w:pPr>
            <w:r w:rsidRPr="00190AFB">
              <w:rPr>
                <w:b/>
                <w:bCs/>
              </w:rPr>
              <w:t>1</w:t>
            </w:r>
            <w:r>
              <w:rPr>
                <w:b/>
                <w:bCs/>
              </w:rPr>
              <w:t>,</w:t>
            </w:r>
            <w:r w:rsidRPr="00190AFB">
              <w:rPr>
                <w:b/>
                <w:bCs/>
              </w:rPr>
              <w:t>091</w:t>
            </w:r>
          </w:p>
        </w:tc>
        <w:tc>
          <w:tcPr>
            <w:tcW w:w="1623" w:type="dxa"/>
            <w:tcBorders>
              <w:top w:val="single" w:sz="4" w:space="0" w:color="A6A6A6" w:themeColor="background1" w:themeShade="A6"/>
              <w:left w:val="nil"/>
              <w:bottom w:val="single" w:sz="4" w:space="0" w:color="A6A6A6" w:themeColor="background1" w:themeShade="A6"/>
            </w:tcBorders>
            <w:shd w:val="clear" w:color="auto" w:fill="auto"/>
          </w:tcPr>
          <w:p w14:paraId="24D1CE5F" w14:textId="77777777" w:rsidR="00E96DD0" w:rsidRPr="00B60080" w:rsidRDefault="00E96DD0" w:rsidP="00E96DD0">
            <w:pPr>
              <w:pStyle w:val="TableText"/>
              <w:jc w:val="center"/>
              <w:rPr>
                <w:b/>
                <w:bCs/>
              </w:rPr>
            </w:pPr>
            <w:r w:rsidRPr="00190AFB">
              <w:rPr>
                <w:b/>
                <w:bCs/>
              </w:rPr>
              <w:t>0</w:t>
            </w:r>
          </w:p>
        </w:tc>
        <w:tc>
          <w:tcPr>
            <w:tcW w:w="1623" w:type="dxa"/>
            <w:tcBorders>
              <w:top w:val="single" w:sz="4" w:space="0" w:color="A6A6A6" w:themeColor="background1" w:themeShade="A6"/>
              <w:bottom w:val="single" w:sz="4" w:space="0" w:color="A6A6A6" w:themeColor="background1" w:themeShade="A6"/>
            </w:tcBorders>
            <w:shd w:val="clear" w:color="auto" w:fill="auto"/>
          </w:tcPr>
          <w:p w14:paraId="1FE6D520" w14:textId="77777777" w:rsidR="00E96DD0" w:rsidRPr="00B60080" w:rsidRDefault="00E96DD0" w:rsidP="00E96DD0">
            <w:pPr>
              <w:pStyle w:val="TableText"/>
              <w:tabs>
                <w:tab w:val="decimal" w:pos="794"/>
              </w:tabs>
              <w:jc w:val="center"/>
              <w:rPr>
                <w:b/>
                <w:bCs/>
              </w:rPr>
            </w:pPr>
            <w:r w:rsidRPr="00190AFB">
              <w:rPr>
                <w:b/>
                <w:bCs/>
              </w:rPr>
              <w:t>0</w:t>
            </w:r>
          </w:p>
        </w:tc>
      </w:tr>
    </w:tbl>
    <w:p w14:paraId="6E84576E" w14:textId="08583C2A" w:rsidR="00E96DD0" w:rsidRPr="00200234" w:rsidRDefault="00E96DD0" w:rsidP="00E96DD0">
      <w:pPr>
        <w:pStyle w:val="Note"/>
      </w:pPr>
      <w:r w:rsidRPr="00200234">
        <w:t xml:space="preserve">Notes: The data in this table cannot be reliably compared with the data in </w:t>
      </w:r>
      <w:r>
        <w:fldChar w:fldCharType="begin"/>
      </w:r>
      <w:r>
        <w:instrText xml:space="preserve"> REF _Ref85452298 \h </w:instrText>
      </w:r>
      <w:r>
        <w:fldChar w:fldCharType="separate"/>
      </w:r>
      <w:r w:rsidR="00753BC8">
        <w:t>Table </w:t>
      </w:r>
      <w:r w:rsidR="00753BC8">
        <w:rPr>
          <w:noProof/>
        </w:rPr>
        <w:t>17</w:t>
      </w:r>
      <w:r>
        <w:fldChar w:fldCharType="end"/>
      </w:r>
      <w:r>
        <w:t xml:space="preserve"> as</w:t>
      </w:r>
      <w:r w:rsidRPr="00200234">
        <w:t xml:space="preserve"> it relates to </w:t>
      </w:r>
      <w:r>
        <w:t>the Health New Zealand region</w:t>
      </w:r>
      <w:r w:rsidRPr="00200234">
        <w:t xml:space="preserve"> of service rather than </w:t>
      </w:r>
      <w:r>
        <w:t>region</w:t>
      </w:r>
      <w:r w:rsidRPr="00200234">
        <w:t xml:space="preserve"> of domicile.</w:t>
      </w:r>
      <w:r>
        <w:t xml:space="preserve"> </w:t>
      </w:r>
    </w:p>
    <w:p w14:paraId="661B0A93" w14:textId="77777777" w:rsidR="00E96DD0" w:rsidRDefault="00E96DD0" w:rsidP="00E96DD0">
      <w:pPr>
        <w:pStyle w:val="Source"/>
      </w:pPr>
      <w:r w:rsidRPr="00200234">
        <w:t xml:space="preserve">Source: Manual data from </w:t>
      </w:r>
      <w:r>
        <w:t>districts</w:t>
      </w:r>
      <w:r w:rsidRPr="00200234">
        <w:t>.</w:t>
      </w:r>
    </w:p>
    <w:p w14:paraId="5E7B92D7" w14:textId="77777777" w:rsidR="00E96DD0" w:rsidRDefault="00E96DD0" w:rsidP="00E96DD0">
      <w:pPr>
        <w:spacing w:after="160" w:line="259" w:lineRule="auto"/>
        <w:sectPr w:rsidR="00E96DD0" w:rsidSect="00753A1F">
          <w:pgSz w:w="11907" w:h="16834" w:code="9"/>
          <w:pgMar w:top="1418" w:right="1701" w:bottom="1134" w:left="1843" w:header="284" w:footer="425" w:gutter="284"/>
          <w:cols w:space="720"/>
        </w:sectPr>
      </w:pPr>
    </w:p>
    <w:p w14:paraId="3701AD95" w14:textId="77777777" w:rsidR="00E96DD0" w:rsidRPr="00200234" w:rsidRDefault="00E96DD0" w:rsidP="00E96DD0">
      <w:pPr>
        <w:pStyle w:val="Heading1"/>
        <w:spacing w:before="0"/>
      </w:pPr>
      <w:bookmarkStart w:id="795" w:name="_Toc65141640"/>
      <w:bookmarkStart w:id="796" w:name="_Toc75176465"/>
      <w:bookmarkStart w:id="797" w:name="_Toc87429933"/>
      <w:bookmarkStart w:id="798" w:name="_Toc88826981"/>
      <w:bookmarkStart w:id="799" w:name="_Toc115188831"/>
      <w:bookmarkStart w:id="800" w:name="_Toc145394257"/>
      <w:bookmarkStart w:id="801" w:name="_Toc189053927"/>
      <w:bookmarkStart w:id="802" w:name="_Toc189647916"/>
      <w:r>
        <w:t>Substance</w:t>
      </w:r>
      <w:r w:rsidRPr="00200234">
        <w:t xml:space="preserve"> </w:t>
      </w:r>
      <w:r>
        <w:t>u</w:t>
      </w:r>
      <w:r w:rsidRPr="00200234">
        <w:t xml:space="preserve">se </w:t>
      </w:r>
      <w:r>
        <w:t>t</w:t>
      </w:r>
      <w:r w:rsidRPr="00200234">
        <w:t>reatment</w:t>
      </w:r>
      <w:bookmarkEnd w:id="795"/>
      <w:bookmarkEnd w:id="796"/>
      <w:bookmarkEnd w:id="797"/>
      <w:bookmarkEnd w:id="798"/>
      <w:bookmarkEnd w:id="799"/>
      <w:bookmarkEnd w:id="800"/>
      <w:bookmarkEnd w:id="801"/>
      <w:bookmarkEnd w:id="802"/>
    </w:p>
    <w:p w14:paraId="566CFEF3" w14:textId="77777777" w:rsidR="00E96DD0" w:rsidRPr="00E96DD0" w:rsidRDefault="00E96DD0" w:rsidP="00E96DD0">
      <w:pPr>
        <w:pStyle w:val="Heading2"/>
      </w:pPr>
      <w:bookmarkStart w:id="803" w:name="_Toc65141650"/>
      <w:bookmarkStart w:id="804" w:name="_Toc75176467"/>
      <w:bookmarkStart w:id="805" w:name="_Toc87429936"/>
      <w:bookmarkStart w:id="806" w:name="_Toc88826984"/>
      <w:bookmarkStart w:id="807" w:name="_Toc115188832"/>
      <w:bookmarkStart w:id="808" w:name="_Toc145394258"/>
      <w:bookmarkStart w:id="809" w:name="_Toc189053928"/>
      <w:bookmarkStart w:id="810" w:name="_Toc189647917"/>
      <w:r w:rsidRPr="00E96DD0">
        <w:t>Opioid substitution treatment</w:t>
      </w:r>
      <w:bookmarkEnd w:id="803"/>
      <w:bookmarkEnd w:id="804"/>
      <w:bookmarkEnd w:id="805"/>
      <w:bookmarkEnd w:id="806"/>
      <w:bookmarkEnd w:id="807"/>
      <w:bookmarkEnd w:id="808"/>
      <w:bookmarkEnd w:id="809"/>
      <w:bookmarkEnd w:id="810"/>
    </w:p>
    <w:p w14:paraId="2E7D979B" w14:textId="77777777" w:rsidR="00E96DD0" w:rsidRPr="00200234" w:rsidRDefault="00E96DD0" w:rsidP="00E96DD0">
      <w:r w:rsidRPr="00200234">
        <w:t xml:space="preserve">The </w:t>
      </w:r>
      <w:r>
        <w:t>Director</w:t>
      </w:r>
      <w:r w:rsidRPr="00200234">
        <w:t xml:space="preserve">, acting under delegated authority from the Minister of Health, designates specialist services and lead clinicians to provide treatment with controlled drugs to people who are dependent on </w:t>
      </w:r>
      <w:r>
        <w:t>them</w:t>
      </w:r>
      <w:r w:rsidRPr="00200234">
        <w:t xml:space="preserve">, </w:t>
      </w:r>
      <w:r>
        <w:t>under</w:t>
      </w:r>
      <w:r w:rsidRPr="00200234">
        <w:t xml:space="preserve"> section 24A(7)(b) of the Misuse of Drugs Act 1975. These services are also subject to a</w:t>
      </w:r>
      <w:r>
        <w:t>n</w:t>
      </w:r>
      <w:r w:rsidRPr="00200234">
        <w:t xml:space="preserve"> audit every </w:t>
      </w:r>
      <w:r>
        <w:t>three</w:t>
      </w:r>
      <w:r w:rsidRPr="00200234">
        <w:t xml:space="preserve"> years, </w:t>
      </w:r>
      <w:r>
        <w:t>using</w:t>
      </w:r>
      <w:r w:rsidRPr="00200234">
        <w:t xml:space="preserve"> the</w:t>
      </w:r>
      <w:r w:rsidRPr="006E6DAE">
        <w:rPr>
          <w:i/>
          <w:iCs/>
        </w:rPr>
        <w:t xml:space="preserve"> </w:t>
      </w:r>
      <w:r w:rsidRPr="001B4F1B">
        <w:rPr>
          <w:i/>
          <w:iCs/>
        </w:rPr>
        <w:t>Specialist Opioid Substitution Treatment Service Audit and Review Tool</w:t>
      </w:r>
      <w:r w:rsidRPr="006E6DAE">
        <w:rPr>
          <w:i/>
          <w:iCs/>
        </w:rPr>
        <w:t>.</w:t>
      </w:r>
      <w:r w:rsidRPr="005561B0">
        <w:rPr>
          <w:rStyle w:val="FootnoteReference"/>
        </w:rPr>
        <w:footnoteReference w:id="25"/>
      </w:r>
    </w:p>
    <w:p w14:paraId="232DDB4B" w14:textId="77777777" w:rsidR="00E96DD0" w:rsidRDefault="00E96DD0" w:rsidP="00E96DD0">
      <w:pPr>
        <w:ind w:right="-285"/>
      </w:pPr>
    </w:p>
    <w:p w14:paraId="314298C0" w14:textId="77777777" w:rsidR="00E96DD0" w:rsidRPr="00200234" w:rsidRDefault="00E96DD0" w:rsidP="00E96DD0">
      <w:pPr>
        <w:ind w:right="-285"/>
      </w:pPr>
      <w:r w:rsidRPr="00200234">
        <w:t xml:space="preserve">Opioid dependence is a complex, relapsing condition requiring a model of treatment and care much like any other chronic health problem. Opioid substitution treatment (OST) helps people </w:t>
      </w:r>
      <w:r>
        <w:t>who have an</w:t>
      </w:r>
      <w:r w:rsidRPr="00200234">
        <w:t xml:space="preserve"> opioid dependence to access treatment, including substitution therapy, </w:t>
      </w:r>
      <w:r>
        <w:t>which</w:t>
      </w:r>
      <w:r w:rsidRPr="00200234">
        <w:t xml:space="preserve"> provides them with the opportunity to recover their health and wellbeing.</w:t>
      </w:r>
    </w:p>
    <w:p w14:paraId="62EAC2AF" w14:textId="77777777" w:rsidR="00E96DD0" w:rsidRPr="00200234" w:rsidRDefault="00E96DD0" w:rsidP="00E96DD0"/>
    <w:p w14:paraId="633B919B" w14:textId="77777777" w:rsidR="00E96DD0" w:rsidRDefault="00E96DD0" w:rsidP="00E96DD0">
      <w:r w:rsidRPr="00200234">
        <w:t xml:space="preserve">Specialist OST services are specified by the Minister of Health under section 24A of the Misuse of Drugs Act 1975 and notified in the </w:t>
      </w:r>
      <w:r w:rsidRPr="00DB1FB1">
        <w:rPr>
          <w:i/>
          <w:iCs/>
        </w:rPr>
        <w:t>New Zealand Gazette</w:t>
      </w:r>
      <w:r>
        <w:rPr>
          <w:iCs/>
        </w:rPr>
        <w:t>.</w:t>
      </w:r>
      <w:r w:rsidRPr="00200234">
        <w:t xml:space="preserve"> </w:t>
      </w:r>
    </w:p>
    <w:p w14:paraId="7F4DE5EF" w14:textId="77777777" w:rsidR="00E96DD0" w:rsidRDefault="00E96DD0" w:rsidP="00E96DD0"/>
    <w:p w14:paraId="6A7B00FA" w14:textId="77777777" w:rsidR="00E96DD0" w:rsidRPr="00200234" w:rsidRDefault="00E96DD0" w:rsidP="00E96DD0">
      <w:r w:rsidRPr="00200234">
        <w:t xml:space="preserve">OST services in </w:t>
      </w:r>
      <w:r>
        <w:t xml:space="preserve">Aotearoa New Zealand </w:t>
      </w:r>
      <w:r w:rsidRPr="00200234">
        <w:t xml:space="preserve">are expected to provide a standardised approach </w:t>
      </w:r>
      <w:r>
        <w:t xml:space="preserve">that puts the </w:t>
      </w:r>
      <w:r w:rsidRPr="00200234">
        <w:t>person, family and whānau</w:t>
      </w:r>
      <w:r>
        <w:t xml:space="preserve"> at the heart of</w:t>
      </w:r>
      <w:r w:rsidRPr="00200234">
        <w:t xml:space="preserve"> treatment, recovery, wellbeing and citizenship. To help services take this approach, </w:t>
      </w:r>
      <w:r>
        <w:t xml:space="preserve">the </w:t>
      </w:r>
      <w:r w:rsidRPr="00DB1FB1">
        <w:rPr>
          <w:i/>
          <w:iCs/>
        </w:rPr>
        <w:t>New Zealand Practice Guidelines for Opioid Substitution Treatment</w:t>
      </w:r>
      <w:r w:rsidRPr="005561B0">
        <w:rPr>
          <w:rStyle w:val="FootnoteReference"/>
        </w:rPr>
        <w:footnoteReference w:id="26"/>
      </w:r>
      <w:r w:rsidRPr="00200234">
        <w:t xml:space="preserve"> provide clinical and procedural guidance for specialist services and primary </w:t>
      </w:r>
      <w:r>
        <w:t xml:space="preserve">health </w:t>
      </w:r>
      <w:r w:rsidRPr="00200234">
        <w:t>care providers who deliver OST.</w:t>
      </w:r>
      <w:r>
        <w:t xml:space="preserve"> The Ministry is working with the addictions sector to develop updated guidance for services and practitioners and will publish it once completed.</w:t>
      </w:r>
    </w:p>
    <w:p w14:paraId="0BE15A1B" w14:textId="77777777" w:rsidR="00E96DD0" w:rsidRPr="00200234" w:rsidRDefault="00E96DD0" w:rsidP="00E96DD0">
      <w:bookmarkStart w:id="811" w:name="_Toc65141651"/>
    </w:p>
    <w:p w14:paraId="5F4A64C5" w14:textId="77777777" w:rsidR="00E96DD0" w:rsidRPr="00DD75F8" w:rsidRDefault="00E96DD0" w:rsidP="00E96DD0">
      <w:r>
        <w:t>The following summarises OST data</w:t>
      </w:r>
      <w:r w:rsidRPr="009A4134">
        <w:t xml:space="preserve"> </w:t>
      </w:r>
      <w:r>
        <w:t>from 1 July 2022 to 30 June 2023.</w:t>
      </w:r>
      <w:r w:rsidRPr="005561B0">
        <w:rPr>
          <w:rStyle w:val="FootnoteReference"/>
        </w:rPr>
        <w:footnoteReference w:id="27"/>
      </w:r>
      <w:bookmarkEnd w:id="811"/>
    </w:p>
    <w:p w14:paraId="4408C4CA" w14:textId="77777777" w:rsidR="00E96DD0" w:rsidRPr="00E60CF4" w:rsidRDefault="00E96DD0" w:rsidP="00E96DD0">
      <w:pPr>
        <w:pStyle w:val="Bullet"/>
        <w:tabs>
          <w:tab w:val="num" w:pos="284"/>
        </w:tabs>
      </w:pPr>
      <w:r w:rsidRPr="00E60CF4">
        <w:t>5,</w:t>
      </w:r>
      <w:r w:rsidRPr="00501296">
        <w:t>245</w:t>
      </w:r>
      <w:r w:rsidRPr="00E60CF4">
        <w:t xml:space="preserve"> people received OST.</w:t>
      </w:r>
    </w:p>
    <w:p w14:paraId="1F725074" w14:textId="77777777" w:rsidR="00E96DD0" w:rsidRPr="00E60CF4" w:rsidRDefault="00E96DD0" w:rsidP="00E96DD0">
      <w:pPr>
        <w:pStyle w:val="Bullet"/>
        <w:tabs>
          <w:tab w:val="num" w:pos="284"/>
        </w:tabs>
      </w:pPr>
      <w:r w:rsidRPr="00E60CF4">
        <w:t>7</w:t>
      </w:r>
      <w:r w:rsidRPr="00501296">
        <w:t>6.1</w:t>
      </w:r>
      <w:r w:rsidRPr="00E60CF4">
        <w:t>% of these people were New Zealand European, 17.</w:t>
      </w:r>
      <w:r w:rsidRPr="00501296">
        <w:t>6</w:t>
      </w:r>
      <w:r w:rsidRPr="00E60CF4">
        <w:t>% were Māori, 1.</w:t>
      </w:r>
      <w:r w:rsidRPr="00501296">
        <w:t>5</w:t>
      </w:r>
      <w:r w:rsidRPr="00E60CF4">
        <w:t xml:space="preserve">% were Pacific peoples and </w:t>
      </w:r>
      <w:r w:rsidRPr="00501296">
        <w:t>4.8</w:t>
      </w:r>
      <w:r w:rsidRPr="00E60CF4">
        <w:t>% were of other ethnicities.</w:t>
      </w:r>
    </w:p>
    <w:p w14:paraId="7F852829" w14:textId="77777777" w:rsidR="00E96DD0" w:rsidRPr="00E60CF4" w:rsidRDefault="00E96DD0" w:rsidP="00E96DD0">
      <w:pPr>
        <w:pStyle w:val="Bullet"/>
        <w:tabs>
          <w:tab w:val="num" w:pos="284"/>
        </w:tabs>
      </w:pPr>
      <w:r w:rsidRPr="00501296">
        <w:t>70.1</w:t>
      </w:r>
      <w:r w:rsidRPr="00E60CF4">
        <w:t>% of clients receiving OST were over 45</w:t>
      </w:r>
      <w:r>
        <w:t xml:space="preserve"> years of age</w:t>
      </w:r>
      <w:r w:rsidRPr="00E60CF4">
        <w:t>.</w:t>
      </w:r>
    </w:p>
    <w:p w14:paraId="3262ABAD" w14:textId="77777777" w:rsidR="00E96DD0" w:rsidRPr="00E60CF4" w:rsidRDefault="00E96DD0" w:rsidP="00E96DD0">
      <w:pPr>
        <w:pStyle w:val="Bullet"/>
        <w:tabs>
          <w:tab w:val="num" w:pos="284"/>
        </w:tabs>
      </w:pPr>
      <w:r w:rsidRPr="00E60CF4">
        <w:t>2</w:t>
      </w:r>
      <w:r w:rsidRPr="00501296">
        <w:t>5.4</w:t>
      </w:r>
      <w:r w:rsidRPr="00E60CF4">
        <w:t xml:space="preserve">% of people receiving OST were </w:t>
      </w:r>
      <w:r>
        <w:t>receiving treatment from</w:t>
      </w:r>
      <w:r w:rsidRPr="00E60CF4">
        <w:t xml:space="preserve"> a general practitioner in a shared-care arrangement.</w:t>
      </w:r>
      <w:bookmarkStart w:id="812" w:name="_Toc65141652"/>
    </w:p>
    <w:p w14:paraId="0247313D" w14:textId="77777777" w:rsidR="00E96DD0" w:rsidRPr="00E96DD0" w:rsidRDefault="00E96DD0" w:rsidP="00E96DD0">
      <w:pPr>
        <w:pStyle w:val="Heading3"/>
      </w:pPr>
      <w:bookmarkStart w:id="813" w:name="_Toc65141653"/>
      <w:bookmarkStart w:id="814" w:name="_Toc87429937"/>
      <w:bookmarkStart w:id="815" w:name="_Toc115188833"/>
      <w:bookmarkStart w:id="816" w:name="_Toc189053929"/>
      <w:bookmarkEnd w:id="812"/>
      <w:r w:rsidRPr="00E96DD0">
        <w:t>Service providers</w:t>
      </w:r>
      <w:bookmarkEnd w:id="813"/>
      <w:bookmarkEnd w:id="814"/>
      <w:bookmarkEnd w:id="815"/>
      <w:bookmarkEnd w:id="816"/>
    </w:p>
    <w:p w14:paraId="0038B31A" w14:textId="77777777" w:rsidR="00E96DD0" w:rsidRPr="00200234" w:rsidRDefault="00E96DD0" w:rsidP="00E96DD0">
      <w:r>
        <w:t>Aotearoa New Zealand has t</w:t>
      </w:r>
      <w:r w:rsidRPr="00200234">
        <w:t>hree types of OST service</w:t>
      </w:r>
      <w:r>
        <w:t xml:space="preserve"> </w:t>
      </w:r>
      <w:r w:rsidRPr="00200234">
        <w:t>providers</w:t>
      </w:r>
      <w:r>
        <w:t>.</w:t>
      </w:r>
    </w:p>
    <w:p w14:paraId="1A3B99EF" w14:textId="77777777" w:rsidR="00E96DD0" w:rsidRPr="00200234" w:rsidRDefault="00E96DD0" w:rsidP="00E96DD0"/>
    <w:p w14:paraId="7B8D13BF" w14:textId="77777777" w:rsidR="00E96DD0" w:rsidRDefault="00E96DD0" w:rsidP="00E96DD0">
      <w:r w:rsidRPr="00E96DD0">
        <w:rPr>
          <w:b/>
          <w:bCs/>
        </w:rPr>
        <w:t>Specialist services:</w:t>
      </w:r>
      <w:r w:rsidRPr="00200234">
        <w:t xml:space="preserve"> Specialist OST services are the entry point for nearly all people </w:t>
      </w:r>
      <w:r>
        <w:t>needing</w:t>
      </w:r>
      <w:r w:rsidRPr="00200234">
        <w:t xml:space="preserve"> treatment with controlled drugs. </w:t>
      </w:r>
      <w:r>
        <w:t>These services</w:t>
      </w:r>
      <w:r w:rsidRPr="00200234">
        <w:t xml:space="preserve"> comprehensively assess the needs of clients, provide</w:t>
      </w:r>
      <w:r>
        <w:t xml:space="preserve"> them with</w:t>
      </w:r>
      <w:r w:rsidRPr="00200234">
        <w:t xml:space="preserve"> specialist interventions and stabilise </w:t>
      </w:r>
      <w:r>
        <w:t>them</w:t>
      </w:r>
      <w:r w:rsidRPr="00200234">
        <w:t xml:space="preserve">. This </w:t>
      </w:r>
      <w:r>
        <w:t xml:space="preserve">approach </w:t>
      </w:r>
      <w:r w:rsidRPr="00200234">
        <w:t xml:space="preserve">creates a pathway </w:t>
      </w:r>
      <w:r>
        <w:t>to plan for</w:t>
      </w:r>
      <w:r w:rsidRPr="00200234">
        <w:t xml:space="preserve"> recovery, </w:t>
      </w:r>
      <w:r>
        <w:t xml:space="preserve">make </w:t>
      </w:r>
      <w:r w:rsidRPr="00200234">
        <w:t>referrals for co-existing health needs and social support</w:t>
      </w:r>
      <w:r>
        <w:t>,</w:t>
      </w:r>
      <w:r w:rsidRPr="00200234">
        <w:t xml:space="preserve"> and eventually transfer treatment to a primary health provider or withdraw</w:t>
      </w:r>
      <w:r>
        <w:t xml:space="preserve"> the client</w:t>
      </w:r>
      <w:r w:rsidRPr="00200234">
        <w:t xml:space="preserve"> from treatment altogether.</w:t>
      </w:r>
      <w:r>
        <w:t xml:space="preserve"> </w:t>
      </w:r>
    </w:p>
    <w:p w14:paraId="6E3B8397" w14:textId="77777777" w:rsidR="00E96DD0" w:rsidRDefault="00E96DD0" w:rsidP="00E96DD0"/>
    <w:p w14:paraId="7C3425C6" w14:textId="77777777" w:rsidR="00E96DD0" w:rsidRPr="008C3A78" w:rsidRDefault="00E96DD0" w:rsidP="00E96DD0">
      <w:r>
        <w:t>In</w:t>
      </w:r>
      <w:r w:rsidRPr="008C3A78">
        <w:t xml:space="preserve"> 2022</w:t>
      </w:r>
      <w:r>
        <w:t>/23</w:t>
      </w:r>
      <w:r w:rsidRPr="008C3A78">
        <w:t>, 73.</w:t>
      </w:r>
      <w:r w:rsidRPr="00501296">
        <w:t>6</w:t>
      </w:r>
      <w:r w:rsidRPr="008C3A78">
        <w:t>% of OST clients received treatment from specialist services.</w:t>
      </w:r>
    </w:p>
    <w:p w14:paraId="779A08C0" w14:textId="77777777" w:rsidR="00E96DD0" w:rsidRPr="008C3A78" w:rsidRDefault="00E96DD0" w:rsidP="00E96DD0"/>
    <w:p w14:paraId="6B4E9646" w14:textId="77777777" w:rsidR="00E96DD0" w:rsidRPr="008C3A78" w:rsidRDefault="00E96DD0" w:rsidP="00E96DD0">
      <w:r w:rsidRPr="00E96DD0">
        <w:rPr>
          <w:b/>
          <w:bCs/>
        </w:rPr>
        <w:t>Primary health:</w:t>
      </w:r>
      <w:r w:rsidRPr="008C3A78">
        <w:rPr>
          <w:rFonts w:ascii="Segoe UI Semibold" w:hAnsi="Segoe UI Semibold" w:cs="Segoe UI Semibold"/>
        </w:rPr>
        <w:t xml:space="preserve"> </w:t>
      </w:r>
      <w:r w:rsidRPr="008C3A78">
        <w:t>Specialist addiction services work alongside primary health care</w:t>
      </w:r>
      <w:r>
        <w:t xml:space="preserve"> to share delivery of OST services</w:t>
      </w:r>
      <w:r w:rsidRPr="008C3A78">
        <w:t xml:space="preserve">. This approach allows specialist services to focus on clients who have the highest need and normalises the treatment process. </w:t>
      </w:r>
    </w:p>
    <w:p w14:paraId="40E7E441" w14:textId="77777777" w:rsidR="00E96DD0" w:rsidRPr="008C3A78" w:rsidRDefault="00E96DD0" w:rsidP="00E96DD0"/>
    <w:p w14:paraId="1B2C6FF3" w14:textId="77777777" w:rsidR="00E96DD0" w:rsidRPr="008C3A78" w:rsidRDefault="00E96DD0" w:rsidP="00E96DD0">
      <w:r>
        <w:t>In</w:t>
      </w:r>
      <w:r w:rsidRPr="008C3A78">
        <w:t xml:space="preserve"> 2022</w:t>
      </w:r>
      <w:r>
        <w:t>/23</w:t>
      </w:r>
      <w:r w:rsidRPr="008C3A78">
        <w:t>, 2</w:t>
      </w:r>
      <w:r w:rsidRPr="00501296">
        <w:t>5.4</w:t>
      </w:r>
      <w:r w:rsidRPr="008C3A78">
        <w:t xml:space="preserve">% of OST clients received this treatment from their general practitioner (GP). </w:t>
      </w:r>
    </w:p>
    <w:p w14:paraId="12CF8B0E" w14:textId="77777777" w:rsidR="00E96DD0" w:rsidRPr="008C3A78" w:rsidRDefault="00E96DD0" w:rsidP="00E96DD0"/>
    <w:p w14:paraId="3F166064" w14:textId="77777777" w:rsidR="00E96DD0" w:rsidRPr="008C3A78" w:rsidRDefault="00E96DD0" w:rsidP="00E96DD0">
      <w:r w:rsidRPr="008C3A78">
        <w:t>The Ministry’s target for service provision is</w:t>
      </w:r>
      <w:r>
        <w:t xml:space="preserve"> to split it</w:t>
      </w:r>
      <w:r w:rsidRPr="008C3A78">
        <w:t xml:space="preserve"> 50:50 between primary and specialist health care services. </w:t>
      </w:r>
    </w:p>
    <w:p w14:paraId="587CC108" w14:textId="77777777" w:rsidR="00E96DD0" w:rsidRPr="008C3A78" w:rsidRDefault="00E96DD0" w:rsidP="00E96DD0"/>
    <w:p w14:paraId="45062E8A" w14:textId="77777777" w:rsidR="00E96DD0" w:rsidRPr="008C3A78" w:rsidRDefault="00E96DD0" w:rsidP="00E96DD0">
      <w:r w:rsidRPr="00E96DD0">
        <w:rPr>
          <w:b/>
          <w:bCs/>
        </w:rPr>
        <w:t>Ara Poutama – Department of Corrections</w:t>
      </w:r>
      <w:r w:rsidRPr="008C3A78">
        <w:t xml:space="preserve"> (Ara Poutama)</w:t>
      </w:r>
      <w:r w:rsidRPr="008C3A78">
        <w:rPr>
          <w:rFonts w:ascii="Segoe UI Semibold" w:hAnsi="Segoe UI Semibold" w:cs="Segoe UI Semibold"/>
        </w:rPr>
        <w:t xml:space="preserve">: </w:t>
      </w:r>
      <w:r w:rsidRPr="008C3A78">
        <w:t xml:space="preserve">When a person receiving OST goes to prison, Ara Poutama ensures that the person continues to receive OST services, including psychosocial support and treatment from specialist services. </w:t>
      </w:r>
    </w:p>
    <w:p w14:paraId="19344DC9" w14:textId="77777777" w:rsidR="00E96DD0" w:rsidRPr="008C3A78" w:rsidRDefault="00E96DD0" w:rsidP="00E96DD0"/>
    <w:p w14:paraId="0698CFD8" w14:textId="32627590" w:rsidR="00E96DD0" w:rsidRDefault="00E96DD0" w:rsidP="00E96DD0">
      <w:r>
        <w:t>In</w:t>
      </w:r>
      <w:r w:rsidRPr="008C3A78">
        <w:t xml:space="preserve"> 2022</w:t>
      </w:r>
      <w:r>
        <w:t>/23</w:t>
      </w:r>
      <w:r w:rsidRPr="008C3A78">
        <w:t>, less than 1% of OST clients received this treatment from Ara Poutama. Service providers</w:t>
      </w:r>
      <w:r w:rsidRPr="00200234">
        <w:t xml:space="preserve"> and </w:t>
      </w:r>
      <w:r>
        <w:t>Ara Poutama</w:t>
      </w:r>
      <w:r w:rsidRPr="00200234">
        <w:t xml:space="preserve"> work together to initiate OST as appropriate for people who are imprisoned.</w:t>
      </w:r>
    </w:p>
    <w:p w14:paraId="0644EA49" w14:textId="1CDCA540" w:rsidR="000420E5" w:rsidRDefault="000420E5" w:rsidP="00E96DD0"/>
    <w:p w14:paraId="57BC3A9A" w14:textId="6AF57390" w:rsidR="000420E5" w:rsidRDefault="000420E5" w:rsidP="000420E5">
      <w:r>
        <w:fldChar w:fldCharType="begin"/>
      </w:r>
      <w:r>
        <w:instrText xml:space="preserve"> REF _Ref189455227 \h </w:instrText>
      </w:r>
      <w:r>
        <w:fldChar w:fldCharType="separate"/>
      </w:r>
      <w:r w:rsidR="00753BC8">
        <w:t>Figure </w:t>
      </w:r>
      <w:r w:rsidR="00753BC8">
        <w:rPr>
          <w:noProof/>
        </w:rPr>
        <w:t>43</w:t>
      </w:r>
      <w:r>
        <w:fldChar w:fldCharType="end"/>
      </w:r>
      <w:r>
        <w:t xml:space="preserve"> presents the percentage of people receiving OST from specialist services and GPs in each Health New Zealand district in 2022/23. </w:t>
      </w:r>
      <w:r>
        <w:fldChar w:fldCharType="begin"/>
      </w:r>
      <w:r>
        <w:instrText xml:space="preserve"> REF _Ref65672913 \h </w:instrText>
      </w:r>
      <w:r>
        <w:fldChar w:fldCharType="separate"/>
      </w:r>
      <w:r w:rsidR="00753BC8">
        <w:t>Figure </w:t>
      </w:r>
      <w:r w:rsidR="00753BC8">
        <w:rPr>
          <w:noProof/>
        </w:rPr>
        <w:t>44</w:t>
      </w:r>
      <w:r>
        <w:fldChar w:fldCharType="end"/>
      </w:r>
      <w:r>
        <w:t xml:space="preserve"> shows the number of people receiving OST from these providers from 2007/08 to 2022/23, based on January to June six-monthly reports from OST providers.</w:t>
      </w:r>
    </w:p>
    <w:p w14:paraId="6F6304CA" w14:textId="44BB9FE2" w:rsidR="000420E5" w:rsidRDefault="000420E5" w:rsidP="00E96DD0"/>
    <w:p w14:paraId="2F6A514F" w14:textId="77777777" w:rsidR="00E96DD0" w:rsidRDefault="00E96DD0" w:rsidP="00E96DD0"/>
    <w:p w14:paraId="1CBE1440" w14:textId="5CA56F3E" w:rsidR="00E96DD0" w:rsidRPr="00200234" w:rsidRDefault="00E96DD0" w:rsidP="00E96DD0">
      <w:r>
        <w:t xml:space="preserve"> </w:t>
      </w:r>
    </w:p>
    <w:p w14:paraId="431B98D7" w14:textId="77777777" w:rsidR="00E96DD0" w:rsidRPr="00200234" w:rsidRDefault="00E96DD0" w:rsidP="00E96DD0"/>
    <w:p w14:paraId="075DCB84" w14:textId="77777777" w:rsidR="00E96DD0" w:rsidRDefault="00E96DD0" w:rsidP="00E96DD0">
      <w:pPr>
        <w:pStyle w:val="Figure"/>
        <w:sectPr w:rsidR="00E96DD0" w:rsidSect="00753A1F">
          <w:pgSz w:w="11907" w:h="16834" w:code="9"/>
          <w:pgMar w:top="1418" w:right="1701" w:bottom="1134" w:left="1843" w:header="284" w:footer="425" w:gutter="284"/>
          <w:cols w:space="720"/>
        </w:sectPr>
      </w:pPr>
      <w:bookmarkStart w:id="817" w:name="_Ref65672817"/>
      <w:bookmarkStart w:id="818" w:name="_Toc63764798"/>
      <w:bookmarkStart w:id="819" w:name="_Toc75176504"/>
      <w:bookmarkStart w:id="820" w:name="_Toc85442597"/>
      <w:bookmarkStart w:id="821" w:name="_Toc85445953"/>
      <w:bookmarkStart w:id="822" w:name="_Toc87429991"/>
      <w:bookmarkStart w:id="823" w:name="_Toc88561423"/>
      <w:bookmarkStart w:id="824" w:name="_Toc115188885"/>
      <w:bookmarkStart w:id="825" w:name="_Toc142314727"/>
      <w:bookmarkStart w:id="826" w:name="_Toc145394309"/>
      <w:bookmarkStart w:id="827" w:name="_Toc189053984"/>
    </w:p>
    <w:p w14:paraId="14C355C9" w14:textId="45235141" w:rsidR="00E96DD0" w:rsidRDefault="00E96DD0" w:rsidP="00E96DD0">
      <w:pPr>
        <w:pStyle w:val="Figure"/>
      </w:pPr>
      <w:bookmarkStart w:id="828" w:name="_Ref189455227"/>
      <w:bookmarkStart w:id="829" w:name="_Toc189647969"/>
      <w:r>
        <w:t>Figure </w:t>
      </w:r>
      <w:r>
        <w:fldChar w:fldCharType="begin"/>
      </w:r>
      <w:r>
        <w:instrText>SEQ Figure \* ARABIC</w:instrText>
      </w:r>
      <w:r>
        <w:fldChar w:fldCharType="separate"/>
      </w:r>
      <w:r w:rsidR="00753BC8">
        <w:rPr>
          <w:noProof/>
        </w:rPr>
        <w:t>43</w:t>
      </w:r>
      <w:r>
        <w:fldChar w:fldCharType="end"/>
      </w:r>
      <w:bookmarkEnd w:id="817"/>
      <w:bookmarkEnd w:id="828"/>
      <w:r w:rsidRPr="00200234">
        <w:t xml:space="preserve">: </w:t>
      </w:r>
      <w:r w:rsidRPr="0064348D">
        <w:t xml:space="preserve">Percentage of people receiving </w:t>
      </w:r>
      <w:r>
        <w:t>opioid substitution therapy</w:t>
      </w:r>
      <w:r w:rsidRPr="0064348D">
        <w:t xml:space="preserve"> from specialist services and </w:t>
      </w:r>
      <w:r>
        <w:t>general practitioners</w:t>
      </w:r>
      <w:r w:rsidRPr="0064348D">
        <w:t xml:space="preserve">, by </w:t>
      </w:r>
      <w:r>
        <w:t>district</w:t>
      </w:r>
      <w:r w:rsidRPr="0064348D">
        <w:t>, 1</w:t>
      </w:r>
      <w:r>
        <w:t> </w:t>
      </w:r>
      <w:bookmarkEnd w:id="818"/>
      <w:bookmarkEnd w:id="819"/>
      <w:bookmarkEnd w:id="820"/>
      <w:bookmarkEnd w:id="821"/>
      <w:bookmarkEnd w:id="822"/>
      <w:bookmarkEnd w:id="823"/>
      <w:r w:rsidRPr="0064348D">
        <w:t>July 202</w:t>
      </w:r>
      <w:r>
        <w:t>2</w:t>
      </w:r>
      <w:r w:rsidRPr="0064348D">
        <w:t xml:space="preserve"> to 30 June 202</w:t>
      </w:r>
      <w:r>
        <w:t>3</w:t>
      </w:r>
      <w:bookmarkEnd w:id="824"/>
      <w:bookmarkEnd w:id="825"/>
      <w:bookmarkEnd w:id="826"/>
      <w:bookmarkEnd w:id="827"/>
      <w:bookmarkEnd w:id="829"/>
    </w:p>
    <w:p w14:paraId="438A2CD3" w14:textId="3B76D331" w:rsidR="00E96DD0" w:rsidRDefault="00E96DD0" w:rsidP="00E96DD0">
      <w:r>
        <w:rPr>
          <w:noProof/>
        </w:rPr>
        <w:drawing>
          <wp:inline distT="0" distB="0" distL="0" distR="0" wp14:anchorId="0763747E" wp14:editId="21874708">
            <wp:extent cx="5468620" cy="3115310"/>
            <wp:effectExtent l="0" t="0" r="0" b="8890"/>
            <wp:docPr id="1297958841" name="Picture 12979588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7958841" name="Picture 1297958841">
                      <a:extLst>
                        <a:ext uri="{C183D7F6-B498-43B3-948B-1728B52AA6E4}">
                          <adec:decorative xmlns:adec="http://schemas.microsoft.com/office/drawing/2017/decorative" val="1"/>
                        </a:ext>
                      </a:extLst>
                    </pic:cNvPr>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468620" cy="3115310"/>
                    </a:xfrm>
                    <a:prstGeom prst="rect">
                      <a:avLst/>
                    </a:prstGeom>
                    <a:noFill/>
                  </pic:spPr>
                </pic:pic>
              </a:graphicData>
            </a:graphic>
          </wp:inline>
        </w:drawing>
      </w:r>
    </w:p>
    <w:p w14:paraId="2C072407" w14:textId="77777777" w:rsidR="00E96DD0" w:rsidRPr="00200234" w:rsidRDefault="00E96DD0" w:rsidP="00E96DD0">
      <w:pPr>
        <w:pStyle w:val="Note"/>
        <w:spacing w:before="0"/>
      </w:pPr>
      <w:r w:rsidRPr="00200234">
        <w:t>Note</w:t>
      </w:r>
      <w:r>
        <w:t>s</w:t>
      </w:r>
      <w:r w:rsidRPr="00200234">
        <w:t xml:space="preserve">: </w:t>
      </w:r>
      <w:r>
        <w:t>‘Auckland’ includes Auckland, Counties Manukau and Waitematā districts. ‘Capital &amp; Coast’ includes Capital &amp; Coast and Hutt Valley districts. ‘Canterbury’ includes one GP service operating in Christchurch.</w:t>
      </w:r>
    </w:p>
    <w:p w14:paraId="28FDDD16" w14:textId="77777777" w:rsidR="00E96DD0" w:rsidRPr="00200234" w:rsidRDefault="00E96DD0" w:rsidP="00E96DD0">
      <w:pPr>
        <w:pStyle w:val="Source"/>
      </w:pPr>
      <w:r w:rsidRPr="00200234">
        <w:t>Source: Data provided by OST services in</w:t>
      </w:r>
      <w:r>
        <w:t xml:space="preserve"> January to June</w:t>
      </w:r>
      <w:r w:rsidRPr="00200234">
        <w:t xml:space="preserve"> </w:t>
      </w:r>
      <w:r>
        <w:t>six</w:t>
      </w:r>
      <w:r w:rsidRPr="00200234">
        <w:t>-monthly reports.</w:t>
      </w:r>
    </w:p>
    <w:p w14:paraId="2E1765D7" w14:textId="77777777" w:rsidR="00E96DD0" w:rsidRPr="00200234" w:rsidRDefault="00E96DD0" w:rsidP="00E96DD0"/>
    <w:p w14:paraId="20403D82" w14:textId="646BDDF1" w:rsidR="00E96DD0" w:rsidRPr="00E96DD0" w:rsidRDefault="00E96DD0" w:rsidP="00E96DD0">
      <w:pPr>
        <w:pStyle w:val="Figure"/>
      </w:pPr>
      <w:bookmarkStart w:id="830" w:name="_Ref65672913"/>
      <w:bookmarkStart w:id="831" w:name="_Toc63764800"/>
      <w:bookmarkStart w:id="832" w:name="_Toc75176505"/>
      <w:bookmarkStart w:id="833" w:name="_Toc85442598"/>
      <w:bookmarkStart w:id="834" w:name="_Toc85445954"/>
      <w:bookmarkStart w:id="835" w:name="_Toc87429992"/>
      <w:bookmarkStart w:id="836" w:name="_Toc88561424"/>
      <w:bookmarkStart w:id="837" w:name="_Toc115188886"/>
      <w:bookmarkStart w:id="838" w:name="_Toc142314728"/>
      <w:bookmarkStart w:id="839" w:name="_Toc145394310"/>
      <w:bookmarkStart w:id="840" w:name="_Toc189053985"/>
      <w:bookmarkStart w:id="841" w:name="_Toc189647970"/>
      <w:r>
        <w:t>Figure </w:t>
      </w:r>
      <w:r>
        <w:fldChar w:fldCharType="begin"/>
      </w:r>
      <w:r>
        <w:instrText>SEQ Figure \* ARABIC</w:instrText>
      </w:r>
      <w:r>
        <w:fldChar w:fldCharType="separate"/>
      </w:r>
      <w:r w:rsidR="00753BC8">
        <w:rPr>
          <w:noProof/>
        </w:rPr>
        <w:t>44</w:t>
      </w:r>
      <w:r>
        <w:fldChar w:fldCharType="end"/>
      </w:r>
      <w:bookmarkEnd w:id="830"/>
      <w:r w:rsidRPr="00D81FE9">
        <w:t xml:space="preserve">: Number of people receiving </w:t>
      </w:r>
      <w:r>
        <w:t>opioid substitution therapy</w:t>
      </w:r>
      <w:r w:rsidDel="001B3633">
        <w:t xml:space="preserve"> </w:t>
      </w:r>
      <w:r w:rsidRPr="00D81FE9">
        <w:t>from a specialist service,</w:t>
      </w:r>
      <w:r>
        <w:t xml:space="preserve"> general practitioner</w:t>
      </w:r>
      <w:r w:rsidRPr="00D81FE9">
        <w:t xml:space="preserve"> or prison service, 200</w:t>
      </w:r>
      <w:r>
        <w:t>7</w:t>
      </w:r>
      <w:r w:rsidRPr="00D81FE9">
        <w:t>/0</w:t>
      </w:r>
      <w:r>
        <w:t>8</w:t>
      </w:r>
      <w:bookmarkEnd w:id="831"/>
      <w:bookmarkEnd w:id="832"/>
      <w:bookmarkEnd w:id="833"/>
      <w:bookmarkEnd w:id="834"/>
      <w:bookmarkEnd w:id="835"/>
      <w:bookmarkEnd w:id="836"/>
      <w:bookmarkEnd w:id="837"/>
      <w:r>
        <w:t xml:space="preserve"> to 2022/23</w:t>
      </w:r>
      <w:bookmarkEnd w:id="838"/>
      <w:bookmarkEnd w:id="839"/>
      <w:bookmarkEnd w:id="840"/>
      <w:bookmarkEnd w:id="841"/>
    </w:p>
    <w:p w14:paraId="5890C9CE" w14:textId="21692FC2" w:rsidR="00E96DD0" w:rsidRDefault="00E96DD0" w:rsidP="00E96DD0">
      <w:r>
        <w:rPr>
          <w:noProof/>
        </w:rPr>
        <w:drawing>
          <wp:inline distT="0" distB="0" distL="0" distR="0" wp14:anchorId="644F4C81" wp14:editId="5DBCC6CF">
            <wp:extent cx="5130800" cy="3442970"/>
            <wp:effectExtent l="0" t="0" r="0" b="5080"/>
            <wp:docPr id="1297958842" name="Picture 12979588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7958842" name="Picture 1297958842">
                      <a:extLst>
                        <a:ext uri="{C183D7F6-B498-43B3-948B-1728B52AA6E4}">
                          <adec:decorative xmlns:adec="http://schemas.microsoft.com/office/drawing/2017/decorative" val="1"/>
                        </a:ext>
                      </a:extLst>
                    </pic:cNvPr>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130800" cy="3442970"/>
                    </a:xfrm>
                    <a:prstGeom prst="rect">
                      <a:avLst/>
                    </a:prstGeom>
                    <a:noFill/>
                  </pic:spPr>
                </pic:pic>
              </a:graphicData>
            </a:graphic>
          </wp:inline>
        </w:drawing>
      </w:r>
    </w:p>
    <w:p w14:paraId="22D25AD3" w14:textId="77777777" w:rsidR="00E96DD0" w:rsidRPr="00200234" w:rsidRDefault="00E96DD0" w:rsidP="00E96DD0">
      <w:pPr>
        <w:pStyle w:val="Note"/>
      </w:pPr>
      <w:r w:rsidRPr="00200234">
        <w:t>Note: Data for clients seen in prison collected from July 2013.</w:t>
      </w:r>
    </w:p>
    <w:p w14:paraId="7AF3113D" w14:textId="77777777" w:rsidR="00E96DD0" w:rsidRPr="00200234" w:rsidRDefault="00E96DD0" w:rsidP="00E96DD0">
      <w:pPr>
        <w:pStyle w:val="Source"/>
      </w:pPr>
      <w:r w:rsidRPr="00200234">
        <w:t>Source: Data provided by OST services in</w:t>
      </w:r>
      <w:r>
        <w:t xml:space="preserve"> January to June</w:t>
      </w:r>
      <w:r w:rsidRPr="00200234">
        <w:t xml:space="preserve"> </w:t>
      </w:r>
      <w:r>
        <w:t>six</w:t>
      </w:r>
      <w:r w:rsidRPr="00200234">
        <w:t>-monthly reports.</w:t>
      </w:r>
    </w:p>
    <w:p w14:paraId="5B59D761" w14:textId="4C86CB99" w:rsidR="00E96DD0" w:rsidRDefault="00E96DD0" w:rsidP="00E96DD0"/>
    <w:p w14:paraId="6A3D981A" w14:textId="58011062" w:rsidR="00E96DD0" w:rsidRDefault="00E96DD0" w:rsidP="00E96DD0"/>
    <w:p w14:paraId="3BDE71DE" w14:textId="5FC32B90" w:rsidR="00E96DD0" w:rsidRDefault="00E96DD0" w:rsidP="00E96DD0"/>
    <w:p w14:paraId="373DAB9A" w14:textId="77777777" w:rsidR="00E96DD0" w:rsidRPr="00B86C90" w:rsidRDefault="00E96DD0" w:rsidP="00E96DD0">
      <w:pPr>
        <w:pStyle w:val="Heading3"/>
      </w:pPr>
      <w:bookmarkStart w:id="842" w:name="_Toc65141654"/>
      <w:bookmarkStart w:id="843" w:name="_Toc87429938"/>
      <w:bookmarkStart w:id="844" w:name="_Toc115188834"/>
      <w:bookmarkStart w:id="845" w:name="_Toc189053930"/>
      <w:r w:rsidRPr="00B86C90">
        <w:t>Prescribing opioid treatments</w:t>
      </w:r>
      <w:bookmarkEnd w:id="842"/>
      <w:bookmarkEnd w:id="843"/>
      <w:bookmarkEnd w:id="844"/>
      <w:bookmarkEnd w:id="845"/>
    </w:p>
    <w:p w14:paraId="53ED0B49" w14:textId="77777777" w:rsidR="00E96DD0" w:rsidRPr="00200234" w:rsidRDefault="00E96DD0" w:rsidP="00E96DD0">
      <w:r>
        <w:t>A treatment that r</w:t>
      </w:r>
      <w:r w:rsidRPr="00200234">
        <w:t>eplac</w:t>
      </w:r>
      <w:r>
        <w:t>es</w:t>
      </w:r>
      <w:r w:rsidRPr="00200234">
        <w:t xml:space="preserve"> addictive substances like opioids with prescribed drugs is called pharmacotherapy. The purpose of this treatment is to stabilise the opioid user</w:t>
      </w:r>
      <w:r>
        <w:t>’</w:t>
      </w:r>
      <w:r w:rsidRPr="00200234">
        <w:t xml:space="preserve">s </w:t>
      </w:r>
      <w:r>
        <w:t>health</w:t>
      </w:r>
      <w:r w:rsidRPr="00200234">
        <w:t xml:space="preserve"> and reduce harms </w:t>
      </w:r>
      <w:r>
        <w:t>from</w:t>
      </w:r>
      <w:r w:rsidRPr="00200234">
        <w:t xml:space="preserve"> drug use, such as the risk of overdose, blood-borne virus transmission and substance-related criminal activity.</w:t>
      </w:r>
    </w:p>
    <w:p w14:paraId="47D6CF47" w14:textId="77777777" w:rsidR="00E96DD0" w:rsidRPr="00200234" w:rsidRDefault="00E96DD0" w:rsidP="00E96DD0"/>
    <w:p w14:paraId="16DAB5E1" w14:textId="77777777" w:rsidR="00E96DD0" w:rsidRPr="00200234" w:rsidRDefault="00E96DD0" w:rsidP="00E96DD0">
      <w:r w:rsidRPr="00200234">
        <w:t xml:space="preserve">The </w:t>
      </w:r>
      <w:r>
        <w:t>two</w:t>
      </w:r>
      <w:r w:rsidRPr="00200234">
        <w:t xml:space="preserve"> types of pharmacotherapy are:</w:t>
      </w:r>
    </w:p>
    <w:p w14:paraId="5F803F78" w14:textId="77777777" w:rsidR="00E96DD0" w:rsidRPr="00B86C90" w:rsidRDefault="00E96DD0" w:rsidP="00E96DD0">
      <w:pPr>
        <w:pStyle w:val="Bullet"/>
        <w:tabs>
          <w:tab w:val="num" w:pos="284"/>
        </w:tabs>
      </w:pPr>
      <w:r w:rsidRPr="00B86C90">
        <w:t xml:space="preserve">maintenance therapy </w:t>
      </w:r>
      <w:r>
        <w:t>–</w:t>
      </w:r>
      <w:r w:rsidRPr="00B86C90">
        <w:t xml:space="preserve"> using opioid substitutes to remain on a stable dose</w:t>
      </w:r>
    </w:p>
    <w:p w14:paraId="560FCA6A" w14:textId="77777777" w:rsidR="00E96DD0" w:rsidRPr="00B86C90" w:rsidRDefault="00E96DD0" w:rsidP="00E96DD0">
      <w:pPr>
        <w:pStyle w:val="Bullet"/>
        <w:tabs>
          <w:tab w:val="num" w:pos="284"/>
        </w:tabs>
      </w:pPr>
      <w:r w:rsidRPr="00B86C90">
        <w:t xml:space="preserve">detox </w:t>
      </w:r>
      <w:r>
        <w:t>–</w:t>
      </w:r>
      <w:r w:rsidRPr="00B86C90">
        <w:t xml:space="preserve"> using opioid substitutes to gradually withdraw from the substitute so the client can be free of all opioid substances.</w:t>
      </w:r>
    </w:p>
    <w:p w14:paraId="36D52CF5" w14:textId="77777777" w:rsidR="00E96DD0" w:rsidRPr="00200234" w:rsidRDefault="00E96DD0" w:rsidP="00E96DD0"/>
    <w:p w14:paraId="2B2A94C9" w14:textId="77777777" w:rsidR="00E96DD0" w:rsidRPr="00200234" w:rsidRDefault="00E96DD0" w:rsidP="00E96DD0">
      <w:r w:rsidRPr="00200234">
        <w:t xml:space="preserve">Methadone has historically been the main </w:t>
      </w:r>
      <w:r>
        <w:t>OST</w:t>
      </w:r>
      <w:r w:rsidRPr="00200234">
        <w:t xml:space="preserve"> available. Clients need a daily dose, which in turn makes it necessary to limit prescribing and dispensing.</w:t>
      </w:r>
    </w:p>
    <w:p w14:paraId="1B9ABE6F" w14:textId="77777777" w:rsidR="00E96DD0" w:rsidRPr="00200234" w:rsidRDefault="00E96DD0" w:rsidP="00E96DD0"/>
    <w:p w14:paraId="1A8872E1" w14:textId="47249C58" w:rsidR="00E96DD0" w:rsidRDefault="00E96DD0" w:rsidP="00E96DD0">
      <w:r w:rsidRPr="00200234">
        <w:t xml:space="preserve">In 2012, </w:t>
      </w:r>
      <w:r>
        <w:t>the Pharmaceutical Management Agency Ltd (</w:t>
      </w:r>
      <w:r w:rsidRPr="00200234">
        <w:t>P</w:t>
      </w:r>
      <w:r>
        <w:t>harmac)</w:t>
      </w:r>
      <w:r w:rsidRPr="00200234">
        <w:t xml:space="preserve"> began funding a buprenorphine-naloxone (suboxone) combination</w:t>
      </w:r>
      <w:r>
        <w:t xml:space="preserve"> for OST</w:t>
      </w:r>
      <w:r w:rsidRPr="00200234">
        <w:t xml:space="preserve">. Suboxone can be administered in cumulative doses that last several days, which reduces the risk of drug diversion and offers clients more normality in their lives. </w:t>
      </w:r>
      <w:r>
        <w:fldChar w:fldCharType="begin"/>
      </w:r>
      <w:r>
        <w:instrText xml:space="preserve"> REF _Ref65672928 \h </w:instrText>
      </w:r>
      <w:r>
        <w:fldChar w:fldCharType="separate"/>
      </w:r>
      <w:r w:rsidR="00753BC8">
        <w:t>Figure </w:t>
      </w:r>
      <w:r w:rsidR="00753BC8">
        <w:rPr>
          <w:noProof/>
        </w:rPr>
        <w:t>45</w:t>
      </w:r>
      <w:r>
        <w:fldChar w:fldCharType="end"/>
      </w:r>
      <w:r w:rsidRPr="00200234">
        <w:t xml:space="preserve"> presents the number of people prescribed suboxone from </w:t>
      </w:r>
      <w:r w:rsidRPr="00FE1E7E">
        <w:t>200</w:t>
      </w:r>
      <w:r>
        <w:t>7</w:t>
      </w:r>
      <w:r w:rsidRPr="00FE1E7E">
        <w:t>/0</w:t>
      </w:r>
      <w:r>
        <w:t>8</w:t>
      </w:r>
      <w:r w:rsidRPr="00FE1E7E">
        <w:t xml:space="preserve"> to 202</w:t>
      </w:r>
      <w:r>
        <w:t>2</w:t>
      </w:r>
      <w:r w:rsidRPr="00FE1E7E">
        <w:t>/2</w:t>
      </w:r>
      <w:r>
        <w:t>3.</w:t>
      </w:r>
      <w:r w:rsidRPr="00200234">
        <w:t xml:space="preserve"> </w:t>
      </w:r>
    </w:p>
    <w:p w14:paraId="7FABF14F" w14:textId="77777777" w:rsidR="00E96DD0" w:rsidRDefault="00E96DD0" w:rsidP="00E96DD0"/>
    <w:p w14:paraId="02556029" w14:textId="77777777" w:rsidR="00E96DD0" w:rsidRDefault="00E96DD0" w:rsidP="00E96DD0">
      <w:r>
        <w:t xml:space="preserve">In </w:t>
      </w:r>
      <w:r w:rsidRPr="00200234">
        <w:t>20</w:t>
      </w:r>
      <w:r>
        <w:t>22/23</w:t>
      </w:r>
      <w:r w:rsidRPr="00C80369">
        <w:t>, 2</w:t>
      </w:r>
      <w:r w:rsidRPr="00501296">
        <w:t>4.1</w:t>
      </w:r>
      <w:r w:rsidRPr="00C80369">
        <w:t>% of OST</w:t>
      </w:r>
      <w:r w:rsidRPr="00200234">
        <w:t xml:space="preserve"> clients were prescribed suboxone.</w:t>
      </w:r>
    </w:p>
    <w:p w14:paraId="2056AD22" w14:textId="77777777" w:rsidR="00E96DD0" w:rsidRDefault="00E96DD0" w:rsidP="00E96DD0"/>
    <w:p w14:paraId="383CB996" w14:textId="278DF8F7" w:rsidR="00E96DD0" w:rsidRDefault="00E96DD0" w:rsidP="00E96DD0">
      <w:pPr>
        <w:pStyle w:val="Figure"/>
      </w:pPr>
      <w:bookmarkStart w:id="846" w:name="_Ref65672928"/>
      <w:bookmarkStart w:id="847" w:name="_Toc63764801"/>
      <w:bookmarkStart w:id="848" w:name="_Toc75176506"/>
      <w:bookmarkStart w:id="849" w:name="_Toc85442599"/>
      <w:bookmarkStart w:id="850" w:name="_Toc85445955"/>
      <w:bookmarkStart w:id="851" w:name="_Toc87429993"/>
      <w:bookmarkStart w:id="852" w:name="_Toc88561425"/>
      <w:bookmarkStart w:id="853" w:name="_Toc115188887"/>
      <w:bookmarkStart w:id="854" w:name="_Toc142314729"/>
      <w:bookmarkStart w:id="855" w:name="_Toc145394311"/>
      <w:bookmarkStart w:id="856" w:name="_Toc189053986"/>
      <w:bookmarkStart w:id="857" w:name="_Toc189647971"/>
      <w:r>
        <w:t>Figure </w:t>
      </w:r>
      <w:r>
        <w:fldChar w:fldCharType="begin"/>
      </w:r>
      <w:r>
        <w:instrText>SEQ Figure \* ARABIC</w:instrText>
      </w:r>
      <w:r>
        <w:fldChar w:fldCharType="separate"/>
      </w:r>
      <w:r w:rsidR="00753BC8">
        <w:rPr>
          <w:noProof/>
        </w:rPr>
        <w:t>45</w:t>
      </w:r>
      <w:r>
        <w:fldChar w:fldCharType="end"/>
      </w:r>
      <w:bookmarkEnd w:id="846"/>
      <w:r w:rsidRPr="00200234">
        <w:t xml:space="preserve">: </w:t>
      </w:r>
      <w:r w:rsidRPr="004272A8">
        <w:t>Number of people prescribed suboxone, 20</w:t>
      </w:r>
      <w:r>
        <w:t xml:space="preserve">07/08 to </w:t>
      </w:r>
      <w:r w:rsidRPr="004272A8">
        <w:t>20</w:t>
      </w:r>
      <w:bookmarkEnd w:id="847"/>
      <w:r w:rsidRPr="004272A8">
        <w:t>2</w:t>
      </w:r>
      <w:r>
        <w:t>2/23</w:t>
      </w:r>
      <w:bookmarkEnd w:id="848"/>
      <w:bookmarkEnd w:id="849"/>
      <w:bookmarkEnd w:id="850"/>
      <w:bookmarkEnd w:id="851"/>
      <w:bookmarkEnd w:id="852"/>
      <w:bookmarkEnd w:id="853"/>
      <w:bookmarkEnd w:id="854"/>
      <w:bookmarkEnd w:id="855"/>
      <w:bookmarkEnd w:id="856"/>
      <w:bookmarkEnd w:id="857"/>
    </w:p>
    <w:p w14:paraId="42D90D3D" w14:textId="1126DAB8" w:rsidR="00E96DD0" w:rsidRDefault="00E96DD0" w:rsidP="00E96DD0">
      <w:r>
        <w:rPr>
          <w:noProof/>
        </w:rPr>
        <w:drawing>
          <wp:inline distT="0" distB="0" distL="0" distR="0" wp14:anchorId="5854A973" wp14:editId="2E23E94A">
            <wp:extent cx="5133340" cy="2993390"/>
            <wp:effectExtent l="0" t="0" r="0" b="0"/>
            <wp:docPr id="1297958843" name="Picture 12979588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7958843" name="Picture 1297958843">
                      <a:extLst>
                        <a:ext uri="{C183D7F6-B498-43B3-948B-1728B52AA6E4}">
                          <adec:decorative xmlns:adec="http://schemas.microsoft.com/office/drawing/2017/decorative" val="1"/>
                        </a:ext>
                      </a:extLst>
                    </pic:cNvPr>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133340" cy="2993390"/>
                    </a:xfrm>
                    <a:prstGeom prst="rect">
                      <a:avLst/>
                    </a:prstGeom>
                    <a:noFill/>
                  </pic:spPr>
                </pic:pic>
              </a:graphicData>
            </a:graphic>
          </wp:inline>
        </w:drawing>
      </w:r>
    </w:p>
    <w:p w14:paraId="25D05B89" w14:textId="77777777" w:rsidR="00E96DD0" w:rsidRPr="00993F35" w:rsidRDefault="00E96DD0" w:rsidP="00E96DD0">
      <w:pPr>
        <w:pStyle w:val="Source"/>
      </w:pPr>
      <w:r w:rsidRPr="00200234">
        <w:t xml:space="preserve">Source: Data provided by OST services in </w:t>
      </w:r>
      <w:r>
        <w:t>January to June</w:t>
      </w:r>
      <w:r w:rsidRPr="00200234">
        <w:t xml:space="preserve"> </w:t>
      </w:r>
      <w:r>
        <w:t>six</w:t>
      </w:r>
      <w:r w:rsidRPr="00200234">
        <w:t>-monthly reports.</w:t>
      </w:r>
    </w:p>
    <w:p w14:paraId="455458A2" w14:textId="77777777" w:rsidR="00E96DD0" w:rsidRDefault="00E96DD0" w:rsidP="00E96DD0">
      <w:bookmarkStart w:id="858" w:name="_Toc65141655"/>
      <w:bookmarkStart w:id="859" w:name="_Toc87429939"/>
      <w:bookmarkStart w:id="860" w:name="_Toc115188835"/>
    </w:p>
    <w:p w14:paraId="4FD90BBA" w14:textId="77777777" w:rsidR="00E96DD0" w:rsidRPr="00B86C90" w:rsidRDefault="00E96DD0" w:rsidP="00E96DD0">
      <w:pPr>
        <w:pStyle w:val="Heading3"/>
      </w:pPr>
      <w:bookmarkStart w:id="861" w:name="_Toc189053931"/>
      <w:r w:rsidRPr="00C62BA3">
        <w:t xml:space="preserve">The ageing population of </w:t>
      </w:r>
      <w:r>
        <w:t>OST</w:t>
      </w:r>
      <w:r w:rsidRPr="00C62BA3">
        <w:t xml:space="preserve"> clients</w:t>
      </w:r>
      <w:bookmarkEnd w:id="858"/>
      <w:bookmarkEnd w:id="859"/>
      <w:bookmarkEnd w:id="860"/>
      <w:bookmarkEnd w:id="861"/>
    </w:p>
    <w:p w14:paraId="54A3C658" w14:textId="1D5BCCF2" w:rsidR="00E96DD0" w:rsidRDefault="00E96DD0" w:rsidP="00E96DD0">
      <w:r w:rsidRPr="00C80369">
        <w:t xml:space="preserve">OST clients are an ageing population. </w:t>
      </w:r>
      <w:r w:rsidRPr="00C80369">
        <w:fldChar w:fldCharType="begin"/>
      </w:r>
      <w:r w:rsidRPr="00C80369">
        <w:instrText xml:space="preserve"> REF _Ref65672935 \h </w:instrText>
      </w:r>
      <w:r w:rsidRPr="00501296">
        <w:instrText xml:space="preserve"> \* MERGEFORMAT </w:instrText>
      </w:r>
      <w:r w:rsidRPr="00C80369">
        <w:fldChar w:fldCharType="separate"/>
      </w:r>
      <w:r w:rsidR="00753BC8">
        <w:t>Figure 46</w:t>
      </w:r>
      <w:r w:rsidRPr="00C80369">
        <w:fldChar w:fldCharType="end"/>
      </w:r>
      <w:r w:rsidRPr="00C80369">
        <w:t xml:space="preserve"> shows how </w:t>
      </w:r>
      <w:r>
        <w:t xml:space="preserve">the number of </w:t>
      </w:r>
      <w:r w:rsidRPr="00C80369">
        <w:t>clients in older</w:t>
      </w:r>
      <w:r>
        <w:t xml:space="preserve"> age</w:t>
      </w:r>
      <w:r w:rsidRPr="00C80369">
        <w:t xml:space="preserve"> groups ha</w:t>
      </w:r>
      <w:r>
        <w:t>s</w:t>
      </w:r>
      <w:r w:rsidRPr="00C80369">
        <w:t xml:space="preserve"> been increasing from 200</w:t>
      </w:r>
      <w:r>
        <w:t>7</w:t>
      </w:r>
      <w:r w:rsidRPr="00C80369">
        <w:t>/0</w:t>
      </w:r>
      <w:r>
        <w:t>8.  Those aged</w:t>
      </w:r>
      <w:r w:rsidRPr="00C80369">
        <w:t xml:space="preserve"> 45</w:t>
      </w:r>
      <w:r>
        <w:t>–59</w:t>
      </w:r>
      <w:r w:rsidRPr="00C80369">
        <w:t xml:space="preserve"> </w:t>
      </w:r>
      <w:r>
        <w:t xml:space="preserve">years </w:t>
      </w:r>
      <w:r w:rsidRPr="00C80369">
        <w:t>are the most likely age group to be receiving OST.</w:t>
      </w:r>
      <w:r w:rsidRPr="00200234">
        <w:t xml:space="preserve"> </w:t>
      </w:r>
    </w:p>
    <w:p w14:paraId="29FD0DC3" w14:textId="77777777" w:rsidR="00E96DD0" w:rsidRDefault="00E96DD0" w:rsidP="00E96DD0"/>
    <w:p w14:paraId="6C05CBFA" w14:textId="77777777" w:rsidR="00E96DD0" w:rsidRPr="00200234" w:rsidRDefault="00E96DD0" w:rsidP="00E96DD0">
      <w:r>
        <w:t>In 2022/23</w:t>
      </w:r>
      <w:r w:rsidRPr="00200234">
        <w:t xml:space="preserve">, </w:t>
      </w:r>
      <w:r>
        <w:t xml:space="preserve">the majority </w:t>
      </w:r>
      <w:r w:rsidRPr="00200234">
        <w:t xml:space="preserve">of </w:t>
      </w:r>
      <w:r w:rsidRPr="00890B4F">
        <w:t>clients (</w:t>
      </w:r>
      <w:r w:rsidRPr="00501296">
        <w:t>70.1</w:t>
      </w:r>
      <w:r w:rsidRPr="00890B4F">
        <w:t>%)</w:t>
      </w:r>
      <w:r w:rsidRPr="00200234">
        <w:t xml:space="preserve"> were</w:t>
      </w:r>
      <w:r>
        <w:t xml:space="preserve"> aged</w:t>
      </w:r>
      <w:r w:rsidRPr="00200234">
        <w:t xml:space="preserve"> over 45</w:t>
      </w:r>
      <w:r>
        <w:t xml:space="preserve"> years. </w:t>
      </w:r>
      <w:r w:rsidRPr="00200234">
        <w:t>Treating an ageing population brings with it more health complications.</w:t>
      </w:r>
    </w:p>
    <w:p w14:paraId="356F235E" w14:textId="77777777" w:rsidR="00E96DD0" w:rsidRPr="00200234" w:rsidRDefault="00E96DD0" w:rsidP="00E96DD0"/>
    <w:p w14:paraId="03AC9635" w14:textId="50FD610D" w:rsidR="00E96DD0" w:rsidRDefault="00E96DD0" w:rsidP="00E96DD0">
      <w:pPr>
        <w:pStyle w:val="Figure"/>
      </w:pPr>
      <w:bookmarkStart w:id="862" w:name="_Ref65672935"/>
      <w:bookmarkStart w:id="863" w:name="_Toc63764802"/>
      <w:bookmarkStart w:id="864" w:name="_Toc75176507"/>
      <w:bookmarkStart w:id="865" w:name="_Toc85442600"/>
      <w:bookmarkStart w:id="866" w:name="_Toc85445956"/>
      <w:bookmarkStart w:id="867" w:name="_Toc87429994"/>
      <w:bookmarkStart w:id="868" w:name="_Toc88561426"/>
      <w:bookmarkStart w:id="869" w:name="_Toc115188888"/>
      <w:bookmarkStart w:id="870" w:name="_Toc142314730"/>
      <w:bookmarkStart w:id="871" w:name="_Toc145394312"/>
      <w:bookmarkStart w:id="872" w:name="_Toc189053987"/>
      <w:bookmarkStart w:id="873" w:name="_Toc189647972"/>
      <w:r>
        <w:t>Figure </w:t>
      </w:r>
      <w:r>
        <w:fldChar w:fldCharType="begin"/>
      </w:r>
      <w:r>
        <w:instrText>SEQ Figure \* ARABIC</w:instrText>
      </w:r>
      <w:r>
        <w:fldChar w:fldCharType="separate"/>
      </w:r>
      <w:r w:rsidR="00753BC8">
        <w:rPr>
          <w:noProof/>
        </w:rPr>
        <w:t>46</w:t>
      </w:r>
      <w:r>
        <w:fldChar w:fldCharType="end"/>
      </w:r>
      <w:bookmarkEnd w:id="862"/>
      <w:r w:rsidRPr="00200234">
        <w:t xml:space="preserve">: </w:t>
      </w:r>
      <w:r w:rsidRPr="00197AAF">
        <w:t xml:space="preserve">Number of </w:t>
      </w:r>
      <w:r>
        <w:t>opioid substitution treatment</w:t>
      </w:r>
      <w:r w:rsidRPr="00197AAF">
        <w:t xml:space="preserve"> clients, by age group, 200</w:t>
      </w:r>
      <w:r>
        <w:t>7</w:t>
      </w:r>
      <w:r w:rsidRPr="00197AAF">
        <w:t>/0</w:t>
      </w:r>
      <w:bookmarkEnd w:id="863"/>
      <w:bookmarkEnd w:id="864"/>
      <w:bookmarkEnd w:id="865"/>
      <w:bookmarkEnd w:id="866"/>
      <w:bookmarkEnd w:id="867"/>
      <w:bookmarkEnd w:id="868"/>
      <w:bookmarkEnd w:id="869"/>
      <w:r>
        <w:t>8 to 2022/23</w:t>
      </w:r>
      <w:bookmarkEnd w:id="870"/>
      <w:bookmarkEnd w:id="871"/>
      <w:bookmarkEnd w:id="872"/>
      <w:bookmarkEnd w:id="873"/>
    </w:p>
    <w:p w14:paraId="1AA171A7" w14:textId="5ED1C32C" w:rsidR="00E96DD0" w:rsidRDefault="00E96DD0" w:rsidP="00E96DD0">
      <w:r>
        <w:rPr>
          <w:noProof/>
        </w:rPr>
        <w:drawing>
          <wp:inline distT="0" distB="0" distL="0" distR="0" wp14:anchorId="17331041" wp14:editId="32B9798D">
            <wp:extent cx="5130800" cy="2398987"/>
            <wp:effectExtent l="0" t="0" r="0" b="1905"/>
            <wp:docPr id="1297958844" name="Picture 12979588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7958844" name="Picture 1297958844">
                      <a:extLst>
                        <a:ext uri="{C183D7F6-B498-43B3-948B-1728B52AA6E4}">
                          <adec:decorative xmlns:adec="http://schemas.microsoft.com/office/drawing/2017/decorative" val="1"/>
                        </a:ext>
                      </a:extLst>
                    </pic:cNvPr>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161394" cy="2413292"/>
                    </a:xfrm>
                    <a:prstGeom prst="rect">
                      <a:avLst/>
                    </a:prstGeom>
                    <a:noFill/>
                  </pic:spPr>
                </pic:pic>
              </a:graphicData>
            </a:graphic>
          </wp:inline>
        </w:drawing>
      </w:r>
    </w:p>
    <w:p w14:paraId="510293F7" w14:textId="77777777" w:rsidR="00E96DD0" w:rsidRDefault="00E96DD0" w:rsidP="00E96DD0">
      <w:pPr>
        <w:pStyle w:val="Source"/>
      </w:pPr>
      <w:r w:rsidRPr="00200234">
        <w:t xml:space="preserve">Source: Data provided by OST services in </w:t>
      </w:r>
      <w:r>
        <w:t>January to June</w:t>
      </w:r>
      <w:r w:rsidRPr="00200234">
        <w:t xml:space="preserve"> </w:t>
      </w:r>
      <w:r>
        <w:t>six</w:t>
      </w:r>
      <w:r w:rsidRPr="00200234">
        <w:t>-monthly reports.</w:t>
      </w:r>
    </w:p>
    <w:p w14:paraId="11FC2251" w14:textId="77777777" w:rsidR="00E96DD0" w:rsidRPr="00B86C90" w:rsidRDefault="00E96DD0" w:rsidP="00E96DD0">
      <w:pPr>
        <w:pStyle w:val="Heading3"/>
      </w:pPr>
      <w:bookmarkStart w:id="874" w:name="_Toc65141656"/>
      <w:bookmarkStart w:id="875" w:name="_Toc87429940"/>
      <w:bookmarkStart w:id="876" w:name="_Toc115188836"/>
      <w:bookmarkStart w:id="877" w:name="_Toc189053932"/>
      <w:r w:rsidRPr="00B86C90">
        <w:t>Exit from</w:t>
      </w:r>
      <w:bookmarkEnd w:id="874"/>
      <w:r w:rsidRPr="00B86C90">
        <w:t xml:space="preserve"> </w:t>
      </w:r>
      <w:bookmarkEnd w:id="875"/>
      <w:bookmarkEnd w:id="876"/>
      <w:r>
        <w:t>OST</w:t>
      </w:r>
      <w:bookmarkEnd w:id="877"/>
    </w:p>
    <w:p w14:paraId="10BD3DCB" w14:textId="77777777" w:rsidR="00E96DD0" w:rsidRPr="009204FE" w:rsidRDefault="00E96DD0" w:rsidP="00E96DD0">
      <w:r>
        <w:t xml:space="preserve">A total of 494 people receiving OST exited the service in 2022/23. </w:t>
      </w:r>
      <w:r w:rsidRPr="009204FE">
        <w:t xml:space="preserve">The following summarises </w:t>
      </w:r>
      <w:r>
        <w:t xml:space="preserve">the </w:t>
      </w:r>
      <w:r w:rsidRPr="009204FE">
        <w:t xml:space="preserve">OST exit data </w:t>
      </w:r>
      <w:r>
        <w:t>for this group of people.</w:t>
      </w:r>
    </w:p>
    <w:p w14:paraId="46F84958" w14:textId="77777777" w:rsidR="00E96DD0" w:rsidRPr="009204FE" w:rsidRDefault="00E96DD0" w:rsidP="00E96DD0">
      <w:pPr>
        <w:pStyle w:val="Bullet"/>
        <w:tabs>
          <w:tab w:val="num" w:pos="284"/>
        </w:tabs>
      </w:pPr>
      <w:r w:rsidRPr="009204FE">
        <w:t>Of those who exited OST, 3</w:t>
      </w:r>
      <w:r w:rsidRPr="00501296">
        <w:t>9</w:t>
      </w:r>
      <w:r w:rsidRPr="009204FE">
        <w:t>9 (8</w:t>
      </w:r>
      <w:r w:rsidRPr="00501296">
        <w:t>1</w:t>
      </w:r>
      <w:r w:rsidRPr="009204FE">
        <w:t>%) voluntarily withdrew.</w:t>
      </w:r>
    </w:p>
    <w:p w14:paraId="3E22A270" w14:textId="77777777" w:rsidR="00E96DD0" w:rsidRPr="009204FE" w:rsidRDefault="00E96DD0" w:rsidP="00E96DD0">
      <w:pPr>
        <w:pStyle w:val="Bullet"/>
        <w:tabs>
          <w:tab w:val="num" w:pos="284"/>
        </w:tabs>
      </w:pPr>
      <w:r w:rsidRPr="009204FE">
        <w:t xml:space="preserve">There were </w:t>
      </w:r>
      <w:r>
        <w:t>nine</w:t>
      </w:r>
      <w:r w:rsidRPr="009204FE">
        <w:t xml:space="preserve"> involuntary withdrawals (</w:t>
      </w:r>
      <w:r w:rsidRPr="00501296">
        <w:t>2</w:t>
      </w:r>
      <w:r w:rsidRPr="009204FE">
        <w:t>% of all exits)</w:t>
      </w:r>
      <w:r>
        <w:t xml:space="preserve">. Involuntary withdrawals </w:t>
      </w:r>
      <w:r w:rsidRPr="009204FE">
        <w:t xml:space="preserve">can </w:t>
      </w:r>
      <w:r>
        <w:t xml:space="preserve">occur where a client’s </w:t>
      </w:r>
      <w:r w:rsidRPr="009204FE">
        <w:t xml:space="preserve">behaviour </w:t>
      </w:r>
      <w:r>
        <w:t xml:space="preserve">puts their own </w:t>
      </w:r>
      <w:r w:rsidRPr="009204FE">
        <w:t xml:space="preserve">safety or </w:t>
      </w:r>
      <w:r>
        <w:t xml:space="preserve">the safety of </w:t>
      </w:r>
      <w:r w:rsidRPr="009204FE">
        <w:t>others</w:t>
      </w:r>
      <w:r>
        <w:t xml:space="preserve"> at risk</w:t>
      </w:r>
      <w:r w:rsidRPr="009204FE">
        <w:t>.</w:t>
      </w:r>
    </w:p>
    <w:p w14:paraId="51BE8AFD" w14:textId="77777777" w:rsidR="00E96DD0" w:rsidRPr="00ED4FA1" w:rsidRDefault="00E96DD0" w:rsidP="00E96DD0">
      <w:pPr>
        <w:pStyle w:val="Bullet"/>
        <w:tabs>
          <w:tab w:val="num" w:pos="284"/>
        </w:tabs>
      </w:pPr>
      <w:r>
        <w:t>Of the</w:t>
      </w:r>
      <w:r w:rsidRPr="009204FE">
        <w:t xml:space="preserve"> people who had been receiving OST</w:t>
      </w:r>
      <w:r>
        <w:t xml:space="preserve"> and exited the service, 86</w:t>
      </w:r>
      <w:r w:rsidRPr="009204FE">
        <w:t xml:space="preserve"> died. A small proportion of these people died of a suspected overdose. In these cases, the Ministry requires services to conduct an incident review and report it to the </w:t>
      </w:r>
      <w:r>
        <w:t>medical officer</w:t>
      </w:r>
      <w:r w:rsidRPr="009204FE">
        <w:t xml:space="preserve"> of </w:t>
      </w:r>
      <w:r>
        <w:t>health.</w:t>
      </w:r>
      <w:r w:rsidRPr="009204FE">
        <w:t xml:space="preserve"> The</w:t>
      </w:r>
      <w:r w:rsidRPr="00ED4FA1">
        <w:t xml:space="preserve"> remaining deaths </w:t>
      </w:r>
      <w:r>
        <w:t>had</w:t>
      </w:r>
      <w:r w:rsidRPr="00ED4FA1">
        <w:t xml:space="preserve"> a range of other causes, such as cancer and cardiovascular disease.</w:t>
      </w:r>
    </w:p>
    <w:p w14:paraId="15E6DFC2" w14:textId="77777777" w:rsidR="00E96DD0" w:rsidRDefault="00E96DD0" w:rsidP="00E96DD0"/>
    <w:p w14:paraId="5522D2C4" w14:textId="1CD4C98E" w:rsidR="00E96DD0" w:rsidRDefault="00E96DD0" w:rsidP="00E96DD0">
      <w:r>
        <w:fldChar w:fldCharType="begin"/>
      </w:r>
      <w:r>
        <w:instrText xml:space="preserve"> REF _Ref65672943 \h </w:instrText>
      </w:r>
      <w:r>
        <w:fldChar w:fldCharType="separate"/>
      </w:r>
      <w:r w:rsidR="00753BC8">
        <w:t>Figure </w:t>
      </w:r>
      <w:r w:rsidR="00753BC8">
        <w:rPr>
          <w:noProof/>
        </w:rPr>
        <w:t>47</w:t>
      </w:r>
      <w:r>
        <w:fldChar w:fldCharType="end"/>
      </w:r>
      <w:r w:rsidRPr="00ED4FA1">
        <w:t xml:space="preserve"> gives an overview of the reasons for </w:t>
      </w:r>
      <w:r>
        <w:t>exit from treatment</w:t>
      </w:r>
      <w:r w:rsidRPr="00ED4FA1">
        <w:t xml:space="preserve"> (voluntary, involuntary or death) from </w:t>
      </w:r>
      <w:r w:rsidRPr="00D35256">
        <w:t xml:space="preserve">2008/09 to </w:t>
      </w:r>
      <w:r>
        <w:t>2022/23</w:t>
      </w:r>
      <w:r w:rsidRPr="00ED4FA1">
        <w:t>.</w:t>
      </w:r>
    </w:p>
    <w:p w14:paraId="2735FEAC" w14:textId="77777777" w:rsidR="00B36513" w:rsidRDefault="00B36513" w:rsidP="00E96DD0">
      <w:pPr>
        <w:sectPr w:rsidR="00B36513" w:rsidSect="00753A1F">
          <w:pgSz w:w="11907" w:h="16834" w:code="9"/>
          <w:pgMar w:top="1418" w:right="1701" w:bottom="1134" w:left="1843" w:header="284" w:footer="425" w:gutter="284"/>
          <w:cols w:space="720"/>
        </w:sectPr>
      </w:pPr>
    </w:p>
    <w:p w14:paraId="2CE7458E" w14:textId="19B18EFA" w:rsidR="00B36513" w:rsidRDefault="00B36513" w:rsidP="00B36513">
      <w:pPr>
        <w:pStyle w:val="Figure"/>
      </w:pPr>
      <w:bookmarkStart w:id="878" w:name="_Ref65672943"/>
      <w:bookmarkStart w:id="879" w:name="_Toc63764803"/>
      <w:bookmarkStart w:id="880" w:name="_Toc75176508"/>
      <w:bookmarkStart w:id="881" w:name="_Toc85442601"/>
      <w:bookmarkStart w:id="882" w:name="_Toc85445957"/>
      <w:bookmarkStart w:id="883" w:name="_Toc87429995"/>
      <w:bookmarkStart w:id="884" w:name="_Toc88561427"/>
      <w:bookmarkStart w:id="885" w:name="_Toc115188889"/>
      <w:bookmarkStart w:id="886" w:name="_Toc142314731"/>
      <w:bookmarkStart w:id="887" w:name="_Toc145394313"/>
      <w:bookmarkStart w:id="888" w:name="_Toc189053988"/>
      <w:bookmarkStart w:id="889" w:name="_Toc189647973"/>
      <w:r>
        <w:t>Figure </w:t>
      </w:r>
      <w:r>
        <w:fldChar w:fldCharType="begin"/>
      </w:r>
      <w:r>
        <w:instrText>SEQ Figure \* ARABIC</w:instrText>
      </w:r>
      <w:r>
        <w:fldChar w:fldCharType="separate"/>
      </w:r>
      <w:r w:rsidR="00753BC8">
        <w:rPr>
          <w:noProof/>
        </w:rPr>
        <w:t>47</w:t>
      </w:r>
      <w:r>
        <w:fldChar w:fldCharType="end"/>
      </w:r>
      <w:bookmarkEnd w:id="878"/>
      <w:r w:rsidRPr="00D35256">
        <w:t xml:space="preserve">: Percentage of </w:t>
      </w:r>
      <w:r>
        <w:t>exits</w:t>
      </w:r>
      <w:r w:rsidRPr="00D35256">
        <w:t xml:space="preserve"> from opioid substitution treatment programmes, by reason (voluntary, involuntary or death), 2008</w:t>
      </w:r>
      <w:r>
        <w:t>/09</w:t>
      </w:r>
      <w:bookmarkEnd w:id="879"/>
      <w:bookmarkEnd w:id="880"/>
      <w:bookmarkEnd w:id="881"/>
      <w:bookmarkEnd w:id="882"/>
      <w:bookmarkEnd w:id="883"/>
      <w:bookmarkEnd w:id="884"/>
      <w:bookmarkEnd w:id="885"/>
      <w:r>
        <w:t xml:space="preserve"> to 2022/23</w:t>
      </w:r>
      <w:bookmarkEnd w:id="886"/>
      <w:bookmarkEnd w:id="887"/>
      <w:bookmarkEnd w:id="888"/>
      <w:bookmarkEnd w:id="889"/>
    </w:p>
    <w:p w14:paraId="6D1DD77E" w14:textId="2A29F65D" w:rsidR="00B36513" w:rsidRDefault="00B36513" w:rsidP="00E96DD0">
      <w:r>
        <w:rPr>
          <w:noProof/>
        </w:rPr>
        <w:drawing>
          <wp:inline distT="0" distB="0" distL="0" distR="0" wp14:anchorId="0FF0FFD8" wp14:editId="1078DC82">
            <wp:extent cx="5130800" cy="3369972"/>
            <wp:effectExtent l="0" t="0" r="0" b="0"/>
            <wp:docPr id="1297958845" name="Picture 12979588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7958845" name="Picture 1297958845">
                      <a:extLst>
                        <a:ext uri="{C183D7F6-B498-43B3-948B-1728B52AA6E4}">
                          <adec:decorative xmlns:adec="http://schemas.microsoft.com/office/drawing/2017/decorative" val="1"/>
                        </a:ext>
                      </a:extLst>
                    </pic:cNvPr>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137505" cy="3374376"/>
                    </a:xfrm>
                    <a:prstGeom prst="rect">
                      <a:avLst/>
                    </a:prstGeom>
                    <a:noFill/>
                  </pic:spPr>
                </pic:pic>
              </a:graphicData>
            </a:graphic>
          </wp:inline>
        </w:drawing>
      </w:r>
    </w:p>
    <w:p w14:paraId="41BFAE4F" w14:textId="77777777" w:rsidR="00B36513" w:rsidRPr="00200234" w:rsidRDefault="00B36513" w:rsidP="00B36513">
      <w:pPr>
        <w:pStyle w:val="Source"/>
        <w:rPr>
          <w:rFonts w:cs="Segoe UI"/>
        </w:rPr>
      </w:pPr>
      <w:r w:rsidRPr="00200234">
        <w:t xml:space="preserve">Source: Data provided by OST services in </w:t>
      </w:r>
      <w:r>
        <w:t>six</w:t>
      </w:r>
      <w:r w:rsidRPr="00200234">
        <w:t>-monthly reports</w:t>
      </w:r>
      <w:r>
        <w:t>.</w:t>
      </w:r>
    </w:p>
    <w:p w14:paraId="718EE7F6" w14:textId="77777777" w:rsidR="00B36513" w:rsidRDefault="00B36513" w:rsidP="00B36513">
      <w:pPr>
        <w:pStyle w:val="Heading2"/>
      </w:pPr>
      <w:bookmarkStart w:id="890" w:name="_Toc145394259"/>
      <w:bookmarkStart w:id="891" w:name="_Toc87429934"/>
      <w:bookmarkStart w:id="892" w:name="_Toc88826982"/>
      <w:bookmarkStart w:id="893" w:name="_Toc115188837"/>
      <w:bookmarkStart w:id="894" w:name="_Toc189053933"/>
      <w:bookmarkStart w:id="895" w:name="_Toc189647918"/>
      <w:r>
        <w:t>Substance Addiction (Compulsory Assessment and Treatment) Act</w:t>
      </w:r>
      <w:bookmarkEnd w:id="890"/>
      <w:r>
        <w:t xml:space="preserve"> </w:t>
      </w:r>
      <w:bookmarkEnd w:id="891"/>
      <w:bookmarkEnd w:id="892"/>
      <w:bookmarkEnd w:id="893"/>
      <w:r>
        <w:t>2017</w:t>
      </w:r>
      <w:bookmarkEnd w:id="894"/>
      <w:bookmarkEnd w:id="895"/>
    </w:p>
    <w:p w14:paraId="1265AB5A" w14:textId="77777777" w:rsidR="00B36513" w:rsidRDefault="00B36513" w:rsidP="00B36513">
      <w:r>
        <w:t>In February 2018, the Substance Addiction (Compulsory Assessment and Treatment) Act 2017 (Substance Addiction Act) came into force, replacing the Alcoholism and Drug Addiction Act 1996. The Substance Addiction Act is designed to help people who have a severe substance addiction and impaired capacity to make decisions about engaging in treatment. This legislation is better equipped than the earlier Act to protect the human rights and cultural needs of patients and their families and whānau, and it places greater emphasis on enhancing mana and following a health-based approach.</w:t>
      </w:r>
    </w:p>
    <w:p w14:paraId="616B4D39" w14:textId="77777777" w:rsidR="00B36513" w:rsidRDefault="00B36513" w:rsidP="00B36513"/>
    <w:p w14:paraId="6C7E6004" w14:textId="5BEAA971" w:rsidR="00B36513" w:rsidRDefault="00B36513" w:rsidP="00B36513">
      <w:r>
        <w:t xml:space="preserve">Section 119 of the Substance Addiction Act requires the Ministry to publish certain information in its annual report, such as the number of people who received compulsory treatment. The 2022/23 annual report which includes the Substance Addiction Act data for the 2022/23 financial year, is available on the </w:t>
      </w:r>
      <w:hyperlink r:id="rId86" w:history="1">
        <w:r w:rsidRPr="006F649F">
          <w:rPr>
            <w:rStyle w:val="Hyperlink"/>
          </w:rPr>
          <w:t>Ministry’s website</w:t>
        </w:r>
      </w:hyperlink>
      <w:r>
        <w:t>.</w:t>
      </w:r>
    </w:p>
    <w:p w14:paraId="54733D19" w14:textId="63FBDB3F" w:rsidR="00B36513" w:rsidRDefault="00B36513" w:rsidP="00B36513"/>
    <w:p w14:paraId="18B6DA38" w14:textId="77777777" w:rsidR="00B36513" w:rsidRPr="00200234" w:rsidRDefault="00B36513" w:rsidP="00B36513">
      <w:pPr>
        <w:pStyle w:val="Heading2"/>
      </w:pPr>
      <w:bookmarkStart w:id="896" w:name="_Toc87429935"/>
      <w:bookmarkStart w:id="897" w:name="_Toc88826983"/>
      <w:bookmarkStart w:id="898" w:name="_Toc115188838"/>
      <w:bookmarkStart w:id="899" w:name="_Toc145394260"/>
      <w:bookmarkStart w:id="900" w:name="_Toc189053934"/>
      <w:bookmarkStart w:id="901" w:name="_Toc189647919"/>
      <w:r w:rsidRPr="00200234">
        <w:t>Land Transport Act 1998</w:t>
      </w:r>
      <w:bookmarkEnd w:id="896"/>
      <w:bookmarkEnd w:id="897"/>
      <w:bookmarkEnd w:id="898"/>
      <w:bookmarkEnd w:id="899"/>
      <w:bookmarkEnd w:id="900"/>
      <w:bookmarkEnd w:id="901"/>
    </w:p>
    <w:p w14:paraId="39DE49BF" w14:textId="77777777" w:rsidR="00B36513" w:rsidRDefault="00B36513" w:rsidP="00B36513">
      <w:pPr>
        <w:keepLines/>
      </w:pPr>
      <w:r w:rsidRPr="00200234">
        <w:t xml:space="preserve">In </w:t>
      </w:r>
      <w:r>
        <w:t>2022/23</w:t>
      </w:r>
      <w:r w:rsidRPr="00200234">
        <w:t xml:space="preserve">, the Office of the Director of Mental Health and Addiction Services continued to work with </w:t>
      </w:r>
      <w:r>
        <w:t>Waka Kotahi New Zealand</w:t>
      </w:r>
      <w:r w:rsidRPr="00200234">
        <w:t xml:space="preserve"> Transport Agency</w:t>
      </w:r>
      <w:r>
        <w:t xml:space="preserve"> (Waka Kotahi)</w:t>
      </w:r>
      <w:r w:rsidRPr="00200234">
        <w:t xml:space="preserve">, </w:t>
      </w:r>
      <w:r>
        <w:t xml:space="preserve">the </w:t>
      </w:r>
      <w:r w:rsidRPr="00200234">
        <w:t xml:space="preserve">Ministry of Transport and </w:t>
      </w:r>
      <w:r w:rsidRPr="00271864">
        <w:t>the Drug and Alcohol Practitioners</w:t>
      </w:r>
      <w:r>
        <w:t>’</w:t>
      </w:r>
      <w:r w:rsidRPr="00271864">
        <w:t xml:space="preserve"> Association Aotearoa</w:t>
      </w:r>
      <w:r>
        <w:t xml:space="preserve"> </w:t>
      </w:r>
      <w:r w:rsidRPr="00271864">
        <w:t xml:space="preserve">New Zealand </w:t>
      </w:r>
      <w:r w:rsidRPr="00200234">
        <w:t>to monitor the reinstatement of drivers disqualified for offences involving alcohol or drugs</w:t>
      </w:r>
      <w:r>
        <w:t>.</w:t>
      </w:r>
      <w:r w:rsidRPr="00200234">
        <w:t xml:space="preserve"> </w:t>
      </w:r>
      <w:r>
        <w:t xml:space="preserve">It also worked with the agencies </w:t>
      </w:r>
      <w:r w:rsidRPr="00200234">
        <w:t xml:space="preserve">to approve assessment centres under section 65A of the Land Transport Act 1998. </w:t>
      </w:r>
    </w:p>
    <w:p w14:paraId="1FBFEF18" w14:textId="77777777" w:rsidR="00B36513" w:rsidRDefault="00B36513" w:rsidP="00B36513"/>
    <w:p w14:paraId="214422DE" w14:textId="77777777" w:rsidR="00B36513" w:rsidRPr="00200234" w:rsidRDefault="00B36513" w:rsidP="00B36513">
      <w:r>
        <w:t>Where people have committed</w:t>
      </w:r>
      <w:r w:rsidRPr="00227900">
        <w:t xml:space="preserve"> </w:t>
      </w:r>
      <w:r w:rsidRPr="00200234">
        <w:t>repeat driving offen</w:t>
      </w:r>
      <w:r>
        <w:t>c</w:t>
      </w:r>
      <w:r w:rsidRPr="00200234">
        <w:t>es involving drugs or alcohol</w:t>
      </w:r>
      <w:r>
        <w:t>, section</w:t>
      </w:r>
      <w:r w:rsidRPr="00200234">
        <w:t xml:space="preserve"> </w:t>
      </w:r>
      <w:r>
        <w:t>65A requires them to be</w:t>
      </w:r>
      <w:r w:rsidRPr="00200234">
        <w:t xml:space="preserve"> indefinite</w:t>
      </w:r>
      <w:r>
        <w:t>ly</w:t>
      </w:r>
      <w:r w:rsidRPr="00200234">
        <w:t xml:space="preserve"> disqualifi</w:t>
      </w:r>
      <w:r>
        <w:t>ed from having a</w:t>
      </w:r>
      <w:r w:rsidRPr="00200234">
        <w:t xml:space="preserve"> driver licence and</w:t>
      </w:r>
      <w:r>
        <w:t xml:space="preserve"> to undergo</w:t>
      </w:r>
      <w:r w:rsidRPr="00200234">
        <w:t xml:space="preserve"> assessment. </w:t>
      </w:r>
      <w:r>
        <w:t xml:space="preserve">To determine if a person can have their licence </w:t>
      </w:r>
      <w:r w:rsidRPr="00200234">
        <w:t xml:space="preserve">reinstated, an approved assessment centre </w:t>
      </w:r>
      <w:r>
        <w:t xml:space="preserve">considers </w:t>
      </w:r>
      <w:r w:rsidRPr="00200234">
        <w:t>the</w:t>
      </w:r>
      <w:r>
        <w:t>ir ability to</w:t>
      </w:r>
      <w:r w:rsidRPr="00200234">
        <w:t xml:space="preserve"> manag</w:t>
      </w:r>
      <w:r>
        <w:t>e</w:t>
      </w:r>
      <w:r w:rsidRPr="00200234">
        <w:t xml:space="preserve"> their substance use or addictive behaviours. The assessment centre send</w:t>
      </w:r>
      <w:r>
        <w:t>s</w:t>
      </w:r>
      <w:r w:rsidRPr="00200234">
        <w:t xml:space="preserve"> </w:t>
      </w:r>
      <w:r>
        <w:t xml:space="preserve">a </w:t>
      </w:r>
      <w:r w:rsidRPr="00200234">
        <w:t>cop</w:t>
      </w:r>
      <w:r>
        <w:t>y</w:t>
      </w:r>
      <w:r w:rsidRPr="00200234">
        <w:t xml:space="preserve"> of </w:t>
      </w:r>
      <w:r>
        <w:t xml:space="preserve">its </w:t>
      </w:r>
      <w:r w:rsidRPr="00200234">
        <w:t xml:space="preserve">report to </w:t>
      </w:r>
      <w:r>
        <w:t>Waka Kotahi</w:t>
      </w:r>
      <w:r w:rsidRPr="00200234">
        <w:t>, which decides whether to reinstate the person</w:t>
      </w:r>
      <w:r>
        <w:t>’</w:t>
      </w:r>
      <w:r w:rsidRPr="00200234">
        <w:t>s licence.</w:t>
      </w:r>
    </w:p>
    <w:p w14:paraId="4DFA6C80" w14:textId="77777777" w:rsidR="00B36513" w:rsidRPr="00200234" w:rsidRDefault="00B36513" w:rsidP="00B36513"/>
    <w:p w14:paraId="1B2139C7" w14:textId="77777777" w:rsidR="00B36513" w:rsidRDefault="00B36513" w:rsidP="00B36513">
      <w:r>
        <w:t>The</w:t>
      </w:r>
      <w:r w:rsidRPr="00200234">
        <w:t xml:space="preserve"> Director-General of Health</w:t>
      </w:r>
      <w:r>
        <w:t xml:space="preserve"> makes the decision on whether to approve an assessment centre.</w:t>
      </w:r>
      <w:r w:rsidRPr="00200234">
        <w:t xml:space="preserve"> Establishments and individuals applying to be an approved assessment centre must demonstrate that they are competent in assessing alcohol and other drug problems</w:t>
      </w:r>
      <w:r>
        <w:t xml:space="preserve"> and</w:t>
      </w:r>
      <w:r w:rsidRPr="00200234">
        <w:t xml:space="preserve"> are a registered and experienced alcohol and drug practitioner</w:t>
      </w:r>
      <w:r>
        <w:t xml:space="preserve"> or employ such practitioners.</w:t>
      </w:r>
    </w:p>
    <w:p w14:paraId="64B24183" w14:textId="77777777" w:rsidR="00B36513" w:rsidRDefault="00B36513" w:rsidP="00B36513">
      <w:pPr>
        <w:pStyle w:val="Heading2"/>
      </w:pPr>
      <w:bookmarkStart w:id="902" w:name="_Toc145394261"/>
      <w:bookmarkStart w:id="903" w:name="_Toc189053935"/>
      <w:bookmarkStart w:id="904" w:name="_Toc189647920"/>
      <w:r>
        <w:t>Drug-checking licensing scheme</w:t>
      </w:r>
      <w:bookmarkEnd w:id="902"/>
      <w:bookmarkEnd w:id="903"/>
      <w:bookmarkEnd w:id="904"/>
    </w:p>
    <w:p w14:paraId="25881D9A" w14:textId="77777777" w:rsidR="00B36513" w:rsidRDefault="00B36513" w:rsidP="00B36513">
      <w:r w:rsidRPr="00E26475">
        <w:rPr>
          <w:rFonts w:eastAsiaTheme="majorEastAsia"/>
        </w:rPr>
        <w:t xml:space="preserve">Drug checking was legalised in </w:t>
      </w:r>
      <w:r>
        <w:rPr>
          <w:rFonts w:eastAsiaTheme="majorEastAsia"/>
        </w:rPr>
        <w:t xml:space="preserve">Aotearoa </w:t>
      </w:r>
      <w:r w:rsidRPr="00E26475">
        <w:rPr>
          <w:rFonts w:eastAsiaTheme="majorEastAsia"/>
        </w:rPr>
        <w:t>New Zealand through amendments made to the Misuse of Drugs Act 1975 in November 2021. Drug checking is regulated under the Misuse of Drugs Act 1975, Psychoactive Substance</w:t>
      </w:r>
      <w:r>
        <w:rPr>
          <w:rFonts w:eastAsiaTheme="majorEastAsia"/>
        </w:rPr>
        <w:t>s</w:t>
      </w:r>
      <w:r w:rsidRPr="00E26475">
        <w:rPr>
          <w:rFonts w:eastAsiaTheme="majorEastAsia"/>
        </w:rPr>
        <w:t xml:space="preserve"> Act 2013</w:t>
      </w:r>
      <w:r>
        <w:rPr>
          <w:rFonts w:eastAsiaTheme="majorEastAsia"/>
        </w:rPr>
        <w:t xml:space="preserve"> and</w:t>
      </w:r>
      <w:r w:rsidRPr="00E26475">
        <w:rPr>
          <w:rFonts w:eastAsiaTheme="majorEastAsia"/>
        </w:rPr>
        <w:t xml:space="preserve"> the Medicines Act 1981, </w:t>
      </w:r>
      <w:r>
        <w:rPr>
          <w:rFonts w:eastAsiaTheme="majorEastAsia"/>
        </w:rPr>
        <w:t>along with</w:t>
      </w:r>
      <w:r w:rsidRPr="00E26475">
        <w:rPr>
          <w:rFonts w:eastAsiaTheme="majorEastAsia"/>
        </w:rPr>
        <w:t xml:space="preserve"> </w:t>
      </w:r>
      <w:r w:rsidRPr="70CE11BB">
        <w:rPr>
          <w:rFonts w:eastAsiaTheme="majorEastAsia"/>
        </w:rPr>
        <w:t xml:space="preserve">the </w:t>
      </w:r>
      <w:r w:rsidRPr="00E26475">
        <w:rPr>
          <w:rFonts w:eastAsiaTheme="majorEastAsia"/>
        </w:rPr>
        <w:t>relevant regulations under those Acts. While several other countries offer drug</w:t>
      </w:r>
      <w:r>
        <w:rPr>
          <w:rFonts w:eastAsiaTheme="majorEastAsia"/>
        </w:rPr>
        <w:t xml:space="preserve"> </w:t>
      </w:r>
      <w:r w:rsidRPr="00E26475">
        <w:rPr>
          <w:rFonts w:eastAsiaTheme="majorEastAsia"/>
        </w:rPr>
        <w:t xml:space="preserve">checking services (eg, under research legislation or within legislative </w:t>
      </w:r>
      <w:r>
        <w:rPr>
          <w:rFonts w:eastAsiaTheme="majorEastAsia"/>
        </w:rPr>
        <w:t>‘</w:t>
      </w:r>
      <w:r w:rsidRPr="00E26475">
        <w:rPr>
          <w:rFonts w:eastAsiaTheme="majorEastAsia"/>
        </w:rPr>
        <w:t>grey areas</w:t>
      </w:r>
      <w:r>
        <w:rPr>
          <w:rFonts w:eastAsiaTheme="majorEastAsia"/>
        </w:rPr>
        <w:t>’</w:t>
      </w:r>
      <w:r w:rsidRPr="00E26475">
        <w:rPr>
          <w:rFonts w:eastAsiaTheme="majorEastAsia"/>
        </w:rPr>
        <w:t xml:space="preserve">), </w:t>
      </w:r>
      <w:r>
        <w:rPr>
          <w:rFonts w:eastAsiaTheme="majorEastAsia"/>
        </w:rPr>
        <w:t xml:space="preserve">Aotearoa </w:t>
      </w:r>
      <w:r w:rsidRPr="00E26475">
        <w:rPr>
          <w:rFonts w:eastAsiaTheme="majorEastAsia"/>
        </w:rPr>
        <w:t>New Zealand is the only country to have legal</w:t>
      </w:r>
      <w:r>
        <w:rPr>
          <w:rFonts w:eastAsiaTheme="majorEastAsia"/>
        </w:rPr>
        <w:t>,</w:t>
      </w:r>
      <w:r w:rsidRPr="00E26475">
        <w:rPr>
          <w:rFonts w:eastAsiaTheme="majorEastAsia"/>
        </w:rPr>
        <w:t xml:space="preserve"> licensed drug</w:t>
      </w:r>
      <w:r>
        <w:rPr>
          <w:rFonts w:eastAsiaTheme="majorEastAsia"/>
        </w:rPr>
        <w:t>-</w:t>
      </w:r>
      <w:r w:rsidRPr="00E26475">
        <w:rPr>
          <w:rFonts w:eastAsiaTheme="majorEastAsia"/>
        </w:rPr>
        <w:t>checking services.</w:t>
      </w:r>
      <w:r>
        <w:t xml:space="preserve"> </w:t>
      </w:r>
    </w:p>
    <w:p w14:paraId="71E45CB5" w14:textId="77777777" w:rsidR="00B36513" w:rsidRDefault="00B36513" w:rsidP="00B36513"/>
    <w:p w14:paraId="60C57BB2" w14:textId="77777777" w:rsidR="00B36513" w:rsidRDefault="00B36513" w:rsidP="00B36513">
      <w:pPr>
        <w:rPr>
          <w:lang w:val="en-US"/>
        </w:rPr>
      </w:pPr>
      <w:r w:rsidRPr="00E26475">
        <w:t>Drug</w:t>
      </w:r>
      <w:r>
        <w:t xml:space="preserve"> </w:t>
      </w:r>
      <w:r w:rsidRPr="00E26475">
        <w:t xml:space="preserve">checking services aim to reduce drug harm and risk by helping people make informed decisions about drug use. </w:t>
      </w:r>
      <w:r>
        <w:t>They</w:t>
      </w:r>
      <w:r w:rsidRPr="00E26475">
        <w:t xml:space="preserve"> do not promote illicit drug use or claim that illicit drug use is safe. Licensed drug</w:t>
      </w:r>
      <w:r>
        <w:t xml:space="preserve"> </w:t>
      </w:r>
      <w:r w:rsidRPr="00E26475">
        <w:t xml:space="preserve">checking providers conduct scientific tests on substances to indicate their likely identity and composition. </w:t>
      </w:r>
      <w:r>
        <w:t>They</w:t>
      </w:r>
      <w:r w:rsidRPr="00E26475">
        <w:t xml:space="preserve"> test unknown substances (which may be illicit drugs), interpret results, and provide </w:t>
      </w:r>
      <w:r>
        <w:t xml:space="preserve">mandatory </w:t>
      </w:r>
      <w:r w:rsidRPr="00E26475">
        <w:t>harm</w:t>
      </w:r>
      <w:r>
        <w:t xml:space="preserve"> </w:t>
      </w:r>
      <w:r w:rsidRPr="00E26475">
        <w:t xml:space="preserve">reduction information to </w:t>
      </w:r>
      <w:r>
        <w:t>the</w:t>
      </w:r>
      <w:r w:rsidRPr="00E26475">
        <w:t xml:space="preserve"> person who provides </w:t>
      </w:r>
      <w:r>
        <w:t>the</w:t>
      </w:r>
      <w:r w:rsidRPr="00E26475">
        <w:t xml:space="preserve"> sample. </w:t>
      </w:r>
      <w:r w:rsidRPr="00777FCF">
        <w:rPr>
          <w:lang w:val="en-US"/>
        </w:rPr>
        <w:t>In addition to reducing harm for individual clients, these frontline drug</w:t>
      </w:r>
      <w:r>
        <w:rPr>
          <w:lang w:val="en-US"/>
        </w:rPr>
        <w:t xml:space="preserve"> </w:t>
      </w:r>
      <w:r w:rsidRPr="00777FCF">
        <w:rPr>
          <w:lang w:val="en-US"/>
        </w:rPr>
        <w:t xml:space="preserve">checking services have a crucial role in drug </w:t>
      </w:r>
      <w:r>
        <w:rPr>
          <w:lang w:val="en-US"/>
        </w:rPr>
        <w:t>surveillance at a national level</w:t>
      </w:r>
      <w:r w:rsidRPr="00777FCF">
        <w:rPr>
          <w:lang w:val="en-US"/>
        </w:rPr>
        <w:t xml:space="preserve">. Licensed providers can detect new substances in circulation often before </w:t>
      </w:r>
      <w:r>
        <w:rPr>
          <w:lang w:val="en-US"/>
        </w:rPr>
        <w:t xml:space="preserve">a </w:t>
      </w:r>
      <w:r w:rsidRPr="00777FCF">
        <w:rPr>
          <w:lang w:val="en-US"/>
        </w:rPr>
        <w:t xml:space="preserve">harm </w:t>
      </w:r>
      <w:r w:rsidRPr="00777FCF" w:rsidDel="00F60B58">
        <w:rPr>
          <w:lang w:val="en-US"/>
        </w:rPr>
        <w:t xml:space="preserve">incident </w:t>
      </w:r>
      <w:r w:rsidRPr="00777FCF">
        <w:rPr>
          <w:lang w:val="en-US"/>
        </w:rPr>
        <w:t xml:space="preserve">occurs, enabling a proactive response to reduce harm in communities. </w:t>
      </w:r>
    </w:p>
    <w:p w14:paraId="132743E4" w14:textId="77777777" w:rsidR="00B36513" w:rsidRDefault="00B36513" w:rsidP="00B36513"/>
    <w:p w14:paraId="64644EB4" w14:textId="77777777" w:rsidR="00B36513" w:rsidRPr="00E44E02" w:rsidRDefault="00B36513" w:rsidP="00B36513">
      <w:r w:rsidRPr="00E26475">
        <w:t>Drug</w:t>
      </w:r>
      <w:r>
        <w:t xml:space="preserve"> checking</w:t>
      </w:r>
      <w:r w:rsidRPr="00E26475">
        <w:t xml:space="preserve"> results </w:t>
      </w:r>
      <w:r>
        <w:t xml:space="preserve">also </w:t>
      </w:r>
      <w:r w:rsidRPr="00E26475">
        <w:t>inform</w:t>
      </w:r>
      <w:r>
        <w:t xml:space="preserve"> Aotearoa</w:t>
      </w:r>
      <w:r w:rsidRPr="00E26475">
        <w:t xml:space="preserve"> New Zealand’s early warning system, Drug Information Alert New Zealand</w:t>
      </w:r>
      <w:r>
        <w:t xml:space="preserve"> (DIANZ). DIANZ, a business unit of the </w:t>
      </w:r>
      <w:r>
        <w:rPr>
          <w:lang w:val="en-US"/>
        </w:rPr>
        <w:t>National Drug Intelligence Bureau (NDIB)</w:t>
      </w:r>
      <w:r>
        <w:t>,</w:t>
      </w:r>
      <w:r w:rsidRPr="00104893">
        <w:t xml:space="preserve"> is a joint operation between the Ministry of Health, Health New Zealand, </w:t>
      </w:r>
      <w:r w:rsidRPr="008E41F0">
        <w:t>New Zealand Customs Service</w:t>
      </w:r>
      <w:r w:rsidRPr="00104893">
        <w:t xml:space="preserve"> and </w:t>
      </w:r>
      <w:r w:rsidRPr="00F21CA7">
        <w:t>New Zealand Police</w:t>
      </w:r>
      <w:r w:rsidRPr="00104893">
        <w:t xml:space="preserve">. This system alerts health professionals and the public to especially dangerous drugs circulating in </w:t>
      </w:r>
      <w:r>
        <w:t xml:space="preserve">Aotearoa </w:t>
      </w:r>
      <w:r w:rsidRPr="00104893">
        <w:t>New Zealand. DIANZ works closely with licensed drug</w:t>
      </w:r>
      <w:r>
        <w:t xml:space="preserve"> </w:t>
      </w:r>
      <w:r w:rsidRPr="00104893">
        <w:t>checking providers to share information and provide harm</w:t>
      </w:r>
      <w:r>
        <w:t xml:space="preserve"> </w:t>
      </w:r>
      <w:r w:rsidRPr="00104893">
        <w:t>reduction messaging to the public</w:t>
      </w:r>
      <w:r>
        <w:t xml:space="preserve"> through its early warning system, High Alert</w:t>
      </w:r>
      <w:r w:rsidRPr="00104893">
        <w:t xml:space="preserve">. </w:t>
      </w:r>
      <w:r>
        <w:t>Data from l</w:t>
      </w:r>
      <w:r w:rsidRPr="00E44E02">
        <w:t>icensed drug</w:t>
      </w:r>
      <w:r>
        <w:t xml:space="preserve"> </w:t>
      </w:r>
      <w:r w:rsidRPr="00E44E02">
        <w:t>checking services</w:t>
      </w:r>
      <w:r>
        <w:t xml:space="preserve"> feeds</w:t>
      </w:r>
      <w:r w:rsidRPr="00E44E02">
        <w:t xml:space="preserve"> </w:t>
      </w:r>
      <w:r w:rsidRPr="00A553BE">
        <w:t>directly into this early warning system</w:t>
      </w:r>
      <w:r>
        <w:t>.</w:t>
      </w:r>
      <w:r w:rsidRPr="00A553BE">
        <w:t xml:space="preserve"> </w:t>
      </w:r>
      <w:r>
        <w:t>D</w:t>
      </w:r>
      <w:r w:rsidRPr="00A553BE">
        <w:t>rug</w:t>
      </w:r>
      <w:r>
        <w:t xml:space="preserve"> </w:t>
      </w:r>
      <w:r w:rsidRPr="00A553BE">
        <w:t>checking services play</w:t>
      </w:r>
      <w:r>
        <w:t>ed</w:t>
      </w:r>
      <w:r w:rsidRPr="00A553BE">
        <w:t xml:space="preserve"> a direct role in 50% (two of four) of the High Alert notifications released during the 2022/23 </w:t>
      </w:r>
      <w:r>
        <w:t>financial year</w:t>
      </w:r>
      <w:r w:rsidRPr="00A553BE">
        <w:t>.</w:t>
      </w:r>
    </w:p>
    <w:p w14:paraId="772C372A" w14:textId="77777777" w:rsidR="00B36513" w:rsidRDefault="00B36513" w:rsidP="00B36513"/>
    <w:p w14:paraId="764D360C" w14:textId="77777777" w:rsidR="00B36513" w:rsidRDefault="00B36513" w:rsidP="00B36513">
      <w:r>
        <w:t xml:space="preserve">During 2022/23, the drug-checking licensing scheme processed and granted approval to five entities to act as licensed providers. As the first provider was licensed in October 2022, the dataset used in this report is incomplete for the 2022/23 year. Data is available for three of the four quarters in this time period (ie, quarter 2, October to December 2022; quarter 3, January to March 2023; and quarter 4, April to June 2023). Future annual reports will publish data captured for a full year. </w:t>
      </w:r>
    </w:p>
    <w:p w14:paraId="0B1F6ADD" w14:textId="77777777" w:rsidR="00B36513" w:rsidRDefault="00B36513" w:rsidP="00B36513"/>
    <w:p w14:paraId="4F53678B" w14:textId="77777777" w:rsidR="00B36513" w:rsidRPr="00A553BE" w:rsidRDefault="00B36513" w:rsidP="00B36513">
      <w:r w:rsidRPr="00A553BE">
        <w:t>The Ministry of Health receives quarterly reporting from all licensed drug</w:t>
      </w:r>
      <w:r>
        <w:t xml:space="preserve"> </w:t>
      </w:r>
      <w:r w:rsidRPr="00A553BE">
        <w:t>checking providers. A total of 208 drug</w:t>
      </w:r>
      <w:r>
        <w:t xml:space="preserve"> </w:t>
      </w:r>
      <w:r w:rsidRPr="00A553BE">
        <w:t>checking events and clinics were held during 2022/23, includ</w:t>
      </w:r>
      <w:r>
        <w:t>ing</w:t>
      </w:r>
      <w:r w:rsidRPr="00A553BE">
        <w:t xml:space="preserve"> festivals</w:t>
      </w:r>
      <w:r>
        <w:t xml:space="preserve"> and field </w:t>
      </w:r>
      <w:r w:rsidRPr="00A553BE">
        <w:t>events, static clinics, pop-up clinics and continuous services. At these drug</w:t>
      </w:r>
      <w:r>
        <w:t>-</w:t>
      </w:r>
      <w:r w:rsidRPr="00A553BE">
        <w:t>checking events</w:t>
      </w:r>
      <w:r>
        <w:t xml:space="preserve"> and </w:t>
      </w:r>
      <w:r w:rsidRPr="00A553BE">
        <w:t xml:space="preserve">clinics, </w:t>
      </w:r>
      <w:r w:rsidRPr="00A553BE">
        <w:rPr>
          <w:color w:val="000000" w:themeColor="text1"/>
        </w:rPr>
        <w:t>6,209</w:t>
      </w:r>
      <w:r w:rsidRPr="00A553BE">
        <w:t xml:space="preserve"> samples were presented for </w:t>
      </w:r>
      <w:r>
        <w:t xml:space="preserve">drug checking. </w:t>
      </w:r>
    </w:p>
    <w:p w14:paraId="4DB80F5F" w14:textId="77777777" w:rsidR="00B36513" w:rsidRPr="00A553BE" w:rsidRDefault="00B36513" w:rsidP="00B36513"/>
    <w:p w14:paraId="29327B1E" w14:textId="3341B070" w:rsidR="00B36513" w:rsidRDefault="00B36513" w:rsidP="00B36513">
      <w:r w:rsidRPr="00A553BE">
        <w:t>Drug</w:t>
      </w:r>
      <w:r>
        <w:t xml:space="preserve"> </w:t>
      </w:r>
      <w:r w:rsidRPr="00A553BE">
        <w:t>checking service providers must also provide harm</w:t>
      </w:r>
      <w:r w:rsidRPr="00A553BE" w:rsidDel="000F5F63">
        <w:t xml:space="preserve"> </w:t>
      </w:r>
      <w:r w:rsidRPr="00A553BE">
        <w:t>reduction advice to anyone who receives test results for a particular drug. This harm</w:t>
      </w:r>
      <w:r>
        <w:t xml:space="preserve"> </w:t>
      </w:r>
      <w:r w:rsidRPr="00A553BE">
        <w:t xml:space="preserve">reduction advice </w:t>
      </w:r>
      <w:r>
        <w:t xml:space="preserve">must include advice </w:t>
      </w:r>
      <w:r w:rsidRPr="00A553BE">
        <w:t xml:space="preserve">specific to the person, their circumstances and the drug identified. </w:t>
      </w:r>
      <w:r>
        <w:t>Under this scheme</w:t>
      </w:r>
      <w:r w:rsidRPr="00A553BE">
        <w:t>, 7,500 people received harm</w:t>
      </w:r>
      <w:r>
        <w:t xml:space="preserve"> </w:t>
      </w:r>
      <w:r w:rsidRPr="00A553BE">
        <w:t xml:space="preserve">reduction advice over </w:t>
      </w:r>
      <w:r>
        <w:t>quarters 2 to 4 of 2022/23</w:t>
      </w:r>
      <w:r w:rsidRPr="00A553BE">
        <w:t xml:space="preserve">. </w:t>
      </w:r>
      <w:r>
        <w:t>This number differs according to the number of clients or samples that present</w:t>
      </w:r>
      <w:r w:rsidRPr="0015155B">
        <w:t xml:space="preserve"> </w:t>
      </w:r>
      <w:r>
        <w:t>at a given time</w:t>
      </w:r>
      <w:r w:rsidRPr="00A553BE">
        <w:t xml:space="preserve"> (</w:t>
      </w:r>
      <w:r>
        <w:t>eg,</w:t>
      </w:r>
      <w:r w:rsidRPr="00A553BE">
        <w:t xml:space="preserve"> one harm</w:t>
      </w:r>
      <w:r>
        <w:t xml:space="preserve"> </w:t>
      </w:r>
      <w:r w:rsidRPr="00A553BE">
        <w:t>reduction client</w:t>
      </w:r>
      <w:r>
        <w:t xml:space="preserve"> presenting three samples to test; or two clients presenting one sample and both receiving harm-reduction advice on the one sample tested). </w:t>
      </w:r>
      <w:r>
        <w:fldChar w:fldCharType="begin"/>
      </w:r>
      <w:r>
        <w:instrText xml:space="preserve"> REF _Ref184838754 \h </w:instrText>
      </w:r>
      <w:r>
        <w:fldChar w:fldCharType="separate"/>
      </w:r>
      <w:r w:rsidR="00753BC8">
        <w:t xml:space="preserve">Figure </w:t>
      </w:r>
      <w:r w:rsidR="00753BC8">
        <w:rPr>
          <w:noProof/>
        </w:rPr>
        <w:t>48</w:t>
      </w:r>
      <w:r>
        <w:fldChar w:fldCharType="end"/>
      </w:r>
      <w:r>
        <w:t xml:space="preserve"> sets out the number of samples tested and the number of individuals given advice over this period</w:t>
      </w:r>
      <w:r w:rsidRPr="00A553BE">
        <w:t>.</w:t>
      </w:r>
      <w:r>
        <w:t xml:space="preserve"> </w:t>
      </w:r>
    </w:p>
    <w:p w14:paraId="10A9EBF1" w14:textId="77777777" w:rsidR="00B36513" w:rsidRDefault="00B36513" w:rsidP="00B36513"/>
    <w:p w14:paraId="61CD3F4F" w14:textId="4DC1BFE3" w:rsidR="00B36513" w:rsidRDefault="00B36513" w:rsidP="00B36513">
      <w:pPr>
        <w:pStyle w:val="Figure"/>
      </w:pPr>
      <w:bookmarkStart w:id="905" w:name="_Ref184838754"/>
      <w:bookmarkStart w:id="906" w:name="_Toc189053989"/>
      <w:bookmarkStart w:id="907" w:name="_Toc189647974"/>
      <w:r>
        <w:t xml:space="preserve">Figure </w:t>
      </w:r>
      <w:r w:rsidR="00753BC8">
        <w:fldChar w:fldCharType="begin"/>
      </w:r>
      <w:r w:rsidR="00753BC8">
        <w:instrText xml:space="preserve"> SEQ Figure \* ARABIC </w:instrText>
      </w:r>
      <w:r w:rsidR="00753BC8">
        <w:fldChar w:fldCharType="separate"/>
      </w:r>
      <w:r w:rsidR="00753BC8">
        <w:rPr>
          <w:noProof/>
        </w:rPr>
        <w:t>48</w:t>
      </w:r>
      <w:r w:rsidR="00753BC8">
        <w:rPr>
          <w:noProof/>
        </w:rPr>
        <w:fldChar w:fldCharType="end"/>
      </w:r>
      <w:bookmarkEnd w:id="905"/>
      <w:r>
        <w:t>: Number of samples tested and of individuals given harm reduction advice, nationally, 1 October 2022 to 30 June 2023</w:t>
      </w:r>
      <w:bookmarkEnd w:id="906"/>
      <w:bookmarkEnd w:id="907"/>
    </w:p>
    <w:p w14:paraId="7BB6F4AF" w14:textId="7D58DD7A" w:rsidR="00B36513" w:rsidRDefault="00B36513" w:rsidP="00B36513">
      <w:r>
        <w:rPr>
          <w:noProof/>
        </w:rPr>
        <w:drawing>
          <wp:inline distT="0" distB="0" distL="0" distR="0" wp14:anchorId="5886CCA1" wp14:editId="07B0293E">
            <wp:extent cx="5080000" cy="2881077"/>
            <wp:effectExtent l="0" t="0" r="0" b="0"/>
            <wp:docPr id="1297958846" name="Picture 12979588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7958846" name="Picture 1297958846">
                      <a:extLst>
                        <a:ext uri="{C183D7F6-B498-43B3-948B-1728B52AA6E4}">
                          <adec:decorative xmlns:adec="http://schemas.microsoft.com/office/drawing/2017/decorative" val="1"/>
                        </a:ext>
                      </a:extLst>
                    </pic:cNvPr>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097402" cy="2890946"/>
                    </a:xfrm>
                    <a:prstGeom prst="rect">
                      <a:avLst/>
                    </a:prstGeom>
                    <a:noFill/>
                  </pic:spPr>
                </pic:pic>
              </a:graphicData>
            </a:graphic>
          </wp:inline>
        </w:drawing>
      </w:r>
    </w:p>
    <w:p w14:paraId="1C2E091F" w14:textId="77777777" w:rsidR="00B36513" w:rsidRPr="00496681" w:rsidRDefault="00B36513" w:rsidP="00B36513">
      <w:pPr>
        <w:pStyle w:val="Source"/>
      </w:pPr>
      <w:r>
        <w:t>Source: Quarterly reporting by field-based, drug-checking providers to the Ministry of Health.</w:t>
      </w:r>
    </w:p>
    <w:p w14:paraId="55357A72" w14:textId="5F22E271" w:rsidR="00B36513" w:rsidRDefault="00B36513" w:rsidP="00B36513"/>
    <w:p w14:paraId="7D9A2D83" w14:textId="77777777" w:rsidR="00B36513" w:rsidRDefault="00B36513" w:rsidP="00B36513">
      <w:pPr>
        <w:pStyle w:val="Default"/>
        <w:rPr>
          <w:sz w:val="21"/>
          <w:szCs w:val="21"/>
        </w:rPr>
      </w:pPr>
      <w:r w:rsidRPr="00026845">
        <w:rPr>
          <w:sz w:val="21"/>
          <w:szCs w:val="21"/>
        </w:rPr>
        <w:t>The data above excludes testing undertaken by the Institute of Environmental Science and Research (ESR), wh</w:t>
      </w:r>
      <w:r>
        <w:rPr>
          <w:sz w:val="21"/>
          <w:szCs w:val="21"/>
        </w:rPr>
        <w:t>ich is</w:t>
      </w:r>
      <w:r w:rsidRPr="00026845">
        <w:rPr>
          <w:sz w:val="21"/>
          <w:szCs w:val="21"/>
        </w:rPr>
        <w:t xml:space="preserve"> the approved laboratory for further testing and analysis of substances. </w:t>
      </w:r>
      <w:r>
        <w:rPr>
          <w:sz w:val="21"/>
          <w:szCs w:val="21"/>
        </w:rPr>
        <w:t>In some cases, field drug checking may not be able to fully identify the</w:t>
      </w:r>
      <w:r w:rsidRPr="00026845">
        <w:rPr>
          <w:sz w:val="21"/>
          <w:szCs w:val="21"/>
        </w:rPr>
        <w:t xml:space="preserve"> substance, or </w:t>
      </w:r>
      <w:r>
        <w:rPr>
          <w:sz w:val="21"/>
          <w:szCs w:val="21"/>
        </w:rPr>
        <w:t xml:space="preserve">may identify it </w:t>
      </w:r>
      <w:r w:rsidRPr="00026845">
        <w:rPr>
          <w:sz w:val="21"/>
          <w:szCs w:val="21"/>
        </w:rPr>
        <w:t>as a novel (new) substance</w:t>
      </w:r>
      <w:r>
        <w:rPr>
          <w:sz w:val="21"/>
          <w:szCs w:val="21"/>
        </w:rPr>
        <w:t>,</w:t>
      </w:r>
      <w:r w:rsidRPr="00026845">
        <w:rPr>
          <w:sz w:val="21"/>
          <w:szCs w:val="21"/>
        </w:rPr>
        <w:t xml:space="preserve"> or a substance linked to high</w:t>
      </w:r>
      <w:r>
        <w:rPr>
          <w:sz w:val="21"/>
          <w:szCs w:val="21"/>
        </w:rPr>
        <w:t>-</w:t>
      </w:r>
      <w:r w:rsidRPr="00026845">
        <w:rPr>
          <w:sz w:val="21"/>
          <w:szCs w:val="21"/>
        </w:rPr>
        <w:t xml:space="preserve">risk and/or harm events. </w:t>
      </w:r>
      <w:r>
        <w:rPr>
          <w:sz w:val="21"/>
          <w:szCs w:val="21"/>
        </w:rPr>
        <w:t>In these cases, the substance</w:t>
      </w:r>
      <w:r w:rsidRPr="00026845">
        <w:rPr>
          <w:sz w:val="21"/>
          <w:szCs w:val="21"/>
        </w:rPr>
        <w:t xml:space="preserve"> can be sent for further analysis to ESR to determine its composition</w:t>
      </w:r>
      <w:r>
        <w:rPr>
          <w:sz w:val="21"/>
          <w:szCs w:val="21"/>
        </w:rPr>
        <w:t>.</w:t>
      </w:r>
    </w:p>
    <w:p w14:paraId="1ED0EF41" w14:textId="77777777" w:rsidR="00B36513" w:rsidRDefault="00B36513" w:rsidP="00B36513">
      <w:pPr>
        <w:pStyle w:val="Default"/>
        <w:rPr>
          <w:sz w:val="21"/>
          <w:szCs w:val="21"/>
        </w:rPr>
      </w:pPr>
    </w:p>
    <w:p w14:paraId="50776369" w14:textId="77777777" w:rsidR="00B36513" w:rsidRPr="00026845" w:rsidRDefault="00B36513" w:rsidP="00B36513">
      <w:pPr>
        <w:pStyle w:val="Default"/>
        <w:rPr>
          <w:sz w:val="21"/>
          <w:szCs w:val="21"/>
        </w:rPr>
      </w:pPr>
      <w:r w:rsidRPr="00026845">
        <w:rPr>
          <w:sz w:val="21"/>
          <w:szCs w:val="21"/>
        </w:rPr>
        <w:t xml:space="preserve">ESR tested 157 substances </w:t>
      </w:r>
      <w:r>
        <w:rPr>
          <w:sz w:val="21"/>
          <w:szCs w:val="21"/>
        </w:rPr>
        <w:t>to</w:t>
      </w:r>
      <w:r w:rsidRPr="00026845">
        <w:rPr>
          <w:sz w:val="21"/>
          <w:szCs w:val="21"/>
        </w:rPr>
        <w:t xml:space="preserve"> further analys</w:t>
      </w:r>
      <w:r>
        <w:rPr>
          <w:sz w:val="21"/>
          <w:szCs w:val="21"/>
        </w:rPr>
        <w:t>e</w:t>
      </w:r>
      <w:r w:rsidRPr="00026845">
        <w:rPr>
          <w:sz w:val="21"/>
          <w:szCs w:val="21"/>
        </w:rPr>
        <w:t xml:space="preserve"> drug</w:t>
      </w:r>
      <w:r>
        <w:rPr>
          <w:sz w:val="21"/>
          <w:szCs w:val="21"/>
        </w:rPr>
        <w:t xml:space="preserve"> </w:t>
      </w:r>
      <w:r w:rsidRPr="00026845">
        <w:rPr>
          <w:sz w:val="21"/>
          <w:szCs w:val="21"/>
        </w:rPr>
        <w:t xml:space="preserve">checking samples during the 2022/23 period. </w:t>
      </w:r>
    </w:p>
    <w:p w14:paraId="0F2D81F9" w14:textId="77777777" w:rsidR="00B36513" w:rsidRPr="00026845" w:rsidRDefault="00B36513" w:rsidP="00B36513">
      <w:pPr>
        <w:pStyle w:val="Default"/>
        <w:rPr>
          <w:sz w:val="21"/>
          <w:szCs w:val="21"/>
        </w:rPr>
      </w:pPr>
    </w:p>
    <w:p w14:paraId="5FDFE43A" w14:textId="77777777" w:rsidR="00B36513" w:rsidRDefault="00B36513" w:rsidP="00B36513">
      <w:pPr>
        <w:pStyle w:val="Default"/>
        <w:rPr>
          <w:sz w:val="21"/>
          <w:szCs w:val="21"/>
        </w:rPr>
      </w:pPr>
      <w:r w:rsidRPr="00026845">
        <w:rPr>
          <w:sz w:val="21"/>
          <w:szCs w:val="21"/>
        </w:rPr>
        <w:t>Drug</w:t>
      </w:r>
      <w:r>
        <w:rPr>
          <w:sz w:val="21"/>
          <w:szCs w:val="21"/>
        </w:rPr>
        <w:t xml:space="preserve"> </w:t>
      </w:r>
      <w:r w:rsidRPr="00026845">
        <w:rPr>
          <w:sz w:val="21"/>
          <w:szCs w:val="21"/>
        </w:rPr>
        <w:t>checking providers also report to NDIB, wh</w:t>
      </w:r>
      <w:r>
        <w:rPr>
          <w:sz w:val="21"/>
          <w:szCs w:val="21"/>
        </w:rPr>
        <w:t>ich</w:t>
      </w:r>
      <w:r w:rsidRPr="00026845">
        <w:rPr>
          <w:sz w:val="21"/>
          <w:szCs w:val="21"/>
        </w:rPr>
        <w:t xml:space="preserve"> analyse</w:t>
      </w:r>
      <w:r>
        <w:rPr>
          <w:sz w:val="21"/>
          <w:szCs w:val="21"/>
        </w:rPr>
        <w:t>s</w:t>
      </w:r>
      <w:r w:rsidRPr="00026845">
        <w:rPr>
          <w:sz w:val="21"/>
          <w:szCs w:val="21"/>
        </w:rPr>
        <w:t xml:space="preserve"> drug</w:t>
      </w:r>
      <w:r>
        <w:rPr>
          <w:sz w:val="21"/>
          <w:szCs w:val="21"/>
        </w:rPr>
        <w:t>-</w:t>
      </w:r>
      <w:r w:rsidRPr="00026845">
        <w:rPr>
          <w:sz w:val="21"/>
          <w:szCs w:val="21"/>
        </w:rPr>
        <w:t xml:space="preserve">checking trends. </w:t>
      </w:r>
    </w:p>
    <w:p w14:paraId="2B437CCF" w14:textId="77777777" w:rsidR="00B36513" w:rsidRDefault="00B36513" w:rsidP="00B36513">
      <w:pPr>
        <w:pStyle w:val="Default"/>
        <w:rPr>
          <w:sz w:val="21"/>
          <w:szCs w:val="21"/>
        </w:rPr>
      </w:pPr>
    </w:p>
    <w:p w14:paraId="5717CEB7" w14:textId="40F12D7E" w:rsidR="00B36513" w:rsidRPr="00026845" w:rsidRDefault="00B36513" w:rsidP="00B36513">
      <w:r>
        <w:fldChar w:fldCharType="begin"/>
      </w:r>
      <w:r>
        <w:instrText xml:space="preserve"> REF _Ref184838978 \h </w:instrText>
      </w:r>
      <w:r>
        <w:fldChar w:fldCharType="separate"/>
      </w:r>
      <w:r w:rsidR="00753BC8">
        <w:t xml:space="preserve">Figure </w:t>
      </w:r>
      <w:r w:rsidR="00753BC8">
        <w:rPr>
          <w:noProof/>
        </w:rPr>
        <w:t>49</w:t>
      </w:r>
      <w:r>
        <w:fldChar w:fldCharType="end"/>
      </w:r>
      <w:r>
        <w:t xml:space="preserve"> shows the types of drugs presented for testing, based on what the person presenting the drug believed (presumed) it to be, before testing. As per the data analysis done by NDIB ,t</w:t>
      </w:r>
      <w:r w:rsidRPr="00026845">
        <w:t>he top five presumed drug types presented for testing</w:t>
      </w:r>
      <w:r>
        <w:t>,</w:t>
      </w:r>
      <w:r w:rsidRPr="00026845">
        <w:t xml:space="preserve"> were MDMA</w:t>
      </w:r>
      <w:r>
        <w:rPr>
          <w:rStyle w:val="FootnoteReference"/>
        </w:rPr>
        <w:footnoteReference w:id="28"/>
      </w:r>
      <w:r w:rsidRPr="00026845">
        <w:t xml:space="preserve"> (60.4%), </w:t>
      </w:r>
      <w:r>
        <w:t>k</w:t>
      </w:r>
      <w:r w:rsidRPr="00026845">
        <w:t>etamine (7.7%), LSD</w:t>
      </w:r>
      <w:r>
        <w:rPr>
          <w:rStyle w:val="FootnoteReference"/>
        </w:rPr>
        <w:footnoteReference w:id="29"/>
      </w:r>
      <w:r w:rsidRPr="00026845">
        <w:t xml:space="preserve"> (6.2%), </w:t>
      </w:r>
      <w:r>
        <w:t>c</w:t>
      </w:r>
      <w:r w:rsidRPr="00026845">
        <w:t xml:space="preserve">ocaine (4.7%) and </w:t>
      </w:r>
      <w:r>
        <w:t>m</w:t>
      </w:r>
      <w:r w:rsidRPr="00026845">
        <w:t>ethamphetamine (3.7%). These substances accounted for 82% of all drugs presented for drug checking</w:t>
      </w:r>
      <w:r w:rsidRPr="005C0BEB">
        <w:t>.</w:t>
      </w:r>
      <w:r>
        <w:t xml:space="preserve"> </w:t>
      </w:r>
    </w:p>
    <w:p w14:paraId="47622131" w14:textId="77777777" w:rsidR="00B36513" w:rsidRPr="00026845" w:rsidRDefault="00B36513" w:rsidP="00B36513">
      <w:pPr>
        <w:pStyle w:val="Default"/>
        <w:rPr>
          <w:sz w:val="21"/>
          <w:szCs w:val="21"/>
        </w:rPr>
      </w:pPr>
    </w:p>
    <w:p w14:paraId="1AA01F0F" w14:textId="2FA10C51" w:rsidR="00B36513" w:rsidRDefault="00B36513" w:rsidP="00B36513">
      <w:pPr>
        <w:pStyle w:val="Figure"/>
      </w:pPr>
      <w:bookmarkStart w:id="908" w:name="_Ref184838978"/>
      <w:bookmarkStart w:id="909" w:name="_Toc189053990"/>
      <w:bookmarkStart w:id="910" w:name="_Toc189647975"/>
      <w:r>
        <w:t xml:space="preserve">Figure </w:t>
      </w:r>
      <w:r w:rsidR="00753BC8">
        <w:fldChar w:fldCharType="begin"/>
      </w:r>
      <w:r w:rsidR="00753BC8">
        <w:instrText xml:space="preserve"> SEQ Figure \* ARABIC </w:instrText>
      </w:r>
      <w:r w:rsidR="00753BC8">
        <w:fldChar w:fldCharType="separate"/>
      </w:r>
      <w:r w:rsidR="00753BC8">
        <w:rPr>
          <w:noProof/>
        </w:rPr>
        <w:t>49</w:t>
      </w:r>
      <w:r w:rsidR="00753BC8">
        <w:rPr>
          <w:noProof/>
        </w:rPr>
        <w:fldChar w:fldCharType="end"/>
      </w:r>
      <w:bookmarkEnd w:id="908"/>
      <w:r>
        <w:t>: Drug types presented to drug-checking services, as presumed by client, nationally, 1 October 2022 to 30 June 2023</w:t>
      </w:r>
      <w:bookmarkEnd w:id="909"/>
      <w:bookmarkEnd w:id="910"/>
    </w:p>
    <w:p w14:paraId="55B79614" w14:textId="6D4B128C" w:rsidR="00B36513" w:rsidRPr="00B36513" w:rsidRDefault="00B36513" w:rsidP="00B36513">
      <w:r>
        <w:rPr>
          <w:noProof/>
        </w:rPr>
        <w:drawing>
          <wp:inline distT="0" distB="0" distL="0" distR="0" wp14:anchorId="1185435F" wp14:editId="0C2AE3FA">
            <wp:extent cx="4584700" cy="2889885"/>
            <wp:effectExtent l="0" t="0" r="0" b="0"/>
            <wp:docPr id="1297958847" name="Picture 12979588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7958847" name="Picture 1297958847">
                      <a:extLst>
                        <a:ext uri="{C183D7F6-B498-43B3-948B-1728B52AA6E4}">
                          <adec:decorative xmlns:adec="http://schemas.microsoft.com/office/drawing/2017/decorative" val="1"/>
                        </a:ext>
                      </a:extLst>
                    </pic:cNvPr>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584700" cy="2889885"/>
                    </a:xfrm>
                    <a:prstGeom prst="rect">
                      <a:avLst/>
                    </a:prstGeom>
                    <a:noFill/>
                  </pic:spPr>
                </pic:pic>
              </a:graphicData>
            </a:graphic>
          </wp:inline>
        </w:drawing>
      </w:r>
    </w:p>
    <w:p w14:paraId="3B7D8481" w14:textId="77777777" w:rsidR="00B36513" w:rsidRPr="00496681" w:rsidRDefault="00B36513" w:rsidP="00B36513">
      <w:pPr>
        <w:pStyle w:val="Source"/>
      </w:pPr>
      <w:r>
        <w:t>Source: Data submitted to NDIB in post-clinic reporting. Excludes data from ESR.</w:t>
      </w:r>
    </w:p>
    <w:p w14:paraId="59512B9E" w14:textId="77777777" w:rsidR="00B36513" w:rsidRPr="00026845" w:rsidRDefault="00B36513" w:rsidP="00B36513">
      <w:pPr>
        <w:pStyle w:val="Default"/>
        <w:rPr>
          <w:sz w:val="21"/>
          <w:szCs w:val="21"/>
        </w:rPr>
      </w:pPr>
    </w:p>
    <w:p w14:paraId="1A0335AD" w14:textId="311FEB57" w:rsidR="00B36513" w:rsidRDefault="00B36513" w:rsidP="00B5686F">
      <w:r w:rsidRPr="00026845">
        <w:t>NDIB also report</w:t>
      </w:r>
      <w:r>
        <w:t>s</w:t>
      </w:r>
      <w:r w:rsidRPr="00026845">
        <w:t xml:space="preserve"> </w:t>
      </w:r>
      <w:r>
        <w:t xml:space="preserve">it found that, </w:t>
      </w:r>
      <w:r w:rsidRPr="00026845">
        <w:t xml:space="preserve">of </w:t>
      </w:r>
      <w:r>
        <w:t>the</w:t>
      </w:r>
      <w:r w:rsidRPr="00026845">
        <w:t xml:space="preserve"> </w:t>
      </w:r>
      <w:r>
        <w:t>top five</w:t>
      </w:r>
      <w:r w:rsidRPr="00026845">
        <w:t xml:space="preserve"> substances presented for drug checking (</w:t>
      </w:r>
      <w:r w:rsidRPr="00DA5FC5">
        <w:fldChar w:fldCharType="begin"/>
      </w:r>
      <w:r w:rsidRPr="00DA5FC5">
        <w:instrText xml:space="preserve"> REF _Ref184838978 \h </w:instrText>
      </w:r>
      <w:r>
        <w:instrText xml:space="preserve"> \* MERGEFORMAT </w:instrText>
      </w:r>
      <w:r w:rsidRPr="00DA5FC5">
        <w:fldChar w:fldCharType="separate"/>
      </w:r>
      <w:r w:rsidR="00753BC8">
        <w:t xml:space="preserve">Figure </w:t>
      </w:r>
      <w:r w:rsidR="00753BC8">
        <w:rPr>
          <w:noProof/>
        </w:rPr>
        <w:t>49</w:t>
      </w:r>
      <w:r w:rsidRPr="00DA5FC5">
        <w:fldChar w:fldCharType="end"/>
      </w:r>
      <w:r w:rsidRPr="00026845">
        <w:t>), 87.3% were consistent with what the client presumed</w:t>
      </w:r>
      <w:r>
        <w:t xml:space="preserve"> (</w:t>
      </w:r>
      <w:r w:rsidRPr="00746802">
        <w:rPr>
          <w:b/>
          <w:bCs/>
        </w:rPr>
        <w:fldChar w:fldCharType="begin"/>
      </w:r>
      <w:r w:rsidRPr="00746802">
        <w:rPr>
          <w:b/>
          <w:bCs/>
        </w:rPr>
        <w:instrText xml:space="preserve"> REF _Ref184894272 \h </w:instrText>
      </w:r>
      <w:r>
        <w:rPr>
          <w:b/>
          <w:bCs/>
        </w:rPr>
        <w:instrText xml:space="preserve"> \* MERGEFORMAT </w:instrText>
      </w:r>
      <w:r w:rsidRPr="00746802">
        <w:rPr>
          <w:b/>
          <w:bCs/>
        </w:rPr>
      </w:r>
      <w:r w:rsidRPr="00746802">
        <w:rPr>
          <w:b/>
          <w:bCs/>
        </w:rPr>
        <w:fldChar w:fldCharType="separate"/>
      </w:r>
      <w:r w:rsidR="00753BC8" w:rsidRPr="00753BC8">
        <w:rPr>
          <w:rStyle w:val="FigureChar"/>
          <w:b w:val="0"/>
        </w:rPr>
        <w:t xml:space="preserve">Figure </w:t>
      </w:r>
      <w:r w:rsidR="00753BC8" w:rsidRPr="00753BC8">
        <w:rPr>
          <w:rStyle w:val="FigureChar"/>
          <w:b w:val="0"/>
          <w:bCs/>
        </w:rPr>
        <w:t>50</w:t>
      </w:r>
      <w:r w:rsidRPr="00746802">
        <w:rPr>
          <w:b/>
          <w:bCs/>
        </w:rPr>
        <w:fldChar w:fldCharType="end"/>
      </w:r>
      <w:r>
        <w:t>)</w:t>
      </w:r>
      <w:r w:rsidRPr="00026845">
        <w:t xml:space="preserve">. </w:t>
      </w:r>
    </w:p>
    <w:p w14:paraId="6417FC1F" w14:textId="77777777" w:rsidR="00B36513" w:rsidRDefault="00B36513" w:rsidP="00B5686F">
      <w:pPr>
        <w:sectPr w:rsidR="00B36513" w:rsidSect="00753A1F">
          <w:pgSz w:w="11907" w:h="16834" w:code="9"/>
          <w:pgMar w:top="1418" w:right="1701" w:bottom="1134" w:left="1843" w:header="284" w:footer="425" w:gutter="284"/>
          <w:cols w:space="720"/>
        </w:sectPr>
      </w:pPr>
    </w:p>
    <w:p w14:paraId="07302DA5" w14:textId="0B085BCE" w:rsidR="00B36513" w:rsidRDefault="00B36513" w:rsidP="00B36513">
      <w:pPr>
        <w:pStyle w:val="Figure"/>
      </w:pPr>
      <w:bookmarkStart w:id="911" w:name="_Ref184894272"/>
      <w:bookmarkStart w:id="912" w:name="_Toc189053991"/>
      <w:bookmarkStart w:id="913" w:name="_Toc189647976"/>
      <w:r w:rsidRPr="00746802">
        <w:t xml:space="preserve">Figure </w:t>
      </w:r>
      <w:r w:rsidR="00753BC8">
        <w:fldChar w:fldCharType="begin"/>
      </w:r>
      <w:r w:rsidR="00753BC8">
        <w:instrText xml:space="preserve"> SEQ Figure \* ARABIC </w:instrText>
      </w:r>
      <w:r w:rsidR="00753BC8">
        <w:fldChar w:fldCharType="separate"/>
      </w:r>
      <w:r w:rsidR="00753BC8">
        <w:rPr>
          <w:noProof/>
        </w:rPr>
        <w:t>50</w:t>
      </w:r>
      <w:r w:rsidR="00753BC8">
        <w:rPr>
          <w:noProof/>
        </w:rPr>
        <w:fldChar w:fldCharType="end"/>
      </w:r>
      <w:bookmarkEnd w:id="911"/>
      <w:r w:rsidRPr="00746802">
        <w:t>: Percentage of presumed drug types consistent with the confirmed drug type</w:t>
      </w:r>
      <w:r>
        <w:t xml:space="preserve"> results, 1 October 2022 to 30 June 2023</w:t>
      </w:r>
      <w:bookmarkEnd w:id="912"/>
      <w:bookmarkEnd w:id="913"/>
    </w:p>
    <w:p w14:paraId="5D600D48" w14:textId="74AF7321" w:rsidR="00B36513" w:rsidRDefault="00B36513" w:rsidP="00B36513">
      <w:pPr>
        <w:pStyle w:val="Default"/>
        <w:rPr>
          <w:sz w:val="21"/>
          <w:szCs w:val="21"/>
        </w:rPr>
      </w:pPr>
      <w:r>
        <w:rPr>
          <w:noProof/>
          <w:sz w:val="21"/>
          <w:szCs w:val="21"/>
        </w:rPr>
        <w:drawing>
          <wp:inline distT="0" distB="0" distL="0" distR="0" wp14:anchorId="676EB510" wp14:editId="6478A6FD">
            <wp:extent cx="5264176" cy="3158067"/>
            <wp:effectExtent l="0" t="0" r="0" b="4445"/>
            <wp:docPr id="2099743072" name="Picture 209974307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9743072" name="Picture 2099743072">
                      <a:extLst>
                        <a:ext uri="{C183D7F6-B498-43B3-948B-1728B52AA6E4}">
                          <adec:decorative xmlns:adec="http://schemas.microsoft.com/office/drawing/2017/decorative" val="1"/>
                        </a:ext>
                      </a:extLst>
                    </pic:cNvPr>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282020" cy="3168772"/>
                    </a:xfrm>
                    <a:prstGeom prst="rect">
                      <a:avLst/>
                    </a:prstGeom>
                    <a:noFill/>
                  </pic:spPr>
                </pic:pic>
              </a:graphicData>
            </a:graphic>
          </wp:inline>
        </w:drawing>
      </w:r>
    </w:p>
    <w:p w14:paraId="7C70C63F" w14:textId="77777777" w:rsidR="00B36513" w:rsidRPr="00496681" w:rsidRDefault="00B36513" w:rsidP="00B36513">
      <w:pPr>
        <w:pStyle w:val="Source"/>
      </w:pPr>
      <w:r>
        <w:t>Source: Data submitted to NDIB in post-clinic reporting. Excludes data from ESR.</w:t>
      </w:r>
    </w:p>
    <w:p w14:paraId="0D725773" w14:textId="77777777" w:rsidR="00B36513" w:rsidRPr="00026845" w:rsidRDefault="00B36513" w:rsidP="00B36513"/>
    <w:p w14:paraId="7691944A" w14:textId="77777777" w:rsidR="00B36513" w:rsidRPr="00026845" w:rsidRDefault="00B36513" w:rsidP="00B36513">
      <w:r>
        <w:t xml:space="preserve">No matter </w:t>
      </w:r>
      <w:r w:rsidRPr="00026845">
        <w:t>whether or not</w:t>
      </w:r>
      <w:r>
        <w:t xml:space="preserve"> drug-checking shows that</w:t>
      </w:r>
      <w:r w:rsidRPr="00026845">
        <w:t xml:space="preserve"> the sample presented is the </w:t>
      </w:r>
      <w:r>
        <w:t xml:space="preserve">drug that the client </w:t>
      </w:r>
      <w:r w:rsidRPr="00026845">
        <w:t>presumed, drug</w:t>
      </w:r>
      <w:r>
        <w:t xml:space="preserve"> </w:t>
      </w:r>
      <w:r w:rsidRPr="00026845">
        <w:t>checking providers have a harm</w:t>
      </w:r>
      <w:r>
        <w:t xml:space="preserve"> </w:t>
      </w:r>
      <w:r w:rsidRPr="00026845">
        <w:t>reduction conversation with the client. Th</w:t>
      </w:r>
      <w:r>
        <w:t>e aim of this</w:t>
      </w:r>
      <w:r w:rsidRPr="00026845">
        <w:t xml:space="preserve"> conversation </w:t>
      </w:r>
      <w:r>
        <w:t xml:space="preserve">is </w:t>
      </w:r>
      <w:r w:rsidRPr="00026845">
        <w:t xml:space="preserve">to inform the client of risks relating to the substance, allowing them to make more informed decisions about safety and risk associated with drug use. </w:t>
      </w:r>
    </w:p>
    <w:p w14:paraId="49F2DFF5" w14:textId="77777777" w:rsidR="00B36513" w:rsidRPr="00026845" w:rsidRDefault="00B36513" w:rsidP="00B36513"/>
    <w:p w14:paraId="05868443" w14:textId="77777777" w:rsidR="00B36513" w:rsidRDefault="00B36513" w:rsidP="00B36513">
      <w:r w:rsidRPr="00026845">
        <w:t>This educational, health-based approach to reducing drug harm has seen an overall positive response from the sector and wider community. Providers often receive feedback from clients about the benefits of drug checking and how it enables people to make informed decisions about keeping themselves and others safe from drug</w:t>
      </w:r>
      <w:r>
        <w:t>-</w:t>
      </w:r>
      <w:r w:rsidRPr="00026845">
        <w:t xml:space="preserve">associated harm. </w:t>
      </w:r>
    </w:p>
    <w:p w14:paraId="148CB20B" w14:textId="77777777" w:rsidR="00B36513" w:rsidRDefault="00B36513" w:rsidP="00B36513"/>
    <w:p w14:paraId="74971035" w14:textId="7C72D835" w:rsidR="00B36513" w:rsidRDefault="00B36513" w:rsidP="00B36513">
      <w:r w:rsidRPr="00026845">
        <w:t>Moving forward, the Ministry of Health plans to liaise with rural</w:t>
      </w:r>
      <w:r>
        <w:t xml:space="preserve"> communities</w:t>
      </w:r>
      <w:r w:rsidRPr="00026845">
        <w:t xml:space="preserve"> and Te Tiriti o Waitangi partners to extend the reach of drug checking and increase equitable access across </w:t>
      </w:r>
      <w:r w:rsidRPr="6D0387B5">
        <w:t xml:space="preserve">Aotearoa </w:t>
      </w:r>
      <w:r w:rsidRPr="00026845">
        <w:t>New Zealand.</w:t>
      </w:r>
      <w:r w:rsidRPr="004C1A9F">
        <w:t xml:space="preserve"> </w:t>
      </w:r>
      <w:r w:rsidRPr="00026845">
        <w:t>Future</w:t>
      </w:r>
      <w:r>
        <w:t xml:space="preserve"> regulatory</w:t>
      </w:r>
      <w:r w:rsidRPr="00026845">
        <w:t xml:space="preserve"> reports </w:t>
      </w:r>
      <w:r>
        <w:t>will publish information on the i</w:t>
      </w:r>
      <w:r w:rsidRPr="00026845">
        <w:t xml:space="preserve">mplementation and progress of these developments. </w:t>
      </w:r>
    </w:p>
    <w:p w14:paraId="5CDD761E" w14:textId="77777777" w:rsidR="00B36513" w:rsidRDefault="00B36513" w:rsidP="00B36513"/>
    <w:p w14:paraId="6255B4A4" w14:textId="77777777" w:rsidR="00B36513" w:rsidRDefault="00B36513" w:rsidP="00B36513">
      <w:pPr>
        <w:spacing w:after="160" w:line="259" w:lineRule="auto"/>
        <w:rPr>
          <w:rFonts w:eastAsiaTheme="minorEastAsia" w:cs="Segoe UI"/>
          <w:color w:val="000000"/>
          <w:lang w:eastAsia="ja-JP"/>
        </w:rPr>
      </w:pPr>
      <w:r>
        <w:br w:type="page"/>
      </w:r>
    </w:p>
    <w:p w14:paraId="599F5516" w14:textId="77777777" w:rsidR="00C916E6" w:rsidRPr="00C916E6" w:rsidRDefault="00C916E6" w:rsidP="00C916E6">
      <w:pPr>
        <w:pStyle w:val="Heading1"/>
      </w:pPr>
      <w:bookmarkStart w:id="914" w:name="_Toc189053936"/>
      <w:bookmarkStart w:id="915" w:name="_Toc189647921"/>
      <w:r w:rsidRPr="00C916E6">
        <w:t>Appendix 1: The Mental Health Act process</w:t>
      </w:r>
      <w:bookmarkEnd w:id="914"/>
      <w:bookmarkEnd w:id="915"/>
    </w:p>
    <w:p w14:paraId="50901DE9" w14:textId="77777777" w:rsidR="00C916E6" w:rsidRPr="009A14A7" w:rsidRDefault="00C916E6" w:rsidP="00C916E6">
      <w:r w:rsidRPr="009A14A7">
        <w:t xml:space="preserve">The compulsory assessment and treatment process begins with a referral and an initial assessment. If the health assessor believes a person fits the Mental Health Act’s criteria, the person will become subject to the Mental Health Act and receive further assessment </w:t>
      </w:r>
      <w:r>
        <w:t>from there</w:t>
      </w:r>
      <w:r w:rsidRPr="009A14A7">
        <w:t>.</w:t>
      </w:r>
    </w:p>
    <w:p w14:paraId="43D84338" w14:textId="77777777" w:rsidR="00C916E6" w:rsidRPr="009A14A7" w:rsidRDefault="00C916E6" w:rsidP="00C916E6">
      <w:pPr>
        <w:pStyle w:val="Heading2"/>
      </w:pPr>
      <w:bookmarkStart w:id="916" w:name="_Toc189053937"/>
      <w:bookmarkStart w:id="917" w:name="_Toc189647922"/>
      <w:r w:rsidRPr="009A14A7">
        <w:rPr>
          <w:noProof/>
        </w:rPr>
        <mc:AlternateContent>
          <mc:Choice Requires="wps">
            <w:drawing>
              <wp:anchor distT="0" distB="0" distL="114300" distR="114300" simplePos="0" relativeHeight="251660288" behindDoc="1" locked="0" layoutInCell="1" allowOverlap="1" wp14:anchorId="2D0D24DB" wp14:editId="77D207C1">
                <wp:simplePos x="0" y="0"/>
                <wp:positionH relativeFrom="column">
                  <wp:posOffset>3731351</wp:posOffset>
                </wp:positionH>
                <wp:positionV relativeFrom="paragraph">
                  <wp:posOffset>471986</wp:posOffset>
                </wp:positionV>
                <wp:extent cx="1731600" cy="457200"/>
                <wp:effectExtent l="0" t="0" r="21590" b="19050"/>
                <wp:wrapTight wrapText="bothSides">
                  <wp:wrapPolygon edited="0">
                    <wp:start x="0" y="0"/>
                    <wp:lineTo x="0" y="21600"/>
                    <wp:lineTo x="21632" y="21600"/>
                    <wp:lineTo x="21632" y="0"/>
                    <wp:lineTo x="0" y="0"/>
                  </wp:wrapPolygon>
                </wp:wrapTight>
                <wp:docPr id="2099743073" name="Text Box 2099743073" descr="Application for assessment (section 8A)"/>
                <wp:cNvGraphicFramePr/>
                <a:graphic xmlns:a="http://schemas.openxmlformats.org/drawingml/2006/main">
                  <a:graphicData uri="http://schemas.microsoft.com/office/word/2010/wordprocessingShape">
                    <wps:wsp>
                      <wps:cNvSpPr txBox="1"/>
                      <wps:spPr>
                        <a:xfrm>
                          <a:off x="0" y="0"/>
                          <a:ext cx="1731600" cy="457200"/>
                        </a:xfrm>
                        <a:prstGeom prst="rect">
                          <a:avLst/>
                        </a:prstGeom>
                        <a:solidFill>
                          <a:sysClr val="window" lastClr="FFFFFF">
                            <a:lumMod val="85000"/>
                          </a:sysClr>
                        </a:solidFill>
                        <a:ln w="6350">
                          <a:solidFill>
                            <a:sysClr val="windowText" lastClr="000000"/>
                          </a:solidFill>
                        </a:ln>
                      </wps:spPr>
                      <wps:txbx>
                        <w:txbxContent>
                          <w:p w14:paraId="31E4D193" w14:textId="77777777" w:rsidR="00535C2F" w:rsidRDefault="00535C2F" w:rsidP="00C916E6">
                            <w:pPr>
                              <w:shd w:val="clear" w:color="auto" w:fill="D9D9D9"/>
                              <w:jc w:val="center"/>
                            </w:pPr>
                            <w:r>
                              <w:t>Application for assessment (section 8A)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0D24DB" id="_x0000_t202" coordsize="21600,21600" o:spt="202" path="m,l,21600r21600,l21600,xe">
                <v:stroke joinstyle="miter"/>
                <v:path gradientshapeok="t" o:connecttype="rect"/>
              </v:shapetype>
              <v:shape id="Text Box 2099743073" o:spid="_x0000_s1026" type="#_x0000_t202" alt="Application for assessment (section 8A)" style="position:absolute;margin-left:293.8pt;margin-top:37.15pt;width:136.35pt;height:3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" fillcolor="#d9d9d9" strokecolor="windowText" strokeweight=".5pt">
                <v:textbox>
                  <w:txbxContent>
                    <w:p w14:paraId="31E4D193" w14:textId="77777777" w:rsidR="00535C2F" w:rsidRDefault="00535C2F" w:rsidP="00C916E6">
                      <w:pPr>
                        <w:shd w:val="clear" w:color="auto" w:fill="D9D9D9"/>
                        <w:jc w:val="center"/>
                      </w:pPr>
                      <w:r>
                        <w:t>Application for assessment (section 8A)</w:t>
                      </w:r>
                    </w:p>
                  </w:txbxContent>
                </v:textbox>
                <w10:wrap type="tight"/>
              </v:shape>
            </w:pict>
          </mc:Fallback>
        </mc:AlternateContent>
      </w:r>
      <w:r w:rsidRPr="009A14A7">
        <w:t>Compulsory assessment</w:t>
      </w:r>
      <w:bookmarkEnd w:id="916"/>
      <w:bookmarkEnd w:id="917"/>
    </w:p>
    <w:p w14:paraId="5A97916F" w14:textId="77777777" w:rsidR="00C916E6" w:rsidRPr="009A14A7" w:rsidRDefault="00C916E6" w:rsidP="00C916E6">
      <w:pPr>
        <w:ind w:right="4139"/>
      </w:pPr>
      <w:r w:rsidRPr="009A14A7">
        <w:rPr>
          <w:noProof/>
        </w:rPr>
        <mc:AlternateContent>
          <mc:Choice Requires="wps">
            <w:drawing>
              <wp:anchor distT="0" distB="0" distL="114300" distR="114300" simplePos="0" relativeHeight="251659264" behindDoc="0" locked="0" layoutInCell="1" allowOverlap="1" wp14:anchorId="2F8A8E48" wp14:editId="4AE8EC95">
                <wp:simplePos x="0" y="0"/>
                <wp:positionH relativeFrom="column">
                  <wp:posOffset>4590926</wp:posOffset>
                </wp:positionH>
                <wp:positionV relativeFrom="paragraph">
                  <wp:posOffset>92710</wp:posOffset>
                </wp:positionV>
                <wp:extent cx="0" cy="1983179"/>
                <wp:effectExtent l="0" t="0" r="38100" b="36195"/>
                <wp:wrapNone/>
                <wp:docPr id="2099743074" name="Straight Connector 209974307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0" cy="1983179"/>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BF0D700" id="Straight Connector 2099743074" o:spid="_x0000_s1026" alt="&quot;&quot;" style="position:absolute;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1.5pt,7.3pt" to="361.5pt,16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"/>
            </w:pict>
          </mc:Fallback>
        </mc:AlternateContent>
      </w:r>
      <w:r w:rsidRPr="009A14A7">
        <w:rPr>
          <w:noProof/>
        </w:rPr>
        <mc:AlternateContent>
          <mc:Choice Requires="wps">
            <w:drawing>
              <wp:anchor distT="0" distB="0" distL="114300" distR="114300" simplePos="0" relativeHeight="251662336" behindDoc="1" locked="0" layoutInCell="1" allowOverlap="1" wp14:anchorId="041F4E62" wp14:editId="6944AEAE">
                <wp:simplePos x="0" y="0"/>
                <wp:positionH relativeFrom="column">
                  <wp:posOffset>3720465</wp:posOffset>
                </wp:positionH>
                <wp:positionV relativeFrom="paragraph">
                  <wp:posOffset>746760</wp:posOffset>
                </wp:positionV>
                <wp:extent cx="1731600" cy="648000"/>
                <wp:effectExtent l="0" t="0" r="21590" b="19050"/>
                <wp:wrapTight wrapText="bothSides">
                  <wp:wrapPolygon edited="0">
                    <wp:start x="0" y="0"/>
                    <wp:lineTo x="0" y="21600"/>
                    <wp:lineTo x="21632" y="21600"/>
                    <wp:lineTo x="21632" y="0"/>
                    <wp:lineTo x="0" y="0"/>
                  </wp:wrapPolygon>
                </wp:wrapTight>
                <wp:docPr id="2099743075" name="Text Box 2099743075" descr="Second period of assessment (section 13, up to 14 days)"/>
                <wp:cNvGraphicFramePr/>
                <a:graphic xmlns:a="http://schemas.openxmlformats.org/drawingml/2006/main">
                  <a:graphicData uri="http://schemas.microsoft.com/office/word/2010/wordprocessingShape">
                    <wps:wsp>
                      <wps:cNvSpPr txBox="1"/>
                      <wps:spPr>
                        <a:xfrm>
                          <a:off x="0" y="0"/>
                          <a:ext cx="1731600" cy="648000"/>
                        </a:xfrm>
                        <a:prstGeom prst="rect">
                          <a:avLst/>
                        </a:prstGeom>
                        <a:solidFill>
                          <a:sysClr val="window" lastClr="FFFFFF">
                            <a:lumMod val="85000"/>
                          </a:sysClr>
                        </a:solidFill>
                        <a:ln w="6350">
                          <a:solidFill>
                            <a:sysClr val="windowText" lastClr="000000"/>
                          </a:solidFill>
                        </a:ln>
                      </wps:spPr>
                      <wps:txbx>
                        <w:txbxContent>
                          <w:p w14:paraId="3248C720" w14:textId="77777777" w:rsidR="00535C2F" w:rsidRDefault="00535C2F" w:rsidP="00C916E6">
                            <w:pPr>
                              <w:jc w:val="center"/>
                            </w:pPr>
                            <w:r>
                              <w:t>Second period of assessment (section 13, up to 14 days)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1F4E62" id="Text Box 2099743075" o:spid="_x0000_s1027" type="#_x0000_t202" alt="Second period of assessment (section 13, up to 14 days)" style="position:absolute;margin-left:292.95pt;margin-top:58.8pt;width:136.35pt;height:51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" fillcolor="#d9d9d9" strokecolor="windowText" strokeweight=".5pt">
                <v:textbox>
                  <w:txbxContent>
                    <w:p w14:paraId="3248C720" w14:textId="77777777" w:rsidR="00535C2F" w:rsidRDefault="00535C2F" w:rsidP="00C916E6">
                      <w:pPr>
                        <w:jc w:val="center"/>
                      </w:pPr>
                      <w:r>
                        <w:t>Second period of assessment (section 13, up to 14 days)</w:t>
                      </w:r>
                    </w:p>
                  </w:txbxContent>
                </v:textbox>
                <w10:wrap type="tight"/>
              </v:shape>
            </w:pict>
          </mc:Fallback>
        </mc:AlternateContent>
      </w:r>
      <w:r w:rsidRPr="009A14A7">
        <w:rPr>
          <w:noProof/>
        </w:rPr>
        <mc:AlternateContent>
          <mc:Choice Requires="wps">
            <w:drawing>
              <wp:anchor distT="0" distB="0" distL="114300" distR="114300" simplePos="0" relativeHeight="251661312" behindDoc="1" locked="0" layoutInCell="1" allowOverlap="1" wp14:anchorId="10DBFA8F" wp14:editId="0BCD0618">
                <wp:simplePos x="0" y="0"/>
                <wp:positionH relativeFrom="column">
                  <wp:posOffset>3720465</wp:posOffset>
                </wp:positionH>
                <wp:positionV relativeFrom="paragraph">
                  <wp:posOffset>191770</wp:posOffset>
                </wp:positionV>
                <wp:extent cx="1731600" cy="457200"/>
                <wp:effectExtent l="0" t="0" r="21590" b="19050"/>
                <wp:wrapTight wrapText="bothSides">
                  <wp:wrapPolygon edited="0">
                    <wp:start x="0" y="0"/>
                    <wp:lineTo x="0" y="21600"/>
                    <wp:lineTo x="21632" y="21600"/>
                    <wp:lineTo x="21632" y="0"/>
                    <wp:lineTo x="0" y="0"/>
                  </wp:wrapPolygon>
                </wp:wrapTight>
                <wp:docPr id="2099743076" name="Text Box 2099743076" descr="First period of assessment (section 11, up to 5 days)"/>
                <wp:cNvGraphicFramePr/>
                <a:graphic xmlns:a="http://schemas.openxmlformats.org/drawingml/2006/main">
                  <a:graphicData uri="http://schemas.microsoft.com/office/word/2010/wordprocessingShape">
                    <wps:wsp>
                      <wps:cNvSpPr txBox="1"/>
                      <wps:spPr>
                        <a:xfrm>
                          <a:off x="0" y="0"/>
                          <a:ext cx="1731600" cy="457200"/>
                        </a:xfrm>
                        <a:prstGeom prst="rect">
                          <a:avLst/>
                        </a:prstGeom>
                        <a:solidFill>
                          <a:sysClr val="window" lastClr="FFFFFF">
                            <a:lumMod val="85000"/>
                          </a:sysClr>
                        </a:solidFill>
                        <a:ln w="6350">
                          <a:solidFill>
                            <a:sysClr val="windowText" lastClr="000000"/>
                          </a:solidFill>
                        </a:ln>
                      </wps:spPr>
                      <wps:txbx>
                        <w:txbxContent>
                          <w:p w14:paraId="3B62F5F1" w14:textId="77777777" w:rsidR="00535C2F" w:rsidRDefault="00535C2F" w:rsidP="00C916E6">
                            <w:pPr>
                              <w:jc w:val="center"/>
                            </w:pPr>
                            <w:r>
                              <w:t>First period of assessment (section 11, up to 5 days)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DBFA8F" id="Text Box 2099743076" o:spid="_x0000_s1028" type="#_x0000_t202" alt="First period of assessment (section 11, up to 5 days)" style="position:absolute;margin-left:292.95pt;margin-top:15.1pt;width:136.35pt;height:36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" fillcolor="#d9d9d9" strokecolor="windowText" strokeweight=".5pt">
                <v:textbox>
                  <w:txbxContent>
                    <w:p w14:paraId="3B62F5F1" w14:textId="77777777" w:rsidR="00535C2F" w:rsidRDefault="00535C2F" w:rsidP="00C916E6">
                      <w:pPr>
                        <w:jc w:val="center"/>
                      </w:pPr>
                      <w:r>
                        <w:t>First period of assessment (section 11, up to 5 days)</w:t>
                      </w:r>
                    </w:p>
                  </w:txbxContent>
                </v:textbox>
                <w10:wrap type="tight"/>
              </v:shape>
            </w:pict>
          </mc:Fallback>
        </mc:AlternateContent>
      </w:r>
      <w:r w:rsidRPr="009A14A7">
        <w:t>Compulsory assessment can take place in either a community or a hospital setting. There are two periods of compulsory assessment, during which a person’s clinician may release them from assessment at any time.</w:t>
      </w:r>
    </w:p>
    <w:p w14:paraId="03B34437" w14:textId="77777777" w:rsidR="00C916E6" w:rsidRPr="009A14A7" w:rsidRDefault="00C916E6" w:rsidP="00C916E6">
      <w:pPr>
        <w:ind w:right="3742"/>
      </w:pPr>
    </w:p>
    <w:p w14:paraId="0F4CB33F" w14:textId="291CA3F3" w:rsidR="00C916E6" w:rsidRPr="009A14A7" w:rsidRDefault="00C916E6" w:rsidP="00C916E6">
      <w:pPr>
        <w:ind w:right="4139"/>
      </w:pPr>
      <w:r w:rsidRPr="009A14A7">
        <w:rPr>
          <w:noProof/>
        </w:rPr>
        <mc:AlternateContent>
          <mc:Choice Requires="wps">
            <w:drawing>
              <wp:anchor distT="0" distB="0" distL="114300" distR="114300" simplePos="0" relativeHeight="251665408" behindDoc="0" locked="0" layoutInCell="1" allowOverlap="1" wp14:anchorId="01D8C32A" wp14:editId="4FB861F6">
                <wp:simplePos x="0" y="0"/>
                <wp:positionH relativeFrom="column">
                  <wp:posOffset>4637405</wp:posOffset>
                </wp:positionH>
                <wp:positionV relativeFrom="paragraph">
                  <wp:posOffset>1146810</wp:posOffset>
                </wp:positionV>
                <wp:extent cx="1389380" cy="647700"/>
                <wp:effectExtent l="0" t="0" r="20320" b="19050"/>
                <wp:wrapNone/>
                <wp:docPr id="2099743081" name="Text Box 2099743081" descr="No CTO issued by courts"/>
                <wp:cNvGraphicFramePr/>
                <a:graphic xmlns:a="http://schemas.openxmlformats.org/drawingml/2006/main">
                  <a:graphicData uri="http://schemas.microsoft.com/office/word/2010/wordprocessingShape">
                    <wps:wsp>
                      <wps:cNvSpPr txBox="1"/>
                      <wps:spPr>
                        <a:xfrm>
                          <a:off x="0" y="0"/>
                          <a:ext cx="1389380" cy="647700"/>
                        </a:xfrm>
                        <a:prstGeom prst="rect">
                          <a:avLst/>
                        </a:prstGeom>
                        <a:solidFill>
                          <a:sysClr val="window" lastClr="FFFFFF">
                            <a:lumMod val="85000"/>
                          </a:sysClr>
                        </a:solidFill>
                        <a:ln w="6350">
                          <a:solidFill>
                            <a:sysClr val="windowText" lastClr="000000"/>
                          </a:solidFill>
                        </a:ln>
                      </wps:spPr>
                      <wps:txbx>
                        <w:txbxContent>
                          <w:p w14:paraId="26F3425E" w14:textId="77777777" w:rsidR="00535C2F" w:rsidRDefault="00535C2F" w:rsidP="00C916E6">
                            <w:pPr>
                              <w:jc w:val="center"/>
                            </w:pPr>
                            <w:r>
                              <w:t>No CTO issued by courts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D8C32A" id="Text Box 2099743081" o:spid="_x0000_s1029" type="#_x0000_t202" alt="No CTO issued by courts" style="position:absolute;margin-left:365.15pt;margin-top:90.3pt;width:109.4pt;height:5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" fillcolor="#d9d9d9" strokecolor="windowText" strokeweight=".5pt">
                <v:textbox>
                  <w:txbxContent>
                    <w:p w14:paraId="26F3425E" w14:textId="77777777" w:rsidR="00535C2F" w:rsidRDefault="00535C2F" w:rsidP="00C916E6">
                      <w:pPr>
                        <w:jc w:val="center"/>
                      </w:pPr>
                      <w:r>
                        <w:t>No CTO issued by courts</w:t>
                      </w:r>
                    </w:p>
                  </w:txbxContent>
                </v:textbox>
              </v:shape>
            </w:pict>
          </mc:Fallback>
        </mc:AlternateContent>
      </w:r>
      <w:r w:rsidRPr="009A14A7">
        <w:rPr>
          <w:noProof/>
        </w:rPr>
        <mc:AlternateContent>
          <mc:Choice Requires="wps">
            <w:drawing>
              <wp:anchor distT="0" distB="0" distL="114300" distR="114300" simplePos="0" relativeHeight="251664384" behindDoc="1" locked="0" layoutInCell="1" allowOverlap="1" wp14:anchorId="3D9CDD47" wp14:editId="186F4C56">
                <wp:simplePos x="0" y="0"/>
                <wp:positionH relativeFrom="column">
                  <wp:posOffset>3164840</wp:posOffset>
                </wp:positionH>
                <wp:positionV relativeFrom="paragraph">
                  <wp:posOffset>1149350</wp:posOffset>
                </wp:positionV>
                <wp:extent cx="1389600" cy="849600"/>
                <wp:effectExtent l="0" t="0" r="20320" b="27305"/>
                <wp:wrapTight wrapText="bothSides">
                  <wp:wrapPolygon edited="0">
                    <wp:start x="0" y="0"/>
                    <wp:lineTo x="0" y="21810"/>
                    <wp:lineTo x="21620" y="21810"/>
                    <wp:lineTo x="21620" y="0"/>
                    <wp:lineTo x="0" y="0"/>
                  </wp:wrapPolygon>
                </wp:wrapTight>
                <wp:docPr id="2099743080" name="Text Box 2099743080" descr="Community or inpatient CTO made (section 29 or 30)"/>
                <wp:cNvGraphicFramePr/>
                <a:graphic xmlns:a="http://schemas.openxmlformats.org/drawingml/2006/main">
                  <a:graphicData uri="http://schemas.microsoft.com/office/word/2010/wordprocessingShape">
                    <wps:wsp>
                      <wps:cNvSpPr txBox="1"/>
                      <wps:spPr>
                        <a:xfrm>
                          <a:off x="0" y="0"/>
                          <a:ext cx="1389600" cy="849600"/>
                        </a:xfrm>
                        <a:prstGeom prst="rect">
                          <a:avLst/>
                        </a:prstGeom>
                        <a:solidFill>
                          <a:sysClr val="window" lastClr="FFFFFF">
                            <a:lumMod val="85000"/>
                          </a:sysClr>
                        </a:solidFill>
                        <a:ln w="6350">
                          <a:solidFill>
                            <a:sysClr val="windowText" lastClr="000000"/>
                          </a:solidFill>
                        </a:ln>
                      </wps:spPr>
                      <wps:txbx>
                        <w:txbxContent>
                          <w:p w14:paraId="1E043DA1" w14:textId="77777777" w:rsidR="00535C2F" w:rsidRDefault="00535C2F" w:rsidP="00C916E6">
                            <w:pPr>
                              <w:jc w:val="center"/>
                            </w:pPr>
                            <w:r>
                              <w:t>Community or inpatient treatment order made (section 29 or 30)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9CDD47" id="Text Box 2099743080" o:spid="_x0000_s1030" type="#_x0000_t202" alt="Community or inpatient CTO made (section 29 or 30)" style="position:absolute;margin-left:249.2pt;margin-top:90.5pt;width:109.4pt;height:66.9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" fillcolor="#d9d9d9" strokecolor="windowText" strokeweight=".5pt">
                <v:textbox>
                  <w:txbxContent>
                    <w:p w14:paraId="1E043DA1" w14:textId="77777777" w:rsidR="00535C2F" w:rsidRDefault="00535C2F" w:rsidP="00C916E6">
                      <w:pPr>
                        <w:jc w:val="center"/>
                      </w:pPr>
                      <w:r>
                        <w:t>Community or inpatient treatment order made (section 29 or 30)</w:t>
                      </w:r>
                    </w:p>
                  </w:txbxContent>
                </v:textbox>
                <w10:wrap type="tight"/>
              </v:shape>
            </w:pict>
          </mc:Fallback>
        </mc:AlternateContent>
      </w:r>
      <w:r w:rsidRPr="009A14A7">
        <w:rPr>
          <w:noProof/>
        </w:rPr>
        <mc:AlternateContent>
          <mc:Choice Requires="wps">
            <w:drawing>
              <wp:anchor distT="0" distB="0" distL="114300" distR="114300" simplePos="0" relativeHeight="251667456" behindDoc="0" locked="0" layoutInCell="1" allowOverlap="1" wp14:anchorId="31A5F948" wp14:editId="4A5C2B42">
                <wp:simplePos x="0" y="0"/>
                <wp:positionH relativeFrom="column">
                  <wp:posOffset>4128135</wp:posOffset>
                </wp:positionH>
                <wp:positionV relativeFrom="paragraph">
                  <wp:posOffset>910590</wp:posOffset>
                </wp:positionV>
                <wp:extent cx="0" cy="237012"/>
                <wp:effectExtent l="0" t="0" r="38100" b="29845"/>
                <wp:wrapNone/>
                <wp:docPr id="2099743079" name="Straight Connector 209974307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237012"/>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0C3BEB4C" id="Straight Connector 2099743079" o:spid="_x0000_s1026" alt="&quot;&quot;"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325.05pt,71.7pt" to="325.05pt,9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"/>
            </w:pict>
          </mc:Fallback>
        </mc:AlternateContent>
      </w:r>
      <w:r w:rsidRPr="009A14A7">
        <w:rPr>
          <w:noProof/>
        </w:rPr>
        <mc:AlternateContent>
          <mc:Choice Requires="wps">
            <w:drawing>
              <wp:anchor distT="0" distB="0" distL="114300" distR="114300" simplePos="0" relativeHeight="251666432" behindDoc="0" locked="0" layoutInCell="1" allowOverlap="1" wp14:anchorId="3DA6FC4A" wp14:editId="4CF4571F">
                <wp:simplePos x="0" y="0"/>
                <wp:positionH relativeFrom="column">
                  <wp:posOffset>5016500</wp:posOffset>
                </wp:positionH>
                <wp:positionV relativeFrom="paragraph">
                  <wp:posOffset>910590</wp:posOffset>
                </wp:positionV>
                <wp:extent cx="0" cy="237012"/>
                <wp:effectExtent l="0" t="0" r="38100" b="29845"/>
                <wp:wrapNone/>
                <wp:docPr id="2099743078" name="Straight Connector 209974307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237012"/>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44A2974D" id="Straight Connector 2099743078" o:spid="_x0000_s1026" alt="&quot;&quot;"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395pt,71.7pt" to="395pt,9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"/>
            </w:pict>
          </mc:Fallback>
        </mc:AlternateContent>
      </w:r>
      <w:r w:rsidRPr="009A14A7">
        <w:rPr>
          <w:noProof/>
        </w:rPr>
        <mc:AlternateContent>
          <mc:Choice Requires="wps">
            <w:drawing>
              <wp:anchor distT="0" distB="0" distL="114300" distR="114300" simplePos="0" relativeHeight="251663360" behindDoc="1" locked="0" layoutInCell="1" allowOverlap="1" wp14:anchorId="34C60AD6" wp14:editId="53EAEE90">
                <wp:simplePos x="0" y="0"/>
                <wp:positionH relativeFrom="column">
                  <wp:posOffset>3731260</wp:posOffset>
                </wp:positionH>
                <wp:positionV relativeFrom="paragraph">
                  <wp:posOffset>267335</wp:posOffset>
                </wp:positionV>
                <wp:extent cx="1731600" cy="648000"/>
                <wp:effectExtent l="0" t="0" r="21590" b="19050"/>
                <wp:wrapTight wrapText="bothSides">
                  <wp:wrapPolygon edited="0">
                    <wp:start x="0" y="0"/>
                    <wp:lineTo x="0" y="21600"/>
                    <wp:lineTo x="21632" y="21600"/>
                    <wp:lineTo x="21632" y="0"/>
                    <wp:lineTo x="0" y="0"/>
                  </wp:wrapPolygon>
                </wp:wrapTight>
                <wp:docPr id="2099743077" name="Text Box 2099743077" descr="Application to the court for a CTO (section 14(4), within second period)"/>
                <wp:cNvGraphicFramePr/>
                <a:graphic xmlns:a="http://schemas.openxmlformats.org/drawingml/2006/main">
                  <a:graphicData uri="http://schemas.microsoft.com/office/word/2010/wordprocessingShape">
                    <wps:wsp>
                      <wps:cNvSpPr txBox="1"/>
                      <wps:spPr>
                        <a:xfrm>
                          <a:off x="0" y="0"/>
                          <a:ext cx="1731600" cy="648000"/>
                        </a:xfrm>
                        <a:prstGeom prst="rect">
                          <a:avLst/>
                        </a:prstGeom>
                        <a:solidFill>
                          <a:sysClr val="window" lastClr="FFFFFF">
                            <a:lumMod val="85000"/>
                          </a:sysClr>
                        </a:solidFill>
                        <a:ln w="6350">
                          <a:solidFill>
                            <a:sysClr val="windowText" lastClr="000000"/>
                          </a:solidFill>
                        </a:ln>
                      </wps:spPr>
                      <wps:txbx>
                        <w:txbxContent>
                          <w:p w14:paraId="39CFB543" w14:textId="77777777" w:rsidR="00535C2F" w:rsidRDefault="00535C2F" w:rsidP="00C916E6">
                            <w:pPr>
                              <w:jc w:val="center"/>
                            </w:pPr>
                            <w:r>
                              <w:t>Application to the court for a CTO (section 14(4), within second period)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C60AD6" id="Text Box 2099743077" o:spid="_x0000_s1031" type="#_x0000_t202" alt="Application to the court for a CTO (section 14(4), within second period)" style="position:absolute;margin-left:293.8pt;margin-top:21.05pt;width:136.35pt;height:51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" fillcolor="#d9d9d9" strokecolor="windowText" strokeweight=".5pt">
                <v:textbox>
                  <w:txbxContent>
                    <w:p w14:paraId="39CFB543" w14:textId="77777777" w:rsidR="00535C2F" w:rsidRDefault="00535C2F" w:rsidP="00C916E6">
                      <w:pPr>
                        <w:jc w:val="center"/>
                      </w:pPr>
                      <w:r>
                        <w:t>Application to the court for a CTO (section 14(4), within second period)</w:t>
                      </w:r>
                    </w:p>
                  </w:txbxContent>
                </v:textbox>
                <w10:wrap type="tight"/>
              </v:shape>
            </w:pict>
          </mc:Fallback>
        </mc:AlternateContent>
      </w:r>
      <w:r w:rsidRPr="009A14A7">
        <w:t xml:space="preserve">During the assessment period, a person is obliged to receive treatment </w:t>
      </w:r>
      <w:r>
        <w:t>that</w:t>
      </w:r>
      <w:r w:rsidRPr="009A14A7">
        <w:t xml:space="preserve"> their responsible clinician</w:t>
      </w:r>
      <w:r w:rsidRPr="00E7793B">
        <w:t xml:space="preserve"> </w:t>
      </w:r>
      <w:r w:rsidRPr="009A14A7">
        <w:t>prescribe</w:t>
      </w:r>
      <w:r>
        <w:t>s</w:t>
      </w:r>
      <w:r w:rsidRPr="009A14A7">
        <w:t>. The first period (section 11 of the Mental Health Act) lasts for up to 5 days. The second period (section 13 of the Mental Health Act) can last up to 14 days.</w:t>
      </w:r>
    </w:p>
    <w:p w14:paraId="0C853362" w14:textId="0FBC7F92" w:rsidR="00C916E6" w:rsidRPr="009A14A7" w:rsidRDefault="00C916E6" w:rsidP="00C916E6">
      <w:pPr>
        <w:ind w:right="3742"/>
      </w:pPr>
    </w:p>
    <w:p w14:paraId="6D10F29E" w14:textId="39634745" w:rsidR="00C916E6" w:rsidRPr="009A14A7" w:rsidRDefault="00C916E6" w:rsidP="00C916E6">
      <w:pPr>
        <w:ind w:right="4139"/>
      </w:pPr>
      <w:r w:rsidRPr="009A14A7">
        <w:t xml:space="preserve">Following the first two assessment periods, a person’s responsible clinician can make an application to the courts under section 14(4) of the Mental Health Act to place the person under a compulsory treatment order (CTO). </w:t>
      </w:r>
    </w:p>
    <w:p w14:paraId="3E388432" w14:textId="77777777" w:rsidR="00C916E6" w:rsidRPr="009A14A7" w:rsidRDefault="00C916E6" w:rsidP="00C916E6">
      <w:pPr>
        <w:ind w:right="3742"/>
      </w:pPr>
    </w:p>
    <w:p w14:paraId="1934421E" w14:textId="77777777" w:rsidR="00C916E6" w:rsidRPr="009A14A7" w:rsidRDefault="00C916E6" w:rsidP="00C916E6">
      <w:r w:rsidRPr="009A14A7">
        <w:t>At any time during the compulsory assessment process, the person (or someone on their behalf) can request a review of their condition by the courts to determine whether it is appropriate that they continue to be assessed. Based on information presented to them, a judge will decide whether the assessment should continue or not.</w:t>
      </w:r>
    </w:p>
    <w:p w14:paraId="77B65001" w14:textId="77777777" w:rsidR="00B5686F" w:rsidRDefault="00B5686F" w:rsidP="00C916E6">
      <w:pPr>
        <w:pStyle w:val="Heading2"/>
        <w:sectPr w:rsidR="00B5686F" w:rsidSect="00753A1F">
          <w:pgSz w:w="11907" w:h="16834" w:code="9"/>
          <w:pgMar w:top="1418" w:right="1701" w:bottom="1134" w:left="1843" w:header="284" w:footer="425" w:gutter="284"/>
          <w:cols w:space="720"/>
        </w:sectPr>
      </w:pPr>
      <w:bookmarkStart w:id="918" w:name="_Toc189053938"/>
    </w:p>
    <w:p w14:paraId="04D9251C" w14:textId="3ADE2821" w:rsidR="00C916E6" w:rsidRPr="009A14A7" w:rsidRDefault="00C916E6" w:rsidP="00B5686F">
      <w:pPr>
        <w:pStyle w:val="Heading2"/>
        <w:spacing w:before="0"/>
      </w:pPr>
      <w:bookmarkStart w:id="919" w:name="_Toc189647923"/>
      <w:r w:rsidRPr="009A14A7">
        <w:t>Compulsory treatment</w:t>
      </w:r>
      <w:bookmarkEnd w:id="918"/>
      <w:bookmarkEnd w:id="919"/>
    </w:p>
    <w:p w14:paraId="19715D18" w14:textId="77777777" w:rsidR="00C916E6" w:rsidRDefault="00C916E6" w:rsidP="00C916E6">
      <w:r w:rsidRPr="009A14A7">
        <w:t xml:space="preserve">There are two types of CTOs: community </w:t>
      </w:r>
      <w:r>
        <w:t xml:space="preserve">treatment orders </w:t>
      </w:r>
      <w:r w:rsidRPr="009A14A7">
        <w:t xml:space="preserve">(section 29 of the Mental Health Act) and inpatient </w:t>
      </w:r>
      <w:r>
        <w:t xml:space="preserve">treatment orders </w:t>
      </w:r>
      <w:r w:rsidRPr="009A14A7">
        <w:t xml:space="preserve">(section 30 of the Mental Health Act). A person’s responsible clinician can convert an inpatient </w:t>
      </w:r>
      <w:r>
        <w:t>treatment order</w:t>
      </w:r>
      <w:r w:rsidRPr="009A14A7">
        <w:t xml:space="preserve"> to a community </w:t>
      </w:r>
      <w:r>
        <w:t>treatment order</w:t>
      </w:r>
      <w:r w:rsidRPr="009A14A7">
        <w:t xml:space="preserve"> at any time. A responsible clinician can also grant</w:t>
      </w:r>
      <w:r w:rsidRPr="00963B01">
        <w:t xml:space="preserve"> </w:t>
      </w:r>
      <w:r w:rsidRPr="009A14A7">
        <w:t>leave in the community</w:t>
      </w:r>
      <w:r w:rsidRPr="00963B01">
        <w:t xml:space="preserve"> </w:t>
      </w:r>
      <w:r w:rsidRPr="009A14A7">
        <w:t xml:space="preserve">for up to </w:t>
      </w:r>
      <w:r>
        <w:t>three</w:t>
      </w:r>
      <w:r w:rsidRPr="009A14A7">
        <w:t xml:space="preserve"> months</w:t>
      </w:r>
      <w:r>
        <w:t xml:space="preserve"> to</w:t>
      </w:r>
      <w:r w:rsidRPr="009A14A7">
        <w:t xml:space="preserve"> a person who is under an inpatient </w:t>
      </w:r>
      <w:r>
        <w:t>treatment order</w:t>
      </w:r>
      <w:r w:rsidRPr="009A14A7">
        <w:t xml:space="preserve"> (section 31 of the Mental Health Act). </w:t>
      </w:r>
    </w:p>
    <w:p w14:paraId="12FFE998" w14:textId="77777777" w:rsidR="00B36513" w:rsidRPr="00026845" w:rsidRDefault="00B36513" w:rsidP="00B36513">
      <w:pPr>
        <w:pStyle w:val="Default"/>
        <w:rPr>
          <w:sz w:val="21"/>
          <w:szCs w:val="21"/>
        </w:rPr>
      </w:pPr>
    </w:p>
    <w:p w14:paraId="082EE932" w14:textId="77777777" w:rsidR="00B36513" w:rsidRPr="00026845" w:rsidRDefault="00B36513" w:rsidP="00B36513">
      <w:pPr>
        <w:pStyle w:val="Default"/>
        <w:rPr>
          <w:sz w:val="21"/>
          <w:szCs w:val="21"/>
        </w:rPr>
      </w:pPr>
    </w:p>
    <w:p w14:paraId="6D6A4D27" w14:textId="77777777" w:rsidR="00C916E6" w:rsidRDefault="00C916E6" w:rsidP="00B36513">
      <w:pPr>
        <w:sectPr w:rsidR="00C916E6" w:rsidSect="00753A1F">
          <w:pgSz w:w="11907" w:h="16834" w:code="9"/>
          <w:pgMar w:top="1418" w:right="1701" w:bottom="1134" w:left="1843" w:header="284" w:footer="425" w:gutter="284"/>
          <w:cols w:space="720"/>
        </w:sectPr>
      </w:pPr>
    </w:p>
    <w:p w14:paraId="2F8BA819" w14:textId="77777777" w:rsidR="00C916E6" w:rsidRPr="00DB6B70" w:rsidRDefault="00C916E6" w:rsidP="00C916E6">
      <w:pPr>
        <w:pStyle w:val="Heading1"/>
        <w:spacing w:before="0"/>
      </w:pPr>
      <w:bookmarkStart w:id="920" w:name="_Toc145394263"/>
      <w:bookmarkStart w:id="921" w:name="_Toc189053939"/>
      <w:bookmarkStart w:id="922" w:name="_Toc189647924"/>
      <w:r w:rsidRPr="00DB6B70">
        <w:t>Appendix 2: Additional statistics</w:t>
      </w:r>
      <w:bookmarkStart w:id="923" w:name="_Toc65141658"/>
      <w:bookmarkStart w:id="924" w:name="_Toc75176469"/>
      <w:bookmarkStart w:id="925" w:name="_Toc87429942"/>
      <w:bookmarkStart w:id="926" w:name="_Toc88826986"/>
      <w:r w:rsidRPr="00DB6B70">
        <w:t xml:space="preserve"> – Ministry of Justice</w:t>
      </w:r>
      <w:bookmarkEnd w:id="920"/>
      <w:bookmarkEnd w:id="921"/>
      <w:bookmarkEnd w:id="923"/>
      <w:bookmarkEnd w:id="924"/>
      <w:bookmarkEnd w:id="925"/>
      <w:bookmarkEnd w:id="926"/>
      <w:bookmarkEnd w:id="922"/>
    </w:p>
    <w:p w14:paraId="1BBCA57F" w14:textId="1D7B58CD" w:rsidR="00C916E6" w:rsidRPr="00DB6B70" w:rsidRDefault="00C916E6" w:rsidP="00C916E6">
      <w:r w:rsidRPr="00DB6B70">
        <w:fldChar w:fldCharType="begin"/>
      </w:r>
      <w:r w:rsidRPr="00DB6B70">
        <w:instrText xml:space="preserve"> REF _Ref141109601 \h </w:instrText>
      </w:r>
      <w:r w:rsidRPr="00DB6B70">
        <w:fldChar w:fldCharType="separate"/>
      </w:r>
      <w:r w:rsidR="00753BC8" w:rsidRPr="00DB6B70">
        <w:t>Table A</w:t>
      </w:r>
      <w:r w:rsidR="00753BC8">
        <w:rPr>
          <w:noProof/>
        </w:rPr>
        <w:t>1</w:t>
      </w:r>
      <w:r w:rsidRPr="00DB6B70">
        <w:fldChar w:fldCharType="end"/>
      </w:r>
      <w:r w:rsidRPr="00DB6B70">
        <w:t xml:space="preserve"> presents data on applications for a CTO from 200</w:t>
      </w:r>
      <w:r>
        <w:t>8</w:t>
      </w:r>
      <w:r w:rsidRPr="00DB6B70">
        <w:t>/0</w:t>
      </w:r>
      <w:r>
        <w:t>9</w:t>
      </w:r>
      <w:r w:rsidRPr="00DB6B70">
        <w:t xml:space="preserve"> to 202</w:t>
      </w:r>
      <w:r>
        <w:t>2</w:t>
      </w:r>
      <w:r w:rsidRPr="00DB6B70">
        <w:t>/2</w:t>
      </w:r>
      <w:r>
        <w:t>3</w:t>
      </w:r>
      <w:r w:rsidRPr="00DB6B70">
        <w:t xml:space="preserve">. </w:t>
      </w:r>
      <w:r w:rsidRPr="00DB6B70">
        <w:fldChar w:fldCharType="begin"/>
      </w:r>
      <w:r w:rsidRPr="00DB6B70">
        <w:instrText xml:space="preserve"> REF _Ref141109610 \h </w:instrText>
      </w:r>
      <w:r w:rsidRPr="00DB6B70">
        <w:fldChar w:fldCharType="separate"/>
      </w:r>
      <w:r w:rsidR="00753BC8" w:rsidRPr="00DB6B70">
        <w:t>Table A</w:t>
      </w:r>
      <w:r w:rsidR="00753BC8">
        <w:rPr>
          <w:noProof/>
        </w:rPr>
        <w:t>2</w:t>
      </w:r>
      <w:r w:rsidRPr="00DB6B70">
        <w:fldChar w:fldCharType="end"/>
      </w:r>
      <w:r w:rsidRPr="00DB6B70">
        <w:t xml:space="preserve"> shows the types of orders granted over the same period.</w:t>
      </w:r>
    </w:p>
    <w:p w14:paraId="2F25A785" w14:textId="77777777" w:rsidR="00C916E6" w:rsidRPr="00DB6B70" w:rsidRDefault="00C916E6" w:rsidP="00C916E6"/>
    <w:p w14:paraId="52985D80" w14:textId="05A7EDE6" w:rsidR="00C916E6" w:rsidRPr="00DB6B70" w:rsidRDefault="00C916E6" w:rsidP="00C916E6">
      <w:pPr>
        <w:pStyle w:val="Table"/>
      </w:pPr>
      <w:bookmarkStart w:id="927" w:name="_Ref141109601"/>
      <w:bookmarkStart w:id="928" w:name="_Toc63764687"/>
      <w:bookmarkStart w:id="929" w:name="_Toc75176540"/>
      <w:bookmarkStart w:id="930" w:name="_Toc87430019"/>
      <w:bookmarkStart w:id="931" w:name="_Toc88561376"/>
      <w:bookmarkStart w:id="932" w:name="_Toc115188911"/>
      <w:bookmarkStart w:id="933" w:name="_Toc142314770"/>
      <w:bookmarkStart w:id="934" w:name="_Toc145394333"/>
      <w:bookmarkStart w:id="935" w:name="_Toc188699115"/>
      <w:bookmarkStart w:id="936" w:name="_Toc189647996"/>
      <w:r w:rsidRPr="00DB6B70">
        <w:t>Table A</w:t>
      </w:r>
      <w:r w:rsidRPr="00DB6B70">
        <w:fldChar w:fldCharType="begin"/>
      </w:r>
      <w:r w:rsidRPr="00DB6B70">
        <w:instrText>SEQ Table_A \* ARABIC</w:instrText>
      </w:r>
      <w:r w:rsidRPr="00DB6B70">
        <w:fldChar w:fldCharType="separate"/>
      </w:r>
      <w:r w:rsidR="00753BC8">
        <w:rPr>
          <w:noProof/>
        </w:rPr>
        <w:t>1</w:t>
      </w:r>
      <w:r w:rsidRPr="00DB6B70">
        <w:fldChar w:fldCharType="end"/>
      </w:r>
      <w:bookmarkEnd w:id="927"/>
      <w:r w:rsidRPr="00DB6B70">
        <w:t xml:space="preserve">: Applications for </w:t>
      </w:r>
      <w:r>
        <w:t>compulsory treatment orders</w:t>
      </w:r>
      <w:r w:rsidRPr="00DB6B70">
        <w:t xml:space="preserve"> or extensions, 200</w:t>
      </w:r>
      <w:r>
        <w:t>8</w:t>
      </w:r>
      <w:r w:rsidRPr="00DB6B70">
        <w:t>/0</w:t>
      </w:r>
      <w:r>
        <w:t>9</w:t>
      </w:r>
      <w:r w:rsidRPr="00DB6B70">
        <w:t xml:space="preserve"> to 20</w:t>
      </w:r>
      <w:bookmarkEnd w:id="928"/>
      <w:r w:rsidRPr="00DB6B70">
        <w:t>2</w:t>
      </w:r>
      <w:bookmarkEnd w:id="929"/>
      <w:bookmarkEnd w:id="930"/>
      <w:bookmarkEnd w:id="931"/>
      <w:bookmarkEnd w:id="932"/>
      <w:r>
        <w:t>2</w:t>
      </w:r>
      <w:r w:rsidRPr="00DB6B70">
        <w:t>/2</w:t>
      </w:r>
      <w:bookmarkEnd w:id="933"/>
      <w:bookmarkEnd w:id="934"/>
      <w:r>
        <w:t>3</w:t>
      </w:r>
      <w:bookmarkEnd w:id="935"/>
      <w:bookmarkEnd w:id="936"/>
    </w:p>
    <w:tbl>
      <w:tblPr>
        <w:tblW w:w="4931" w:type="pct"/>
        <w:tblInd w:w="57" w:type="dxa"/>
        <w:tblBorders>
          <w:top w:val="single" w:sz="4" w:space="0" w:color="A6A6A6" w:themeColor="background1" w:themeShade="A6"/>
          <w:bottom w:val="single" w:sz="4" w:space="0" w:color="A6A6A6" w:themeColor="background1" w:themeShade="A6"/>
          <w:insideH w:val="single" w:sz="4" w:space="0" w:color="A6A6A6" w:themeColor="background1" w:themeShade="A6"/>
        </w:tblBorders>
        <w:tblLayout w:type="fixed"/>
        <w:tblCellMar>
          <w:left w:w="57" w:type="dxa"/>
          <w:right w:w="57" w:type="dxa"/>
        </w:tblCellMar>
        <w:tblLook w:val="01E0" w:firstRow="1" w:lastRow="1" w:firstColumn="1" w:lastColumn="1" w:noHBand="0" w:noVBand="0"/>
      </w:tblPr>
      <w:tblGrid>
        <w:gridCol w:w="936"/>
        <w:gridCol w:w="1406"/>
        <w:gridCol w:w="1406"/>
        <w:gridCol w:w="1407"/>
        <w:gridCol w:w="1406"/>
        <w:gridCol w:w="1407"/>
      </w:tblGrid>
      <w:tr w:rsidR="00C916E6" w:rsidRPr="00DB6B70" w14:paraId="6E95112F" w14:textId="77777777" w:rsidTr="00535C2F">
        <w:trPr>
          <w:cantSplit/>
        </w:trPr>
        <w:tc>
          <w:tcPr>
            <w:tcW w:w="588" w:type="pct"/>
            <w:tcBorders>
              <w:top w:val="nil"/>
              <w:bottom w:val="nil"/>
            </w:tcBorders>
            <w:shd w:val="clear" w:color="auto" w:fill="D9D9D9" w:themeFill="background1" w:themeFillShade="D9"/>
          </w:tcPr>
          <w:p w14:paraId="3A47DC94" w14:textId="77777777" w:rsidR="00C916E6" w:rsidRPr="00DB6B70" w:rsidRDefault="00C916E6" w:rsidP="00535C2F">
            <w:pPr>
              <w:spacing w:before="60" w:after="60"/>
              <w:rPr>
                <w:b/>
                <w:sz w:val="18"/>
              </w:rPr>
            </w:pPr>
            <w:r w:rsidRPr="00DB6B70">
              <w:rPr>
                <w:b/>
                <w:sz w:val="18"/>
              </w:rPr>
              <w:t>Financial year</w:t>
            </w:r>
          </w:p>
        </w:tc>
        <w:tc>
          <w:tcPr>
            <w:tcW w:w="882" w:type="pct"/>
            <w:tcBorders>
              <w:top w:val="nil"/>
              <w:bottom w:val="nil"/>
            </w:tcBorders>
            <w:shd w:val="clear" w:color="auto" w:fill="D9D9D9" w:themeFill="background1" w:themeFillShade="D9"/>
          </w:tcPr>
          <w:p w14:paraId="71E5F4E0" w14:textId="77777777" w:rsidR="00C916E6" w:rsidRPr="00DB6B70" w:rsidRDefault="00C916E6" w:rsidP="00535C2F">
            <w:pPr>
              <w:spacing w:before="60" w:after="60"/>
              <w:jc w:val="center"/>
              <w:rPr>
                <w:b/>
                <w:sz w:val="18"/>
              </w:rPr>
            </w:pPr>
            <w:r w:rsidRPr="00DB6B70">
              <w:rPr>
                <w:b/>
                <w:sz w:val="18"/>
              </w:rPr>
              <w:t>Number of applications for a CTO, or extension to a CTO</w:t>
            </w:r>
          </w:p>
        </w:tc>
        <w:tc>
          <w:tcPr>
            <w:tcW w:w="882" w:type="pct"/>
            <w:tcBorders>
              <w:top w:val="nil"/>
              <w:bottom w:val="nil"/>
            </w:tcBorders>
            <w:shd w:val="clear" w:color="auto" w:fill="D9D9D9" w:themeFill="background1" w:themeFillShade="D9"/>
          </w:tcPr>
          <w:p w14:paraId="1DF030C9" w14:textId="77777777" w:rsidR="00C916E6" w:rsidRPr="00DB6B70" w:rsidRDefault="00C916E6" w:rsidP="00535C2F">
            <w:pPr>
              <w:spacing w:before="60" w:after="60"/>
              <w:jc w:val="center"/>
              <w:rPr>
                <w:b/>
                <w:sz w:val="18"/>
              </w:rPr>
            </w:pPr>
            <w:r w:rsidRPr="00DB6B70">
              <w:rPr>
                <w:b/>
                <w:sz w:val="18"/>
              </w:rPr>
              <w:t>Number of applications granted or granted with consent</w:t>
            </w:r>
          </w:p>
        </w:tc>
        <w:tc>
          <w:tcPr>
            <w:tcW w:w="883" w:type="pct"/>
            <w:tcBorders>
              <w:top w:val="nil"/>
              <w:bottom w:val="nil"/>
            </w:tcBorders>
            <w:shd w:val="clear" w:color="auto" w:fill="D9D9D9" w:themeFill="background1" w:themeFillShade="D9"/>
          </w:tcPr>
          <w:p w14:paraId="228C48CB" w14:textId="77777777" w:rsidR="00C916E6" w:rsidRPr="00DB6B70" w:rsidRDefault="00C916E6" w:rsidP="00535C2F">
            <w:pPr>
              <w:spacing w:before="60" w:after="60"/>
              <w:jc w:val="center"/>
              <w:rPr>
                <w:b/>
                <w:sz w:val="18"/>
              </w:rPr>
            </w:pPr>
            <w:r w:rsidRPr="00DB6B70">
              <w:rPr>
                <w:b/>
                <w:sz w:val="18"/>
              </w:rPr>
              <w:t>Number of applications dismissed or struck out</w:t>
            </w:r>
          </w:p>
        </w:tc>
        <w:tc>
          <w:tcPr>
            <w:tcW w:w="882" w:type="pct"/>
            <w:tcBorders>
              <w:top w:val="nil"/>
              <w:bottom w:val="nil"/>
            </w:tcBorders>
            <w:shd w:val="clear" w:color="auto" w:fill="D9D9D9" w:themeFill="background1" w:themeFillShade="D9"/>
          </w:tcPr>
          <w:p w14:paraId="7AD148F1" w14:textId="77777777" w:rsidR="00C916E6" w:rsidRPr="00DB6B70" w:rsidRDefault="00C916E6" w:rsidP="00535C2F">
            <w:pPr>
              <w:spacing w:before="60" w:after="60"/>
              <w:jc w:val="center"/>
              <w:rPr>
                <w:b/>
                <w:sz w:val="18"/>
              </w:rPr>
            </w:pPr>
            <w:r w:rsidRPr="00DB6B70">
              <w:rPr>
                <w:b/>
                <w:sz w:val="18"/>
              </w:rPr>
              <w:t>Number of applications withdrawn, lapsed or discontinued</w:t>
            </w:r>
          </w:p>
        </w:tc>
        <w:tc>
          <w:tcPr>
            <w:tcW w:w="883" w:type="pct"/>
            <w:tcBorders>
              <w:top w:val="nil"/>
              <w:bottom w:val="nil"/>
            </w:tcBorders>
            <w:shd w:val="clear" w:color="auto" w:fill="D9D9D9" w:themeFill="background1" w:themeFillShade="D9"/>
          </w:tcPr>
          <w:p w14:paraId="49E84467" w14:textId="77777777" w:rsidR="00C916E6" w:rsidRPr="00DB6B70" w:rsidRDefault="00C916E6" w:rsidP="00535C2F">
            <w:pPr>
              <w:spacing w:before="60" w:after="60"/>
              <w:jc w:val="center"/>
              <w:rPr>
                <w:b/>
                <w:sz w:val="18"/>
              </w:rPr>
            </w:pPr>
            <w:r w:rsidRPr="00DB6B70">
              <w:rPr>
                <w:b/>
                <w:sz w:val="18"/>
              </w:rPr>
              <w:t>Number of applications transferred to the High Court</w:t>
            </w:r>
          </w:p>
        </w:tc>
      </w:tr>
      <w:tr w:rsidR="00C916E6" w:rsidRPr="00DB6B70" w14:paraId="1E329FC6" w14:textId="77777777" w:rsidTr="00535C2F">
        <w:trPr>
          <w:cantSplit/>
          <w:trHeight w:val="300"/>
        </w:trPr>
        <w:tc>
          <w:tcPr>
            <w:tcW w:w="588" w:type="pct"/>
          </w:tcPr>
          <w:p w14:paraId="67C13C3F" w14:textId="77777777" w:rsidR="00C916E6" w:rsidRPr="00DB6B70" w:rsidRDefault="00C916E6" w:rsidP="00535C2F">
            <w:pPr>
              <w:spacing w:before="60" w:after="60"/>
              <w:rPr>
                <w:sz w:val="18"/>
              </w:rPr>
            </w:pPr>
            <w:r w:rsidRPr="00DB6B70">
              <w:rPr>
                <w:sz w:val="18"/>
              </w:rPr>
              <w:t>2008/09</w:t>
            </w:r>
          </w:p>
        </w:tc>
        <w:tc>
          <w:tcPr>
            <w:tcW w:w="882" w:type="pct"/>
          </w:tcPr>
          <w:p w14:paraId="7B31269B" w14:textId="77777777" w:rsidR="00C916E6" w:rsidRPr="00DB6B70" w:rsidRDefault="00C916E6" w:rsidP="00535C2F">
            <w:pPr>
              <w:spacing w:before="60" w:after="60"/>
              <w:jc w:val="center"/>
              <w:rPr>
                <w:sz w:val="18"/>
                <w:szCs w:val="18"/>
              </w:rPr>
            </w:pPr>
            <w:r w:rsidRPr="00C86A3F">
              <w:rPr>
                <w:sz w:val="18"/>
                <w:szCs w:val="18"/>
              </w:rPr>
              <w:t>4,570</w:t>
            </w:r>
          </w:p>
        </w:tc>
        <w:tc>
          <w:tcPr>
            <w:tcW w:w="882" w:type="pct"/>
          </w:tcPr>
          <w:p w14:paraId="27A313D4" w14:textId="77777777" w:rsidR="00C916E6" w:rsidRPr="00DB6B70" w:rsidRDefault="00C916E6" w:rsidP="00535C2F">
            <w:pPr>
              <w:spacing w:before="60" w:after="60"/>
              <w:jc w:val="center"/>
              <w:rPr>
                <w:sz w:val="18"/>
                <w:szCs w:val="18"/>
              </w:rPr>
            </w:pPr>
            <w:r w:rsidRPr="00C86A3F">
              <w:rPr>
                <w:sz w:val="18"/>
                <w:szCs w:val="18"/>
              </w:rPr>
              <w:t>4,003</w:t>
            </w:r>
          </w:p>
        </w:tc>
        <w:tc>
          <w:tcPr>
            <w:tcW w:w="883" w:type="pct"/>
          </w:tcPr>
          <w:p w14:paraId="363C67E2" w14:textId="77777777" w:rsidR="00C916E6" w:rsidRPr="00DB6B70" w:rsidRDefault="00C916E6" w:rsidP="00535C2F">
            <w:pPr>
              <w:tabs>
                <w:tab w:val="decimal" w:pos="788"/>
              </w:tabs>
              <w:spacing w:before="60" w:after="60"/>
              <w:jc w:val="center"/>
              <w:rPr>
                <w:sz w:val="18"/>
                <w:szCs w:val="18"/>
              </w:rPr>
            </w:pPr>
            <w:r w:rsidRPr="00C86A3F">
              <w:rPr>
                <w:sz w:val="18"/>
                <w:szCs w:val="18"/>
              </w:rPr>
              <w:t>76</w:t>
            </w:r>
          </w:p>
        </w:tc>
        <w:tc>
          <w:tcPr>
            <w:tcW w:w="882" w:type="pct"/>
          </w:tcPr>
          <w:p w14:paraId="466A27F6" w14:textId="77777777" w:rsidR="00C916E6" w:rsidRPr="00DB6B70" w:rsidRDefault="00C916E6" w:rsidP="00535C2F">
            <w:pPr>
              <w:spacing w:before="60" w:after="60"/>
              <w:jc w:val="center"/>
              <w:rPr>
                <w:sz w:val="18"/>
                <w:szCs w:val="18"/>
              </w:rPr>
            </w:pPr>
            <w:r w:rsidRPr="00C86A3F">
              <w:rPr>
                <w:sz w:val="18"/>
                <w:szCs w:val="18"/>
              </w:rPr>
              <w:t>496</w:t>
            </w:r>
          </w:p>
        </w:tc>
        <w:tc>
          <w:tcPr>
            <w:tcW w:w="883" w:type="pct"/>
          </w:tcPr>
          <w:p w14:paraId="718BE08E" w14:textId="77777777" w:rsidR="00C916E6" w:rsidRPr="00DB6B70" w:rsidRDefault="00C916E6" w:rsidP="00535C2F">
            <w:pPr>
              <w:spacing w:before="60" w:after="60"/>
              <w:jc w:val="center"/>
              <w:rPr>
                <w:sz w:val="18"/>
                <w:szCs w:val="18"/>
              </w:rPr>
            </w:pPr>
            <w:r w:rsidRPr="00C86A3F">
              <w:rPr>
                <w:sz w:val="18"/>
                <w:szCs w:val="18"/>
              </w:rPr>
              <w:t>0</w:t>
            </w:r>
          </w:p>
        </w:tc>
      </w:tr>
      <w:tr w:rsidR="00C916E6" w:rsidRPr="00DB6B70" w14:paraId="589E5068" w14:textId="77777777" w:rsidTr="00535C2F">
        <w:trPr>
          <w:cantSplit/>
          <w:trHeight w:val="300"/>
        </w:trPr>
        <w:tc>
          <w:tcPr>
            <w:tcW w:w="588" w:type="pct"/>
          </w:tcPr>
          <w:p w14:paraId="17282FE5" w14:textId="77777777" w:rsidR="00C916E6" w:rsidRPr="00DB6B70" w:rsidRDefault="00C916E6" w:rsidP="00535C2F">
            <w:pPr>
              <w:spacing w:before="60" w:after="60"/>
              <w:rPr>
                <w:sz w:val="18"/>
              </w:rPr>
            </w:pPr>
            <w:r w:rsidRPr="00DB6B70">
              <w:rPr>
                <w:sz w:val="18"/>
              </w:rPr>
              <w:t>2009/10</w:t>
            </w:r>
          </w:p>
        </w:tc>
        <w:tc>
          <w:tcPr>
            <w:tcW w:w="882" w:type="pct"/>
          </w:tcPr>
          <w:p w14:paraId="7BC22A2C" w14:textId="77777777" w:rsidR="00C916E6" w:rsidRPr="00DB6B70" w:rsidRDefault="00C916E6" w:rsidP="00535C2F">
            <w:pPr>
              <w:spacing w:before="60" w:after="60"/>
              <w:jc w:val="center"/>
              <w:rPr>
                <w:sz w:val="18"/>
                <w:szCs w:val="18"/>
              </w:rPr>
            </w:pPr>
            <w:r w:rsidRPr="00C86A3F">
              <w:rPr>
                <w:sz w:val="18"/>
                <w:szCs w:val="18"/>
              </w:rPr>
              <w:t>4,661</w:t>
            </w:r>
          </w:p>
        </w:tc>
        <w:tc>
          <w:tcPr>
            <w:tcW w:w="882" w:type="pct"/>
          </w:tcPr>
          <w:p w14:paraId="62D8CCD9" w14:textId="77777777" w:rsidR="00C916E6" w:rsidRPr="00DB6B70" w:rsidRDefault="00C916E6" w:rsidP="00535C2F">
            <w:pPr>
              <w:spacing w:before="60" w:after="60"/>
              <w:jc w:val="center"/>
              <w:rPr>
                <w:sz w:val="18"/>
                <w:szCs w:val="18"/>
              </w:rPr>
            </w:pPr>
            <w:r w:rsidRPr="00C86A3F">
              <w:rPr>
                <w:sz w:val="18"/>
                <w:szCs w:val="18"/>
              </w:rPr>
              <w:t>4,100</w:t>
            </w:r>
          </w:p>
        </w:tc>
        <w:tc>
          <w:tcPr>
            <w:tcW w:w="883" w:type="pct"/>
          </w:tcPr>
          <w:p w14:paraId="32378C35" w14:textId="77777777" w:rsidR="00C916E6" w:rsidRPr="00DB6B70" w:rsidRDefault="00C916E6" w:rsidP="00535C2F">
            <w:pPr>
              <w:tabs>
                <w:tab w:val="decimal" w:pos="788"/>
              </w:tabs>
              <w:spacing w:before="60" w:after="60"/>
              <w:jc w:val="center"/>
              <w:rPr>
                <w:sz w:val="18"/>
                <w:szCs w:val="18"/>
              </w:rPr>
            </w:pPr>
            <w:r w:rsidRPr="00C86A3F">
              <w:rPr>
                <w:sz w:val="18"/>
                <w:szCs w:val="18"/>
              </w:rPr>
              <w:t>72</w:t>
            </w:r>
          </w:p>
        </w:tc>
        <w:tc>
          <w:tcPr>
            <w:tcW w:w="882" w:type="pct"/>
          </w:tcPr>
          <w:p w14:paraId="180A8BE6" w14:textId="77777777" w:rsidR="00C916E6" w:rsidRPr="00DB6B70" w:rsidRDefault="00C916E6" w:rsidP="00535C2F">
            <w:pPr>
              <w:spacing w:before="60" w:after="60"/>
              <w:jc w:val="center"/>
              <w:rPr>
                <w:sz w:val="18"/>
                <w:szCs w:val="18"/>
              </w:rPr>
            </w:pPr>
            <w:r w:rsidRPr="00C86A3F">
              <w:rPr>
                <w:sz w:val="18"/>
                <w:szCs w:val="18"/>
              </w:rPr>
              <w:t>507</w:t>
            </w:r>
          </w:p>
        </w:tc>
        <w:tc>
          <w:tcPr>
            <w:tcW w:w="883" w:type="pct"/>
          </w:tcPr>
          <w:p w14:paraId="67A5A455" w14:textId="77777777" w:rsidR="00C916E6" w:rsidRPr="00DB6B70" w:rsidRDefault="00C916E6" w:rsidP="00535C2F">
            <w:pPr>
              <w:spacing w:before="60" w:after="60"/>
              <w:jc w:val="center"/>
              <w:rPr>
                <w:sz w:val="18"/>
                <w:szCs w:val="18"/>
              </w:rPr>
            </w:pPr>
            <w:r w:rsidRPr="00C86A3F">
              <w:rPr>
                <w:sz w:val="18"/>
                <w:szCs w:val="18"/>
              </w:rPr>
              <w:t>0</w:t>
            </w:r>
          </w:p>
        </w:tc>
      </w:tr>
      <w:tr w:rsidR="00C916E6" w:rsidRPr="00DB6B70" w14:paraId="1A720E9B" w14:textId="77777777" w:rsidTr="00535C2F">
        <w:trPr>
          <w:cantSplit/>
          <w:trHeight w:val="300"/>
        </w:trPr>
        <w:tc>
          <w:tcPr>
            <w:tcW w:w="588" w:type="pct"/>
          </w:tcPr>
          <w:p w14:paraId="4C7F8577" w14:textId="77777777" w:rsidR="00C916E6" w:rsidRPr="00DB6B70" w:rsidRDefault="00C916E6" w:rsidP="00535C2F">
            <w:pPr>
              <w:spacing w:before="60" w:after="60"/>
              <w:rPr>
                <w:sz w:val="18"/>
              </w:rPr>
            </w:pPr>
            <w:r w:rsidRPr="00DB6B70">
              <w:rPr>
                <w:sz w:val="18"/>
              </w:rPr>
              <w:t>2010/11</w:t>
            </w:r>
          </w:p>
        </w:tc>
        <w:tc>
          <w:tcPr>
            <w:tcW w:w="882" w:type="pct"/>
          </w:tcPr>
          <w:p w14:paraId="532FFE58" w14:textId="77777777" w:rsidR="00C916E6" w:rsidRPr="00DB6B70" w:rsidRDefault="00C916E6" w:rsidP="00535C2F">
            <w:pPr>
              <w:spacing w:before="60" w:after="60"/>
              <w:jc w:val="center"/>
              <w:rPr>
                <w:sz w:val="18"/>
                <w:szCs w:val="18"/>
              </w:rPr>
            </w:pPr>
            <w:r w:rsidRPr="00C86A3F">
              <w:rPr>
                <w:sz w:val="18"/>
                <w:szCs w:val="18"/>
              </w:rPr>
              <w:t>4,807</w:t>
            </w:r>
          </w:p>
        </w:tc>
        <w:tc>
          <w:tcPr>
            <w:tcW w:w="882" w:type="pct"/>
          </w:tcPr>
          <w:p w14:paraId="733D672F" w14:textId="77777777" w:rsidR="00C916E6" w:rsidRPr="00DB6B70" w:rsidRDefault="00C916E6" w:rsidP="00535C2F">
            <w:pPr>
              <w:spacing w:before="60" w:after="60"/>
              <w:jc w:val="center"/>
              <w:rPr>
                <w:sz w:val="18"/>
                <w:szCs w:val="18"/>
              </w:rPr>
            </w:pPr>
            <w:r w:rsidRPr="00C86A3F">
              <w:rPr>
                <w:sz w:val="18"/>
                <w:szCs w:val="18"/>
              </w:rPr>
              <w:t>4,198</w:t>
            </w:r>
          </w:p>
        </w:tc>
        <w:tc>
          <w:tcPr>
            <w:tcW w:w="883" w:type="pct"/>
          </w:tcPr>
          <w:p w14:paraId="15AC6186" w14:textId="77777777" w:rsidR="00C916E6" w:rsidRPr="00DB6B70" w:rsidRDefault="00C916E6" w:rsidP="00535C2F">
            <w:pPr>
              <w:tabs>
                <w:tab w:val="decimal" w:pos="788"/>
              </w:tabs>
              <w:spacing w:before="60" w:after="60"/>
              <w:jc w:val="center"/>
              <w:rPr>
                <w:sz w:val="18"/>
                <w:szCs w:val="18"/>
              </w:rPr>
            </w:pPr>
            <w:r w:rsidRPr="00C86A3F">
              <w:rPr>
                <w:sz w:val="18"/>
                <w:szCs w:val="18"/>
              </w:rPr>
              <w:t>63</w:t>
            </w:r>
          </w:p>
        </w:tc>
        <w:tc>
          <w:tcPr>
            <w:tcW w:w="882" w:type="pct"/>
          </w:tcPr>
          <w:p w14:paraId="11261771" w14:textId="77777777" w:rsidR="00C916E6" w:rsidRPr="00DB6B70" w:rsidRDefault="00C916E6" w:rsidP="00535C2F">
            <w:pPr>
              <w:spacing w:before="60" w:after="60"/>
              <w:jc w:val="center"/>
              <w:rPr>
                <w:sz w:val="18"/>
                <w:szCs w:val="18"/>
              </w:rPr>
            </w:pPr>
            <w:r w:rsidRPr="00C86A3F">
              <w:rPr>
                <w:sz w:val="18"/>
                <w:szCs w:val="18"/>
              </w:rPr>
              <w:t>542</w:t>
            </w:r>
          </w:p>
        </w:tc>
        <w:tc>
          <w:tcPr>
            <w:tcW w:w="883" w:type="pct"/>
          </w:tcPr>
          <w:p w14:paraId="7D5E01A5" w14:textId="77777777" w:rsidR="00C916E6" w:rsidRPr="00DB6B70" w:rsidRDefault="00C916E6" w:rsidP="00535C2F">
            <w:pPr>
              <w:spacing w:before="60" w:after="60"/>
              <w:jc w:val="center"/>
              <w:rPr>
                <w:sz w:val="18"/>
                <w:szCs w:val="18"/>
              </w:rPr>
            </w:pPr>
            <w:r w:rsidRPr="00C86A3F">
              <w:rPr>
                <w:sz w:val="18"/>
                <w:szCs w:val="18"/>
              </w:rPr>
              <w:t>1</w:t>
            </w:r>
          </w:p>
        </w:tc>
      </w:tr>
      <w:tr w:rsidR="00C916E6" w:rsidRPr="00DB6B70" w14:paraId="480A3D5D" w14:textId="77777777" w:rsidTr="00535C2F">
        <w:trPr>
          <w:cantSplit/>
          <w:trHeight w:val="300"/>
        </w:trPr>
        <w:tc>
          <w:tcPr>
            <w:tcW w:w="588" w:type="pct"/>
          </w:tcPr>
          <w:p w14:paraId="24A706EF" w14:textId="77777777" w:rsidR="00C916E6" w:rsidRPr="00DB6B70" w:rsidRDefault="00C916E6" w:rsidP="00535C2F">
            <w:pPr>
              <w:spacing w:before="60" w:after="60"/>
              <w:rPr>
                <w:sz w:val="18"/>
              </w:rPr>
            </w:pPr>
            <w:r w:rsidRPr="00DB6B70">
              <w:rPr>
                <w:sz w:val="18"/>
              </w:rPr>
              <w:t>2011/12</w:t>
            </w:r>
          </w:p>
        </w:tc>
        <w:tc>
          <w:tcPr>
            <w:tcW w:w="882" w:type="pct"/>
          </w:tcPr>
          <w:p w14:paraId="36C1C243" w14:textId="77777777" w:rsidR="00C916E6" w:rsidRPr="00DB6B70" w:rsidRDefault="00C916E6" w:rsidP="00535C2F">
            <w:pPr>
              <w:spacing w:before="60" w:after="60"/>
              <w:jc w:val="center"/>
              <w:rPr>
                <w:sz w:val="18"/>
                <w:szCs w:val="18"/>
              </w:rPr>
            </w:pPr>
            <w:r w:rsidRPr="00C86A3F">
              <w:rPr>
                <w:sz w:val="18"/>
                <w:szCs w:val="18"/>
              </w:rPr>
              <w:t>4,838</w:t>
            </w:r>
          </w:p>
        </w:tc>
        <w:tc>
          <w:tcPr>
            <w:tcW w:w="882" w:type="pct"/>
          </w:tcPr>
          <w:p w14:paraId="42464A19" w14:textId="77777777" w:rsidR="00C916E6" w:rsidRPr="00DB6B70" w:rsidRDefault="00C916E6" w:rsidP="00535C2F">
            <w:pPr>
              <w:spacing w:before="60" w:after="60"/>
              <w:jc w:val="center"/>
              <w:rPr>
                <w:sz w:val="18"/>
                <w:szCs w:val="18"/>
              </w:rPr>
            </w:pPr>
            <w:r w:rsidRPr="00C86A3F">
              <w:rPr>
                <w:sz w:val="18"/>
                <w:szCs w:val="18"/>
              </w:rPr>
              <w:t>4,272</w:t>
            </w:r>
          </w:p>
        </w:tc>
        <w:tc>
          <w:tcPr>
            <w:tcW w:w="883" w:type="pct"/>
          </w:tcPr>
          <w:p w14:paraId="1D957F0B" w14:textId="77777777" w:rsidR="00C916E6" w:rsidRPr="00DB6B70" w:rsidRDefault="00C916E6" w:rsidP="00535C2F">
            <w:pPr>
              <w:tabs>
                <w:tab w:val="decimal" w:pos="788"/>
              </w:tabs>
              <w:spacing w:before="60" w:after="60"/>
              <w:jc w:val="center"/>
              <w:rPr>
                <w:sz w:val="18"/>
                <w:szCs w:val="18"/>
              </w:rPr>
            </w:pPr>
            <w:r w:rsidRPr="00C86A3F">
              <w:rPr>
                <w:sz w:val="18"/>
                <w:szCs w:val="18"/>
              </w:rPr>
              <w:t>69</w:t>
            </w:r>
          </w:p>
        </w:tc>
        <w:tc>
          <w:tcPr>
            <w:tcW w:w="882" w:type="pct"/>
          </w:tcPr>
          <w:p w14:paraId="0B379A4C" w14:textId="77777777" w:rsidR="00C916E6" w:rsidRPr="00DB6B70" w:rsidRDefault="00C916E6" w:rsidP="00535C2F">
            <w:pPr>
              <w:spacing w:before="60" w:after="60"/>
              <w:jc w:val="center"/>
              <w:rPr>
                <w:sz w:val="18"/>
                <w:szCs w:val="18"/>
              </w:rPr>
            </w:pPr>
            <w:r w:rsidRPr="00C86A3F">
              <w:rPr>
                <w:sz w:val="18"/>
                <w:szCs w:val="18"/>
              </w:rPr>
              <w:t>475</w:t>
            </w:r>
          </w:p>
        </w:tc>
        <w:tc>
          <w:tcPr>
            <w:tcW w:w="883" w:type="pct"/>
          </w:tcPr>
          <w:p w14:paraId="6F270C28" w14:textId="77777777" w:rsidR="00C916E6" w:rsidRPr="00DB6B70" w:rsidRDefault="00C916E6" w:rsidP="00535C2F">
            <w:pPr>
              <w:spacing w:before="60" w:after="60"/>
              <w:jc w:val="center"/>
              <w:rPr>
                <w:sz w:val="18"/>
                <w:szCs w:val="18"/>
              </w:rPr>
            </w:pPr>
            <w:r w:rsidRPr="00C86A3F">
              <w:rPr>
                <w:sz w:val="18"/>
                <w:szCs w:val="18"/>
              </w:rPr>
              <w:t>0</w:t>
            </w:r>
          </w:p>
        </w:tc>
      </w:tr>
      <w:tr w:rsidR="00C916E6" w:rsidRPr="00DB6B70" w14:paraId="79DD991F" w14:textId="77777777" w:rsidTr="00535C2F">
        <w:trPr>
          <w:cantSplit/>
          <w:trHeight w:val="300"/>
        </w:trPr>
        <w:tc>
          <w:tcPr>
            <w:tcW w:w="588" w:type="pct"/>
          </w:tcPr>
          <w:p w14:paraId="4BE0E2BD" w14:textId="77777777" w:rsidR="00C916E6" w:rsidRPr="00DB6B70" w:rsidRDefault="00C916E6" w:rsidP="00535C2F">
            <w:pPr>
              <w:spacing w:before="60" w:after="60"/>
              <w:rPr>
                <w:sz w:val="18"/>
              </w:rPr>
            </w:pPr>
            <w:r w:rsidRPr="00DB6B70">
              <w:rPr>
                <w:sz w:val="18"/>
              </w:rPr>
              <w:t>2012/13</w:t>
            </w:r>
          </w:p>
        </w:tc>
        <w:tc>
          <w:tcPr>
            <w:tcW w:w="882" w:type="pct"/>
          </w:tcPr>
          <w:p w14:paraId="0D675138" w14:textId="77777777" w:rsidR="00C916E6" w:rsidRPr="00DB6B70" w:rsidRDefault="00C916E6" w:rsidP="00535C2F">
            <w:pPr>
              <w:spacing w:before="60" w:after="60"/>
              <w:jc w:val="center"/>
              <w:rPr>
                <w:sz w:val="18"/>
                <w:szCs w:val="18"/>
              </w:rPr>
            </w:pPr>
            <w:r w:rsidRPr="00C86A3F">
              <w:rPr>
                <w:sz w:val="18"/>
                <w:szCs w:val="18"/>
              </w:rPr>
              <w:t>4,950</w:t>
            </w:r>
          </w:p>
        </w:tc>
        <w:tc>
          <w:tcPr>
            <w:tcW w:w="882" w:type="pct"/>
          </w:tcPr>
          <w:p w14:paraId="4FA37BAD" w14:textId="77777777" w:rsidR="00C916E6" w:rsidRPr="00DB6B70" w:rsidRDefault="00C916E6" w:rsidP="00535C2F">
            <w:pPr>
              <w:spacing w:before="60" w:after="60"/>
              <w:jc w:val="center"/>
              <w:rPr>
                <w:sz w:val="18"/>
                <w:szCs w:val="18"/>
              </w:rPr>
            </w:pPr>
            <w:r w:rsidRPr="00C86A3F">
              <w:rPr>
                <w:sz w:val="18"/>
                <w:szCs w:val="18"/>
              </w:rPr>
              <w:t>4,480</w:t>
            </w:r>
          </w:p>
        </w:tc>
        <w:tc>
          <w:tcPr>
            <w:tcW w:w="883" w:type="pct"/>
          </w:tcPr>
          <w:p w14:paraId="4DCC8DBD" w14:textId="77777777" w:rsidR="00C916E6" w:rsidRPr="00DB6B70" w:rsidRDefault="00C916E6" w:rsidP="00535C2F">
            <w:pPr>
              <w:tabs>
                <w:tab w:val="decimal" w:pos="788"/>
              </w:tabs>
              <w:spacing w:before="60" w:after="60"/>
              <w:jc w:val="center"/>
              <w:rPr>
                <w:sz w:val="18"/>
                <w:szCs w:val="18"/>
              </w:rPr>
            </w:pPr>
            <w:r w:rsidRPr="00C86A3F">
              <w:rPr>
                <w:sz w:val="18"/>
                <w:szCs w:val="18"/>
              </w:rPr>
              <w:t>75</w:t>
            </w:r>
          </w:p>
        </w:tc>
        <w:tc>
          <w:tcPr>
            <w:tcW w:w="882" w:type="pct"/>
          </w:tcPr>
          <w:p w14:paraId="3B666919" w14:textId="77777777" w:rsidR="00C916E6" w:rsidRPr="00DB6B70" w:rsidRDefault="00C916E6" w:rsidP="00535C2F">
            <w:pPr>
              <w:spacing w:before="60" w:after="60"/>
              <w:jc w:val="center"/>
              <w:rPr>
                <w:sz w:val="18"/>
                <w:szCs w:val="18"/>
              </w:rPr>
            </w:pPr>
            <w:r w:rsidRPr="00C86A3F">
              <w:rPr>
                <w:sz w:val="18"/>
                <w:szCs w:val="18"/>
              </w:rPr>
              <w:t>397</w:t>
            </w:r>
          </w:p>
        </w:tc>
        <w:tc>
          <w:tcPr>
            <w:tcW w:w="883" w:type="pct"/>
          </w:tcPr>
          <w:p w14:paraId="62DAAAF6" w14:textId="77777777" w:rsidR="00C916E6" w:rsidRPr="00DB6B70" w:rsidRDefault="00C916E6" w:rsidP="00535C2F">
            <w:pPr>
              <w:spacing w:before="60" w:after="60"/>
              <w:jc w:val="center"/>
              <w:rPr>
                <w:sz w:val="18"/>
                <w:szCs w:val="18"/>
              </w:rPr>
            </w:pPr>
            <w:r w:rsidRPr="00C86A3F">
              <w:rPr>
                <w:sz w:val="18"/>
                <w:szCs w:val="18"/>
              </w:rPr>
              <w:t>0</w:t>
            </w:r>
          </w:p>
        </w:tc>
      </w:tr>
      <w:tr w:rsidR="00C916E6" w:rsidRPr="00DB6B70" w14:paraId="37B69B25" w14:textId="77777777" w:rsidTr="00535C2F">
        <w:trPr>
          <w:cantSplit/>
          <w:trHeight w:val="300"/>
        </w:trPr>
        <w:tc>
          <w:tcPr>
            <w:tcW w:w="588" w:type="pct"/>
          </w:tcPr>
          <w:p w14:paraId="454840D5" w14:textId="77777777" w:rsidR="00C916E6" w:rsidRPr="00DB6B70" w:rsidRDefault="00C916E6" w:rsidP="00535C2F">
            <w:pPr>
              <w:spacing w:before="60" w:after="60"/>
              <w:rPr>
                <w:w w:val="105"/>
                <w:sz w:val="18"/>
              </w:rPr>
            </w:pPr>
            <w:r w:rsidRPr="00DB6B70">
              <w:rPr>
                <w:sz w:val="18"/>
              </w:rPr>
              <w:t>2013/14</w:t>
            </w:r>
          </w:p>
        </w:tc>
        <w:tc>
          <w:tcPr>
            <w:tcW w:w="882" w:type="pct"/>
          </w:tcPr>
          <w:p w14:paraId="7FEC0DE8" w14:textId="77777777" w:rsidR="00C916E6" w:rsidRPr="00DB6B70" w:rsidRDefault="00C916E6" w:rsidP="00535C2F">
            <w:pPr>
              <w:spacing w:before="60" w:after="60"/>
              <w:jc w:val="center"/>
              <w:rPr>
                <w:sz w:val="18"/>
                <w:szCs w:val="18"/>
              </w:rPr>
            </w:pPr>
            <w:r w:rsidRPr="00C86A3F">
              <w:rPr>
                <w:sz w:val="18"/>
                <w:szCs w:val="18"/>
              </w:rPr>
              <w:t>5,181</w:t>
            </w:r>
          </w:p>
        </w:tc>
        <w:tc>
          <w:tcPr>
            <w:tcW w:w="882" w:type="pct"/>
          </w:tcPr>
          <w:p w14:paraId="1DDE7804" w14:textId="77777777" w:rsidR="00C916E6" w:rsidRPr="00DB6B70" w:rsidRDefault="00C916E6" w:rsidP="00535C2F">
            <w:pPr>
              <w:spacing w:before="60" w:after="60"/>
              <w:jc w:val="center"/>
              <w:rPr>
                <w:sz w:val="18"/>
                <w:szCs w:val="18"/>
              </w:rPr>
            </w:pPr>
            <w:r w:rsidRPr="00C86A3F">
              <w:rPr>
                <w:sz w:val="18"/>
                <w:szCs w:val="18"/>
              </w:rPr>
              <w:t>4,610</w:t>
            </w:r>
          </w:p>
        </w:tc>
        <w:tc>
          <w:tcPr>
            <w:tcW w:w="883" w:type="pct"/>
          </w:tcPr>
          <w:p w14:paraId="7AAEF94E" w14:textId="77777777" w:rsidR="00C916E6" w:rsidRPr="00DB6B70" w:rsidRDefault="00C916E6" w:rsidP="00535C2F">
            <w:pPr>
              <w:tabs>
                <w:tab w:val="decimal" w:pos="788"/>
              </w:tabs>
              <w:spacing w:before="60" w:after="60"/>
              <w:jc w:val="center"/>
              <w:rPr>
                <w:sz w:val="18"/>
                <w:szCs w:val="18"/>
              </w:rPr>
            </w:pPr>
            <w:r w:rsidRPr="00C86A3F">
              <w:rPr>
                <w:sz w:val="18"/>
                <w:szCs w:val="18"/>
              </w:rPr>
              <w:t>53</w:t>
            </w:r>
          </w:p>
        </w:tc>
        <w:tc>
          <w:tcPr>
            <w:tcW w:w="882" w:type="pct"/>
          </w:tcPr>
          <w:p w14:paraId="259F2CF5" w14:textId="77777777" w:rsidR="00C916E6" w:rsidRPr="00DB6B70" w:rsidRDefault="00C916E6" w:rsidP="00535C2F">
            <w:pPr>
              <w:spacing w:before="60" w:after="60"/>
              <w:jc w:val="center"/>
              <w:rPr>
                <w:sz w:val="18"/>
                <w:szCs w:val="18"/>
              </w:rPr>
            </w:pPr>
            <w:r w:rsidRPr="00C86A3F">
              <w:rPr>
                <w:sz w:val="18"/>
                <w:szCs w:val="18"/>
              </w:rPr>
              <w:t>522</w:t>
            </w:r>
          </w:p>
        </w:tc>
        <w:tc>
          <w:tcPr>
            <w:tcW w:w="883" w:type="pct"/>
          </w:tcPr>
          <w:p w14:paraId="668C8426" w14:textId="77777777" w:rsidR="00C916E6" w:rsidRPr="00DB6B70" w:rsidRDefault="00C916E6" w:rsidP="00535C2F">
            <w:pPr>
              <w:spacing w:before="60" w:after="60"/>
              <w:jc w:val="center"/>
              <w:rPr>
                <w:sz w:val="18"/>
                <w:szCs w:val="18"/>
              </w:rPr>
            </w:pPr>
            <w:r w:rsidRPr="00C86A3F">
              <w:rPr>
                <w:sz w:val="18"/>
                <w:szCs w:val="18"/>
              </w:rPr>
              <w:t>0</w:t>
            </w:r>
          </w:p>
        </w:tc>
      </w:tr>
      <w:tr w:rsidR="00C916E6" w:rsidRPr="00DB6B70" w14:paraId="184577B9" w14:textId="77777777" w:rsidTr="00535C2F">
        <w:trPr>
          <w:cantSplit/>
          <w:trHeight w:val="300"/>
        </w:trPr>
        <w:tc>
          <w:tcPr>
            <w:tcW w:w="588" w:type="pct"/>
          </w:tcPr>
          <w:p w14:paraId="736A9F26" w14:textId="77777777" w:rsidR="00C916E6" w:rsidRPr="00DB6B70" w:rsidRDefault="00C916E6" w:rsidP="00535C2F">
            <w:pPr>
              <w:spacing w:before="60" w:after="60"/>
              <w:rPr>
                <w:w w:val="105"/>
                <w:sz w:val="18"/>
              </w:rPr>
            </w:pPr>
            <w:r w:rsidRPr="00DB6B70">
              <w:rPr>
                <w:sz w:val="18"/>
              </w:rPr>
              <w:t>2014/15</w:t>
            </w:r>
          </w:p>
        </w:tc>
        <w:tc>
          <w:tcPr>
            <w:tcW w:w="882" w:type="pct"/>
          </w:tcPr>
          <w:p w14:paraId="5C68644C" w14:textId="77777777" w:rsidR="00C916E6" w:rsidRPr="00DB6B70" w:rsidRDefault="00C916E6" w:rsidP="00535C2F">
            <w:pPr>
              <w:spacing w:before="60" w:after="60"/>
              <w:jc w:val="center"/>
              <w:rPr>
                <w:sz w:val="18"/>
                <w:szCs w:val="18"/>
              </w:rPr>
            </w:pPr>
            <w:r w:rsidRPr="00C86A3F">
              <w:rPr>
                <w:sz w:val="18"/>
                <w:szCs w:val="18"/>
              </w:rPr>
              <w:t>5,184</w:t>
            </w:r>
          </w:p>
        </w:tc>
        <w:tc>
          <w:tcPr>
            <w:tcW w:w="882" w:type="pct"/>
          </w:tcPr>
          <w:p w14:paraId="2BDC9C3D" w14:textId="77777777" w:rsidR="00C916E6" w:rsidRPr="00DB6B70" w:rsidRDefault="00C916E6" w:rsidP="00535C2F">
            <w:pPr>
              <w:spacing w:before="60" w:after="60"/>
              <w:jc w:val="center"/>
              <w:rPr>
                <w:sz w:val="18"/>
                <w:szCs w:val="18"/>
              </w:rPr>
            </w:pPr>
            <w:r w:rsidRPr="00C86A3F">
              <w:rPr>
                <w:sz w:val="18"/>
                <w:szCs w:val="18"/>
              </w:rPr>
              <w:t>4,629</w:t>
            </w:r>
          </w:p>
        </w:tc>
        <w:tc>
          <w:tcPr>
            <w:tcW w:w="883" w:type="pct"/>
          </w:tcPr>
          <w:p w14:paraId="4962A7D3" w14:textId="77777777" w:rsidR="00C916E6" w:rsidRPr="00DB6B70" w:rsidRDefault="00C916E6" w:rsidP="00535C2F">
            <w:pPr>
              <w:tabs>
                <w:tab w:val="decimal" w:pos="788"/>
              </w:tabs>
              <w:spacing w:before="60" w:after="60"/>
              <w:jc w:val="center"/>
              <w:rPr>
                <w:sz w:val="18"/>
                <w:szCs w:val="18"/>
              </w:rPr>
            </w:pPr>
            <w:r w:rsidRPr="00C86A3F">
              <w:rPr>
                <w:sz w:val="18"/>
                <w:szCs w:val="18"/>
              </w:rPr>
              <w:t>55</w:t>
            </w:r>
          </w:p>
        </w:tc>
        <w:tc>
          <w:tcPr>
            <w:tcW w:w="882" w:type="pct"/>
          </w:tcPr>
          <w:p w14:paraId="68CD376C" w14:textId="77777777" w:rsidR="00C916E6" w:rsidRPr="00DB6B70" w:rsidRDefault="00C916E6" w:rsidP="00535C2F">
            <w:pPr>
              <w:spacing w:before="60" w:after="60"/>
              <w:jc w:val="center"/>
              <w:rPr>
                <w:sz w:val="18"/>
                <w:szCs w:val="18"/>
              </w:rPr>
            </w:pPr>
            <w:r w:rsidRPr="00C86A3F">
              <w:rPr>
                <w:sz w:val="18"/>
                <w:szCs w:val="18"/>
              </w:rPr>
              <w:t>526</w:t>
            </w:r>
          </w:p>
        </w:tc>
        <w:tc>
          <w:tcPr>
            <w:tcW w:w="883" w:type="pct"/>
          </w:tcPr>
          <w:p w14:paraId="23D4080C" w14:textId="77777777" w:rsidR="00C916E6" w:rsidRPr="00DB6B70" w:rsidRDefault="00C916E6" w:rsidP="00535C2F">
            <w:pPr>
              <w:spacing w:before="60" w:after="60"/>
              <w:jc w:val="center"/>
              <w:rPr>
                <w:sz w:val="18"/>
                <w:szCs w:val="18"/>
              </w:rPr>
            </w:pPr>
            <w:r w:rsidRPr="00C86A3F">
              <w:rPr>
                <w:sz w:val="18"/>
                <w:szCs w:val="18"/>
              </w:rPr>
              <w:t>0</w:t>
            </w:r>
          </w:p>
        </w:tc>
      </w:tr>
      <w:tr w:rsidR="00C916E6" w:rsidRPr="00DB6B70" w14:paraId="1CA7EFA9" w14:textId="77777777" w:rsidTr="00535C2F">
        <w:trPr>
          <w:cantSplit/>
          <w:trHeight w:val="300"/>
        </w:trPr>
        <w:tc>
          <w:tcPr>
            <w:tcW w:w="588" w:type="pct"/>
          </w:tcPr>
          <w:p w14:paraId="3C0EB2FF" w14:textId="77777777" w:rsidR="00C916E6" w:rsidRPr="00DB6B70" w:rsidRDefault="00C916E6" w:rsidP="00535C2F">
            <w:pPr>
              <w:spacing w:before="60" w:after="60"/>
              <w:rPr>
                <w:w w:val="105"/>
                <w:sz w:val="18"/>
              </w:rPr>
            </w:pPr>
            <w:r w:rsidRPr="00DB6B70">
              <w:rPr>
                <w:sz w:val="18"/>
              </w:rPr>
              <w:t>2015/16</w:t>
            </w:r>
          </w:p>
        </w:tc>
        <w:tc>
          <w:tcPr>
            <w:tcW w:w="882" w:type="pct"/>
          </w:tcPr>
          <w:p w14:paraId="1AF5C2B8" w14:textId="77777777" w:rsidR="00C916E6" w:rsidRPr="00DB6B70" w:rsidRDefault="00C916E6" w:rsidP="00535C2F">
            <w:pPr>
              <w:spacing w:before="60" w:after="60"/>
              <w:jc w:val="center"/>
              <w:rPr>
                <w:sz w:val="18"/>
                <w:szCs w:val="18"/>
              </w:rPr>
            </w:pPr>
            <w:r w:rsidRPr="00C86A3F">
              <w:rPr>
                <w:sz w:val="18"/>
                <w:szCs w:val="18"/>
              </w:rPr>
              <w:t>5,564</w:t>
            </w:r>
          </w:p>
        </w:tc>
        <w:tc>
          <w:tcPr>
            <w:tcW w:w="882" w:type="pct"/>
          </w:tcPr>
          <w:p w14:paraId="613BDDC4" w14:textId="77777777" w:rsidR="00C916E6" w:rsidRPr="00DB6B70" w:rsidRDefault="00C916E6" w:rsidP="00535C2F">
            <w:pPr>
              <w:spacing w:before="60" w:after="60"/>
              <w:jc w:val="center"/>
              <w:rPr>
                <w:sz w:val="18"/>
                <w:szCs w:val="18"/>
              </w:rPr>
            </w:pPr>
            <w:r w:rsidRPr="00C86A3F">
              <w:rPr>
                <w:sz w:val="18"/>
                <w:szCs w:val="18"/>
              </w:rPr>
              <w:t>4,918</w:t>
            </w:r>
          </w:p>
        </w:tc>
        <w:tc>
          <w:tcPr>
            <w:tcW w:w="883" w:type="pct"/>
          </w:tcPr>
          <w:p w14:paraId="50B788A3" w14:textId="77777777" w:rsidR="00C916E6" w:rsidRPr="00DB6B70" w:rsidRDefault="00C916E6" w:rsidP="00535C2F">
            <w:pPr>
              <w:tabs>
                <w:tab w:val="decimal" w:pos="788"/>
              </w:tabs>
              <w:spacing w:before="60" w:after="60"/>
              <w:jc w:val="center"/>
              <w:rPr>
                <w:sz w:val="18"/>
                <w:szCs w:val="18"/>
              </w:rPr>
            </w:pPr>
            <w:r w:rsidRPr="00C86A3F">
              <w:rPr>
                <w:sz w:val="18"/>
                <w:szCs w:val="18"/>
              </w:rPr>
              <w:t>51</w:t>
            </w:r>
          </w:p>
        </w:tc>
        <w:tc>
          <w:tcPr>
            <w:tcW w:w="882" w:type="pct"/>
          </w:tcPr>
          <w:p w14:paraId="2C01A64A" w14:textId="77777777" w:rsidR="00C916E6" w:rsidRPr="00DB6B70" w:rsidRDefault="00C916E6" w:rsidP="00535C2F">
            <w:pPr>
              <w:spacing w:before="60" w:after="60"/>
              <w:jc w:val="center"/>
              <w:rPr>
                <w:sz w:val="18"/>
                <w:szCs w:val="18"/>
              </w:rPr>
            </w:pPr>
            <w:r w:rsidRPr="00C86A3F">
              <w:rPr>
                <w:sz w:val="18"/>
                <w:szCs w:val="18"/>
              </w:rPr>
              <w:t>560</w:t>
            </w:r>
          </w:p>
        </w:tc>
        <w:tc>
          <w:tcPr>
            <w:tcW w:w="883" w:type="pct"/>
          </w:tcPr>
          <w:p w14:paraId="56552CE3" w14:textId="77777777" w:rsidR="00C916E6" w:rsidRPr="00DB6B70" w:rsidRDefault="00C916E6" w:rsidP="00535C2F">
            <w:pPr>
              <w:spacing w:before="60" w:after="60"/>
              <w:jc w:val="center"/>
              <w:rPr>
                <w:sz w:val="18"/>
                <w:szCs w:val="18"/>
              </w:rPr>
            </w:pPr>
            <w:r w:rsidRPr="00C86A3F">
              <w:rPr>
                <w:sz w:val="18"/>
                <w:szCs w:val="18"/>
              </w:rPr>
              <w:t>0</w:t>
            </w:r>
          </w:p>
        </w:tc>
      </w:tr>
      <w:tr w:rsidR="00C916E6" w:rsidRPr="00DB6B70" w14:paraId="4614A9D4" w14:textId="77777777" w:rsidTr="00535C2F">
        <w:trPr>
          <w:cantSplit/>
          <w:trHeight w:val="300"/>
        </w:trPr>
        <w:tc>
          <w:tcPr>
            <w:tcW w:w="588" w:type="pct"/>
          </w:tcPr>
          <w:p w14:paraId="71A1EF26" w14:textId="77777777" w:rsidR="00C916E6" w:rsidRPr="00DB6B70" w:rsidRDefault="00C916E6" w:rsidP="00535C2F">
            <w:pPr>
              <w:spacing w:before="60" w:after="60"/>
              <w:rPr>
                <w:w w:val="105"/>
                <w:sz w:val="18"/>
              </w:rPr>
            </w:pPr>
            <w:r w:rsidRPr="00DB6B70">
              <w:rPr>
                <w:sz w:val="18"/>
              </w:rPr>
              <w:t>2016/17</w:t>
            </w:r>
          </w:p>
        </w:tc>
        <w:tc>
          <w:tcPr>
            <w:tcW w:w="882" w:type="pct"/>
          </w:tcPr>
          <w:p w14:paraId="6C606CF4" w14:textId="77777777" w:rsidR="00C916E6" w:rsidRPr="00DB6B70" w:rsidRDefault="00C916E6" w:rsidP="00535C2F">
            <w:pPr>
              <w:spacing w:before="60" w:after="60"/>
              <w:jc w:val="center"/>
              <w:rPr>
                <w:sz w:val="18"/>
                <w:szCs w:val="18"/>
              </w:rPr>
            </w:pPr>
            <w:r w:rsidRPr="00C86A3F">
              <w:rPr>
                <w:sz w:val="18"/>
                <w:szCs w:val="18"/>
              </w:rPr>
              <w:t>5,607</w:t>
            </w:r>
          </w:p>
        </w:tc>
        <w:tc>
          <w:tcPr>
            <w:tcW w:w="882" w:type="pct"/>
          </w:tcPr>
          <w:p w14:paraId="4A40B910" w14:textId="77777777" w:rsidR="00C916E6" w:rsidRPr="00DB6B70" w:rsidRDefault="00C916E6" w:rsidP="00535C2F">
            <w:pPr>
              <w:spacing w:before="60" w:after="60"/>
              <w:jc w:val="center"/>
              <w:rPr>
                <w:sz w:val="18"/>
                <w:szCs w:val="18"/>
              </w:rPr>
            </w:pPr>
            <w:r w:rsidRPr="00C86A3F">
              <w:rPr>
                <w:sz w:val="18"/>
                <w:szCs w:val="18"/>
              </w:rPr>
              <w:t>4,927</w:t>
            </w:r>
          </w:p>
        </w:tc>
        <w:tc>
          <w:tcPr>
            <w:tcW w:w="883" w:type="pct"/>
          </w:tcPr>
          <w:p w14:paraId="30086E5C" w14:textId="77777777" w:rsidR="00C916E6" w:rsidRPr="00DB6B70" w:rsidRDefault="00C916E6" w:rsidP="00535C2F">
            <w:pPr>
              <w:tabs>
                <w:tab w:val="decimal" w:pos="788"/>
              </w:tabs>
              <w:spacing w:before="60" w:after="60"/>
              <w:jc w:val="center"/>
              <w:rPr>
                <w:sz w:val="18"/>
                <w:szCs w:val="18"/>
              </w:rPr>
            </w:pPr>
            <w:r w:rsidRPr="00C86A3F">
              <w:rPr>
                <w:sz w:val="18"/>
                <w:szCs w:val="18"/>
              </w:rPr>
              <w:t>73</w:t>
            </w:r>
          </w:p>
        </w:tc>
        <w:tc>
          <w:tcPr>
            <w:tcW w:w="882" w:type="pct"/>
          </w:tcPr>
          <w:p w14:paraId="4E7E8734" w14:textId="77777777" w:rsidR="00C916E6" w:rsidRPr="00DB6B70" w:rsidRDefault="00C916E6" w:rsidP="00535C2F">
            <w:pPr>
              <w:spacing w:before="60" w:after="60"/>
              <w:jc w:val="center"/>
              <w:rPr>
                <w:sz w:val="18"/>
                <w:szCs w:val="18"/>
              </w:rPr>
            </w:pPr>
            <w:r w:rsidRPr="00C86A3F">
              <w:rPr>
                <w:sz w:val="18"/>
                <w:szCs w:val="18"/>
              </w:rPr>
              <w:t>563</w:t>
            </w:r>
          </w:p>
        </w:tc>
        <w:tc>
          <w:tcPr>
            <w:tcW w:w="883" w:type="pct"/>
          </w:tcPr>
          <w:p w14:paraId="6715B02D" w14:textId="77777777" w:rsidR="00C916E6" w:rsidRPr="00DB6B70" w:rsidRDefault="00C916E6" w:rsidP="00535C2F">
            <w:pPr>
              <w:spacing w:before="60" w:after="60"/>
              <w:jc w:val="center"/>
              <w:rPr>
                <w:sz w:val="18"/>
                <w:szCs w:val="18"/>
              </w:rPr>
            </w:pPr>
            <w:r w:rsidRPr="00C86A3F">
              <w:rPr>
                <w:sz w:val="18"/>
                <w:szCs w:val="18"/>
              </w:rPr>
              <w:t>0</w:t>
            </w:r>
          </w:p>
        </w:tc>
      </w:tr>
      <w:tr w:rsidR="00C916E6" w:rsidRPr="00DB6B70" w14:paraId="6170C405" w14:textId="77777777" w:rsidTr="00535C2F">
        <w:trPr>
          <w:cantSplit/>
          <w:trHeight w:val="300"/>
        </w:trPr>
        <w:tc>
          <w:tcPr>
            <w:tcW w:w="588" w:type="pct"/>
          </w:tcPr>
          <w:p w14:paraId="21C4110B" w14:textId="77777777" w:rsidR="00C916E6" w:rsidRPr="00DB6B70" w:rsidRDefault="00C916E6" w:rsidP="00535C2F">
            <w:pPr>
              <w:spacing w:before="60" w:after="60"/>
              <w:rPr>
                <w:w w:val="105"/>
                <w:sz w:val="18"/>
              </w:rPr>
            </w:pPr>
            <w:r w:rsidRPr="00DB6B70">
              <w:rPr>
                <w:sz w:val="18"/>
              </w:rPr>
              <w:t>2017/18</w:t>
            </w:r>
          </w:p>
        </w:tc>
        <w:tc>
          <w:tcPr>
            <w:tcW w:w="882" w:type="pct"/>
          </w:tcPr>
          <w:p w14:paraId="79CEA377" w14:textId="77777777" w:rsidR="00C916E6" w:rsidRPr="00DB6B70" w:rsidRDefault="00C916E6" w:rsidP="00535C2F">
            <w:pPr>
              <w:spacing w:before="60" w:after="60"/>
              <w:jc w:val="center"/>
              <w:rPr>
                <w:sz w:val="18"/>
                <w:szCs w:val="18"/>
              </w:rPr>
            </w:pPr>
            <w:r w:rsidRPr="00C86A3F">
              <w:rPr>
                <w:sz w:val="18"/>
                <w:szCs w:val="18"/>
              </w:rPr>
              <w:t>5,570</w:t>
            </w:r>
          </w:p>
        </w:tc>
        <w:tc>
          <w:tcPr>
            <w:tcW w:w="882" w:type="pct"/>
          </w:tcPr>
          <w:p w14:paraId="07620F95" w14:textId="77777777" w:rsidR="00C916E6" w:rsidRPr="00DB6B70" w:rsidRDefault="00C916E6" w:rsidP="00535C2F">
            <w:pPr>
              <w:spacing w:before="60" w:after="60"/>
              <w:jc w:val="center"/>
              <w:rPr>
                <w:sz w:val="18"/>
                <w:szCs w:val="18"/>
              </w:rPr>
            </w:pPr>
            <w:r w:rsidRPr="00C86A3F">
              <w:rPr>
                <w:sz w:val="18"/>
                <w:szCs w:val="18"/>
              </w:rPr>
              <w:t>4,959</w:t>
            </w:r>
          </w:p>
        </w:tc>
        <w:tc>
          <w:tcPr>
            <w:tcW w:w="883" w:type="pct"/>
          </w:tcPr>
          <w:p w14:paraId="57FC8AA3" w14:textId="77777777" w:rsidR="00C916E6" w:rsidRPr="00DB6B70" w:rsidRDefault="00C916E6" w:rsidP="00535C2F">
            <w:pPr>
              <w:tabs>
                <w:tab w:val="decimal" w:pos="788"/>
              </w:tabs>
              <w:spacing w:before="60" w:after="60"/>
              <w:jc w:val="center"/>
              <w:rPr>
                <w:sz w:val="18"/>
                <w:szCs w:val="18"/>
              </w:rPr>
            </w:pPr>
            <w:r w:rsidRPr="00C86A3F">
              <w:rPr>
                <w:sz w:val="18"/>
                <w:szCs w:val="18"/>
              </w:rPr>
              <w:t>74</w:t>
            </w:r>
          </w:p>
        </w:tc>
        <w:tc>
          <w:tcPr>
            <w:tcW w:w="882" w:type="pct"/>
          </w:tcPr>
          <w:p w14:paraId="0E5F824F" w14:textId="77777777" w:rsidR="00C916E6" w:rsidRPr="00DB6B70" w:rsidRDefault="00C916E6" w:rsidP="00535C2F">
            <w:pPr>
              <w:spacing w:before="60" w:after="60"/>
              <w:jc w:val="center"/>
              <w:rPr>
                <w:sz w:val="18"/>
                <w:szCs w:val="18"/>
              </w:rPr>
            </w:pPr>
            <w:r w:rsidRPr="00C86A3F">
              <w:rPr>
                <w:sz w:val="18"/>
                <w:szCs w:val="18"/>
              </w:rPr>
              <w:t>566</w:t>
            </w:r>
          </w:p>
        </w:tc>
        <w:tc>
          <w:tcPr>
            <w:tcW w:w="883" w:type="pct"/>
          </w:tcPr>
          <w:p w14:paraId="0116C42E" w14:textId="77777777" w:rsidR="00C916E6" w:rsidRPr="00DB6B70" w:rsidRDefault="00C916E6" w:rsidP="00535C2F">
            <w:pPr>
              <w:spacing w:before="60" w:after="60"/>
              <w:jc w:val="center"/>
              <w:rPr>
                <w:sz w:val="18"/>
                <w:szCs w:val="18"/>
              </w:rPr>
            </w:pPr>
            <w:r w:rsidRPr="00C86A3F">
              <w:rPr>
                <w:sz w:val="18"/>
                <w:szCs w:val="18"/>
              </w:rPr>
              <w:t>0</w:t>
            </w:r>
          </w:p>
        </w:tc>
      </w:tr>
      <w:tr w:rsidR="00C916E6" w:rsidRPr="00DB6B70" w14:paraId="421791B5" w14:textId="77777777" w:rsidTr="00535C2F">
        <w:trPr>
          <w:cantSplit/>
          <w:trHeight w:val="300"/>
        </w:trPr>
        <w:tc>
          <w:tcPr>
            <w:tcW w:w="588" w:type="pct"/>
          </w:tcPr>
          <w:p w14:paraId="3E1CCD35" w14:textId="77777777" w:rsidR="00C916E6" w:rsidRPr="00DB6B70" w:rsidRDefault="00C916E6" w:rsidP="00535C2F">
            <w:pPr>
              <w:spacing w:before="60" w:after="60"/>
              <w:rPr>
                <w:w w:val="105"/>
                <w:sz w:val="18"/>
              </w:rPr>
            </w:pPr>
            <w:r w:rsidRPr="00DB6B70">
              <w:rPr>
                <w:sz w:val="18"/>
              </w:rPr>
              <w:t>2018/19</w:t>
            </w:r>
          </w:p>
        </w:tc>
        <w:tc>
          <w:tcPr>
            <w:tcW w:w="882" w:type="pct"/>
          </w:tcPr>
          <w:p w14:paraId="71F943F1" w14:textId="77777777" w:rsidR="00C916E6" w:rsidRPr="00DB6B70" w:rsidRDefault="00C916E6" w:rsidP="00535C2F">
            <w:pPr>
              <w:spacing w:before="60" w:after="60"/>
              <w:jc w:val="center"/>
              <w:rPr>
                <w:sz w:val="18"/>
                <w:szCs w:val="18"/>
              </w:rPr>
            </w:pPr>
            <w:r w:rsidRPr="00C86A3F">
              <w:rPr>
                <w:sz w:val="18"/>
                <w:szCs w:val="18"/>
              </w:rPr>
              <w:t>5,619</w:t>
            </w:r>
          </w:p>
        </w:tc>
        <w:tc>
          <w:tcPr>
            <w:tcW w:w="882" w:type="pct"/>
          </w:tcPr>
          <w:p w14:paraId="02B05EA7" w14:textId="77777777" w:rsidR="00C916E6" w:rsidRPr="00DB6B70" w:rsidRDefault="00C916E6" w:rsidP="00535C2F">
            <w:pPr>
              <w:spacing w:before="60" w:after="60"/>
              <w:jc w:val="center"/>
              <w:rPr>
                <w:sz w:val="18"/>
                <w:szCs w:val="18"/>
              </w:rPr>
            </w:pPr>
            <w:r w:rsidRPr="00C86A3F">
              <w:rPr>
                <w:sz w:val="18"/>
                <w:szCs w:val="18"/>
              </w:rPr>
              <w:t>4,972</w:t>
            </w:r>
          </w:p>
        </w:tc>
        <w:tc>
          <w:tcPr>
            <w:tcW w:w="883" w:type="pct"/>
          </w:tcPr>
          <w:p w14:paraId="432BE7F0" w14:textId="77777777" w:rsidR="00C916E6" w:rsidRPr="00DB6B70" w:rsidRDefault="00C916E6" w:rsidP="00535C2F">
            <w:pPr>
              <w:tabs>
                <w:tab w:val="decimal" w:pos="788"/>
              </w:tabs>
              <w:spacing w:before="60" w:after="60"/>
              <w:jc w:val="center"/>
              <w:rPr>
                <w:sz w:val="18"/>
                <w:szCs w:val="18"/>
              </w:rPr>
            </w:pPr>
            <w:r w:rsidRPr="00C86A3F">
              <w:rPr>
                <w:sz w:val="18"/>
                <w:szCs w:val="18"/>
              </w:rPr>
              <w:t>64</w:t>
            </w:r>
          </w:p>
        </w:tc>
        <w:tc>
          <w:tcPr>
            <w:tcW w:w="882" w:type="pct"/>
          </w:tcPr>
          <w:p w14:paraId="066DAFAB" w14:textId="77777777" w:rsidR="00C916E6" w:rsidRPr="00DB6B70" w:rsidRDefault="00C916E6" w:rsidP="00535C2F">
            <w:pPr>
              <w:spacing w:before="60" w:after="60"/>
              <w:jc w:val="center"/>
              <w:rPr>
                <w:sz w:val="18"/>
                <w:szCs w:val="18"/>
              </w:rPr>
            </w:pPr>
            <w:r w:rsidRPr="00C86A3F">
              <w:rPr>
                <w:sz w:val="18"/>
                <w:szCs w:val="18"/>
              </w:rPr>
              <w:t>571</w:t>
            </w:r>
          </w:p>
        </w:tc>
        <w:tc>
          <w:tcPr>
            <w:tcW w:w="883" w:type="pct"/>
          </w:tcPr>
          <w:p w14:paraId="38F8F68F" w14:textId="77777777" w:rsidR="00C916E6" w:rsidRPr="00DB6B70" w:rsidRDefault="00C916E6" w:rsidP="00535C2F">
            <w:pPr>
              <w:spacing w:before="60" w:after="60"/>
              <w:jc w:val="center"/>
              <w:rPr>
                <w:sz w:val="18"/>
                <w:szCs w:val="18"/>
              </w:rPr>
            </w:pPr>
            <w:r w:rsidRPr="00C86A3F">
              <w:rPr>
                <w:sz w:val="18"/>
                <w:szCs w:val="18"/>
              </w:rPr>
              <w:t>0</w:t>
            </w:r>
          </w:p>
        </w:tc>
      </w:tr>
      <w:tr w:rsidR="00C916E6" w:rsidRPr="00DB6B70" w14:paraId="3CA11596" w14:textId="77777777" w:rsidTr="00535C2F">
        <w:trPr>
          <w:cantSplit/>
          <w:trHeight w:val="300"/>
        </w:trPr>
        <w:tc>
          <w:tcPr>
            <w:tcW w:w="588" w:type="pct"/>
          </w:tcPr>
          <w:p w14:paraId="1D3DAAB7" w14:textId="77777777" w:rsidR="00C916E6" w:rsidRPr="00DB6B70" w:rsidRDefault="00C916E6" w:rsidP="00535C2F">
            <w:pPr>
              <w:spacing w:before="60" w:after="60"/>
              <w:rPr>
                <w:w w:val="105"/>
                <w:sz w:val="18"/>
              </w:rPr>
            </w:pPr>
            <w:r w:rsidRPr="00DB6B70">
              <w:rPr>
                <w:sz w:val="18"/>
              </w:rPr>
              <w:t>2019/20</w:t>
            </w:r>
          </w:p>
        </w:tc>
        <w:tc>
          <w:tcPr>
            <w:tcW w:w="882" w:type="pct"/>
          </w:tcPr>
          <w:p w14:paraId="61CAFFC7" w14:textId="77777777" w:rsidR="00C916E6" w:rsidRPr="00DB6B70" w:rsidRDefault="00C916E6" w:rsidP="00535C2F">
            <w:pPr>
              <w:spacing w:before="60" w:after="60"/>
              <w:jc w:val="center"/>
              <w:rPr>
                <w:sz w:val="18"/>
                <w:szCs w:val="18"/>
              </w:rPr>
            </w:pPr>
            <w:r w:rsidRPr="00C86A3F">
              <w:rPr>
                <w:sz w:val="18"/>
                <w:szCs w:val="18"/>
              </w:rPr>
              <w:t>5,711</w:t>
            </w:r>
          </w:p>
        </w:tc>
        <w:tc>
          <w:tcPr>
            <w:tcW w:w="882" w:type="pct"/>
          </w:tcPr>
          <w:p w14:paraId="43C35234" w14:textId="77777777" w:rsidR="00C916E6" w:rsidRPr="00DB6B70" w:rsidRDefault="00C916E6" w:rsidP="00535C2F">
            <w:pPr>
              <w:spacing w:before="60" w:after="60"/>
              <w:jc w:val="center"/>
              <w:rPr>
                <w:sz w:val="18"/>
                <w:szCs w:val="18"/>
              </w:rPr>
            </w:pPr>
            <w:r w:rsidRPr="00C86A3F">
              <w:rPr>
                <w:sz w:val="18"/>
                <w:szCs w:val="18"/>
              </w:rPr>
              <w:t>5,021</w:t>
            </w:r>
          </w:p>
        </w:tc>
        <w:tc>
          <w:tcPr>
            <w:tcW w:w="883" w:type="pct"/>
          </w:tcPr>
          <w:p w14:paraId="373577B9" w14:textId="77777777" w:rsidR="00C916E6" w:rsidRPr="00DB6B70" w:rsidRDefault="00C916E6" w:rsidP="00535C2F">
            <w:pPr>
              <w:tabs>
                <w:tab w:val="decimal" w:pos="788"/>
              </w:tabs>
              <w:spacing w:before="60" w:after="60"/>
              <w:jc w:val="center"/>
              <w:rPr>
                <w:sz w:val="18"/>
                <w:szCs w:val="18"/>
              </w:rPr>
            </w:pPr>
            <w:r w:rsidRPr="00C86A3F">
              <w:rPr>
                <w:sz w:val="18"/>
                <w:szCs w:val="18"/>
              </w:rPr>
              <w:t>52</w:t>
            </w:r>
          </w:p>
        </w:tc>
        <w:tc>
          <w:tcPr>
            <w:tcW w:w="882" w:type="pct"/>
          </w:tcPr>
          <w:p w14:paraId="193EBE17" w14:textId="77777777" w:rsidR="00C916E6" w:rsidRPr="00DB6B70" w:rsidRDefault="00C916E6" w:rsidP="00535C2F">
            <w:pPr>
              <w:spacing w:before="60" w:after="60"/>
              <w:jc w:val="center"/>
              <w:rPr>
                <w:sz w:val="18"/>
                <w:szCs w:val="18"/>
              </w:rPr>
            </w:pPr>
            <w:r w:rsidRPr="00C86A3F">
              <w:rPr>
                <w:sz w:val="18"/>
                <w:szCs w:val="18"/>
              </w:rPr>
              <w:t>622</w:t>
            </w:r>
          </w:p>
        </w:tc>
        <w:tc>
          <w:tcPr>
            <w:tcW w:w="883" w:type="pct"/>
          </w:tcPr>
          <w:p w14:paraId="170F2F95" w14:textId="77777777" w:rsidR="00C916E6" w:rsidRPr="00DB6B70" w:rsidRDefault="00C916E6" w:rsidP="00535C2F">
            <w:pPr>
              <w:spacing w:before="60" w:after="60"/>
              <w:jc w:val="center"/>
              <w:rPr>
                <w:sz w:val="18"/>
                <w:szCs w:val="18"/>
              </w:rPr>
            </w:pPr>
            <w:r w:rsidRPr="00C86A3F">
              <w:rPr>
                <w:sz w:val="18"/>
                <w:szCs w:val="18"/>
              </w:rPr>
              <w:t>0</w:t>
            </w:r>
          </w:p>
        </w:tc>
      </w:tr>
      <w:tr w:rsidR="00C916E6" w:rsidRPr="00DB6B70" w14:paraId="05C2EF47" w14:textId="77777777" w:rsidTr="00535C2F">
        <w:trPr>
          <w:cantSplit/>
          <w:trHeight w:val="300"/>
        </w:trPr>
        <w:tc>
          <w:tcPr>
            <w:tcW w:w="588" w:type="pct"/>
          </w:tcPr>
          <w:p w14:paraId="0AC5E6A6" w14:textId="77777777" w:rsidR="00C916E6" w:rsidRPr="00DB6B70" w:rsidRDefault="00C916E6" w:rsidP="00535C2F">
            <w:pPr>
              <w:spacing w:before="60" w:after="60"/>
              <w:rPr>
                <w:w w:val="105"/>
                <w:sz w:val="18"/>
              </w:rPr>
            </w:pPr>
            <w:r w:rsidRPr="00DB6B70">
              <w:rPr>
                <w:sz w:val="18"/>
              </w:rPr>
              <w:t>2020/21</w:t>
            </w:r>
          </w:p>
        </w:tc>
        <w:tc>
          <w:tcPr>
            <w:tcW w:w="882" w:type="pct"/>
          </w:tcPr>
          <w:p w14:paraId="652E28E6" w14:textId="77777777" w:rsidR="00C916E6" w:rsidRPr="00DB6B70" w:rsidRDefault="00C916E6" w:rsidP="00535C2F">
            <w:pPr>
              <w:spacing w:before="60" w:after="60"/>
              <w:jc w:val="center"/>
              <w:rPr>
                <w:sz w:val="18"/>
                <w:szCs w:val="18"/>
              </w:rPr>
            </w:pPr>
            <w:r w:rsidRPr="00C86A3F">
              <w:rPr>
                <w:sz w:val="18"/>
                <w:szCs w:val="18"/>
              </w:rPr>
              <w:t>5,899</w:t>
            </w:r>
          </w:p>
        </w:tc>
        <w:tc>
          <w:tcPr>
            <w:tcW w:w="882" w:type="pct"/>
          </w:tcPr>
          <w:p w14:paraId="36E3DB0B" w14:textId="77777777" w:rsidR="00C916E6" w:rsidRPr="00DB6B70" w:rsidRDefault="00C916E6" w:rsidP="00535C2F">
            <w:pPr>
              <w:spacing w:before="60" w:after="60"/>
              <w:jc w:val="center"/>
              <w:rPr>
                <w:sz w:val="18"/>
                <w:szCs w:val="18"/>
              </w:rPr>
            </w:pPr>
            <w:r w:rsidRPr="00C86A3F">
              <w:rPr>
                <w:sz w:val="18"/>
                <w:szCs w:val="18"/>
              </w:rPr>
              <w:t>5,244</w:t>
            </w:r>
          </w:p>
        </w:tc>
        <w:tc>
          <w:tcPr>
            <w:tcW w:w="883" w:type="pct"/>
          </w:tcPr>
          <w:p w14:paraId="5E570684" w14:textId="77777777" w:rsidR="00C916E6" w:rsidRPr="00DB6B70" w:rsidRDefault="00C916E6" w:rsidP="00535C2F">
            <w:pPr>
              <w:tabs>
                <w:tab w:val="decimal" w:pos="788"/>
              </w:tabs>
              <w:spacing w:before="60" w:after="60"/>
              <w:jc w:val="center"/>
              <w:rPr>
                <w:sz w:val="18"/>
                <w:szCs w:val="18"/>
              </w:rPr>
            </w:pPr>
            <w:r w:rsidRPr="00C86A3F">
              <w:rPr>
                <w:sz w:val="18"/>
                <w:szCs w:val="18"/>
              </w:rPr>
              <w:t>62</w:t>
            </w:r>
          </w:p>
        </w:tc>
        <w:tc>
          <w:tcPr>
            <w:tcW w:w="882" w:type="pct"/>
          </w:tcPr>
          <w:p w14:paraId="4BA1E7C5" w14:textId="77777777" w:rsidR="00C916E6" w:rsidRPr="00DB6B70" w:rsidRDefault="00C916E6" w:rsidP="00535C2F">
            <w:pPr>
              <w:spacing w:before="60" w:after="60"/>
              <w:jc w:val="center"/>
              <w:rPr>
                <w:sz w:val="18"/>
                <w:szCs w:val="18"/>
              </w:rPr>
            </w:pPr>
            <w:r w:rsidRPr="00C86A3F">
              <w:rPr>
                <w:sz w:val="18"/>
                <w:szCs w:val="18"/>
              </w:rPr>
              <w:t>626</w:t>
            </w:r>
          </w:p>
        </w:tc>
        <w:tc>
          <w:tcPr>
            <w:tcW w:w="883" w:type="pct"/>
          </w:tcPr>
          <w:p w14:paraId="1D454709" w14:textId="77777777" w:rsidR="00C916E6" w:rsidRPr="00DB6B70" w:rsidRDefault="00C916E6" w:rsidP="00535C2F">
            <w:pPr>
              <w:spacing w:before="60" w:after="60"/>
              <w:jc w:val="center"/>
              <w:rPr>
                <w:w w:val="102"/>
                <w:sz w:val="18"/>
                <w:szCs w:val="18"/>
              </w:rPr>
            </w:pPr>
            <w:r w:rsidRPr="00C86A3F">
              <w:rPr>
                <w:sz w:val="18"/>
                <w:szCs w:val="18"/>
              </w:rPr>
              <w:t>0</w:t>
            </w:r>
          </w:p>
        </w:tc>
      </w:tr>
      <w:tr w:rsidR="00C916E6" w:rsidRPr="00DB6B70" w14:paraId="698054D1" w14:textId="77777777" w:rsidTr="00535C2F">
        <w:trPr>
          <w:cantSplit/>
          <w:trHeight w:val="300"/>
        </w:trPr>
        <w:tc>
          <w:tcPr>
            <w:tcW w:w="588" w:type="pct"/>
          </w:tcPr>
          <w:p w14:paraId="22622374" w14:textId="77777777" w:rsidR="00C916E6" w:rsidRPr="00DB6B70" w:rsidRDefault="00C916E6" w:rsidP="00535C2F">
            <w:pPr>
              <w:spacing w:before="60" w:after="60"/>
              <w:rPr>
                <w:w w:val="105"/>
                <w:sz w:val="18"/>
              </w:rPr>
            </w:pPr>
            <w:r w:rsidRPr="00DB6B70">
              <w:rPr>
                <w:sz w:val="18"/>
              </w:rPr>
              <w:t>2021/22</w:t>
            </w:r>
          </w:p>
        </w:tc>
        <w:tc>
          <w:tcPr>
            <w:tcW w:w="882" w:type="pct"/>
          </w:tcPr>
          <w:p w14:paraId="29F6D682" w14:textId="77777777" w:rsidR="00C916E6" w:rsidRPr="00DB6B70" w:rsidRDefault="00C916E6" w:rsidP="00535C2F">
            <w:pPr>
              <w:spacing w:before="60" w:after="60"/>
              <w:jc w:val="center"/>
              <w:rPr>
                <w:sz w:val="18"/>
                <w:szCs w:val="18"/>
              </w:rPr>
            </w:pPr>
            <w:r w:rsidRPr="00C86A3F">
              <w:rPr>
                <w:sz w:val="18"/>
                <w:szCs w:val="18"/>
              </w:rPr>
              <w:t>6,097</w:t>
            </w:r>
          </w:p>
        </w:tc>
        <w:tc>
          <w:tcPr>
            <w:tcW w:w="882" w:type="pct"/>
          </w:tcPr>
          <w:p w14:paraId="7D9009FF" w14:textId="77777777" w:rsidR="00C916E6" w:rsidRPr="00DB6B70" w:rsidRDefault="00C916E6" w:rsidP="00535C2F">
            <w:pPr>
              <w:spacing w:before="60" w:after="60"/>
              <w:jc w:val="center"/>
              <w:rPr>
                <w:sz w:val="18"/>
                <w:szCs w:val="18"/>
              </w:rPr>
            </w:pPr>
            <w:r w:rsidRPr="00C86A3F">
              <w:rPr>
                <w:sz w:val="18"/>
                <w:szCs w:val="18"/>
              </w:rPr>
              <w:t>5,376</w:t>
            </w:r>
          </w:p>
        </w:tc>
        <w:tc>
          <w:tcPr>
            <w:tcW w:w="883" w:type="pct"/>
          </w:tcPr>
          <w:p w14:paraId="19DC7480" w14:textId="77777777" w:rsidR="00C916E6" w:rsidRPr="00DB6B70" w:rsidRDefault="00C916E6" w:rsidP="00535C2F">
            <w:pPr>
              <w:tabs>
                <w:tab w:val="decimal" w:pos="788"/>
              </w:tabs>
              <w:spacing w:before="60" w:after="60"/>
              <w:jc w:val="center"/>
              <w:rPr>
                <w:sz w:val="18"/>
                <w:szCs w:val="18"/>
              </w:rPr>
            </w:pPr>
            <w:r w:rsidRPr="00C86A3F">
              <w:rPr>
                <w:sz w:val="18"/>
                <w:szCs w:val="18"/>
              </w:rPr>
              <w:t>75</w:t>
            </w:r>
          </w:p>
        </w:tc>
        <w:tc>
          <w:tcPr>
            <w:tcW w:w="882" w:type="pct"/>
          </w:tcPr>
          <w:p w14:paraId="396E0587" w14:textId="77777777" w:rsidR="00C916E6" w:rsidRPr="00DB6B70" w:rsidRDefault="00C916E6" w:rsidP="00535C2F">
            <w:pPr>
              <w:spacing w:before="60" w:after="60"/>
              <w:jc w:val="center"/>
              <w:rPr>
                <w:sz w:val="18"/>
                <w:szCs w:val="18"/>
              </w:rPr>
            </w:pPr>
            <w:r w:rsidRPr="00C86A3F">
              <w:rPr>
                <w:sz w:val="18"/>
                <w:szCs w:val="18"/>
              </w:rPr>
              <w:t>631</w:t>
            </w:r>
          </w:p>
        </w:tc>
        <w:tc>
          <w:tcPr>
            <w:tcW w:w="883" w:type="pct"/>
          </w:tcPr>
          <w:p w14:paraId="4CD6DA45" w14:textId="77777777" w:rsidR="00C916E6" w:rsidRPr="00DB6B70" w:rsidRDefault="00C916E6" w:rsidP="00535C2F">
            <w:pPr>
              <w:spacing w:before="60" w:after="60"/>
              <w:jc w:val="center"/>
              <w:rPr>
                <w:w w:val="102"/>
                <w:sz w:val="18"/>
                <w:szCs w:val="18"/>
              </w:rPr>
            </w:pPr>
            <w:r w:rsidRPr="00C86A3F">
              <w:rPr>
                <w:sz w:val="18"/>
                <w:szCs w:val="18"/>
              </w:rPr>
              <w:t>0</w:t>
            </w:r>
          </w:p>
        </w:tc>
      </w:tr>
      <w:tr w:rsidR="00C916E6" w:rsidRPr="00DB6B70" w14:paraId="231BBC44" w14:textId="77777777" w:rsidTr="00535C2F">
        <w:trPr>
          <w:cantSplit/>
          <w:trHeight w:val="300"/>
        </w:trPr>
        <w:tc>
          <w:tcPr>
            <w:tcW w:w="588" w:type="pct"/>
          </w:tcPr>
          <w:p w14:paraId="7B42C843" w14:textId="77777777" w:rsidR="00C916E6" w:rsidRPr="00DB6B70" w:rsidRDefault="00C916E6" w:rsidP="00535C2F">
            <w:pPr>
              <w:spacing w:before="60" w:after="60"/>
              <w:rPr>
                <w:w w:val="105"/>
                <w:sz w:val="18"/>
              </w:rPr>
            </w:pPr>
            <w:r>
              <w:rPr>
                <w:w w:val="105"/>
                <w:sz w:val="18"/>
              </w:rPr>
              <w:t>2022/23</w:t>
            </w:r>
          </w:p>
        </w:tc>
        <w:tc>
          <w:tcPr>
            <w:tcW w:w="882" w:type="pct"/>
          </w:tcPr>
          <w:p w14:paraId="4C09B996" w14:textId="77777777" w:rsidR="00C916E6" w:rsidRPr="00DB6B70" w:rsidRDefault="00C916E6" w:rsidP="00535C2F">
            <w:pPr>
              <w:spacing w:before="60" w:after="60"/>
              <w:jc w:val="center"/>
              <w:rPr>
                <w:sz w:val="18"/>
                <w:szCs w:val="18"/>
              </w:rPr>
            </w:pPr>
            <w:r w:rsidRPr="00C86A3F">
              <w:rPr>
                <w:sz w:val="18"/>
                <w:szCs w:val="18"/>
              </w:rPr>
              <w:t>6,312</w:t>
            </w:r>
          </w:p>
        </w:tc>
        <w:tc>
          <w:tcPr>
            <w:tcW w:w="882" w:type="pct"/>
          </w:tcPr>
          <w:p w14:paraId="2C218416" w14:textId="77777777" w:rsidR="00C916E6" w:rsidRPr="00DB6B70" w:rsidRDefault="00C916E6" w:rsidP="00535C2F">
            <w:pPr>
              <w:spacing w:before="60" w:after="60"/>
              <w:jc w:val="center"/>
              <w:rPr>
                <w:sz w:val="18"/>
                <w:szCs w:val="18"/>
              </w:rPr>
            </w:pPr>
            <w:r w:rsidRPr="00C86A3F">
              <w:rPr>
                <w:sz w:val="18"/>
                <w:szCs w:val="18"/>
              </w:rPr>
              <w:t>5,605</w:t>
            </w:r>
          </w:p>
        </w:tc>
        <w:tc>
          <w:tcPr>
            <w:tcW w:w="883" w:type="pct"/>
          </w:tcPr>
          <w:p w14:paraId="1CD51C9B" w14:textId="77777777" w:rsidR="00C916E6" w:rsidRPr="00DB6B70" w:rsidRDefault="00C916E6" w:rsidP="00535C2F">
            <w:pPr>
              <w:tabs>
                <w:tab w:val="decimal" w:pos="788"/>
              </w:tabs>
              <w:spacing w:before="60" w:after="60"/>
              <w:jc w:val="center"/>
              <w:rPr>
                <w:sz w:val="18"/>
                <w:szCs w:val="18"/>
              </w:rPr>
            </w:pPr>
            <w:r w:rsidRPr="00C86A3F">
              <w:rPr>
                <w:sz w:val="18"/>
                <w:szCs w:val="18"/>
              </w:rPr>
              <w:t>105</w:t>
            </w:r>
          </w:p>
        </w:tc>
        <w:tc>
          <w:tcPr>
            <w:tcW w:w="882" w:type="pct"/>
          </w:tcPr>
          <w:p w14:paraId="36B72D44" w14:textId="77777777" w:rsidR="00C916E6" w:rsidRPr="00DB6B70" w:rsidRDefault="00C916E6" w:rsidP="00535C2F">
            <w:pPr>
              <w:spacing w:before="60" w:after="60"/>
              <w:jc w:val="center"/>
              <w:rPr>
                <w:sz w:val="18"/>
                <w:szCs w:val="18"/>
              </w:rPr>
            </w:pPr>
            <w:r w:rsidRPr="00C86A3F">
              <w:rPr>
                <w:sz w:val="18"/>
                <w:szCs w:val="18"/>
              </w:rPr>
              <w:t>620</w:t>
            </w:r>
          </w:p>
        </w:tc>
        <w:tc>
          <w:tcPr>
            <w:tcW w:w="883" w:type="pct"/>
          </w:tcPr>
          <w:p w14:paraId="2C506411" w14:textId="77777777" w:rsidR="00C916E6" w:rsidRPr="00DB6B70" w:rsidRDefault="00C916E6" w:rsidP="00535C2F">
            <w:pPr>
              <w:spacing w:before="60" w:after="60"/>
              <w:jc w:val="center"/>
              <w:rPr>
                <w:w w:val="102"/>
                <w:sz w:val="18"/>
                <w:szCs w:val="18"/>
              </w:rPr>
            </w:pPr>
            <w:r w:rsidRPr="00C86A3F">
              <w:rPr>
                <w:sz w:val="18"/>
                <w:szCs w:val="18"/>
              </w:rPr>
              <w:t>0</w:t>
            </w:r>
          </w:p>
        </w:tc>
      </w:tr>
    </w:tbl>
    <w:p w14:paraId="7A12393E" w14:textId="77777777" w:rsidR="00C916E6" w:rsidRPr="00DB6B70" w:rsidRDefault="00C916E6" w:rsidP="00C916E6">
      <w:pPr>
        <w:spacing w:before="80"/>
        <w:rPr>
          <w:sz w:val="17"/>
        </w:rPr>
      </w:pPr>
      <w:r w:rsidRPr="00DB6B70">
        <w:rPr>
          <w:sz w:val="17"/>
        </w:rPr>
        <w:t xml:space="preserve">Notes: The table presents applications that had been processed at the time of data extraction on </w:t>
      </w:r>
      <w:r>
        <w:rPr>
          <w:sz w:val="17"/>
        </w:rPr>
        <w:t>6 March 2024</w:t>
      </w:r>
      <w:r w:rsidRPr="00DB6B70">
        <w:rPr>
          <w:sz w:val="17"/>
        </w:rPr>
        <w:t>. The year is determined by the final outcome date. The CMS is a live operational database, which means figures are subject to minor changes at any time.</w:t>
      </w:r>
    </w:p>
    <w:p w14:paraId="282AF6BC" w14:textId="77777777" w:rsidR="00C916E6" w:rsidRPr="00DB6B70" w:rsidRDefault="00C916E6" w:rsidP="00C916E6">
      <w:pPr>
        <w:spacing w:before="80"/>
        <w:rPr>
          <w:sz w:val="17"/>
        </w:rPr>
      </w:pPr>
      <w:r w:rsidRPr="00DB6B70">
        <w:rPr>
          <w:sz w:val="17"/>
        </w:rPr>
        <w:t xml:space="preserve">Source: Ministry of Justice Integrated Sector Intelligence System, which uses data entered into the CMS (extracted </w:t>
      </w:r>
      <w:r>
        <w:rPr>
          <w:sz w:val="17"/>
        </w:rPr>
        <w:t>6 March 2024).</w:t>
      </w:r>
    </w:p>
    <w:p w14:paraId="134863D7" w14:textId="77777777" w:rsidR="00C916E6" w:rsidRPr="00DB6B70" w:rsidRDefault="00C916E6" w:rsidP="00C916E6"/>
    <w:p w14:paraId="5B2AE4E7" w14:textId="31425F0A" w:rsidR="00C916E6" w:rsidRPr="00DB6B70" w:rsidRDefault="00C916E6" w:rsidP="00C916E6">
      <w:pPr>
        <w:pStyle w:val="Table"/>
      </w:pPr>
      <w:bookmarkStart w:id="937" w:name="_Ref141109610"/>
      <w:bookmarkStart w:id="938" w:name="_Toc63764688"/>
      <w:bookmarkStart w:id="939" w:name="_Toc75176541"/>
      <w:bookmarkStart w:id="940" w:name="_Toc87430020"/>
      <w:bookmarkStart w:id="941" w:name="_Toc88561377"/>
      <w:bookmarkStart w:id="942" w:name="_Toc115188912"/>
      <w:bookmarkStart w:id="943" w:name="_Toc142314771"/>
      <w:bookmarkStart w:id="944" w:name="_Toc145394334"/>
      <w:bookmarkStart w:id="945" w:name="_Toc188699116"/>
      <w:bookmarkStart w:id="946" w:name="_Toc189647997"/>
      <w:r w:rsidRPr="00DB6B70">
        <w:t>Table A</w:t>
      </w:r>
      <w:r w:rsidRPr="00DB6B70">
        <w:fldChar w:fldCharType="begin"/>
      </w:r>
      <w:r w:rsidRPr="00DB6B70">
        <w:instrText>SEQ Table_A \* ARABIC</w:instrText>
      </w:r>
      <w:r w:rsidRPr="00DB6B70">
        <w:fldChar w:fldCharType="separate"/>
      </w:r>
      <w:r w:rsidR="00753BC8">
        <w:rPr>
          <w:noProof/>
        </w:rPr>
        <w:t>2</w:t>
      </w:r>
      <w:r w:rsidRPr="00DB6B70">
        <w:fldChar w:fldCharType="end"/>
      </w:r>
      <w:bookmarkEnd w:id="937"/>
      <w:r w:rsidRPr="00DB6B70">
        <w:t xml:space="preserve">: Types of </w:t>
      </w:r>
      <w:r>
        <w:t>compulsory treatment orders</w:t>
      </w:r>
      <w:r w:rsidRPr="00DB6B70">
        <w:t xml:space="preserve"> made on granted applications, 200</w:t>
      </w:r>
      <w:r>
        <w:t>8</w:t>
      </w:r>
      <w:r w:rsidRPr="00DB6B70">
        <w:t>/0</w:t>
      </w:r>
      <w:r>
        <w:t>9</w:t>
      </w:r>
      <w:r w:rsidRPr="00DB6B70">
        <w:t xml:space="preserve"> to 20</w:t>
      </w:r>
      <w:bookmarkEnd w:id="938"/>
      <w:r w:rsidRPr="00DB6B70">
        <w:t>2</w:t>
      </w:r>
      <w:bookmarkEnd w:id="939"/>
      <w:bookmarkEnd w:id="940"/>
      <w:bookmarkEnd w:id="941"/>
      <w:r>
        <w:t>2</w:t>
      </w:r>
      <w:r w:rsidRPr="00DB6B70">
        <w:t>/2</w:t>
      </w:r>
      <w:bookmarkEnd w:id="942"/>
      <w:bookmarkEnd w:id="943"/>
      <w:bookmarkEnd w:id="944"/>
      <w:r>
        <w:t>3</w:t>
      </w:r>
      <w:bookmarkEnd w:id="945"/>
      <w:bookmarkEnd w:id="946"/>
    </w:p>
    <w:tbl>
      <w:tblPr>
        <w:tblW w:w="4823" w:type="pct"/>
        <w:tblInd w:w="57" w:type="dxa"/>
        <w:tblBorders>
          <w:top w:val="single" w:sz="4" w:space="0" w:color="A6A6A6" w:themeColor="background1" w:themeShade="A6"/>
          <w:bottom w:val="single" w:sz="4" w:space="0" w:color="A6A6A6" w:themeColor="background1" w:themeShade="A6"/>
          <w:insideH w:val="single" w:sz="4" w:space="0" w:color="A6A6A6" w:themeColor="background1" w:themeShade="A6"/>
        </w:tblBorders>
        <w:tblLayout w:type="fixed"/>
        <w:tblCellMar>
          <w:left w:w="57" w:type="dxa"/>
          <w:right w:w="57" w:type="dxa"/>
        </w:tblCellMar>
        <w:tblLook w:val="04A0" w:firstRow="1" w:lastRow="0" w:firstColumn="1" w:lastColumn="0" w:noHBand="0" w:noVBand="1"/>
      </w:tblPr>
      <w:tblGrid>
        <w:gridCol w:w="998"/>
        <w:gridCol w:w="1361"/>
        <w:gridCol w:w="1209"/>
        <w:gridCol w:w="1206"/>
        <w:gridCol w:w="1661"/>
        <w:gridCol w:w="1358"/>
      </w:tblGrid>
      <w:tr w:rsidR="00C916E6" w:rsidRPr="00DB6B70" w14:paraId="4EC6AF3E" w14:textId="77777777" w:rsidTr="00535C2F">
        <w:trPr>
          <w:cantSplit/>
          <w:trHeight w:val="1378"/>
        </w:trPr>
        <w:tc>
          <w:tcPr>
            <w:tcW w:w="640" w:type="pct"/>
            <w:tcBorders>
              <w:top w:val="nil"/>
              <w:bottom w:val="nil"/>
            </w:tcBorders>
            <w:shd w:val="clear" w:color="auto" w:fill="D9D9D9" w:themeFill="background1" w:themeFillShade="D9"/>
          </w:tcPr>
          <w:p w14:paraId="179C5BCB" w14:textId="77777777" w:rsidR="00C916E6" w:rsidRPr="00DB6B70" w:rsidRDefault="00C916E6" w:rsidP="00535C2F">
            <w:pPr>
              <w:spacing w:before="60" w:after="60"/>
              <w:rPr>
                <w:b/>
                <w:bCs/>
                <w:sz w:val="18"/>
                <w:szCs w:val="18"/>
              </w:rPr>
            </w:pPr>
            <w:r w:rsidRPr="00DB6B70">
              <w:rPr>
                <w:b/>
                <w:bCs/>
                <w:sz w:val="18"/>
                <w:szCs w:val="18"/>
              </w:rPr>
              <w:t>Financial year</w:t>
            </w:r>
          </w:p>
        </w:tc>
        <w:tc>
          <w:tcPr>
            <w:tcW w:w="873" w:type="pct"/>
            <w:tcBorders>
              <w:top w:val="nil"/>
              <w:bottom w:val="nil"/>
            </w:tcBorders>
            <w:shd w:val="clear" w:color="auto" w:fill="D9D9D9" w:themeFill="background1" w:themeFillShade="D9"/>
          </w:tcPr>
          <w:p w14:paraId="647A4779" w14:textId="77777777" w:rsidR="00C916E6" w:rsidRPr="00DB6B70" w:rsidRDefault="00C916E6" w:rsidP="00535C2F">
            <w:pPr>
              <w:spacing w:before="60" w:after="60"/>
              <w:jc w:val="center"/>
              <w:rPr>
                <w:b/>
                <w:sz w:val="18"/>
                <w:szCs w:val="18"/>
              </w:rPr>
            </w:pPr>
            <w:r w:rsidRPr="00DB6B70">
              <w:rPr>
                <w:b/>
                <w:sz w:val="18"/>
                <w:szCs w:val="18"/>
              </w:rPr>
              <w:t>Number of granted applications for orders</w:t>
            </w:r>
          </w:p>
        </w:tc>
        <w:tc>
          <w:tcPr>
            <w:tcW w:w="776" w:type="pct"/>
            <w:tcBorders>
              <w:top w:val="nil"/>
              <w:bottom w:val="nil"/>
            </w:tcBorders>
            <w:shd w:val="clear" w:color="auto" w:fill="D9D9D9" w:themeFill="background1" w:themeFillShade="D9"/>
          </w:tcPr>
          <w:p w14:paraId="4214C6CC" w14:textId="77777777" w:rsidR="00C916E6" w:rsidRPr="00DB6B70" w:rsidRDefault="00C916E6" w:rsidP="00535C2F">
            <w:pPr>
              <w:spacing w:before="60" w:after="60"/>
              <w:jc w:val="center"/>
              <w:rPr>
                <w:b/>
                <w:sz w:val="18"/>
                <w:szCs w:val="18"/>
              </w:rPr>
            </w:pPr>
            <w:r w:rsidRPr="00DB6B70">
              <w:rPr>
                <w:b/>
                <w:sz w:val="18"/>
                <w:szCs w:val="18"/>
              </w:rPr>
              <w:t xml:space="preserve">Number of community </w:t>
            </w:r>
            <w:r>
              <w:rPr>
                <w:b/>
                <w:sz w:val="18"/>
                <w:szCs w:val="18"/>
              </w:rPr>
              <w:t>treatment orders</w:t>
            </w:r>
            <w:r w:rsidRPr="00DB6B70">
              <w:rPr>
                <w:b/>
                <w:sz w:val="18"/>
                <w:szCs w:val="18"/>
              </w:rPr>
              <w:t xml:space="preserve"> (or extension)</w:t>
            </w:r>
          </w:p>
        </w:tc>
        <w:tc>
          <w:tcPr>
            <w:tcW w:w="774" w:type="pct"/>
            <w:tcBorders>
              <w:top w:val="nil"/>
              <w:bottom w:val="nil"/>
            </w:tcBorders>
            <w:shd w:val="clear" w:color="auto" w:fill="D9D9D9" w:themeFill="background1" w:themeFillShade="D9"/>
          </w:tcPr>
          <w:p w14:paraId="321B51C8" w14:textId="77777777" w:rsidR="00C916E6" w:rsidRPr="00DB6B70" w:rsidRDefault="00C916E6" w:rsidP="00535C2F">
            <w:pPr>
              <w:spacing w:before="60" w:after="60"/>
              <w:jc w:val="center"/>
              <w:rPr>
                <w:b/>
                <w:sz w:val="18"/>
                <w:szCs w:val="18"/>
              </w:rPr>
            </w:pPr>
            <w:r w:rsidRPr="00DB6B70">
              <w:rPr>
                <w:b/>
                <w:sz w:val="18"/>
                <w:szCs w:val="18"/>
              </w:rPr>
              <w:t xml:space="preserve">Number of inpatient </w:t>
            </w:r>
            <w:r>
              <w:rPr>
                <w:b/>
                <w:sz w:val="18"/>
                <w:szCs w:val="18"/>
              </w:rPr>
              <w:t>treatment orders</w:t>
            </w:r>
            <w:r w:rsidRPr="00DB6B70">
              <w:rPr>
                <w:b/>
                <w:sz w:val="18"/>
                <w:szCs w:val="18"/>
              </w:rPr>
              <w:t xml:space="preserve"> (or extension)</w:t>
            </w:r>
          </w:p>
        </w:tc>
        <w:tc>
          <w:tcPr>
            <w:tcW w:w="1066" w:type="pct"/>
            <w:tcBorders>
              <w:top w:val="nil"/>
              <w:bottom w:val="nil"/>
            </w:tcBorders>
            <w:shd w:val="clear" w:color="auto" w:fill="D9D9D9" w:themeFill="background1" w:themeFillShade="D9"/>
          </w:tcPr>
          <w:p w14:paraId="5D1D3F0B" w14:textId="77777777" w:rsidR="00C916E6" w:rsidRPr="00DB6B70" w:rsidRDefault="00C916E6" w:rsidP="00535C2F">
            <w:pPr>
              <w:spacing w:before="60" w:after="60"/>
              <w:jc w:val="center"/>
              <w:rPr>
                <w:b/>
                <w:sz w:val="18"/>
                <w:szCs w:val="18"/>
              </w:rPr>
            </w:pPr>
            <w:r w:rsidRPr="00DB6B70">
              <w:rPr>
                <w:b/>
                <w:sz w:val="18"/>
                <w:szCs w:val="18"/>
              </w:rPr>
              <w:t xml:space="preserve">Number of orders recorded as both community and inpatient </w:t>
            </w:r>
            <w:r>
              <w:rPr>
                <w:b/>
                <w:sz w:val="18"/>
                <w:szCs w:val="18"/>
              </w:rPr>
              <w:t>treatment orders</w:t>
            </w:r>
            <w:r w:rsidRPr="00DB6B70">
              <w:rPr>
                <w:b/>
                <w:sz w:val="18"/>
                <w:szCs w:val="18"/>
              </w:rPr>
              <w:t xml:space="preserve"> (or extension)</w:t>
            </w:r>
          </w:p>
        </w:tc>
        <w:tc>
          <w:tcPr>
            <w:tcW w:w="871" w:type="pct"/>
            <w:tcBorders>
              <w:top w:val="nil"/>
              <w:bottom w:val="nil"/>
            </w:tcBorders>
            <w:shd w:val="clear" w:color="auto" w:fill="D9D9D9" w:themeFill="background1" w:themeFillShade="D9"/>
          </w:tcPr>
          <w:p w14:paraId="46087D96" w14:textId="77777777" w:rsidR="00C916E6" w:rsidRPr="00DB6B70" w:rsidRDefault="00C916E6" w:rsidP="00535C2F">
            <w:pPr>
              <w:spacing w:before="60" w:after="60"/>
              <w:jc w:val="center"/>
              <w:rPr>
                <w:b/>
                <w:sz w:val="18"/>
                <w:szCs w:val="18"/>
              </w:rPr>
            </w:pPr>
            <w:r w:rsidRPr="00DB6B70">
              <w:rPr>
                <w:b/>
                <w:sz w:val="18"/>
                <w:szCs w:val="18"/>
              </w:rPr>
              <w:t>Number of applications where type of order was not recorded</w:t>
            </w:r>
          </w:p>
        </w:tc>
      </w:tr>
      <w:tr w:rsidR="00C916E6" w:rsidRPr="00DB6B70" w14:paraId="4CA7F2D6" w14:textId="77777777" w:rsidTr="00535C2F">
        <w:trPr>
          <w:cantSplit/>
          <w:trHeight w:val="318"/>
        </w:trPr>
        <w:tc>
          <w:tcPr>
            <w:tcW w:w="640" w:type="pct"/>
          </w:tcPr>
          <w:p w14:paraId="373DCFDD" w14:textId="77777777" w:rsidR="00C916E6" w:rsidRPr="00DB6B70" w:rsidRDefault="00C916E6" w:rsidP="00535C2F">
            <w:pPr>
              <w:spacing w:before="60" w:after="60"/>
              <w:rPr>
                <w:sz w:val="18"/>
                <w:szCs w:val="18"/>
              </w:rPr>
            </w:pPr>
            <w:r w:rsidRPr="00DB6B70">
              <w:rPr>
                <w:sz w:val="18"/>
                <w:szCs w:val="18"/>
              </w:rPr>
              <w:t>2008/09</w:t>
            </w:r>
          </w:p>
        </w:tc>
        <w:tc>
          <w:tcPr>
            <w:tcW w:w="873" w:type="pct"/>
          </w:tcPr>
          <w:p w14:paraId="595C322B" w14:textId="77777777" w:rsidR="00C916E6" w:rsidRPr="00DB6B70" w:rsidRDefault="00C916E6" w:rsidP="00535C2F">
            <w:pPr>
              <w:spacing w:before="60" w:after="60"/>
              <w:jc w:val="center"/>
              <w:rPr>
                <w:rFonts w:cs="Segoe UI"/>
                <w:sz w:val="18"/>
                <w:szCs w:val="18"/>
              </w:rPr>
            </w:pPr>
            <w:r w:rsidRPr="008E2BDA">
              <w:rPr>
                <w:rFonts w:cs="Segoe UI"/>
                <w:sz w:val="18"/>
                <w:szCs w:val="18"/>
              </w:rPr>
              <w:t>4,003</w:t>
            </w:r>
          </w:p>
        </w:tc>
        <w:tc>
          <w:tcPr>
            <w:tcW w:w="776" w:type="pct"/>
          </w:tcPr>
          <w:p w14:paraId="40FD7024" w14:textId="77777777" w:rsidR="00C916E6" w:rsidRPr="00DB6B70" w:rsidRDefault="00C916E6" w:rsidP="00535C2F">
            <w:pPr>
              <w:spacing w:before="60" w:after="60"/>
              <w:jc w:val="center"/>
              <w:rPr>
                <w:rFonts w:cs="Segoe UI"/>
                <w:sz w:val="18"/>
                <w:szCs w:val="18"/>
              </w:rPr>
            </w:pPr>
            <w:r w:rsidRPr="008E2BDA">
              <w:rPr>
                <w:rFonts w:cs="Segoe UI"/>
                <w:sz w:val="18"/>
                <w:szCs w:val="18"/>
              </w:rPr>
              <w:t>2,020</w:t>
            </w:r>
          </w:p>
        </w:tc>
        <w:tc>
          <w:tcPr>
            <w:tcW w:w="774" w:type="pct"/>
          </w:tcPr>
          <w:p w14:paraId="55C3EAB8" w14:textId="77777777" w:rsidR="00C916E6" w:rsidRPr="00DB6B70" w:rsidRDefault="00C916E6" w:rsidP="00535C2F">
            <w:pPr>
              <w:spacing w:before="60" w:after="60"/>
              <w:jc w:val="center"/>
              <w:rPr>
                <w:rFonts w:cs="Segoe UI"/>
                <w:sz w:val="18"/>
                <w:szCs w:val="18"/>
              </w:rPr>
            </w:pPr>
            <w:r w:rsidRPr="008E2BDA">
              <w:rPr>
                <w:rFonts w:cs="Segoe UI"/>
                <w:sz w:val="18"/>
                <w:szCs w:val="18"/>
              </w:rPr>
              <w:t>1,519</w:t>
            </w:r>
          </w:p>
        </w:tc>
        <w:tc>
          <w:tcPr>
            <w:tcW w:w="1066" w:type="pct"/>
          </w:tcPr>
          <w:p w14:paraId="58108649" w14:textId="77777777" w:rsidR="00C916E6" w:rsidRPr="00DB6B70" w:rsidRDefault="00C916E6" w:rsidP="00535C2F">
            <w:pPr>
              <w:tabs>
                <w:tab w:val="decimal" w:pos="911"/>
              </w:tabs>
              <w:spacing w:before="60" w:after="60"/>
              <w:jc w:val="center"/>
              <w:rPr>
                <w:rFonts w:cs="Segoe UI"/>
                <w:sz w:val="18"/>
                <w:szCs w:val="18"/>
              </w:rPr>
            </w:pPr>
            <w:r w:rsidRPr="008E2BDA">
              <w:rPr>
                <w:rFonts w:cs="Segoe UI"/>
                <w:sz w:val="18"/>
                <w:szCs w:val="18"/>
              </w:rPr>
              <w:t>100</w:t>
            </w:r>
          </w:p>
        </w:tc>
        <w:tc>
          <w:tcPr>
            <w:tcW w:w="871" w:type="pct"/>
          </w:tcPr>
          <w:p w14:paraId="0CFC7883" w14:textId="77777777" w:rsidR="00C916E6" w:rsidRPr="00DB6B70" w:rsidRDefault="00C916E6" w:rsidP="00535C2F">
            <w:pPr>
              <w:tabs>
                <w:tab w:val="decimal" w:pos="706"/>
              </w:tabs>
              <w:spacing w:before="60" w:after="60"/>
              <w:jc w:val="center"/>
              <w:rPr>
                <w:rFonts w:cs="Segoe UI"/>
                <w:sz w:val="18"/>
                <w:szCs w:val="18"/>
              </w:rPr>
            </w:pPr>
            <w:r w:rsidRPr="008E2BDA">
              <w:rPr>
                <w:rFonts w:cs="Segoe UI"/>
                <w:sz w:val="18"/>
                <w:szCs w:val="18"/>
              </w:rPr>
              <w:t>349</w:t>
            </w:r>
          </w:p>
        </w:tc>
      </w:tr>
      <w:tr w:rsidR="00C916E6" w:rsidRPr="00DB6B70" w14:paraId="4B15E1E1" w14:textId="77777777" w:rsidTr="00535C2F">
        <w:trPr>
          <w:cantSplit/>
          <w:trHeight w:val="304"/>
        </w:trPr>
        <w:tc>
          <w:tcPr>
            <w:tcW w:w="640" w:type="pct"/>
          </w:tcPr>
          <w:p w14:paraId="621BCCE3" w14:textId="77777777" w:rsidR="00C916E6" w:rsidRPr="00DB6B70" w:rsidRDefault="00C916E6" w:rsidP="00535C2F">
            <w:pPr>
              <w:spacing w:before="60" w:after="60"/>
              <w:rPr>
                <w:w w:val="105"/>
                <w:sz w:val="18"/>
                <w:szCs w:val="18"/>
              </w:rPr>
            </w:pPr>
            <w:r w:rsidRPr="00DB6B70">
              <w:rPr>
                <w:sz w:val="18"/>
                <w:szCs w:val="18"/>
              </w:rPr>
              <w:t>2009/10</w:t>
            </w:r>
          </w:p>
        </w:tc>
        <w:tc>
          <w:tcPr>
            <w:tcW w:w="873" w:type="pct"/>
          </w:tcPr>
          <w:p w14:paraId="5F9015CD" w14:textId="77777777" w:rsidR="00C916E6" w:rsidRPr="00DB6B70" w:rsidRDefault="00C916E6" w:rsidP="00535C2F">
            <w:pPr>
              <w:spacing w:before="60" w:after="60"/>
              <w:jc w:val="center"/>
              <w:rPr>
                <w:rFonts w:cs="Segoe UI"/>
                <w:sz w:val="18"/>
                <w:szCs w:val="18"/>
              </w:rPr>
            </w:pPr>
            <w:r w:rsidRPr="008E2BDA">
              <w:rPr>
                <w:rFonts w:cs="Segoe UI"/>
                <w:sz w:val="18"/>
                <w:szCs w:val="18"/>
              </w:rPr>
              <w:t>4,100</w:t>
            </w:r>
          </w:p>
        </w:tc>
        <w:tc>
          <w:tcPr>
            <w:tcW w:w="776" w:type="pct"/>
          </w:tcPr>
          <w:p w14:paraId="35A1448C" w14:textId="77777777" w:rsidR="00C916E6" w:rsidRPr="00DB6B70" w:rsidRDefault="00C916E6" w:rsidP="00535C2F">
            <w:pPr>
              <w:spacing w:before="60" w:after="60"/>
              <w:jc w:val="center"/>
              <w:rPr>
                <w:rFonts w:cs="Segoe UI"/>
                <w:sz w:val="18"/>
                <w:szCs w:val="18"/>
              </w:rPr>
            </w:pPr>
            <w:r w:rsidRPr="008E2BDA">
              <w:rPr>
                <w:rFonts w:cs="Segoe UI"/>
                <w:sz w:val="18"/>
                <w:szCs w:val="18"/>
              </w:rPr>
              <w:t>2,147</w:t>
            </w:r>
          </w:p>
        </w:tc>
        <w:tc>
          <w:tcPr>
            <w:tcW w:w="774" w:type="pct"/>
          </w:tcPr>
          <w:p w14:paraId="06CF77FE" w14:textId="77777777" w:rsidR="00C916E6" w:rsidRPr="00DB6B70" w:rsidRDefault="00C916E6" w:rsidP="00535C2F">
            <w:pPr>
              <w:spacing w:before="60" w:after="60"/>
              <w:jc w:val="center"/>
              <w:rPr>
                <w:rFonts w:cs="Segoe UI"/>
                <w:sz w:val="18"/>
                <w:szCs w:val="18"/>
              </w:rPr>
            </w:pPr>
            <w:r w:rsidRPr="008E2BDA">
              <w:rPr>
                <w:rFonts w:cs="Segoe UI"/>
                <w:sz w:val="18"/>
                <w:szCs w:val="18"/>
              </w:rPr>
              <w:t>1,628</w:t>
            </w:r>
          </w:p>
        </w:tc>
        <w:tc>
          <w:tcPr>
            <w:tcW w:w="1066" w:type="pct"/>
          </w:tcPr>
          <w:p w14:paraId="603B098A" w14:textId="77777777" w:rsidR="00C916E6" w:rsidRPr="00DB6B70" w:rsidRDefault="00C916E6" w:rsidP="00535C2F">
            <w:pPr>
              <w:tabs>
                <w:tab w:val="decimal" w:pos="911"/>
              </w:tabs>
              <w:spacing w:before="60" w:after="60"/>
              <w:jc w:val="center"/>
              <w:rPr>
                <w:rFonts w:cs="Segoe UI"/>
                <w:sz w:val="18"/>
                <w:szCs w:val="18"/>
              </w:rPr>
            </w:pPr>
            <w:r w:rsidRPr="008E2BDA">
              <w:rPr>
                <w:rFonts w:cs="Segoe UI"/>
                <w:sz w:val="18"/>
                <w:szCs w:val="18"/>
              </w:rPr>
              <w:t>116</w:t>
            </w:r>
          </w:p>
        </w:tc>
        <w:tc>
          <w:tcPr>
            <w:tcW w:w="871" w:type="pct"/>
          </w:tcPr>
          <w:p w14:paraId="53E9CACC" w14:textId="77777777" w:rsidR="00C916E6" w:rsidRPr="00DB6B70" w:rsidRDefault="00C916E6" w:rsidP="00535C2F">
            <w:pPr>
              <w:tabs>
                <w:tab w:val="decimal" w:pos="706"/>
              </w:tabs>
              <w:spacing w:before="60" w:after="60"/>
              <w:jc w:val="center"/>
              <w:rPr>
                <w:rFonts w:cs="Segoe UI"/>
                <w:sz w:val="18"/>
                <w:szCs w:val="18"/>
              </w:rPr>
            </w:pPr>
            <w:r w:rsidRPr="008E2BDA">
              <w:rPr>
                <w:rFonts w:cs="Segoe UI"/>
                <w:sz w:val="18"/>
                <w:szCs w:val="18"/>
              </w:rPr>
              <w:t>203</w:t>
            </w:r>
          </w:p>
        </w:tc>
      </w:tr>
      <w:tr w:rsidR="00C916E6" w:rsidRPr="00DB6B70" w14:paraId="2011BCE3" w14:textId="77777777" w:rsidTr="00535C2F">
        <w:trPr>
          <w:cantSplit/>
          <w:trHeight w:val="318"/>
        </w:trPr>
        <w:tc>
          <w:tcPr>
            <w:tcW w:w="640" w:type="pct"/>
          </w:tcPr>
          <w:p w14:paraId="2187528D" w14:textId="77777777" w:rsidR="00C916E6" w:rsidRPr="00DB6B70" w:rsidRDefault="00C916E6" w:rsidP="00535C2F">
            <w:pPr>
              <w:spacing w:before="60" w:after="60"/>
              <w:rPr>
                <w:w w:val="105"/>
                <w:sz w:val="18"/>
                <w:szCs w:val="18"/>
              </w:rPr>
            </w:pPr>
            <w:r w:rsidRPr="00DB6B70">
              <w:rPr>
                <w:sz w:val="18"/>
                <w:szCs w:val="18"/>
              </w:rPr>
              <w:t>2010/11</w:t>
            </w:r>
          </w:p>
        </w:tc>
        <w:tc>
          <w:tcPr>
            <w:tcW w:w="873" w:type="pct"/>
          </w:tcPr>
          <w:p w14:paraId="5F76AE95" w14:textId="77777777" w:rsidR="00C916E6" w:rsidRPr="00DB6B70" w:rsidRDefault="00C916E6" w:rsidP="00535C2F">
            <w:pPr>
              <w:spacing w:before="60" w:after="60"/>
              <w:jc w:val="center"/>
              <w:rPr>
                <w:rFonts w:cs="Segoe UI"/>
                <w:sz w:val="18"/>
                <w:szCs w:val="18"/>
              </w:rPr>
            </w:pPr>
            <w:r w:rsidRPr="008E2BDA">
              <w:rPr>
                <w:rFonts w:cs="Segoe UI"/>
                <w:sz w:val="18"/>
                <w:szCs w:val="18"/>
              </w:rPr>
              <w:t>4,198</w:t>
            </w:r>
          </w:p>
        </w:tc>
        <w:tc>
          <w:tcPr>
            <w:tcW w:w="776" w:type="pct"/>
          </w:tcPr>
          <w:p w14:paraId="67146F48" w14:textId="77777777" w:rsidR="00C916E6" w:rsidRPr="00DB6B70" w:rsidRDefault="00C916E6" w:rsidP="00535C2F">
            <w:pPr>
              <w:spacing w:before="60" w:after="60"/>
              <w:jc w:val="center"/>
              <w:rPr>
                <w:rFonts w:cs="Segoe UI"/>
                <w:sz w:val="18"/>
                <w:szCs w:val="18"/>
              </w:rPr>
            </w:pPr>
            <w:r w:rsidRPr="008E2BDA">
              <w:rPr>
                <w:rFonts w:cs="Segoe UI"/>
                <w:sz w:val="18"/>
                <w:szCs w:val="18"/>
              </w:rPr>
              <w:t>2,283</w:t>
            </w:r>
          </w:p>
        </w:tc>
        <w:tc>
          <w:tcPr>
            <w:tcW w:w="774" w:type="pct"/>
          </w:tcPr>
          <w:p w14:paraId="15FDFF3E" w14:textId="77777777" w:rsidR="00C916E6" w:rsidRPr="00DB6B70" w:rsidRDefault="00C916E6" w:rsidP="00535C2F">
            <w:pPr>
              <w:spacing w:before="60" w:after="60"/>
              <w:jc w:val="center"/>
              <w:rPr>
                <w:rFonts w:cs="Segoe UI"/>
                <w:sz w:val="18"/>
                <w:szCs w:val="18"/>
              </w:rPr>
            </w:pPr>
            <w:r w:rsidRPr="008E2BDA">
              <w:rPr>
                <w:rFonts w:cs="Segoe UI"/>
                <w:sz w:val="18"/>
                <w:szCs w:val="18"/>
              </w:rPr>
              <w:t>1,668</w:t>
            </w:r>
          </w:p>
        </w:tc>
        <w:tc>
          <w:tcPr>
            <w:tcW w:w="1066" w:type="pct"/>
          </w:tcPr>
          <w:p w14:paraId="4C359815" w14:textId="77777777" w:rsidR="00C916E6" w:rsidRPr="00DB6B70" w:rsidRDefault="00C916E6" w:rsidP="00535C2F">
            <w:pPr>
              <w:tabs>
                <w:tab w:val="decimal" w:pos="911"/>
              </w:tabs>
              <w:spacing w:before="60" w:after="60"/>
              <w:jc w:val="center"/>
              <w:rPr>
                <w:rFonts w:cs="Segoe UI"/>
                <w:sz w:val="18"/>
                <w:szCs w:val="18"/>
              </w:rPr>
            </w:pPr>
            <w:r w:rsidRPr="008E2BDA">
              <w:rPr>
                <w:rFonts w:cs="Segoe UI"/>
                <w:sz w:val="18"/>
                <w:szCs w:val="18"/>
              </w:rPr>
              <w:t>95</w:t>
            </w:r>
          </w:p>
        </w:tc>
        <w:tc>
          <w:tcPr>
            <w:tcW w:w="871" w:type="pct"/>
          </w:tcPr>
          <w:p w14:paraId="3F183E10" w14:textId="77777777" w:rsidR="00C916E6" w:rsidRPr="00DB6B70" w:rsidRDefault="00C916E6" w:rsidP="00535C2F">
            <w:pPr>
              <w:tabs>
                <w:tab w:val="decimal" w:pos="706"/>
              </w:tabs>
              <w:spacing w:before="60" w:after="60"/>
              <w:jc w:val="center"/>
              <w:rPr>
                <w:rFonts w:cs="Segoe UI"/>
                <w:sz w:val="18"/>
                <w:szCs w:val="18"/>
              </w:rPr>
            </w:pPr>
            <w:r w:rsidRPr="008E2BDA">
              <w:rPr>
                <w:rFonts w:cs="Segoe UI"/>
                <w:sz w:val="18"/>
                <w:szCs w:val="18"/>
              </w:rPr>
              <w:t>142</w:t>
            </w:r>
          </w:p>
        </w:tc>
      </w:tr>
      <w:tr w:rsidR="00C916E6" w:rsidRPr="00DB6B70" w14:paraId="3F06354E" w14:textId="77777777" w:rsidTr="00535C2F">
        <w:trPr>
          <w:cantSplit/>
          <w:trHeight w:val="318"/>
        </w:trPr>
        <w:tc>
          <w:tcPr>
            <w:tcW w:w="640" w:type="pct"/>
          </w:tcPr>
          <w:p w14:paraId="63881878" w14:textId="77777777" w:rsidR="00C916E6" w:rsidRPr="00DB6B70" w:rsidRDefault="00C916E6" w:rsidP="00535C2F">
            <w:pPr>
              <w:spacing w:before="60" w:after="60"/>
              <w:rPr>
                <w:w w:val="105"/>
                <w:sz w:val="18"/>
                <w:szCs w:val="18"/>
              </w:rPr>
            </w:pPr>
            <w:r w:rsidRPr="00DB6B70">
              <w:rPr>
                <w:sz w:val="18"/>
                <w:szCs w:val="18"/>
              </w:rPr>
              <w:t>2011/12</w:t>
            </w:r>
          </w:p>
        </w:tc>
        <w:tc>
          <w:tcPr>
            <w:tcW w:w="873" w:type="pct"/>
          </w:tcPr>
          <w:p w14:paraId="771FA2C9" w14:textId="77777777" w:rsidR="00C916E6" w:rsidRPr="00DB6B70" w:rsidRDefault="00C916E6" w:rsidP="00535C2F">
            <w:pPr>
              <w:spacing w:before="60" w:after="60"/>
              <w:jc w:val="center"/>
              <w:rPr>
                <w:rFonts w:cs="Segoe UI"/>
                <w:sz w:val="18"/>
                <w:szCs w:val="18"/>
              </w:rPr>
            </w:pPr>
            <w:r w:rsidRPr="008E2BDA">
              <w:rPr>
                <w:rFonts w:cs="Segoe UI"/>
                <w:sz w:val="18"/>
                <w:szCs w:val="18"/>
              </w:rPr>
              <w:t>4,272</w:t>
            </w:r>
          </w:p>
        </w:tc>
        <w:tc>
          <w:tcPr>
            <w:tcW w:w="776" w:type="pct"/>
          </w:tcPr>
          <w:p w14:paraId="13B4E824" w14:textId="77777777" w:rsidR="00C916E6" w:rsidRPr="00DB6B70" w:rsidRDefault="00C916E6" w:rsidP="00535C2F">
            <w:pPr>
              <w:spacing w:before="60" w:after="60"/>
              <w:jc w:val="center"/>
              <w:rPr>
                <w:rFonts w:cs="Segoe UI"/>
                <w:sz w:val="18"/>
                <w:szCs w:val="18"/>
              </w:rPr>
            </w:pPr>
            <w:r w:rsidRPr="008E2BDA">
              <w:rPr>
                <w:rFonts w:cs="Segoe UI"/>
                <w:sz w:val="18"/>
                <w:szCs w:val="18"/>
              </w:rPr>
              <w:t>2,297</w:t>
            </w:r>
          </w:p>
        </w:tc>
        <w:tc>
          <w:tcPr>
            <w:tcW w:w="774" w:type="pct"/>
          </w:tcPr>
          <w:p w14:paraId="1E3A6EF1" w14:textId="77777777" w:rsidR="00C916E6" w:rsidRPr="00DB6B70" w:rsidRDefault="00C916E6" w:rsidP="00535C2F">
            <w:pPr>
              <w:spacing w:before="60" w:after="60"/>
              <w:jc w:val="center"/>
              <w:rPr>
                <w:rFonts w:cs="Segoe UI"/>
                <w:sz w:val="18"/>
                <w:szCs w:val="18"/>
              </w:rPr>
            </w:pPr>
            <w:r w:rsidRPr="008E2BDA">
              <w:rPr>
                <w:rFonts w:cs="Segoe UI"/>
                <w:sz w:val="18"/>
                <w:szCs w:val="18"/>
              </w:rPr>
              <w:t>1,663</w:t>
            </w:r>
          </w:p>
        </w:tc>
        <w:tc>
          <w:tcPr>
            <w:tcW w:w="1066" w:type="pct"/>
          </w:tcPr>
          <w:p w14:paraId="42BEE06D" w14:textId="77777777" w:rsidR="00C916E6" w:rsidRPr="00DB6B70" w:rsidRDefault="00C916E6" w:rsidP="00535C2F">
            <w:pPr>
              <w:tabs>
                <w:tab w:val="decimal" w:pos="911"/>
              </w:tabs>
              <w:spacing w:before="60" w:after="60"/>
              <w:jc w:val="center"/>
              <w:rPr>
                <w:rFonts w:cs="Segoe UI"/>
                <w:sz w:val="18"/>
                <w:szCs w:val="18"/>
              </w:rPr>
            </w:pPr>
            <w:r w:rsidRPr="008E2BDA">
              <w:rPr>
                <w:rFonts w:cs="Segoe UI"/>
                <w:sz w:val="18"/>
                <w:szCs w:val="18"/>
              </w:rPr>
              <w:t>98</w:t>
            </w:r>
          </w:p>
        </w:tc>
        <w:tc>
          <w:tcPr>
            <w:tcW w:w="871" w:type="pct"/>
          </w:tcPr>
          <w:p w14:paraId="2FB49D60" w14:textId="77777777" w:rsidR="00C916E6" w:rsidRPr="00DB6B70" w:rsidRDefault="00C916E6" w:rsidP="00535C2F">
            <w:pPr>
              <w:tabs>
                <w:tab w:val="decimal" w:pos="706"/>
              </w:tabs>
              <w:spacing w:before="60" w:after="60"/>
              <w:jc w:val="center"/>
              <w:rPr>
                <w:rFonts w:cs="Segoe UI"/>
                <w:sz w:val="18"/>
                <w:szCs w:val="18"/>
              </w:rPr>
            </w:pPr>
            <w:r w:rsidRPr="008E2BDA">
              <w:rPr>
                <w:rFonts w:cs="Segoe UI"/>
                <w:sz w:val="18"/>
                <w:szCs w:val="18"/>
              </w:rPr>
              <w:t>206</w:t>
            </w:r>
          </w:p>
        </w:tc>
      </w:tr>
      <w:tr w:rsidR="00C916E6" w:rsidRPr="00DB6B70" w14:paraId="76501EFE" w14:textId="77777777" w:rsidTr="00535C2F">
        <w:trPr>
          <w:cantSplit/>
          <w:trHeight w:val="304"/>
        </w:trPr>
        <w:tc>
          <w:tcPr>
            <w:tcW w:w="640" w:type="pct"/>
          </w:tcPr>
          <w:p w14:paraId="6C37CB79" w14:textId="77777777" w:rsidR="00C916E6" w:rsidRPr="00DB6B70" w:rsidRDefault="00C916E6" w:rsidP="00535C2F">
            <w:pPr>
              <w:spacing w:before="60" w:after="60"/>
              <w:rPr>
                <w:w w:val="105"/>
                <w:sz w:val="18"/>
                <w:szCs w:val="18"/>
              </w:rPr>
            </w:pPr>
            <w:r w:rsidRPr="00DB6B70">
              <w:rPr>
                <w:sz w:val="18"/>
                <w:szCs w:val="18"/>
              </w:rPr>
              <w:t>2012/13</w:t>
            </w:r>
          </w:p>
        </w:tc>
        <w:tc>
          <w:tcPr>
            <w:tcW w:w="873" w:type="pct"/>
          </w:tcPr>
          <w:p w14:paraId="3385CE81" w14:textId="77777777" w:rsidR="00C916E6" w:rsidRPr="00DB6B70" w:rsidRDefault="00C916E6" w:rsidP="00535C2F">
            <w:pPr>
              <w:spacing w:before="60" w:after="60"/>
              <w:jc w:val="center"/>
              <w:rPr>
                <w:rFonts w:cs="Segoe UI"/>
                <w:sz w:val="18"/>
                <w:szCs w:val="18"/>
              </w:rPr>
            </w:pPr>
            <w:r w:rsidRPr="008E2BDA">
              <w:rPr>
                <w:rFonts w:cs="Segoe UI"/>
                <w:sz w:val="18"/>
                <w:szCs w:val="18"/>
              </w:rPr>
              <w:t>4,480</w:t>
            </w:r>
          </w:p>
        </w:tc>
        <w:tc>
          <w:tcPr>
            <w:tcW w:w="776" w:type="pct"/>
          </w:tcPr>
          <w:p w14:paraId="2F4FF3EB" w14:textId="77777777" w:rsidR="00C916E6" w:rsidRPr="00DB6B70" w:rsidRDefault="00C916E6" w:rsidP="00535C2F">
            <w:pPr>
              <w:spacing w:before="60" w:after="60"/>
              <w:jc w:val="center"/>
              <w:rPr>
                <w:rFonts w:cs="Segoe UI"/>
                <w:sz w:val="18"/>
                <w:szCs w:val="18"/>
              </w:rPr>
            </w:pPr>
            <w:r w:rsidRPr="008E2BDA">
              <w:rPr>
                <w:rFonts w:cs="Segoe UI"/>
                <w:sz w:val="18"/>
                <w:szCs w:val="18"/>
              </w:rPr>
              <w:t>2,591</w:t>
            </w:r>
          </w:p>
        </w:tc>
        <w:tc>
          <w:tcPr>
            <w:tcW w:w="774" w:type="pct"/>
          </w:tcPr>
          <w:p w14:paraId="294D5C08" w14:textId="77777777" w:rsidR="00C916E6" w:rsidRPr="00DB6B70" w:rsidRDefault="00C916E6" w:rsidP="00535C2F">
            <w:pPr>
              <w:spacing w:before="60" w:after="60"/>
              <w:jc w:val="center"/>
              <w:rPr>
                <w:rFonts w:cs="Segoe UI"/>
                <w:sz w:val="18"/>
                <w:szCs w:val="18"/>
              </w:rPr>
            </w:pPr>
            <w:r w:rsidRPr="008E2BDA">
              <w:rPr>
                <w:rFonts w:cs="Segoe UI"/>
                <w:sz w:val="18"/>
                <w:szCs w:val="18"/>
              </w:rPr>
              <w:t>1,730</w:t>
            </w:r>
          </w:p>
        </w:tc>
        <w:tc>
          <w:tcPr>
            <w:tcW w:w="1066" w:type="pct"/>
          </w:tcPr>
          <w:p w14:paraId="17D07AB2" w14:textId="77777777" w:rsidR="00C916E6" w:rsidRPr="00DB6B70" w:rsidRDefault="00C916E6" w:rsidP="00535C2F">
            <w:pPr>
              <w:tabs>
                <w:tab w:val="decimal" w:pos="911"/>
              </w:tabs>
              <w:spacing w:before="60" w:after="60"/>
              <w:jc w:val="center"/>
              <w:rPr>
                <w:rFonts w:cs="Segoe UI"/>
                <w:sz w:val="18"/>
                <w:szCs w:val="18"/>
              </w:rPr>
            </w:pPr>
            <w:r w:rsidRPr="008E2BDA">
              <w:rPr>
                <w:rFonts w:cs="Segoe UI"/>
                <w:sz w:val="18"/>
                <w:szCs w:val="18"/>
              </w:rPr>
              <w:t>63</w:t>
            </w:r>
          </w:p>
        </w:tc>
        <w:tc>
          <w:tcPr>
            <w:tcW w:w="871" w:type="pct"/>
          </w:tcPr>
          <w:p w14:paraId="33FFC5B2" w14:textId="77777777" w:rsidR="00C916E6" w:rsidRPr="00DB6B70" w:rsidRDefault="00C916E6" w:rsidP="00535C2F">
            <w:pPr>
              <w:tabs>
                <w:tab w:val="decimal" w:pos="706"/>
              </w:tabs>
              <w:spacing w:before="60" w:after="60"/>
              <w:jc w:val="center"/>
              <w:rPr>
                <w:rFonts w:cs="Segoe UI"/>
                <w:sz w:val="18"/>
                <w:szCs w:val="18"/>
              </w:rPr>
            </w:pPr>
            <w:r w:rsidRPr="008E2BDA">
              <w:rPr>
                <w:rFonts w:cs="Segoe UI"/>
                <w:sz w:val="18"/>
                <w:szCs w:val="18"/>
              </w:rPr>
              <w:t>96</w:t>
            </w:r>
          </w:p>
        </w:tc>
      </w:tr>
      <w:tr w:rsidR="00C916E6" w:rsidRPr="00DB6B70" w14:paraId="0A628D94" w14:textId="77777777" w:rsidTr="00535C2F">
        <w:trPr>
          <w:cantSplit/>
          <w:trHeight w:val="318"/>
        </w:trPr>
        <w:tc>
          <w:tcPr>
            <w:tcW w:w="640" w:type="pct"/>
          </w:tcPr>
          <w:p w14:paraId="7AC1F499" w14:textId="77777777" w:rsidR="00C916E6" w:rsidRPr="00DB6B70" w:rsidRDefault="00C916E6" w:rsidP="00535C2F">
            <w:pPr>
              <w:spacing w:before="60" w:after="60"/>
              <w:rPr>
                <w:w w:val="105"/>
                <w:sz w:val="18"/>
                <w:szCs w:val="18"/>
              </w:rPr>
            </w:pPr>
            <w:r w:rsidRPr="00DB6B70">
              <w:rPr>
                <w:sz w:val="18"/>
                <w:szCs w:val="18"/>
              </w:rPr>
              <w:t>2013/14</w:t>
            </w:r>
          </w:p>
        </w:tc>
        <w:tc>
          <w:tcPr>
            <w:tcW w:w="873" w:type="pct"/>
          </w:tcPr>
          <w:p w14:paraId="7DD19B5F" w14:textId="77777777" w:rsidR="00C916E6" w:rsidRPr="00DB6B70" w:rsidRDefault="00C916E6" w:rsidP="00535C2F">
            <w:pPr>
              <w:spacing w:before="60" w:after="60"/>
              <w:jc w:val="center"/>
              <w:rPr>
                <w:rFonts w:cs="Segoe UI"/>
                <w:sz w:val="18"/>
                <w:szCs w:val="18"/>
              </w:rPr>
            </w:pPr>
            <w:r w:rsidRPr="008E2BDA">
              <w:rPr>
                <w:rFonts w:cs="Segoe UI"/>
                <w:sz w:val="18"/>
                <w:szCs w:val="18"/>
              </w:rPr>
              <w:t>4,610</w:t>
            </w:r>
          </w:p>
        </w:tc>
        <w:tc>
          <w:tcPr>
            <w:tcW w:w="776" w:type="pct"/>
          </w:tcPr>
          <w:p w14:paraId="6D428D36" w14:textId="77777777" w:rsidR="00C916E6" w:rsidRPr="00DB6B70" w:rsidRDefault="00C916E6" w:rsidP="00535C2F">
            <w:pPr>
              <w:spacing w:before="60" w:after="60"/>
              <w:jc w:val="center"/>
              <w:rPr>
                <w:rFonts w:cs="Segoe UI"/>
                <w:sz w:val="18"/>
                <w:szCs w:val="18"/>
              </w:rPr>
            </w:pPr>
            <w:r w:rsidRPr="008E2BDA">
              <w:rPr>
                <w:rFonts w:cs="Segoe UI"/>
                <w:sz w:val="18"/>
                <w:szCs w:val="18"/>
              </w:rPr>
              <w:t>2,616</w:t>
            </w:r>
          </w:p>
        </w:tc>
        <w:tc>
          <w:tcPr>
            <w:tcW w:w="774" w:type="pct"/>
          </w:tcPr>
          <w:p w14:paraId="2D303AA4" w14:textId="77777777" w:rsidR="00C916E6" w:rsidRPr="00DB6B70" w:rsidRDefault="00C916E6" w:rsidP="00535C2F">
            <w:pPr>
              <w:spacing w:before="60" w:after="60"/>
              <w:jc w:val="center"/>
              <w:rPr>
                <w:rFonts w:cs="Segoe UI"/>
                <w:sz w:val="18"/>
                <w:szCs w:val="18"/>
              </w:rPr>
            </w:pPr>
            <w:r w:rsidRPr="008E2BDA">
              <w:rPr>
                <w:rFonts w:cs="Segoe UI"/>
                <w:sz w:val="18"/>
                <w:szCs w:val="18"/>
              </w:rPr>
              <w:t>1,756</w:t>
            </w:r>
          </w:p>
        </w:tc>
        <w:tc>
          <w:tcPr>
            <w:tcW w:w="1066" w:type="pct"/>
          </w:tcPr>
          <w:p w14:paraId="2E468051" w14:textId="77777777" w:rsidR="00C916E6" w:rsidRPr="00DB6B70" w:rsidRDefault="00C916E6" w:rsidP="00535C2F">
            <w:pPr>
              <w:tabs>
                <w:tab w:val="decimal" w:pos="911"/>
              </w:tabs>
              <w:spacing w:before="60" w:after="60"/>
              <w:jc w:val="center"/>
              <w:rPr>
                <w:rFonts w:cs="Segoe UI"/>
                <w:sz w:val="18"/>
                <w:szCs w:val="18"/>
              </w:rPr>
            </w:pPr>
            <w:r w:rsidRPr="008E2BDA">
              <w:rPr>
                <w:rFonts w:cs="Segoe UI"/>
                <w:sz w:val="18"/>
                <w:szCs w:val="18"/>
              </w:rPr>
              <w:t>88</w:t>
            </w:r>
          </w:p>
        </w:tc>
        <w:tc>
          <w:tcPr>
            <w:tcW w:w="871" w:type="pct"/>
          </w:tcPr>
          <w:p w14:paraId="61B57BFD" w14:textId="77777777" w:rsidR="00C916E6" w:rsidRPr="00DB6B70" w:rsidRDefault="00C916E6" w:rsidP="00535C2F">
            <w:pPr>
              <w:tabs>
                <w:tab w:val="decimal" w:pos="706"/>
              </w:tabs>
              <w:spacing w:before="60" w:after="60"/>
              <w:jc w:val="center"/>
              <w:rPr>
                <w:rFonts w:cs="Segoe UI"/>
                <w:sz w:val="18"/>
                <w:szCs w:val="18"/>
              </w:rPr>
            </w:pPr>
            <w:r w:rsidRPr="008E2BDA">
              <w:rPr>
                <w:rFonts w:cs="Segoe UI"/>
                <w:sz w:val="18"/>
                <w:szCs w:val="18"/>
              </w:rPr>
              <w:t>148</w:t>
            </w:r>
          </w:p>
        </w:tc>
      </w:tr>
      <w:tr w:rsidR="00C916E6" w:rsidRPr="00DB6B70" w14:paraId="21DCD7E1" w14:textId="77777777" w:rsidTr="00535C2F">
        <w:trPr>
          <w:cantSplit/>
          <w:trHeight w:val="304"/>
        </w:trPr>
        <w:tc>
          <w:tcPr>
            <w:tcW w:w="640" w:type="pct"/>
          </w:tcPr>
          <w:p w14:paraId="01DE1321" w14:textId="77777777" w:rsidR="00C916E6" w:rsidRPr="00DB6B70" w:rsidRDefault="00C916E6" w:rsidP="00535C2F">
            <w:pPr>
              <w:spacing w:before="60" w:after="60"/>
              <w:rPr>
                <w:w w:val="105"/>
                <w:sz w:val="18"/>
                <w:szCs w:val="18"/>
              </w:rPr>
            </w:pPr>
            <w:r w:rsidRPr="00DB6B70">
              <w:rPr>
                <w:sz w:val="18"/>
                <w:szCs w:val="18"/>
              </w:rPr>
              <w:t>2014/15</w:t>
            </w:r>
          </w:p>
        </w:tc>
        <w:tc>
          <w:tcPr>
            <w:tcW w:w="873" w:type="pct"/>
          </w:tcPr>
          <w:p w14:paraId="3F907A7B" w14:textId="77777777" w:rsidR="00C916E6" w:rsidRPr="00DB6B70" w:rsidRDefault="00C916E6" w:rsidP="00535C2F">
            <w:pPr>
              <w:spacing w:before="60" w:after="60"/>
              <w:jc w:val="center"/>
              <w:rPr>
                <w:rFonts w:cs="Segoe UI"/>
                <w:sz w:val="18"/>
                <w:szCs w:val="18"/>
              </w:rPr>
            </w:pPr>
            <w:r w:rsidRPr="008E2BDA">
              <w:rPr>
                <w:rFonts w:cs="Segoe UI"/>
                <w:sz w:val="18"/>
                <w:szCs w:val="18"/>
              </w:rPr>
              <w:t>4,629</w:t>
            </w:r>
          </w:p>
        </w:tc>
        <w:tc>
          <w:tcPr>
            <w:tcW w:w="776" w:type="pct"/>
          </w:tcPr>
          <w:p w14:paraId="24B7A1F2" w14:textId="77777777" w:rsidR="00C916E6" w:rsidRPr="00DB6B70" w:rsidRDefault="00C916E6" w:rsidP="00535C2F">
            <w:pPr>
              <w:spacing w:before="60" w:after="60"/>
              <w:jc w:val="center"/>
              <w:rPr>
                <w:rFonts w:cs="Segoe UI"/>
                <w:sz w:val="18"/>
                <w:szCs w:val="18"/>
              </w:rPr>
            </w:pPr>
            <w:r w:rsidRPr="008E2BDA">
              <w:rPr>
                <w:rFonts w:cs="Segoe UI"/>
                <w:sz w:val="18"/>
                <w:szCs w:val="18"/>
              </w:rPr>
              <w:t>2,688</w:t>
            </w:r>
          </w:p>
        </w:tc>
        <w:tc>
          <w:tcPr>
            <w:tcW w:w="774" w:type="pct"/>
          </w:tcPr>
          <w:p w14:paraId="33CC828D" w14:textId="77777777" w:rsidR="00C916E6" w:rsidRPr="00DB6B70" w:rsidRDefault="00C916E6" w:rsidP="00535C2F">
            <w:pPr>
              <w:spacing w:before="60" w:after="60"/>
              <w:jc w:val="center"/>
              <w:rPr>
                <w:rFonts w:cs="Segoe UI"/>
                <w:sz w:val="18"/>
                <w:szCs w:val="18"/>
              </w:rPr>
            </w:pPr>
            <w:r w:rsidRPr="008E2BDA">
              <w:rPr>
                <w:rFonts w:cs="Segoe UI"/>
                <w:sz w:val="18"/>
                <w:szCs w:val="18"/>
              </w:rPr>
              <w:t>1,782</w:t>
            </w:r>
          </w:p>
        </w:tc>
        <w:tc>
          <w:tcPr>
            <w:tcW w:w="1066" w:type="pct"/>
          </w:tcPr>
          <w:p w14:paraId="47B9398F" w14:textId="77777777" w:rsidR="00C916E6" w:rsidRPr="00DB6B70" w:rsidRDefault="00C916E6" w:rsidP="00535C2F">
            <w:pPr>
              <w:tabs>
                <w:tab w:val="decimal" w:pos="911"/>
              </w:tabs>
              <w:spacing w:before="60" w:after="60"/>
              <w:jc w:val="center"/>
              <w:rPr>
                <w:rFonts w:cs="Segoe UI"/>
                <w:sz w:val="18"/>
                <w:szCs w:val="18"/>
              </w:rPr>
            </w:pPr>
            <w:r w:rsidRPr="008E2BDA">
              <w:rPr>
                <w:rFonts w:cs="Segoe UI"/>
                <w:sz w:val="18"/>
                <w:szCs w:val="18"/>
              </w:rPr>
              <w:t>84</w:t>
            </w:r>
          </w:p>
        </w:tc>
        <w:tc>
          <w:tcPr>
            <w:tcW w:w="871" w:type="pct"/>
          </w:tcPr>
          <w:p w14:paraId="27E1F0BA" w14:textId="77777777" w:rsidR="00C916E6" w:rsidRPr="00DB6B70" w:rsidRDefault="00C916E6" w:rsidP="00535C2F">
            <w:pPr>
              <w:tabs>
                <w:tab w:val="decimal" w:pos="706"/>
              </w:tabs>
              <w:spacing w:before="60" w:after="60"/>
              <w:jc w:val="center"/>
              <w:rPr>
                <w:rFonts w:cs="Segoe UI"/>
                <w:sz w:val="18"/>
                <w:szCs w:val="18"/>
              </w:rPr>
            </w:pPr>
            <w:r w:rsidRPr="008E2BDA">
              <w:rPr>
                <w:rFonts w:cs="Segoe UI"/>
                <w:sz w:val="18"/>
                <w:szCs w:val="18"/>
              </w:rPr>
              <w:t>75</w:t>
            </w:r>
          </w:p>
        </w:tc>
      </w:tr>
      <w:tr w:rsidR="00C916E6" w:rsidRPr="00DB6B70" w14:paraId="3642AA04" w14:textId="77777777" w:rsidTr="00535C2F">
        <w:trPr>
          <w:cantSplit/>
          <w:trHeight w:val="318"/>
        </w:trPr>
        <w:tc>
          <w:tcPr>
            <w:tcW w:w="640" w:type="pct"/>
          </w:tcPr>
          <w:p w14:paraId="30529114" w14:textId="77777777" w:rsidR="00C916E6" w:rsidRPr="00DB6B70" w:rsidRDefault="00C916E6" w:rsidP="00535C2F">
            <w:pPr>
              <w:spacing w:before="60" w:after="60"/>
              <w:rPr>
                <w:w w:val="105"/>
                <w:sz w:val="18"/>
                <w:szCs w:val="18"/>
              </w:rPr>
            </w:pPr>
            <w:r w:rsidRPr="00DB6B70">
              <w:rPr>
                <w:sz w:val="18"/>
                <w:szCs w:val="18"/>
              </w:rPr>
              <w:t>2015/16</w:t>
            </w:r>
          </w:p>
        </w:tc>
        <w:tc>
          <w:tcPr>
            <w:tcW w:w="873" w:type="pct"/>
          </w:tcPr>
          <w:p w14:paraId="6A948AE6" w14:textId="77777777" w:rsidR="00C916E6" w:rsidRPr="00DB6B70" w:rsidRDefault="00C916E6" w:rsidP="00535C2F">
            <w:pPr>
              <w:spacing w:before="60" w:after="60"/>
              <w:jc w:val="center"/>
              <w:rPr>
                <w:rFonts w:cs="Segoe UI"/>
                <w:sz w:val="18"/>
                <w:szCs w:val="18"/>
              </w:rPr>
            </w:pPr>
            <w:r w:rsidRPr="008E2BDA">
              <w:rPr>
                <w:rFonts w:cs="Segoe UI"/>
                <w:sz w:val="18"/>
                <w:szCs w:val="18"/>
              </w:rPr>
              <w:t>4,918</w:t>
            </w:r>
          </w:p>
        </w:tc>
        <w:tc>
          <w:tcPr>
            <w:tcW w:w="776" w:type="pct"/>
          </w:tcPr>
          <w:p w14:paraId="5FA18334" w14:textId="77777777" w:rsidR="00C916E6" w:rsidRPr="00DB6B70" w:rsidRDefault="00C916E6" w:rsidP="00535C2F">
            <w:pPr>
              <w:spacing w:before="60" w:after="60"/>
              <w:jc w:val="center"/>
              <w:rPr>
                <w:rFonts w:cs="Segoe UI"/>
                <w:sz w:val="18"/>
                <w:szCs w:val="18"/>
              </w:rPr>
            </w:pPr>
            <w:r w:rsidRPr="008E2BDA">
              <w:rPr>
                <w:rFonts w:cs="Segoe UI"/>
                <w:sz w:val="18"/>
                <w:szCs w:val="18"/>
              </w:rPr>
              <w:t>2,896</w:t>
            </w:r>
          </w:p>
        </w:tc>
        <w:tc>
          <w:tcPr>
            <w:tcW w:w="774" w:type="pct"/>
          </w:tcPr>
          <w:p w14:paraId="52334013" w14:textId="77777777" w:rsidR="00C916E6" w:rsidRPr="00DB6B70" w:rsidRDefault="00C916E6" w:rsidP="00535C2F">
            <w:pPr>
              <w:spacing w:before="60" w:after="60"/>
              <w:jc w:val="center"/>
              <w:rPr>
                <w:rFonts w:cs="Segoe UI"/>
                <w:sz w:val="18"/>
                <w:szCs w:val="18"/>
              </w:rPr>
            </w:pPr>
            <w:r w:rsidRPr="008E2BDA">
              <w:rPr>
                <w:rFonts w:cs="Segoe UI"/>
                <w:sz w:val="18"/>
                <w:szCs w:val="18"/>
              </w:rPr>
              <w:t>1,821</w:t>
            </w:r>
          </w:p>
        </w:tc>
        <w:tc>
          <w:tcPr>
            <w:tcW w:w="1066" w:type="pct"/>
          </w:tcPr>
          <w:p w14:paraId="132DFF1C" w14:textId="77777777" w:rsidR="00C916E6" w:rsidRPr="00DB6B70" w:rsidRDefault="00C916E6" w:rsidP="00535C2F">
            <w:pPr>
              <w:tabs>
                <w:tab w:val="decimal" w:pos="911"/>
              </w:tabs>
              <w:spacing w:before="60" w:after="60"/>
              <w:jc w:val="center"/>
              <w:rPr>
                <w:rFonts w:cs="Segoe UI"/>
                <w:sz w:val="18"/>
                <w:szCs w:val="18"/>
              </w:rPr>
            </w:pPr>
            <w:r w:rsidRPr="008E2BDA">
              <w:rPr>
                <w:rFonts w:cs="Segoe UI"/>
                <w:sz w:val="18"/>
                <w:szCs w:val="18"/>
              </w:rPr>
              <w:t>60</w:t>
            </w:r>
          </w:p>
        </w:tc>
        <w:tc>
          <w:tcPr>
            <w:tcW w:w="871" w:type="pct"/>
          </w:tcPr>
          <w:p w14:paraId="66A07F5B" w14:textId="77777777" w:rsidR="00C916E6" w:rsidRPr="00DB6B70" w:rsidRDefault="00C916E6" w:rsidP="00535C2F">
            <w:pPr>
              <w:tabs>
                <w:tab w:val="decimal" w:pos="706"/>
              </w:tabs>
              <w:spacing w:before="60" w:after="60"/>
              <w:jc w:val="center"/>
              <w:rPr>
                <w:rFonts w:cs="Segoe UI"/>
                <w:sz w:val="18"/>
                <w:szCs w:val="18"/>
              </w:rPr>
            </w:pPr>
            <w:r w:rsidRPr="008E2BDA">
              <w:rPr>
                <w:rFonts w:cs="Segoe UI"/>
                <w:sz w:val="18"/>
                <w:szCs w:val="18"/>
              </w:rPr>
              <w:t>137</w:t>
            </w:r>
          </w:p>
        </w:tc>
      </w:tr>
      <w:tr w:rsidR="00C916E6" w:rsidRPr="00DB6B70" w14:paraId="3B0375E5" w14:textId="77777777" w:rsidTr="00535C2F">
        <w:trPr>
          <w:cantSplit/>
          <w:trHeight w:val="318"/>
        </w:trPr>
        <w:tc>
          <w:tcPr>
            <w:tcW w:w="640" w:type="pct"/>
          </w:tcPr>
          <w:p w14:paraId="36811AC5" w14:textId="77777777" w:rsidR="00C916E6" w:rsidRPr="00DB6B70" w:rsidRDefault="00C916E6" w:rsidP="00535C2F">
            <w:pPr>
              <w:spacing w:before="60" w:after="60"/>
              <w:rPr>
                <w:w w:val="105"/>
                <w:sz w:val="18"/>
                <w:szCs w:val="18"/>
              </w:rPr>
            </w:pPr>
            <w:r w:rsidRPr="00DB6B70">
              <w:rPr>
                <w:sz w:val="18"/>
                <w:szCs w:val="18"/>
              </w:rPr>
              <w:t>2016/17</w:t>
            </w:r>
          </w:p>
        </w:tc>
        <w:tc>
          <w:tcPr>
            <w:tcW w:w="873" w:type="pct"/>
          </w:tcPr>
          <w:p w14:paraId="11ECBDB4" w14:textId="77777777" w:rsidR="00C916E6" w:rsidRPr="00DB6B70" w:rsidRDefault="00C916E6" w:rsidP="00535C2F">
            <w:pPr>
              <w:spacing w:before="60" w:after="60"/>
              <w:jc w:val="center"/>
              <w:rPr>
                <w:rFonts w:cs="Segoe UI"/>
                <w:sz w:val="18"/>
                <w:szCs w:val="18"/>
              </w:rPr>
            </w:pPr>
            <w:r w:rsidRPr="008E2BDA">
              <w:rPr>
                <w:rFonts w:cs="Segoe UI"/>
                <w:sz w:val="18"/>
                <w:szCs w:val="18"/>
              </w:rPr>
              <w:t>4,927</w:t>
            </w:r>
          </w:p>
        </w:tc>
        <w:tc>
          <w:tcPr>
            <w:tcW w:w="776" w:type="pct"/>
          </w:tcPr>
          <w:p w14:paraId="42365677" w14:textId="77777777" w:rsidR="00C916E6" w:rsidRPr="00DB6B70" w:rsidRDefault="00C916E6" w:rsidP="00535C2F">
            <w:pPr>
              <w:spacing w:before="60" w:after="60"/>
              <w:jc w:val="center"/>
              <w:rPr>
                <w:rFonts w:cs="Segoe UI"/>
                <w:sz w:val="18"/>
                <w:szCs w:val="18"/>
              </w:rPr>
            </w:pPr>
            <w:r w:rsidRPr="008E2BDA">
              <w:rPr>
                <w:rFonts w:cs="Segoe UI"/>
                <w:sz w:val="18"/>
                <w:szCs w:val="18"/>
              </w:rPr>
              <w:t>2,727</w:t>
            </w:r>
          </w:p>
        </w:tc>
        <w:tc>
          <w:tcPr>
            <w:tcW w:w="774" w:type="pct"/>
          </w:tcPr>
          <w:p w14:paraId="399FF649" w14:textId="77777777" w:rsidR="00C916E6" w:rsidRPr="00DB6B70" w:rsidRDefault="00C916E6" w:rsidP="00535C2F">
            <w:pPr>
              <w:spacing w:before="60" w:after="60"/>
              <w:jc w:val="center"/>
              <w:rPr>
                <w:rFonts w:cs="Segoe UI"/>
                <w:sz w:val="18"/>
                <w:szCs w:val="18"/>
              </w:rPr>
            </w:pPr>
            <w:r w:rsidRPr="008E2BDA">
              <w:rPr>
                <w:rFonts w:cs="Segoe UI"/>
                <w:sz w:val="18"/>
                <w:szCs w:val="18"/>
              </w:rPr>
              <w:t>1,654</w:t>
            </w:r>
          </w:p>
        </w:tc>
        <w:tc>
          <w:tcPr>
            <w:tcW w:w="1066" w:type="pct"/>
          </w:tcPr>
          <w:p w14:paraId="48B82D4E" w14:textId="77777777" w:rsidR="00C916E6" w:rsidRPr="00DB6B70" w:rsidRDefault="00C916E6" w:rsidP="00535C2F">
            <w:pPr>
              <w:tabs>
                <w:tab w:val="decimal" w:pos="911"/>
              </w:tabs>
              <w:spacing w:before="60" w:after="60"/>
              <w:jc w:val="center"/>
              <w:rPr>
                <w:rFonts w:cs="Segoe UI"/>
                <w:sz w:val="18"/>
                <w:szCs w:val="18"/>
              </w:rPr>
            </w:pPr>
            <w:r w:rsidRPr="008E2BDA">
              <w:rPr>
                <w:rFonts w:cs="Segoe UI"/>
                <w:sz w:val="18"/>
                <w:szCs w:val="18"/>
              </w:rPr>
              <w:t>75</w:t>
            </w:r>
          </w:p>
        </w:tc>
        <w:tc>
          <w:tcPr>
            <w:tcW w:w="871" w:type="pct"/>
          </w:tcPr>
          <w:p w14:paraId="5CAEDA8F" w14:textId="77777777" w:rsidR="00C916E6" w:rsidRPr="00DB6B70" w:rsidRDefault="00C916E6" w:rsidP="00535C2F">
            <w:pPr>
              <w:tabs>
                <w:tab w:val="decimal" w:pos="706"/>
              </w:tabs>
              <w:spacing w:before="60" w:after="60"/>
              <w:jc w:val="center"/>
              <w:rPr>
                <w:rFonts w:cs="Segoe UI"/>
                <w:sz w:val="18"/>
                <w:szCs w:val="18"/>
              </w:rPr>
            </w:pPr>
            <w:r w:rsidRPr="008E2BDA">
              <w:rPr>
                <w:rFonts w:cs="Segoe UI"/>
                <w:sz w:val="18"/>
                <w:szCs w:val="18"/>
              </w:rPr>
              <w:t>468</w:t>
            </w:r>
          </w:p>
        </w:tc>
      </w:tr>
      <w:tr w:rsidR="00C916E6" w:rsidRPr="00DB6B70" w14:paraId="439F60FA" w14:textId="77777777" w:rsidTr="00535C2F">
        <w:trPr>
          <w:cantSplit/>
          <w:trHeight w:val="304"/>
        </w:trPr>
        <w:tc>
          <w:tcPr>
            <w:tcW w:w="640" w:type="pct"/>
          </w:tcPr>
          <w:p w14:paraId="0ECE92C8" w14:textId="77777777" w:rsidR="00C916E6" w:rsidRPr="00DB6B70" w:rsidRDefault="00C916E6" w:rsidP="00535C2F">
            <w:pPr>
              <w:spacing w:before="60" w:after="60"/>
              <w:rPr>
                <w:w w:val="105"/>
                <w:sz w:val="18"/>
                <w:szCs w:val="18"/>
              </w:rPr>
            </w:pPr>
            <w:r w:rsidRPr="00DB6B70">
              <w:rPr>
                <w:sz w:val="18"/>
                <w:szCs w:val="18"/>
              </w:rPr>
              <w:t>2017/18</w:t>
            </w:r>
          </w:p>
        </w:tc>
        <w:tc>
          <w:tcPr>
            <w:tcW w:w="873" w:type="pct"/>
          </w:tcPr>
          <w:p w14:paraId="25E1CC2A" w14:textId="77777777" w:rsidR="00C916E6" w:rsidRPr="00DB6B70" w:rsidRDefault="00C916E6" w:rsidP="00535C2F">
            <w:pPr>
              <w:spacing w:before="60" w:after="60"/>
              <w:jc w:val="center"/>
              <w:rPr>
                <w:rFonts w:cs="Segoe UI"/>
                <w:sz w:val="18"/>
                <w:szCs w:val="18"/>
              </w:rPr>
            </w:pPr>
            <w:r w:rsidRPr="008E2BDA">
              <w:rPr>
                <w:rFonts w:cs="Segoe UI"/>
                <w:sz w:val="18"/>
                <w:szCs w:val="18"/>
              </w:rPr>
              <w:t>4,959</w:t>
            </w:r>
          </w:p>
        </w:tc>
        <w:tc>
          <w:tcPr>
            <w:tcW w:w="776" w:type="pct"/>
          </w:tcPr>
          <w:p w14:paraId="62622200" w14:textId="77777777" w:rsidR="00C916E6" w:rsidRPr="00DB6B70" w:rsidRDefault="00C916E6" w:rsidP="00535C2F">
            <w:pPr>
              <w:spacing w:before="60" w:after="60"/>
              <w:jc w:val="center"/>
              <w:rPr>
                <w:rFonts w:cs="Segoe UI"/>
                <w:sz w:val="18"/>
                <w:szCs w:val="18"/>
              </w:rPr>
            </w:pPr>
            <w:r w:rsidRPr="008E2BDA">
              <w:rPr>
                <w:rFonts w:cs="Segoe UI"/>
                <w:sz w:val="18"/>
                <w:szCs w:val="18"/>
              </w:rPr>
              <w:t>2,594</w:t>
            </w:r>
          </w:p>
        </w:tc>
        <w:tc>
          <w:tcPr>
            <w:tcW w:w="774" w:type="pct"/>
          </w:tcPr>
          <w:p w14:paraId="69BF436C" w14:textId="77777777" w:rsidR="00C916E6" w:rsidRPr="00DB6B70" w:rsidRDefault="00C916E6" w:rsidP="00535C2F">
            <w:pPr>
              <w:spacing w:before="60" w:after="60"/>
              <w:jc w:val="center"/>
              <w:rPr>
                <w:rFonts w:cs="Segoe UI"/>
                <w:sz w:val="18"/>
                <w:szCs w:val="18"/>
              </w:rPr>
            </w:pPr>
            <w:r w:rsidRPr="008E2BDA">
              <w:rPr>
                <w:rFonts w:cs="Segoe UI"/>
                <w:sz w:val="18"/>
                <w:szCs w:val="18"/>
              </w:rPr>
              <w:t>1,709</w:t>
            </w:r>
          </w:p>
        </w:tc>
        <w:tc>
          <w:tcPr>
            <w:tcW w:w="1066" w:type="pct"/>
          </w:tcPr>
          <w:p w14:paraId="698A75E0" w14:textId="77777777" w:rsidR="00C916E6" w:rsidRPr="00DB6B70" w:rsidRDefault="00C916E6" w:rsidP="00535C2F">
            <w:pPr>
              <w:tabs>
                <w:tab w:val="decimal" w:pos="911"/>
              </w:tabs>
              <w:spacing w:before="60" w:after="60"/>
              <w:jc w:val="center"/>
              <w:rPr>
                <w:rFonts w:cs="Segoe UI"/>
                <w:sz w:val="18"/>
                <w:szCs w:val="18"/>
              </w:rPr>
            </w:pPr>
            <w:r w:rsidRPr="008E2BDA">
              <w:rPr>
                <w:rFonts w:cs="Segoe UI"/>
                <w:sz w:val="18"/>
                <w:szCs w:val="18"/>
              </w:rPr>
              <w:t>49</w:t>
            </w:r>
          </w:p>
        </w:tc>
        <w:tc>
          <w:tcPr>
            <w:tcW w:w="871" w:type="pct"/>
          </w:tcPr>
          <w:p w14:paraId="7FD904F0" w14:textId="77777777" w:rsidR="00C916E6" w:rsidRPr="00DB6B70" w:rsidRDefault="00C916E6" w:rsidP="00535C2F">
            <w:pPr>
              <w:tabs>
                <w:tab w:val="decimal" w:pos="706"/>
              </w:tabs>
              <w:spacing w:before="60" w:after="60"/>
              <w:jc w:val="center"/>
              <w:rPr>
                <w:rFonts w:cs="Segoe UI"/>
                <w:sz w:val="18"/>
                <w:szCs w:val="18"/>
              </w:rPr>
            </w:pPr>
            <w:r w:rsidRPr="008E2BDA">
              <w:rPr>
                <w:rFonts w:cs="Segoe UI"/>
                <w:sz w:val="18"/>
                <w:szCs w:val="18"/>
              </w:rPr>
              <w:t>603</w:t>
            </w:r>
          </w:p>
        </w:tc>
      </w:tr>
      <w:tr w:rsidR="00C916E6" w:rsidRPr="00DB6B70" w14:paraId="0CA4F44D" w14:textId="77777777" w:rsidTr="00535C2F">
        <w:trPr>
          <w:cantSplit/>
          <w:trHeight w:val="318"/>
        </w:trPr>
        <w:tc>
          <w:tcPr>
            <w:tcW w:w="640" w:type="pct"/>
          </w:tcPr>
          <w:p w14:paraId="54581EFA" w14:textId="77777777" w:rsidR="00C916E6" w:rsidRPr="00DB6B70" w:rsidRDefault="00C916E6" w:rsidP="00535C2F">
            <w:pPr>
              <w:spacing w:before="60" w:after="60"/>
              <w:rPr>
                <w:w w:val="105"/>
                <w:sz w:val="18"/>
                <w:szCs w:val="18"/>
              </w:rPr>
            </w:pPr>
            <w:r w:rsidRPr="00DB6B70">
              <w:rPr>
                <w:sz w:val="18"/>
                <w:szCs w:val="18"/>
              </w:rPr>
              <w:t>2018/19</w:t>
            </w:r>
          </w:p>
        </w:tc>
        <w:tc>
          <w:tcPr>
            <w:tcW w:w="873" w:type="pct"/>
          </w:tcPr>
          <w:p w14:paraId="53A93396" w14:textId="77777777" w:rsidR="00C916E6" w:rsidRPr="00DB6B70" w:rsidRDefault="00C916E6" w:rsidP="00535C2F">
            <w:pPr>
              <w:spacing w:before="60" w:after="60"/>
              <w:jc w:val="center"/>
              <w:rPr>
                <w:rFonts w:cs="Segoe UI"/>
                <w:sz w:val="18"/>
                <w:szCs w:val="18"/>
              </w:rPr>
            </w:pPr>
            <w:r w:rsidRPr="008E2BDA">
              <w:rPr>
                <w:rFonts w:cs="Segoe UI"/>
                <w:sz w:val="18"/>
                <w:szCs w:val="18"/>
              </w:rPr>
              <w:t>4,972</w:t>
            </w:r>
          </w:p>
        </w:tc>
        <w:tc>
          <w:tcPr>
            <w:tcW w:w="776" w:type="pct"/>
          </w:tcPr>
          <w:p w14:paraId="1D2CE85F" w14:textId="77777777" w:rsidR="00C916E6" w:rsidRPr="00DB6B70" w:rsidRDefault="00C916E6" w:rsidP="00535C2F">
            <w:pPr>
              <w:spacing w:before="60" w:after="60"/>
              <w:jc w:val="center"/>
              <w:rPr>
                <w:rFonts w:cs="Segoe UI"/>
                <w:sz w:val="18"/>
                <w:szCs w:val="18"/>
              </w:rPr>
            </w:pPr>
            <w:r w:rsidRPr="008E2BDA">
              <w:rPr>
                <w:rFonts w:cs="Segoe UI"/>
                <w:sz w:val="18"/>
                <w:szCs w:val="18"/>
              </w:rPr>
              <w:t>2,747</w:t>
            </w:r>
          </w:p>
        </w:tc>
        <w:tc>
          <w:tcPr>
            <w:tcW w:w="774" w:type="pct"/>
          </w:tcPr>
          <w:p w14:paraId="5EDB470C" w14:textId="77777777" w:rsidR="00C916E6" w:rsidRPr="00DB6B70" w:rsidRDefault="00C916E6" w:rsidP="00535C2F">
            <w:pPr>
              <w:spacing w:before="60" w:after="60"/>
              <w:jc w:val="center"/>
              <w:rPr>
                <w:rFonts w:cs="Segoe UI"/>
                <w:sz w:val="18"/>
                <w:szCs w:val="18"/>
              </w:rPr>
            </w:pPr>
            <w:r w:rsidRPr="008E2BDA">
              <w:rPr>
                <w:rFonts w:cs="Segoe UI"/>
                <w:sz w:val="18"/>
                <w:szCs w:val="18"/>
              </w:rPr>
              <w:t>1,814</w:t>
            </w:r>
          </w:p>
        </w:tc>
        <w:tc>
          <w:tcPr>
            <w:tcW w:w="1066" w:type="pct"/>
          </w:tcPr>
          <w:p w14:paraId="1D417C97" w14:textId="77777777" w:rsidR="00C916E6" w:rsidRPr="00DB6B70" w:rsidRDefault="00C916E6" w:rsidP="00535C2F">
            <w:pPr>
              <w:tabs>
                <w:tab w:val="decimal" w:pos="911"/>
              </w:tabs>
              <w:spacing w:before="60" w:after="60"/>
              <w:jc w:val="center"/>
              <w:rPr>
                <w:rFonts w:cs="Segoe UI"/>
                <w:sz w:val="18"/>
                <w:szCs w:val="18"/>
              </w:rPr>
            </w:pPr>
            <w:r w:rsidRPr="008E2BDA">
              <w:rPr>
                <w:rFonts w:cs="Segoe UI"/>
                <w:sz w:val="18"/>
                <w:szCs w:val="18"/>
              </w:rPr>
              <w:t>47</w:t>
            </w:r>
          </w:p>
        </w:tc>
        <w:tc>
          <w:tcPr>
            <w:tcW w:w="871" w:type="pct"/>
          </w:tcPr>
          <w:p w14:paraId="74556F8A" w14:textId="77777777" w:rsidR="00C916E6" w:rsidRPr="00DB6B70" w:rsidRDefault="00C916E6" w:rsidP="00535C2F">
            <w:pPr>
              <w:tabs>
                <w:tab w:val="decimal" w:pos="706"/>
              </w:tabs>
              <w:spacing w:before="60" w:after="60"/>
              <w:jc w:val="center"/>
              <w:rPr>
                <w:rFonts w:cs="Segoe UI"/>
                <w:sz w:val="18"/>
                <w:szCs w:val="18"/>
              </w:rPr>
            </w:pPr>
            <w:r w:rsidRPr="008E2BDA">
              <w:rPr>
                <w:rFonts w:cs="Segoe UI"/>
                <w:sz w:val="18"/>
                <w:szCs w:val="18"/>
              </w:rPr>
              <w:t>363</w:t>
            </w:r>
          </w:p>
        </w:tc>
      </w:tr>
      <w:tr w:rsidR="00C916E6" w:rsidRPr="00DB6B70" w14:paraId="36500AFF" w14:textId="77777777" w:rsidTr="00535C2F">
        <w:trPr>
          <w:cantSplit/>
          <w:trHeight w:val="318"/>
        </w:trPr>
        <w:tc>
          <w:tcPr>
            <w:tcW w:w="640" w:type="pct"/>
          </w:tcPr>
          <w:p w14:paraId="2F3CE87E" w14:textId="77777777" w:rsidR="00C916E6" w:rsidRPr="00DB6B70" w:rsidRDefault="00C916E6" w:rsidP="00535C2F">
            <w:pPr>
              <w:spacing w:before="60" w:after="60"/>
              <w:rPr>
                <w:w w:val="105"/>
                <w:sz w:val="18"/>
                <w:szCs w:val="18"/>
              </w:rPr>
            </w:pPr>
            <w:r w:rsidRPr="00DB6B70">
              <w:rPr>
                <w:sz w:val="18"/>
                <w:szCs w:val="18"/>
              </w:rPr>
              <w:t>2019/20</w:t>
            </w:r>
          </w:p>
        </w:tc>
        <w:tc>
          <w:tcPr>
            <w:tcW w:w="873" w:type="pct"/>
          </w:tcPr>
          <w:p w14:paraId="4EAFFE4B" w14:textId="77777777" w:rsidR="00C916E6" w:rsidRPr="00DB6B70" w:rsidRDefault="00C916E6" w:rsidP="00535C2F">
            <w:pPr>
              <w:spacing w:before="60" w:after="60"/>
              <w:jc w:val="center"/>
              <w:rPr>
                <w:rFonts w:cs="Segoe UI"/>
                <w:sz w:val="18"/>
                <w:szCs w:val="18"/>
              </w:rPr>
            </w:pPr>
            <w:r w:rsidRPr="008E2BDA">
              <w:rPr>
                <w:rFonts w:cs="Segoe UI"/>
                <w:sz w:val="18"/>
                <w:szCs w:val="18"/>
              </w:rPr>
              <w:t>5,021</w:t>
            </w:r>
          </w:p>
        </w:tc>
        <w:tc>
          <w:tcPr>
            <w:tcW w:w="776" w:type="pct"/>
          </w:tcPr>
          <w:p w14:paraId="50BB58E3" w14:textId="77777777" w:rsidR="00C916E6" w:rsidRPr="00DB6B70" w:rsidRDefault="00C916E6" w:rsidP="00535C2F">
            <w:pPr>
              <w:spacing w:before="60" w:after="60"/>
              <w:jc w:val="center"/>
              <w:rPr>
                <w:rFonts w:cs="Segoe UI"/>
                <w:sz w:val="18"/>
                <w:szCs w:val="18"/>
              </w:rPr>
            </w:pPr>
            <w:r w:rsidRPr="008E2BDA">
              <w:rPr>
                <w:rFonts w:cs="Segoe UI"/>
                <w:sz w:val="18"/>
                <w:szCs w:val="18"/>
              </w:rPr>
              <w:t>2,896</w:t>
            </w:r>
          </w:p>
        </w:tc>
        <w:tc>
          <w:tcPr>
            <w:tcW w:w="774" w:type="pct"/>
          </w:tcPr>
          <w:p w14:paraId="3E4DEDE8" w14:textId="77777777" w:rsidR="00C916E6" w:rsidRPr="00DB6B70" w:rsidRDefault="00C916E6" w:rsidP="00535C2F">
            <w:pPr>
              <w:spacing w:before="60" w:after="60"/>
              <w:jc w:val="center"/>
              <w:rPr>
                <w:rFonts w:cs="Segoe UI"/>
                <w:sz w:val="18"/>
                <w:szCs w:val="18"/>
              </w:rPr>
            </w:pPr>
            <w:r w:rsidRPr="008E2BDA">
              <w:rPr>
                <w:rFonts w:cs="Segoe UI"/>
                <w:sz w:val="18"/>
                <w:szCs w:val="18"/>
              </w:rPr>
              <w:t>1,744</w:t>
            </w:r>
          </w:p>
        </w:tc>
        <w:tc>
          <w:tcPr>
            <w:tcW w:w="1066" w:type="pct"/>
          </w:tcPr>
          <w:p w14:paraId="4EACB745" w14:textId="77777777" w:rsidR="00C916E6" w:rsidRPr="00DB6B70" w:rsidRDefault="00C916E6" w:rsidP="00535C2F">
            <w:pPr>
              <w:tabs>
                <w:tab w:val="decimal" w:pos="911"/>
              </w:tabs>
              <w:spacing w:before="60" w:after="60"/>
              <w:jc w:val="center"/>
              <w:rPr>
                <w:rFonts w:cs="Segoe UI"/>
                <w:sz w:val="18"/>
                <w:szCs w:val="18"/>
              </w:rPr>
            </w:pPr>
            <w:r w:rsidRPr="008E2BDA">
              <w:rPr>
                <w:rFonts w:cs="Segoe UI"/>
                <w:sz w:val="18"/>
                <w:szCs w:val="18"/>
              </w:rPr>
              <w:t>67</w:t>
            </w:r>
          </w:p>
        </w:tc>
        <w:tc>
          <w:tcPr>
            <w:tcW w:w="871" w:type="pct"/>
          </w:tcPr>
          <w:p w14:paraId="52FFB1AD" w14:textId="77777777" w:rsidR="00C916E6" w:rsidRPr="00DB6B70" w:rsidRDefault="00C916E6" w:rsidP="00535C2F">
            <w:pPr>
              <w:tabs>
                <w:tab w:val="decimal" w:pos="706"/>
              </w:tabs>
              <w:spacing w:before="60" w:after="60"/>
              <w:jc w:val="center"/>
              <w:rPr>
                <w:rFonts w:cs="Segoe UI"/>
                <w:sz w:val="18"/>
                <w:szCs w:val="18"/>
              </w:rPr>
            </w:pPr>
            <w:r w:rsidRPr="008E2BDA">
              <w:rPr>
                <w:rFonts w:cs="Segoe UI"/>
                <w:sz w:val="18"/>
                <w:szCs w:val="18"/>
              </w:rPr>
              <w:t>314</w:t>
            </w:r>
          </w:p>
        </w:tc>
      </w:tr>
      <w:tr w:rsidR="00C916E6" w:rsidRPr="00DB6B70" w14:paraId="77C40986" w14:textId="77777777" w:rsidTr="00535C2F">
        <w:trPr>
          <w:cantSplit/>
          <w:trHeight w:val="304"/>
        </w:trPr>
        <w:tc>
          <w:tcPr>
            <w:tcW w:w="640" w:type="pct"/>
          </w:tcPr>
          <w:p w14:paraId="37C2A79D" w14:textId="77777777" w:rsidR="00C916E6" w:rsidRPr="00DB6B70" w:rsidRDefault="00C916E6" w:rsidP="00535C2F">
            <w:pPr>
              <w:spacing w:before="60" w:after="60"/>
              <w:rPr>
                <w:w w:val="105"/>
                <w:sz w:val="18"/>
                <w:szCs w:val="18"/>
              </w:rPr>
            </w:pPr>
            <w:r w:rsidRPr="00DB6B70">
              <w:rPr>
                <w:sz w:val="18"/>
                <w:szCs w:val="18"/>
              </w:rPr>
              <w:t>2020/21</w:t>
            </w:r>
          </w:p>
        </w:tc>
        <w:tc>
          <w:tcPr>
            <w:tcW w:w="873" w:type="pct"/>
          </w:tcPr>
          <w:p w14:paraId="41A4F6BF" w14:textId="77777777" w:rsidR="00C916E6" w:rsidRPr="00DB6B70" w:rsidRDefault="00C916E6" w:rsidP="00535C2F">
            <w:pPr>
              <w:spacing w:before="60" w:after="60"/>
              <w:jc w:val="center"/>
              <w:rPr>
                <w:rFonts w:cs="Segoe UI"/>
                <w:sz w:val="18"/>
                <w:szCs w:val="18"/>
              </w:rPr>
            </w:pPr>
            <w:r w:rsidRPr="008E2BDA">
              <w:rPr>
                <w:rFonts w:cs="Segoe UI"/>
                <w:sz w:val="18"/>
                <w:szCs w:val="18"/>
              </w:rPr>
              <w:t>5,244</w:t>
            </w:r>
          </w:p>
        </w:tc>
        <w:tc>
          <w:tcPr>
            <w:tcW w:w="776" w:type="pct"/>
          </w:tcPr>
          <w:p w14:paraId="709AC684" w14:textId="77777777" w:rsidR="00C916E6" w:rsidRPr="00DB6B70" w:rsidRDefault="00C916E6" w:rsidP="00535C2F">
            <w:pPr>
              <w:spacing w:before="60" w:after="60"/>
              <w:jc w:val="center"/>
              <w:rPr>
                <w:rFonts w:cs="Segoe UI"/>
                <w:sz w:val="18"/>
                <w:szCs w:val="18"/>
              </w:rPr>
            </w:pPr>
            <w:r w:rsidRPr="008E2BDA">
              <w:rPr>
                <w:rFonts w:cs="Segoe UI"/>
                <w:sz w:val="18"/>
                <w:szCs w:val="18"/>
              </w:rPr>
              <w:t>3,031</w:t>
            </w:r>
          </w:p>
        </w:tc>
        <w:tc>
          <w:tcPr>
            <w:tcW w:w="774" w:type="pct"/>
          </w:tcPr>
          <w:p w14:paraId="7CBE9A94" w14:textId="77777777" w:rsidR="00C916E6" w:rsidRPr="00DB6B70" w:rsidRDefault="00C916E6" w:rsidP="00535C2F">
            <w:pPr>
              <w:spacing w:before="60" w:after="60"/>
              <w:jc w:val="center"/>
              <w:rPr>
                <w:rFonts w:cs="Segoe UI"/>
                <w:sz w:val="18"/>
                <w:szCs w:val="18"/>
              </w:rPr>
            </w:pPr>
            <w:r w:rsidRPr="008E2BDA">
              <w:rPr>
                <w:rFonts w:cs="Segoe UI"/>
                <w:sz w:val="18"/>
                <w:szCs w:val="18"/>
              </w:rPr>
              <w:t>1,939</w:t>
            </w:r>
          </w:p>
        </w:tc>
        <w:tc>
          <w:tcPr>
            <w:tcW w:w="1066" w:type="pct"/>
          </w:tcPr>
          <w:p w14:paraId="373D1DDF" w14:textId="77777777" w:rsidR="00C916E6" w:rsidRPr="00DB6B70" w:rsidRDefault="00C916E6" w:rsidP="00535C2F">
            <w:pPr>
              <w:tabs>
                <w:tab w:val="decimal" w:pos="911"/>
              </w:tabs>
              <w:spacing w:before="60" w:after="60"/>
              <w:jc w:val="center"/>
              <w:rPr>
                <w:rFonts w:cs="Segoe UI"/>
                <w:sz w:val="18"/>
                <w:szCs w:val="18"/>
              </w:rPr>
            </w:pPr>
            <w:r w:rsidRPr="008E2BDA">
              <w:rPr>
                <w:rFonts w:cs="Segoe UI"/>
                <w:sz w:val="18"/>
                <w:szCs w:val="18"/>
              </w:rPr>
              <w:t>48</w:t>
            </w:r>
          </w:p>
        </w:tc>
        <w:tc>
          <w:tcPr>
            <w:tcW w:w="871" w:type="pct"/>
          </w:tcPr>
          <w:p w14:paraId="3EAFC276" w14:textId="77777777" w:rsidR="00C916E6" w:rsidRPr="00DB6B70" w:rsidRDefault="00C916E6" w:rsidP="00535C2F">
            <w:pPr>
              <w:tabs>
                <w:tab w:val="decimal" w:pos="706"/>
              </w:tabs>
              <w:spacing w:before="60" w:after="60"/>
              <w:jc w:val="center"/>
              <w:rPr>
                <w:rFonts w:cs="Segoe UI"/>
                <w:sz w:val="18"/>
                <w:szCs w:val="18"/>
              </w:rPr>
            </w:pPr>
            <w:r w:rsidRPr="008E2BDA">
              <w:rPr>
                <w:rFonts w:cs="Segoe UI"/>
                <w:sz w:val="18"/>
                <w:szCs w:val="18"/>
              </w:rPr>
              <w:t>223</w:t>
            </w:r>
          </w:p>
        </w:tc>
      </w:tr>
      <w:tr w:rsidR="00C916E6" w:rsidRPr="00DB6B70" w14:paraId="7852FC29" w14:textId="77777777" w:rsidTr="00535C2F">
        <w:trPr>
          <w:cantSplit/>
          <w:trHeight w:val="318"/>
        </w:trPr>
        <w:tc>
          <w:tcPr>
            <w:tcW w:w="640" w:type="pct"/>
          </w:tcPr>
          <w:p w14:paraId="36AE3FA8" w14:textId="77777777" w:rsidR="00C916E6" w:rsidRPr="00DB6B70" w:rsidRDefault="00C916E6" w:rsidP="00535C2F">
            <w:pPr>
              <w:spacing w:before="60" w:after="60"/>
              <w:rPr>
                <w:w w:val="105"/>
                <w:sz w:val="18"/>
                <w:szCs w:val="18"/>
              </w:rPr>
            </w:pPr>
            <w:r w:rsidRPr="00DB6B70">
              <w:rPr>
                <w:sz w:val="18"/>
                <w:szCs w:val="18"/>
              </w:rPr>
              <w:t>2021/22</w:t>
            </w:r>
          </w:p>
        </w:tc>
        <w:tc>
          <w:tcPr>
            <w:tcW w:w="873" w:type="pct"/>
          </w:tcPr>
          <w:p w14:paraId="55CCF21D" w14:textId="77777777" w:rsidR="00C916E6" w:rsidRPr="00DB6B70" w:rsidRDefault="00C916E6" w:rsidP="00535C2F">
            <w:pPr>
              <w:spacing w:before="60" w:after="60"/>
              <w:jc w:val="center"/>
              <w:rPr>
                <w:rFonts w:cs="Segoe UI"/>
                <w:sz w:val="18"/>
                <w:szCs w:val="18"/>
              </w:rPr>
            </w:pPr>
            <w:r w:rsidRPr="008E2BDA">
              <w:rPr>
                <w:rFonts w:cs="Segoe UI"/>
                <w:sz w:val="18"/>
                <w:szCs w:val="18"/>
              </w:rPr>
              <w:t>5,376</w:t>
            </w:r>
          </w:p>
        </w:tc>
        <w:tc>
          <w:tcPr>
            <w:tcW w:w="776" w:type="pct"/>
          </w:tcPr>
          <w:p w14:paraId="32711375" w14:textId="77777777" w:rsidR="00C916E6" w:rsidRPr="00DB6B70" w:rsidRDefault="00C916E6" w:rsidP="00535C2F">
            <w:pPr>
              <w:spacing w:before="60" w:after="60"/>
              <w:jc w:val="center"/>
              <w:rPr>
                <w:rFonts w:cs="Segoe UI"/>
                <w:sz w:val="18"/>
                <w:szCs w:val="18"/>
              </w:rPr>
            </w:pPr>
            <w:r w:rsidRPr="008E2BDA">
              <w:rPr>
                <w:rFonts w:cs="Segoe UI"/>
                <w:sz w:val="18"/>
                <w:szCs w:val="18"/>
              </w:rPr>
              <w:t>3,030</w:t>
            </w:r>
          </w:p>
        </w:tc>
        <w:tc>
          <w:tcPr>
            <w:tcW w:w="774" w:type="pct"/>
          </w:tcPr>
          <w:p w14:paraId="37044FF0" w14:textId="77777777" w:rsidR="00C916E6" w:rsidRPr="00DB6B70" w:rsidRDefault="00C916E6" w:rsidP="00535C2F">
            <w:pPr>
              <w:spacing w:before="60" w:after="60"/>
              <w:jc w:val="center"/>
              <w:rPr>
                <w:rFonts w:cs="Segoe UI"/>
                <w:sz w:val="18"/>
                <w:szCs w:val="18"/>
              </w:rPr>
            </w:pPr>
            <w:r w:rsidRPr="008E2BDA">
              <w:rPr>
                <w:rFonts w:cs="Segoe UI"/>
                <w:sz w:val="18"/>
                <w:szCs w:val="18"/>
              </w:rPr>
              <w:t>1,934</w:t>
            </w:r>
          </w:p>
        </w:tc>
        <w:tc>
          <w:tcPr>
            <w:tcW w:w="1066" w:type="pct"/>
          </w:tcPr>
          <w:p w14:paraId="3B7B7B43" w14:textId="77777777" w:rsidR="00C916E6" w:rsidRPr="00DB6B70" w:rsidRDefault="00C916E6" w:rsidP="00535C2F">
            <w:pPr>
              <w:tabs>
                <w:tab w:val="decimal" w:pos="911"/>
              </w:tabs>
              <w:spacing w:before="60" w:after="60"/>
              <w:jc w:val="center"/>
              <w:rPr>
                <w:rFonts w:cs="Segoe UI"/>
                <w:sz w:val="18"/>
                <w:szCs w:val="18"/>
              </w:rPr>
            </w:pPr>
            <w:r w:rsidRPr="008E2BDA">
              <w:rPr>
                <w:rFonts w:cs="Segoe UI"/>
                <w:sz w:val="18"/>
                <w:szCs w:val="18"/>
              </w:rPr>
              <w:t>87</w:t>
            </w:r>
          </w:p>
        </w:tc>
        <w:tc>
          <w:tcPr>
            <w:tcW w:w="871" w:type="pct"/>
          </w:tcPr>
          <w:p w14:paraId="0B348159" w14:textId="77777777" w:rsidR="00C916E6" w:rsidRPr="00DB6B70" w:rsidRDefault="00C916E6" w:rsidP="00535C2F">
            <w:pPr>
              <w:tabs>
                <w:tab w:val="decimal" w:pos="706"/>
              </w:tabs>
              <w:spacing w:before="60" w:after="60"/>
              <w:jc w:val="center"/>
              <w:rPr>
                <w:rFonts w:cs="Segoe UI"/>
                <w:sz w:val="18"/>
                <w:szCs w:val="18"/>
              </w:rPr>
            </w:pPr>
            <w:r w:rsidRPr="008E2BDA">
              <w:rPr>
                <w:rFonts w:cs="Segoe UI"/>
                <w:sz w:val="18"/>
                <w:szCs w:val="18"/>
              </w:rPr>
              <w:t>323</w:t>
            </w:r>
          </w:p>
        </w:tc>
      </w:tr>
      <w:tr w:rsidR="00C916E6" w:rsidRPr="00DB6B70" w14:paraId="3550C361" w14:textId="77777777" w:rsidTr="00535C2F">
        <w:trPr>
          <w:cantSplit/>
          <w:trHeight w:val="304"/>
        </w:trPr>
        <w:tc>
          <w:tcPr>
            <w:tcW w:w="640" w:type="pct"/>
          </w:tcPr>
          <w:p w14:paraId="22A0A004" w14:textId="77777777" w:rsidR="00C916E6" w:rsidRPr="00DB6B70" w:rsidRDefault="00C916E6" w:rsidP="00535C2F">
            <w:pPr>
              <w:spacing w:before="60" w:after="60"/>
              <w:rPr>
                <w:w w:val="105"/>
                <w:sz w:val="18"/>
                <w:szCs w:val="18"/>
              </w:rPr>
            </w:pPr>
            <w:r>
              <w:rPr>
                <w:w w:val="105"/>
                <w:sz w:val="18"/>
                <w:szCs w:val="18"/>
              </w:rPr>
              <w:t>2022/23</w:t>
            </w:r>
          </w:p>
        </w:tc>
        <w:tc>
          <w:tcPr>
            <w:tcW w:w="873" w:type="pct"/>
          </w:tcPr>
          <w:p w14:paraId="07277B52" w14:textId="77777777" w:rsidR="00C916E6" w:rsidRPr="00DB6B70" w:rsidRDefault="00C916E6" w:rsidP="00535C2F">
            <w:pPr>
              <w:spacing w:before="60" w:after="60"/>
              <w:jc w:val="center"/>
              <w:rPr>
                <w:rFonts w:cs="Segoe UI"/>
                <w:sz w:val="18"/>
                <w:szCs w:val="18"/>
              </w:rPr>
            </w:pPr>
            <w:r w:rsidRPr="008E2BDA">
              <w:rPr>
                <w:rFonts w:cs="Segoe UI"/>
                <w:sz w:val="18"/>
                <w:szCs w:val="18"/>
              </w:rPr>
              <w:t>5,605</w:t>
            </w:r>
          </w:p>
        </w:tc>
        <w:tc>
          <w:tcPr>
            <w:tcW w:w="776" w:type="pct"/>
          </w:tcPr>
          <w:p w14:paraId="10B29F4E" w14:textId="77777777" w:rsidR="00C916E6" w:rsidRPr="00DB6B70" w:rsidRDefault="00C916E6" w:rsidP="00535C2F">
            <w:pPr>
              <w:spacing w:before="60" w:after="60"/>
              <w:jc w:val="center"/>
              <w:rPr>
                <w:rFonts w:cs="Segoe UI"/>
                <w:sz w:val="18"/>
                <w:szCs w:val="18"/>
              </w:rPr>
            </w:pPr>
            <w:r w:rsidRPr="008E2BDA">
              <w:rPr>
                <w:rFonts w:cs="Segoe UI"/>
                <w:sz w:val="18"/>
                <w:szCs w:val="18"/>
              </w:rPr>
              <w:t>3,061</w:t>
            </w:r>
          </w:p>
        </w:tc>
        <w:tc>
          <w:tcPr>
            <w:tcW w:w="774" w:type="pct"/>
          </w:tcPr>
          <w:p w14:paraId="2F9634C0" w14:textId="77777777" w:rsidR="00C916E6" w:rsidRPr="00DB6B70" w:rsidRDefault="00C916E6" w:rsidP="00535C2F">
            <w:pPr>
              <w:spacing w:before="60" w:after="60"/>
              <w:jc w:val="center"/>
              <w:rPr>
                <w:rFonts w:cs="Segoe UI"/>
                <w:sz w:val="18"/>
                <w:szCs w:val="18"/>
              </w:rPr>
            </w:pPr>
            <w:r w:rsidRPr="008E2BDA">
              <w:rPr>
                <w:rFonts w:cs="Segoe UI"/>
                <w:sz w:val="18"/>
                <w:szCs w:val="18"/>
              </w:rPr>
              <w:t>1,905</w:t>
            </w:r>
          </w:p>
        </w:tc>
        <w:tc>
          <w:tcPr>
            <w:tcW w:w="1066" w:type="pct"/>
          </w:tcPr>
          <w:p w14:paraId="3072732E" w14:textId="77777777" w:rsidR="00C916E6" w:rsidRPr="00DB6B70" w:rsidRDefault="00C916E6" w:rsidP="00535C2F">
            <w:pPr>
              <w:tabs>
                <w:tab w:val="decimal" w:pos="911"/>
              </w:tabs>
              <w:spacing w:before="60" w:after="60"/>
              <w:jc w:val="center"/>
              <w:rPr>
                <w:rFonts w:cs="Segoe UI"/>
                <w:sz w:val="18"/>
                <w:szCs w:val="18"/>
              </w:rPr>
            </w:pPr>
            <w:r w:rsidRPr="008E2BDA">
              <w:rPr>
                <w:rFonts w:cs="Segoe UI"/>
                <w:sz w:val="18"/>
                <w:szCs w:val="18"/>
              </w:rPr>
              <w:t>49</w:t>
            </w:r>
          </w:p>
        </w:tc>
        <w:tc>
          <w:tcPr>
            <w:tcW w:w="871" w:type="pct"/>
          </w:tcPr>
          <w:p w14:paraId="31B985DA" w14:textId="77777777" w:rsidR="00C916E6" w:rsidRPr="00DB6B70" w:rsidRDefault="00C916E6" w:rsidP="00535C2F">
            <w:pPr>
              <w:tabs>
                <w:tab w:val="decimal" w:pos="706"/>
              </w:tabs>
              <w:spacing w:before="60" w:after="60"/>
              <w:jc w:val="center"/>
              <w:rPr>
                <w:rFonts w:cs="Segoe UI"/>
                <w:sz w:val="18"/>
                <w:szCs w:val="18"/>
              </w:rPr>
            </w:pPr>
            <w:r w:rsidRPr="008E2BDA">
              <w:rPr>
                <w:rFonts w:cs="Segoe UI"/>
                <w:sz w:val="18"/>
                <w:szCs w:val="18"/>
              </w:rPr>
              <w:t>588</w:t>
            </w:r>
          </w:p>
        </w:tc>
      </w:tr>
    </w:tbl>
    <w:p w14:paraId="76642924" w14:textId="77777777" w:rsidR="00C916E6" w:rsidRPr="00DB6B70" w:rsidRDefault="00C916E6" w:rsidP="00C916E6">
      <w:pPr>
        <w:spacing w:before="80"/>
        <w:rPr>
          <w:sz w:val="17"/>
        </w:rPr>
      </w:pPr>
      <w:r w:rsidRPr="00DB6B70">
        <w:rPr>
          <w:sz w:val="17"/>
        </w:rPr>
        <w:t xml:space="preserve">Notes: The table presents applications that had been processed at the time of data extraction on </w:t>
      </w:r>
      <w:r>
        <w:rPr>
          <w:sz w:val="17"/>
        </w:rPr>
        <w:t>6 March 2024.</w:t>
      </w:r>
      <w:r w:rsidRPr="00DB6B70">
        <w:rPr>
          <w:sz w:val="17"/>
        </w:rPr>
        <w:t xml:space="preserve"> The year is determined by the date the application was granted. When more than </w:t>
      </w:r>
      <w:r w:rsidRPr="5C672E6D">
        <w:rPr>
          <w:sz w:val="17"/>
          <w:szCs w:val="17"/>
        </w:rPr>
        <w:t>one</w:t>
      </w:r>
      <w:r w:rsidRPr="00DB6B70">
        <w:rPr>
          <w:sz w:val="17"/>
        </w:rPr>
        <w:t xml:space="preserve"> type of order is shown, it is likely to be because new orders are linked to a previous application in the CMS. The CMS is a live operational database, which means figures are subject to minor changes at any time.</w:t>
      </w:r>
    </w:p>
    <w:p w14:paraId="7B8B4029" w14:textId="77777777" w:rsidR="00C916E6" w:rsidRDefault="00C916E6" w:rsidP="00C916E6">
      <w:pPr>
        <w:spacing w:before="80"/>
        <w:rPr>
          <w:sz w:val="17"/>
        </w:rPr>
      </w:pPr>
      <w:r w:rsidRPr="00DB6B70">
        <w:rPr>
          <w:sz w:val="17"/>
        </w:rPr>
        <w:t xml:space="preserve">Source: Ministry of Justice Integrated Sector Intelligence System, which uses data entered into the CMS (extracted </w:t>
      </w:r>
      <w:bookmarkStart w:id="947" w:name="_Hlk63161974"/>
      <w:r>
        <w:rPr>
          <w:sz w:val="17"/>
        </w:rPr>
        <w:t>6 March 2024</w:t>
      </w:r>
      <w:r w:rsidRPr="00DB6B70">
        <w:rPr>
          <w:sz w:val="17"/>
        </w:rPr>
        <w:t>).</w:t>
      </w:r>
      <w:bookmarkEnd w:id="947"/>
    </w:p>
    <w:p w14:paraId="7259FECA" w14:textId="28296F4A" w:rsidR="00B36513" w:rsidRPr="00B36513" w:rsidRDefault="00C916E6" w:rsidP="00C916E6">
      <w:r>
        <w:rPr>
          <w:sz w:val="17"/>
        </w:rPr>
        <w:br w:type="page"/>
      </w:r>
    </w:p>
    <w:p w14:paraId="10F33295" w14:textId="77777777" w:rsidR="00C916E6" w:rsidRPr="00C916E6" w:rsidRDefault="00C916E6" w:rsidP="00C916E6">
      <w:pPr>
        <w:pStyle w:val="Heading1"/>
      </w:pPr>
      <w:bookmarkStart w:id="948" w:name="_Ref184980503"/>
      <w:bookmarkStart w:id="949" w:name="_Toc189053940"/>
      <w:bookmarkStart w:id="950" w:name="_Toc189647925"/>
      <w:r w:rsidRPr="00C916E6">
        <w:t>Appendix 3: Additional seclusion statistics</w:t>
      </w:r>
      <w:bookmarkEnd w:id="948"/>
      <w:bookmarkEnd w:id="949"/>
      <w:bookmarkEnd w:id="950"/>
    </w:p>
    <w:p w14:paraId="5CE836D9" w14:textId="77777777" w:rsidR="00C916E6" w:rsidRDefault="00C916E6" w:rsidP="00C916E6">
      <w:r>
        <w:t>In 2022/23, the volume of seclusion hours reported for seven people was so high that they were considered to be outliers compared with the average volume of hours across all people who were secluded.</w:t>
      </w:r>
    </w:p>
    <w:p w14:paraId="538D0FED" w14:textId="77777777" w:rsidR="00C916E6" w:rsidRDefault="00C916E6" w:rsidP="00C916E6"/>
    <w:p w14:paraId="65A8E2EB" w14:textId="77777777" w:rsidR="00C916E6" w:rsidRDefault="00C916E6" w:rsidP="00C916E6">
      <w:r>
        <w:t>The outliers consist of people receiving care in adult inpatient services (one person), forensic services (one person) and intellectual disability services (five people).</w:t>
      </w:r>
    </w:p>
    <w:p w14:paraId="1B1639D3" w14:textId="77777777" w:rsidR="00C916E6" w:rsidRDefault="00C916E6" w:rsidP="00C916E6"/>
    <w:p w14:paraId="3EB50F12" w14:textId="0C96ED87" w:rsidR="00C916E6" w:rsidRDefault="00C916E6" w:rsidP="00C916E6">
      <w:r>
        <w:t xml:space="preserve">The outlier data has been excluded from the statistics presented in the main body of the report to avoid skewing the overall data and creating a different picture of mental health services. To highlight how much the outliers would affect the overall results, we present some of the data that includes the outlier data in </w:t>
      </w:r>
      <w:r w:rsidRPr="00D74ABA">
        <w:rPr>
          <w:szCs w:val="21"/>
        </w:rPr>
        <w:fldChar w:fldCharType="begin"/>
      </w:r>
      <w:r w:rsidRPr="00D74ABA">
        <w:rPr>
          <w:szCs w:val="21"/>
        </w:rPr>
        <w:instrText xml:space="preserve"> REF _Ref184981642 \h  \* MERGEFORMAT </w:instrText>
      </w:r>
      <w:r w:rsidRPr="00D74ABA">
        <w:rPr>
          <w:szCs w:val="21"/>
        </w:rPr>
      </w:r>
      <w:r w:rsidRPr="00D74ABA">
        <w:rPr>
          <w:szCs w:val="21"/>
        </w:rPr>
        <w:fldChar w:fldCharType="separate"/>
      </w:r>
      <w:r w:rsidR="00753BC8" w:rsidRPr="00753BC8">
        <w:rPr>
          <w:szCs w:val="21"/>
        </w:rPr>
        <w:t>Table</w:t>
      </w:r>
      <w:r w:rsidR="00753BC8" w:rsidRPr="00753BC8">
        <w:rPr>
          <w:sz w:val="20"/>
        </w:rPr>
        <w:t xml:space="preserve"> A3</w:t>
      </w:r>
      <w:r w:rsidRPr="00D74ABA">
        <w:fldChar w:fldCharType="end"/>
      </w:r>
      <w:r>
        <w:t>.</w:t>
      </w:r>
    </w:p>
    <w:p w14:paraId="431000F4" w14:textId="77777777" w:rsidR="00C916E6" w:rsidRDefault="00C916E6" w:rsidP="00C916E6"/>
    <w:p w14:paraId="58015B31" w14:textId="77777777" w:rsidR="00C916E6" w:rsidRDefault="00C916E6" w:rsidP="00C916E6">
      <w:r>
        <w:t>Note that one person that was considered to be an outlier for their inpatient seclusion hours also experienced a small number of hours in seclusion in forensic services. Data for their forensic seclusion was included in the main body of the report, which is why the total number of people secluded across all services increases by six, not seven, to total 948 people when including outliers.</w:t>
      </w:r>
    </w:p>
    <w:p w14:paraId="47145CBD" w14:textId="77777777" w:rsidR="00C916E6" w:rsidRDefault="00C916E6" w:rsidP="00C916E6">
      <w:pPr>
        <w:spacing w:after="160" w:line="259" w:lineRule="auto"/>
      </w:pPr>
      <w:r>
        <w:br w:type="page"/>
      </w:r>
    </w:p>
    <w:p w14:paraId="733694C0" w14:textId="38217953" w:rsidR="00C916E6" w:rsidRPr="001A254F" w:rsidRDefault="00C916E6" w:rsidP="00C916E6">
      <w:pPr>
        <w:pStyle w:val="Table"/>
      </w:pPr>
      <w:bookmarkStart w:id="951" w:name="_Ref184981642"/>
      <w:bookmarkStart w:id="952" w:name="_Ref184981638"/>
      <w:bookmarkStart w:id="953" w:name="_Toc188699117"/>
      <w:bookmarkStart w:id="954" w:name="_Toc189647998"/>
      <w:r w:rsidRPr="001A254F">
        <w:t>Table A</w:t>
      </w:r>
      <w:r w:rsidR="00753BC8">
        <w:fldChar w:fldCharType="begin"/>
      </w:r>
      <w:r w:rsidR="00753BC8">
        <w:instrText xml:space="preserve"> SEQ Table_A \* ARABIC </w:instrText>
      </w:r>
      <w:r w:rsidR="00753BC8">
        <w:fldChar w:fldCharType="separate"/>
      </w:r>
      <w:r w:rsidR="00753BC8">
        <w:rPr>
          <w:noProof/>
        </w:rPr>
        <w:t>3</w:t>
      </w:r>
      <w:r w:rsidR="00753BC8">
        <w:rPr>
          <w:noProof/>
        </w:rPr>
        <w:fldChar w:fldCharType="end"/>
      </w:r>
      <w:bookmarkEnd w:id="951"/>
      <w:r w:rsidRPr="001A254F">
        <w:t>: Seclusion indicators including outlier data, 1 July 2022 to 30 June 2023</w:t>
      </w:r>
      <w:bookmarkEnd w:id="952"/>
      <w:bookmarkEnd w:id="953"/>
      <w:bookmarkEnd w:id="954"/>
    </w:p>
    <w:tbl>
      <w:tblPr>
        <w:tblW w:w="8080" w:type="dxa"/>
        <w:tblLook w:val="04A0" w:firstRow="1" w:lastRow="0" w:firstColumn="1" w:lastColumn="0" w:noHBand="0" w:noVBand="1"/>
      </w:tblPr>
      <w:tblGrid>
        <w:gridCol w:w="4536"/>
        <w:gridCol w:w="1842"/>
        <w:gridCol w:w="1702"/>
      </w:tblGrid>
      <w:tr w:rsidR="00C916E6" w:rsidRPr="009C66A8" w14:paraId="2BD83EC0" w14:textId="77777777" w:rsidTr="000420E5">
        <w:trPr>
          <w:trHeight w:val="255"/>
        </w:trPr>
        <w:tc>
          <w:tcPr>
            <w:tcW w:w="4536" w:type="dxa"/>
            <w:tcBorders>
              <w:left w:val="nil"/>
            </w:tcBorders>
            <w:shd w:val="clear" w:color="auto" w:fill="D9D9D9"/>
            <w:vAlign w:val="bottom"/>
            <w:hideMark/>
          </w:tcPr>
          <w:p w14:paraId="0FF57EA4" w14:textId="77777777" w:rsidR="00C916E6" w:rsidRPr="00AF3320" w:rsidRDefault="00C916E6" w:rsidP="00C916E6">
            <w:pPr>
              <w:spacing w:before="60" w:after="60"/>
              <w:rPr>
                <w:b/>
                <w:bCs/>
                <w:sz w:val="18"/>
                <w:szCs w:val="18"/>
              </w:rPr>
            </w:pPr>
            <w:r w:rsidRPr="00AF3320">
              <w:rPr>
                <w:b/>
                <w:bCs/>
                <w:sz w:val="18"/>
                <w:szCs w:val="18"/>
              </w:rPr>
              <w:t> </w:t>
            </w:r>
            <w:r>
              <w:rPr>
                <w:b/>
                <w:bCs/>
                <w:sz w:val="18"/>
                <w:szCs w:val="18"/>
              </w:rPr>
              <w:t>Seclusion measure</w:t>
            </w:r>
          </w:p>
        </w:tc>
        <w:tc>
          <w:tcPr>
            <w:tcW w:w="1842" w:type="dxa"/>
            <w:shd w:val="clear" w:color="auto" w:fill="D9D9D9"/>
            <w:vAlign w:val="bottom"/>
            <w:hideMark/>
          </w:tcPr>
          <w:p w14:paraId="58081AD7" w14:textId="77777777" w:rsidR="00C916E6" w:rsidRPr="00AF3320" w:rsidRDefault="00C916E6" w:rsidP="00C916E6">
            <w:pPr>
              <w:spacing w:before="60" w:after="60"/>
              <w:jc w:val="center"/>
              <w:rPr>
                <w:b/>
                <w:bCs/>
                <w:sz w:val="18"/>
                <w:szCs w:val="18"/>
              </w:rPr>
            </w:pPr>
            <w:r>
              <w:rPr>
                <w:b/>
                <w:bCs/>
                <w:sz w:val="18"/>
                <w:szCs w:val="18"/>
              </w:rPr>
              <w:t>Excluding outliers</w:t>
            </w:r>
          </w:p>
        </w:tc>
        <w:tc>
          <w:tcPr>
            <w:tcW w:w="1702" w:type="dxa"/>
            <w:shd w:val="clear" w:color="000000" w:fill="D9D9D9"/>
            <w:vAlign w:val="bottom"/>
            <w:hideMark/>
          </w:tcPr>
          <w:p w14:paraId="49FA8BF6" w14:textId="77777777" w:rsidR="00C916E6" w:rsidRPr="00AF3320" w:rsidRDefault="00C916E6" w:rsidP="00C916E6">
            <w:pPr>
              <w:spacing w:before="60" w:after="60"/>
              <w:jc w:val="center"/>
              <w:rPr>
                <w:b/>
                <w:bCs/>
                <w:sz w:val="18"/>
                <w:szCs w:val="18"/>
              </w:rPr>
            </w:pPr>
            <w:r>
              <w:rPr>
                <w:b/>
                <w:bCs/>
                <w:sz w:val="18"/>
                <w:szCs w:val="18"/>
              </w:rPr>
              <w:t>Including outliers</w:t>
            </w:r>
          </w:p>
        </w:tc>
      </w:tr>
      <w:tr w:rsidR="00C916E6" w:rsidRPr="009C66A8" w14:paraId="78826505" w14:textId="77777777" w:rsidTr="000420E5">
        <w:trPr>
          <w:trHeight w:val="306"/>
        </w:trPr>
        <w:tc>
          <w:tcPr>
            <w:tcW w:w="8080" w:type="dxa"/>
            <w:gridSpan w:val="3"/>
            <w:tcBorders>
              <w:bottom w:val="single" w:sz="4" w:space="0" w:color="A6A6A6"/>
            </w:tcBorders>
            <w:shd w:val="clear" w:color="000000" w:fill="FFFFFF"/>
            <w:vAlign w:val="center"/>
          </w:tcPr>
          <w:p w14:paraId="21EC122F" w14:textId="77777777" w:rsidR="00C916E6" w:rsidRPr="00AA3DDA" w:rsidRDefault="00C916E6" w:rsidP="00C916E6">
            <w:pPr>
              <w:spacing w:before="60" w:after="60"/>
              <w:rPr>
                <w:rFonts w:cs="Segoe UI"/>
                <w:b/>
                <w:bCs/>
                <w:color w:val="000000"/>
                <w:sz w:val="18"/>
                <w:szCs w:val="18"/>
                <w:lang w:eastAsia="en-NZ"/>
              </w:rPr>
            </w:pPr>
            <w:r>
              <w:rPr>
                <w:rFonts w:cs="Segoe UI"/>
                <w:b/>
                <w:bCs/>
                <w:color w:val="000000"/>
                <w:sz w:val="18"/>
                <w:szCs w:val="18"/>
                <w:lang w:eastAsia="en-NZ"/>
              </w:rPr>
              <w:t>Overall mental health inpatient services (adult, forensic, intellectual disability and youth)</w:t>
            </w:r>
          </w:p>
        </w:tc>
      </w:tr>
      <w:tr w:rsidR="00C916E6" w:rsidRPr="009C66A8" w14:paraId="314EC8D0" w14:textId="77777777" w:rsidTr="000420E5">
        <w:trPr>
          <w:trHeight w:val="306"/>
        </w:trPr>
        <w:tc>
          <w:tcPr>
            <w:tcW w:w="4536" w:type="dxa"/>
            <w:tcBorders>
              <w:top w:val="single" w:sz="4" w:space="0" w:color="A6A6A6"/>
              <w:bottom w:val="single" w:sz="4" w:space="0" w:color="A6A6A6"/>
            </w:tcBorders>
            <w:shd w:val="clear" w:color="000000" w:fill="FFFFFF"/>
            <w:vAlign w:val="center"/>
          </w:tcPr>
          <w:p w14:paraId="3D6A69C0" w14:textId="77777777" w:rsidR="00C916E6" w:rsidRPr="00AF3320" w:rsidRDefault="00C916E6" w:rsidP="00C916E6">
            <w:pPr>
              <w:spacing w:before="60" w:after="60"/>
              <w:rPr>
                <w:rFonts w:cs="Segoe UI"/>
                <w:color w:val="000000"/>
                <w:sz w:val="18"/>
                <w:szCs w:val="18"/>
                <w:lang w:eastAsia="en-NZ"/>
              </w:rPr>
            </w:pPr>
            <w:r>
              <w:rPr>
                <w:rFonts w:cs="Segoe UI"/>
                <w:color w:val="000000"/>
                <w:sz w:val="18"/>
                <w:szCs w:val="18"/>
                <w:lang w:eastAsia="en-NZ"/>
              </w:rPr>
              <w:t>Number of people secluded in all services</w:t>
            </w:r>
          </w:p>
        </w:tc>
        <w:tc>
          <w:tcPr>
            <w:tcW w:w="1842" w:type="dxa"/>
            <w:tcBorders>
              <w:top w:val="single" w:sz="4" w:space="0" w:color="A6A6A6"/>
              <w:bottom w:val="single" w:sz="4" w:space="0" w:color="A6A6A6"/>
            </w:tcBorders>
            <w:shd w:val="clear" w:color="000000" w:fill="FFFFFF"/>
            <w:vAlign w:val="center"/>
          </w:tcPr>
          <w:p w14:paraId="3667CB2F" w14:textId="77777777" w:rsidR="00C916E6" w:rsidRPr="00AF3320" w:rsidRDefault="00C916E6" w:rsidP="00C916E6">
            <w:pPr>
              <w:spacing w:before="60" w:after="60"/>
              <w:jc w:val="center"/>
              <w:rPr>
                <w:rFonts w:cs="Segoe UI"/>
                <w:color w:val="000000"/>
                <w:sz w:val="18"/>
                <w:szCs w:val="18"/>
                <w:lang w:eastAsia="en-NZ"/>
              </w:rPr>
            </w:pPr>
            <w:r>
              <w:rPr>
                <w:rFonts w:cs="Segoe UI"/>
                <w:color w:val="000000"/>
                <w:sz w:val="18"/>
                <w:szCs w:val="18"/>
                <w:lang w:eastAsia="en-NZ"/>
              </w:rPr>
              <w:t>942</w:t>
            </w:r>
          </w:p>
        </w:tc>
        <w:tc>
          <w:tcPr>
            <w:tcW w:w="1702" w:type="dxa"/>
            <w:tcBorders>
              <w:top w:val="single" w:sz="4" w:space="0" w:color="A6A6A6"/>
              <w:bottom w:val="single" w:sz="4" w:space="0" w:color="A6A6A6"/>
            </w:tcBorders>
            <w:shd w:val="clear" w:color="000000" w:fill="FFFFFF"/>
            <w:vAlign w:val="center"/>
          </w:tcPr>
          <w:p w14:paraId="46EA9B26" w14:textId="77777777" w:rsidR="00C916E6" w:rsidRPr="00AF3320" w:rsidRDefault="00C916E6" w:rsidP="00C916E6">
            <w:pPr>
              <w:spacing w:before="60" w:after="60"/>
              <w:jc w:val="center"/>
              <w:rPr>
                <w:rFonts w:cs="Segoe UI"/>
                <w:color w:val="000000"/>
                <w:sz w:val="18"/>
                <w:szCs w:val="18"/>
                <w:lang w:eastAsia="en-NZ"/>
              </w:rPr>
            </w:pPr>
            <w:r>
              <w:rPr>
                <w:rFonts w:cs="Segoe UI"/>
                <w:color w:val="000000"/>
                <w:sz w:val="18"/>
                <w:szCs w:val="18"/>
                <w:lang w:eastAsia="en-NZ"/>
              </w:rPr>
              <w:t>948</w:t>
            </w:r>
          </w:p>
        </w:tc>
      </w:tr>
      <w:tr w:rsidR="00C916E6" w:rsidRPr="009C66A8" w14:paraId="1144F896" w14:textId="77777777" w:rsidTr="000420E5">
        <w:trPr>
          <w:trHeight w:val="306"/>
        </w:trPr>
        <w:tc>
          <w:tcPr>
            <w:tcW w:w="4536" w:type="dxa"/>
            <w:tcBorders>
              <w:top w:val="single" w:sz="4" w:space="0" w:color="A6A6A6"/>
              <w:bottom w:val="single" w:sz="4" w:space="0" w:color="A6A6A6"/>
            </w:tcBorders>
            <w:shd w:val="clear" w:color="000000" w:fill="FFFFFF"/>
            <w:vAlign w:val="center"/>
          </w:tcPr>
          <w:p w14:paraId="367A9C65" w14:textId="77777777" w:rsidR="00C916E6" w:rsidRPr="00AF3320" w:rsidRDefault="00C916E6" w:rsidP="00C916E6">
            <w:pPr>
              <w:spacing w:before="60" w:after="60"/>
              <w:rPr>
                <w:rFonts w:cs="Segoe UI"/>
                <w:color w:val="000000"/>
                <w:sz w:val="18"/>
                <w:szCs w:val="18"/>
                <w:lang w:eastAsia="en-NZ"/>
              </w:rPr>
            </w:pPr>
            <w:r>
              <w:rPr>
                <w:rFonts w:cs="Segoe UI"/>
                <w:color w:val="000000"/>
                <w:sz w:val="18"/>
                <w:szCs w:val="18"/>
                <w:lang w:eastAsia="en-NZ"/>
              </w:rPr>
              <w:t>Number of hours of seclusion in all services</w:t>
            </w:r>
          </w:p>
        </w:tc>
        <w:tc>
          <w:tcPr>
            <w:tcW w:w="1842" w:type="dxa"/>
            <w:tcBorders>
              <w:top w:val="single" w:sz="4" w:space="0" w:color="A6A6A6"/>
              <w:bottom w:val="single" w:sz="4" w:space="0" w:color="A6A6A6"/>
            </w:tcBorders>
            <w:shd w:val="clear" w:color="000000" w:fill="FFFFFF"/>
            <w:vAlign w:val="center"/>
          </w:tcPr>
          <w:p w14:paraId="18CE9773" w14:textId="77777777" w:rsidR="00C916E6" w:rsidRPr="00AF3320" w:rsidRDefault="00C916E6" w:rsidP="00C916E6">
            <w:pPr>
              <w:spacing w:before="60" w:after="60"/>
              <w:jc w:val="center"/>
              <w:rPr>
                <w:rFonts w:cs="Segoe UI"/>
                <w:color w:val="000000"/>
                <w:sz w:val="18"/>
                <w:szCs w:val="18"/>
                <w:lang w:eastAsia="en-NZ"/>
              </w:rPr>
            </w:pPr>
            <w:r>
              <w:rPr>
                <w:rFonts w:cs="Segoe UI"/>
                <w:color w:val="000000"/>
                <w:sz w:val="18"/>
                <w:szCs w:val="18"/>
                <w:lang w:eastAsia="en-NZ"/>
              </w:rPr>
              <w:t>64,650</w:t>
            </w:r>
          </w:p>
        </w:tc>
        <w:tc>
          <w:tcPr>
            <w:tcW w:w="1702" w:type="dxa"/>
            <w:tcBorders>
              <w:top w:val="single" w:sz="4" w:space="0" w:color="A6A6A6"/>
              <w:bottom w:val="single" w:sz="4" w:space="0" w:color="A6A6A6"/>
            </w:tcBorders>
            <w:shd w:val="clear" w:color="000000" w:fill="FFFFFF"/>
            <w:vAlign w:val="center"/>
          </w:tcPr>
          <w:p w14:paraId="4894D890" w14:textId="77777777" w:rsidR="00C916E6" w:rsidRPr="00AF3320" w:rsidRDefault="00C916E6" w:rsidP="00C916E6">
            <w:pPr>
              <w:spacing w:before="60" w:after="60"/>
              <w:jc w:val="center"/>
              <w:rPr>
                <w:rFonts w:cs="Segoe UI"/>
                <w:color w:val="000000"/>
                <w:sz w:val="18"/>
                <w:szCs w:val="18"/>
                <w:lang w:eastAsia="en-NZ"/>
              </w:rPr>
            </w:pPr>
            <w:r>
              <w:rPr>
                <w:rFonts w:cs="Segoe UI"/>
                <w:color w:val="000000"/>
                <w:sz w:val="18"/>
                <w:szCs w:val="18"/>
                <w:lang w:eastAsia="en-NZ"/>
              </w:rPr>
              <w:t>100,960</w:t>
            </w:r>
          </w:p>
        </w:tc>
      </w:tr>
      <w:tr w:rsidR="00C916E6" w:rsidRPr="009C66A8" w14:paraId="511CDA4F" w14:textId="77777777" w:rsidTr="000420E5">
        <w:trPr>
          <w:trHeight w:val="306"/>
        </w:trPr>
        <w:tc>
          <w:tcPr>
            <w:tcW w:w="4536" w:type="dxa"/>
            <w:tcBorders>
              <w:top w:val="single" w:sz="4" w:space="0" w:color="A6A6A6"/>
              <w:bottom w:val="single" w:sz="4" w:space="0" w:color="A6A6A6"/>
            </w:tcBorders>
            <w:shd w:val="clear" w:color="000000" w:fill="FFFFFF"/>
            <w:vAlign w:val="center"/>
          </w:tcPr>
          <w:p w14:paraId="1E015807" w14:textId="77777777" w:rsidR="00C916E6" w:rsidRPr="00AF3320" w:rsidRDefault="00C916E6" w:rsidP="00C916E6">
            <w:pPr>
              <w:spacing w:before="60" w:after="60"/>
              <w:rPr>
                <w:rFonts w:cs="Segoe UI"/>
                <w:color w:val="000000"/>
                <w:sz w:val="18"/>
                <w:szCs w:val="18"/>
                <w:lang w:eastAsia="en-NZ"/>
              </w:rPr>
            </w:pPr>
            <w:r>
              <w:rPr>
                <w:rFonts w:cs="Segoe UI"/>
                <w:color w:val="000000"/>
                <w:sz w:val="18"/>
                <w:szCs w:val="18"/>
                <w:lang w:eastAsia="en-NZ"/>
              </w:rPr>
              <w:t>Number of seclusion events in all services</w:t>
            </w:r>
          </w:p>
        </w:tc>
        <w:tc>
          <w:tcPr>
            <w:tcW w:w="1842" w:type="dxa"/>
            <w:tcBorders>
              <w:top w:val="single" w:sz="4" w:space="0" w:color="A6A6A6"/>
              <w:bottom w:val="single" w:sz="4" w:space="0" w:color="A6A6A6"/>
            </w:tcBorders>
            <w:shd w:val="clear" w:color="000000" w:fill="FFFFFF"/>
            <w:vAlign w:val="center"/>
          </w:tcPr>
          <w:p w14:paraId="349ACD99" w14:textId="77777777" w:rsidR="00C916E6" w:rsidRPr="00AF3320" w:rsidRDefault="00C916E6" w:rsidP="00C916E6">
            <w:pPr>
              <w:spacing w:before="60" w:after="60"/>
              <w:jc w:val="center"/>
              <w:rPr>
                <w:rFonts w:cs="Segoe UI"/>
                <w:color w:val="000000"/>
                <w:sz w:val="18"/>
                <w:szCs w:val="18"/>
                <w:lang w:eastAsia="en-NZ"/>
              </w:rPr>
            </w:pPr>
            <w:r>
              <w:rPr>
                <w:rFonts w:cs="Segoe UI"/>
                <w:color w:val="000000"/>
                <w:sz w:val="18"/>
                <w:szCs w:val="18"/>
                <w:lang w:eastAsia="en-NZ"/>
              </w:rPr>
              <w:t>1,876</w:t>
            </w:r>
          </w:p>
        </w:tc>
        <w:tc>
          <w:tcPr>
            <w:tcW w:w="1702" w:type="dxa"/>
            <w:tcBorders>
              <w:top w:val="single" w:sz="4" w:space="0" w:color="A6A6A6"/>
              <w:bottom w:val="single" w:sz="4" w:space="0" w:color="A6A6A6"/>
            </w:tcBorders>
            <w:shd w:val="clear" w:color="000000" w:fill="FFFFFF"/>
            <w:vAlign w:val="center"/>
          </w:tcPr>
          <w:p w14:paraId="31CE443E" w14:textId="77777777" w:rsidR="00C916E6" w:rsidRPr="00AF3320" w:rsidRDefault="00C916E6" w:rsidP="00C916E6">
            <w:pPr>
              <w:spacing w:before="60" w:after="60"/>
              <w:jc w:val="center"/>
              <w:rPr>
                <w:rFonts w:cs="Segoe UI"/>
                <w:color w:val="000000"/>
                <w:sz w:val="18"/>
                <w:szCs w:val="18"/>
                <w:lang w:eastAsia="en-NZ"/>
              </w:rPr>
            </w:pPr>
            <w:r>
              <w:rPr>
                <w:rFonts w:cs="Segoe UI"/>
                <w:color w:val="000000"/>
                <w:sz w:val="18"/>
                <w:szCs w:val="18"/>
                <w:lang w:eastAsia="en-NZ"/>
              </w:rPr>
              <w:t>2,948</w:t>
            </w:r>
          </w:p>
        </w:tc>
      </w:tr>
      <w:tr w:rsidR="00C916E6" w:rsidRPr="009C66A8" w14:paraId="12643D38" w14:textId="77777777" w:rsidTr="000420E5">
        <w:trPr>
          <w:trHeight w:val="306"/>
        </w:trPr>
        <w:tc>
          <w:tcPr>
            <w:tcW w:w="4536" w:type="dxa"/>
            <w:tcBorders>
              <w:top w:val="single" w:sz="4" w:space="0" w:color="A6A6A6"/>
              <w:bottom w:val="single" w:sz="4" w:space="0" w:color="A6A6A6"/>
            </w:tcBorders>
            <w:shd w:val="clear" w:color="000000" w:fill="FFFFFF"/>
            <w:vAlign w:val="center"/>
          </w:tcPr>
          <w:p w14:paraId="5AEFF618" w14:textId="77777777" w:rsidR="00C916E6" w:rsidRPr="00AF3320" w:rsidRDefault="00C916E6" w:rsidP="00C916E6">
            <w:pPr>
              <w:spacing w:before="60" w:after="60"/>
              <w:rPr>
                <w:rFonts w:cs="Segoe UI"/>
                <w:color w:val="000000"/>
                <w:sz w:val="18"/>
                <w:szCs w:val="18"/>
                <w:lang w:eastAsia="en-NZ"/>
              </w:rPr>
            </w:pPr>
            <w:r>
              <w:rPr>
                <w:rFonts w:cs="Segoe UI"/>
                <w:color w:val="000000"/>
                <w:sz w:val="18"/>
                <w:szCs w:val="18"/>
                <w:lang w:eastAsia="en-NZ"/>
              </w:rPr>
              <w:t>Percentage of seclusion events lasting under 24 hours</w:t>
            </w:r>
          </w:p>
        </w:tc>
        <w:tc>
          <w:tcPr>
            <w:tcW w:w="1842" w:type="dxa"/>
            <w:tcBorders>
              <w:top w:val="single" w:sz="4" w:space="0" w:color="A6A6A6"/>
              <w:bottom w:val="single" w:sz="4" w:space="0" w:color="A6A6A6"/>
            </w:tcBorders>
            <w:shd w:val="clear" w:color="000000" w:fill="FFFFFF"/>
            <w:vAlign w:val="center"/>
          </w:tcPr>
          <w:p w14:paraId="42C0D80D" w14:textId="77777777" w:rsidR="00C916E6" w:rsidRPr="00AF3320" w:rsidRDefault="00C916E6" w:rsidP="00C916E6">
            <w:pPr>
              <w:spacing w:before="60" w:after="60"/>
              <w:jc w:val="center"/>
              <w:rPr>
                <w:rFonts w:cs="Segoe UI"/>
                <w:color w:val="000000"/>
                <w:sz w:val="18"/>
                <w:szCs w:val="18"/>
                <w:lang w:eastAsia="en-NZ"/>
              </w:rPr>
            </w:pPr>
            <w:r>
              <w:rPr>
                <w:rFonts w:cs="Segoe UI"/>
                <w:color w:val="000000"/>
                <w:sz w:val="18"/>
                <w:szCs w:val="18"/>
                <w:lang w:eastAsia="en-NZ"/>
              </w:rPr>
              <w:t>65%</w:t>
            </w:r>
          </w:p>
        </w:tc>
        <w:tc>
          <w:tcPr>
            <w:tcW w:w="1702" w:type="dxa"/>
            <w:tcBorders>
              <w:top w:val="single" w:sz="4" w:space="0" w:color="A6A6A6"/>
              <w:bottom w:val="single" w:sz="4" w:space="0" w:color="A6A6A6"/>
            </w:tcBorders>
            <w:shd w:val="clear" w:color="000000" w:fill="FFFFFF"/>
            <w:vAlign w:val="center"/>
          </w:tcPr>
          <w:p w14:paraId="7B2D42AF" w14:textId="77777777" w:rsidR="00C916E6" w:rsidRPr="00AF3320" w:rsidRDefault="00C916E6" w:rsidP="00C916E6">
            <w:pPr>
              <w:spacing w:before="60" w:after="60"/>
              <w:jc w:val="center"/>
              <w:rPr>
                <w:rFonts w:cs="Segoe UI"/>
                <w:color w:val="000000"/>
                <w:sz w:val="18"/>
                <w:szCs w:val="18"/>
                <w:lang w:eastAsia="en-NZ"/>
              </w:rPr>
            </w:pPr>
            <w:r>
              <w:rPr>
                <w:rFonts w:cs="Segoe UI"/>
                <w:color w:val="000000"/>
                <w:sz w:val="18"/>
                <w:szCs w:val="18"/>
                <w:lang w:eastAsia="en-NZ"/>
              </w:rPr>
              <w:t>74%</w:t>
            </w:r>
          </w:p>
        </w:tc>
      </w:tr>
      <w:tr w:rsidR="00C916E6" w:rsidRPr="009C66A8" w14:paraId="3FCDF5DC" w14:textId="77777777" w:rsidTr="000420E5">
        <w:trPr>
          <w:trHeight w:val="306"/>
        </w:trPr>
        <w:tc>
          <w:tcPr>
            <w:tcW w:w="4536" w:type="dxa"/>
            <w:tcBorders>
              <w:top w:val="single" w:sz="4" w:space="0" w:color="A6A6A6"/>
              <w:bottom w:val="single" w:sz="4" w:space="0" w:color="A6A6A6"/>
            </w:tcBorders>
            <w:shd w:val="clear" w:color="000000" w:fill="FFFFFF"/>
            <w:vAlign w:val="center"/>
          </w:tcPr>
          <w:p w14:paraId="2A8D5ABF" w14:textId="77777777" w:rsidR="00C916E6" w:rsidRPr="00AF3320" w:rsidRDefault="00C916E6" w:rsidP="00C916E6">
            <w:pPr>
              <w:spacing w:before="60" w:after="60"/>
              <w:rPr>
                <w:rFonts w:cs="Segoe UI"/>
                <w:color w:val="000000"/>
                <w:sz w:val="18"/>
                <w:szCs w:val="18"/>
                <w:lang w:eastAsia="en-NZ"/>
              </w:rPr>
            </w:pPr>
            <w:r>
              <w:rPr>
                <w:rFonts w:cs="Segoe UI"/>
                <w:color w:val="000000"/>
                <w:sz w:val="18"/>
                <w:szCs w:val="18"/>
                <w:lang w:eastAsia="en-NZ"/>
              </w:rPr>
              <w:t>Percentage of seclusion events lasting over 48 hours</w:t>
            </w:r>
          </w:p>
        </w:tc>
        <w:tc>
          <w:tcPr>
            <w:tcW w:w="1842" w:type="dxa"/>
            <w:tcBorders>
              <w:top w:val="single" w:sz="4" w:space="0" w:color="A6A6A6"/>
              <w:bottom w:val="single" w:sz="4" w:space="0" w:color="A6A6A6"/>
            </w:tcBorders>
            <w:shd w:val="clear" w:color="000000" w:fill="FFFFFF"/>
            <w:vAlign w:val="center"/>
          </w:tcPr>
          <w:p w14:paraId="0BDF1D38" w14:textId="77777777" w:rsidR="00C916E6" w:rsidRPr="00AF3320" w:rsidRDefault="00C916E6" w:rsidP="00C916E6">
            <w:pPr>
              <w:spacing w:before="60" w:after="60"/>
              <w:jc w:val="center"/>
              <w:rPr>
                <w:rFonts w:cs="Segoe UI"/>
                <w:color w:val="000000"/>
                <w:sz w:val="18"/>
                <w:szCs w:val="18"/>
                <w:lang w:eastAsia="en-NZ"/>
              </w:rPr>
            </w:pPr>
            <w:r>
              <w:rPr>
                <w:rFonts w:cs="Segoe UI"/>
                <w:color w:val="000000"/>
                <w:sz w:val="18"/>
                <w:szCs w:val="18"/>
                <w:lang w:eastAsia="en-NZ"/>
              </w:rPr>
              <w:t>17%</w:t>
            </w:r>
          </w:p>
        </w:tc>
        <w:tc>
          <w:tcPr>
            <w:tcW w:w="1702" w:type="dxa"/>
            <w:tcBorders>
              <w:top w:val="single" w:sz="4" w:space="0" w:color="A6A6A6"/>
              <w:bottom w:val="single" w:sz="4" w:space="0" w:color="A6A6A6"/>
            </w:tcBorders>
            <w:shd w:val="clear" w:color="000000" w:fill="FFFFFF"/>
            <w:vAlign w:val="center"/>
          </w:tcPr>
          <w:p w14:paraId="097099EE" w14:textId="77777777" w:rsidR="00C916E6" w:rsidRPr="00AF3320" w:rsidRDefault="00C916E6" w:rsidP="00C916E6">
            <w:pPr>
              <w:spacing w:before="60" w:after="60"/>
              <w:jc w:val="center"/>
              <w:rPr>
                <w:rFonts w:cs="Segoe UI"/>
                <w:color w:val="000000"/>
                <w:sz w:val="18"/>
                <w:szCs w:val="18"/>
                <w:lang w:eastAsia="en-NZ"/>
              </w:rPr>
            </w:pPr>
            <w:r>
              <w:rPr>
                <w:rFonts w:cs="Segoe UI"/>
                <w:color w:val="000000"/>
                <w:sz w:val="18"/>
                <w:szCs w:val="18"/>
                <w:lang w:eastAsia="en-NZ"/>
              </w:rPr>
              <w:t>13%</w:t>
            </w:r>
          </w:p>
        </w:tc>
      </w:tr>
      <w:tr w:rsidR="00C916E6" w:rsidRPr="009C66A8" w14:paraId="38AD9D0C" w14:textId="77777777" w:rsidTr="000420E5">
        <w:trPr>
          <w:trHeight w:val="306"/>
        </w:trPr>
        <w:tc>
          <w:tcPr>
            <w:tcW w:w="8080" w:type="dxa"/>
            <w:gridSpan w:val="3"/>
            <w:tcBorders>
              <w:top w:val="single" w:sz="4" w:space="0" w:color="A6A6A6"/>
              <w:bottom w:val="single" w:sz="4" w:space="0" w:color="A6A6A6"/>
            </w:tcBorders>
            <w:shd w:val="clear" w:color="000000" w:fill="FFFFFF"/>
            <w:vAlign w:val="center"/>
          </w:tcPr>
          <w:p w14:paraId="5B5DCDD0" w14:textId="77777777" w:rsidR="00C916E6" w:rsidRPr="00AF3320" w:rsidRDefault="00C916E6" w:rsidP="00C916E6">
            <w:pPr>
              <w:spacing w:before="60" w:after="60"/>
              <w:rPr>
                <w:rFonts w:cs="Segoe UI"/>
                <w:color w:val="000000"/>
                <w:sz w:val="18"/>
                <w:szCs w:val="18"/>
                <w:lang w:eastAsia="en-NZ"/>
              </w:rPr>
            </w:pPr>
            <w:r>
              <w:rPr>
                <w:rFonts w:cs="Segoe UI"/>
                <w:b/>
                <w:bCs/>
                <w:color w:val="000000"/>
                <w:sz w:val="18"/>
                <w:szCs w:val="18"/>
                <w:lang w:eastAsia="en-NZ"/>
              </w:rPr>
              <w:t>Adult inpatient services</w:t>
            </w:r>
          </w:p>
        </w:tc>
      </w:tr>
      <w:tr w:rsidR="00C916E6" w:rsidRPr="009C66A8" w14:paraId="7331C785" w14:textId="77777777" w:rsidTr="000420E5">
        <w:trPr>
          <w:trHeight w:val="306"/>
        </w:trPr>
        <w:tc>
          <w:tcPr>
            <w:tcW w:w="4536" w:type="dxa"/>
            <w:tcBorders>
              <w:top w:val="single" w:sz="4" w:space="0" w:color="A6A6A6"/>
              <w:bottom w:val="single" w:sz="4" w:space="0" w:color="A6A6A6"/>
            </w:tcBorders>
            <w:shd w:val="clear" w:color="000000" w:fill="FFFFFF"/>
            <w:vAlign w:val="center"/>
          </w:tcPr>
          <w:p w14:paraId="776EB231" w14:textId="77777777" w:rsidR="00C916E6" w:rsidRDefault="00C916E6" w:rsidP="00C916E6">
            <w:pPr>
              <w:spacing w:before="60" w:after="60"/>
              <w:rPr>
                <w:rFonts w:cs="Segoe UI"/>
                <w:color w:val="000000"/>
                <w:sz w:val="18"/>
                <w:szCs w:val="18"/>
                <w:lang w:eastAsia="en-NZ"/>
              </w:rPr>
            </w:pPr>
            <w:r>
              <w:rPr>
                <w:rFonts w:cs="Segoe UI"/>
                <w:color w:val="000000"/>
                <w:sz w:val="18"/>
                <w:szCs w:val="18"/>
                <w:lang w:eastAsia="en-NZ"/>
              </w:rPr>
              <w:t>Number of people secluded</w:t>
            </w:r>
          </w:p>
        </w:tc>
        <w:tc>
          <w:tcPr>
            <w:tcW w:w="1842" w:type="dxa"/>
            <w:tcBorders>
              <w:top w:val="single" w:sz="4" w:space="0" w:color="A6A6A6"/>
              <w:bottom w:val="single" w:sz="4" w:space="0" w:color="A6A6A6"/>
            </w:tcBorders>
            <w:shd w:val="clear" w:color="000000" w:fill="FFFFFF"/>
            <w:vAlign w:val="center"/>
          </w:tcPr>
          <w:p w14:paraId="6CB70406" w14:textId="77777777" w:rsidR="00C916E6" w:rsidRPr="00AF3320" w:rsidRDefault="00C916E6" w:rsidP="00C916E6">
            <w:pPr>
              <w:spacing w:before="60" w:after="60"/>
              <w:jc w:val="center"/>
              <w:rPr>
                <w:rFonts w:cs="Segoe UI"/>
                <w:color w:val="000000"/>
                <w:sz w:val="18"/>
                <w:szCs w:val="18"/>
                <w:lang w:eastAsia="en-NZ"/>
              </w:rPr>
            </w:pPr>
            <w:r>
              <w:rPr>
                <w:rFonts w:cs="Segoe UI"/>
                <w:color w:val="000000"/>
                <w:sz w:val="18"/>
                <w:szCs w:val="18"/>
                <w:lang w:eastAsia="en-NZ"/>
              </w:rPr>
              <w:t>699</w:t>
            </w:r>
          </w:p>
        </w:tc>
        <w:tc>
          <w:tcPr>
            <w:tcW w:w="1702" w:type="dxa"/>
            <w:tcBorders>
              <w:top w:val="single" w:sz="4" w:space="0" w:color="A6A6A6"/>
              <w:bottom w:val="single" w:sz="4" w:space="0" w:color="A6A6A6"/>
            </w:tcBorders>
            <w:shd w:val="clear" w:color="000000" w:fill="FFFFFF"/>
            <w:vAlign w:val="center"/>
          </w:tcPr>
          <w:p w14:paraId="44224EB1" w14:textId="77777777" w:rsidR="00C916E6" w:rsidRPr="00AF3320" w:rsidRDefault="00C916E6" w:rsidP="00C916E6">
            <w:pPr>
              <w:spacing w:before="60" w:after="60"/>
              <w:jc w:val="center"/>
              <w:rPr>
                <w:rFonts w:cs="Segoe UI"/>
                <w:color w:val="000000"/>
                <w:sz w:val="18"/>
                <w:szCs w:val="18"/>
                <w:lang w:eastAsia="en-NZ"/>
              </w:rPr>
            </w:pPr>
            <w:r>
              <w:rPr>
                <w:rFonts w:cs="Segoe UI"/>
                <w:color w:val="000000"/>
                <w:sz w:val="18"/>
                <w:szCs w:val="18"/>
                <w:lang w:eastAsia="en-NZ"/>
              </w:rPr>
              <w:t>700</w:t>
            </w:r>
          </w:p>
        </w:tc>
      </w:tr>
      <w:tr w:rsidR="00C916E6" w:rsidRPr="009C66A8" w14:paraId="41027F7A" w14:textId="77777777" w:rsidTr="000420E5">
        <w:trPr>
          <w:trHeight w:val="306"/>
        </w:trPr>
        <w:tc>
          <w:tcPr>
            <w:tcW w:w="4536" w:type="dxa"/>
            <w:tcBorders>
              <w:top w:val="single" w:sz="4" w:space="0" w:color="A6A6A6"/>
              <w:bottom w:val="single" w:sz="4" w:space="0" w:color="A6A6A6"/>
            </w:tcBorders>
            <w:shd w:val="clear" w:color="000000" w:fill="FFFFFF"/>
            <w:vAlign w:val="center"/>
          </w:tcPr>
          <w:p w14:paraId="57C036BF" w14:textId="77777777" w:rsidR="00C916E6" w:rsidRDefault="00C916E6" w:rsidP="00C916E6">
            <w:pPr>
              <w:spacing w:before="60" w:after="60"/>
              <w:rPr>
                <w:rFonts w:cs="Segoe UI"/>
                <w:color w:val="000000"/>
                <w:sz w:val="18"/>
                <w:szCs w:val="18"/>
                <w:lang w:eastAsia="en-NZ"/>
              </w:rPr>
            </w:pPr>
            <w:r>
              <w:rPr>
                <w:rFonts w:cs="Segoe UI"/>
                <w:color w:val="000000"/>
                <w:sz w:val="18"/>
                <w:szCs w:val="18"/>
                <w:lang w:eastAsia="en-NZ"/>
              </w:rPr>
              <w:t>Number of hours of seclusion</w:t>
            </w:r>
          </w:p>
        </w:tc>
        <w:tc>
          <w:tcPr>
            <w:tcW w:w="1842" w:type="dxa"/>
            <w:tcBorders>
              <w:top w:val="single" w:sz="4" w:space="0" w:color="A6A6A6"/>
              <w:bottom w:val="single" w:sz="4" w:space="0" w:color="A6A6A6"/>
            </w:tcBorders>
            <w:shd w:val="clear" w:color="000000" w:fill="FFFFFF"/>
            <w:vAlign w:val="center"/>
          </w:tcPr>
          <w:p w14:paraId="040119ED" w14:textId="77777777" w:rsidR="00C916E6" w:rsidRPr="00AF3320" w:rsidRDefault="00C916E6" w:rsidP="00C916E6">
            <w:pPr>
              <w:spacing w:before="60" w:after="60"/>
              <w:jc w:val="center"/>
              <w:rPr>
                <w:rFonts w:cs="Segoe UI"/>
                <w:color w:val="000000"/>
                <w:sz w:val="18"/>
                <w:szCs w:val="18"/>
                <w:lang w:eastAsia="en-NZ"/>
              </w:rPr>
            </w:pPr>
            <w:r>
              <w:rPr>
                <w:rFonts w:cs="Segoe UI"/>
                <w:color w:val="000000"/>
                <w:sz w:val="18"/>
                <w:szCs w:val="18"/>
                <w:lang w:eastAsia="en-NZ"/>
              </w:rPr>
              <w:t>32,347</w:t>
            </w:r>
          </w:p>
        </w:tc>
        <w:tc>
          <w:tcPr>
            <w:tcW w:w="1702" w:type="dxa"/>
            <w:tcBorders>
              <w:top w:val="single" w:sz="4" w:space="0" w:color="A6A6A6"/>
              <w:bottom w:val="single" w:sz="4" w:space="0" w:color="A6A6A6"/>
            </w:tcBorders>
            <w:shd w:val="clear" w:color="000000" w:fill="FFFFFF"/>
            <w:vAlign w:val="center"/>
          </w:tcPr>
          <w:p w14:paraId="394C5916" w14:textId="77777777" w:rsidR="00C916E6" w:rsidRPr="00AF3320" w:rsidRDefault="00C916E6" w:rsidP="00C916E6">
            <w:pPr>
              <w:spacing w:before="60" w:after="60"/>
              <w:jc w:val="center"/>
              <w:rPr>
                <w:rFonts w:cs="Segoe UI"/>
                <w:color w:val="000000"/>
                <w:sz w:val="18"/>
                <w:szCs w:val="18"/>
                <w:lang w:eastAsia="en-NZ"/>
              </w:rPr>
            </w:pPr>
            <w:r>
              <w:rPr>
                <w:rFonts w:cs="Segoe UI"/>
                <w:color w:val="000000"/>
                <w:sz w:val="18"/>
                <w:szCs w:val="18"/>
                <w:lang w:eastAsia="en-NZ"/>
              </w:rPr>
              <w:t>36,787</w:t>
            </w:r>
          </w:p>
        </w:tc>
      </w:tr>
      <w:tr w:rsidR="00C916E6" w:rsidRPr="009C66A8" w14:paraId="0ADA7279" w14:textId="77777777" w:rsidTr="000420E5">
        <w:trPr>
          <w:trHeight w:val="306"/>
        </w:trPr>
        <w:tc>
          <w:tcPr>
            <w:tcW w:w="4536" w:type="dxa"/>
            <w:tcBorders>
              <w:top w:val="single" w:sz="4" w:space="0" w:color="A6A6A6"/>
              <w:bottom w:val="single" w:sz="4" w:space="0" w:color="A6A6A6"/>
            </w:tcBorders>
            <w:shd w:val="clear" w:color="000000" w:fill="FFFFFF"/>
            <w:vAlign w:val="center"/>
          </w:tcPr>
          <w:p w14:paraId="17E14709" w14:textId="77777777" w:rsidR="00C916E6" w:rsidRDefault="00C916E6" w:rsidP="00C916E6">
            <w:pPr>
              <w:spacing w:before="60" w:after="60"/>
              <w:rPr>
                <w:rFonts w:cs="Segoe UI"/>
                <w:color w:val="000000"/>
                <w:sz w:val="18"/>
                <w:szCs w:val="18"/>
                <w:lang w:eastAsia="en-NZ"/>
              </w:rPr>
            </w:pPr>
            <w:r>
              <w:rPr>
                <w:rFonts w:cs="Segoe UI"/>
                <w:color w:val="000000"/>
                <w:sz w:val="18"/>
                <w:szCs w:val="18"/>
                <w:lang w:eastAsia="en-NZ"/>
              </w:rPr>
              <w:t>Number of seclusion events</w:t>
            </w:r>
          </w:p>
        </w:tc>
        <w:tc>
          <w:tcPr>
            <w:tcW w:w="1842" w:type="dxa"/>
            <w:tcBorders>
              <w:top w:val="single" w:sz="4" w:space="0" w:color="A6A6A6"/>
              <w:bottom w:val="single" w:sz="4" w:space="0" w:color="A6A6A6"/>
            </w:tcBorders>
            <w:shd w:val="clear" w:color="000000" w:fill="FFFFFF"/>
            <w:vAlign w:val="center"/>
          </w:tcPr>
          <w:p w14:paraId="386EE456" w14:textId="77777777" w:rsidR="00C916E6" w:rsidRPr="00AF3320" w:rsidRDefault="00C916E6" w:rsidP="00C916E6">
            <w:pPr>
              <w:spacing w:before="60" w:after="60"/>
              <w:jc w:val="center"/>
              <w:rPr>
                <w:rFonts w:cs="Segoe UI"/>
                <w:color w:val="000000"/>
                <w:sz w:val="18"/>
                <w:szCs w:val="18"/>
                <w:lang w:eastAsia="en-NZ"/>
              </w:rPr>
            </w:pPr>
            <w:r>
              <w:rPr>
                <w:rFonts w:cs="Segoe UI"/>
                <w:color w:val="000000"/>
                <w:sz w:val="18"/>
                <w:szCs w:val="18"/>
                <w:lang w:eastAsia="en-NZ"/>
              </w:rPr>
              <w:t>1,178</w:t>
            </w:r>
          </w:p>
        </w:tc>
        <w:tc>
          <w:tcPr>
            <w:tcW w:w="1702" w:type="dxa"/>
            <w:tcBorders>
              <w:top w:val="single" w:sz="4" w:space="0" w:color="A6A6A6"/>
              <w:bottom w:val="single" w:sz="4" w:space="0" w:color="A6A6A6"/>
            </w:tcBorders>
            <w:shd w:val="clear" w:color="000000" w:fill="FFFFFF"/>
            <w:vAlign w:val="center"/>
          </w:tcPr>
          <w:p w14:paraId="113A7656" w14:textId="77777777" w:rsidR="00C916E6" w:rsidRPr="00AF3320" w:rsidRDefault="00C916E6" w:rsidP="00C916E6">
            <w:pPr>
              <w:spacing w:before="60" w:after="60"/>
              <w:jc w:val="center"/>
              <w:rPr>
                <w:rFonts w:cs="Segoe UI"/>
                <w:color w:val="000000"/>
                <w:sz w:val="18"/>
                <w:szCs w:val="18"/>
                <w:lang w:eastAsia="en-NZ"/>
              </w:rPr>
            </w:pPr>
            <w:r>
              <w:rPr>
                <w:rFonts w:cs="Segoe UI"/>
                <w:color w:val="000000"/>
                <w:sz w:val="18"/>
                <w:szCs w:val="18"/>
                <w:lang w:eastAsia="en-NZ"/>
              </w:rPr>
              <w:t>1,535</w:t>
            </w:r>
          </w:p>
        </w:tc>
      </w:tr>
      <w:tr w:rsidR="00C916E6" w:rsidRPr="009C66A8" w14:paraId="4DCD43B8" w14:textId="77777777" w:rsidTr="000420E5">
        <w:trPr>
          <w:trHeight w:val="306"/>
        </w:trPr>
        <w:tc>
          <w:tcPr>
            <w:tcW w:w="4536" w:type="dxa"/>
            <w:tcBorders>
              <w:top w:val="single" w:sz="4" w:space="0" w:color="A6A6A6"/>
              <w:bottom w:val="single" w:sz="4" w:space="0" w:color="A6A6A6"/>
            </w:tcBorders>
            <w:shd w:val="clear" w:color="000000" w:fill="FFFFFF"/>
            <w:vAlign w:val="center"/>
          </w:tcPr>
          <w:p w14:paraId="79664C64" w14:textId="77777777" w:rsidR="00C916E6" w:rsidRDefault="00C916E6" w:rsidP="00C916E6">
            <w:pPr>
              <w:spacing w:before="60" w:after="60"/>
              <w:rPr>
                <w:rFonts w:cs="Segoe UI"/>
                <w:color w:val="000000"/>
                <w:sz w:val="18"/>
                <w:szCs w:val="18"/>
                <w:lang w:eastAsia="en-NZ"/>
              </w:rPr>
            </w:pPr>
            <w:r>
              <w:rPr>
                <w:rFonts w:cs="Segoe UI"/>
                <w:color w:val="000000"/>
                <w:sz w:val="18"/>
                <w:szCs w:val="18"/>
                <w:lang w:eastAsia="en-NZ"/>
              </w:rPr>
              <w:t>Number of seclusion events per person</w:t>
            </w:r>
          </w:p>
        </w:tc>
        <w:tc>
          <w:tcPr>
            <w:tcW w:w="1842" w:type="dxa"/>
            <w:tcBorders>
              <w:top w:val="single" w:sz="4" w:space="0" w:color="A6A6A6"/>
              <w:bottom w:val="single" w:sz="4" w:space="0" w:color="A6A6A6"/>
            </w:tcBorders>
            <w:shd w:val="clear" w:color="000000" w:fill="FFFFFF"/>
            <w:vAlign w:val="center"/>
          </w:tcPr>
          <w:p w14:paraId="648DA09F" w14:textId="77777777" w:rsidR="00C916E6" w:rsidRPr="00AF3320" w:rsidRDefault="00C916E6" w:rsidP="00C916E6">
            <w:pPr>
              <w:spacing w:before="60" w:after="60"/>
              <w:jc w:val="center"/>
              <w:rPr>
                <w:rFonts w:cs="Segoe UI"/>
                <w:color w:val="000000"/>
                <w:sz w:val="18"/>
                <w:szCs w:val="18"/>
                <w:lang w:eastAsia="en-NZ"/>
              </w:rPr>
            </w:pPr>
            <w:r>
              <w:rPr>
                <w:rFonts w:cs="Segoe UI"/>
                <w:color w:val="000000"/>
                <w:sz w:val="18"/>
                <w:szCs w:val="18"/>
                <w:lang w:eastAsia="en-NZ"/>
              </w:rPr>
              <w:t>1.7</w:t>
            </w:r>
          </w:p>
        </w:tc>
        <w:tc>
          <w:tcPr>
            <w:tcW w:w="1702" w:type="dxa"/>
            <w:tcBorders>
              <w:top w:val="single" w:sz="4" w:space="0" w:color="A6A6A6"/>
              <w:bottom w:val="single" w:sz="4" w:space="0" w:color="A6A6A6"/>
            </w:tcBorders>
            <w:shd w:val="clear" w:color="000000" w:fill="FFFFFF"/>
            <w:vAlign w:val="center"/>
          </w:tcPr>
          <w:p w14:paraId="2857DD30" w14:textId="77777777" w:rsidR="00C916E6" w:rsidRPr="00AF3320" w:rsidRDefault="00C916E6" w:rsidP="00C916E6">
            <w:pPr>
              <w:spacing w:before="60" w:after="60"/>
              <w:jc w:val="center"/>
              <w:rPr>
                <w:rFonts w:cs="Segoe UI"/>
                <w:color w:val="000000"/>
                <w:sz w:val="18"/>
                <w:szCs w:val="18"/>
                <w:lang w:eastAsia="en-NZ"/>
              </w:rPr>
            </w:pPr>
            <w:r>
              <w:rPr>
                <w:rFonts w:cs="Segoe UI"/>
                <w:color w:val="000000"/>
                <w:sz w:val="18"/>
                <w:szCs w:val="18"/>
                <w:lang w:eastAsia="en-NZ"/>
              </w:rPr>
              <w:t>2.2</w:t>
            </w:r>
          </w:p>
        </w:tc>
      </w:tr>
      <w:tr w:rsidR="00C916E6" w:rsidRPr="009C66A8" w14:paraId="5D64C11D" w14:textId="77777777" w:rsidTr="000420E5">
        <w:trPr>
          <w:trHeight w:val="306"/>
        </w:trPr>
        <w:tc>
          <w:tcPr>
            <w:tcW w:w="4536" w:type="dxa"/>
            <w:tcBorders>
              <w:top w:val="single" w:sz="4" w:space="0" w:color="A6A6A6"/>
              <w:bottom w:val="single" w:sz="4" w:space="0" w:color="A6A6A6"/>
            </w:tcBorders>
            <w:shd w:val="clear" w:color="000000" w:fill="FFFFFF"/>
            <w:vAlign w:val="center"/>
          </w:tcPr>
          <w:p w14:paraId="56ABB60B" w14:textId="77777777" w:rsidR="00C916E6" w:rsidRDefault="00C916E6" w:rsidP="00C916E6">
            <w:pPr>
              <w:spacing w:before="60" w:after="60"/>
              <w:rPr>
                <w:rFonts w:cs="Segoe UI"/>
                <w:color w:val="000000"/>
                <w:sz w:val="18"/>
                <w:szCs w:val="18"/>
                <w:lang w:eastAsia="en-NZ"/>
              </w:rPr>
            </w:pPr>
            <w:r>
              <w:rPr>
                <w:rFonts w:cs="Segoe UI"/>
                <w:color w:val="000000"/>
                <w:sz w:val="18"/>
                <w:szCs w:val="18"/>
                <w:lang w:eastAsia="en-NZ"/>
              </w:rPr>
              <w:t>Number of seclusion events per 1,000 bed nights</w:t>
            </w:r>
          </w:p>
        </w:tc>
        <w:tc>
          <w:tcPr>
            <w:tcW w:w="1842" w:type="dxa"/>
            <w:tcBorders>
              <w:top w:val="single" w:sz="4" w:space="0" w:color="A6A6A6"/>
              <w:bottom w:val="single" w:sz="4" w:space="0" w:color="A6A6A6"/>
            </w:tcBorders>
            <w:shd w:val="clear" w:color="000000" w:fill="FFFFFF"/>
            <w:vAlign w:val="center"/>
          </w:tcPr>
          <w:p w14:paraId="1473B9C9" w14:textId="77777777" w:rsidR="00C916E6" w:rsidRPr="00AF3320" w:rsidRDefault="00C916E6" w:rsidP="00C916E6">
            <w:pPr>
              <w:spacing w:before="60" w:after="60"/>
              <w:jc w:val="center"/>
              <w:rPr>
                <w:rFonts w:cs="Segoe UI"/>
                <w:color w:val="000000"/>
                <w:sz w:val="18"/>
                <w:szCs w:val="18"/>
                <w:lang w:eastAsia="en-NZ"/>
              </w:rPr>
            </w:pPr>
            <w:r>
              <w:rPr>
                <w:rFonts w:cs="Segoe UI"/>
                <w:color w:val="000000"/>
                <w:sz w:val="18"/>
                <w:szCs w:val="18"/>
                <w:lang w:eastAsia="en-NZ"/>
              </w:rPr>
              <w:t>5.5</w:t>
            </w:r>
          </w:p>
        </w:tc>
        <w:tc>
          <w:tcPr>
            <w:tcW w:w="1702" w:type="dxa"/>
            <w:tcBorders>
              <w:top w:val="single" w:sz="4" w:space="0" w:color="A6A6A6"/>
              <w:bottom w:val="single" w:sz="4" w:space="0" w:color="A6A6A6"/>
            </w:tcBorders>
            <w:shd w:val="clear" w:color="000000" w:fill="FFFFFF"/>
            <w:vAlign w:val="center"/>
          </w:tcPr>
          <w:p w14:paraId="36AB1C2D" w14:textId="77777777" w:rsidR="00C916E6" w:rsidRPr="00AF3320" w:rsidRDefault="00C916E6" w:rsidP="00C916E6">
            <w:pPr>
              <w:spacing w:before="60" w:after="60"/>
              <w:jc w:val="center"/>
              <w:rPr>
                <w:rFonts w:cs="Segoe UI"/>
                <w:color w:val="000000"/>
                <w:sz w:val="18"/>
                <w:szCs w:val="18"/>
                <w:lang w:eastAsia="en-NZ"/>
              </w:rPr>
            </w:pPr>
            <w:r>
              <w:rPr>
                <w:rFonts w:cs="Segoe UI"/>
                <w:color w:val="000000"/>
                <w:sz w:val="18"/>
                <w:szCs w:val="18"/>
                <w:lang w:eastAsia="en-NZ"/>
              </w:rPr>
              <w:t>7.1</w:t>
            </w:r>
          </w:p>
        </w:tc>
      </w:tr>
      <w:tr w:rsidR="00C916E6" w:rsidRPr="009C66A8" w14:paraId="78C54BC1" w14:textId="77777777" w:rsidTr="000420E5">
        <w:trPr>
          <w:trHeight w:val="306"/>
        </w:trPr>
        <w:tc>
          <w:tcPr>
            <w:tcW w:w="4536" w:type="dxa"/>
            <w:tcBorders>
              <w:top w:val="single" w:sz="4" w:space="0" w:color="A6A6A6"/>
              <w:bottom w:val="single" w:sz="4" w:space="0" w:color="A6A6A6"/>
            </w:tcBorders>
            <w:shd w:val="clear" w:color="000000" w:fill="FFFFFF"/>
            <w:vAlign w:val="center"/>
          </w:tcPr>
          <w:p w14:paraId="7D515C69" w14:textId="77777777" w:rsidR="00C916E6" w:rsidRDefault="00C916E6" w:rsidP="00C916E6">
            <w:pPr>
              <w:spacing w:before="60" w:after="60"/>
              <w:rPr>
                <w:rFonts w:cs="Segoe UI"/>
                <w:color w:val="000000"/>
                <w:sz w:val="18"/>
                <w:szCs w:val="18"/>
                <w:lang w:eastAsia="en-NZ"/>
              </w:rPr>
            </w:pPr>
            <w:r>
              <w:rPr>
                <w:rFonts w:cs="Segoe UI"/>
                <w:color w:val="000000"/>
                <w:sz w:val="18"/>
                <w:szCs w:val="18"/>
                <w:lang w:eastAsia="en-NZ"/>
              </w:rPr>
              <w:t>Number of people secluded per 100,000 population</w:t>
            </w:r>
          </w:p>
        </w:tc>
        <w:tc>
          <w:tcPr>
            <w:tcW w:w="1842" w:type="dxa"/>
            <w:tcBorders>
              <w:top w:val="single" w:sz="4" w:space="0" w:color="A6A6A6"/>
              <w:bottom w:val="single" w:sz="4" w:space="0" w:color="A6A6A6"/>
            </w:tcBorders>
            <w:shd w:val="clear" w:color="000000" w:fill="FFFFFF"/>
            <w:vAlign w:val="center"/>
          </w:tcPr>
          <w:p w14:paraId="3553110C" w14:textId="77777777" w:rsidR="00C916E6" w:rsidRPr="00AF3320" w:rsidRDefault="00C916E6" w:rsidP="00C916E6">
            <w:pPr>
              <w:spacing w:before="60" w:after="60"/>
              <w:jc w:val="center"/>
              <w:rPr>
                <w:rFonts w:cs="Segoe UI"/>
                <w:color w:val="000000"/>
                <w:sz w:val="18"/>
                <w:szCs w:val="18"/>
                <w:lang w:eastAsia="en-NZ"/>
              </w:rPr>
            </w:pPr>
            <w:r>
              <w:rPr>
                <w:rFonts w:cs="Segoe UI"/>
                <w:color w:val="000000"/>
                <w:sz w:val="18"/>
                <w:szCs w:val="18"/>
                <w:lang w:eastAsia="en-NZ"/>
              </w:rPr>
              <w:t>22.8</w:t>
            </w:r>
          </w:p>
        </w:tc>
        <w:tc>
          <w:tcPr>
            <w:tcW w:w="1702" w:type="dxa"/>
            <w:tcBorders>
              <w:top w:val="single" w:sz="4" w:space="0" w:color="A6A6A6"/>
              <w:bottom w:val="single" w:sz="4" w:space="0" w:color="A6A6A6"/>
            </w:tcBorders>
            <w:shd w:val="clear" w:color="000000" w:fill="FFFFFF"/>
            <w:vAlign w:val="center"/>
          </w:tcPr>
          <w:p w14:paraId="4EC1B839" w14:textId="77777777" w:rsidR="00C916E6" w:rsidRPr="00AF3320" w:rsidRDefault="00C916E6" w:rsidP="00C916E6">
            <w:pPr>
              <w:spacing w:before="60" w:after="60"/>
              <w:jc w:val="center"/>
              <w:rPr>
                <w:rFonts w:cs="Segoe UI"/>
                <w:color w:val="000000"/>
                <w:sz w:val="18"/>
                <w:szCs w:val="18"/>
                <w:lang w:eastAsia="en-NZ"/>
              </w:rPr>
            </w:pPr>
            <w:r>
              <w:rPr>
                <w:rFonts w:cs="Segoe UI"/>
                <w:color w:val="000000"/>
                <w:sz w:val="18"/>
                <w:szCs w:val="18"/>
                <w:lang w:eastAsia="en-NZ"/>
              </w:rPr>
              <w:t>22.8</w:t>
            </w:r>
          </w:p>
        </w:tc>
      </w:tr>
      <w:tr w:rsidR="00C916E6" w:rsidRPr="009C66A8" w14:paraId="3C0842CB" w14:textId="77777777" w:rsidTr="000420E5">
        <w:trPr>
          <w:trHeight w:val="306"/>
        </w:trPr>
        <w:tc>
          <w:tcPr>
            <w:tcW w:w="4536" w:type="dxa"/>
            <w:tcBorders>
              <w:top w:val="single" w:sz="4" w:space="0" w:color="A6A6A6"/>
              <w:bottom w:val="single" w:sz="4" w:space="0" w:color="A6A6A6"/>
            </w:tcBorders>
            <w:shd w:val="clear" w:color="000000" w:fill="FFFFFF"/>
            <w:vAlign w:val="center"/>
          </w:tcPr>
          <w:p w14:paraId="43F81E47" w14:textId="77777777" w:rsidR="00C916E6" w:rsidRDefault="00C916E6" w:rsidP="00C916E6">
            <w:pPr>
              <w:spacing w:before="60" w:after="60"/>
              <w:rPr>
                <w:rFonts w:cs="Segoe UI"/>
                <w:color w:val="000000"/>
                <w:sz w:val="18"/>
                <w:szCs w:val="18"/>
                <w:lang w:eastAsia="en-NZ"/>
              </w:rPr>
            </w:pPr>
            <w:r>
              <w:rPr>
                <w:rFonts w:cs="Segoe UI"/>
                <w:color w:val="000000"/>
                <w:sz w:val="18"/>
                <w:szCs w:val="18"/>
                <w:lang w:eastAsia="en-NZ"/>
              </w:rPr>
              <w:t>Number of seclusion events per 100,000 population</w:t>
            </w:r>
          </w:p>
        </w:tc>
        <w:tc>
          <w:tcPr>
            <w:tcW w:w="1842" w:type="dxa"/>
            <w:tcBorders>
              <w:top w:val="single" w:sz="4" w:space="0" w:color="A6A6A6"/>
              <w:bottom w:val="single" w:sz="4" w:space="0" w:color="A6A6A6"/>
            </w:tcBorders>
            <w:shd w:val="clear" w:color="000000" w:fill="FFFFFF"/>
            <w:vAlign w:val="center"/>
          </w:tcPr>
          <w:p w14:paraId="20AE6AAD" w14:textId="77777777" w:rsidR="00C916E6" w:rsidRPr="00AF3320" w:rsidRDefault="00C916E6" w:rsidP="00C916E6">
            <w:pPr>
              <w:spacing w:before="60" w:after="60"/>
              <w:jc w:val="center"/>
              <w:rPr>
                <w:rFonts w:cs="Segoe UI"/>
                <w:color w:val="000000"/>
                <w:sz w:val="18"/>
                <w:szCs w:val="18"/>
                <w:lang w:eastAsia="en-NZ"/>
              </w:rPr>
            </w:pPr>
            <w:r>
              <w:rPr>
                <w:rFonts w:cs="Segoe UI"/>
                <w:color w:val="000000"/>
                <w:sz w:val="18"/>
                <w:szCs w:val="18"/>
                <w:lang w:eastAsia="en-NZ"/>
              </w:rPr>
              <w:t>38.4</w:t>
            </w:r>
          </w:p>
        </w:tc>
        <w:tc>
          <w:tcPr>
            <w:tcW w:w="1702" w:type="dxa"/>
            <w:tcBorders>
              <w:top w:val="single" w:sz="4" w:space="0" w:color="A6A6A6"/>
              <w:bottom w:val="single" w:sz="4" w:space="0" w:color="A6A6A6"/>
            </w:tcBorders>
            <w:shd w:val="clear" w:color="000000" w:fill="FFFFFF"/>
            <w:vAlign w:val="center"/>
          </w:tcPr>
          <w:p w14:paraId="5E3F435E" w14:textId="77777777" w:rsidR="00C916E6" w:rsidRPr="00AF3320" w:rsidRDefault="00C916E6" w:rsidP="00C916E6">
            <w:pPr>
              <w:spacing w:before="60" w:after="60"/>
              <w:jc w:val="center"/>
              <w:rPr>
                <w:rFonts w:cs="Segoe UI"/>
                <w:color w:val="000000"/>
                <w:sz w:val="18"/>
                <w:szCs w:val="18"/>
                <w:lang w:eastAsia="en-NZ"/>
              </w:rPr>
            </w:pPr>
            <w:r>
              <w:rPr>
                <w:rFonts w:cs="Segoe UI"/>
                <w:color w:val="000000"/>
                <w:sz w:val="18"/>
                <w:szCs w:val="18"/>
                <w:lang w:eastAsia="en-NZ"/>
              </w:rPr>
              <w:t>50.0</w:t>
            </w:r>
          </w:p>
        </w:tc>
      </w:tr>
      <w:tr w:rsidR="00C916E6" w:rsidRPr="009C66A8" w14:paraId="1A96F196" w14:textId="77777777" w:rsidTr="000420E5">
        <w:trPr>
          <w:trHeight w:val="306"/>
        </w:trPr>
        <w:tc>
          <w:tcPr>
            <w:tcW w:w="4536" w:type="dxa"/>
            <w:tcBorders>
              <w:top w:val="single" w:sz="4" w:space="0" w:color="A6A6A6"/>
              <w:bottom w:val="single" w:sz="4" w:space="0" w:color="A6A6A6"/>
            </w:tcBorders>
            <w:shd w:val="clear" w:color="000000" w:fill="FFFFFF"/>
            <w:vAlign w:val="center"/>
          </w:tcPr>
          <w:p w14:paraId="23F730D4" w14:textId="77777777" w:rsidR="00C916E6" w:rsidRDefault="00C916E6" w:rsidP="00C916E6">
            <w:pPr>
              <w:spacing w:before="60" w:after="60"/>
              <w:rPr>
                <w:rFonts w:cs="Segoe UI"/>
                <w:color w:val="000000"/>
                <w:sz w:val="18"/>
                <w:szCs w:val="18"/>
                <w:lang w:eastAsia="en-NZ"/>
              </w:rPr>
            </w:pPr>
            <w:r>
              <w:rPr>
                <w:rFonts w:cs="Segoe UI"/>
                <w:color w:val="000000"/>
                <w:sz w:val="18"/>
                <w:szCs w:val="18"/>
                <w:lang w:eastAsia="en-NZ"/>
              </w:rPr>
              <w:t>Average duration per seclusion event</w:t>
            </w:r>
          </w:p>
        </w:tc>
        <w:tc>
          <w:tcPr>
            <w:tcW w:w="1842" w:type="dxa"/>
            <w:tcBorders>
              <w:top w:val="single" w:sz="4" w:space="0" w:color="A6A6A6"/>
              <w:bottom w:val="single" w:sz="4" w:space="0" w:color="A6A6A6"/>
            </w:tcBorders>
            <w:shd w:val="clear" w:color="000000" w:fill="FFFFFF"/>
            <w:vAlign w:val="center"/>
          </w:tcPr>
          <w:p w14:paraId="5D18E8A4" w14:textId="77777777" w:rsidR="00C916E6" w:rsidRPr="00AF3320" w:rsidRDefault="00C916E6" w:rsidP="00C916E6">
            <w:pPr>
              <w:spacing w:before="60" w:after="60"/>
              <w:jc w:val="center"/>
              <w:rPr>
                <w:rFonts w:cs="Segoe UI"/>
                <w:color w:val="000000"/>
                <w:sz w:val="18"/>
                <w:szCs w:val="18"/>
                <w:lang w:eastAsia="en-NZ"/>
              </w:rPr>
            </w:pPr>
            <w:r>
              <w:rPr>
                <w:rFonts w:cs="Segoe UI"/>
                <w:color w:val="000000"/>
                <w:sz w:val="18"/>
                <w:szCs w:val="18"/>
                <w:lang w:eastAsia="en-NZ"/>
              </w:rPr>
              <w:t>27.5 hours</w:t>
            </w:r>
          </w:p>
        </w:tc>
        <w:tc>
          <w:tcPr>
            <w:tcW w:w="1702" w:type="dxa"/>
            <w:tcBorders>
              <w:top w:val="single" w:sz="4" w:space="0" w:color="A6A6A6"/>
              <w:bottom w:val="single" w:sz="4" w:space="0" w:color="A6A6A6"/>
            </w:tcBorders>
            <w:shd w:val="clear" w:color="000000" w:fill="FFFFFF"/>
            <w:vAlign w:val="center"/>
          </w:tcPr>
          <w:p w14:paraId="1FA1BB30" w14:textId="77777777" w:rsidR="00C916E6" w:rsidRPr="00AF3320" w:rsidRDefault="00C916E6" w:rsidP="00C916E6">
            <w:pPr>
              <w:spacing w:before="60" w:after="60"/>
              <w:jc w:val="center"/>
              <w:rPr>
                <w:rFonts w:cs="Segoe UI"/>
                <w:color w:val="000000"/>
                <w:sz w:val="18"/>
                <w:szCs w:val="18"/>
                <w:lang w:eastAsia="en-NZ"/>
              </w:rPr>
            </w:pPr>
            <w:r>
              <w:rPr>
                <w:rFonts w:cs="Segoe UI"/>
                <w:color w:val="000000"/>
                <w:sz w:val="18"/>
                <w:szCs w:val="18"/>
                <w:lang w:eastAsia="en-NZ"/>
              </w:rPr>
              <w:t>24 hours</w:t>
            </w:r>
          </w:p>
        </w:tc>
      </w:tr>
      <w:tr w:rsidR="00C916E6" w:rsidRPr="009C66A8" w14:paraId="27C79CDC" w14:textId="77777777" w:rsidTr="000420E5">
        <w:trPr>
          <w:trHeight w:val="306"/>
        </w:trPr>
        <w:tc>
          <w:tcPr>
            <w:tcW w:w="4536" w:type="dxa"/>
            <w:tcBorders>
              <w:top w:val="single" w:sz="4" w:space="0" w:color="A6A6A6"/>
              <w:bottom w:val="single" w:sz="4" w:space="0" w:color="A6A6A6"/>
            </w:tcBorders>
            <w:shd w:val="clear" w:color="000000" w:fill="FFFFFF"/>
            <w:vAlign w:val="center"/>
          </w:tcPr>
          <w:p w14:paraId="2BBED678" w14:textId="77777777" w:rsidR="00C916E6" w:rsidRDefault="00C916E6" w:rsidP="00C916E6">
            <w:pPr>
              <w:spacing w:before="60" w:after="60"/>
              <w:rPr>
                <w:rFonts w:cs="Segoe UI"/>
                <w:color w:val="000000"/>
                <w:sz w:val="18"/>
                <w:szCs w:val="18"/>
                <w:lang w:eastAsia="en-NZ"/>
              </w:rPr>
            </w:pPr>
            <w:r>
              <w:rPr>
                <w:rFonts w:cs="Segoe UI"/>
                <w:color w:val="000000"/>
                <w:sz w:val="18"/>
                <w:szCs w:val="18"/>
                <w:lang w:eastAsia="en-NZ"/>
              </w:rPr>
              <w:t>Decrease in people secluded since 2009</w:t>
            </w:r>
          </w:p>
        </w:tc>
        <w:tc>
          <w:tcPr>
            <w:tcW w:w="1842" w:type="dxa"/>
            <w:tcBorders>
              <w:top w:val="single" w:sz="4" w:space="0" w:color="A6A6A6"/>
              <w:bottom w:val="single" w:sz="4" w:space="0" w:color="A6A6A6"/>
            </w:tcBorders>
            <w:shd w:val="clear" w:color="000000" w:fill="FFFFFF"/>
            <w:vAlign w:val="center"/>
          </w:tcPr>
          <w:p w14:paraId="53367E4D" w14:textId="77777777" w:rsidR="00C916E6" w:rsidRPr="00AF3320" w:rsidRDefault="00C916E6" w:rsidP="00C916E6">
            <w:pPr>
              <w:spacing w:before="60" w:after="60"/>
              <w:jc w:val="center"/>
              <w:rPr>
                <w:rFonts w:cs="Segoe UI"/>
                <w:color w:val="000000"/>
                <w:sz w:val="18"/>
                <w:szCs w:val="18"/>
                <w:lang w:eastAsia="en-NZ"/>
              </w:rPr>
            </w:pPr>
            <w:r>
              <w:rPr>
                <w:rFonts w:cs="Segoe UI"/>
                <w:color w:val="000000"/>
                <w:sz w:val="18"/>
                <w:szCs w:val="18"/>
                <w:lang w:eastAsia="en-NZ"/>
              </w:rPr>
              <w:t>35%</w:t>
            </w:r>
          </w:p>
        </w:tc>
        <w:tc>
          <w:tcPr>
            <w:tcW w:w="1702" w:type="dxa"/>
            <w:tcBorders>
              <w:top w:val="single" w:sz="4" w:space="0" w:color="A6A6A6"/>
              <w:bottom w:val="single" w:sz="4" w:space="0" w:color="A6A6A6"/>
            </w:tcBorders>
            <w:shd w:val="clear" w:color="000000" w:fill="FFFFFF"/>
            <w:vAlign w:val="center"/>
          </w:tcPr>
          <w:p w14:paraId="6C983F77" w14:textId="77777777" w:rsidR="00C916E6" w:rsidRPr="00AF3320" w:rsidRDefault="00C916E6" w:rsidP="00C916E6">
            <w:pPr>
              <w:spacing w:before="60" w:after="60"/>
              <w:jc w:val="center"/>
              <w:rPr>
                <w:rFonts w:cs="Segoe UI"/>
                <w:color w:val="000000"/>
                <w:sz w:val="18"/>
                <w:szCs w:val="18"/>
                <w:lang w:eastAsia="en-NZ"/>
              </w:rPr>
            </w:pPr>
            <w:r>
              <w:rPr>
                <w:rFonts w:cs="Segoe UI"/>
                <w:color w:val="000000"/>
                <w:sz w:val="18"/>
                <w:szCs w:val="18"/>
                <w:lang w:eastAsia="en-NZ"/>
              </w:rPr>
              <w:t>35%</w:t>
            </w:r>
          </w:p>
        </w:tc>
      </w:tr>
      <w:tr w:rsidR="00C916E6" w:rsidRPr="009C66A8" w14:paraId="1F0D42BC" w14:textId="77777777" w:rsidTr="000420E5">
        <w:trPr>
          <w:trHeight w:val="306"/>
        </w:trPr>
        <w:tc>
          <w:tcPr>
            <w:tcW w:w="4536" w:type="dxa"/>
            <w:tcBorders>
              <w:top w:val="single" w:sz="4" w:space="0" w:color="A6A6A6"/>
              <w:bottom w:val="single" w:sz="4" w:space="0" w:color="A6A6A6"/>
            </w:tcBorders>
            <w:shd w:val="clear" w:color="000000" w:fill="FFFFFF"/>
            <w:vAlign w:val="center"/>
          </w:tcPr>
          <w:p w14:paraId="2FD97BAA" w14:textId="77777777" w:rsidR="00C916E6" w:rsidRDefault="00C916E6" w:rsidP="00C916E6">
            <w:pPr>
              <w:spacing w:before="60" w:after="60"/>
              <w:rPr>
                <w:rFonts w:cs="Segoe UI"/>
                <w:color w:val="000000"/>
                <w:sz w:val="18"/>
                <w:szCs w:val="18"/>
                <w:lang w:eastAsia="en-NZ"/>
              </w:rPr>
            </w:pPr>
            <w:r>
              <w:rPr>
                <w:rFonts w:cs="Segoe UI"/>
                <w:color w:val="000000"/>
                <w:sz w:val="18"/>
                <w:szCs w:val="18"/>
                <w:lang w:eastAsia="en-NZ"/>
              </w:rPr>
              <w:t>Decrease in hours spent in seclusion since 2009</w:t>
            </w:r>
          </w:p>
        </w:tc>
        <w:tc>
          <w:tcPr>
            <w:tcW w:w="1842" w:type="dxa"/>
            <w:tcBorders>
              <w:top w:val="single" w:sz="4" w:space="0" w:color="A6A6A6"/>
              <w:bottom w:val="single" w:sz="4" w:space="0" w:color="A6A6A6"/>
            </w:tcBorders>
            <w:shd w:val="clear" w:color="000000" w:fill="FFFFFF"/>
            <w:vAlign w:val="center"/>
          </w:tcPr>
          <w:p w14:paraId="4569F722" w14:textId="77777777" w:rsidR="00C916E6" w:rsidRPr="00AF3320" w:rsidRDefault="00C916E6" w:rsidP="00C916E6">
            <w:pPr>
              <w:spacing w:before="60" w:after="60"/>
              <w:jc w:val="center"/>
              <w:rPr>
                <w:rFonts w:cs="Segoe UI"/>
                <w:color w:val="000000"/>
                <w:sz w:val="18"/>
                <w:szCs w:val="18"/>
                <w:lang w:eastAsia="en-NZ"/>
              </w:rPr>
            </w:pPr>
            <w:r>
              <w:rPr>
                <w:rFonts w:cs="Segoe UI"/>
                <w:color w:val="000000"/>
                <w:sz w:val="18"/>
                <w:szCs w:val="18"/>
                <w:lang w:eastAsia="en-NZ"/>
              </w:rPr>
              <w:t>65%</w:t>
            </w:r>
          </w:p>
        </w:tc>
        <w:tc>
          <w:tcPr>
            <w:tcW w:w="1702" w:type="dxa"/>
            <w:tcBorders>
              <w:top w:val="single" w:sz="4" w:space="0" w:color="A6A6A6"/>
              <w:bottom w:val="single" w:sz="4" w:space="0" w:color="A6A6A6"/>
            </w:tcBorders>
            <w:shd w:val="clear" w:color="000000" w:fill="FFFFFF"/>
            <w:vAlign w:val="center"/>
          </w:tcPr>
          <w:p w14:paraId="0D3AAD0B" w14:textId="77777777" w:rsidR="00C916E6" w:rsidRPr="00AF3320" w:rsidRDefault="00C916E6" w:rsidP="00C916E6">
            <w:pPr>
              <w:spacing w:before="60" w:after="60"/>
              <w:jc w:val="center"/>
              <w:rPr>
                <w:rFonts w:cs="Segoe UI"/>
                <w:color w:val="000000"/>
                <w:sz w:val="18"/>
                <w:szCs w:val="18"/>
                <w:lang w:eastAsia="en-NZ"/>
              </w:rPr>
            </w:pPr>
            <w:r>
              <w:rPr>
                <w:rFonts w:cs="Segoe UI"/>
                <w:color w:val="000000"/>
                <w:sz w:val="18"/>
                <w:szCs w:val="18"/>
                <w:lang w:eastAsia="en-NZ"/>
              </w:rPr>
              <w:t>60%</w:t>
            </w:r>
          </w:p>
        </w:tc>
      </w:tr>
      <w:tr w:rsidR="00C916E6" w:rsidRPr="009C66A8" w14:paraId="4B5FC1A1" w14:textId="77777777" w:rsidTr="000420E5">
        <w:trPr>
          <w:trHeight w:val="306"/>
        </w:trPr>
        <w:tc>
          <w:tcPr>
            <w:tcW w:w="4536" w:type="dxa"/>
            <w:tcBorders>
              <w:top w:val="single" w:sz="4" w:space="0" w:color="A6A6A6"/>
              <w:bottom w:val="single" w:sz="4" w:space="0" w:color="A6A6A6"/>
            </w:tcBorders>
            <w:shd w:val="clear" w:color="000000" w:fill="FFFFFF"/>
            <w:vAlign w:val="center"/>
          </w:tcPr>
          <w:p w14:paraId="5AC5E190" w14:textId="77777777" w:rsidR="00C916E6" w:rsidRDefault="00C916E6" w:rsidP="00C916E6">
            <w:pPr>
              <w:spacing w:before="60" w:after="60"/>
              <w:rPr>
                <w:rFonts w:cs="Segoe UI"/>
                <w:color w:val="000000"/>
                <w:sz w:val="18"/>
                <w:szCs w:val="18"/>
                <w:lang w:eastAsia="en-NZ"/>
              </w:rPr>
            </w:pPr>
            <w:r>
              <w:rPr>
                <w:rFonts w:cs="Segoe UI"/>
                <w:color w:val="000000"/>
                <w:sz w:val="18"/>
                <w:szCs w:val="18"/>
                <w:lang w:eastAsia="en-NZ"/>
              </w:rPr>
              <w:t>Decrease in hours spent in seclusion since 2021/22</w:t>
            </w:r>
          </w:p>
        </w:tc>
        <w:tc>
          <w:tcPr>
            <w:tcW w:w="1842" w:type="dxa"/>
            <w:tcBorders>
              <w:top w:val="single" w:sz="4" w:space="0" w:color="A6A6A6"/>
              <w:bottom w:val="single" w:sz="4" w:space="0" w:color="A6A6A6"/>
            </w:tcBorders>
            <w:shd w:val="clear" w:color="000000" w:fill="FFFFFF"/>
            <w:vAlign w:val="center"/>
          </w:tcPr>
          <w:p w14:paraId="746B4526" w14:textId="77777777" w:rsidR="00C916E6" w:rsidRPr="00AF3320" w:rsidRDefault="00C916E6" w:rsidP="00C916E6">
            <w:pPr>
              <w:spacing w:before="60" w:after="60"/>
              <w:jc w:val="center"/>
              <w:rPr>
                <w:rFonts w:cs="Segoe UI"/>
                <w:color w:val="000000"/>
                <w:sz w:val="18"/>
                <w:szCs w:val="18"/>
                <w:lang w:eastAsia="en-NZ"/>
              </w:rPr>
            </w:pPr>
            <w:r>
              <w:rPr>
                <w:rFonts w:cs="Segoe UI"/>
                <w:color w:val="000000"/>
                <w:sz w:val="18"/>
                <w:szCs w:val="18"/>
                <w:lang w:eastAsia="en-NZ"/>
              </w:rPr>
              <w:t>17%</w:t>
            </w:r>
          </w:p>
        </w:tc>
        <w:tc>
          <w:tcPr>
            <w:tcW w:w="1702" w:type="dxa"/>
            <w:tcBorders>
              <w:top w:val="single" w:sz="4" w:space="0" w:color="A6A6A6"/>
              <w:bottom w:val="single" w:sz="4" w:space="0" w:color="A6A6A6"/>
            </w:tcBorders>
            <w:shd w:val="clear" w:color="000000" w:fill="FFFFFF"/>
            <w:vAlign w:val="center"/>
          </w:tcPr>
          <w:p w14:paraId="5248BBF7" w14:textId="77777777" w:rsidR="00C916E6" w:rsidRPr="00AF3320" w:rsidRDefault="00C916E6" w:rsidP="00C916E6">
            <w:pPr>
              <w:spacing w:before="60" w:after="60"/>
              <w:jc w:val="center"/>
              <w:rPr>
                <w:rFonts w:cs="Segoe UI"/>
                <w:color w:val="000000"/>
                <w:sz w:val="18"/>
                <w:szCs w:val="18"/>
                <w:lang w:eastAsia="en-NZ"/>
              </w:rPr>
            </w:pPr>
            <w:r>
              <w:rPr>
                <w:rFonts w:cs="Segoe UI"/>
                <w:color w:val="000000"/>
                <w:sz w:val="18"/>
                <w:szCs w:val="18"/>
                <w:lang w:eastAsia="en-NZ"/>
              </w:rPr>
              <w:t>5%</w:t>
            </w:r>
          </w:p>
        </w:tc>
      </w:tr>
      <w:tr w:rsidR="00C916E6" w:rsidRPr="009C66A8" w14:paraId="54D99178" w14:textId="77777777" w:rsidTr="000420E5">
        <w:trPr>
          <w:trHeight w:val="306"/>
        </w:trPr>
        <w:tc>
          <w:tcPr>
            <w:tcW w:w="8080" w:type="dxa"/>
            <w:gridSpan w:val="3"/>
            <w:tcBorders>
              <w:top w:val="single" w:sz="4" w:space="0" w:color="A6A6A6"/>
              <w:bottom w:val="single" w:sz="4" w:space="0" w:color="A6A6A6"/>
            </w:tcBorders>
            <w:shd w:val="clear" w:color="000000" w:fill="FFFFFF"/>
            <w:vAlign w:val="center"/>
          </w:tcPr>
          <w:p w14:paraId="33942198" w14:textId="77777777" w:rsidR="00C916E6" w:rsidRPr="00AF3320" w:rsidRDefault="00C916E6" w:rsidP="00C916E6">
            <w:pPr>
              <w:spacing w:before="60" w:after="60"/>
              <w:rPr>
                <w:rFonts w:cs="Segoe UI"/>
                <w:color w:val="000000"/>
                <w:sz w:val="18"/>
                <w:szCs w:val="18"/>
                <w:lang w:eastAsia="en-NZ"/>
              </w:rPr>
            </w:pPr>
            <w:r>
              <w:rPr>
                <w:rFonts w:cs="Segoe UI"/>
                <w:b/>
                <w:bCs/>
                <w:color w:val="000000"/>
                <w:sz w:val="18"/>
                <w:szCs w:val="18"/>
                <w:lang w:eastAsia="en-NZ"/>
              </w:rPr>
              <w:t>Forensic services</w:t>
            </w:r>
          </w:p>
        </w:tc>
      </w:tr>
      <w:tr w:rsidR="00C916E6" w:rsidRPr="009C66A8" w14:paraId="4C690BF4" w14:textId="77777777" w:rsidTr="000420E5">
        <w:trPr>
          <w:trHeight w:val="306"/>
        </w:trPr>
        <w:tc>
          <w:tcPr>
            <w:tcW w:w="4536" w:type="dxa"/>
            <w:tcBorders>
              <w:top w:val="single" w:sz="4" w:space="0" w:color="A6A6A6"/>
              <w:bottom w:val="single" w:sz="4" w:space="0" w:color="A6A6A6"/>
            </w:tcBorders>
            <w:shd w:val="clear" w:color="000000" w:fill="FFFFFF"/>
            <w:vAlign w:val="center"/>
          </w:tcPr>
          <w:p w14:paraId="39AE8CD9" w14:textId="77777777" w:rsidR="00C916E6" w:rsidRDefault="00C916E6" w:rsidP="00C916E6">
            <w:pPr>
              <w:spacing w:before="60" w:after="60"/>
              <w:rPr>
                <w:rFonts w:cs="Segoe UI"/>
                <w:color w:val="000000"/>
                <w:sz w:val="18"/>
                <w:szCs w:val="18"/>
                <w:lang w:eastAsia="en-NZ"/>
              </w:rPr>
            </w:pPr>
            <w:r>
              <w:rPr>
                <w:rFonts w:cs="Segoe UI"/>
                <w:color w:val="000000"/>
                <w:sz w:val="18"/>
                <w:szCs w:val="18"/>
                <w:lang w:eastAsia="en-NZ"/>
              </w:rPr>
              <w:t>Number of people secluded</w:t>
            </w:r>
          </w:p>
        </w:tc>
        <w:tc>
          <w:tcPr>
            <w:tcW w:w="1842" w:type="dxa"/>
            <w:tcBorders>
              <w:top w:val="single" w:sz="4" w:space="0" w:color="A6A6A6"/>
              <w:bottom w:val="single" w:sz="4" w:space="0" w:color="A6A6A6"/>
            </w:tcBorders>
            <w:shd w:val="clear" w:color="000000" w:fill="FFFFFF"/>
            <w:vAlign w:val="center"/>
          </w:tcPr>
          <w:p w14:paraId="785E3C04" w14:textId="77777777" w:rsidR="00C916E6" w:rsidRPr="00AF3320" w:rsidRDefault="00C916E6" w:rsidP="00C916E6">
            <w:pPr>
              <w:spacing w:before="60" w:after="60"/>
              <w:jc w:val="center"/>
              <w:rPr>
                <w:rFonts w:cs="Segoe UI"/>
                <w:color w:val="000000"/>
                <w:sz w:val="18"/>
                <w:szCs w:val="18"/>
                <w:lang w:eastAsia="en-NZ"/>
              </w:rPr>
            </w:pPr>
            <w:r>
              <w:rPr>
                <w:rFonts w:cs="Segoe UI"/>
                <w:color w:val="000000"/>
                <w:sz w:val="18"/>
                <w:szCs w:val="18"/>
                <w:lang w:eastAsia="en-NZ"/>
              </w:rPr>
              <w:t>119</w:t>
            </w:r>
          </w:p>
        </w:tc>
        <w:tc>
          <w:tcPr>
            <w:tcW w:w="1702" w:type="dxa"/>
            <w:tcBorders>
              <w:top w:val="single" w:sz="4" w:space="0" w:color="A6A6A6"/>
              <w:bottom w:val="single" w:sz="4" w:space="0" w:color="A6A6A6"/>
            </w:tcBorders>
            <w:shd w:val="clear" w:color="000000" w:fill="FFFFFF"/>
            <w:vAlign w:val="center"/>
          </w:tcPr>
          <w:p w14:paraId="523167D4" w14:textId="77777777" w:rsidR="00C916E6" w:rsidRPr="00AF3320" w:rsidRDefault="00C916E6" w:rsidP="00C916E6">
            <w:pPr>
              <w:spacing w:before="60" w:after="60"/>
              <w:jc w:val="center"/>
              <w:rPr>
                <w:rFonts w:cs="Segoe UI"/>
                <w:color w:val="000000"/>
                <w:sz w:val="18"/>
                <w:szCs w:val="18"/>
                <w:lang w:eastAsia="en-NZ"/>
              </w:rPr>
            </w:pPr>
            <w:r>
              <w:rPr>
                <w:rFonts w:cs="Segoe UI"/>
                <w:color w:val="000000"/>
                <w:sz w:val="18"/>
                <w:szCs w:val="18"/>
                <w:lang w:eastAsia="en-NZ"/>
              </w:rPr>
              <w:t>120</w:t>
            </w:r>
          </w:p>
        </w:tc>
      </w:tr>
      <w:tr w:rsidR="00C916E6" w:rsidRPr="009C66A8" w14:paraId="2F86E5B2" w14:textId="77777777" w:rsidTr="000420E5">
        <w:trPr>
          <w:trHeight w:val="306"/>
        </w:trPr>
        <w:tc>
          <w:tcPr>
            <w:tcW w:w="4536" w:type="dxa"/>
            <w:tcBorders>
              <w:top w:val="single" w:sz="4" w:space="0" w:color="A6A6A6"/>
              <w:bottom w:val="single" w:sz="4" w:space="0" w:color="A6A6A6"/>
            </w:tcBorders>
            <w:shd w:val="clear" w:color="000000" w:fill="FFFFFF"/>
            <w:vAlign w:val="center"/>
          </w:tcPr>
          <w:p w14:paraId="74FC649B" w14:textId="77777777" w:rsidR="00C916E6" w:rsidRDefault="00C916E6" w:rsidP="00C916E6">
            <w:pPr>
              <w:spacing w:before="60" w:after="60"/>
              <w:rPr>
                <w:rFonts w:cs="Segoe UI"/>
                <w:color w:val="000000"/>
                <w:sz w:val="18"/>
                <w:szCs w:val="18"/>
                <w:lang w:eastAsia="en-NZ"/>
              </w:rPr>
            </w:pPr>
            <w:r>
              <w:rPr>
                <w:rFonts w:cs="Segoe UI"/>
                <w:color w:val="000000"/>
                <w:sz w:val="18"/>
                <w:szCs w:val="18"/>
                <w:lang w:eastAsia="en-NZ"/>
              </w:rPr>
              <w:t>Number of hours of seclusion</w:t>
            </w:r>
          </w:p>
        </w:tc>
        <w:tc>
          <w:tcPr>
            <w:tcW w:w="1842" w:type="dxa"/>
            <w:tcBorders>
              <w:top w:val="single" w:sz="4" w:space="0" w:color="A6A6A6"/>
              <w:bottom w:val="single" w:sz="4" w:space="0" w:color="A6A6A6"/>
            </w:tcBorders>
            <w:shd w:val="clear" w:color="000000" w:fill="FFFFFF"/>
            <w:vAlign w:val="center"/>
          </w:tcPr>
          <w:p w14:paraId="11AC8DC4" w14:textId="77777777" w:rsidR="00C916E6" w:rsidRPr="00AF3320" w:rsidRDefault="00C916E6" w:rsidP="00C916E6">
            <w:pPr>
              <w:spacing w:before="60" w:after="60"/>
              <w:jc w:val="center"/>
              <w:rPr>
                <w:rFonts w:cs="Segoe UI"/>
                <w:color w:val="000000"/>
                <w:sz w:val="18"/>
                <w:szCs w:val="18"/>
                <w:lang w:eastAsia="en-NZ"/>
              </w:rPr>
            </w:pPr>
            <w:r>
              <w:rPr>
                <w:rFonts w:cs="Segoe UI"/>
                <w:color w:val="000000"/>
                <w:sz w:val="18"/>
                <w:szCs w:val="18"/>
                <w:lang w:eastAsia="en-NZ"/>
              </w:rPr>
              <w:t>23,718</w:t>
            </w:r>
          </w:p>
        </w:tc>
        <w:tc>
          <w:tcPr>
            <w:tcW w:w="1702" w:type="dxa"/>
            <w:tcBorders>
              <w:top w:val="single" w:sz="4" w:space="0" w:color="A6A6A6"/>
              <w:bottom w:val="single" w:sz="4" w:space="0" w:color="A6A6A6"/>
            </w:tcBorders>
            <w:shd w:val="clear" w:color="000000" w:fill="FFFFFF"/>
            <w:vAlign w:val="center"/>
          </w:tcPr>
          <w:p w14:paraId="23C74AA2" w14:textId="77777777" w:rsidR="00C916E6" w:rsidRPr="00AF3320" w:rsidRDefault="00C916E6" w:rsidP="00C916E6">
            <w:pPr>
              <w:spacing w:before="60" w:after="60"/>
              <w:jc w:val="center"/>
              <w:rPr>
                <w:rFonts w:cs="Segoe UI"/>
                <w:color w:val="000000"/>
                <w:sz w:val="18"/>
                <w:szCs w:val="18"/>
                <w:lang w:eastAsia="en-NZ"/>
              </w:rPr>
            </w:pPr>
            <w:r>
              <w:rPr>
                <w:rFonts w:cs="Segoe UI"/>
                <w:color w:val="000000"/>
                <w:sz w:val="18"/>
                <w:szCs w:val="18"/>
                <w:lang w:eastAsia="en-NZ"/>
              </w:rPr>
              <w:t>28,477</w:t>
            </w:r>
          </w:p>
        </w:tc>
      </w:tr>
      <w:tr w:rsidR="00C916E6" w:rsidRPr="009C66A8" w14:paraId="011D2468" w14:textId="77777777" w:rsidTr="000420E5">
        <w:trPr>
          <w:trHeight w:val="306"/>
        </w:trPr>
        <w:tc>
          <w:tcPr>
            <w:tcW w:w="4536" w:type="dxa"/>
            <w:tcBorders>
              <w:top w:val="single" w:sz="4" w:space="0" w:color="A6A6A6"/>
              <w:bottom w:val="single" w:sz="4" w:space="0" w:color="A6A6A6"/>
            </w:tcBorders>
            <w:shd w:val="clear" w:color="000000" w:fill="FFFFFF"/>
            <w:vAlign w:val="center"/>
          </w:tcPr>
          <w:p w14:paraId="6526A405" w14:textId="77777777" w:rsidR="00C916E6" w:rsidRDefault="00C916E6" w:rsidP="00C916E6">
            <w:pPr>
              <w:spacing w:before="60" w:after="60"/>
              <w:rPr>
                <w:rFonts w:cs="Segoe UI"/>
                <w:color w:val="000000"/>
                <w:sz w:val="18"/>
                <w:szCs w:val="18"/>
                <w:lang w:eastAsia="en-NZ"/>
              </w:rPr>
            </w:pPr>
            <w:r>
              <w:rPr>
                <w:rFonts w:cs="Segoe UI"/>
                <w:color w:val="000000"/>
                <w:sz w:val="18"/>
                <w:szCs w:val="18"/>
                <w:lang w:eastAsia="en-NZ"/>
              </w:rPr>
              <w:t>Number of seclusion events</w:t>
            </w:r>
          </w:p>
        </w:tc>
        <w:tc>
          <w:tcPr>
            <w:tcW w:w="1842" w:type="dxa"/>
            <w:tcBorders>
              <w:top w:val="single" w:sz="4" w:space="0" w:color="A6A6A6"/>
              <w:bottom w:val="single" w:sz="4" w:space="0" w:color="A6A6A6"/>
            </w:tcBorders>
            <w:shd w:val="clear" w:color="000000" w:fill="FFFFFF"/>
            <w:vAlign w:val="center"/>
          </w:tcPr>
          <w:p w14:paraId="166F432A" w14:textId="77777777" w:rsidR="00C916E6" w:rsidRPr="00AF3320" w:rsidRDefault="00C916E6" w:rsidP="00C916E6">
            <w:pPr>
              <w:spacing w:before="60" w:after="60"/>
              <w:jc w:val="center"/>
              <w:rPr>
                <w:rFonts w:cs="Segoe UI"/>
                <w:color w:val="000000"/>
                <w:sz w:val="18"/>
                <w:szCs w:val="18"/>
                <w:lang w:eastAsia="en-NZ"/>
              </w:rPr>
            </w:pPr>
            <w:r>
              <w:rPr>
                <w:rFonts w:cs="Segoe UI"/>
                <w:color w:val="000000"/>
                <w:sz w:val="18"/>
                <w:szCs w:val="18"/>
                <w:lang w:eastAsia="en-NZ"/>
              </w:rPr>
              <w:t>355</w:t>
            </w:r>
          </w:p>
        </w:tc>
        <w:tc>
          <w:tcPr>
            <w:tcW w:w="1702" w:type="dxa"/>
            <w:tcBorders>
              <w:top w:val="single" w:sz="4" w:space="0" w:color="A6A6A6"/>
              <w:bottom w:val="single" w:sz="4" w:space="0" w:color="A6A6A6"/>
            </w:tcBorders>
            <w:shd w:val="clear" w:color="000000" w:fill="FFFFFF"/>
            <w:vAlign w:val="center"/>
          </w:tcPr>
          <w:p w14:paraId="45705296" w14:textId="77777777" w:rsidR="00C916E6" w:rsidRPr="00AF3320" w:rsidRDefault="00C916E6" w:rsidP="00C916E6">
            <w:pPr>
              <w:spacing w:before="60" w:after="60"/>
              <w:jc w:val="center"/>
              <w:rPr>
                <w:rFonts w:cs="Segoe UI"/>
                <w:color w:val="000000"/>
                <w:sz w:val="18"/>
                <w:szCs w:val="18"/>
                <w:lang w:eastAsia="en-NZ"/>
              </w:rPr>
            </w:pPr>
            <w:r>
              <w:rPr>
                <w:rFonts w:cs="Segoe UI"/>
                <w:color w:val="000000"/>
                <w:sz w:val="18"/>
                <w:szCs w:val="18"/>
                <w:lang w:eastAsia="en-NZ"/>
              </w:rPr>
              <w:t>374</w:t>
            </w:r>
          </w:p>
        </w:tc>
      </w:tr>
      <w:tr w:rsidR="00C916E6" w:rsidRPr="009C66A8" w14:paraId="63C89FC1" w14:textId="77777777" w:rsidTr="000420E5">
        <w:trPr>
          <w:trHeight w:val="306"/>
        </w:trPr>
        <w:tc>
          <w:tcPr>
            <w:tcW w:w="8080" w:type="dxa"/>
            <w:gridSpan w:val="3"/>
            <w:tcBorders>
              <w:top w:val="single" w:sz="4" w:space="0" w:color="A6A6A6"/>
              <w:bottom w:val="single" w:sz="4" w:space="0" w:color="A6A6A6"/>
            </w:tcBorders>
            <w:shd w:val="clear" w:color="000000" w:fill="FFFFFF"/>
            <w:vAlign w:val="center"/>
          </w:tcPr>
          <w:p w14:paraId="560A4A13" w14:textId="77777777" w:rsidR="00C916E6" w:rsidRPr="00AF3320" w:rsidRDefault="00C916E6" w:rsidP="00C916E6">
            <w:pPr>
              <w:spacing w:before="60" w:after="60"/>
              <w:rPr>
                <w:rFonts w:cs="Segoe UI"/>
                <w:color w:val="000000"/>
                <w:sz w:val="18"/>
                <w:szCs w:val="18"/>
                <w:lang w:eastAsia="en-NZ"/>
              </w:rPr>
            </w:pPr>
            <w:r>
              <w:rPr>
                <w:rFonts w:cs="Segoe UI"/>
                <w:b/>
                <w:bCs/>
                <w:color w:val="000000"/>
                <w:sz w:val="18"/>
                <w:szCs w:val="18"/>
                <w:lang w:eastAsia="en-NZ"/>
              </w:rPr>
              <w:t>Intellectual disability services</w:t>
            </w:r>
          </w:p>
        </w:tc>
      </w:tr>
      <w:tr w:rsidR="00C916E6" w:rsidRPr="009C66A8" w14:paraId="58A5CA14" w14:textId="77777777" w:rsidTr="000420E5">
        <w:trPr>
          <w:trHeight w:val="306"/>
        </w:trPr>
        <w:tc>
          <w:tcPr>
            <w:tcW w:w="4536" w:type="dxa"/>
            <w:tcBorders>
              <w:top w:val="single" w:sz="4" w:space="0" w:color="A6A6A6"/>
              <w:bottom w:val="single" w:sz="4" w:space="0" w:color="A6A6A6"/>
            </w:tcBorders>
            <w:shd w:val="clear" w:color="000000" w:fill="FFFFFF"/>
            <w:vAlign w:val="center"/>
          </w:tcPr>
          <w:p w14:paraId="22A5A727" w14:textId="77777777" w:rsidR="00C916E6" w:rsidRDefault="00C916E6" w:rsidP="00C916E6">
            <w:pPr>
              <w:spacing w:before="60" w:after="60"/>
              <w:rPr>
                <w:rFonts w:cs="Segoe UI"/>
                <w:color w:val="000000"/>
                <w:sz w:val="18"/>
                <w:szCs w:val="18"/>
                <w:lang w:eastAsia="en-NZ"/>
              </w:rPr>
            </w:pPr>
            <w:r>
              <w:rPr>
                <w:rFonts w:cs="Segoe UI"/>
                <w:color w:val="000000"/>
                <w:sz w:val="18"/>
                <w:szCs w:val="18"/>
                <w:lang w:eastAsia="en-NZ"/>
              </w:rPr>
              <w:t>Number of people secluded</w:t>
            </w:r>
          </w:p>
        </w:tc>
        <w:tc>
          <w:tcPr>
            <w:tcW w:w="1842" w:type="dxa"/>
            <w:tcBorders>
              <w:top w:val="single" w:sz="4" w:space="0" w:color="A6A6A6"/>
              <w:bottom w:val="single" w:sz="4" w:space="0" w:color="A6A6A6"/>
            </w:tcBorders>
            <w:shd w:val="clear" w:color="000000" w:fill="FFFFFF"/>
            <w:vAlign w:val="center"/>
          </w:tcPr>
          <w:p w14:paraId="480A3632" w14:textId="77777777" w:rsidR="00C916E6" w:rsidRPr="00AF3320" w:rsidRDefault="00C916E6" w:rsidP="00C916E6">
            <w:pPr>
              <w:spacing w:before="60" w:after="60"/>
              <w:jc w:val="center"/>
              <w:rPr>
                <w:rFonts w:cs="Segoe UI"/>
                <w:color w:val="000000"/>
                <w:sz w:val="18"/>
                <w:szCs w:val="18"/>
                <w:lang w:eastAsia="en-NZ"/>
              </w:rPr>
            </w:pPr>
            <w:r>
              <w:rPr>
                <w:rFonts w:cs="Segoe UI"/>
                <w:color w:val="000000"/>
                <w:sz w:val="18"/>
                <w:szCs w:val="18"/>
                <w:lang w:eastAsia="en-NZ"/>
              </w:rPr>
              <w:t>24</w:t>
            </w:r>
          </w:p>
        </w:tc>
        <w:tc>
          <w:tcPr>
            <w:tcW w:w="1702" w:type="dxa"/>
            <w:tcBorders>
              <w:top w:val="single" w:sz="4" w:space="0" w:color="A6A6A6"/>
              <w:bottom w:val="single" w:sz="4" w:space="0" w:color="A6A6A6"/>
            </w:tcBorders>
            <w:shd w:val="clear" w:color="000000" w:fill="FFFFFF"/>
            <w:vAlign w:val="center"/>
          </w:tcPr>
          <w:p w14:paraId="4ACDEA64" w14:textId="77777777" w:rsidR="00C916E6" w:rsidRPr="00AF3320" w:rsidRDefault="00C916E6" w:rsidP="00C916E6">
            <w:pPr>
              <w:spacing w:before="60" w:after="60"/>
              <w:jc w:val="center"/>
              <w:rPr>
                <w:rFonts w:cs="Segoe UI"/>
                <w:color w:val="000000"/>
                <w:sz w:val="18"/>
                <w:szCs w:val="18"/>
                <w:lang w:eastAsia="en-NZ"/>
              </w:rPr>
            </w:pPr>
            <w:r>
              <w:rPr>
                <w:rFonts w:cs="Segoe UI"/>
                <w:color w:val="000000"/>
                <w:sz w:val="18"/>
                <w:szCs w:val="18"/>
                <w:lang w:eastAsia="en-NZ"/>
              </w:rPr>
              <w:t>29</w:t>
            </w:r>
          </w:p>
        </w:tc>
      </w:tr>
      <w:tr w:rsidR="00C916E6" w:rsidRPr="009C66A8" w14:paraId="7E77CD4D" w14:textId="77777777" w:rsidTr="000420E5">
        <w:trPr>
          <w:trHeight w:val="306"/>
        </w:trPr>
        <w:tc>
          <w:tcPr>
            <w:tcW w:w="4536" w:type="dxa"/>
            <w:tcBorders>
              <w:top w:val="single" w:sz="4" w:space="0" w:color="A6A6A6"/>
              <w:bottom w:val="single" w:sz="4" w:space="0" w:color="A6A6A6"/>
            </w:tcBorders>
            <w:shd w:val="clear" w:color="000000" w:fill="FFFFFF"/>
            <w:vAlign w:val="center"/>
          </w:tcPr>
          <w:p w14:paraId="6B46539B" w14:textId="77777777" w:rsidR="00C916E6" w:rsidRDefault="00C916E6" w:rsidP="00C916E6">
            <w:pPr>
              <w:spacing w:before="60" w:after="60"/>
              <w:rPr>
                <w:rFonts w:cs="Segoe UI"/>
                <w:color w:val="000000"/>
                <w:sz w:val="18"/>
                <w:szCs w:val="18"/>
                <w:lang w:eastAsia="en-NZ"/>
              </w:rPr>
            </w:pPr>
            <w:r>
              <w:rPr>
                <w:rFonts w:cs="Segoe UI"/>
                <w:color w:val="000000"/>
                <w:sz w:val="18"/>
                <w:szCs w:val="18"/>
                <w:lang w:eastAsia="en-NZ"/>
              </w:rPr>
              <w:t>Number of hours of seclusion</w:t>
            </w:r>
          </w:p>
        </w:tc>
        <w:tc>
          <w:tcPr>
            <w:tcW w:w="1842" w:type="dxa"/>
            <w:tcBorders>
              <w:top w:val="single" w:sz="4" w:space="0" w:color="A6A6A6"/>
              <w:bottom w:val="single" w:sz="4" w:space="0" w:color="A6A6A6"/>
            </w:tcBorders>
            <w:shd w:val="clear" w:color="000000" w:fill="FFFFFF"/>
            <w:vAlign w:val="center"/>
          </w:tcPr>
          <w:p w14:paraId="04024232" w14:textId="77777777" w:rsidR="00C916E6" w:rsidRPr="00AF3320" w:rsidRDefault="00C916E6" w:rsidP="00C916E6">
            <w:pPr>
              <w:spacing w:before="60" w:after="60"/>
              <w:jc w:val="center"/>
              <w:rPr>
                <w:rFonts w:cs="Segoe UI"/>
                <w:color w:val="000000"/>
                <w:sz w:val="18"/>
                <w:szCs w:val="18"/>
                <w:lang w:eastAsia="en-NZ"/>
              </w:rPr>
            </w:pPr>
            <w:r>
              <w:rPr>
                <w:rFonts w:cs="Segoe UI"/>
                <w:color w:val="000000"/>
                <w:sz w:val="18"/>
                <w:szCs w:val="18"/>
                <w:lang w:eastAsia="en-NZ"/>
              </w:rPr>
              <w:t>3,106</w:t>
            </w:r>
          </w:p>
        </w:tc>
        <w:tc>
          <w:tcPr>
            <w:tcW w:w="1702" w:type="dxa"/>
            <w:tcBorders>
              <w:top w:val="single" w:sz="4" w:space="0" w:color="A6A6A6"/>
              <w:bottom w:val="single" w:sz="4" w:space="0" w:color="A6A6A6"/>
            </w:tcBorders>
            <w:shd w:val="clear" w:color="000000" w:fill="FFFFFF"/>
            <w:vAlign w:val="center"/>
          </w:tcPr>
          <w:p w14:paraId="65B22665" w14:textId="77777777" w:rsidR="00C916E6" w:rsidRPr="00AF3320" w:rsidRDefault="00C916E6" w:rsidP="00C916E6">
            <w:pPr>
              <w:spacing w:before="60" w:after="60"/>
              <w:jc w:val="center"/>
              <w:rPr>
                <w:rFonts w:cs="Segoe UI"/>
                <w:color w:val="000000"/>
                <w:sz w:val="18"/>
                <w:szCs w:val="18"/>
                <w:lang w:eastAsia="en-NZ"/>
              </w:rPr>
            </w:pPr>
            <w:r>
              <w:rPr>
                <w:rFonts w:cs="Segoe UI"/>
                <w:color w:val="000000"/>
                <w:sz w:val="18"/>
                <w:szCs w:val="18"/>
                <w:lang w:eastAsia="en-NZ"/>
              </w:rPr>
              <w:t>30,116</w:t>
            </w:r>
          </w:p>
        </w:tc>
      </w:tr>
      <w:tr w:rsidR="00C916E6" w:rsidRPr="009C66A8" w14:paraId="4B22EA46" w14:textId="77777777" w:rsidTr="000420E5">
        <w:trPr>
          <w:trHeight w:val="306"/>
        </w:trPr>
        <w:tc>
          <w:tcPr>
            <w:tcW w:w="4536" w:type="dxa"/>
            <w:tcBorders>
              <w:top w:val="single" w:sz="4" w:space="0" w:color="A6A6A6"/>
              <w:bottom w:val="single" w:sz="4" w:space="0" w:color="A6A6A6"/>
            </w:tcBorders>
            <w:shd w:val="clear" w:color="000000" w:fill="FFFFFF"/>
            <w:vAlign w:val="center"/>
          </w:tcPr>
          <w:p w14:paraId="550BF04B" w14:textId="77777777" w:rsidR="00C916E6" w:rsidRDefault="00C916E6" w:rsidP="00C916E6">
            <w:pPr>
              <w:spacing w:before="60" w:after="60"/>
              <w:rPr>
                <w:rFonts w:cs="Segoe UI"/>
                <w:color w:val="000000"/>
                <w:sz w:val="18"/>
                <w:szCs w:val="18"/>
                <w:lang w:eastAsia="en-NZ"/>
              </w:rPr>
            </w:pPr>
            <w:r>
              <w:rPr>
                <w:rFonts w:cs="Segoe UI"/>
                <w:color w:val="000000"/>
                <w:sz w:val="18"/>
                <w:szCs w:val="18"/>
                <w:lang w:eastAsia="en-NZ"/>
              </w:rPr>
              <w:t>Number of seclusion events</w:t>
            </w:r>
          </w:p>
        </w:tc>
        <w:tc>
          <w:tcPr>
            <w:tcW w:w="1842" w:type="dxa"/>
            <w:tcBorders>
              <w:top w:val="single" w:sz="4" w:space="0" w:color="A6A6A6"/>
              <w:bottom w:val="single" w:sz="4" w:space="0" w:color="A6A6A6"/>
            </w:tcBorders>
            <w:shd w:val="clear" w:color="000000" w:fill="FFFFFF"/>
            <w:vAlign w:val="center"/>
          </w:tcPr>
          <w:p w14:paraId="460E47AF" w14:textId="77777777" w:rsidR="00C916E6" w:rsidRPr="00AF3320" w:rsidRDefault="00C916E6" w:rsidP="00C916E6">
            <w:pPr>
              <w:spacing w:before="60" w:after="60"/>
              <w:jc w:val="center"/>
              <w:rPr>
                <w:rFonts w:cs="Segoe UI"/>
                <w:color w:val="000000"/>
                <w:sz w:val="18"/>
                <w:szCs w:val="18"/>
                <w:lang w:eastAsia="en-NZ"/>
              </w:rPr>
            </w:pPr>
            <w:r>
              <w:rPr>
                <w:rFonts w:cs="Segoe UI"/>
                <w:color w:val="000000"/>
                <w:sz w:val="18"/>
                <w:szCs w:val="18"/>
                <w:lang w:eastAsia="en-NZ"/>
              </w:rPr>
              <w:t>95</w:t>
            </w:r>
          </w:p>
        </w:tc>
        <w:tc>
          <w:tcPr>
            <w:tcW w:w="1702" w:type="dxa"/>
            <w:tcBorders>
              <w:top w:val="single" w:sz="4" w:space="0" w:color="A6A6A6"/>
              <w:bottom w:val="single" w:sz="4" w:space="0" w:color="A6A6A6"/>
            </w:tcBorders>
            <w:shd w:val="clear" w:color="000000" w:fill="FFFFFF"/>
            <w:vAlign w:val="center"/>
          </w:tcPr>
          <w:p w14:paraId="2CE0E7A2" w14:textId="77777777" w:rsidR="00C916E6" w:rsidRPr="00AF3320" w:rsidRDefault="00C916E6" w:rsidP="00C916E6">
            <w:pPr>
              <w:spacing w:before="60" w:after="60"/>
              <w:jc w:val="center"/>
              <w:rPr>
                <w:rFonts w:cs="Segoe UI"/>
                <w:color w:val="000000"/>
                <w:sz w:val="18"/>
                <w:szCs w:val="18"/>
                <w:lang w:eastAsia="en-NZ"/>
              </w:rPr>
            </w:pPr>
            <w:r>
              <w:rPr>
                <w:rFonts w:cs="Segoe UI"/>
                <w:color w:val="000000"/>
                <w:sz w:val="18"/>
                <w:szCs w:val="18"/>
                <w:lang w:eastAsia="en-NZ"/>
              </w:rPr>
              <w:t>791</w:t>
            </w:r>
          </w:p>
        </w:tc>
      </w:tr>
    </w:tbl>
    <w:p w14:paraId="158250A8" w14:textId="77777777" w:rsidR="00C916E6" w:rsidRPr="00AF3320" w:rsidRDefault="00C916E6" w:rsidP="00C916E6">
      <w:pPr>
        <w:spacing w:before="80"/>
        <w:rPr>
          <w:sz w:val="17"/>
        </w:rPr>
      </w:pPr>
      <w:r w:rsidRPr="00AF3320">
        <w:rPr>
          <w:sz w:val="17"/>
        </w:rPr>
        <w:t>Source</w:t>
      </w:r>
      <w:r>
        <w:rPr>
          <w:sz w:val="17"/>
        </w:rPr>
        <w:t>s</w:t>
      </w:r>
      <w:r w:rsidRPr="00AF3320">
        <w:rPr>
          <w:sz w:val="17"/>
        </w:rPr>
        <w:t>: PRIMHD data (</w:t>
      </w:r>
      <w:r>
        <w:rPr>
          <w:sz w:val="17"/>
        </w:rPr>
        <w:t>extracted 28 February 2024</w:t>
      </w:r>
      <w:r w:rsidRPr="00AF3320">
        <w:rPr>
          <w:sz w:val="17"/>
        </w:rPr>
        <w:t xml:space="preserve">) and manual data from </w:t>
      </w:r>
      <w:r>
        <w:rPr>
          <w:sz w:val="17"/>
        </w:rPr>
        <w:t>Health New Zealand South Canterbury, Tairāwhiti and Waitematā</w:t>
      </w:r>
      <w:r w:rsidRPr="00AF3320">
        <w:rPr>
          <w:sz w:val="17"/>
        </w:rPr>
        <w:t>.</w:t>
      </w:r>
    </w:p>
    <w:p w14:paraId="5016E0B2" w14:textId="77777777" w:rsidR="00B36513" w:rsidRDefault="00B36513" w:rsidP="00B36513"/>
    <w:p w14:paraId="26DD1DA9" w14:textId="77777777" w:rsidR="00B36513" w:rsidRDefault="00B36513" w:rsidP="00E96DD0"/>
    <w:p w14:paraId="1A39666B" w14:textId="77777777" w:rsidR="00C916E6" w:rsidRDefault="00C916E6" w:rsidP="00E96DD0">
      <w:pPr>
        <w:sectPr w:rsidR="00C916E6" w:rsidSect="00753A1F">
          <w:pgSz w:w="11907" w:h="16834" w:code="9"/>
          <w:pgMar w:top="1418" w:right="1701" w:bottom="1134" w:left="1843" w:header="284" w:footer="425" w:gutter="284"/>
          <w:cols w:space="720"/>
        </w:sectPr>
      </w:pPr>
    </w:p>
    <w:p w14:paraId="6AA1CF49" w14:textId="77777777" w:rsidR="00C916E6" w:rsidRDefault="00C916E6" w:rsidP="00C916E6">
      <w:pPr>
        <w:pStyle w:val="Heading1"/>
        <w:spacing w:before="0"/>
      </w:pPr>
      <w:bookmarkStart w:id="955" w:name="_Ref184980425"/>
      <w:bookmarkStart w:id="956" w:name="_Toc189053941"/>
      <w:bookmarkStart w:id="957" w:name="_Toc189647926"/>
      <w:r w:rsidRPr="00DB6B70">
        <w:t xml:space="preserve">Appendix </w:t>
      </w:r>
      <w:r>
        <w:t>4</w:t>
      </w:r>
      <w:r w:rsidRPr="00DB6B70">
        <w:t xml:space="preserve">: </w:t>
      </w:r>
      <w:r>
        <w:t>2021/22 corrected ECT data</w:t>
      </w:r>
      <w:bookmarkEnd w:id="955"/>
      <w:bookmarkEnd w:id="956"/>
      <w:bookmarkEnd w:id="957"/>
    </w:p>
    <w:p w14:paraId="5C9A140F" w14:textId="77777777" w:rsidR="00C916E6" w:rsidRDefault="00C916E6" w:rsidP="00C916E6">
      <w:r>
        <w:t xml:space="preserve">When preparing the 2022/23 regulatory report, we discovered that some ECT data relating to MidCentral District Health Board (DHB) was missing from the published 2021/22 regulatory report. The 2021/22 regulatory report stated that 256 people received a total of 3,002 ECT treatments. This was incorrect. The report should have stated that 265 people received a total of 3,087 treatments. </w:t>
      </w:r>
    </w:p>
    <w:p w14:paraId="1E007CE9" w14:textId="77777777" w:rsidR="00C916E6" w:rsidRDefault="00C916E6" w:rsidP="00C916E6"/>
    <w:p w14:paraId="13C4BAFB" w14:textId="77777777" w:rsidR="00C916E6" w:rsidRDefault="00C916E6" w:rsidP="00C916E6">
      <w:r>
        <w:t>Table A4 shows the difference between the corrected and previously reported data.</w:t>
      </w:r>
    </w:p>
    <w:p w14:paraId="7D45FBD5" w14:textId="77777777" w:rsidR="00C916E6" w:rsidRDefault="00C916E6" w:rsidP="00C916E6"/>
    <w:p w14:paraId="00DB139E" w14:textId="0AE64CEA" w:rsidR="00C916E6" w:rsidRPr="008A003E" w:rsidRDefault="00C916E6" w:rsidP="00C916E6">
      <w:pPr>
        <w:pStyle w:val="Table"/>
      </w:pPr>
      <w:bookmarkStart w:id="958" w:name="_Toc188699118"/>
      <w:bookmarkStart w:id="959" w:name="_Toc189647999"/>
      <w:r>
        <w:t>Table A</w:t>
      </w:r>
      <w:r w:rsidR="00753BC8">
        <w:fldChar w:fldCharType="begin"/>
      </w:r>
      <w:r w:rsidR="00753BC8">
        <w:instrText xml:space="preserve"> SEQ Table_A \* ARABIC </w:instrText>
      </w:r>
      <w:r w:rsidR="00753BC8">
        <w:fldChar w:fldCharType="separate"/>
      </w:r>
      <w:r w:rsidR="00753BC8">
        <w:rPr>
          <w:noProof/>
        </w:rPr>
        <w:t>4</w:t>
      </w:r>
      <w:r w:rsidR="00753BC8">
        <w:rPr>
          <w:noProof/>
        </w:rPr>
        <w:fldChar w:fldCharType="end"/>
      </w:r>
      <w:r w:rsidRPr="00001C06">
        <w:t xml:space="preserve">: Corrected ECT indicators, by </w:t>
      </w:r>
      <w:r>
        <w:t>district health board</w:t>
      </w:r>
      <w:r w:rsidRPr="00001C06">
        <w:t xml:space="preserve"> of domicile, 1 July 2021 to 30 June 2022</w:t>
      </w:r>
      <w:bookmarkEnd w:id="958"/>
      <w:bookmarkEnd w:id="959"/>
    </w:p>
    <w:tbl>
      <w:tblPr>
        <w:tblW w:w="9219" w:type="dxa"/>
        <w:tblLook w:val="04A0" w:firstRow="1" w:lastRow="0" w:firstColumn="1" w:lastColumn="0" w:noHBand="0" w:noVBand="1"/>
      </w:tblPr>
      <w:tblGrid>
        <w:gridCol w:w="1275"/>
        <w:gridCol w:w="1135"/>
        <w:gridCol w:w="1143"/>
        <w:gridCol w:w="1420"/>
        <w:gridCol w:w="1406"/>
        <w:gridCol w:w="1418"/>
        <w:gridCol w:w="1422"/>
      </w:tblGrid>
      <w:tr w:rsidR="00C916E6" w:rsidRPr="009C66A8" w14:paraId="2FEC0497" w14:textId="77777777" w:rsidTr="00C916E6">
        <w:trPr>
          <w:trHeight w:val="255"/>
          <w:tblHeader/>
        </w:trPr>
        <w:tc>
          <w:tcPr>
            <w:tcW w:w="1275" w:type="dxa"/>
            <w:tcBorders>
              <w:left w:val="nil"/>
            </w:tcBorders>
            <w:shd w:val="clear" w:color="auto" w:fill="FFFFFF" w:themeFill="background1"/>
            <w:vAlign w:val="bottom"/>
            <w:hideMark/>
          </w:tcPr>
          <w:p w14:paraId="6F8C43FA" w14:textId="77777777" w:rsidR="00C916E6" w:rsidRPr="00AF3320" w:rsidRDefault="00C916E6" w:rsidP="00C916E6">
            <w:pPr>
              <w:spacing w:before="60" w:after="60"/>
              <w:rPr>
                <w:b/>
                <w:bCs/>
                <w:sz w:val="18"/>
                <w:szCs w:val="18"/>
              </w:rPr>
            </w:pPr>
            <w:r w:rsidRPr="00AF3320">
              <w:rPr>
                <w:b/>
                <w:bCs/>
                <w:sz w:val="18"/>
                <w:szCs w:val="18"/>
              </w:rPr>
              <w:t> </w:t>
            </w:r>
          </w:p>
        </w:tc>
        <w:tc>
          <w:tcPr>
            <w:tcW w:w="3698" w:type="dxa"/>
            <w:gridSpan w:val="3"/>
            <w:tcBorders>
              <w:right w:val="single" w:sz="4" w:space="0" w:color="A6A6A6" w:themeColor="background1" w:themeShade="A6"/>
            </w:tcBorders>
            <w:shd w:val="clear" w:color="auto" w:fill="D9D9D9" w:themeFill="background1" w:themeFillShade="D9"/>
            <w:vAlign w:val="bottom"/>
            <w:hideMark/>
          </w:tcPr>
          <w:p w14:paraId="7318B4C5" w14:textId="77777777" w:rsidR="00C916E6" w:rsidRPr="00AF3320" w:rsidRDefault="00C916E6" w:rsidP="00C916E6">
            <w:pPr>
              <w:spacing w:before="60" w:after="60"/>
              <w:jc w:val="center"/>
              <w:rPr>
                <w:b/>
                <w:bCs/>
                <w:sz w:val="18"/>
                <w:szCs w:val="18"/>
              </w:rPr>
            </w:pPr>
            <w:r w:rsidRPr="00AF3320">
              <w:rPr>
                <w:b/>
                <w:bCs/>
                <w:sz w:val="18"/>
                <w:szCs w:val="18"/>
              </w:rPr>
              <w:t>Corrected data</w:t>
            </w:r>
          </w:p>
        </w:tc>
        <w:tc>
          <w:tcPr>
            <w:tcW w:w="4243" w:type="dxa"/>
            <w:gridSpan w:val="3"/>
            <w:tcBorders>
              <w:left w:val="single" w:sz="4" w:space="0" w:color="A6A6A6" w:themeColor="background1" w:themeShade="A6"/>
            </w:tcBorders>
            <w:shd w:val="clear" w:color="auto" w:fill="D9D9D9" w:themeFill="background1" w:themeFillShade="D9"/>
            <w:vAlign w:val="bottom"/>
            <w:hideMark/>
          </w:tcPr>
          <w:p w14:paraId="15DBE4FA" w14:textId="77777777" w:rsidR="00C916E6" w:rsidRPr="00AF3320" w:rsidRDefault="00C916E6" w:rsidP="00C916E6">
            <w:pPr>
              <w:spacing w:before="60" w:after="60"/>
              <w:jc w:val="center"/>
              <w:rPr>
                <w:b/>
                <w:bCs/>
                <w:sz w:val="18"/>
                <w:szCs w:val="18"/>
              </w:rPr>
            </w:pPr>
            <w:r w:rsidRPr="00AF3320">
              <w:rPr>
                <w:b/>
                <w:bCs/>
                <w:sz w:val="18"/>
                <w:szCs w:val="18"/>
              </w:rPr>
              <w:t>Previously reported</w:t>
            </w:r>
          </w:p>
        </w:tc>
      </w:tr>
      <w:tr w:rsidR="00C916E6" w:rsidRPr="009C66A8" w14:paraId="277CECE5" w14:textId="77777777" w:rsidTr="00C916E6">
        <w:trPr>
          <w:trHeight w:val="765"/>
          <w:tblHeader/>
        </w:trPr>
        <w:tc>
          <w:tcPr>
            <w:tcW w:w="1275" w:type="dxa"/>
            <w:tcBorders>
              <w:right w:val="single" w:sz="4" w:space="0" w:color="A6A6A6" w:themeColor="background1" w:themeShade="A6"/>
            </w:tcBorders>
            <w:shd w:val="clear" w:color="auto" w:fill="D9D9D9" w:themeFill="background1" w:themeFillShade="D9"/>
            <w:vAlign w:val="center"/>
            <w:hideMark/>
          </w:tcPr>
          <w:p w14:paraId="0C78F06C" w14:textId="77777777" w:rsidR="00C916E6" w:rsidRPr="00AF3320" w:rsidRDefault="00C916E6" w:rsidP="00C916E6">
            <w:pPr>
              <w:spacing w:before="60" w:after="60"/>
              <w:rPr>
                <w:b/>
                <w:bCs/>
                <w:sz w:val="18"/>
                <w:szCs w:val="18"/>
              </w:rPr>
            </w:pPr>
            <w:r w:rsidRPr="00AF3320">
              <w:rPr>
                <w:b/>
                <w:bCs/>
                <w:sz w:val="18"/>
                <w:szCs w:val="18"/>
              </w:rPr>
              <w:t>DHB of domicile</w:t>
            </w:r>
          </w:p>
        </w:tc>
        <w:tc>
          <w:tcPr>
            <w:tcW w:w="1135" w:type="dxa"/>
            <w:tcBorders>
              <w:left w:val="single" w:sz="4" w:space="0" w:color="A6A6A6" w:themeColor="background1" w:themeShade="A6"/>
            </w:tcBorders>
            <w:shd w:val="clear" w:color="auto" w:fill="D9D9D9" w:themeFill="background1" w:themeFillShade="D9"/>
            <w:vAlign w:val="center"/>
            <w:hideMark/>
          </w:tcPr>
          <w:p w14:paraId="16AC115D" w14:textId="77777777" w:rsidR="00C916E6" w:rsidRPr="00AF3320" w:rsidRDefault="00C916E6" w:rsidP="00C916E6">
            <w:pPr>
              <w:spacing w:before="60" w:after="60"/>
              <w:jc w:val="center"/>
              <w:rPr>
                <w:b/>
                <w:bCs/>
                <w:sz w:val="18"/>
                <w:szCs w:val="18"/>
              </w:rPr>
            </w:pPr>
            <w:r w:rsidRPr="00AF3320">
              <w:rPr>
                <w:b/>
                <w:bCs/>
                <w:sz w:val="18"/>
                <w:szCs w:val="18"/>
              </w:rPr>
              <w:t>Number of patients treated with ECT</w:t>
            </w:r>
          </w:p>
        </w:tc>
        <w:tc>
          <w:tcPr>
            <w:tcW w:w="1143" w:type="dxa"/>
            <w:shd w:val="clear" w:color="auto" w:fill="D9D9D9" w:themeFill="background1" w:themeFillShade="D9"/>
            <w:vAlign w:val="center"/>
            <w:hideMark/>
          </w:tcPr>
          <w:p w14:paraId="6222E41D" w14:textId="77777777" w:rsidR="00C916E6" w:rsidRPr="00AF3320" w:rsidRDefault="00C916E6" w:rsidP="00C916E6">
            <w:pPr>
              <w:spacing w:before="60" w:after="60"/>
              <w:jc w:val="center"/>
              <w:rPr>
                <w:b/>
                <w:bCs/>
                <w:sz w:val="18"/>
                <w:szCs w:val="18"/>
              </w:rPr>
            </w:pPr>
            <w:r w:rsidRPr="00AF3320">
              <w:rPr>
                <w:b/>
                <w:bCs/>
                <w:sz w:val="18"/>
                <w:szCs w:val="18"/>
              </w:rPr>
              <w:t>Total number of treatments</w:t>
            </w:r>
          </w:p>
        </w:tc>
        <w:tc>
          <w:tcPr>
            <w:tcW w:w="1420" w:type="dxa"/>
            <w:tcBorders>
              <w:right w:val="single" w:sz="4" w:space="0" w:color="A6A6A6" w:themeColor="background1" w:themeShade="A6"/>
            </w:tcBorders>
            <w:shd w:val="clear" w:color="auto" w:fill="D9D9D9" w:themeFill="background1" w:themeFillShade="D9"/>
            <w:vAlign w:val="center"/>
            <w:hideMark/>
          </w:tcPr>
          <w:p w14:paraId="6F9629BD" w14:textId="77777777" w:rsidR="00C916E6" w:rsidRPr="00AF3320" w:rsidRDefault="00C916E6" w:rsidP="00C916E6">
            <w:pPr>
              <w:spacing w:before="60" w:after="60"/>
              <w:jc w:val="center"/>
              <w:rPr>
                <w:b/>
                <w:bCs/>
                <w:sz w:val="18"/>
                <w:szCs w:val="18"/>
              </w:rPr>
            </w:pPr>
            <w:r w:rsidRPr="00AF3320">
              <w:rPr>
                <w:b/>
                <w:bCs/>
                <w:sz w:val="18"/>
                <w:szCs w:val="18"/>
              </w:rPr>
              <w:t>Mean number of treatments per person (range)</w:t>
            </w:r>
          </w:p>
        </w:tc>
        <w:tc>
          <w:tcPr>
            <w:tcW w:w="1406" w:type="dxa"/>
            <w:tcBorders>
              <w:left w:val="single" w:sz="4" w:space="0" w:color="A6A6A6" w:themeColor="background1" w:themeShade="A6"/>
            </w:tcBorders>
            <w:shd w:val="clear" w:color="auto" w:fill="D9D9D9" w:themeFill="background1" w:themeFillShade="D9"/>
            <w:vAlign w:val="center"/>
            <w:hideMark/>
          </w:tcPr>
          <w:p w14:paraId="6ECC2581" w14:textId="77777777" w:rsidR="00C916E6" w:rsidRPr="00AF3320" w:rsidRDefault="00C916E6" w:rsidP="00C916E6">
            <w:pPr>
              <w:spacing w:before="60" w:after="60"/>
              <w:jc w:val="center"/>
              <w:rPr>
                <w:b/>
                <w:bCs/>
                <w:sz w:val="18"/>
                <w:szCs w:val="18"/>
              </w:rPr>
            </w:pPr>
            <w:r w:rsidRPr="00AF3320">
              <w:rPr>
                <w:b/>
                <w:bCs/>
                <w:sz w:val="18"/>
                <w:szCs w:val="18"/>
              </w:rPr>
              <w:t>Number of patients treated with ECT</w:t>
            </w:r>
          </w:p>
        </w:tc>
        <w:tc>
          <w:tcPr>
            <w:tcW w:w="1418" w:type="dxa"/>
            <w:shd w:val="clear" w:color="auto" w:fill="D9D9D9" w:themeFill="background1" w:themeFillShade="D9"/>
            <w:vAlign w:val="center"/>
            <w:hideMark/>
          </w:tcPr>
          <w:p w14:paraId="28C7AACB" w14:textId="77777777" w:rsidR="00C916E6" w:rsidRPr="00AF3320" w:rsidRDefault="00C916E6" w:rsidP="00C916E6">
            <w:pPr>
              <w:spacing w:before="60" w:after="60"/>
              <w:jc w:val="center"/>
              <w:rPr>
                <w:b/>
                <w:bCs/>
                <w:sz w:val="18"/>
                <w:szCs w:val="18"/>
              </w:rPr>
            </w:pPr>
            <w:r w:rsidRPr="00AF3320">
              <w:rPr>
                <w:b/>
                <w:bCs/>
                <w:sz w:val="18"/>
                <w:szCs w:val="18"/>
              </w:rPr>
              <w:t>Total number of treatments</w:t>
            </w:r>
          </w:p>
        </w:tc>
        <w:tc>
          <w:tcPr>
            <w:tcW w:w="1422" w:type="dxa"/>
            <w:shd w:val="clear" w:color="auto" w:fill="D9D9D9" w:themeFill="background1" w:themeFillShade="D9"/>
            <w:vAlign w:val="center"/>
            <w:hideMark/>
          </w:tcPr>
          <w:p w14:paraId="0EEFFB00" w14:textId="77777777" w:rsidR="00C916E6" w:rsidRPr="00AF3320" w:rsidRDefault="00C916E6" w:rsidP="00C916E6">
            <w:pPr>
              <w:spacing w:before="60" w:after="60"/>
              <w:jc w:val="center"/>
              <w:rPr>
                <w:b/>
                <w:bCs/>
                <w:sz w:val="18"/>
                <w:szCs w:val="18"/>
              </w:rPr>
            </w:pPr>
            <w:r w:rsidRPr="00AF3320">
              <w:rPr>
                <w:b/>
                <w:bCs/>
                <w:sz w:val="18"/>
                <w:szCs w:val="18"/>
              </w:rPr>
              <w:t>Mean number of treatments per person (range)</w:t>
            </w:r>
          </w:p>
        </w:tc>
      </w:tr>
      <w:tr w:rsidR="00C916E6" w:rsidRPr="009C66A8" w14:paraId="5F86E90C" w14:textId="77777777" w:rsidTr="00C916E6">
        <w:trPr>
          <w:trHeight w:val="306"/>
        </w:trPr>
        <w:tc>
          <w:tcPr>
            <w:tcW w:w="1275" w:type="dxa"/>
            <w:tcBorders>
              <w:bottom w:val="single" w:sz="4" w:space="0" w:color="A6A6A6" w:themeColor="background1" w:themeShade="A6"/>
              <w:right w:val="single" w:sz="4" w:space="0" w:color="A6A6A6" w:themeColor="background1" w:themeShade="A6"/>
            </w:tcBorders>
            <w:shd w:val="clear" w:color="auto" w:fill="FFFFFF" w:themeFill="background1"/>
            <w:vAlign w:val="center"/>
            <w:hideMark/>
          </w:tcPr>
          <w:p w14:paraId="7E98C203" w14:textId="77777777" w:rsidR="00C916E6" w:rsidRPr="00AF3320" w:rsidRDefault="00C916E6" w:rsidP="00C916E6">
            <w:pPr>
              <w:spacing w:before="60" w:after="60"/>
              <w:rPr>
                <w:rFonts w:cs="Segoe UI"/>
                <w:color w:val="000000"/>
                <w:sz w:val="18"/>
                <w:szCs w:val="18"/>
                <w:lang w:eastAsia="en-NZ"/>
              </w:rPr>
            </w:pPr>
            <w:r w:rsidRPr="00AF3320">
              <w:rPr>
                <w:rFonts w:cs="Segoe UI"/>
                <w:color w:val="000000"/>
                <w:sz w:val="18"/>
                <w:szCs w:val="18"/>
                <w:lang w:eastAsia="en-NZ"/>
              </w:rPr>
              <w:t>Auckland</w:t>
            </w:r>
          </w:p>
        </w:tc>
        <w:tc>
          <w:tcPr>
            <w:tcW w:w="1135" w:type="dxa"/>
            <w:tcBorders>
              <w:left w:val="single" w:sz="4" w:space="0" w:color="A6A6A6" w:themeColor="background1" w:themeShade="A6"/>
              <w:bottom w:val="single" w:sz="4" w:space="0" w:color="A6A6A6" w:themeColor="background1" w:themeShade="A6"/>
            </w:tcBorders>
            <w:shd w:val="clear" w:color="auto" w:fill="FFFFFF" w:themeFill="background1"/>
            <w:vAlign w:val="center"/>
            <w:hideMark/>
          </w:tcPr>
          <w:p w14:paraId="4557EF77" w14:textId="77777777" w:rsidR="00C916E6" w:rsidRPr="00AF3320" w:rsidRDefault="00C916E6" w:rsidP="00C916E6">
            <w:pPr>
              <w:spacing w:before="60" w:after="60"/>
              <w:jc w:val="center"/>
              <w:rPr>
                <w:rFonts w:cs="Segoe UI"/>
                <w:color w:val="000000"/>
                <w:sz w:val="18"/>
                <w:szCs w:val="18"/>
                <w:lang w:eastAsia="en-NZ"/>
              </w:rPr>
            </w:pPr>
            <w:r w:rsidRPr="00AF3320">
              <w:rPr>
                <w:rFonts w:cs="Segoe UI"/>
                <w:color w:val="000000"/>
                <w:sz w:val="18"/>
                <w:szCs w:val="18"/>
                <w:lang w:eastAsia="en-NZ"/>
              </w:rPr>
              <w:t>18</w:t>
            </w:r>
          </w:p>
        </w:tc>
        <w:tc>
          <w:tcPr>
            <w:tcW w:w="1143" w:type="dxa"/>
            <w:tcBorders>
              <w:bottom w:val="single" w:sz="4" w:space="0" w:color="A6A6A6" w:themeColor="background1" w:themeShade="A6"/>
            </w:tcBorders>
            <w:shd w:val="clear" w:color="auto" w:fill="FFFFFF" w:themeFill="background1"/>
            <w:vAlign w:val="center"/>
            <w:hideMark/>
          </w:tcPr>
          <w:p w14:paraId="598A842B" w14:textId="77777777" w:rsidR="00C916E6" w:rsidRPr="00AF3320" w:rsidRDefault="00C916E6" w:rsidP="00C916E6">
            <w:pPr>
              <w:spacing w:before="60" w:after="60"/>
              <w:jc w:val="center"/>
              <w:rPr>
                <w:rFonts w:cs="Segoe UI"/>
                <w:color w:val="000000"/>
                <w:sz w:val="18"/>
                <w:szCs w:val="18"/>
                <w:lang w:eastAsia="en-NZ"/>
              </w:rPr>
            </w:pPr>
            <w:r w:rsidRPr="00AF3320">
              <w:rPr>
                <w:rFonts w:cs="Segoe UI"/>
                <w:color w:val="000000"/>
                <w:sz w:val="18"/>
                <w:szCs w:val="18"/>
                <w:lang w:eastAsia="en-NZ"/>
              </w:rPr>
              <w:t>151</w:t>
            </w:r>
          </w:p>
        </w:tc>
        <w:tc>
          <w:tcPr>
            <w:tcW w:w="1420" w:type="dxa"/>
            <w:tcBorders>
              <w:bottom w:val="single" w:sz="4" w:space="0" w:color="A6A6A6" w:themeColor="background1" w:themeShade="A6"/>
              <w:right w:val="single" w:sz="4" w:space="0" w:color="A6A6A6" w:themeColor="background1" w:themeShade="A6"/>
            </w:tcBorders>
            <w:shd w:val="clear" w:color="auto" w:fill="FFFFFF" w:themeFill="background1"/>
            <w:vAlign w:val="center"/>
            <w:hideMark/>
          </w:tcPr>
          <w:p w14:paraId="31FD3A97" w14:textId="77777777" w:rsidR="00C916E6" w:rsidRPr="00AF3320" w:rsidRDefault="00C916E6" w:rsidP="00C916E6">
            <w:pPr>
              <w:spacing w:before="60" w:after="60"/>
              <w:jc w:val="center"/>
              <w:rPr>
                <w:rFonts w:cs="Segoe UI"/>
                <w:color w:val="000000"/>
                <w:sz w:val="18"/>
                <w:szCs w:val="18"/>
                <w:lang w:eastAsia="en-NZ"/>
              </w:rPr>
            </w:pPr>
            <w:r w:rsidRPr="00AF3320">
              <w:rPr>
                <w:rFonts w:cs="Segoe UI"/>
                <w:color w:val="000000"/>
                <w:sz w:val="18"/>
                <w:szCs w:val="18"/>
                <w:lang w:eastAsia="en-NZ"/>
              </w:rPr>
              <w:t>8 (1</w:t>
            </w:r>
            <w:r>
              <w:rPr>
                <w:rFonts w:cs="Segoe UI"/>
                <w:color w:val="000000"/>
                <w:sz w:val="18"/>
                <w:szCs w:val="18"/>
                <w:lang w:eastAsia="en-NZ"/>
              </w:rPr>
              <w:t>–</w:t>
            </w:r>
            <w:r w:rsidRPr="00AF3320">
              <w:rPr>
                <w:rFonts w:cs="Segoe UI"/>
                <w:color w:val="000000"/>
                <w:sz w:val="18"/>
                <w:szCs w:val="18"/>
                <w:lang w:eastAsia="en-NZ"/>
              </w:rPr>
              <w:t>18)</w:t>
            </w:r>
          </w:p>
        </w:tc>
        <w:tc>
          <w:tcPr>
            <w:tcW w:w="1406" w:type="dxa"/>
            <w:tcBorders>
              <w:left w:val="single" w:sz="4" w:space="0" w:color="A6A6A6" w:themeColor="background1" w:themeShade="A6"/>
              <w:bottom w:val="single" w:sz="4" w:space="0" w:color="A6A6A6" w:themeColor="background1" w:themeShade="A6"/>
            </w:tcBorders>
            <w:shd w:val="clear" w:color="auto" w:fill="FFFFFF" w:themeFill="background1"/>
            <w:vAlign w:val="center"/>
            <w:hideMark/>
          </w:tcPr>
          <w:p w14:paraId="5ABD8BF2" w14:textId="77777777" w:rsidR="00C916E6" w:rsidRPr="00AF3320" w:rsidRDefault="00C916E6" w:rsidP="00C916E6">
            <w:pPr>
              <w:spacing w:before="60" w:after="60"/>
              <w:jc w:val="center"/>
              <w:rPr>
                <w:rFonts w:cs="Segoe UI"/>
                <w:color w:val="000000"/>
                <w:sz w:val="18"/>
                <w:szCs w:val="18"/>
                <w:lang w:eastAsia="en-NZ"/>
              </w:rPr>
            </w:pPr>
            <w:r w:rsidRPr="00AF3320">
              <w:rPr>
                <w:rFonts w:cs="Segoe UI"/>
                <w:color w:val="000000"/>
                <w:sz w:val="18"/>
                <w:szCs w:val="18"/>
                <w:lang w:eastAsia="en-NZ"/>
              </w:rPr>
              <w:t>No difference</w:t>
            </w:r>
          </w:p>
        </w:tc>
        <w:tc>
          <w:tcPr>
            <w:tcW w:w="1418" w:type="dxa"/>
            <w:tcBorders>
              <w:bottom w:val="single" w:sz="4" w:space="0" w:color="A6A6A6" w:themeColor="background1" w:themeShade="A6"/>
            </w:tcBorders>
            <w:shd w:val="clear" w:color="auto" w:fill="FFFFFF" w:themeFill="background1"/>
            <w:vAlign w:val="center"/>
            <w:hideMark/>
          </w:tcPr>
          <w:p w14:paraId="34AE9BA1" w14:textId="77777777" w:rsidR="00C916E6" w:rsidRPr="00AF3320" w:rsidRDefault="00C916E6" w:rsidP="00C916E6">
            <w:pPr>
              <w:spacing w:before="60" w:after="60"/>
              <w:jc w:val="center"/>
              <w:rPr>
                <w:rFonts w:cs="Segoe UI"/>
                <w:color w:val="000000"/>
                <w:sz w:val="18"/>
                <w:szCs w:val="18"/>
                <w:lang w:eastAsia="en-NZ"/>
              </w:rPr>
            </w:pPr>
            <w:r w:rsidRPr="00AF3320">
              <w:rPr>
                <w:rFonts w:cs="Segoe UI"/>
                <w:color w:val="000000"/>
                <w:sz w:val="18"/>
                <w:szCs w:val="18"/>
                <w:lang w:eastAsia="en-NZ"/>
              </w:rPr>
              <w:t>No difference</w:t>
            </w:r>
          </w:p>
        </w:tc>
        <w:tc>
          <w:tcPr>
            <w:tcW w:w="1422" w:type="dxa"/>
            <w:tcBorders>
              <w:bottom w:val="single" w:sz="4" w:space="0" w:color="A6A6A6" w:themeColor="background1" w:themeShade="A6"/>
            </w:tcBorders>
            <w:shd w:val="clear" w:color="auto" w:fill="FFFFFF" w:themeFill="background1"/>
            <w:vAlign w:val="center"/>
            <w:hideMark/>
          </w:tcPr>
          <w:p w14:paraId="29954BBA" w14:textId="77777777" w:rsidR="00C916E6" w:rsidRPr="00AF3320" w:rsidRDefault="00C916E6" w:rsidP="00C916E6">
            <w:pPr>
              <w:spacing w:before="60" w:after="60"/>
              <w:jc w:val="center"/>
              <w:rPr>
                <w:rFonts w:cs="Segoe UI"/>
                <w:color w:val="000000"/>
                <w:sz w:val="18"/>
                <w:szCs w:val="18"/>
                <w:lang w:eastAsia="en-NZ"/>
              </w:rPr>
            </w:pPr>
            <w:r w:rsidRPr="00AF3320">
              <w:rPr>
                <w:rFonts w:cs="Segoe UI"/>
                <w:color w:val="000000"/>
                <w:sz w:val="18"/>
                <w:szCs w:val="18"/>
                <w:lang w:eastAsia="en-NZ"/>
              </w:rPr>
              <w:t>No difference</w:t>
            </w:r>
          </w:p>
        </w:tc>
      </w:tr>
      <w:tr w:rsidR="00C916E6" w:rsidRPr="009C66A8" w14:paraId="74A291E7" w14:textId="77777777" w:rsidTr="00C916E6">
        <w:trPr>
          <w:trHeight w:val="306"/>
        </w:trPr>
        <w:tc>
          <w:tcPr>
            <w:tcW w:w="1275" w:type="dxa"/>
            <w:tcBorders>
              <w:top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hideMark/>
          </w:tcPr>
          <w:p w14:paraId="55A76054" w14:textId="77777777" w:rsidR="00C916E6" w:rsidRPr="00AF3320" w:rsidRDefault="00C916E6" w:rsidP="00C916E6">
            <w:pPr>
              <w:spacing w:before="60" w:after="60"/>
              <w:rPr>
                <w:rFonts w:cs="Segoe UI"/>
                <w:color w:val="000000"/>
                <w:sz w:val="18"/>
                <w:szCs w:val="18"/>
                <w:lang w:eastAsia="en-NZ"/>
              </w:rPr>
            </w:pPr>
            <w:r w:rsidRPr="00AF3320">
              <w:rPr>
                <w:rFonts w:cs="Segoe UI"/>
                <w:color w:val="000000"/>
                <w:sz w:val="18"/>
                <w:szCs w:val="18"/>
                <w:lang w:eastAsia="en-NZ"/>
              </w:rPr>
              <w:t>Bay of Plenty</w:t>
            </w:r>
          </w:p>
        </w:tc>
        <w:tc>
          <w:tcPr>
            <w:tcW w:w="1135" w:type="dxa"/>
            <w:tcBorders>
              <w:top w:val="single" w:sz="4" w:space="0" w:color="A6A6A6" w:themeColor="background1" w:themeShade="A6"/>
              <w:left w:val="single" w:sz="4" w:space="0" w:color="A6A6A6" w:themeColor="background1" w:themeShade="A6"/>
              <w:bottom w:val="single" w:sz="4" w:space="0" w:color="A6A6A6" w:themeColor="background1" w:themeShade="A6"/>
            </w:tcBorders>
            <w:shd w:val="clear" w:color="auto" w:fill="FFFFFF" w:themeFill="background1"/>
            <w:vAlign w:val="center"/>
            <w:hideMark/>
          </w:tcPr>
          <w:p w14:paraId="112750BC" w14:textId="77777777" w:rsidR="00C916E6" w:rsidRPr="00AF3320" w:rsidRDefault="00C916E6" w:rsidP="00C916E6">
            <w:pPr>
              <w:spacing w:before="60" w:after="60"/>
              <w:jc w:val="center"/>
              <w:rPr>
                <w:rFonts w:cs="Segoe UI"/>
                <w:color w:val="000000"/>
                <w:sz w:val="18"/>
                <w:szCs w:val="18"/>
                <w:lang w:eastAsia="en-NZ"/>
              </w:rPr>
            </w:pPr>
            <w:r w:rsidRPr="00AF3320">
              <w:rPr>
                <w:rFonts w:cs="Segoe UI"/>
                <w:color w:val="000000"/>
                <w:sz w:val="18"/>
                <w:szCs w:val="18"/>
                <w:lang w:eastAsia="en-NZ"/>
              </w:rPr>
              <w:t>28</w:t>
            </w:r>
          </w:p>
        </w:tc>
        <w:tc>
          <w:tcPr>
            <w:tcW w:w="1143" w:type="dxa"/>
            <w:tcBorders>
              <w:top w:val="single" w:sz="4" w:space="0" w:color="A6A6A6" w:themeColor="background1" w:themeShade="A6"/>
              <w:bottom w:val="single" w:sz="4" w:space="0" w:color="A6A6A6" w:themeColor="background1" w:themeShade="A6"/>
            </w:tcBorders>
            <w:shd w:val="clear" w:color="auto" w:fill="FFFFFF" w:themeFill="background1"/>
            <w:vAlign w:val="center"/>
            <w:hideMark/>
          </w:tcPr>
          <w:p w14:paraId="2C50E416" w14:textId="77777777" w:rsidR="00C916E6" w:rsidRPr="00AF3320" w:rsidRDefault="00C916E6" w:rsidP="00C916E6">
            <w:pPr>
              <w:spacing w:before="60" w:after="60"/>
              <w:jc w:val="center"/>
              <w:rPr>
                <w:rFonts w:cs="Segoe UI"/>
                <w:color w:val="000000"/>
                <w:sz w:val="18"/>
                <w:szCs w:val="18"/>
                <w:lang w:eastAsia="en-NZ"/>
              </w:rPr>
            </w:pPr>
            <w:r w:rsidRPr="00AF3320">
              <w:rPr>
                <w:rFonts w:cs="Segoe UI"/>
                <w:color w:val="000000"/>
                <w:sz w:val="18"/>
                <w:szCs w:val="18"/>
                <w:lang w:eastAsia="en-NZ"/>
              </w:rPr>
              <w:t>343</w:t>
            </w:r>
          </w:p>
        </w:tc>
        <w:tc>
          <w:tcPr>
            <w:tcW w:w="1420" w:type="dxa"/>
            <w:tcBorders>
              <w:top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hideMark/>
          </w:tcPr>
          <w:p w14:paraId="364AE4C7" w14:textId="77777777" w:rsidR="00C916E6" w:rsidRPr="00AF3320" w:rsidRDefault="00C916E6" w:rsidP="00C916E6">
            <w:pPr>
              <w:spacing w:before="60" w:after="60"/>
              <w:jc w:val="center"/>
              <w:rPr>
                <w:rFonts w:cs="Segoe UI"/>
                <w:color w:val="000000"/>
                <w:sz w:val="18"/>
                <w:szCs w:val="18"/>
                <w:lang w:eastAsia="en-NZ"/>
              </w:rPr>
            </w:pPr>
            <w:r w:rsidRPr="00AF3320">
              <w:rPr>
                <w:rFonts w:cs="Segoe UI"/>
                <w:color w:val="000000"/>
                <w:sz w:val="18"/>
                <w:szCs w:val="18"/>
                <w:lang w:eastAsia="en-NZ"/>
              </w:rPr>
              <w:t>12 (2</w:t>
            </w:r>
            <w:r>
              <w:rPr>
                <w:rFonts w:cs="Segoe UI"/>
                <w:color w:val="000000"/>
                <w:sz w:val="18"/>
                <w:szCs w:val="18"/>
                <w:lang w:eastAsia="en-NZ"/>
              </w:rPr>
              <w:t>–</w:t>
            </w:r>
            <w:r w:rsidRPr="00AF3320">
              <w:rPr>
                <w:rFonts w:cs="Segoe UI"/>
                <w:color w:val="000000"/>
                <w:sz w:val="18"/>
                <w:szCs w:val="18"/>
                <w:lang w:eastAsia="en-NZ"/>
              </w:rPr>
              <w:t>57)</w:t>
            </w:r>
          </w:p>
        </w:tc>
        <w:tc>
          <w:tcPr>
            <w:tcW w:w="1406" w:type="dxa"/>
            <w:tcBorders>
              <w:top w:val="single" w:sz="4" w:space="0" w:color="A6A6A6" w:themeColor="background1" w:themeShade="A6"/>
              <w:left w:val="single" w:sz="4" w:space="0" w:color="A6A6A6" w:themeColor="background1" w:themeShade="A6"/>
              <w:bottom w:val="single" w:sz="4" w:space="0" w:color="A6A6A6" w:themeColor="background1" w:themeShade="A6"/>
            </w:tcBorders>
            <w:shd w:val="clear" w:color="auto" w:fill="FFFFFF" w:themeFill="background1"/>
            <w:vAlign w:val="center"/>
            <w:hideMark/>
          </w:tcPr>
          <w:p w14:paraId="72377663" w14:textId="77777777" w:rsidR="00C916E6" w:rsidRPr="00AF3320" w:rsidRDefault="00C916E6" w:rsidP="00C916E6">
            <w:pPr>
              <w:spacing w:before="60" w:after="60"/>
              <w:jc w:val="center"/>
              <w:rPr>
                <w:rFonts w:cs="Segoe UI"/>
                <w:color w:val="000000"/>
                <w:sz w:val="18"/>
                <w:szCs w:val="18"/>
                <w:lang w:eastAsia="en-NZ"/>
              </w:rPr>
            </w:pPr>
            <w:r w:rsidRPr="00AF3320">
              <w:rPr>
                <w:rFonts w:cs="Segoe UI"/>
                <w:color w:val="000000"/>
                <w:sz w:val="18"/>
                <w:szCs w:val="18"/>
                <w:lang w:eastAsia="en-NZ"/>
              </w:rPr>
              <w:t>No difference</w:t>
            </w:r>
          </w:p>
        </w:tc>
        <w:tc>
          <w:tcPr>
            <w:tcW w:w="1418" w:type="dxa"/>
            <w:tcBorders>
              <w:top w:val="single" w:sz="4" w:space="0" w:color="A6A6A6" w:themeColor="background1" w:themeShade="A6"/>
              <w:bottom w:val="single" w:sz="4" w:space="0" w:color="A6A6A6" w:themeColor="background1" w:themeShade="A6"/>
            </w:tcBorders>
            <w:shd w:val="clear" w:color="auto" w:fill="FFFFFF" w:themeFill="background1"/>
            <w:vAlign w:val="center"/>
            <w:hideMark/>
          </w:tcPr>
          <w:p w14:paraId="54C5BAD6" w14:textId="77777777" w:rsidR="00C916E6" w:rsidRPr="00AF3320" w:rsidRDefault="00C916E6" w:rsidP="00C916E6">
            <w:pPr>
              <w:spacing w:before="60" w:after="60"/>
              <w:jc w:val="center"/>
              <w:rPr>
                <w:rFonts w:cs="Segoe UI"/>
                <w:color w:val="000000"/>
                <w:sz w:val="18"/>
                <w:szCs w:val="18"/>
                <w:lang w:eastAsia="en-NZ"/>
              </w:rPr>
            </w:pPr>
            <w:r w:rsidRPr="00AF3320">
              <w:rPr>
                <w:rFonts w:cs="Segoe UI"/>
                <w:color w:val="000000"/>
                <w:sz w:val="18"/>
                <w:szCs w:val="18"/>
                <w:lang w:eastAsia="en-NZ"/>
              </w:rPr>
              <w:t>No difference</w:t>
            </w:r>
          </w:p>
        </w:tc>
        <w:tc>
          <w:tcPr>
            <w:tcW w:w="1422" w:type="dxa"/>
            <w:tcBorders>
              <w:top w:val="single" w:sz="4" w:space="0" w:color="A6A6A6" w:themeColor="background1" w:themeShade="A6"/>
              <w:bottom w:val="single" w:sz="4" w:space="0" w:color="A6A6A6" w:themeColor="background1" w:themeShade="A6"/>
            </w:tcBorders>
            <w:shd w:val="clear" w:color="auto" w:fill="FFFFFF" w:themeFill="background1"/>
            <w:vAlign w:val="center"/>
            <w:hideMark/>
          </w:tcPr>
          <w:p w14:paraId="409D7BC9" w14:textId="77777777" w:rsidR="00C916E6" w:rsidRPr="00AF3320" w:rsidRDefault="00C916E6" w:rsidP="00C916E6">
            <w:pPr>
              <w:spacing w:before="60" w:after="60"/>
              <w:jc w:val="center"/>
              <w:rPr>
                <w:rFonts w:cs="Segoe UI"/>
                <w:color w:val="000000"/>
                <w:sz w:val="18"/>
                <w:szCs w:val="18"/>
                <w:lang w:eastAsia="en-NZ"/>
              </w:rPr>
            </w:pPr>
            <w:r w:rsidRPr="00AF3320">
              <w:rPr>
                <w:rFonts w:cs="Segoe UI"/>
                <w:color w:val="000000"/>
                <w:sz w:val="18"/>
                <w:szCs w:val="18"/>
                <w:lang w:eastAsia="en-NZ"/>
              </w:rPr>
              <w:t>No difference</w:t>
            </w:r>
          </w:p>
        </w:tc>
      </w:tr>
      <w:tr w:rsidR="00C916E6" w:rsidRPr="009C66A8" w14:paraId="1E35B32D" w14:textId="77777777" w:rsidTr="00C916E6">
        <w:trPr>
          <w:trHeight w:val="306"/>
        </w:trPr>
        <w:tc>
          <w:tcPr>
            <w:tcW w:w="1275" w:type="dxa"/>
            <w:tcBorders>
              <w:top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hideMark/>
          </w:tcPr>
          <w:p w14:paraId="1BC43A7D" w14:textId="77777777" w:rsidR="00C916E6" w:rsidRPr="00AF3320" w:rsidRDefault="00C916E6" w:rsidP="00C916E6">
            <w:pPr>
              <w:spacing w:before="60" w:after="60"/>
              <w:rPr>
                <w:rFonts w:cs="Segoe UI"/>
                <w:color w:val="000000"/>
                <w:sz w:val="18"/>
                <w:szCs w:val="18"/>
                <w:lang w:eastAsia="en-NZ"/>
              </w:rPr>
            </w:pPr>
            <w:r w:rsidRPr="00AF3320">
              <w:rPr>
                <w:rFonts w:cs="Segoe UI"/>
                <w:color w:val="000000"/>
                <w:sz w:val="18"/>
                <w:szCs w:val="18"/>
                <w:lang w:eastAsia="en-NZ"/>
              </w:rPr>
              <w:t>Canterbury</w:t>
            </w:r>
          </w:p>
        </w:tc>
        <w:tc>
          <w:tcPr>
            <w:tcW w:w="1135" w:type="dxa"/>
            <w:tcBorders>
              <w:top w:val="single" w:sz="4" w:space="0" w:color="A6A6A6" w:themeColor="background1" w:themeShade="A6"/>
              <w:left w:val="single" w:sz="4" w:space="0" w:color="A6A6A6" w:themeColor="background1" w:themeShade="A6"/>
              <w:bottom w:val="single" w:sz="4" w:space="0" w:color="A6A6A6" w:themeColor="background1" w:themeShade="A6"/>
            </w:tcBorders>
            <w:shd w:val="clear" w:color="auto" w:fill="FFFFFF" w:themeFill="background1"/>
            <w:vAlign w:val="center"/>
            <w:hideMark/>
          </w:tcPr>
          <w:p w14:paraId="520492B8" w14:textId="77777777" w:rsidR="00C916E6" w:rsidRPr="00AF3320" w:rsidRDefault="00C916E6" w:rsidP="00C916E6">
            <w:pPr>
              <w:spacing w:before="60" w:after="60"/>
              <w:jc w:val="center"/>
              <w:rPr>
                <w:rFonts w:cs="Segoe UI"/>
                <w:color w:val="000000"/>
                <w:sz w:val="18"/>
                <w:szCs w:val="18"/>
                <w:lang w:eastAsia="en-NZ"/>
              </w:rPr>
            </w:pPr>
            <w:r w:rsidRPr="00AF3320">
              <w:rPr>
                <w:rFonts w:cs="Segoe UI"/>
                <w:color w:val="000000"/>
                <w:sz w:val="18"/>
                <w:szCs w:val="18"/>
                <w:lang w:eastAsia="en-NZ"/>
              </w:rPr>
              <w:t>13</w:t>
            </w:r>
          </w:p>
        </w:tc>
        <w:tc>
          <w:tcPr>
            <w:tcW w:w="1143" w:type="dxa"/>
            <w:tcBorders>
              <w:top w:val="single" w:sz="4" w:space="0" w:color="A6A6A6" w:themeColor="background1" w:themeShade="A6"/>
              <w:bottom w:val="single" w:sz="4" w:space="0" w:color="A6A6A6" w:themeColor="background1" w:themeShade="A6"/>
            </w:tcBorders>
            <w:shd w:val="clear" w:color="auto" w:fill="FFFFFF" w:themeFill="background1"/>
            <w:vAlign w:val="center"/>
            <w:hideMark/>
          </w:tcPr>
          <w:p w14:paraId="147D775C" w14:textId="77777777" w:rsidR="00C916E6" w:rsidRPr="00AF3320" w:rsidRDefault="00C916E6" w:rsidP="00C916E6">
            <w:pPr>
              <w:spacing w:before="60" w:after="60"/>
              <w:jc w:val="center"/>
              <w:rPr>
                <w:rFonts w:cs="Segoe UI"/>
                <w:color w:val="000000"/>
                <w:sz w:val="18"/>
                <w:szCs w:val="18"/>
                <w:lang w:eastAsia="en-NZ"/>
              </w:rPr>
            </w:pPr>
            <w:r w:rsidRPr="00AF3320">
              <w:rPr>
                <w:rFonts w:cs="Segoe UI"/>
                <w:color w:val="000000"/>
                <w:sz w:val="18"/>
                <w:szCs w:val="18"/>
                <w:lang w:eastAsia="en-NZ"/>
              </w:rPr>
              <w:t>97</w:t>
            </w:r>
          </w:p>
        </w:tc>
        <w:tc>
          <w:tcPr>
            <w:tcW w:w="1420" w:type="dxa"/>
            <w:tcBorders>
              <w:top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hideMark/>
          </w:tcPr>
          <w:p w14:paraId="2C58C815" w14:textId="77777777" w:rsidR="00C916E6" w:rsidRPr="00AF3320" w:rsidRDefault="00C916E6" w:rsidP="00C916E6">
            <w:pPr>
              <w:spacing w:before="60" w:after="60"/>
              <w:jc w:val="center"/>
              <w:rPr>
                <w:rFonts w:cs="Segoe UI"/>
                <w:color w:val="000000"/>
                <w:sz w:val="18"/>
                <w:szCs w:val="18"/>
                <w:lang w:eastAsia="en-NZ"/>
              </w:rPr>
            </w:pPr>
            <w:r w:rsidRPr="00AF3320">
              <w:rPr>
                <w:rFonts w:cs="Segoe UI"/>
                <w:color w:val="000000"/>
                <w:sz w:val="18"/>
                <w:szCs w:val="18"/>
                <w:lang w:eastAsia="en-NZ"/>
              </w:rPr>
              <w:t>7 (2</w:t>
            </w:r>
            <w:r>
              <w:rPr>
                <w:rFonts w:cs="Segoe UI"/>
                <w:color w:val="000000"/>
                <w:sz w:val="18"/>
                <w:szCs w:val="18"/>
                <w:lang w:eastAsia="en-NZ"/>
              </w:rPr>
              <w:t>–</w:t>
            </w:r>
            <w:r w:rsidRPr="00AF3320">
              <w:rPr>
                <w:rFonts w:cs="Segoe UI"/>
                <w:color w:val="000000"/>
                <w:sz w:val="18"/>
                <w:szCs w:val="18"/>
                <w:lang w:eastAsia="en-NZ"/>
              </w:rPr>
              <w:t>23)</w:t>
            </w:r>
          </w:p>
        </w:tc>
        <w:tc>
          <w:tcPr>
            <w:tcW w:w="1406" w:type="dxa"/>
            <w:tcBorders>
              <w:top w:val="single" w:sz="4" w:space="0" w:color="A6A6A6" w:themeColor="background1" w:themeShade="A6"/>
              <w:left w:val="single" w:sz="4" w:space="0" w:color="A6A6A6" w:themeColor="background1" w:themeShade="A6"/>
              <w:bottom w:val="single" w:sz="4" w:space="0" w:color="A6A6A6" w:themeColor="background1" w:themeShade="A6"/>
            </w:tcBorders>
            <w:shd w:val="clear" w:color="auto" w:fill="FFFFFF" w:themeFill="background1"/>
            <w:vAlign w:val="center"/>
            <w:hideMark/>
          </w:tcPr>
          <w:p w14:paraId="6500A84A" w14:textId="77777777" w:rsidR="00C916E6" w:rsidRPr="00AF3320" w:rsidRDefault="00C916E6" w:rsidP="00C916E6">
            <w:pPr>
              <w:spacing w:before="60" w:after="60"/>
              <w:jc w:val="center"/>
              <w:rPr>
                <w:rFonts w:cs="Segoe UI"/>
                <w:color w:val="000000"/>
                <w:sz w:val="18"/>
                <w:szCs w:val="18"/>
                <w:lang w:eastAsia="en-NZ"/>
              </w:rPr>
            </w:pPr>
            <w:r w:rsidRPr="00AF3320">
              <w:rPr>
                <w:rFonts w:cs="Segoe UI"/>
                <w:color w:val="000000"/>
                <w:sz w:val="18"/>
                <w:szCs w:val="18"/>
                <w:lang w:eastAsia="en-NZ"/>
              </w:rPr>
              <w:t>No difference</w:t>
            </w:r>
          </w:p>
        </w:tc>
        <w:tc>
          <w:tcPr>
            <w:tcW w:w="1418" w:type="dxa"/>
            <w:tcBorders>
              <w:top w:val="single" w:sz="4" w:space="0" w:color="A6A6A6" w:themeColor="background1" w:themeShade="A6"/>
              <w:bottom w:val="single" w:sz="4" w:space="0" w:color="A6A6A6" w:themeColor="background1" w:themeShade="A6"/>
            </w:tcBorders>
            <w:shd w:val="clear" w:color="auto" w:fill="FFFFFF" w:themeFill="background1"/>
            <w:vAlign w:val="center"/>
            <w:hideMark/>
          </w:tcPr>
          <w:p w14:paraId="654516D7" w14:textId="77777777" w:rsidR="00C916E6" w:rsidRPr="00AF3320" w:rsidRDefault="00C916E6" w:rsidP="00C916E6">
            <w:pPr>
              <w:spacing w:before="60" w:after="60"/>
              <w:jc w:val="center"/>
              <w:rPr>
                <w:rFonts w:cs="Segoe UI"/>
                <w:color w:val="000000"/>
                <w:sz w:val="18"/>
                <w:szCs w:val="18"/>
                <w:lang w:eastAsia="en-NZ"/>
              </w:rPr>
            </w:pPr>
            <w:r w:rsidRPr="00AF3320">
              <w:rPr>
                <w:rFonts w:cs="Segoe UI"/>
                <w:color w:val="000000"/>
                <w:sz w:val="18"/>
                <w:szCs w:val="18"/>
                <w:lang w:eastAsia="en-NZ"/>
              </w:rPr>
              <w:t>No difference</w:t>
            </w:r>
          </w:p>
        </w:tc>
        <w:tc>
          <w:tcPr>
            <w:tcW w:w="1422" w:type="dxa"/>
            <w:tcBorders>
              <w:top w:val="single" w:sz="4" w:space="0" w:color="A6A6A6" w:themeColor="background1" w:themeShade="A6"/>
              <w:bottom w:val="single" w:sz="4" w:space="0" w:color="A6A6A6" w:themeColor="background1" w:themeShade="A6"/>
            </w:tcBorders>
            <w:shd w:val="clear" w:color="auto" w:fill="FFFFFF" w:themeFill="background1"/>
            <w:vAlign w:val="center"/>
            <w:hideMark/>
          </w:tcPr>
          <w:p w14:paraId="268A2EE4" w14:textId="77777777" w:rsidR="00C916E6" w:rsidRPr="00AF3320" w:rsidRDefault="00C916E6" w:rsidP="00C916E6">
            <w:pPr>
              <w:spacing w:before="60" w:after="60"/>
              <w:jc w:val="center"/>
              <w:rPr>
                <w:rFonts w:cs="Segoe UI"/>
                <w:color w:val="000000"/>
                <w:sz w:val="18"/>
                <w:szCs w:val="18"/>
                <w:lang w:eastAsia="en-NZ"/>
              </w:rPr>
            </w:pPr>
            <w:r w:rsidRPr="00AF3320">
              <w:rPr>
                <w:rFonts w:cs="Segoe UI"/>
                <w:color w:val="000000"/>
                <w:sz w:val="18"/>
                <w:szCs w:val="18"/>
                <w:lang w:eastAsia="en-NZ"/>
              </w:rPr>
              <w:t>No difference</w:t>
            </w:r>
          </w:p>
        </w:tc>
      </w:tr>
      <w:tr w:rsidR="00C916E6" w:rsidRPr="009C66A8" w14:paraId="5CCAFE76" w14:textId="77777777" w:rsidTr="00C916E6">
        <w:trPr>
          <w:trHeight w:val="306"/>
        </w:trPr>
        <w:tc>
          <w:tcPr>
            <w:tcW w:w="1275" w:type="dxa"/>
            <w:tcBorders>
              <w:top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hideMark/>
          </w:tcPr>
          <w:p w14:paraId="0D2790BB" w14:textId="77777777" w:rsidR="00C916E6" w:rsidRPr="00AF3320" w:rsidRDefault="00C916E6" w:rsidP="00C916E6">
            <w:pPr>
              <w:spacing w:before="60" w:after="60"/>
              <w:rPr>
                <w:rFonts w:cs="Segoe UI"/>
                <w:color w:val="000000"/>
                <w:sz w:val="18"/>
                <w:szCs w:val="18"/>
                <w:lang w:eastAsia="en-NZ"/>
              </w:rPr>
            </w:pPr>
            <w:r w:rsidRPr="00AF3320">
              <w:rPr>
                <w:rFonts w:cs="Segoe UI"/>
                <w:color w:val="000000"/>
                <w:sz w:val="18"/>
                <w:szCs w:val="18"/>
                <w:lang w:eastAsia="en-NZ"/>
              </w:rPr>
              <w:t xml:space="preserve">Capital </w:t>
            </w:r>
            <w:r>
              <w:rPr>
                <w:rFonts w:cs="Segoe UI"/>
                <w:color w:val="000000"/>
                <w:sz w:val="18"/>
                <w:szCs w:val="18"/>
                <w:lang w:eastAsia="en-NZ"/>
              </w:rPr>
              <w:t>&amp;</w:t>
            </w:r>
            <w:r w:rsidRPr="00AF3320">
              <w:rPr>
                <w:rFonts w:cs="Segoe UI"/>
                <w:color w:val="000000"/>
                <w:sz w:val="18"/>
                <w:szCs w:val="18"/>
                <w:lang w:eastAsia="en-NZ"/>
              </w:rPr>
              <w:t xml:space="preserve"> Coast</w:t>
            </w:r>
          </w:p>
        </w:tc>
        <w:tc>
          <w:tcPr>
            <w:tcW w:w="1135" w:type="dxa"/>
            <w:tcBorders>
              <w:top w:val="single" w:sz="4" w:space="0" w:color="A6A6A6" w:themeColor="background1" w:themeShade="A6"/>
              <w:left w:val="single" w:sz="4" w:space="0" w:color="A6A6A6" w:themeColor="background1" w:themeShade="A6"/>
              <w:bottom w:val="single" w:sz="4" w:space="0" w:color="A6A6A6" w:themeColor="background1" w:themeShade="A6"/>
            </w:tcBorders>
            <w:shd w:val="clear" w:color="auto" w:fill="FFFFFF" w:themeFill="background1"/>
            <w:vAlign w:val="center"/>
            <w:hideMark/>
          </w:tcPr>
          <w:p w14:paraId="41E7FF12" w14:textId="77777777" w:rsidR="00C916E6" w:rsidRPr="00AF3320" w:rsidRDefault="00C916E6" w:rsidP="00C916E6">
            <w:pPr>
              <w:spacing w:before="60" w:after="60"/>
              <w:jc w:val="center"/>
              <w:rPr>
                <w:rFonts w:cs="Segoe UI"/>
                <w:color w:val="000000"/>
                <w:sz w:val="18"/>
                <w:szCs w:val="18"/>
                <w:lang w:eastAsia="en-NZ"/>
              </w:rPr>
            </w:pPr>
            <w:r w:rsidRPr="00AF3320">
              <w:rPr>
                <w:rFonts w:cs="Segoe UI"/>
                <w:color w:val="000000"/>
                <w:sz w:val="18"/>
                <w:szCs w:val="18"/>
                <w:lang w:eastAsia="en-NZ"/>
              </w:rPr>
              <w:t>34</w:t>
            </w:r>
          </w:p>
        </w:tc>
        <w:tc>
          <w:tcPr>
            <w:tcW w:w="1143" w:type="dxa"/>
            <w:tcBorders>
              <w:top w:val="single" w:sz="4" w:space="0" w:color="A6A6A6" w:themeColor="background1" w:themeShade="A6"/>
              <w:bottom w:val="single" w:sz="4" w:space="0" w:color="A6A6A6" w:themeColor="background1" w:themeShade="A6"/>
            </w:tcBorders>
            <w:shd w:val="clear" w:color="auto" w:fill="FFFFFF" w:themeFill="background1"/>
            <w:vAlign w:val="center"/>
            <w:hideMark/>
          </w:tcPr>
          <w:p w14:paraId="7C3124A9" w14:textId="77777777" w:rsidR="00C916E6" w:rsidRPr="00AF3320" w:rsidRDefault="00C916E6" w:rsidP="00C916E6">
            <w:pPr>
              <w:spacing w:before="60" w:after="60"/>
              <w:jc w:val="center"/>
              <w:rPr>
                <w:rFonts w:cs="Segoe UI"/>
                <w:color w:val="000000"/>
                <w:sz w:val="18"/>
                <w:szCs w:val="18"/>
                <w:lang w:eastAsia="en-NZ"/>
              </w:rPr>
            </w:pPr>
            <w:r w:rsidRPr="00AF3320">
              <w:rPr>
                <w:rFonts w:cs="Segoe UI"/>
                <w:color w:val="000000"/>
                <w:sz w:val="18"/>
                <w:szCs w:val="18"/>
                <w:lang w:eastAsia="en-NZ"/>
              </w:rPr>
              <w:t>411</w:t>
            </w:r>
          </w:p>
        </w:tc>
        <w:tc>
          <w:tcPr>
            <w:tcW w:w="1420" w:type="dxa"/>
            <w:tcBorders>
              <w:top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hideMark/>
          </w:tcPr>
          <w:p w14:paraId="04586068" w14:textId="77777777" w:rsidR="00C916E6" w:rsidRPr="00AF3320" w:rsidRDefault="00C916E6" w:rsidP="00C916E6">
            <w:pPr>
              <w:spacing w:before="60" w:after="60"/>
              <w:jc w:val="center"/>
              <w:rPr>
                <w:rFonts w:cs="Segoe UI"/>
                <w:color w:val="000000"/>
                <w:sz w:val="18"/>
                <w:szCs w:val="18"/>
                <w:lang w:eastAsia="en-NZ"/>
              </w:rPr>
            </w:pPr>
            <w:r w:rsidRPr="00AF3320">
              <w:rPr>
                <w:rFonts w:cs="Segoe UI"/>
                <w:color w:val="000000"/>
                <w:sz w:val="18"/>
                <w:szCs w:val="18"/>
                <w:lang w:eastAsia="en-NZ"/>
              </w:rPr>
              <w:t>12 (2</w:t>
            </w:r>
            <w:r>
              <w:rPr>
                <w:rFonts w:cs="Segoe UI"/>
                <w:color w:val="000000"/>
                <w:sz w:val="18"/>
                <w:szCs w:val="18"/>
                <w:lang w:eastAsia="en-NZ"/>
              </w:rPr>
              <w:t>–</w:t>
            </w:r>
            <w:r w:rsidRPr="00AF3320">
              <w:rPr>
                <w:rFonts w:cs="Segoe UI"/>
                <w:color w:val="000000"/>
                <w:sz w:val="18"/>
                <w:szCs w:val="18"/>
                <w:lang w:eastAsia="en-NZ"/>
              </w:rPr>
              <w:t>28)</w:t>
            </w:r>
          </w:p>
        </w:tc>
        <w:tc>
          <w:tcPr>
            <w:tcW w:w="1406" w:type="dxa"/>
            <w:tcBorders>
              <w:top w:val="single" w:sz="4" w:space="0" w:color="A6A6A6" w:themeColor="background1" w:themeShade="A6"/>
              <w:left w:val="single" w:sz="4" w:space="0" w:color="A6A6A6" w:themeColor="background1" w:themeShade="A6"/>
              <w:bottom w:val="single" w:sz="4" w:space="0" w:color="A6A6A6" w:themeColor="background1" w:themeShade="A6"/>
            </w:tcBorders>
            <w:shd w:val="clear" w:color="auto" w:fill="FFFFFF" w:themeFill="background1"/>
            <w:vAlign w:val="center"/>
            <w:hideMark/>
          </w:tcPr>
          <w:p w14:paraId="4D7736BE" w14:textId="77777777" w:rsidR="00C916E6" w:rsidRPr="00AF3320" w:rsidRDefault="00C916E6" w:rsidP="00C916E6">
            <w:pPr>
              <w:spacing w:before="60" w:after="60"/>
              <w:jc w:val="center"/>
              <w:rPr>
                <w:rFonts w:cs="Segoe UI"/>
                <w:color w:val="000000"/>
                <w:sz w:val="18"/>
                <w:szCs w:val="18"/>
                <w:lang w:eastAsia="en-NZ"/>
              </w:rPr>
            </w:pPr>
            <w:r w:rsidRPr="00AF3320">
              <w:rPr>
                <w:rFonts w:cs="Segoe UI"/>
                <w:color w:val="000000"/>
                <w:sz w:val="18"/>
                <w:szCs w:val="18"/>
                <w:lang w:eastAsia="en-NZ"/>
              </w:rPr>
              <w:t>No difference</w:t>
            </w:r>
          </w:p>
        </w:tc>
        <w:tc>
          <w:tcPr>
            <w:tcW w:w="1418" w:type="dxa"/>
            <w:tcBorders>
              <w:top w:val="single" w:sz="4" w:space="0" w:color="A6A6A6" w:themeColor="background1" w:themeShade="A6"/>
              <w:bottom w:val="single" w:sz="4" w:space="0" w:color="A6A6A6" w:themeColor="background1" w:themeShade="A6"/>
            </w:tcBorders>
            <w:shd w:val="clear" w:color="auto" w:fill="FFFFFF" w:themeFill="background1"/>
            <w:vAlign w:val="center"/>
            <w:hideMark/>
          </w:tcPr>
          <w:p w14:paraId="717C035E" w14:textId="77777777" w:rsidR="00C916E6" w:rsidRPr="00AF3320" w:rsidRDefault="00C916E6" w:rsidP="00C916E6">
            <w:pPr>
              <w:spacing w:before="60" w:after="60"/>
              <w:jc w:val="center"/>
              <w:rPr>
                <w:rFonts w:cs="Segoe UI"/>
                <w:color w:val="000000"/>
                <w:sz w:val="18"/>
                <w:szCs w:val="18"/>
                <w:lang w:eastAsia="en-NZ"/>
              </w:rPr>
            </w:pPr>
            <w:r w:rsidRPr="00AF3320">
              <w:rPr>
                <w:rFonts w:cs="Segoe UI"/>
                <w:color w:val="000000"/>
                <w:sz w:val="18"/>
                <w:szCs w:val="18"/>
                <w:lang w:eastAsia="en-NZ"/>
              </w:rPr>
              <w:t>No difference</w:t>
            </w:r>
          </w:p>
        </w:tc>
        <w:tc>
          <w:tcPr>
            <w:tcW w:w="1422" w:type="dxa"/>
            <w:tcBorders>
              <w:top w:val="single" w:sz="4" w:space="0" w:color="A6A6A6" w:themeColor="background1" w:themeShade="A6"/>
              <w:bottom w:val="single" w:sz="4" w:space="0" w:color="A6A6A6" w:themeColor="background1" w:themeShade="A6"/>
            </w:tcBorders>
            <w:shd w:val="clear" w:color="auto" w:fill="FFFFFF" w:themeFill="background1"/>
            <w:vAlign w:val="center"/>
            <w:hideMark/>
          </w:tcPr>
          <w:p w14:paraId="3D9A2004" w14:textId="77777777" w:rsidR="00C916E6" w:rsidRPr="00AF3320" w:rsidRDefault="00C916E6" w:rsidP="00C916E6">
            <w:pPr>
              <w:spacing w:before="60" w:after="60"/>
              <w:jc w:val="center"/>
              <w:rPr>
                <w:rFonts w:cs="Segoe UI"/>
                <w:color w:val="000000"/>
                <w:sz w:val="18"/>
                <w:szCs w:val="18"/>
                <w:lang w:eastAsia="en-NZ"/>
              </w:rPr>
            </w:pPr>
            <w:r w:rsidRPr="00AF3320">
              <w:rPr>
                <w:rFonts w:cs="Segoe UI"/>
                <w:color w:val="000000"/>
                <w:sz w:val="18"/>
                <w:szCs w:val="18"/>
                <w:lang w:eastAsia="en-NZ"/>
              </w:rPr>
              <w:t>No difference</w:t>
            </w:r>
          </w:p>
        </w:tc>
      </w:tr>
      <w:tr w:rsidR="00C916E6" w:rsidRPr="009C66A8" w14:paraId="2DE74F98" w14:textId="77777777" w:rsidTr="00C916E6">
        <w:trPr>
          <w:trHeight w:val="306"/>
        </w:trPr>
        <w:tc>
          <w:tcPr>
            <w:tcW w:w="1275" w:type="dxa"/>
            <w:tcBorders>
              <w:top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hideMark/>
          </w:tcPr>
          <w:p w14:paraId="7290D9DE" w14:textId="77777777" w:rsidR="00C916E6" w:rsidRPr="00AF3320" w:rsidRDefault="00C916E6" w:rsidP="00C916E6">
            <w:pPr>
              <w:spacing w:before="60" w:after="60"/>
              <w:rPr>
                <w:rFonts w:cs="Segoe UI"/>
                <w:color w:val="000000"/>
                <w:sz w:val="18"/>
                <w:szCs w:val="18"/>
                <w:lang w:eastAsia="en-NZ"/>
              </w:rPr>
            </w:pPr>
            <w:r w:rsidRPr="00AF3320">
              <w:rPr>
                <w:rFonts w:cs="Segoe UI"/>
                <w:color w:val="000000"/>
                <w:sz w:val="18"/>
                <w:szCs w:val="18"/>
                <w:lang w:eastAsia="en-NZ"/>
              </w:rPr>
              <w:t>Counties Manukau</w:t>
            </w:r>
          </w:p>
        </w:tc>
        <w:tc>
          <w:tcPr>
            <w:tcW w:w="1135" w:type="dxa"/>
            <w:tcBorders>
              <w:top w:val="single" w:sz="4" w:space="0" w:color="A6A6A6" w:themeColor="background1" w:themeShade="A6"/>
              <w:left w:val="single" w:sz="4" w:space="0" w:color="A6A6A6" w:themeColor="background1" w:themeShade="A6"/>
              <w:bottom w:val="single" w:sz="4" w:space="0" w:color="A6A6A6" w:themeColor="background1" w:themeShade="A6"/>
            </w:tcBorders>
            <w:shd w:val="clear" w:color="auto" w:fill="FFFFFF" w:themeFill="background1"/>
            <w:vAlign w:val="center"/>
            <w:hideMark/>
          </w:tcPr>
          <w:p w14:paraId="3A031428" w14:textId="77777777" w:rsidR="00C916E6" w:rsidRPr="00AF3320" w:rsidRDefault="00C916E6" w:rsidP="00C916E6">
            <w:pPr>
              <w:spacing w:before="60" w:after="60"/>
              <w:jc w:val="center"/>
              <w:rPr>
                <w:rFonts w:cs="Segoe UI"/>
                <w:color w:val="000000"/>
                <w:sz w:val="18"/>
                <w:szCs w:val="18"/>
                <w:lang w:eastAsia="en-NZ"/>
              </w:rPr>
            </w:pPr>
            <w:r w:rsidRPr="00AF3320">
              <w:rPr>
                <w:rFonts w:cs="Segoe UI"/>
                <w:color w:val="000000"/>
                <w:sz w:val="18"/>
                <w:szCs w:val="18"/>
                <w:lang w:eastAsia="en-NZ"/>
              </w:rPr>
              <w:t>22</w:t>
            </w:r>
          </w:p>
        </w:tc>
        <w:tc>
          <w:tcPr>
            <w:tcW w:w="1143" w:type="dxa"/>
            <w:tcBorders>
              <w:top w:val="single" w:sz="4" w:space="0" w:color="A6A6A6" w:themeColor="background1" w:themeShade="A6"/>
              <w:bottom w:val="single" w:sz="4" w:space="0" w:color="A6A6A6" w:themeColor="background1" w:themeShade="A6"/>
            </w:tcBorders>
            <w:shd w:val="clear" w:color="auto" w:fill="FFFFFF" w:themeFill="background1"/>
            <w:vAlign w:val="center"/>
            <w:hideMark/>
          </w:tcPr>
          <w:p w14:paraId="23291BC6" w14:textId="77777777" w:rsidR="00C916E6" w:rsidRPr="00AF3320" w:rsidRDefault="00C916E6" w:rsidP="00C916E6">
            <w:pPr>
              <w:spacing w:before="60" w:after="60"/>
              <w:jc w:val="center"/>
              <w:rPr>
                <w:rFonts w:cs="Segoe UI"/>
                <w:color w:val="000000"/>
                <w:sz w:val="18"/>
                <w:szCs w:val="18"/>
                <w:lang w:eastAsia="en-NZ"/>
              </w:rPr>
            </w:pPr>
            <w:r w:rsidRPr="00AF3320">
              <w:rPr>
                <w:rFonts w:cs="Segoe UI"/>
                <w:color w:val="000000"/>
                <w:sz w:val="18"/>
                <w:szCs w:val="18"/>
                <w:lang w:eastAsia="en-NZ"/>
              </w:rPr>
              <w:t>366</w:t>
            </w:r>
          </w:p>
        </w:tc>
        <w:tc>
          <w:tcPr>
            <w:tcW w:w="1420" w:type="dxa"/>
            <w:tcBorders>
              <w:top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hideMark/>
          </w:tcPr>
          <w:p w14:paraId="7B1B3B37" w14:textId="77777777" w:rsidR="00C916E6" w:rsidRPr="00AF3320" w:rsidRDefault="00C916E6" w:rsidP="00C916E6">
            <w:pPr>
              <w:spacing w:before="60" w:after="60"/>
              <w:jc w:val="center"/>
              <w:rPr>
                <w:rFonts w:cs="Segoe UI"/>
                <w:color w:val="000000"/>
                <w:sz w:val="18"/>
                <w:szCs w:val="18"/>
                <w:lang w:eastAsia="en-NZ"/>
              </w:rPr>
            </w:pPr>
            <w:r w:rsidRPr="00AF3320">
              <w:rPr>
                <w:rFonts w:cs="Segoe UI"/>
                <w:color w:val="000000"/>
                <w:sz w:val="18"/>
                <w:szCs w:val="18"/>
                <w:lang w:eastAsia="en-NZ"/>
              </w:rPr>
              <w:t>17 (1</w:t>
            </w:r>
            <w:r>
              <w:rPr>
                <w:rFonts w:cs="Segoe UI"/>
                <w:color w:val="000000"/>
                <w:sz w:val="18"/>
                <w:szCs w:val="18"/>
                <w:lang w:eastAsia="en-NZ"/>
              </w:rPr>
              <w:t>–</w:t>
            </w:r>
            <w:r w:rsidRPr="00AF3320">
              <w:rPr>
                <w:rFonts w:cs="Segoe UI"/>
                <w:color w:val="000000"/>
                <w:sz w:val="18"/>
                <w:szCs w:val="18"/>
                <w:lang w:eastAsia="en-NZ"/>
              </w:rPr>
              <w:t>53)</w:t>
            </w:r>
          </w:p>
        </w:tc>
        <w:tc>
          <w:tcPr>
            <w:tcW w:w="1406" w:type="dxa"/>
            <w:tcBorders>
              <w:top w:val="single" w:sz="4" w:space="0" w:color="A6A6A6" w:themeColor="background1" w:themeShade="A6"/>
              <w:left w:val="single" w:sz="4" w:space="0" w:color="A6A6A6" w:themeColor="background1" w:themeShade="A6"/>
              <w:bottom w:val="single" w:sz="4" w:space="0" w:color="A6A6A6" w:themeColor="background1" w:themeShade="A6"/>
            </w:tcBorders>
            <w:shd w:val="clear" w:color="auto" w:fill="FFFFFF" w:themeFill="background1"/>
            <w:vAlign w:val="center"/>
            <w:hideMark/>
          </w:tcPr>
          <w:p w14:paraId="5EBBA756" w14:textId="77777777" w:rsidR="00C916E6" w:rsidRPr="00AF3320" w:rsidRDefault="00C916E6" w:rsidP="00C916E6">
            <w:pPr>
              <w:spacing w:before="60" w:after="60"/>
              <w:jc w:val="center"/>
              <w:rPr>
                <w:rFonts w:cs="Segoe UI"/>
                <w:color w:val="000000"/>
                <w:sz w:val="18"/>
                <w:szCs w:val="18"/>
                <w:lang w:eastAsia="en-NZ"/>
              </w:rPr>
            </w:pPr>
            <w:r w:rsidRPr="00AF3320">
              <w:rPr>
                <w:rFonts w:cs="Segoe UI"/>
                <w:color w:val="000000"/>
                <w:sz w:val="18"/>
                <w:szCs w:val="18"/>
                <w:lang w:eastAsia="en-NZ"/>
              </w:rPr>
              <w:t>No difference</w:t>
            </w:r>
          </w:p>
        </w:tc>
        <w:tc>
          <w:tcPr>
            <w:tcW w:w="1418" w:type="dxa"/>
            <w:tcBorders>
              <w:top w:val="single" w:sz="4" w:space="0" w:color="A6A6A6" w:themeColor="background1" w:themeShade="A6"/>
              <w:bottom w:val="single" w:sz="4" w:space="0" w:color="A6A6A6" w:themeColor="background1" w:themeShade="A6"/>
            </w:tcBorders>
            <w:shd w:val="clear" w:color="auto" w:fill="FFFFFF" w:themeFill="background1"/>
            <w:vAlign w:val="center"/>
            <w:hideMark/>
          </w:tcPr>
          <w:p w14:paraId="600F7FE8" w14:textId="77777777" w:rsidR="00C916E6" w:rsidRPr="00AF3320" w:rsidRDefault="00C916E6" w:rsidP="00C916E6">
            <w:pPr>
              <w:spacing w:before="60" w:after="60"/>
              <w:jc w:val="center"/>
              <w:rPr>
                <w:rFonts w:cs="Segoe UI"/>
                <w:color w:val="000000"/>
                <w:sz w:val="18"/>
                <w:szCs w:val="18"/>
                <w:lang w:eastAsia="en-NZ"/>
              </w:rPr>
            </w:pPr>
            <w:r w:rsidRPr="00AF3320">
              <w:rPr>
                <w:rFonts w:cs="Segoe UI"/>
                <w:color w:val="000000"/>
                <w:sz w:val="18"/>
                <w:szCs w:val="18"/>
                <w:lang w:eastAsia="en-NZ"/>
              </w:rPr>
              <w:t>No difference</w:t>
            </w:r>
          </w:p>
        </w:tc>
        <w:tc>
          <w:tcPr>
            <w:tcW w:w="1422" w:type="dxa"/>
            <w:tcBorders>
              <w:top w:val="single" w:sz="4" w:space="0" w:color="A6A6A6" w:themeColor="background1" w:themeShade="A6"/>
              <w:bottom w:val="single" w:sz="4" w:space="0" w:color="A6A6A6" w:themeColor="background1" w:themeShade="A6"/>
            </w:tcBorders>
            <w:shd w:val="clear" w:color="auto" w:fill="FFFFFF" w:themeFill="background1"/>
            <w:vAlign w:val="center"/>
            <w:hideMark/>
          </w:tcPr>
          <w:p w14:paraId="4DAAD62D" w14:textId="77777777" w:rsidR="00C916E6" w:rsidRPr="00AF3320" w:rsidRDefault="00C916E6" w:rsidP="00C916E6">
            <w:pPr>
              <w:spacing w:before="60" w:after="60"/>
              <w:jc w:val="center"/>
              <w:rPr>
                <w:rFonts w:cs="Segoe UI"/>
                <w:color w:val="000000"/>
                <w:sz w:val="18"/>
                <w:szCs w:val="18"/>
                <w:lang w:eastAsia="en-NZ"/>
              </w:rPr>
            </w:pPr>
            <w:r w:rsidRPr="00AF3320">
              <w:rPr>
                <w:rFonts w:cs="Segoe UI"/>
                <w:color w:val="000000"/>
                <w:sz w:val="18"/>
                <w:szCs w:val="18"/>
                <w:lang w:eastAsia="en-NZ"/>
              </w:rPr>
              <w:t>No difference</w:t>
            </w:r>
          </w:p>
        </w:tc>
      </w:tr>
      <w:tr w:rsidR="00C916E6" w:rsidRPr="009C66A8" w14:paraId="67205C95" w14:textId="77777777" w:rsidTr="00C916E6">
        <w:trPr>
          <w:trHeight w:val="306"/>
        </w:trPr>
        <w:tc>
          <w:tcPr>
            <w:tcW w:w="1275" w:type="dxa"/>
            <w:tcBorders>
              <w:top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hideMark/>
          </w:tcPr>
          <w:p w14:paraId="1DE54C7E" w14:textId="77777777" w:rsidR="00C916E6" w:rsidRPr="00AF3320" w:rsidRDefault="00C916E6" w:rsidP="00C916E6">
            <w:pPr>
              <w:spacing w:before="60" w:after="60"/>
              <w:rPr>
                <w:rFonts w:cs="Segoe UI"/>
                <w:color w:val="000000"/>
                <w:sz w:val="18"/>
                <w:szCs w:val="18"/>
                <w:lang w:eastAsia="en-NZ"/>
              </w:rPr>
            </w:pPr>
            <w:r w:rsidRPr="00AF3320">
              <w:rPr>
                <w:rFonts w:cs="Segoe UI"/>
                <w:color w:val="000000"/>
                <w:sz w:val="18"/>
                <w:szCs w:val="18"/>
                <w:lang w:eastAsia="en-NZ"/>
              </w:rPr>
              <w:t>Hawke</w:t>
            </w:r>
            <w:r>
              <w:rPr>
                <w:rFonts w:cs="Segoe UI"/>
                <w:color w:val="000000"/>
                <w:sz w:val="18"/>
                <w:szCs w:val="18"/>
                <w:lang w:eastAsia="en-NZ"/>
              </w:rPr>
              <w:t>’</w:t>
            </w:r>
            <w:r w:rsidRPr="00AF3320">
              <w:rPr>
                <w:rFonts w:cs="Segoe UI"/>
                <w:color w:val="000000"/>
                <w:sz w:val="18"/>
                <w:szCs w:val="18"/>
                <w:lang w:eastAsia="en-NZ"/>
              </w:rPr>
              <w:t>s Bay</w:t>
            </w:r>
          </w:p>
        </w:tc>
        <w:tc>
          <w:tcPr>
            <w:tcW w:w="1135" w:type="dxa"/>
            <w:tcBorders>
              <w:top w:val="single" w:sz="4" w:space="0" w:color="A6A6A6" w:themeColor="background1" w:themeShade="A6"/>
              <w:left w:val="single" w:sz="4" w:space="0" w:color="A6A6A6" w:themeColor="background1" w:themeShade="A6"/>
              <w:bottom w:val="single" w:sz="4" w:space="0" w:color="A6A6A6" w:themeColor="background1" w:themeShade="A6"/>
            </w:tcBorders>
            <w:shd w:val="clear" w:color="auto" w:fill="FFFFFF" w:themeFill="background1"/>
            <w:vAlign w:val="center"/>
            <w:hideMark/>
          </w:tcPr>
          <w:p w14:paraId="00B44230" w14:textId="77777777" w:rsidR="00C916E6" w:rsidRPr="00AF3320" w:rsidRDefault="00C916E6" w:rsidP="00C916E6">
            <w:pPr>
              <w:spacing w:before="60" w:after="60"/>
              <w:jc w:val="center"/>
              <w:rPr>
                <w:rFonts w:cs="Segoe UI"/>
                <w:color w:val="000000"/>
                <w:sz w:val="18"/>
                <w:szCs w:val="18"/>
                <w:lang w:eastAsia="en-NZ"/>
              </w:rPr>
            </w:pPr>
            <w:r w:rsidRPr="00AF3320">
              <w:rPr>
                <w:rFonts w:cs="Segoe UI"/>
                <w:color w:val="000000"/>
                <w:sz w:val="18"/>
                <w:szCs w:val="18"/>
                <w:lang w:eastAsia="en-NZ"/>
              </w:rPr>
              <w:t>5</w:t>
            </w:r>
          </w:p>
        </w:tc>
        <w:tc>
          <w:tcPr>
            <w:tcW w:w="1143" w:type="dxa"/>
            <w:tcBorders>
              <w:top w:val="single" w:sz="4" w:space="0" w:color="A6A6A6" w:themeColor="background1" w:themeShade="A6"/>
              <w:bottom w:val="single" w:sz="4" w:space="0" w:color="A6A6A6" w:themeColor="background1" w:themeShade="A6"/>
            </w:tcBorders>
            <w:shd w:val="clear" w:color="auto" w:fill="FFFFFF" w:themeFill="background1"/>
            <w:vAlign w:val="center"/>
            <w:hideMark/>
          </w:tcPr>
          <w:p w14:paraId="1E5BD8B2" w14:textId="77777777" w:rsidR="00C916E6" w:rsidRPr="00AF3320" w:rsidRDefault="00C916E6" w:rsidP="00C916E6">
            <w:pPr>
              <w:spacing w:before="60" w:after="60"/>
              <w:jc w:val="center"/>
              <w:rPr>
                <w:rFonts w:cs="Segoe UI"/>
                <w:color w:val="000000"/>
                <w:sz w:val="18"/>
                <w:szCs w:val="18"/>
                <w:lang w:eastAsia="en-NZ"/>
              </w:rPr>
            </w:pPr>
            <w:r w:rsidRPr="00AF3320">
              <w:rPr>
                <w:rFonts w:cs="Segoe UI"/>
                <w:color w:val="000000"/>
                <w:sz w:val="18"/>
                <w:szCs w:val="18"/>
                <w:lang w:eastAsia="en-NZ"/>
              </w:rPr>
              <w:t>98</w:t>
            </w:r>
          </w:p>
        </w:tc>
        <w:tc>
          <w:tcPr>
            <w:tcW w:w="1420" w:type="dxa"/>
            <w:tcBorders>
              <w:top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hideMark/>
          </w:tcPr>
          <w:p w14:paraId="4494F36A" w14:textId="77777777" w:rsidR="00C916E6" w:rsidRPr="00AF3320" w:rsidRDefault="00C916E6" w:rsidP="00C916E6">
            <w:pPr>
              <w:spacing w:before="60" w:after="60"/>
              <w:jc w:val="center"/>
              <w:rPr>
                <w:rFonts w:cs="Segoe UI"/>
                <w:color w:val="000000"/>
                <w:sz w:val="18"/>
                <w:szCs w:val="18"/>
                <w:lang w:eastAsia="en-NZ"/>
              </w:rPr>
            </w:pPr>
            <w:r w:rsidRPr="00AF3320">
              <w:rPr>
                <w:rFonts w:cs="Segoe UI"/>
                <w:color w:val="000000"/>
                <w:sz w:val="18"/>
                <w:szCs w:val="18"/>
                <w:lang w:eastAsia="en-NZ"/>
              </w:rPr>
              <w:t>20 (4</w:t>
            </w:r>
            <w:r>
              <w:rPr>
                <w:rFonts w:cs="Segoe UI"/>
                <w:color w:val="000000"/>
                <w:sz w:val="18"/>
                <w:szCs w:val="18"/>
                <w:lang w:eastAsia="en-NZ"/>
              </w:rPr>
              <w:t>–</w:t>
            </w:r>
            <w:r w:rsidRPr="00AF3320">
              <w:rPr>
                <w:rFonts w:cs="Segoe UI"/>
                <w:color w:val="000000"/>
                <w:sz w:val="18"/>
                <w:szCs w:val="18"/>
                <w:lang w:eastAsia="en-NZ"/>
              </w:rPr>
              <w:t>36)</w:t>
            </w:r>
          </w:p>
        </w:tc>
        <w:tc>
          <w:tcPr>
            <w:tcW w:w="1406" w:type="dxa"/>
            <w:tcBorders>
              <w:top w:val="single" w:sz="4" w:space="0" w:color="A6A6A6" w:themeColor="background1" w:themeShade="A6"/>
              <w:left w:val="single" w:sz="4" w:space="0" w:color="A6A6A6" w:themeColor="background1" w:themeShade="A6"/>
              <w:bottom w:val="single" w:sz="4" w:space="0" w:color="A6A6A6" w:themeColor="background1" w:themeShade="A6"/>
            </w:tcBorders>
            <w:shd w:val="clear" w:color="auto" w:fill="FFFFFF" w:themeFill="background1"/>
            <w:vAlign w:val="center"/>
            <w:hideMark/>
          </w:tcPr>
          <w:p w14:paraId="214B0B2E" w14:textId="77777777" w:rsidR="00C916E6" w:rsidRPr="00AF3320" w:rsidRDefault="00C916E6" w:rsidP="00C916E6">
            <w:pPr>
              <w:spacing w:before="60" w:after="60"/>
              <w:jc w:val="center"/>
              <w:rPr>
                <w:rFonts w:cs="Segoe UI"/>
                <w:color w:val="000000"/>
                <w:sz w:val="18"/>
                <w:szCs w:val="18"/>
                <w:lang w:eastAsia="en-NZ"/>
              </w:rPr>
            </w:pPr>
            <w:r w:rsidRPr="00AF3320">
              <w:rPr>
                <w:rFonts w:cs="Segoe UI"/>
                <w:color w:val="000000"/>
                <w:sz w:val="18"/>
                <w:szCs w:val="18"/>
                <w:lang w:eastAsia="en-NZ"/>
              </w:rPr>
              <w:t>No difference</w:t>
            </w:r>
          </w:p>
        </w:tc>
        <w:tc>
          <w:tcPr>
            <w:tcW w:w="1418" w:type="dxa"/>
            <w:tcBorders>
              <w:top w:val="single" w:sz="4" w:space="0" w:color="A6A6A6" w:themeColor="background1" w:themeShade="A6"/>
              <w:bottom w:val="single" w:sz="4" w:space="0" w:color="A6A6A6" w:themeColor="background1" w:themeShade="A6"/>
            </w:tcBorders>
            <w:shd w:val="clear" w:color="auto" w:fill="FFFFFF" w:themeFill="background1"/>
            <w:vAlign w:val="center"/>
            <w:hideMark/>
          </w:tcPr>
          <w:p w14:paraId="56F8A173" w14:textId="77777777" w:rsidR="00C916E6" w:rsidRPr="00AF3320" w:rsidRDefault="00C916E6" w:rsidP="00C916E6">
            <w:pPr>
              <w:spacing w:before="60" w:after="60"/>
              <w:jc w:val="center"/>
              <w:rPr>
                <w:rFonts w:cs="Segoe UI"/>
                <w:color w:val="000000"/>
                <w:sz w:val="18"/>
                <w:szCs w:val="18"/>
                <w:lang w:eastAsia="en-NZ"/>
              </w:rPr>
            </w:pPr>
            <w:r w:rsidRPr="00AF3320">
              <w:rPr>
                <w:rFonts w:cs="Segoe UI"/>
                <w:color w:val="000000"/>
                <w:sz w:val="18"/>
                <w:szCs w:val="18"/>
                <w:lang w:eastAsia="en-NZ"/>
              </w:rPr>
              <w:t>No difference</w:t>
            </w:r>
          </w:p>
        </w:tc>
        <w:tc>
          <w:tcPr>
            <w:tcW w:w="1422" w:type="dxa"/>
            <w:tcBorders>
              <w:top w:val="single" w:sz="4" w:space="0" w:color="A6A6A6" w:themeColor="background1" w:themeShade="A6"/>
              <w:bottom w:val="single" w:sz="4" w:space="0" w:color="A6A6A6" w:themeColor="background1" w:themeShade="A6"/>
            </w:tcBorders>
            <w:shd w:val="clear" w:color="auto" w:fill="FFFFFF" w:themeFill="background1"/>
            <w:vAlign w:val="center"/>
            <w:hideMark/>
          </w:tcPr>
          <w:p w14:paraId="1B56AC65" w14:textId="77777777" w:rsidR="00C916E6" w:rsidRPr="00AF3320" w:rsidRDefault="00C916E6" w:rsidP="00C916E6">
            <w:pPr>
              <w:spacing w:before="60" w:after="60"/>
              <w:jc w:val="center"/>
              <w:rPr>
                <w:rFonts w:cs="Segoe UI"/>
                <w:color w:val="000000"/>
                <w:sz w:val="18"/>
                <w:szCs w:val="18"/>
                <w:lang w:eastAsia="en-NZ"/>
              </w:rPr>
            </w:pPr>
            <w:r w:rsidRPr="00AF3320">
              <w:rPr>
                <w:rFonts w:cs="Segoe UI"/>
                <w:color w:val="000000"/>
                <w:sz w:val="18"/>
                <w:szCs w:val="18"/>
                <w:lang w:eastAsia="en-NZ"/>
              </w:rPr>
              <w:t>No difference</w:t>
            </w:r>
          </w:p>
        </w:tc>
      </w:tr>
      <w:tr w:rsidR="00C916E6" w:rsidRPr="009C66A8" w14:paraId="0F167F5E" w14:textId="77777777" w:rsidTr="00C916E6">
        <w:trPr>
          <w:trHeight w:val="306"/>
        </w:trPr>
        <w:tc>
          <w:tcPr>
            <w:tcW w:w="1275" w:type="dxa"/>
            <w:tcBorders>
              <w:top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hideMark/>
          </w:tcPr>
          <w:p w14:paraId="5F8C9B51" w14:textId="77777777" w:rsidR="00C916E6" w:rsidRPr="00AF3320" w:rsidRDefault="00C916E6" w:rsidP="00C916E6">
            <w:pPr>
              <w:spacing w:before="60" w:after="60"/>
              <w:rPr>
                <w:rFonts w:cs="Segoe UI"/>
                <w:color w:val="000000"/>
                <w:sz w:val="18"/>
                <w:szCs w:val="18"/>
                <w:lang w:eastAsia="en-NZ"/>
              </w:rPr>
            </w:pPr>
            <w:r w:rsidRPr="00AF3320">
              <w:rPr>
                <w:rFonts w:cs="Segoe UI"/>
                <w:color w:val="000000"/>
                <w:sz w:val="18"/>
                <w:szCs w:val="18"/>
                <w:lang w:eastAsia="en-NZ"/>
              </w:rPr>
              <w:t>Hutt Valley</w:t>
            </w:r>
          </w:p>
        </w:tc>
        <w:tc>
          <w:tcPr>
            <w:tcW w:w="1135" w:type="dxa"/>
            <w:tcBorders>
              <w:top w:val="single" w:sz="4" w:space="0" w:color="A6A6A6" w:themeColor="background1" w:themeShade="A6"/>
              <w:left w:val="single" w:sz="4" w:space="0" w:color="A6A6A6" w:themeColor="background1" w:themeShade="A6"/>
              <w:bottom w:val="single" w:sz="4" w:space="0" w:color="A6A6A6" w:themeColor="background1" w:themeShade="A6"/>
            </w:tcBorders>
            <w:shd w:val="clear" w:color="auto" w:fill="FFFFFF" w:themeFill="background1"/>
            <w:vAlign w:val="center"/>
            <w:hideMark/>
          </w:tcPr>
          <w:p w14:paraId="302F4E70" w14:textId="77777777" w:rsidR="00C916E6" w:rsidRPr="00AF3320" w:rsidRDefault="00C916E6" w:rsidP="00C916E6">
            <w:pPr>
              <w:spacing w:before="60" w:after="60"/>
              <w:jc w:val="center"/>
              <w:rPr>
                <w:rFonts w:cs="Segoe UI"/>
                <w:color w:val="000000"/>
                <w:sz w:val="18"/>
                <w:szCs w:val="18"/>
                <w:lang w:eastAsia="en-NZ"/>
              </w:rPr>
            </w:pPr>
            <w:r w:rsidRPr="00AF3320">
              <w:rPr>
                <w:rFonts w:cs="Segoe UI"/>
                <w:color w:val="000000"/>
                <w:sz w:val="18"/>
                <w:szCs w:val="18"/>
                <w:lang w:eastAsia="en-NZ"/>
              </w:rPr>
              <w:t>9</w:t>
            </w:r>
          </w:p>
        </w:tc>
        <w:tc>
          <w:tcPr>
            <w:tcW w:w="1143" w:type="dxa"/>
            <w:tcBorders>
              <w:top w:val="single" w:sz="4" w:space="0" w:color="A6A6A6" w:themeColor="background1" w:themeShade="A6"/>
              <w:bottom w:val="single" w:sz="4" w:space="0" w:color="A6A6A6" w:themeColor="background1" w:themeShade="A6"/>
            </w:tcBorders>
            <w:shd w:val="clear" w:color="auto" w:fill="FFFFFF" w:themeFill="background1"/>
            <w:vAlign w:val="center"/>
            <w:hideMark/>
          </w:tcPr>
          <w:p w14:paraId="21E0FAA0" w14:textId="77777777" w:rsidR="00C916E6" w:rsidRPr="00AF3320" w:rsidRDefault="00C916E6" w:rsidP="00C916E6">
            <w:pPr>
              <w:spacing w:before="60" w:after="60"/>
              <w:jc w:val="center"/>
              <w:rPr>
                <w:rFonts w:cs="Segoe UI"/>
                <w:color w:val="000000"/>
                <w:sz w:val="18"/>
                <w:szCs w:val="18"/>
                <w:lang w:eastAsia="en-NZ"/>
              </w:rPr>
            </w:pPr>
            <w:r w:rsidRPr="00AF3320">
              <w:rPr>
                <w:rFonts w:cs="Segoe UI"/>
                <w:color w:val="000000"/>
                <w:sz w:val="18"/>
                <w:szCs w:val="18"/>
                <w:lang w:eastAsia="en-NZ"/>
              </w:rPr>
              <w:t>70</w:t>
            </w:r>
          </w:p>
        </w:tc>
        <w:tc>
          <w:tcPr>
            <w:tcW w:w="1420" w:type="dxa"/>
            <w:tcBorders>
              <w:top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hideMark/>
          </w:tcPr>
          <w:p w14:paraId="4EFBA118" w14:textId="77777777" w:rsidR="00C916E6" w:rsidRPr="00AF3320" w:rsidRDefault="00C916E6" w:rsidP="00C916E6">
            <w:pPr>
              <w:spacing w:before="60" w:after="60"/>
              <w:jc w:val="center"/>
              <w:rPr>
                <w:rFonts w:cs="Segoe UI"/>
                <w:color w:val="000000"/>
                <w:sz w:val="18"/>
                <w:szCs w:val="18"/>
                <w:lang w:eastAsia="en-NZ"/>
              </w:rPr>
            </w:pPr>
            <w:r w:rsidRPr="00AF3320">
              <w:rPr>
                <w:rFonts w:cs="Segoe UI"/>
                <w:color w:val="000000"/>
                <w:sz w:val="18"/>
                <w:szCs w:val="18"/>
                <w:lang w:eastAsia="en-NZ"/>
              </w:rPr>
              <w:t>8 (2</w:t>
            </w:r>
            <w:r>
              <w:rPr>
                <w:rFonts w:cs="Segoe UI"/>
                <w:color w:val="000000"/>
                <w:sz w:val="18"/>
                <w:szCs w:val="18"/>
                <w:lang w:eastAsia="en-NZ"/>
              </w:rPr>
              <w:t>–</w:t>
            </w:r>
            <w:r w:rsidRPr="00AF3320">
              <w:rPr>
                <w:rFonts w:cs="Segoe UI"/>
                <w:color w:val="000000"/>
                <w:sz w:val="18"/>
                <w:szCs w:val="18"/>
                <w:lang w:eastAsia="en-NZ"/>
              </w:rPr>
              <w:t>11)</w:t>
            </w:r>
          </w:p>
        </w:tc>
        <w:tc>
          <w:tcPr>
            <w:tcW w:w="1406" w:type="dxa"/>
            <w:tcBorders>
              <w:top w:val="single" w:sz="4" w:space="0" w:color="A6A6A6" w:themeColor="background1" w:themeShade="A6"/>
              <w:left w:val="single" w:sz="4" w:space="0" w:color="A6A6A6" w:themeColor="background1" w:themeShade="A6"/>
              <w:bottom w:val="single" w:sz="4" w:space="0" w:color="A6A6A6" w:themeColor="background1" w:themeShade="A6"/>
            </w:tcBorders>
            <w:shd w:val="clear" w:color="auto" w:fill="FFFFFF" w:themeFill="background1"/>
            <w:vAlign w:val="center"/>
            <w:hideMark/>
          </w:tcPr>
          <w:p w14:paraId="265FEECF" w14:textId="77777777" w:rsidR="00C916E6" w:rsidRPr="00AF3320" w:rsidRDefault="00C916E6" w:rsidP="00C916E6">
            <w:pPr>
              <w:spacing w:before="60" w:after="60"/>
              <w:jc w:val="center"/>
              <w:rPr>
                <w:rFonts w:cs="Segoe UI"/>
                <w:color w:val="000000"/>
                <w:sz w:val="18"/>
                <w:szCs w:val="18"/>
                <w:lang w:eastAsia="en-NZ"/>
              </w:rPr>
            </w:pPr>
            <w:r w:rsidRPr="00AF3320">
              <w:rPr>
                <w:rFonts w:cs="Segoe UI"/>
                <w:color w:val="000000"/>
                <w:sz w:val="18"/>
                <w:szCs w:val="18"/>
                <w:lang w:eastAsia="en-NZ"/>
              </w:rPr>
              <w:t>No difference</w:t>
            </w:r>
          </w:p>
        </w:tc>
        <w:tc>
          <w:tcPr>
            <w:tcW w:w="1418" w:type="dxa"/>
            <w:tcBorders>
              <w:top w:val="single" w:sz="4" w:space="0" w:color="A6A6A6" w:themeColor="background1" w:themeShade="A6"/>
              <w:bottom w:val="single" w:sz="4" w:space="0" w:color="A6A6A6" w:themeColor="background1" w:themeShade="A6"/>
            </w:tcBorders>
            <w:shd w:val="clear" w:color="auto" w:fill="FFFFFF" w:themeFill="background1"/>
            <w:vAlign w:val="center"/>
            <w:hideMark/>
          </w:tcPr>
          <w:p w14:paraId="495953EA" w14:textId="77777777" w:rsidR="00C916E6" w:rsidRPr="00AF3320" w:rsidRDefault="00C916E6" w:rsidP="00C916E6">
            <w:pPr>
              <w:spacing w:before="60" w:after="60"/>
              <w:jc w:val="center"/>
              <w:rPr>
                <w:rFonts w:cs="Segoe UI"/>
                <w:color w:val="000000"/>
                <w:sz w:val="18"/>
                <w:szCs w:val="18"/>
                <w:lang w:eastAsia="en-NZ"/>
              </w:rPr>
            </w:pPr>
            <w:r w:rsidRPr="00AF3320">
              <w:rPr>
                <w:rFonts w:cs="Segoe UI"/>
                <w:color w:val="000000"/>
                <w:sz w:val="18"/>
                <w:szCs w:val="18"/>
                <w:lang w:eastAsia="en-NZ"/>
              </w:rPr>
              <w:t>No difference</w:t>
            </w:r>
          </w:p>
        </w:tc>
        <w:tc>
          <w:tcPr>
            <w:tcW w:w="1422" w:type="dxa"/>
            <w:tcBorders>
              <w:top w:val="single" w:sz="4" w:space="0" w:color="A6A6A6" w:themeColor="background1" w:themeShade="A6"/>
              <w:bottom w:val="single" w:sz="4" w:space="0" w:color="A6A6A6" w:themeColor="background1" w:themeShade="A6"/>
            </w:tcBorders>
            <w:shd w:val="clear" w:color="auto" w:fill="FFFFFF" w:themeFill="background1"/>
            <w:vAlign w:val="center"/>
            <w:hideMark/>
          </w:tcPr>
          <w:p w14:paraId="02F51440" w14:textId="77777777" w:rsidR="00C916E6" w:rsidRPr="00AF3320" w:rsidRDefault="00C916E6" w:rsidP="00C916E6">
            <w:pPr>
              <w:spacing w:before="60" w:after="60"/>
              <w:jc w:val="center"/>
              <w:rPr>
                <w:rFonts w:cs="Segoe UI"/>
                <w:color w:val="000000"/>
                <w:sz w:val="18"/>
                <w:szCs w:val="18"/>
                <w:lang w:eastAsia="en-NZ"/>
              </w:rPr>
            </w:pPr>
            <w:r w:rsidRPr="00AF3320">
              <w:rPr>
                <w:rFonts w:cs="Segoe UI"/>
                <w:color w:val="000000"/>
                <w:sz w:val="18"/>
                <w:szCs w:val="18"/>
                <w:lang w:eastAsia="en-NZ"/>
              </w:rPr>
              <w:t>No difference</w:t>
            </w:r>
          </w:p>
        </w:tc>
      </w:tr>
      <w:tr w:rsidR="00C916E6" w:rsidRPr="009C66A8" w14:paraId="7ECEC593" w14:textId="77777777" w:rsidTr="00C916E6">
        <w:trPr>
          <w:trHeight w:val="306"/>
        </w:trPr>
        <w:tc>
          <w:tcPr>
            <w:tcW w:w="1275" w:type="dxa"/>
            <w:tcBorders>
              <w:top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hideMark/>
          </w:tcPr>
          <w:p w14:paraId="6D2101C1" w14:textId="77777777" w:rsidR="00C916E6" w:rsidRPr="00AF3320" w:rsidRDefault="00C916E6" w:rsidP="00C916E6">
            <w:pPr>
              <w:spacing w:before="60" w:after="60"/>
              <w:rPr>
                <w:rFonts w:cs="Segoe UI"/>
                <w:color w:val="000000"/>
                <w:sz w:val="18"/>
                <w:szCs w:val="18"/>
                <w:lang w:eastAsia="en-NZ"/>
              </w:rPr>
            </w:pPr>
            <w:r w:rsidRPr="00AF3320">
              <w:rPr>
                <w:rFonts w:cs="Segoe UI"/>
                <w:color w:val="000000"/>
                <w:sz w:val="18"/>
                <w:szCs w:val="18"/>
                <w:lang w:eastAsia="en-NZ"/>
              </w:rPr>
              <w:t>Lakes</w:t>
            </w:r>
          </w:p>
        </w:tc>
        <w:tc>
          <w:tcPr>
            <w:tcW w:w="1135" w:type="dxa"/>
            <w:tcBorders>
              <w:top w:val="single" w:sz="4" w:space="0" w:color="A6A6A6" w:themeColor="background1" w:themeShade="A6"/>
              <w:left w:val="single" w:sz="4" w:space="0" w:color="A6A6A6" w:themeColor="background1" w:themeShade="A6"/>
              <w:bottom w:val="single" w:sz="4" w:space="0" w:color="A6A6A6" w:themeColor="background1" w:themeShade="A6"/>
            </w:tcBorders>
            <w:shd w:val="clear" w:color="auto" w:fill="FFFFFF" w:themeFill="background1"/>
            <w:vAlign w:val="center"/>
            <w:hideMark/>
          </w:tcPr>
          <w:p w14:paraId="264D3A55" w14:textId="77777777" w:rsidR="00C916E6" w:rsidRPr="00AF3320" w:rsidRDefault="00C916E6" w:rsidP="00C916E6">
            <w:pPr>
              <w:spacing w:before="60" w:after="60"/>
              <w:jc w:val="center"/>
              <w:rPr>
                <w:rFonts w:cs="Segoe UI"/>
                <w:color w:val="000000"/>
                <w:sz w:val="18"/>
                <w:szCs w:val="18"/>
                <w:lang w:eastAsia="en-NZ"/>
              </w:rPr>
            </w:pPr>
            <w:r w:rsidRPr="00AF3320">
              <w:rPr>
                <w:rFonts w:cs="Segoe UI"/>
                <w:color w:val="000000"/>
                <w:sz w:val="18"/>
                <w:szCs w:val="18"/>
                <w:lang w:eastAsia="en-NZ"/>
              </w:rPr>
              <w:t>9</w:t>
            </w:r>
          </w:p>
        </w:tc>
        <w:tc>
          <w:tcPr>
            <w:tcW w:w="1143" w:type="dxa"/>
            <w:tcBorders>
              <w:top w:val="single" w:sz="4" w:space="0" w:color="A6A6A6" w:themeColor="background1" w:themeShade="A6"/>
              <w:bottom w:val="single" w:sz="4" w:space="0" w:color="A6A6A6" w:themeColor="background1" w:themeShade="A6"/>
            </w:tcBorders>
            <w:shd w:val="clear" w:color="auto" w:fill="FFFFFF" w:themeFill="background1"/>
            <w:vAlign w:val="center"/>
            <w:hideMark/>
          </w:tcPr>
          <w:p w14:paraId="7BC39409" w14:textId="77777777" w:rsidR="00C916E6" w:rsidRPr="00AF3320" w:rsidRDefault="00C916E6" w:rsidP="00C916E6">
            <w:pPr>
              <w:spacing w:before="60" w:after="60"/>
              <w:jc w:val="center"/>
              <w:rPr>
                <w:rFonts w:cs="Segoe UI"/>
                <w:color w:val="000000"/>
                <w:sz w:val="18"/>
                <w:szCs w:val="18"/>
                <w:lang w:eastAsia="en-NZ"/>
              </w:rPr>
            </w:pPr>
            <w:r w:rsidRPr="00AF3320">
              <w:rPr>
                <w:rFonts w:cs="Segoe UI"/>
                <w:color w:val="000000"/>
                <w:sz w:val="18"/>
                <w:szCs w:val="18"/>
                <w:lang w:eastAsia="en-NZ"/>
              </w:rPr>
              <w:t>55</w:t>
            </w:r>
          </w:p>
        </w:tc>
        <w:tc>
          <w:tcPr>
            <w:tcW w:w="1420" w:type="dxa"/>
            <w:tcBorders>
              <w:top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hideMark/>
          </w:tcPr>
          <w:p w14:paraId="19131036" w14:textId="77777777" w:rsidR="00C916E6" w:rsidRPr="00AF3320" w:rsidRDefault="00C916E6" w:rsidP="00C916E6">
            <w:pPr>
              <w:spacing w:before="60" w:after="60"/>
              <w:jc w:val="center"/>
              <w:rPr>
                <w:rFonts w:cs="Segoe UI"/>
                <w:color w:val="000000"/>
                <w:sz w:val="18"/>
                <w:szCs w:val="18"/>
                <w:lang w:eastAsia="en-NZ"/>
              </w:rPr>
            </w:pPr>
            <w:r w:rsidRPr="00AF3320">
              <w:rPr>
                <w:rFonts w:cs="Segoe UI"/>
                <w:color w:val="000000"/>
                <w:sz w:val="18"/>
                <w:szCs w:val="18"/>
                <w:lang w:eastAsia="en-NZ"/>
              </w:rPr>
              <w:t>6 (1</w:t>
            </w:r>
            <w:r>
              <w:rPr>
                <w:rFonts w:cs="Segoe UI"/>
                <w:color w:val="000000"/>
                <w:sz w:val="18"/>
                <w:szCs w:val="18"/>
                <w:lang w:eastAsia="en-NZ"/>
              </w:rPr>
              <w:t>–</w:t>
            </w:r>
            <w:r w:rsidRPr="00AF3320">
              <w:rPr>
                <w:rFonts w:cs="Segoe UI"/>
                <w:color w:val="000000"/>
                <w:sz w:val="18"/>
                <w:szCs w:val="18"/>
                <w:lang w:eastAsia="en-NZ"/>
              </w:rPr>
              <w:t>12)</w:t>
            </w:r>
          </w:p>
        </w:tc>
        <w:tc>
          <w:tcPr>
            <w:tcW w:w="1406" w:type="dxa"/>
            <w:tcBorders>
              <w:top w:val="single" w:sz="4" w:space="0" w:color="A6A6A6" w:themeColor="background1" w:themeShade="A6"/>
              <w:left w:val="single" w:sz="4" w:space="0" w:color="A6A6A6" w:themeColor="background1" w:themeShade="A6"/>
              <w:bottom w:val="single" w:sz="4" w:space="0" w:color="A6A6A6" w:themeColor="background1" w:themeShade="A6"/>
            </w:tcBorders>
            <w:shd w:val="clear" w:color="auto" w:fill="FFFFFF" w:themeFill="background1"/>
            <w:vAlign w:val="center"/>
            <w:hideMark/>
          </w:tcPr>
          <w:p w14:paraId="0B61B3AC" w14:textId="77777777" w:rsidR="00C916E6" w:rsidRPr="00AF3320" w:rsidRDefault="00C916E6" w:rsidP="00C916E6">
            <w:pPr>
              <w:spacing w:before="60" w:after="60"/>
              <w:jc w:val="center"/>
              <w:rPr>
                <w:rFonts w:cs="Segoe UI"/>
                <w:color w:val="000000"/>
                <w:sz w:val="18"/>
                <w:szCs w:val="18"/>
                <w:lang w:eastAsia="en-NZ"/>
              </w:rPr>
            </w:pPr>
            <w:r w:rsidRPr="00AF3320">
              <w:rPr>
                <w:rFonts w:cs="Segoe UI"/>
                <w:color w:val="000000"/>
                <w:sz w:val="18"/>
                <w:szCs w:val="18"/>
                <w:lang w:eastAsia="en-NZ"/>
              </w:rPr>
              <w:t>No difference</w:t>
            </w:r>
          </w:p>
        </w:tc>
        <w:tc>
          <w:tcPr>
            <w:tcW w:w="1418" w:type="dxa"/>
            <w:tcBorders>
              <w:top w:val="single" w:sz="4" w:space="0" w:color="A6A6A6" w:themeColor="background1" w:themeShade="A6"/>
              <w:bottom w:val="single" w:sz="4" w:space="0" w:color="A6A6A6" w:themeColor="background1" w:themeShade="A6"/>
            </w:tcBorders>
            <w:shd w:val="clear" w:color="auto" w:fill="FFFFFF" w:themeFill="background1"/>
            <w:vAlign w:val="center"/>
            <w:hideMark/>
          </w:tcPr>
          <w:p w14:paraId="3E368EF9" w14:textId="77777777" w:rsidR="00C916E6" w:rsidRPr="00AF3320" w:rsidRDefault="00C916E6" w:rsidP="00C916E6">
            <w:pPr>
              <w:spacing w:before="60" w:after="60"/>
              <w:jc w:val="center"/>
              <w:rPr>
                <w:rFonts w:cs="Segoe UI"/>
                <w:color w:val="000000"/>
                <w:sz w:val="18"/>
                <w:szCs w:val="18"/>
                <w:lang w:eastAsia="en-NZ"/>
              </w:rPr>
            </w:pPr>
            <w:r w:rsidRPr="00AF3320">
              <w:rPr>
                <w:rFonts w:cs="Segoe UI"/>
                <w:color w:val="000000"/>
                <w:sz w:val="18"/>
                <w:szCs w:val="18"/>
                <w:lang w:eastAsia="en-NZ"/>
              </w:rPr>
              <w:t>No difference</w:t>
            </w:r>
          </w:p>
        </w:tc>
        <w:tc>
          <w:tcPr>
            <w:tcW w:w="1422" w:type="dxa"/>
            <w:tcBorders>
              <w:top w:val="single" w:sz="4" w:space="0" w:color="A6A6A6" w:themeColor="background1" w:themeShade="A6"/>
              <w:bottom w:val="single" w:sz="4" w:space="0" w:color="A6A6A6" w:themeColor="background1" w:themeShade="A6"/>
            </w:tcBorders>
            <w:shd w:val="clear" w:color="auto" w:fill="FFFFFF" w:themeFill="background1"/>
            <w:vAlign w:val="center"/>
            <w:hideMark/>
          </w:tcPr>
          <w:p w14:paraId="4E17B6DB" w14:textId="77777777" w:rsidR="00C916E6" w:rsidRPr="00AF3320" w:rsidRDefault="00C916E6" w:rsidP="00C916E6">
            <w:pPr>
              <w:spacing w:before="60" w:after="60"/>
              <w:jc w:val="center"/>
              <w:rPr>
                <w:rFonts w:cs="Segoe UI"/>
                <w:color w:val="000000"/>
                <w:sz w:val="18"/>
                <w:szCs w:val="18"/>
                <w:lang w:eastAsia="en-NZ"/>
              </w:rPr>
            </w:pPr>
            <w:r w:rsidRPr="00AF3320">
              <w:rPr>
                <w:rFonts w:cs="Segoe UI"/>
                <w:color w:val="000000"/>
                <w:sz w:val="18"/>
                <w:szCs w:val="18"/>
                <w:lang w:eastAsia="en-NZ"/>
              </w:rPr>
              <w:t>No difference</w:t>
            </w:r>
          </w:p>
        </w:tc>
      </w:tr>
      <w:tr w:rsidR="00C916E6" w:rsidRPr="009C66A8" w14:paraId="2A5AC651" w14:textId="77777777" w:rsidTr="00C916E6">
        <w:trPr>
          <w:trHeight w:val="306"/>
        </w:trPr>
        <w:tc>
          <w:tcPr>
            <w:tcW w:w="1275" w:type="dxa"/>
            <w:tcBorders>
              <w:top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hideMark/>
          </w:tcPr>
          <w:p w14:paraId="5D7E8652" w14:textId="77777777" w:rsidR="00C916E6" w:rsidRPr="00AF3320" w:rsidRDefault="00C916E6" w:rsidP="00C916E6">
            <w:pPr>
              <w:spacing w:before="60" w:after="60"/>
              <w:rPr>
                <w:rFonts w:cs="Segoe UI"/>
                <w:color w:val="000000"/>
                <w:sz w:val="18"/>
                <w:szCs w:val="18"/>
                <w:lang w:eastAsia="en-NZ"/>
              </w:rPr>
            </w:pPr>
            <w:r w:rsidRPr="00AF3320">
              <w:rPr>
                <w:rFonts w:cs="Segoe UI"/>
                <w:color w:val="000000"/>
                <w:sz w:val="18"/>
                <w:szCs w:val="18"/>
                <w:lang w:eastAsia="en-NZ"/>
              </w:rPr>
              <w:t>MidCentral</w:t>
            </w:r>
          </w:p>
        </w:tc>
        <w:tc>
          <w:tcPr>
            <w:tcW w:w="1135" w:type="dxa"/>
            <w:tcBorders>
              <w:top w:val="single" w:sz="4" w:space="0" w:color="A6A6A6" w:themeColor="background1" w:themeShade="A6"/>
              <w:left w:val="single" w:sz="4" w:space="0" w:color="A6A6A6" w:themeColor="background1" w:themeShade="A6"/>
              <w:bottom w:val="single" w:sz="4" w:space="0" w:color="A6A6A6" w:themeColor="background1" w:themeShade="A6"/>
            </w:tcBorders>
            <w:shd w:val="clear" w:color="auto" w:fill="FFFFFF" w:themeFill="background1"/>
            <w:vAlign w:val="center"/>
            <w:hideMark/>
          </w:tcPr>
          <w:p w14:paraId="59F3E39C" w14:textId="77777777" w:rsidR="00C916E6" w:rsidRPr="00AF3320" w:rsidRDefault="00C916E6" w:rsidP="00C916E6">
            <w:pPr>
              <w:spacing w:before="60" w:after="60"/>
              <w:jc w:val="center"/>
              <w:rPr>
                <w:rFonts w:cs="Segoe UI"/>
                <w:color w:val="000000"/>
                <w:sz w:val="18"/>
                <w:szCs w:val="18"/>
                <w:lang w:eastAsia="en-NZ"/>
              </w:rPr>
            </w:pPr>
            <w:r w:rsidRPr="00AF3320">
              <w:rPr>
                <w:rFonts w:cs="Segoe UI"/>
                <w:color w:val="000000"/>
                <w:sz w:val="18"/>
                <w:szCs w:val="18"/>
                <w:lang w:eastAsia="en-NZ"/>
              </w:rPr>
              <w:t>14</w:t>
            </w:r>
          </w:p>
        </w:tc>
        <w:tc>
          <w:tcPr>
            <w:tcW w:w="1143" w:type="dxa"/>
            <w:tcBorders>
              <w:top w:val="single" w:sz="4" w:space="0" w:color="A6A6A6" w:themeColor="background1" w:themeShade="A6"/>
              <w:bottom w:val="single" w:sz="4" w:space="0" w:color="A6A6A6" w:themeColor="background1" w:themeShade="A6"/>
            </w:tcBorders>
            <w:shd w:val="clear" w:color="auto" w:fill="FFFFFF" w:themeFill="background1"/>
            <w:vAlign w:val="center"/>
            <w:hideMark/>
          </w:tcPr>
          <w:p w14:paraId="7C6FC01E" w14:textId="77777777" w:rsidR="00C916E6" w:rsidRPr="00AF3320" w:rsidRDefault="00C916E6" w:rsidP="00C916E6">
            <w:pPr>
              <w:spacing w:before="60" w:after="60"/>
              <w:jc w:val="center"/>
              <w:rPr>
                <w:rFonts w:cs="Segoe UI"/>
                <w:color w:val="000000"/>
                <w:sz w:val="18"/>
                <w:szCs w:val="18"/>
                <w:lang w:eastAsia="en-NZ"/>
              </w:rPr>
            </w:pPr>
            <w:r w:rsidRPr="00AF3320">
              <w:rPr>
                <w:rFonts w:cs="Segoe UI"/>
                <w:color w:val="000000"/>
                <w:sz w:val="18"/>
                <w:szCs w:val="18"/>
                <w:lang w:eastAsia="en-NZ"/>
              </w:rPr>
              <w:t>152</w:t>
            </w:r>
          </w:p>
        </w:tc>
        <w:tc>
          <w:tcPr>
            <w:tcW w:w="1420" w:type="dxa"/>
            <w:tcBorders>
              <w:top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hideMark/>
          </w:tcPr>
          <w:p w14:paraId="662A470B" w14:textId="77777777" w:rsidR="00C916E6" w:rsidRPr="00AF3320" w:rsidRDefault="00C916E6" w:rsidP="00C916E6">
            <w:pPr>
              <w:spacing w:before="60" w:after="60"/>
              <w:jc w:val="center"/>
              <w:rPr>
                <w:rFonts w:cs="Segoe UI"/>
                <w:color w:val="000000"/>
                <w:sz w:val="18"/>
                <w:szCs w:val="18"/>
                <w:lang w:eastAsia="en-NZ"/>
              </w:rPr>
            </w:pPr>
            <w:r w:rsidRPr="00AF3320">
              <w:rPr>
                <w:rFonts w:cs="Segoe UI"/>
                <w:color w:val="000000"/>
                <w:sz w:val="18"/>
                <w:szCs w:val="18"/>
                <w:lang w:eastAsia="en-NZ"/>
              </w:rPr>
              <w:t>11 (2</w:t>
            </w:r>
            <w:r>
              <w:rPr>
                <w:rFonts w:cs="Segoe UI"/>
                <w:color w:val="000000"/>
                <w:sz w:val="18"/>
                <w:szCs w:val="18"/>
                <w:lang w:eastAsia="en-NZ"/>
              </w:rPr>
              <w:t>–</w:t>
            </w:r>
            <w:r w:rsidRPr="00AF3320">
              <w:rPr>
                <w:rFonts w:cs="Segoe UI"/>
                <w:color w:val="000000"/>
                <w:sz w:val="18"/>
                <w:szCs w:val="18"/>
                <w:lang w:eastAsia="en-NZ"/>
              </w:rPr>
              <w:t>27)</w:t>
            </w:r>
          </w:p>
        </w:tc>
        <w:tc>
          <w:tcPr>
            <w:tcW w:w="1406" w:type="dxa"/>
            <w:tcBorders>
              <w:top w:val="single" w:sz="4" w:space="0" w:color="A6A6A6" w:themeColor="background1" w:themeShade="A6"/>
              <w:left w:val="single" w:sz="4" w:space="0" w:color="A6A6A6" w:themeColor="background1" w:themeShade="A6"/>
              <w:bottom w:val="single" w:sz="4" w:space="0" w:color="A6A6A6" w:themeColor="background1" w:themeShade="A6"/>
            </w:tcBorders>
            <w:shd w:val="clear" w:color="auto" w:fill="auto"/>
            <w:vAlign w:val="center"/>
            <w:hideMark/>
          </w:tcPr>
          <w:p w14:paraId="7EF44C7B" w14:textId="77777777" w:rsidR="00C916E6" w:rsidRPr="00AF3320" w:rsidRDefault="00C916E6" w:rsidP="00C916E6">
            <w:pPr>
              <w:spacing w:before="60" w:after="60"/>
              <w:jc w:val="center"/>
              <w:rPr>
                <w:rFonts w:cs="Segoe UI"/>
                <w:sz w:val="18"/>
                <w:szCs w:val="18"/>
                <w:lang w:eastAsia="en-NZ"/>
              </w:rPr>
            </w:pPr>
            <w:r w:rsidRPr="00AF3320">
              <w:rPr>
                <w:rFonts w:cs="Segoe UI"/>
                <w:sz w:val="18"/>
                <w:szCs w:val="18"/>
                <w:lang w:eastAsia="en-NZ"/>
              </w:rPr>
              <w:t>5</w:t>
            </w:r>
          </w:p>
        </w:tc>
        <w:tc>
          <w:tcPr>
            <w:tcW w:w="1418" w:type="dxa"/>
            <w:tcBorders>
              <w:top w:val="single" w:sz="4" w:space="0" w:color="A6A6A6" w:themeColor="background1" w:themeShade="A6"/>
              <w:bottom w:val="single" w:sz="4" w:space="0" w:color="A6A6A6" w:themeColor="background1" w:themeShade="A6"/>
            </w:tcBorders>
            <w:shd w:val="clear" w:color="auto" w:fill="auto"/>
            <w:vAlign w:val="center"/>
            <w:hideMark/>
          </w:tcPr>
          <w:p w14:paraId="7D270291" w14:textId="77777777" w:rsidR="00C916E6" w:rsidRPr="00AF3320" w:rsidRDefault="00C916E6" w:rsidP="00C916E6">
            <w:pPr>
              <w:spacing w:before="60" w:after="60"/>
              <w:jc w:val="center"/>
              <w:rPr>
                <w:rFonts w:cs="Segoe UI"/>
                <w:sz w:val="18"/>
                <w:szCs w:val="18"/>
                <w:lang w:eastAsia="en-NZ"/>
              </w:rPr>
            </w:pPr>
            <w:r w:rsidRPr="00AF3320">
              <w:rPr>
                <w:rFonts w:cs="Segoe UI"/>
                <w:sz w:val="18"/>
                <w:szCs w:val="18"/>
                <w:lang w:eastAsia="en-NZ"/>
              </w:rPr>
              <w:t>67</w:t>
            </w:r>
          </w:p>
        </w:tc>
        <w:tc>
          <w:tcPr>
            <w:tcW w:w="1422" w:type="dxa"/>
            <w:tcBorders>
              <w:top w:val="single" w:sz="4" w:space="0" w:color="A6A6A6" w:themeColor="background1" w:themeShade="A6"/>
              <w:bottom w:val="single" w:sz="4" w:space="0" w:color="A6A6A6" w:themeColor="background1" w:themeShade="A6"/>
            </w:tcBorders>
            <w:shd w:val="clear" w:color="auto" w:fill="FFFFFF" w:themeFill="background1"/>
            <w:vAlign w:val="center"/>
            <w:hideMark/>
          </w:tcPr>
          <w:p w14:paraId="5C9A667E" w14:textId="77777777" w:rsidR="00C916E6" w:rsidRPr="00AF3320" w:rsidRDefault="00C916E6" w:rsidP="00C916E6">
            <w:pPr>
              <w:spacing w:before="60" w:after="60"/>
              <w:jc w:val="center"/>
              <w:rPr>
                <w:rFonts w:cs="Segoe UI"/>
                <w:color w:val="000000"/>
                <w:sz w:val="18"/>
                <w:szCs w:val="18"/>
                <w:lang w:eastAsia="en-NZ"/>
              </w:rPr>
            </w:pPr>
            <w:r w:rsidRPr="00AF3320">
              <w:rPr>
                <w:rFonts w:cs="Segoe UI"/>
                <w:color w:val="000000"/>
                <w:sz w:val="18"/>
                <w:szCs w:val="18"/>
                <w:lang w:eastAsia="en-NZ"/>
              </w:rPr>
              <w:t>13 (1</w:t>
            </w:r>
            <w:r>
              <w:rPr>
                <w:rFonts w:cs="Segoe UI"/>
                <w:color w:val="000000"/>
                <w:sz w:val="18"/>
                <w:szCs w:val="18"/>
                <w:lang w:eastAsia="en-NZ"/>
              </w:rPr>
              <w:t>–</w:t>
            </w:r>
            <w:r w:rsidRPr="00AF3320">
              <w:rPr>
                <w:rFonts w:cs="Segoe UI"/>
                <w:color w:val="000000"/>
                <w:sz w:val="18"/>
                <w:szCs w:val="18"/>
                <w:lang w:eastAsia="en-NZ"/>
              </w:rPr>
              <w:t>25)</w:t>
            </w:r>
          </w:p>
        </w:tc>
      </w:tr>
      <w:tr w:rsidR="00C916E6" w:rsidRPr="009C66A8" w14:paraId="5E43CBF7" w14:textId="77777777" w:rsidTr="00C916E6">
        <w:trPr>
          <w:trHeight w:val="255"/>
        </w:trPr>
        <w:tc>
          <w:tcPr>
            <w:tcW w:w="1275" w:type="dxa"/>
            <w:tcBorders>
              <w:top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hideMark/>
          </w:tcPr>
          <w:p w14:paraId="7776E365" w14:textId="77777777" w:rsidR="00C916E6" w:rsidRPr="00AF3320" w:rsidRDefault="00C916E6" w:rsidP="00C916E6">
            <w:pPr>
              <w:spacing w:before="60" w:after="60"/>
              <w:rPr>
                <w:rFonts w:cs="Segoe UI"/>
                <w:color w:val="000000"/>
                <w:sz w:val="18"/>
                <w:szCs w:val="18"/>
                <w:lang w:eastAsia="en-NZ"/>
              </w:rPr>
            </w:pPr>
            <w:r w:rsidRPr="00AF3320">
              <w:rPr>
                <w:rFonts w:cs="Segoe UI"/>
                <w:color w:val="000000"/>
                <w:sz w:val="18"/>
                <w:szCs w:val="18"/>
                <w:lang w:eastAsia="en-NZ"/>
              </w:rPr>
              <w:t>Nelson Marlborough</w:t>
            </w:r>
          </w:p>
        </w:tc>
        <w:tc>
          <w:tcPr>
            <w:tcW w:w="1135" w:type="dxa"/>
            <w:tcBorders>
              <w:top w:val="single" w:sz="4" w:space="0" w:color="A6A6A6" w:themeColor="background1" w:themeShade="A6"/>
              <w:left w:val="single" w:sz="4" w:space="0" w:color="A6A6A6" w:themeColor="background1" w:themeShade="A6"/>
              <w:bottom w:val="single" w:sz="4" w:space="0" w:color="A6A6A6" w:themeColor="background1" w:themeShade="A6"/>
            </w:tcBorders>
            <w:shd w:val="clear" w:color="auto" w:fill="FFFFFF" w:themeFill="background1"/>
            <w:vAlign w:val="center"/>
            <w:hideMark/>
          </w:tcPr>
          <w:p w14:paraId="26FE8EF5" w14:textId="77777777" w:rsidR="00C916E6" w:rsidRPr="00AF3320" w:rsidRDefault="00C916E6" w:rsidP="00C916E6">
            <w:pPr>
              <w:spacing w:before="60" w:after="60"/>
              <w:jc w:val="center"/>
              <w:rPr>
                <w:rFonts w:cs="Segoe UI"/>
                <w:color w:val="000000"/>
                <w:sz w:val="18"/>
                <w:szCs w:val="18"/>
                <w:lang w:eastAsia="en-NZ"/>
              </w:rPr>
            </w:pPr>
            <w:r w:rsidRPr="00AF3320">
              <w:rPr>
                <w:rFonts w:cs="Segoe UI"/>
                <w:color w:val="000000"/>
                <w:sz w:val="18"/>
                <w:szCs w:val="18"/>
                <w:lang w:eastAsia="en-NZ"/>
              </w:rPr>
              <w:t>15</w:t>
            </w:r>
          </w:p>
        </w:tc>
        <w:tc>
          <w:tcPr>
            <w:tcW w:w="1143" w:type="dxa"/>
            <w:tcBorders>
              <w:top w:val="single" w:sz="4" w:space="0" w:color="A6A6A6" w:themeColor="background1" w:themeShade="A6"/>
              <w:bottom w:val="single" w:sz="4" w:space="0" w:color="A6A6A6" w:themeColor="background1" w:themeShade="A6"/>
            </w:tcBorders>
            <w:shd w:val="clear" w:color="auto" w:fill="FFFFFF" w:themeFill="background1"/>
            <w:vAlign w:val="center"/>
            <w:hideMark/>
          </w:tcPr>
          <w:p w14:paraId="0EBF0AD3" w14:textId="77777777" w:rsidR="00C916E6" w:rsidRPr="00AF3320" w:rsidRDefault="00C916E6" w:rsidP="00C916E6">
            <w:pPr>
              <w:spacing w:before="60" w:after="60"/>
              <w:jc w:val="center"/>
              <w:rPr>
                <w:rFonts w:cs="Segoe UI"/>
                <w:color w:val="000000"/>
                <w:sz w:val="18"/>
                <w:szCs w:val="18"/>
                <w:lang w:eastAsia="en-NZ"/>
              </w:rPr>
            </w:pPr>
            <w:r w:rsidRPr="00AF3320">
              <w:rPr>
                <w:rFonts w:cs="Segoe UI"/>
                <w:color w:val="000000"/>
                <w:sz w:val="18"/>
                <w:szCs w:val="18"/>
                <w:lang w:eastAsia="en-NZ"/>
              </w:rPr>
              <w:t>163</w:t>
            </w:r>
          </w:p>
        </w:tc>
        <w:tc>
          <w:tcPr>
            <w:tcW w:w="1420" w:type="dxa"/>
            <w:tcBorders>
              <w:top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hideMark/>
          </w:tcPr>
          <w:p w14:paraId="520EEE82" w14:textId="77777777" w:rsidR="00C916E6" w:rsidRPr="00AF3320" w:rsidRDefault="00C916E6" w:rsidP="00C916E6">
            <w:pPr>
              <w:spacing w:before="60" w:after="60"/>
              <w:jc w:val="center"/>
              <w:rPr>
                <w:rFonts w:cs="Segoe UI"/>
                <w:color w:val="000000"/>
                <w:sz w:val="18"/>
                <w:szCs w:val="18"/>
                <w:lang w:eastAsia="en-NZ"/>
              </w:rPr>
            </w:pPr>
            <w:r w:rsidRPr="00AF3320">
              <w:rPr>
                <w:rFonts w:cs="Segoe UI"/>
                <w:color w:val="000000"/>
                <w:sz w:val="18"/>
                <w:szCs w:val="18"/>
                <w:lang w:eastAsia="en-NZ"/>
              </w:rPr>
              <w:t>11 (2</w:t>
            </w:r>
            <w:r>
              <w:rPr>
                <w:rFonts w:cs="Segoe UI"/>
                <w:color w:val="000000"/>
                <w:sz w:val="18"/>
                <w:szCs w:val="18"/>
                <w:lang w:eastAsia="en-NZ"/>
              </w:rPr>
              <w:t>–</w:t>
            </w:r>
            <w:r w:rsidRPr="00AF3320">
              <w:rPr>
                <w:rFonts w:cs="Segoe UI"/>
                <w:color w:val="000000"/>
                <w:sz w:val="18"/>
                <w:szCs w:val="18"/>
                <w:lang w:eastAsia="en-NZ"/>
              </w:rPr>
              <w:t>33)</w:t>
            </w:r>
          </w:p>
        </w:tc>
        <w:tc>
          <w:tcPr>
            <w:tcW w:w="1406" w:type="dxa"/>
            <w:tcBorders>
              <w:top w:val="single" w:sz="4" w:space="0" w:color="A6A6A6" w:themeColor="background1" w:themeShade="A6"/>
              <w:left w:val="single" w:sz="4" w:space="0" w:color="A6A6A6" w:themeColor="background1" w:themeShade="A6"/>
              <w:bottom w:val="single" w:sz="4" w:space="0" w:color="A6A6A6" w:themeColor="background1" w:themeShade="A6"/>
            </w:tcBorders>
            <w:shd w:val="clear" w:color="auto" w:fill="FFFFFF" w:themeFill="background1"/>
            <w:vAlign w:val="center"/>
            <w:hideMark/>
          </w:tcPr>
          <w:p w14:paraId="21E0D15D" w14:textId="77777777" w:rsidR="00C916E6" w:rsidRPr="00AF3320" w:rsidRDefault="00C916E6" w:rsidP="00C916E6">
            <w:pPr>
              <w:spacing w:before="60" w:after="60"/>
              <w:jc w:val="center"/>
              <w:rPr>
                <w:rFonts w:cs="Segoe UI"/>
                <w:color w:val="000000"/>
                <w:sz w:val="18"/>
                <w:szCs w:val="18"/>
                <w:lang w:eastAsia="en-NZ"/>
              </w:rPr>
            </w:pPr>
            <w:r w:rsidRPr="00AF3320">
              <w:rPr>
                <w:rFonts w:cs="Segoe UI"/>
                <w:color w:val="000000"/>
                <w:sz w:val="18"/>
                <w:szCs w:val="18"/>
                <w:lang w:eastAsia="en-NZ"/>
              </w:rPr>
              <w:t>No difference</w:t>
            </w:r>
          </w:p>
        </w:tc>
        <w:tc>
          <w:tcPr>
            <w:tcW w:w="1418" w:type="dxa"/>
            <w:tcBorders>
              <w:top w:val="single" w:sz="4" w:space="0" w:color="A6A6A6" w:themeColor="background1" w:themeShade="A6"/>
              <w:bottom w:val="single" w:sz="4" w:space="0" w:color="A6A6A6" w:themeColor="background1" w:themeShade="A6"/>
            </w:tcBorders>
            <w:shd w:val="clear" w:color="auto" w:fill="FFFFFF" w:themeFill="background1"/>
            <w:vAlign w:val="center"/>
            <w:hideMark/>
          </w:tcPr>
          <w:p w14:paraId="48CC91FC" w14:textId="77777777" w:rsidR="00C916E6" w:rsidRPr="00AF3320" w:rsidRDefault="00C916E6" w:rsidP="00C916E6">
            <w:pPr>
              <w:spacing w:before="60" w:after="60"/>
              <w:jc w:val="center"/>
              <w:rPr>
                <w:rFonts w:cs="Segoe UI"/>
                <w:color w:val="000000"/>
                <w:sz w:val="18"/>
                <w:szCs w:val="18"/>
                <w:lang w:eastAsia="en-NZ"/>
              </w:rPr>
            </w:pPr>
            <w:r w:rsidRPr="00AF3320">
              <w:rPr>
                <w:rFonts w:cs="Segoe UI"/>
                <w:color w:val="000000"/>
                <w:sz w:val="18"/>
                <w:szCs w:val="18"/>
                <w:lang w:eastAsia="en-NZ"/>
              </w:rPr>
              <w:t>No difference</w:t>
            </w:r>
          </w:p>
        </w:tc>
        <w:tc>
          <w:tcPr>
            <w:tcW w:w="1422" w:type="dxa"/>
            <w:tcBorders>
              <w:top w:val="single" w:sz="4" w:space="0" w:color="A6A6A6" w:themeColor="background1" w:themeShade="A6"/>
              <w:bottom w:val="single" w:sz="4" w:space="0" w:color="A6A6A6" w:themeColor="background1" w:themeShade="A6"/>
            </w:tcBorders>
            <w:shd w:val="clear" w:color="auto" w:fill="FFFFFF" w:themeFill="background1"/>
            <w:vAlign w:val="center"/>
            <w:hideMark/>
          </w:tcPr>
          <w:p w14:paraId="6B094909" w14:textId="77777777" w:rsidR="00C916E6" w:rsidRPr="00AF3320" w:rsidRDefault="00C916E6" w:rsidP="00C916E6">
            <w:pPr>
              <w:spacing w:before="60" w:after="60"/>
              <w:jc w:val="center"/>
              <w:rPr>
                <w:rFonts w:cs="Segoe UI"/>
                <w:color w:val="000000"/>
                <w:sz w:val="18"/>
                <w:szCs w:val="18"/>
                <w:lang w:eastAsia="en-NZ"/>
              </w:rPr>
            </w:pPr>
            <w:r w:rsidRPr="00AF3320">
              <w:rPr>
                <w:rFonts w:cs="Segoe UI"/>
                <w:color w:val="000000"/>
                <w:sz w:val="18"/>
                <w:szCs w:val="18"/>
                <w:lang w:eastAsia="en-NZ"/>
              </w:rPr>
              <w:t>No difference</w:t>
            </w:r>
          </w:p>
        </w:tc>
      </w:tr>
      <w:tr w:rsidR="00C916E6" w:rsidRPr="009C66A8" w14:paraId="77DF0E75" w14:textId="77777777" w:rsidTr="00C916E6">
        <w:trPr>
          <w:trHeight w:val="306"/>
        </w:trPr>
        <w:tc>
          <w:tcPr>
            <w:tcW w:w="1275" w:type="dxa"/>
            <w:tcBorders>
              <w:top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hideMark/>
          </w:tcPr>
          <w:p w14:paraId="69F49992" w14:textId="77777777" w:rsidR="00C916E6" w:rsidRPr="00AF3320" w:rsidRDefault="00C916E6" w:rsidP="00C916E6">
            <w:pPr>
              <w:spacing w:before="60" w:after="60"/>
              <w:rPr>
                <w:rFonts w:cs="Segoe UI"/>
                <w:color w:val="000000"/>
                <w:sz w:val="18"/>
                <w:szCs w:val="18"/>
                <w:lang w:eastAsia="en-NZ"/>
              </w:rPr>
            </w:pPr>
            <w:r w:rsidRPr="00AF3320">
              <w:rPr>
                <w:rFonts w:cs="Segoe UI"/>
                <w:color w:val="000000"/>
                <w:sz w:val="18"/>
                <w:szCs w:val="18"/>
                <w:lang w:eastAsia="en-NZ"/>
              </w:rPr>
              <w:t xml:space="preserve">Northland </w:t>
            </w:r>
          </w:p>
        </w:tc>
        <w:tc>
          <w:tcPr>
            <w:tcW w:w="1135" w:type="dxa"/>
            <w:tcBorders>
              <w:top w:val="single" w:sz="4" w:space="0" w:color="A6A6A6" w:themeColor="background1" w:themeShade="A6"/>
              <w:left w:val="single" w:sz="4" w:space="0" w:color="A6A6A6" w:themeColor="background1" w:themeShade="A6"/>
              <w:bottom w:val="single" w:sz="4" w:space="0" w:color="A6A6A6" w:themeColor="background1" w:themeShade="A6"/>
            </w:tcBorders>
            <w:shd w:val="clear" w:color="auto" w:fill="FFFFFF" w:themeFill="background1"/>
            <w:vAlign w:val="center"/>
            <w:hideMark/>
          </w:tcPr>
          <w:p w14:paraId="67B463E2" w14:textId="77777777" w:rsidR="00C916E6" w:rsidRPr="00AF3320" w:rsidRDefault="00C916E6" w:rsidP="00C916E6">
            <w:pPr>
              <w:spacing w:before="60" w:after="60"/>
              <w:jc w:val="center"/>
              <w:rPr>
                <w:rFonts w:cs="Segoe UI"/>
                <w:color w:val="000000"/>
                <w:sz w:val="18"/>
                <w:szCs w:val="18"/>
                <w:lang w:eastAsia="en-NZ"/>
              </w:rPr>
            </w:pPr>
            <w:r w:rsidRPr="00AF3320">
              <w:rPr>
                <w:rFonts w:cs="Segoe UI"/>
                <w:color w:val="000000"/>
                <w:sz w:val="18"/>
                <w:szCs w:val="18"/>
                <w:lang w:eastAsia="en-NZ"/>
              </w:rPr>
              <w:t>7</w:t>
            </w:r>
          </w:p>
        </w:tc>
        <w:tc>
          <w:tcPr>
            <w:tcW w:w="1143" w:type="dxa"/>
            <w:tcBorders>
              <w:top w:val="single" w:sz="4" w:space="0" w:color="A6A6A6" w:themeColor="background1" w:themeShade="A6"/>
              <w:bottom w:val="single" w:sz="4" w:space="0" w:color="A6A6A6" w:themeColor="background1" w:themeShade="A6"/>
            </w:tcBorders>
            <w:shd w:val="clear" w:color="auto" w:fill="FFFFFF" w:themeFill="background1"/>
            <w:vAlign w:val="center"/>
            <w:hideMark/>
          </w:tcPr>
          <w:p w14:paraId="0E68B9E2" w14:textId="77777777" w:rsidR="00C916E6" w:rsidRPr="00AF3320" w:rsidRDefault="00C916E6" w:rsidP="00C916E6">
            <w:pPr>
              <w:spacing w:before="60" w:after="60"/>
              <w:jc w:val="center"/>
              <w:rPr>
                <w:rFonts w:cs="Segoe UI"/>
                <w:color w:val="000000"/>
                <w:sz w:val="18"/>
                <w:szCs w:val="18"/>
                <w:lang w:eastAsia="en-NZ"/>
              </w:rPr>
            </w:pPr>
            <w:r w:rsidRPr="00AF3320">
              <w:rPr>
                <w:rFonts w:cs="Segoe UI"/>
                <w:color w:val="000000"/>
                <w:sz w:val="18"/>
                <w:szCs w:val="18"/>
                <w:lang w:eastAsia="en-NZ"/>
              </w:rPr>
              <w:t>108</w:t>
            </w:r>
          </w:p>
        </w:tc>
        <w:tc>
          <w:tcPr>
            <w:tcW w:w="1420" w:type="dxa"/>
            <w:tcBorders>
              <w:top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hideMark/>
          </w:tcPr>
          <w:p w14:paraId="62AFD257" w14:textId="77777777" w:rsidR="00C916E6" w:rsidRPr="00AF3320" w:rsidRDefault="00C916E6" w:rsidP="00C916E6">
            <w:pPr>
              <w:spacing w:before="60" w:after="60"/>
              <w:jc w:val="center"/>
              <w:rPr>
                <w:rFonts w:cs="Segoe UI"/>
                <w:color w:val="000000"/>
                <w:sz w:val="18"/>
                <w:szCs w:val="18"/>
                <w:lang w:eastAsia="en-NZ"/>
              </w:rPr>
            </w:pPr>
            <w:r w:rsidRPr="00AF3320">
              <w:rPr>
                <w:rFonts w:cs="Segoe UI"/>
                <w:color w:val="000000"/>
                <w:sz w:val="18"/>
                <w:szCs w:val="18"/>
                <w:lang w:eastAsia="en-NZ"/>
              </w:rPr>
              <w:t>15 (1</w:t>
            </w:r>
            <w:r>
              <w:rPr>
                <w:rFonts w:cs="Segoe UI"/>
                <w:color w:val="000000"/>
                <w:sz w:val="18"/>
                <w:szCs w:val="18"/>
                <w:lang w:eastAsia="en-NZ"/>
              </w:rPr>
              <w:t>–</w:t>
            </w:r>
            <w:r w:rsidRPr="00AF3320">
              <w:rPr>
                <w:rFonts w:cs="Segoe UI"/>
                <w:color w:val="000000"/>
                <w:sz w:val="18"/>
                <w:szCs w:val="18"/>
                <w:lang w:eastAsia="en-NZ"/>
              </w:rPr>
              <w:t>35)</w:t>
            </w:r>
          </w:p>
        </w:tc>
        <w:tc>
          <w:tcPr>
            <w:tcW w:w="1406" w:type="dxa"/>
            <w:tcBorders>
              <w:top w:val="single" w:sz="4" w:space="0" w:color="A6A6A6" w:themeColor="background1" w:themeShade="A6"/>
              <w:left w:val="single" w:sz="4" w:space="0" w:color="A6A6A6" w:themeColor="background1" w:themeShade="A6"/>
              <w:bottom w:val="single" w:sz="4" w:space="0" w:color="A6A6A6" w:themeColor="background1" w:themeShade="A6"/>
            </w:tcBorders>
            <w:shd w:val="clear" w:color="auto" w:fill="FFFFFF" w:themeFill="background1"/>
            <w:vAlign w:val="center"/>
            <w:hideMark/>
          </w:tcPr>
          <w:p w14:paraId="0E253923" w14:textId="77777777" w:rsidR="00C916E6" w:rsidRPr="00AF3320" w:rsidRDefault="00C916E6" w:rsidP="00C916E6">
            <w:pPr>
              <w:spacing w:before="60" w:after="60"/>
              <w:jc w:val="center"/>
              <w:rPr>
                <w:rFonts w:cs="Segoe UI"/>
                <w:color w:val="000000"/>
                <w:sz w:val="18"/>
                <w:szCs w:val="18"/>
                <w:lang w:eastAsia="en-NZ"/>
              </w:rPr>
            </w:pPr>
            <w:r w:rsidRPr="00AF3320">
              <w:rPr>
                <w:rFonts w:cs="Segoe UI"/>
                <w:color w:val="000000"/>
                <w:sz w:val="18"/>
                <w:szCs w:val="18"/>
                <w:lang w:eastAsia="en-NZ"/>
              </w:rPr>
              <w:t>No difference</w:t>
            </w:r>
          </w:p>
        </w:tc>
        <w:tc>
          <w:tcPr>
            <w:tcW w:w="1418" w:type="dxa"/>
            <w:tcBorders>
              <w:top w:val="single" w:sz="4" w:space="0" w:color="A6A6A6" w:themeColor="background1" w:themeShade="A6"/>
              <w:bottom w:val="single" w:sz="4" w:space="0" w:color="A6A6A6" w:themeColor="background1" w:themeShade="A6"/>
            </w:tcBorders>
            <w:shd w:val="clear" w:color="auto" w:fill="FFFFFF" w:themeFill="background1"/>
            <w:vAlign w:val="center"/>
            <w:hideMark/>
          </w:tcPr>
          <w:p w14:paraId="450DABE9" w14:textId="77777777" w:rsidR="00C916E6" w:rsidRPr="00AF3320" w:rsidRDefault="00C916E6" w:rsidP="00C916E6">
            <w:pPr>
              <w:spacing w:before="60" w:after="60"/>
              <w:jc w:val="center"/>
              <w:rPr>
                <w:rFonts w:cs="Segoe UI"/>
                <w:color w:val="000000"/>
                <w:sz w:val="18"/>
                <w:szCs w:val="18"/>
                <w:lang w:eastAsia="en-NZ"/>
              </w:rPr>
            </w:pPr>
            <w:r w:rsidRPr="00AF3320">
              <w:rPr>
                <w:rFonts w:cs="Segoe UI"/>
                <w:color w:val="000000"/>
                <w:sz w:val="18"/>
                <w:szCs w:val="18"/>
                <w:lang w:eastAsia="en-NZ"/>
              </w:rPr>
              <w:t>No difference</w:t>
            </w:r>
          </w:p>
        </w:tc>
        <w:tc>
          <w:tcPr>
            <w:tcW w:w="1422" w:type="dxa"/>
            <w:tcBorders>
              <w:top w:val="single" w:sz="4" w:space="0" w:color="A6A6A6" w:themeColor="background1" w:themeShade="A6"/>
              <w:bottom w:val="single" w:sz="4" w:space="0" w:color="A6A6A6" w:themeColor="background1" w:themeShade="A6"/>
            </w:tcBorders>
            <w:shd w:val="clear" w:color="auto" w:fill="FFFFFF" w:themeFill="background1"/>
            <w:vAlign w:val="center"/>
            <w:hideMark/>
          </w:tcPr>
          <w:p w14:paraId="3888EC53" w14:textId="77777777" w:rsidR="00C916E6" w:rsidRPr="00AF3320" w:rsidRDefault="00C916E6" w:rsidP="00C916E6">
            <w:pPr>
              <w:spacing w:before="60" w:after="60"/>
              <w:jc w:val="center"/>
              <w:rPr>
                <w:rFonts w:cs="Segoe UI"/>
                <w:color w:val="000000"/>
                <w:sz w:val="18"/>
                <w:szCs w:val="18"/>
                <w:lang w:eastAsia="en-NZ"/>
              </w:rPr>
            </w:pPr>
            <w:r w:rsidRPr="00AF3320">
              <w:rPr>
                <w:rFonts w:cs="Segoe UI"/>
                <w:color w:val="000000"/>
                <w:sz w:val="18"/>
                <w:szCs w:val="18"/>
                <w:lang w:eastAsia="en-NZ"/>
              </w:rPr>
              <w:t>No difference</w:t>
            </w:r>
          </w:p>
        </w:tc>
      </w:tr>
      <w:tr w:rsidR="00C916E6" w:rsidRPr="009C66A8" w14:paraId="11C008A1" w14:textId="77777777" w:rsidTr="00C916E6">
        <w:trPr>
          <w:trHeight w:val="255"/>
        </w:trPr>
        <w:tc>
          <w:tcPr>
            <w:tcW w:w="1275" w:type="dxa"/>
            <w:tcBorders>
              <w:top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hideMark/>
          </w:tcPr>
          <w:p w14:paraId="433A8455" w14:textId="77777777" w:rsidR="00C916E6" w:rsidRPr="00AF3320" w:rsidRDefault="00C916E6" w:rsidP="00C916E6">
            <w:pPr>
              <w:spacing w:before="60" w:after="60"/>
              <w:rPr>
                <w:rFonts w:cs="Segoe UI"/>
                <w:color w:val="000000"/>
                <w:sz w:val="18"/>
                <w:szCs w:val="18"/>
                <w:lang w:eastAsia="en-NZ"/>
              </w:rPr>
            </w:pPr>
            <w:r w:rsidRPr="00AF3320">
              <w:rPr>
                <w:rFonts w:cs="Segoe UI"/>
                <w:color w:val="000000"/>
                <w:sz w:val="18"/>
                <w:szCs w:val="18"/>
                <w:lang w:eastAsia="en-NZ"/>
              </w:rPr>
              <w:t>South Canterbury</w:t>
            </w:r>
          </w:p>
        </w:tc>
        <w:tc>
          <w:tcPr>
            <w:tcW w:w="1135" w:type="dxa"/>
            <w:tcBorders>
              <w:top w:val="single" w:sz="4" w:space="0" w:color="A6A6A6" w:themeColor="background1" w:themeShade="A6"/>
              <w:left w:val="single" w:sz="4" w:space="0" w:color="A6A6A6" w:themeColor="background1" w:themeShade="A6"/>
              <w:bottom w:val="single" w:sz="4" w:space="0" w:color="A6A6A6" w:themeColor="background1" w:themeShade="A6"/>
            </w:tcBorders>
            <w:shd w:val="clear" w:color="auto" w:fill="FFFFFF" w:themeFill="background1"/>
            <w:vAlign w:val="center"/>
            <w:hideMark/>
          </w:tcPr>
          <w:p w14:paraId="36F38506" w14:textId="77777777" w:rsidR="00C916E6" w:rsidRPr="00AF3320" w:rsidRDefault="00C916E6" w:rsidP="00C916E6">
            <w:pPr>
              <w:spacing w:before="60" w:after="60"/>
              <w:jc w:val="center"/>
              <w:rPr>
                <w:rFonts w:cs="Segoe UI"/>
                <w:color w:val="000000"/>
                <w:sz w:val="18"/>
                <w:szCs w:val="18"/>
                <w:lang w:eastAsia="en-NZ"/>
              </w:rPr>
            </w:pPr>
            <w:r w:rsidRPr="00AF3320">
              <w:rPr>
                <w:rFonts w:cs="Segoe UI"/>
                <w:color w:val="000000"/>
                <w:sz w:val="18"/>
                <w:szCs w:val="18"/>
                <w:lang w:eastAsia="en-NZ"/>
              </w:rPr>
              <w:t>0</w:t>
            </w:r>
          </w:p>
        </w:tc>
        <w:tc>
          <w:tcPr>
            <w:tcW w:w="1143" w:type="dxa"/>
            <w:tcBorders>
              <w:top w:val="single" w:sz="4" w:space="0" w:color="A6A6A6" w:themeColor="background1" w:themeShade="A6"/>
              <w:bottom w:val="single" w:sz="4" w:space="0" w:color="A6A6A6" w:themeColor="background1" w:themeShade="A6"/>
            </w:tcBorders>
            <w:shd w:val="clear" w:color="auto" w:fill="FFFFFF" w:themeFill="background1"/>
            <w:vAlign w:val="center"/>
            <w:hideMark/>
          </w:tcPr>
          <w:p w14:paraId="37431058" w14:textId="77777777" w:rsidR="00C916E6" w:rsidRPr="00AF3320" w:rsidRDefault="00C916E6" w:rsidP="00C916E6">
            <w:pPr>
              <w:spacing w:before="60" w:after="60"/>
              <w:jc w:val="center"/>
              <w:rPr>
                <w:rFonts w:cs="Segoe UI"/>
                <w:color w:val="000000"/>
                <w:sz w:val="18"/>
                <w:szCs w:val="18"/>
                <w:lang w:eastAsia="en-NZ"/>
              </w:rPr>
            </w:pPr>
            <w:r w:rsidRPr="00AF3320">
              <w:rPr>
                <w:rFonts w:cs="Segoe UI"/>
                <w:color w:val="000000"/>
                <w:sz w:val="18"/>
                <w:szCs w:val="18"/>
                <w:lang w:eastAsia="en-NZ"/>
              </w:rPr>
              <w:t>0</w:t>
            </w:r>
          </w:p>
        </w:tc>
        <w:tc>
          <w:tcPr>
            <w:tcW w:w="1420" w:type="dxa"/>
            <w:tcBorders>
              <w:top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hideMark/>
          </w:tcPr>
          <w:p w14:paraId="22D6DFA7" w14:textId="77777777" w:rsidR="00C916E6" w:rsidRPr="00AF3320" w:rsidRDefault="00C916E6" w:rsidP="00C916E6">
            <w:pPr>
              <w:spacing w:before="60" w:after="60"/>
              <w:jc w:val="center"/>
              <w:rPr>
                <w:rFonts w:cs="Segoe UI"/>
                <w:color w:val="000000"/>
                <w:sz w:val="18"/>
                <w:szCs w:val="18"/>
                <w:lang w:eastAsia="en-NZ"/>
              </w:rPr>
            </w:pPr>
            <w:r>
              <w:rPr>
                <w:rFonts w:cs="Segoe UI"/>
                <w:color w:val="000000"/>
                <w:sz w:val="18"/>
                <w:szCs w:val="18"/>
                <w:lang w:eastAsia="en-NZ"/>
              </w:rPr>
              <w:t>–</w:t>
            </w:r>
          </w:p>
        </w:tc>
        <w:tc>
          <w:tcPr>
            <w:tcW w:w="1406" w:type="dxa"/>
            <w:tcBorders>
              <w:top w:val="single" w:sz="4" w:space="0" w:color="A6A6A6" w:themeColor="background1" w:themeShade="A6"/>
              <w:left w:val="single" w:sz="4" w:space="0" w:color="A6A6A6" w:themeColor="background1" w:themeShade="A6"/>
              <w:bottom w:val="single" w:sz="4" w:space="0" w:color="A6A6A6" w:themeColor="background1" w:themeShade="A6"/>
            </w:tcBorders>
            <w:shd w:val="clear" w:color="auto" w:fill="FFFFFF" w:themeFill="background1"/>
            <w:vAlign w:val="center"/>
            <w:hideMark/>
          </w:tcPr>
          <w:p w14:paraId="284EE1C9" w14:textId="77777777" w:rsidR="00C916E6" w:rsidRPr="00AF3320" w:rsidRDefault="00C916E6" w:rsidP="00C916E6">
            <w:pPr>
              <w:spacing w:before="60" w:after="60"/>
              <w:jc w:val="center"/>
              <w:rPr>
                <w:rFonts w:cs="Segoe UI"/>
                <w:color w:val="000000"/>
                <w:sz w:val="18"/>
                <w:szCs w:val="18"/>
                <w:lang w:eastAsia="en-NZ"/>
              </w:rPr>
            </w:pPr>
            <w:r w:rsidRPr="00AF3320">
              <w:rPr>
                <w:rFonts w:cs="Segoe UI"/>
                <w:color w:val="000000"/>
                <w:sz w:val="18"/>
                <w:szCs w:val="18"/>
                <w:lang w:eastAsia="en-NZ"/>
              </w:rPr>
              <w:t>No difference</w:t>
            </w:r>
          </w:p>
        </w:tc>
        <w:tc>
          <w:tcPr>
            <w:tcW w:w="1418" w:type="dxa"/>
            <w:tcBorders>
              <w:top w:val="single" w:sz="4" w:space="0" w:color="A6A6A6" w:themeColor="background1" w:themeShade="A6"/>
              <w:bottom w:val="single" w:sz="4" w:space="0" w:color="A6A6A6" w:themeColor="background1" w:themeShade="A6"/>
            </w:tcBorders>
            <w:shd w:val="clear" w:color="auto" w:fill="FFFFFF" w:themeFill="background1"/>
            <w:vAlign w:val="center"/>
            <w:hideMark/>
          </w:tcPr>
          <w:p w14:paraId="7538A6DF" w14:textId="77777777" w:rsidR="00C916E6" w:rsidRPr="00AF3320" w:rsidRDefault="00C916E6" w:rsidP="00C916E6">
            <w:pPr>
              <w:spacing w:before="60" w:after="60"/>
              <w:jc w:val="center"/>
              <w:rPr>
                <w:rFonts w:cs="Segoe UI"/>
                <w:color w:val="000000"/>
                <w:sz w:val="18"/>
                <w:szCs w:val="18"/>
                <w:lang w:eastAsia="en-NZ"/>
              </w:rPr>
            </w:pPr>
            <w:r w:rsidRPr="00AF3320">
              <w:rPr>
                <w:rFonts w:cs="Segoe UI"/>
                <w:color w:val="000000"/>
                <w:sz w:val="18"/>
                <w:szCs w:val="18"/>
                <w:lang w:eastAsia="en-NZ"/>
              </w:rPr>
              <w:t>No difference</w:t>
            </w:r>
          </w:p>
        </w:tc>
        <w:tc>
          <w:tcPr>
            <w:tcW w:w="1422" w:type="dxa"/>
            <w:tcBorders>
              <w:top w:val="single" w:sz="4" w:space="0" w:color="A6A6A6" w:themeColor="background1" w:themeShade="A6"/>
              <w:bottom w:val="single" w:sz="4" w:space="0" w:color="A6A6A6" w:themeColor="background1" w:themeShade="A6"/>
            </w:tcBorders>
            <w:shd w:val="clear" w:color="auto" w:fill="FFFFFF" w:themeFill="background1"/>
            <w:vAlign w:val="center"/>
            <w:hideMark/>
          </w:tcPr>
          <w:p w14:paraId="1966A476" w14:textId="77777777" w:rsidR="00C916E6" w:rsidRPr="00AF3320" w:rsidRDefault="00C916E6" w:rsidP="00C916E6">
            <w:pPr>
              <w:spacing w:before="60" w:after="60"/>
              <w:jc w:val="center"/>
              <w:rPr>
                <w:rFonts w:cs="Segoe UI"/>
                <w:color w:val="000000"/>
                <w:sz w:val="18"/>
                <w:szCs w:val="18"/>
                <w:lang w:eastAsia="en-NZ"/>
              </w:rPr>
            </w:pPr>
            <w:r w:rsidRPr="00AF3320">
              <w:rPr>
                <w:rFonts w:cs="Segoe UI"/>
                <w:color w:val="000000"/>
                <w:sz w:val="18"/>
                <w:szCs w:val="18"/>
                <w:lang w:eastAsia="en-NZ"/>
              </w:rPr>
              <w:t>No difference</w:t>
            </w:r>
          </w:p>
        </w:tc>
      </w:tr>
      <w:tr w:rsidR="00C916E6" w:rsidRPr="009C66A8" w14:paraId="180E48A5" w14:textId="77777777" w:rsidTr="00C916E6">
        <w:trPr>
          <w:trHeight w:val="306"/>
        </w:trPr>
        <w:tc>
          <w:tcPr>
            <w:tcW w:w="1275" w:type="dxa"/>
            <w:tcBorders>
              <w:top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hideMark/>
          </w:tcPr>
          <w:p w14:paraId="0F17C017" w14:textId="77777777" w:rsidR="00C916E6" w:rsidRPr="00AF3320" w:rsidRDefault="00C916E6" w:rsidP="00C916E6">
            <w:pPr>
              <w:spacing w:before="60" w:after="60"/>
              <w:rPr>
                <w:rFonts w:cs="Segoe UI"/>
                <w:color w:val="000000"/>
                <w:sz w:val="18"/>
                <w:szCs w:val="18"/>
                <w:lang w:eastAsia="en-NZ"/>
              </w:rPr>
            </w:pPr>
            <w:r w:rsidRPr="00AF3320">
              <w:rPr>
                <w:rFonts w:cs="Segoe UI"/>
                <w:color w:val="000000"/>
                <w:sz w:val="18"/>
                <w:szCs w:val="18"/>
                <w:lang w:eastAsia="en-NZ"/>
              </w:rPr>
              <w:t>Southern</w:t>
            </w:r>
          </w:p>
        </w:tc>
        <w:tc>
          <w:tcPr>
            <w:tcW w:w="1135" w:type="dxa"/>
            <w:tcBorders>
              <w:top w:val="single" w:sz="4" w:space="0" w:color="A6A6A6" w:themeColor="background1" w:themeShade="A6"/>
              <w:left w:val="single" w:sz="4" w:space="0" w:color="A6A6A6" w:themeColor="background1" w:themeShade="A6"/>
              <w:bottom w:val="single" w:sz="4" w:space="0" w:color="A6A6A6" w:themeColor="background1" w:themeShade="A6"/>
            </w:tcBorders>
            <w:shd w:val="clear" w:color="auto" w:fill="FFFFFF" w:themeFill="background1"/>
            <w:vAlign w:val="center"/>
            <w:hideMark/>
          </w:tcPr>
          <w:p w14:paraId="1D30DD4B" w14:textId="77777777" w:rsidR="00C916E6" w:rsidRPr="00AF3320" w:rsidRDefault="00C916E6" w:rsidP="00C916E6">
            <w:pPr>
              <w:spacing w:before="60" w:after="60"/>
              <w:jc w:val="center"/>
              <w:rPr>
                <w:rFonts w:cs="Segoe UI"/>
                <w:color w:val="000000"/>
                <w:sz w:val="18"/>
                <w:szCs w:val="18"/>
                <w:lang w:eastAsia="en-NZ"/>
              </w:rPr>
            </w:pPr>
            <w:r w:rsidRPr="00AF3320">
              <w:rPr>
                <w:rFonts w:cs="Segoe UI"/>
                <w:color w:val="000000"/>
                <w:sz w:val="18"/>
                <w:szCs w:val="18"/>
                <w:lang w:eastAsia="en-NZ"/>
              </w:rPr>
              <w:t>17</w:t>
            </w:r>
          </w:p>
        </w:tc>
        <w:tc>
          <w:tcPr>
            <w:tcW w:w="1143" w:type="dxa"/>
            <w:tcBorders>
              <w:top w:val="single" w:sz="4" w:space="0" w:color="A6A6A6" w:themeColor="background1" w:themeShade="A6"/>
              <w:bottom w:val="single" w:sz="4" w:space="0" w:color="A6A6A6" w:themeColor="background1" w:themeShade="A6"/>
            </w:tcBorders>
            <w:shd w:val="clear" w:color="auto" w:fill="FFFFFF" w:themeFill="background1"/>
            <w:vAlign w:val="center"/>
            <w:hideMark/>
          </w:tcPr>
          <w:p w14:paraId="76A63CCA" w14:textId="77777777" w:rsidR="00C916E6" w:rsidRPr="00AF3320" w:rsidRDefault="00C916E6" w:rsidP="00C916E6">
            <w:pPr>
              <w:spacing w:before="60" w:after="60"/>
              <w:jc w:val="center"/>
              <w:rPr>
                <w:rFonts w:cs="Segoe UI"/>
                <w:color w:val="000000"/>
                <w:sz w:val="18"/>
                <w:szCs w:val="18"/>
                <w:lang w:eastAsia="en-NZ"/>
              </w:rPr>
            </w:pPr>
            <w:r w:rsidRPr="00AF3320">
              <w:rPr>
                <w:rFonts w:cs="Segoe UI"/>
                <w:color w:val="000000"/>
                <w:sz w:val="18"/>
                <w:szCs w:val="18"/>
                <w:lang w:eastAsia="en-NZ"/>
              </w:rPr>
              <w:t>163</w:t>
            </w:r>
          </w:p>
        </w:tc>
        <w:tc>
          <w:tcPr>
            <w:tcW w:w="1420" w:type="dxa"/>
            <w:tcBorders>
              <w:top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hideMark/>
          </w:tcPr>
          <w:p w14:paraId="62771A93" w14:textId="77777777" w:rsidR="00C916E6" w:rsidRPr="00AF3320" w:rsidRDefault="00C916E6" w:rsidP="00C916E6">
            <w:pPr>
              <w:spacing w:before="60" w:after="60"/>
              <w:jc w:val="center"/>
              <w:rPr>
                <w:rFonts w:cs="Segoe UI"/>
                <w:color w:val="000000"/>
                <w:sz w:val="18"/>
                <w:szCs w:val="18"/>
                <w:lang w:eastAsia="en-NZ"/>
              </w:rPr>
            </w:pPr>
            <w:r w:rsidRPr="00AF3320">
              <w:rPr>
                <w:rFonts w:cs="Segoe UI"/>
                <w:color w:val="000000"/>
                <w:sz w:val="18"/>
                <w:szCs w:val="18"/>
                <w:lang w:eastAsia="en-NZ"/>
              </w:rPr>
              <w:t>9 (1</w:t>
            </w:r>
            <w:r>
              <w:rPr>
                <w:rFonts w:cs="Segoe UI"/>
                <w:color w:val="000000"/>
                <w:sz w:val="18"/>
                <w:szCs w:val="18"/>
                <w:lang w:eastAsia="en-NZ"/>
              </w:rPr>
              <w:t>–</w:t>
            </w:r>
            <w:r w:rsidRPr="00AF3320">
              <w:rPr>
                <w:rFonts w:cs="Segoe UI"/>
                <w:color w:val="000000"/>
                <w:sz w:val="18"/>
                <w:szCs w:val="18"/>
                <w:lang w:eastAsia="en-NZ"/>
              </w:rPr>
              <w:t>29)</w:t>
            </w:r>
          </w:p>
        </w:tc>
        <w:tc>
          <w:tcPr>
            <w:tcW w:w="1406" w:type="dxa"/>
            <w:tcBorders>
              <w:top w:val="single" w:sz="4" w:space="0" w:color="A6A6A6" w:themeColor="background1" w:themeShade="A6"/>
              <w:left w:val="single" w:sz="4" w:space="0" w:color="A6A6A6" w:themeColor="background1" w:themeShade="A6"/>
              <w:bottom w:val="single" w:sz="4" w:space="0" w:color="A6A6A6" w:themeColor="background1" w:themeShade="A6"/>
            </w:tcBorders>
            <w:shd w:val="clear" w:color="auto" w:fill="FFFFFF" w:themeFill="background1"/>
            <w:vAlign w:val="center"/>
            <w:hideMark/>
          </w:tcPr>
          <w:p w14:paraId="0E4369B9" w14:textId="77777777" w:rsidR="00C916E6" w:rsidRPr="00AF3320" w:rsidRDefault="00C916E6" w:rsidP="00C916E6">
            <w:pPr>
              <w:spacing w:before="60" w:after="60"/>
              <w:jc w:val="center"/>
              <w:rPr>
                <w:rFonts w:cs="Segoe UI"/>
                <w:color w:val="000000"/>
                <w:sz w:val="18"/>
                <w:szCs w:val="18"/>
                <w:lang w:eastAsia="en-NZ"/>
              </w:rPr>
            </w:pPr>
            <w:r w:rsidRPr="00AF3320">
              <w:rPr>
                <w:rFonts w:cs="Segoe UI"/>
                <w:color w:val="000000"/>
                <w:sz w:val="18"/>
                <w:szCs w:val="18"/>
                <w:lang w:eastAsia="en-NZ"/>
              </w:rPr>
              <w:t>No difference</w:t>
            </w:r>
          </w:p>
        </w:tc>
        <w:tc>
          <w:tcPr>
            <w:tcW w:w="1418" w:type="dxa"/>
            <w:tcBorders>
              <w:top w:val="single" w:sz="4" w:space="0" w:color="A6A6A6" w:themeColor="background1" w:themeShade="A6"/>
              <w:bottom w:val="single" w:sz="4" w:space="0" w:color="A6A6A6" w:themeColor="background1" w:themeShade="A6"/>
            </w:tcBorders>
            <w:shd w:val="clear" w:color="auto" w:fill="FFFFFF" w:themeFill="background1"/>
            <w:vAlign w:val="center"/>
            <w:hideMark/>
          </w:tcPr>
          <w:p w14:paraId="4B3B9C66" w14:textId="77777777" w:rsidR="00C916E6" w:rsidRPr="00AF3320" w:rsidRDefault="00C916E6" w:rsidP="00C916E6">
            <w:pPr>
              <w:spacing w:before="60" w:after="60"/>
              <w:jc w:val="center"/>
              <w:rPr>
                <w:rFonts w:cs="Segoe UI"/>
                <w:color w:val="000000"/>
                <w:sz w:val="18"/>
                <w:szCs w:val="18"/>
                <w:lang w:eastAsia="en-NZ"/>
              </w:rPr>
            </w:pPr>
            <w:r w:rsidRPr="00AF3320">
              <w:rPr>
                <w:rFonts w:cs="Segoe UI"/>
                <w:color w:val="000000"/>
                <w:sz w:val="18"/>
                <w:szCs w:val="18"/>
                <w:lang w:eastAsia="en-NZ"/>
              </w:rPr>
              <w:t>No difference</w:t>
            </w:r>
          </w:p>
        </w:tc>
        <w:tc>
          <w:tcPr>
            <w:tcW w:w="1422" w:type="dxa"/>
            <w:tcBorders>
              <w:top w:val="single" w:sz="4" w:space="0" w:color="A6A6A6" w:themeColor="background1" w:themeShade="A6"/>
              <w:bottom w:val="single" w:sz="4" w:space="0" w:color="A6A6A6" w:themeColor="background1" w:themeShade="A6"/>
            </w:tcBorders>
            <w:shd w:val="clear" w:color="auto" w:fill="FFFFFF" w:themeFill="background1"/>
            <w:vAlign w:val="center"/>
            <w:hideMark/>
          </w:tcPr>
          <w:p w14:paraId="48EBC5C1" w14:textId="77777777" w:rsidR="00C916E6" w:rsidRPr="00AF3320" w:rsidRDefault="00C916E6" w:rsidP="00C916E6">
            <w:pPr>
              <w:spacing w:before="60" w:after="60"/>
              <w:jc w:val="center"/>
              <w:rPr>
                <w:rFonts w:cs="Segoe UI"/>
                <w:color w:val="000000"/>
                <w:sz w:val="18"/>
                <w:szCs w:val="18"/>
                <w:lang w:eastAsia="en-NZ"/>
              </w:rPr>
            </w:pPr>
            <w:r w:rsidRPr="00AF3320">
              <w:rPr>
                <w:rFonts w:cs="Segoe UI"/>
                <w:color w:val="000000"/>
                <w:sz w:val="18"/>
                <w:szCs w:val="18"/>
                <w:lang w:eastAsia="en-NZ"/>
              </w:rPr>
              <w:t>No difference</w:t>
            </w:r>
          </w:p>
        </w:tc>
      </w:tr>
      <w:tr w:rsidR="00C916E6" w:rsidRPr="009C66A8" w14:paraId="52BE6661" w14:textId="77777777" w:rsidTr="00C916E6">
        <w:trPr>
          <w:trHeight w:val="306"/>
        </w:trPr>
        <w:tc>
          <w:tcPr>
            <w:tcW w:w="1275" w:type="dxa"/>
            <w:tcBorders>
              <w:top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hideMark/>
          </w:tcPr>
          <w:p w14:paraId="77059903" w14:textId="77777777" w:rsidR="00C916E6" w:rsidRPr="00AF3320" w:rsidRDefault="00C916E6" w:rsidP="00C916E6">
            <w:pPr>
              <w:spacing w:before="60" w:after="60"/>
              <w:rPr>
                <w:rFonts w:cs="Segoe UI"/>
                <w:color w:val="000000"/>
                <w:sz w:val="18"/>
                <w:szCs w:val="18"/>
                <w:lang w:eastAsia="en-NZ"/>
              </w:rPr>
            </w:pPr>
            <w:r w:rsidRPr="00AF3320">
              <w:rPr>
                <w:rFonts w:cs="Segoe UI"/>
                <w:color w:val="000000"/>
                <w:sz w:val="18"/>
                <w:szCs w:val="18"/>
                <w:lang w:eastAsia="en-NZ"/>
              </w:rPr>
              <w:t>Tair</w:t>
            </w:r>
            <w:r>
              <w:rPr>
                <w:rFonts w:cs="Segoe UI"/>
                <w:color w:val="000000"/>
                <w:sz w:val="18"/>
                <w:szCs w:val="18"/>
                <w:lang w:eastAsia="en-NZ"/>
              </w:rPr>
              <w:t>ā</w:t>
            </w:r>
            <w:r w:rsidRPr="00AF3320">
              <w:rPr>
                <w:rFonts w:cs="Segoe UI"/>
                <w:color w:val="000000"/>
                <w:sz w:val="18"/>
                <w:szCs w:val="18"/>
                <w:lang w:eastAsia="en-NZ"/>
              </w:rPr>
              <w:t>whiti</w:t>
            </w:r>
          </w:p>
        </w:tc>
        <w:tc>
          <w:tcPr>
            <w:tcW w:w="1135" w:type="dxa"/>
            <w:tcBorders>
              <w:top w:val="single" w:sz="4" w:space="0" w:color="A6A6A6" w:themeColor="background1" w:themeShade="A6"/>
              <w:left w:val="single" w:sz="4" w:space="0" w:color="A6A6A6" w:themeColor="background1" w:themeShade="A6"/>
              <w:bottom w:val="single" w:sz="4" w:space="0" w:color="A6A6A6" w:themeColor="background1" w:themeShade="A6"/>
            </w:tcBorders>
            <w:shd w:val="clear" w:color="auto" w:fill="FFFFFF" w:themeFill="background1"/>
            <w:vAlign w:val="center"/>
            <w:hideMark/>
          </w:tcPr>
          <w:p w14:paraId="2CCBF556" w14:textId="77777777" w:rsidR="00C916E6" w:rsidRPr="00AF3320" w:rsidRDefault="00C916E6" w:rsidP="00C916E6">
            <w:pPr>
              <w:spacing w:before="60" w:after="60"/>
              <w:jc w:val="center"/>
              <w:rPr>
                <w:rFonts w:cs="Segoe UI"/>
                <w:color w:val="000000"/>
                <w:sz w:val="18"/>
                <w:szCs w:val="18"/>
                <w:lang w:eastAsia="en-NZ"/>
              </w:rPr>
            </w:pPr>
            <w:r w:rsidRPr="00AF3320">
              <w:rPr>
                <w:rFonts w:cs="Segoe UI"/>
                <w:color w:val="000000"/>
                <w:sz w:val="18"/>
                <w:szCs w:val="18"/>
                <w:lang w:eastAsia="en-NZ"/>
              </w:rPr>
              <w:t>0</w:t>
            </w:r>
          </w:p>
        </w:tc>
        <w:tc>
          <w:tcPr>
            <w:tcW w:w="1143" w:type="dxa"/>
            <w:tcBorders>
              <w:top w:val="single" w:sz="4" w:space="0" w:color="A6A6A6" w:themeColor="background1" w:themeShade="A6"/>
              <w:bottom w:val="single" w:sz="4" w:space="0" w:color="A6A6A6" w:themeColor="background1" w:themeShade="A6"/>
            </w:tcBorders>
            <w:shd w:val="clear" w:color="auto" w:fill="FFFFFF" w:themeFill="background1"/>
            <w:vAlign w:val="center"/>
            <w:hideMark/>
          </w:tcPr>
          <w:p w14:paraId="278FB7CA" w14:textId="77777777" w:rsidR="00C916E6" w:rsidRPr="00AF3320" w:rsidRDefault="00C916E6" w:rsidP="00C916E6">
            <w:pPr>
              <w:spacing w:before="60" w:after="60"/>
              <w:jc w:val="center"/>
              <w:rPr>
                <w:rFonts w:cs="Segoe UI"/>
                <w:color w:val="000000"/>
                <w:sz w:val="18"/>
                <w:szCs w:val="18"/>
                <w:lang w:eastAsia="en-NZ"/>
              </w:rPr>
            </w:pPr>
            <w:r w:rsidRPr="00AF3320">
              <w:rPr>
                <w:rFonts w:cs="Segoe UI"/>
                <w:color w:val="000000"/>
                <w:sz w:val="18"/>
                <w:szCs w:val="18"/>
                <w:lang w:eastAsia="en-NZ"/>
              </w:rPr>
              <w:t>0</w:t>
            </w:r>
          </w:p>
        </w:tc>
        <w:tc>
          <w:tcPr>
            <w:tcW w:w="1420" w:type="dxa"/>
            <w:tcBorders>
              <w:top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hideMark/>
          </w:tcPr>
          <w:p w14:paraId="4F8A882A" w14:textId="77777777" w:rsidR="00C916E6" w:rsidRPr="00AF3320" w:rsidRDefault="00C916E6" w:rsidP="00C916E6">
            <w:pPr>
              <w:spacing w:before="60" w:after="60"/>
              <w:jc w:val="center"/>
              <w:rPr>
                <w:rFonts w:cs="Segoe UI"/>
                <w:color w:val="000000"/>
                <w:sz w:val="18"/>
                <w:szCs w:val="18"/>
                <w:lang w:eastAsia="en-NZ"/>
              </w:rPr>
            </w:pPr>
            <w:r>
              <w:rPr>
                <w:rFonts w:cs="Segoe UI"/>
                <w:color w:val="000000"/>
                <w:sz w:val="18"/>
                <w:szCs w:val="18"/>
                <w:lang w:eastAsia="en-NZ"/>
              </w:rPr>
              <w:t>–</w:t>
            </w:r>
          </w:p>
        </w:tc>
        <w:tc>
          <w:tcPr>
            <w:tcW w:w="1406" w:type="dxa"/>
            <w:tcBorders>
              <w:top w:val="single" w:sz="4" w:space="0" w:color="A6A6A6" w:themeColor="background1" w:themeShade="A6"/>
              <w:left w:val="single" w:sz="4" w:space="0" w:color="A6A6A6" w:themeColor="background1" w:themeShade="A6"/>
              <w:bottom w:val="single" w:sz="4" w:space="0" w:color="A6A6A6" w:themeColor="background1" w:themeShade="A6"/>
            </w:tcBorders>
            <w:shd w:val="clear" w:color="auto" w:fill="FFFFFF" w:themeFill="background1"/>
            <w:vAlign w:val="center"/>
            <w:hideMark/>
          </w:tcPr>
          <w:p w14:paraId="10968D8D" w14:textId="77777777" w:rsidR="00C916E6" w:rsidRPr="00AF3320" w:rsidRDefault="00C916E6" w:rsidP="00C916E6">
            <w:pPr>
              <w:spacing w:before="60" w:after="60"/>
              <w:jc w:val="center"/>
              <w:rPr>
                <w:rFonts w:cs="Segoe UI"/>
                <w:color w:val="000000"/>
                <w:sz w:val="18"/>
                <w:szCs w:val="18"/>
                <w:lang w:eastAsia="en-NZ"/>
              </w:rPr>
            </w:pPr>
            <w:r w:rsidRPr="00AF3320">
              <w:rPr>
                <w:rFonts w:cs="Segoe UI"/>
                <w:color w:val="000000"/>
                <w:sz w:val="18"/>
                <w:szCs w:val="18"/>
                <w:lang w:eastAsia="en-NZ"/>
              </w:rPr>
              <w:t>No difference</w:t>
            </w:r>
          </w:p>
        </w:tc>
        <w:tc>
          <w:tcPr>
            <w:tcW w:w="1418" w:type="dxa"/>
            <w:tcBorders>
              <w:top w:val="single" w:sz="4" w:space="0" w:color="A6A6A6" w:themeColor="background1" w:themeShade="A6"/>
              <w:bottom w:val="single" w:sz="4" w:space="0" w:color="A6A6A6" w:themeColor="background1" w:themeShade="A6"/>
            </w:tcBorders>
            <w:shd w:val="clear" w:color="auto" w:fill="FFFFFF" w:themeFill="background1"/>
            <w:vAlign w:val="center"/>
            <w:hideMark/>
          </w:tcPr>
          <w:p w14:paraId="7AC108FA" w14:textId="77777777" w:rsidR="00C916E6" w:rsidRPr="00AF3320" w:rsidRDefault="00C916E6" w:rsidP="00C916E6">
            <w:pPr>
              <w:spacing w:before="60" w:after="60"/>
              <w:jc w:val="center"/>
              <w:rPr>
                <w:rFonts w:cs="Segoe UI"/>
                <w:color w:val="000000"/>
                <w:sz w:val="18"/>
                <w:szCs w:val="18"/>
                <w:lang w:eastAsia="en-NZ"/>
              </w:rPr>
            </w:pPr>
            <w:r w:rsidRPr="00AF3320">
              <w:rPr>
                <w:rFonts w:cs="Segoe UI"/>
                <w:color w:val="000000"/>
                <w:sz w:val="18"/>
                <w:szCs w:val="18"/>
                <w:lang w:eastAsia="en-NZ"/>
              </w:rPr>
              <w:t>No difference</w:t>
            </w:r>
          </w:p>
        </w:tc>
        <w:tc>
          <w:tcPr>
            <w:tcW w:w="1422" w:type="dxa"/>
            <w:tcBorders>
              <w:top w:val="single" w:sz="4" w:space="0" w:color="A6A6A6" w:themeColor="background1" w:themeShade="A6"/>
              <w:bottom w:val="single" w:sz="4" w:space="0" w:color="A6A6A6" w:themeColor="background1" w:themeShade="A6"/>
            </w:tcBorders>
            <w:shd w:val="clear" w:color="auto" w:fill="FFFFFF" w:themeFill="background1"/>
            <w:vAlign w:val="center"/>
            <w:hideMark/>
          </w:tcPr>
          <w:p w14:paraId="5A8245D8" w14:textId="77777777" w:rsidR="00C916E6" w:rsidRPr="00AF3320" w:rsidRDefault="00C916E6" w:rsidP="00C916E6">
            <w:pPr>
              <w:spacing w:before="60" w:after="60"/>
              <w:jc w:val="center"/>
              <w:rPr>
                <w:rFonts w:cs="Segoe UI"/>
                <w:color w:val="000000"/>
                <w:sz w:val="18"/>
                <w:szCs w:val="18"/>
                <w:lang w:eastAsia="en-NZ"/>
              </w:rPr>
            </w:pPr>
            <w:r w:rsidRPr="00AF3320">
              <w:rPr>
                <w:rFonts w:cs="Segoe UI"/>
                <w:color w:val="000000"/>
                <w:sz w:val="18"/>
                <w:szCs w:val="18"/>
                <w:lang w:eastAsia="en-NZ"/>
              </w:rPr>
              <w:t>No difference</w:t>
            </w:r>
          </w:p>
        </w:tc>
      </w:tr>
      <w:tr w:rsidR="00C916E6" w:rsidRPr="009C66A8" w14:paraId="4BAD8BDE" w14:textId="77777777" w:rsidTr="00C916E6">
        <w:trPr>
          <w:trHeight w:val="306"/>
        </w:trPr>
        <w:tc>
          <w:tcPr>
            <w:tcW w:w="1275" w:type="dxa"/>
            <w:tcBorders>
              <w:top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hideMark/>
          </w:tcPr>
          <w:p w14:paraId="6D6A7B31" w14:textId="77777777" w:rsidR="00C916E6" w:rsidRPr="00AF3320" w:rsidRDefault="00C916E6" w:rsidP="00C916E6">
            <w:pPr>
              <w:spacing w:before="60" w:after="60"/>
              <w:rPr>
                <w:rFonts w:cs="Segoe UI"/>
                <w:color w:val="000000"/>
                <w:sz w:val="18"/>
                <w:szCs w:val="18"/>
                <w:lang w:eastAsia="en-NZ"/>
              </w:rPr>
            </w:pPr>
            <w:r w:rsidRPr="00AF3320">
              <w:rPr>
                <w:rFonts w:cs="Segoe UI"/>
                <w:color w:val="000000"/>
                <w:sz w:val="18"/>
                <w:szCs w:val="18"/>
                <w:lang w:eastAsia="en-NZ"/>
              </w:rPr>
              <w:t>Taranaki</w:t>
            </w:r>
          </w:p>
        </w:tc>
        <w:tc>
          <w:tcPr>
            <w:tcW w:w="1135" w:type="dxa"/>
            <w:tcBorders>
              <w:top w:val="single" w:sz="4" w:space="0" w:color="A6A6A6" w:themeColor="background1" w:themeShade="A6"/>
              <w:left w:val="single" w:sz="4" w:space="0" w:color="A6A6A6" w:themeColor="background1" w:themeShade="A6"/>
              <w:bottom w:val="single" w:sz="4" w:space="0" w:color="A6A6A6" w:themeColor="background1" w:themeShade="A6"/>
            </w:tcBorders>
            <w:shd w:val="clear" w:color="auto" w:fill="FFFFFF" w:themeFill="background1"/>
            <w:vAlign w:val="center"/>
            <w:hideMark/>
          </w:tcPr>
          <w:p w14:paraId="2904EC7B" w14:textId="77777777" w:rsidR="00C916E6" w:rsidRPr="00AF3320" w:rsidRDefault="00C916E6" w:rsidP="00C916E6">
            <w:pPr>
              <w:spacing w:before="60" w:after="60"/>
              <w:jc w:val="center"/>
              <w:rPr>
                <w:rFonts w:cs="Segoe UI"/>
                <w:color w:val="000000"/>
                <w:sz w:val="18"/>
                <w:szCs w:val="18"/>
                <w:lang w:eastAsia="en-NZ"/>
              </w:rPr>
            </w:pPr>
            <w:r w:rsidRPr="00AF3320">
              <w:rPr>
                <w:rFonts w:cs="Segoe UI"/>
                <w:color w:val="000000"/>
                <w:sz w:val="18"/>
                <w:szCs w:val="18"/>
                <w:lang w:eastAsia="en-NZ"/>
              </w:rPr>
              <w:t>12</w:t>
            </w:r>
          </w:p>
        </w:tc>
        <w:tc>
          <w:tcPr>
            <w:tcW w:w="1143" w:type="dxa"/>
            <w:tcBorders>
              <w:top w:val="single" w:sz="4" w:space="0" w:color="A6A6A6" w:themeColor="background1" w:themeShade="A6"/>
              <w:bottom w:val="single" w:sz="4" w:space="0" w:color="A6A6A6" w:themeColor="background1" w:themeShade="A6"/>
            </w:tcBorders>
            <w:shd w:val="clear" w:color="auto" w:fill="FFFFFF" w:themeFill="background1"/>
            <w:vAlign w:val="center"/>
            <w:hideMark/>
          </w:tcPr>
          <w:p w14:paraId="3CF0F0E4" w14:textId="77777777" w:rsidR="00C916E6" w:rsidRPr="00AF3320" w:rsidRDefault="00C916E6" w:rsidP="00C916E6">
            <w:pPr>
              <w:spacing w:before="60" w:after="60"/>
              <w:jc w:val="center"/>
              <w:rPr>
                <w:rFonts w:cs="Segoe UI"/>
                <w:color w:val="000000"/>
                <w:sz w:val="18"/>
                <w:szCs w:val="18"/>
                <w:lang w:eastAsia="en-NZ"/>
              </w:rPr>
            </w:pPr>
            <w:r w:rsidRPr="00AF3320">
              <w:rPr>
                <w:rFonts w:cs="Segoe UI"/>
                <w:color w:val="000000"/>
                <w:sz w:val="18"/>
                <w:szCs w:val="18"/>
                <w:lang w:eastAsia="en-NZ"/>
              </w:rPr>
              <w:t>178</w:t>
            </w:r>
          </w:p>
        </w:tc>
        <w:tc>
          <w:tcPr>
            <w:tcW w:w="1420" w:type="dxa"/>
            <w:tcBorders>
              <w:top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hideMark/>
          </w:tcPr>
          <w:p w14:paraId="02563C3D" w14:textId="77777777" w:rsidR="00C916E6" w:rsidRPr="00AF3320" w:rsidRDefault="00C916E6" w:rsidP="00C916E6">
            <w:pPr>
              <w:spacing w:before="60" w:after="60"/>
              <w:jc w:val="center"/>
              <w:rPr>
                <w:rFonts w:cs="Segoe UI"/>
                <w:color w:val="000000"/>
                <w:sz w:val="18"/>
                <w:szCs w:val="18"/>
                <w:lang w:eastAsia="en-NZ"/>
              </w:rPr>
            </w:pPr>
            <w:r w:rsidRPr="00AF3320">
              <w:rPr>
                <w:rFonts w:cs="Segoe UI"/>
                <w:color w:val="000000"/>
                <w:sz w:val="18"/>
                <w:szCs w:val="18"/>
                <w:lang w:eastAsia="en-NZ"/>
              </w:rPr>
              <w:t>15 (6</w:t>
            </w:r>
            <w:r>
              <w:rPr>
                <w:rFonts w:cs="Segoe UI"/>
                <w:color w:val="000000"/>
                <w:sz w:val="18"/>
                <w:szCs w:val="18"/>
                <w:lang w:eastAsia="en-NZ"/>
              </w:rPr>
              <w:t>–</w:t>
            </w:r>
            <w:r w:rsidRPr="00AF3320">
              <w:rPr>
                <w:rFonts w:cs="Segoe UI"/>
                <w:color w:val="000000"/>
                <w:sz w:val="18"/>
                <w:szCs w:val="18"/>
                <w:lang w:eastAsia="en-NZ"/>
              </w:rPr>
              <w:t>34)</w:t>
            </w:r>
          </w:p>
        </w:tc>
        <w:tc>
          <w:tcPr>
            <w:tcW w:w="1406" w:type="dxa"/>
            <w:tcBorders>
              <w:top w:val="single" w:sz="4" w:space="0" w:color="A6A6A6" w:themeColor="background1" w:themeShade="A6"/>
              <w:left w:val="single" w:sz="4" w:space="0" w:color="A6A6A6" w:themeColor="background1" w:themeShade="A6"/>
              <w:bottom w:val="single" w:sz="4" w:space="0" w:color="A6A6A6" w:themeColor="background1" w:themeShade="A6"/>
            </w:tcBorders>
            <w:shd w:val="clear" w:color="auto" w:fill="FFFFFF" w:themeFill="background1"/>
            <w:vAlign w:val="center"/>
            <w:hideMark/>
          </w:tcPr>
          <w:p w14:paraId="4151A8BB" w14:textId="77777777" w:rsidR="00C916E6" w:rsidRPr="00AF3320" w:rsidRDefault="00C916E6" w:rsidP="00C916E6">
            <w:pPr>
              <w:spacing w:before="60" w:after="60"/>
              <w:jc w:val="center"/>
              <w:rPr>
                <w:rFonts w:cs="Segoe UI"/>
                <w:color w:val="000000"/>
                <w:sz w:val="18"/>
                <w:szCs w:val="18"/>
                <w:lang w:eastAsia="en-NZ"/>
              </w:rPr>
            </w:pPr>
            <w:r w:rsidRPr="00AF3320">
              <w:rPr>
                <w:rFonts w:cs="Segoe UI"/>
                <w:color w:val="000000"/>
                <w:sz w:val="18"/>
                <w:szCs w:val="18"/>
                <w:lang w:eastAsia="en-NZ"/>
              </w:rPr>
              <w:t>No difference</w:t>
            </w:r>
          </w:p>
        </w:tc>
        <w:tc>
          <w:tcPr>
            <w:tcW w:w="1418" w:type="dxa"/>
            <w:tcBorders>
              <w:top w:val="single" w:sz="4" w:space="0" w:color="A6A6A6" w:themeColor="background1" w:themeShade="A6"/>
              <w:bottom w:val="single" w:sz="4" w:space="0" w:color="A6A6A6" w:themeColor="background1" w:themeShade="A6"/>
            </w:tcBorders>
            <w:shd w:val="clear" w:color="auto" w:fill="FFFFFF" w:themeFill="background1"/>
            <w:vAlign w:val="center"/>
            <w:hideMark/>
          </w:tcPr>
          <w:p w14:paraId="74C2ED18" w14:textId="77777777" w:rsidR="00C916E6" w:rsidRPr="00AF3320" w:rsidRDefault="00C916E6" w:rsidP="00C916E6">
            <w:pPr>
              <w:spacing w:before="60" w:after="60"/>
              <w:jc w:val="center"/>
              <w:rPr>
                <w:rFonts w:cs="Segoe UI"/>
                <w:color w:val="000000"/>
                <w:sz w:val="18"/>
                <w:szCs w:val="18"/>
                <w:lang w:eastAsia="en-NZ"/>
              </w:rPr>
            </w:pPr>
            <w:r w:rsidRPr="00AF3320">
              <w:rPr>
                <w:rFonts w:cs="Segoe UI"/>
                <w:color w:val="000000"/>
                <w:sz w:val="18"/>
                <w:szCs w:val="18"/>
                <w:lang w:eastAsia="en-NZ"/>
              </w:rPr>
              <w:t>No difference</w:t>
            </w:r>
          </w:p>
        </w:tc>
        <w:tc>
          <w:tcPr>
            <w:tcW w:w="1422" w:type="dxa"/>
            <w:tcBorders>
              <w:top w:val="single" w:sz="4" w:space="0" w:color="A6A6A6" w:themeColor="background1" w:themeShade="A6"/>
              <w:bottom w:val="single" w:sz="4" w:space="0" w:color="A6A6A6" w:themeColor="background1" w:themeShade="A6"/>
            </w:tcBorders>
            <w:shd w:val="clear" w:color="auto" w:fill="FFFFFF" w:themeFill="background1"/>
            <w:vAlign w:val="center"/>
            <w:hideMark/>
          </w:tcPr>
          <w:p w14:paraId="750E966B" w14:textId="77777777" w:rsidR="00C916E6" w:rsidRPr="00AF3320" w:rsidRDefault="00C916E6" w:rsidP="00C916E6">
            <w:pPr>
              <w:spacing w:before="60" w:after="60"/>
              <w:jc w:val="center"/>
              <w:rPr>
                <w:rFonts w:cs="Segoe UI"/>
                <w:color w:val="000000"/>
                <w:sz w:val="18"/>
                <w:szCs w:val="18"/>
                <w:lang w:eastAsia="en-NZ"/>
              </w:rPr>
            </w:pPr>
            <w:r w:rsidRPr="00AF3320">
              <w:rPr>
                <w:rFonts w:cs="Segoe UI"/>
                <w:color w:val="000000"/>
                <w:sz w:val="18"/>
                <w:szCs w:val="18"/>
                <w:lang w:eastAsia="en-NZ"/>
              </w:rPr>
              <w:t>No difference</w:t>
            </w:r>
          </w:p>
        </w:tc>
      </w:tr>
      <w:tr w:rsidR="00C916E6" w:rsidRPr="009C66A8" w14:paraId="1508DF6F" w14:textId="77777777" w:rsidTr="00C916E6">
        <w:trPr>
          <w:trHeight w:val="306"/>
        </w:trPr>
        <w:tc>
          <w:tcPr>
            <w:tcW w:w="1275" w:type="dxa"/>
            <w:tcBorders>
              <w:top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hideMark/>
          </w:tcPr>
          <w:p w14:paraId="5BDBAD5F" w14:textId="77777777" w:rsidR="00C916E6" w:rsidRPr="00AF3320" w:rsidRDefault="00C916E6" w:rsidP="00C916E6">
            <w:pPr>
              <w:spacing w:before="60" w:after="60"/>
              <w:rPr>
                <w:rFonts w:cs="Segoe UI"/>
                <w:color w:val="000000"/>
                <w:sz w:val="18"/>
                <w:szCs w:val="18"/>
                <w:lang w:eastAsia="en-NZ"/>
              </w:rPr>
            </w:pPr>
            <w:r w:rsidRPr="00AF3320">
              <w:rPr>
                <w:rFonts w:cs="Segoe UI"/>
                <w:color w:val="000000"/>
                <w:sz w:val="18"/>
                <w:szCs w:val="18"/>
                <w:lang w:eastAsia="en-NZ"/>
              </w:rPr>
              <w:t>Waikato</w:t>
            </w:r>
          </w:p>
        </w:tc>
        <w:tc>
          <w:tcPr>
            <w:tcW w:w="1135" w:type="dxa"/>
            <w:tcBorders>
              <w:top w:val="single" w:sz="4" w:space="0" w:color="A6A6A6" w:themeColor="background1" w:themeShade="A6"/>
              <w:left w:val="single" w:sz="4" w:space="0" w:color="A6A6A6" w:themeColor="background1" w:themeShade="A6"/>
              <w:bottom w:val="single" w:sz="4" w:space="0" w:color="A6A6A6" w:themeColor="background1" w:themeShade="A6"/>
            </w:tcBorders>
            <w:shd w:val="clear" w:color="auto" w:fill="FFFFFF" w:themeFill="background1"/>
            <w:vAlign w:val="center"/>
            <w:hideMark/>
          </w:tcPr>
          <w:p w14:paraId="1596FAAB" w14:textId="77777777" w:rsidR="00C916E6" w:rsidRPr="00AF3320" w:rsidRDefault="00C916E6" w:rsidP="00C916E6">
            <w:pPr>
              <w:spacing w:before="60" w:after="60"/>
              <w:jc w:val="center"/>
              <w:rPr>
                <w:rFonts w:cs="Segoe UI"/>
                <w:color w:val="000000"/>
                <w:sz w:val="18"/>
                <w:szCs w:val="18"/>
                <w:lang w:eastAsia="en-NZ"/>
              </w:rPr>
            </w:pPr>
            <w:r w:rsidRPr="00AF3320">
              <w:rPr>
                <w:rFonts w:cs="Segoe UI"/>
                <w:color w:val="000000"/>
                <w:sz w:val="18"/>
                <w:szCs w:val="18"/>
                <w:lang w:eastAsia="en-NZ"/>
              </w:rPr>
              <w:t>30</w:t>
            </w:r>
          </w:p>
        </w:tc>
        <w:tc>
          <w:tcPr>
            <w:tcW w:w="1143" w:type="dxa"/>
            <w:tcBorders>
              <w:top w:val="single" w:sz="4" w:space="0" w:color="A6A6A6" w:themeColor="background1" w:themeShade="A6"/>
              <w:bottom w:val="single" w:sz="4" w:space="0" w:color="A6A6A6" w:themeColor="background1" w:themeShade="A6"/>
            </w:tcBorders>
            <w:shd w:val="clear" w:color="auto" w:fill="FFFFFF" w:themeFill="background1"/>
            <w:vAlign w:val="center"/>
            <w:hideMark/>
          </w:tcPr>
          <w:p w14:paraId="5C1B2DD6" w14:textId="77777777" w:rsidR="00C916E6" w:rsidRPr="00AF3320" w:rsidRDefault="00C916E6" w:rsidP="00C916E6">
            <w:pPr>
              <w:spacing w:before="60" w:after="60"/>
              <w:jc w:val="center"/>
              <w:rPr>
                <w:rFonts w:cs="Segoe UI"/>
                <w:color w:val="000000"/>
                <w:sz w:val="18"/>
                <w:szCs w:val="18"/>
                <w:lang w:eastAsia="en-NZ"/>
              </w:rPr>
            </w:pPr>
            <w:r w:rsidRPr="00AF3320">
              <w:rPr>
                <w:rFonts w:cs="Segoe UI"/>
                <w:color w:val="000000"/>
                <w:sz w:val="18"/>
                <w:szCs w:val="18"/>
                <w:lang w:eastAsia="en-NZ"/>
              </w:rPr>
              <w:t>347</w:t>
            </w:r>
          </w:p>
        </w:tc>
        <w:tc>
          <w:tcPr>
            <w:tcW w:w="1420" w:type="dxa"/>
            <w:tcBorders>
              <w:top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hideMark/>
          </w:tcPr>
          <w:p w14:paraId="19BA6208" w14:textId="77777777" w:rsidR="00C916E6" w:rsidRPr="00AF3320" w:rsidRDefault="00C916E6" w:rsidP="00C916E6">
            <w:pPr>
              <w:spacing w:before="60" w:after="60"/>
              <w:jc w:val="center"/>
              <w:rPr>
                <w:rFonts w:cs="Segoe UI"/>
                <w:color w:val="000000"/>
                <w:sz w:val="18"/>
                <w:szCs w:val="18"/>
                <w:lang w:eastAsia="en-NZ"/>
              </w:rPr>
            </w:pPr>
            <w:r w:rsidRPr="00AF3320">
              <w:rPr>
                <w:rFonts w:cs="Segoe UI"/>
                <w:color w:val="000000"/>
                <w:sz w:val="18"/>
                <w:szCs w:val="18"/>
                <w:lang w:eastAsia="en-NZ"/>
              </w:rPr>
              <w:t>12 (1</w:t>
            </w:r>
            <w:r>
              <w:rPr>
                <w:rFonts w:cs="Segoe UI"/>
                <w:color w:val="000000"/>
                <w:sz w:val="18"/>
                <w:szCs w:val="18"/>
                <w:lang w:eastAsia="en-NZ"/>
              </w:rPr>
              <w:t>–</w:t>
            </w:r>
            <w:r w:rsidRPr="00AF3320">
              <w:rPr>
                <w:rFonts w:cs="Segoe UI"/>
                <w:color w:val="000000"/>
                <w:sz w:val="18"/>
                <w:szCs w:val="18"/>
                <w:lang w:eastAsia="en-NZ"/>
              </w:rPr>
              <w:t>63)</w:t>
            </w:r>
          </w:p>
        </w:tc>
        <w:tc>
          <w:tcPr>
            <w:tcW w:w="1406" w:type="dxa"/>
            <w:tcBorders>
              <w:top w:val="single" w:sz="4" w:space="0" w:color="A6A6A6" w:themeColor="background1" w:themeShade="A6"/>
              <w:left w:val="single" w:sz="4" w:space="0" w:color="A6A6A6" w:themeColor="background1" w:themeShade="A6"/>
              <w:bottom w:val="single" w:sz="4" w:space="0" w:color="A6A6A6" w:themeColor="background1" w:themeShade="A6"/>
            </w:tcBorders>
            <w:shd w:val="clear" w:color="auto" w:fill="FFFFFF" w:themeFill="background1"/>
            <w:vAlign w:val="center"/>
            <w:hideMark/>
          </w:tcPr>
          <w:p w14:paraId="1E4F86FA" w14:textId="77777777" w:rsidR="00C916E6" w:rsidRPr="00AF3320" w:rsidRDefault="00C916E6" w:rsidP="00C916E6">
            <w:pPr>
              <w:spacing w:before="60" w:after="60"/>
              <w:jc w:val="center"/>
              <w:rPr>
                <w:rFonts w:cs="Segoe UI"/>
                <w:color w:val="000000"/>
                <w:sz w:val="18"/>
                <w:szCs w:val="18"/>
                <w:lang w:eastAsia="en-NZ"/>
              </w:rPr>
            </w:pPr>
            <w:r w:rsidRPr="00AF3320">
              <w:rPr>
                <w:rFonts w:cs="Segoe UI"/>
                <w:color w:val="000000"/>
                <w:sz w:val="18"/>
                <w:szCs w:val="18"/>
                <w:lang w:eastAsia="en-NZ"/>
              </w:rPr>
              <w:t>No difference</w:t>
            </w:r>
          </w:p>
        </w:tc>
        <w:tc>
          <w:tcPr>
            <w:tcW w:w="1418" w:type="dxa"/>
            <w:tcBorders>
              <w:top w:val="single" w:sz="4" w:space="0" w:color="A6A6A6" w:themeColor="background1" w:themeShade="A6"/>
              <w:bottom w:val="single" w:sz="4" w:space="0" w:color="A6A6A6" w:themeColor="background1" w:themeShade="A6"/>
            </w:tcBorders>
            <w:shd w:val="clear" w:color="auto" w:fill="FFFFFF" w:themeFill="background1"/>
            <w:vAlign w:val="center"/>
            <w:hideMark/>
          </w:tcPr>
          <w:p w14:paraId="6BF9F5E4" w14:textId="77777777" w:rsidR="00C916E6" w:rsidRPr="00AF3320" w:rsidRDefault="00C916E6" w:rsidP="00C916E6">
            <w:pPr>
              <w:spacing w:before="60" w:after="60"/>
              <w:jc w:val="center"/>
              <w:rPr>
                <w:rFonts w:cs="Segoe UI"/>
                <w:color w:val="000000"/>
                <w:sz w:val="18"/>
                <w:szCs w:val="18"/>
                <w:lang w:eastAsia="en-NZ"/>
              </w:rPr>
            </w:pPr>
            <w:r w:rsidRPr="00AF3320">
              <w:rPr>
                <w:rFonts w:cs="Segoe UI"/>
                <w:color w:val="000000"/>
                <w:sz w:val="18"/>
                <w:szCs w:val="18"/>
                <w:lang w:eastAsia="en-NZ"/>
              </w:rPr>
              <w:t>No difference</w:t>
            </w:r>
          </w:p>
        </w:tc>
        <w:tc>
          <w:tcPr>
            <w:tcW w:w="1422" w:type="dxa"/>
            <w:tcBorders>
              <w:top w:val="single" w:sz="4" w:space="0" w:color="A6A6A6" w:themeColor="background1" w:themeShade="A6"/>
              <w:bottom w:val="single" w:sz="4" w:space="0" w:color="A6A6A6" w:themeColor="background1" w:themeShade="A6"/>
            </w:tcBorders>
            <w:shd w:val="clear" w:color="auto" w:fill="FFFFFF" w:themeFill="background1"/>
            <w:vAlign w:val="center"/>
            <w:hideMark/>
          </w:tcPr>
          <w:p w14:paraId="6F5B1A32" w14:textId="77777777" w:rsidR="00C916E6" w:rsidRPr="00AF3320" w:rsidRDefault="00C916E6" w:rsidP="00C916E6">
            <w:pPr>
              <w:spacing w:before="60" w:after="60"/>
              <w:jc w:val="center"/>
              <w:rPr>
                <w:rFonts w:cs="Segoe UI"/>
                <w:color w:val="000000"/>
                <w:sz w:val="18"/>
                <w:szCs w:val="18"/>
                <w:lang w:eastAsia="en-NZ"/>
              </w:rPr>
            </w:pPr>
            <w:r w:rsidRPr="00AF3320">
              <w:rPr>
                <w:rFonts w:cs="Segoe UI"/>
                <w:color w:val="000000"/>
                <w:sz w:val="18"/>
                <w:szCs w:val="18"/>
                <w:lang w:eastAsia="en-NZ"/>
              </w:rPr>
              <w:t>No difference</w:t>
            </w:r>
          </w:p>
        </w:tc>
      </w:tr>
      <w:tr w:rsidR="00C916E6" w:rsidRPr="009C66A8" w14:paraId="6F340E27" w14:textId="77777777" w:rsidTr="00C916E6">
        <w:trPr>
          <w:trHeight w:val="306"/>
        </w:trPr>
        <w:tc>
          <w:tcPr>
            <w:tcW w:w="1275" w:type="dxa"/>
            <w:tcBorders>
              <w:top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hideMark/>
          </w:tcPr>
          <w:p w14:paraId="10707520" w14:textId="77777777" w:rsidR="00C916E6" w:rsidRPr="00AF3320" w:rsidRDefault="00C916E6" w:rsidP="00C916E6">
            <w:pPr>
              <w:spacing w:before="60" w:after="60"/>
              <w:rPr>
                <w:rFonts w:cs="Segoe UI"/>
                <w:color w:val="000000"/>
                <w:sz w:val="18"/>
                <w:szCs w:val="18"/>
                <w:lang w:eastAsia="en-NZ"/>
              </w:rPr>
            </w:pPr>
            <w:r w:rsidRPr="00AF3320">
              <w:rPr>
                <w:rFonts w:cs="Segoe UI"/>
                <w:color w:val="000000"/>
                <w:sz w:val="18"/>
                <w:szCs w:val="18"/>
                <w:lang w:eastAsia="en-NZ"/>
              </w:rPr>
              <w:t>Wairarapa</w:t>
            </w:r>
          </w:p>
        </w:tc>
        <w:tc>
          <w:tcPr>
            <w:tcW w:w="1135" w:type="dxa"/>
            <w:tcBorders>
              <w:top w:val="single" w:sz="4" w:space="0" w:color="A6A6A6" w:themeColor="background1" w:themeShade="A6"/>
              <w:left w:val="single" w:sz="4" w:space="0" w:color="A6A6A6" w:themeColor="background1" w:themeShade="A6"/>
              <w:bottom w:val="single" w:sz="4" w:space="0" w:color="A6A6A6" w:themeColor="background1" w:themeShade="A6"/>
            </w:tcBorders>
            <w:shd w:val="clear" w:color="auto" w:fill="FFFFFF" w:themeFill="background1"/>
            <w:vAlign w:val="center"/>
            <w:hideMark/>
          </w:tcPr>
          <w:p w14:paraId="454A1142" w14:textId="77777777" w:rsidR="00C916E6" w:rsidRPr="00AF3320" w:rsidRDefault="00C916E6" w:rsidP="00C916E6">
            <w:pPr>
              <w:spacing w:before="60" w:after="60"/>
              <w:jc w:val="center"/>
              <w:rPr>
                <w:rFonts w:cs="Segoe UI"/>
                <w:color w:val="000000"/>
                <w:sz w:val="18"/>
                <w:szCs w:val="18"/>
                <w:lang w:eastAsia="en-NZ"/>
              </w:rPr>
            </w:pPr>
            <w:r w:rsidRPr="00AF3320">
              <w:rPr>
                <w:rFonts w:cs="Segoe UI"/>
                <w:color w:val="000000"/>
                <w:sz w:val="18"/>
                <w:szCs w:val="18"/>
                <w:lang w:eastAsia="en-NZ"/>
              </w:rPr>
              <w:t>3</w:t>
            </w:r>
          </w:p>
        </w:tc>
        <w:tc>
          <w:tcPr>
            <w:tcW w:w="1143" w:type="dxa"/>
            <w:tcBorders>
              <w:top w:val="single" w:sz="4" w:space="0" w:color="A6A6A6" w:themeColor="background1" w:themeShade="A6"/>
              <w:bottom w:val="single" w:sz="4" w:space="0" w:color="A6A6A6" w:themeColor="background1" w:themeShade="A6"/>
            </w:tcBorders>
            <w:shd w:val="clear" w:color="auto" w:fill="FFFFFF" w:themeFill="background1"/>
            <w:vAlign w:val="center"/>
            <w:hideMark/>
          </w:tcPr>
          <w:p w14:paraId="4584F980" w14:textId="77777777" w:rsidR="00C916E6" w:rsidRPr="00AF3320" w:rsidRDefault="00C916E6" w:rsidP="00C916E6">
            <w:pPr>
              <w:spacing w:before="60" w:after="60"/>
              <w:jc w:val="center"/>
              <w:rPr>
                <w:rFonts w:cs="Segoe UI"/>
                <w:color w:val="000000"/>
                <w:sz w:val="18"/>
                <w:szCs w:val="18"/>
                <w:lang w:eastAsia="en-NZ"/>
              </w:rPr>
            </w:pPr>
            <w:r w:rsidRPr="00AF3320">
              <w:rPr>
                <w:rFonts w:cs="Segoe UI"/>
                <w:color w:val="000000"/>
                <w:sz w:val="18"/>
                <w:szCs w:val="18"/>
                <w:lang w:eastAsia="en-NZ"/>
              </w:rPr>
              <w:t>31</w:t>
            </w:r>
          </w:p>
        </w:tc>
        <w:tc>
          <w:tcPr>
            <w:tcW w:w="1420" w:type="dxa"/>
            <w:tcBorders>
              <w:top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hideMark/>
          </w:tcPr>
          <w:p w14:paraId="19648C41" w14:textId="77777777" w:rsidR="00C916E6" w:rsidRPr="00AF3320" w:rsidRDefault="00C916E6" w:rsidP="00C916E6">
            <w:pPr>
              <w:spacing w:before="60" w:after="60"/>
              <w:jc w:val="center"/>
              <w:rPr>
                <w:rFonts w:cs="Segoe UI"/>
                <w:color w:val="000000"/>
                <w:sz w:val="18"/>
                <w:szCs w:val="18"/>
                <w:lang w:eastAsia="en-NZ"/>
              </w:rPr>
            </w:pPr>
            <w:r w:rsidRPr="00AF3320">
              <w:rPr>
                <w:rFonts w:cs="Segoe UI"/>
                <w:color w:val="000000"/>
                <w:sz w:val="18"/>
                <w:szCs w:val="18"/>
                <w:lang w:eastAsia="en-NZ"/>
              </w:rPr>
              <w:t>10 (7</w:t>
            </w:r>
            <w:r>
              <w:rPr>
                <w:rFonts w:cs="Segoe UI"/>
                <w:color w:val="000000"/>
                <w:sz w:val="18"/>
                <w:szCs w:val="18"/>
                <w:lang w:eastAsia="en-NZ"/>
              </w:rPr>
              <w:t>–</w:t>
            </w:r>
            <w:r w:rsidRPr="00AF3320">
              <w:rPr>
                <w:rFonts w:cs="Segoe UI"/>
                <w:color w:val="000000"/>
                <w:sz w:val="18"/>
                <w:szCs w:val="18"/>
                <w:lang w:eastAsia="en-NZ"/>
              </w:rPr>
              <w:t>12)</w:t>
            </w:r>
          </w:p>
        </w:tc>
        <w:tc>
          <w:tcPr>
            <w:tcW w:w="1406" w:type="dxa"/>
            <w:tcBorders>
              <w:top w:val="single" w:sz="4" w:space="0" w:color="A6A6A6" w:themeColor="background1" w:themeShade="A6"/>
              <w:left w:val="single" w:sz="4" w:space="0" w:color="A6A6A6" w:themeColor="background1" w:themeShade="A6"/>
              <w:bottom w:val="single" w:sz="4" w:space="0" w:color="A6A6A6" w:themeColor="background1" w:themeShade="A6"/>
            </w:tcBorders>
            <w:shd w:val="clear" w:color="auto" w:fill="FFFFFF" w:themeFill="background1"/>
            <w:vAlign w:val="center"/>
            <w:hideMark/>
          </w:tcPr>
          <w:p w14:paraId="41654A8B" w14:textId="77777777" w:rsidR="00C916E6" w:rsidRPr="00AF3320" w:rsidRDefault="00C916E6" w:rsidP="00C916E6">
            <w:pPr>
              <w:spacing w:before="60" w:after="60"/>
              <w:jc w:val="center"/>
              <w:rPr>
                <w:rFonts w:cs="Segoe UI"/>
                <w:color w:val="000000"/>
                <w:sz w:val="18"/>
                <w:szCs w:val="18"/>
                <w:lang w:eastAsia="en-NZ"/>
              </w:rPr>
            </w:pPr>
            <w:r w:rsidRPr="00AF3320">
              <w:rPr>
                <w:rFonts w:cs="Segoe UI"/>
                <w:color w:val="000000"/>
                <w:sz w:val="18"/>
                <w:szCs w:val="18"/>
                <w:lang w:eastAsia="en-NZ"/>
              </w:rPr>
              <w:t>No difference</w:t>
            </w:r>
          </w:p>
        </w:tc>
        <w:tc>
          <w:tcPr>
            <w:tcW w:w="1418" w:type="dxa"/>
            <w:tcBorders>
              <w:top w:val="single" w:sz="4" w:space="0" w:color="A6A6A6" w:themeColor="background1" w:themeShade="A6"/>
              <w:bottom w:val="single" w:sz="4" w:space="0" w:color="A6A6A6" w:themeColor="background1" w:themeShade="A6"/>
            </w:tcBorders>
            <w:shd w:val="clear" w:color="auto" w:fill="FFFFFF" w:themeFill="background1"/>
            <w:vAlign w:val="center"/>
            <w:hideMark/>
          </w:tcPr>
          <w:p w14:paraId="65E9816C" w14:textId="77777777" w:rsidR="00C916E6" w:rsidRPr="00AF3320" w:rsidRDefault="00C916E6" w:rsidP="00C916E6">
            <w:pPr>
              <w:spacing w:before="60" w:after="60"/>
              <w:jc w:val="center"/>
              <w:rPr>
                <w:rFonts w:cs="Segoe UI"/>
                <w:color w:val="000000"/>
                <w:sz w:val="18"/>
                <w:szCs w:val="18"/>
                <w:lang w:eastAsia="en-NZ"/>
              </w:rPr>
            </w:pPr>
            <w:r w:rsidRPr="00AF3320">
              <w:rPr>
                <w:rFonts w:cs="Segoe UI"/>
                <w:color w:val="000000"/>
                <w:sz w:val="18"/>
                <w:szCs w:val="18"/>
                <w:lang w:eastAsia="en-NZ"/>
              </w:rPr>
              <w:t>No difference</w:t>
            </w:r>
          </w:p>
        </w:tc>
        <w:tc>
          <w:tcPr>
            <w:tcW w:w="1422" w:type="dxa"/>
            <w:tcBorders>
              <w:top w:val="single" w:sz="4" w:space="0" w:color="A6A6A6" w:themeColor="background1" w:themeShade="A6"/>
              <w:bottom w:val="single" w:sz="4" w:space="0" w:color="A6A6A6" w:themeColor="background1" w:themeShade="A6"/>
            </w:tcBorders>
            <w:shd w:val="clear" w:color="auto" w:fill="FFFFFF" w:themeFill="background1"/>
            <w:vAlign w:val="center"/>
            <w:hideMark/>
          </w:tcPr>
          <w:p w14:paraId="4A16FEA6" w14:textId="77777777" w:rsidR="00C916E6" w:rsidRPr="00AF3320" w:rsidRDefault="00C916E6" w:rsidP="00C916E6">
            <w:pPr>
              <w:spacing w:before="60" w:after="60"/>
              <w:jc w:val="center"/>
              <w:rPr>
                <w:rFonts w:cs="Segoe UI"/>
                <w:color w:val="000000"/>
                <w:sz w:val="18"/>
                <w:szCs w:val="18"/>
                <w:lang w:eastAsia="en-NZ"/>
              </w:rPr>
            </w:pPr>
            <w:r w:rsidRPr="00AF3320">
              <w:rPr>
                <w:rFonts w:cs="Segoe UI"/>
                <w:color w:val="000000"/>
                <w:sz w:val="18"/>
                <w:szCs w:val="18"/>
                <w:lang w:eastAsia="en-NZ"/>
              </w:rPr>
              <w:t>No difference</w:t>
            </w:r>
          </w:p>
        </w:tc>
      </w:tr>
      <w:tr w:rsidR="00C916E6" w:rsidRPr="009C66A8" w14:paraId="0CABB00C" w14:textId="77777777" w:rsidTr="00C916E6">
        <w:trPr>
          <w:trHeight w:val="306"/>
        </w:trPr>
        <w:tc>
          <w:tcPr>
            <w:tcW w:w="1275" w:type="dxa"/>
            <w:tcBorders>
              <w:top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hideMark/>
          </w:tcPr>
          <w:p w14:paraId="3B0FE4EE" w14:textId="77777777" w:rsidR="00C916E6" w:rsidRPr="00AF3320" w:rsidRDefault="00C916E6" w:rsidP="00C916E6">
            <w:pPr>
              <w:spacing w:before="60" w:after="60"/>
              <w:rPr>
                <w:rFonts w:cs="Segoe UI"/>
                <w:color w:val="000000"/>
                <w:sz w:val="18"/>
                <w:szCs w:val="18"/>
                <w:lang w:eastAsia="en-NZ"/>
              </w:rPr>
            </w:pPr>
            <w:r w:rsidRPr="00AF3320">
              <w:rPr>
                <w:rFonts w:cs="Segoe UI"/>
                <w:color w:val="000000"/>
                <w:sz w:val="18"/>
                <w:szCs w:val="18"/>
                <w:lang w:eastAsia="en-NZ"/>
              </w:rPr>
              <w:t>Waitemat</w:t>
            </w:r>
            <w:r>
              <w:rPr>
                <w:rFonts w:cs="Segoe UI"/>
                <w:color w:val="000000"/>
                <w:sz w:val="18"/>
                <w:szCs w:val="18"/>
                <w:lang w:eastAsia="en-NZ"/>
              </w:rPr>
              <w:t>ā</w:t>
            </w:r>
          </w:p>
        </w:tc>
        <w:tc>
          <w:tcPr>
            <w:tcW w:w="1135" w:type="dxa"/>
            <w:tcBorders>
              <w:top w:val="single" w:sz="4" w:space="0" w:color="A6A6A6" w:themeColor="background1" w:themeShade="A6"/>
              <w:left w:val="single" w:sz="4" w:space="0" w:color="A6A6A6" w:themeColor="background1" w:themeShade="A6"/>
              <w:bottom w:val="single" w:sz="4" w:space="0" w:color="A6A6A6" w:themeColor="background1" w:themeShade="A6"/>
            </w:tcBorders>
            <w:shd w:val="clear" w:color="auto" w:fill="FFFFFF" w:themeFill="background1"/>
            <w:vAlign w:val="center"/>
            <w:hideMark/>
          </w:tcPr>
          <w:p w14:paraId="6BCE548D" w14:textId="77777777" w:rsidR="00C916E6" w:rsidRPr="00AF3320" w:rsidRDefault="00C916E6" w:rsidP="00C916E6">
            <w:pPr>
              <w:spacing w:before="60" w:after="60"/>
              <w:jc w:val="center"/>
              <w:rPr>
                <w:rFonts w:cs="Segoe UI"/>
                <w:color w:val="000000"/>
                <w:sz w:val="18"/>
                <w:szCs w:val="18"/>
                <w:lang w:eastAsia="en-NZ"/>
              </w:rPr>
            </w:pPr>
            <w:r w:rsidRPr="00AF3320">
              <w:rPr>
                <w:rFonts w:cs="Segoe UI"/>
                <w:color w:val="000000"/>
                <w:sz w:val="18"/>
                <w:szCs w:val="18"/>
                <w:lang w:eastAsia="en-NZ"/>
              </w:rPr>
              <w:t>27</w:t>
            </w:r>
          </w:p>
        </w:tc>
        <w:tc>
          <w:tcPr>
            <w:tcW w:w="1143" w:type="dxa"/>
            <w:tcBorders>
              <w:top w:val="single" w:sz="4" w:space="0" w:color="A6A6A6" w:themeColor="background1" w:themeShade="A6"/>
              <w:bottom w:val="single" w:sz="4" w:space="0" w:color="A6A6A6" w:themeColor="background1" w:themeShade="A6"/>
            </w:tcBorders>
            <w:shd w:val="clear" w:color="auto" w:fill="FFFFFF" w:themeFill="background1"/>
            <w:vAlign w:val="center"/>
            <w:hideMark/>
          </w:tcPr>
          <w:p w14:paraId="658E9A1C" w14:textId="77777777" w:rsidR="00C916E6" w:rsidRPr="00AF3320" w:rsidRDefault="00C916E6" w:rsidP="00C916E6">
            <w:pPr>
              <w:spacing w:before="60" w:after="60"/>
              <w:jc w:val="center"/>
              <w:rPr>
                <w:rFonts w:cs="Segoe UI"/>
                <w:color w:val="000000"/>
                <w:sz w:val="18"/>
                <w:szCs w:val="18"/>
                <w:lang w:eastAsia="en-NZ"/>
              </w:rPr>
            </w:pPr>
            <w:r w:rsidRPr="00AF3320">
              <w:rPr>
                <w:rFonts w:cs="Segoe UI"/>
                <w:color w:val="000000"/>
                <w:sz w:val="18"/>
                <w:szCs w:val="18"/>
                <w:lang w:eastAsia="en-NZ"/>
              </w:rPr>
              <w:t>329</w:t>
            </w:r>
          </w:p>
        </w:tc>
        <w:tc>
          <w:tcPr>
            <w:tcW w:w="1420" w:type="dxa"/>
            <w:tcBorders>
              <w:top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hideMark/>
          </w:tcPr>
          <w:p w14:paraId="2ABB0BCD" w14:textId="77777777" w:rsidR="00C916E6" w:rsidRPr="00AF3320" w:rsidRDefault="00C916E6" w:rsidP="00C916E6">
            <w:pPr>
              <w:spacing w:before="60" w:after="60"/>
              <w:jc w:val="center"/>
              <w:rPr>
                <w:rFonts w:cs="Segoe UI"/>
                <w:color w:val="000000"/>
                <w:sz w:val="18"/>
                <w:szCs w:val="18"/>
                <w:lang w:eastAsia="en-NZ"/>
              </w:rPr>
            </w:pPr>
            <w:r w:rsidRPr="00AF3320">
              <w:rPr>
                <w:rFonts w:cs="Segoe UI"/>
                <w:color w:val="000000"/>
                <w:sz w:val="18"/>
                <w:szCs w:val="18"/>
                <w:lang w:eastAsia="en-NZ"/>
              </w:rPr>
              <w:t>12 (1</w:t>
            </w:r>
            <w:r>
              <w:rPr>
                <w:rFonts w:cs="Segoe UI"/>
                <w:color w:val="000000"/>
                <w:sz w:val="18"/>
                <w:szCs w:val="18"/>
                <w:lang w:eastAsia="en-NZ"/>
              </w:rPr>
              <w:t>–</w:t>
            </w:r>
            <w:r w:rsidRPr="00AF3320">
              <w:rPr>
                <w:rFonts w:cs="Segoe UI"/>
                <w:color w:val="000000"/>
                <w:sz w:val="18"/>
                <w:szCs w:val="18"/>
                <w:lang w:eastAsia="en-NZ"/>
              </w:rPr>
              <w:t>38)</w:t>
            </w:r>
          </w:p>
        </w:tc>
        <w:tc>
          <w:tcPr>
            <w:tcW w:w="1406" w:type="dxa"/>
            <w:tcBorders>
              <w:top w:val="single" w:sz="4" w:space="0" w:color="A6A6A6" w:themeColor="background1" w:themeShade="A6"/>
              <w:left w:val="single" w:sz="4" w:space="0" w:color="A6A6A6" w:themeColor="background1" w:themeShade="A6"/>
              <w:bottom w:val="single" w:sz="4" w:space="0" w:color="A6A6A6" w:themeColor="background1" w:themeShade="A6"/>
            </w:tcBorders>
            <w:shd w:val="clear" w:color="auto" w:fill="FFFFFF" w:themeFill="background1"/>
            <w:vAlign w:val="center"/>
            <w:hideMark/>
          </w:tcPr>
          <w:p w14:paraId="64C072F7" w14:textId="77777777" w:rsidR="00C916E6" w:rsidRPr="00AF3320" w:rsidRDefault="00C916E6" w:rsidP="00C916E6">
            <w:pPr>
              <w:spacing w:before="60" w:after="60"/>
              <w:jc w:val="center"/>
              <w:rPr>
                <w:rFonts w:cs="Segoe UI"/>
                <w:color w:val="000000"/>
                <w:sz w:val="18"/>
                <w:szCs w:val="18"/>
                <w:lang w:eastAsia="en-NZ"/>
              </w:rPr>
            </w:pPr>
            <w:r w:rsidRPr="00AF3320">
              <w:rPr>
                <w:rFonts w:cs="Segoe UI"/>
                <w:color w:val="000000"/>
                <w:sz w:val="18"/>
                <w:szCs w:val="18"/>
                <w:lang w:eastAsia="en-NZ"/>
              </w:rPr>
              <w:t>No difference</w:t>
            </w:r>
          </w:p>
        </w:tc>
        <w:tc>
          <w:tcPr>
            <w:tcW w:w="1418" w:type="dxa"/>
            <w:tcBorders>
              <w:top w:val="single" w:sz="4" w:space="0" w:color="A6A6A6" w:themeColor="background1" w:themeShade="A6"/>
              <w:bottom w:val="single" w:sz="4" w:space="0" w:color="A6A6A6" w:themeColor="background1" w:themeShade="A6"/>
            </w:tcBorders>
            <w:shd w:val="clear" w:color="auto" w:fill="FFFFFF" w:themeFill="background1"/>
            <w:vAlign w:val="center"/>
            <w:hideMark/>
          </w:tcPr>
          <w:p w14:paraId="4607501C" w14:textId="77777777" w:rsidR="00C916E6" w:rsidRPr="00AF3320" w:rsidRDefault="00C916E6" w:rsidP="00C916E6">
            <w:pPr>
              <w:spacing w:before="60" w:after="60"/>
              <w:jc w:val="center"/>
              <w:rPr>
                <w:rFonts w:cs="Segoe UI"/>
                <w:color w:val="000000"/>
                <w:sz w:val="18"/>
                <w:szCs w:val="18"/>
                <w:lang w:eastAsia="en-NZ"/>
              </w:rPr>
            </w:pPr>
            <w:r w:rsidRPr="00AF3320">
              <w:rPr>
                <w:rFonts w:cs="Segoe UI"/>
                <w:color w:val="000000"/>
                <w:sz w:val="18"/>
                <w:szCs w:val="18"/>
                <w:lang w:eastAsia="en-NZ"/>
              </w:rPr>
              <w:t>No difference</w:t>
            </w:r>
          </w:p>
        </w:tc>
        <w:tc>
          <w:tcPr>
            <w:tcW w:w="1422" w:type="dxa"/>
            <w:tcBorders>
              <w:top w:val="single" w:sz="4" w:space="0" w:color="A6A6A6" w:themeColor="background1" w:themeShade="A6"/>
              <w:bottom w:val="single" w:sz="4" w:space="0" w:color="A6A6A6" w:themeColor="background1" w:themeShade="A6"/>
            </w:tcBorders>
            <w:shd w:val="clear" w:color="auto" w:fill="FFFFFF" w:themeFill="background1"/>
            <w:vAlign w:val="center"/>
            <w:hideMark/>
          </w:tcPr>
          <w:p w14:paraId="21992EF8" w14:textId="77777777" w:rsidR="00C916E6" w:rsidRPr="00AF3320" w:rsidRDefault="00C916E6" w:rsidP="00C916E6">
            <w:pPr>
              <w:spacing w:before="60" w:after="60"/>
              <w:jc w:val="center"/>
              <w:rPr>
                <w:rFonts w:cs="Segoe UI"/>
                <w:color w:val="000000"/>
                <w:sz w:val="18"/>
                <w:szCs w:val="18"/>
                <w:lang w:eastAsia="en-NZ"/>
              </w:rPr>
            </w:pPr>
            <w:r w:rsidRPr="00AF3320">
              <w:rPr>
                <w:rFonts w:cs="Segoe UI"/>
                <w:color w:val="000000"/>
                <w:sz w:val="18"/>
                <w:szCs w:val="18"/>
                <w:lang w:eastAsia="en-NZ"/>
              </w:rPr>
              <w:t>No difference</w:t>
            </w:r>
          </w:p>
        </w:tc>
      </w:tr>
      <w:tr w:rsidR="00C916E6" w:rsidRPr="009C66A8" w14:paraId="536EEE5D" w14:textId="77777777" w:rsidTr="00C916E6">
        <w:trPr>
          <w:trHeight w:val="306"/>
        </w:trPr>
        <w:tc>
          <w:tcPr>
            <w:tcW w:w="1275" w:type="dxa"/>
            <w:tcBorders>
              <w:top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hideMark/>
          </w:tcPr>
          <w:p w14:paraId="318D6891" w14:textId="77777777" w:rsidR="00C916E6" w:rsidRPr="00AF3320" w:rsidRDefault="00C916E6" w:rsidP="00C916E6">
            <w:pPr>
              <w:spacing w:before="60" w:after="60"/>
              <w:rPr>
                <w:rFonts w:cs="Segoe UI"/>
                <w:color w:val="000000"/>
                <w:sz w:val="18"/>
                <w:szCs w:val="18"/>
                <w:lang w:eastAsia="en-NZ"/>
              </w:rPr>
            </w:pPr>
            <w:r w:rsidRPr="00AF3320">
              <w:rPr>
                <w:rFonts w:cs="Segoe UI"/>
                <w:color w:val="000000"/>
                <w:sz w:val="18"/>
                <w:szCs w:val="18"/>
                <w:lang w:eastAsia="en-NZ"/>
              </w:rPr>
              <w:t>West Coast</w:t>
            </w:r>
          </w:p>
        </w:tc>
        <w:tc>
          <w:tcPr>
            <w:tcW w:w="1135" w:type="dxa"/>
            <w:tcBorders>
              <w:top w:val="single" w:sz="4" w:space="0" w:color="A6A6A6" w:themeColor="background1" w:themeShade="A6"/>
              <w:left w:val="single" w:sz="4" w:space="0" w:color="A6A6A6" w:themeColor="background1" w:themeShade="A6"/>
              <w:bottom w:val="single" w:sz="4" w:space="0" w:color="A6A6A6" w:themeColor="background1" w:themeShade="A6"/>
            </w:tcBorders>
            <w:shd w:val="clear" w:color="auto" w:fill="FFFFFF" w:themeFill="background1"/>
            <w:vAlign w:val="center"/>
            <w:hideMark/>
          </w:tcPr>
          <w:p w14:paraId="18F162F6" w14:textId="77777777" w:rsidR="00C916E6" w:rsidRPr="00AF3320" w:rsidRDefault="00C916E6" w:rsidP="00C916E6">
            <w:pPr>
              <w:spacing w:before="60" w:after="60"/>
              <w:jc w:val="center"/>
              <w:rPr>
                <w:rFonts w:cs="Segoe UI"/>
                <w:color w:val="000000"/>
                <w:sz w:val="18"/>
                <w:szCs w:val="18"/>
                <w:lang w:eastAsia="en-NZ"/>
              </w:rPr>
            </w:pPr>
            <w:r w:rsidRPr="00AF3320">
              <w:rPr>
                <w:rFonts w:cs="Segoe UI"/>
                <w:color w:val="000000"/>
                <w:sz w:val="18"/>
                <w:szCs w:val="18"/>
                <w:lang w:eastAsia="en-NZ"/>
              </w:rPr>
              <w:t>0</w:t>
            </w:r>
          </w:p>
        </w:tc>
        <w:tc>
          <w:tcPr>
            <w:tcW w:w="1143" w:type="dxa"/>
            <w:tcBorders>
              <w:top w:val="single" w:sz="4" w:space="0" w:color="A6A6A6" w:themeColor="background1" w:themeShade="A6"/>
              <w:bottom w:val="single" w:sz="4" w:space="0" w:color="A6A6A6" w:themeColor="background1" w:themeShade="A6"/>
            </w:tcBorders>
            <w:shd w:val="clear" w:color="auto" w:fill="FFFFFF" w:themeFill="background1"/>
            <w:vAlign w:val="center"/>
            <w:hideMark/>
          </w:tcPr>
          <w:p w14:paraId="7F6E3A80" w14:textId="77777777" w:rsidR="00C916E6" w:rsidRPr="00AF3320" w:rsidRDefault="00C916E6" w:rsidP="00C916E6">
            <w:pPr>
              <w:spacing w:before="60" w:after="60"/>
              <w:jc w:val="center"/>
              <w:rPr>
                <w:rFonts w:cs="Segoe UI"/>
                <w:color w:val="000000"/>
                <w:sz w:val="18"/>
                <w:szCs w:val="18"/>
                <w:lang w:eastAsia="en-NZ"/>
              </w:rPr>
            </w:pPr>
            <w:r w:rsidRPr="00AF3320">
              <w:rPr>
                <w:rFonts w:cs="Segoe UI"/>
                <w:color w:val="000000"/>
                <w:sz w:val="18"/>
                <w:szCs w:val="18"/>
                <w:lang w:eastAsia="en-NZ"/>
              </w:rPr>
              <w:t>0</w:t>
            </w:r>
          </w:p>
        </w:tc>
        <w:tc>
          <w:tcPr>
            <w:tcW w:w="1420" w:type="dxa"/>
            <w:tcBorders>
              <w:top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hideMark/>
          </w:tcPr>
          <w:p w14:paraId="42C7371D" w14:textId="77777777" w:rsidR="00C916E6" w:rsidRPr="00AF3320" w:rsidRDefault="00C916E6" w:rsidP="00C916E6">
            <w:pPr>
              <w:spacing w:before="60" w:after="60"/>
              <w:jc w:val="center"/>
              <w:rPr>
                <w:rFonts w:cs="Segoe UI"/>
                <w:color w:val="000000"/>
                <w:sz w:val="18"/>
                <w:szCs w:val="18"/>
                <w:lang w:eastAsia="en-NZ"/>
              </w:rPr>
            </w:pPr>
            <w:r>
              <w:rPr>
                <w:rFonts w:cs="Segoe UI"/>
                <w:color w:val="000000"/>
                <w:sz w:val="18"/>
                <w:szCs w:val="18"/>
                <w:lang w:eastAsia="en-NZ"/>
              </w:rPr>
              <w:t>–</w:t>
            </w:r>
          </w:p>
        </w:tc>
        <w:tc>
          <w:tcPr>
            <w:tcW w:w="1406" w:type="dxa"/>
            <w:tcBorders>
              <w:top w:val="single" w:sz="4" w:space="0" w:color="A6A6A6" w:themeColor="background1" w:themeShade="A6"/>
              <w:left w:val="single" w:sz="4" w:space="0" w:color="A6A6A6" w:themeColor="background1" w:themeShade="A6"/>
              <w:bottom w:val="single" w:sz="4" w:space="0" w:color="A6A6A6" w:themeColor="background1" w:themeShade="A6"/>
            </w:tcBorders>
            <w:shd w:val="clear" w:color="auto" w:fill="FFFFFF" w:themeFill="background1"/>
            <w:vAlign w:val="center"/>
            <w:hideMark/>
          </w:tcPr>
          <w:p w14:paraId="6F9A1BB0" w14:textId="77777777" w:rsidR="00C916E6" w:rsidRPr="00AF3320" w:rsidRDefault="00C916E6" w:rsidP="00C916E6">
            <w:pPr>
              <w:spacing w:before="60" w:after="60"/>
              <w:jc w:val="center"/>
              <w:rPr>
                <w:rFonts w:cs="Segoe UI"/>
                <w:color w:val="000000"/>
                <w:sz w:val="18"/>
                <w:szCs w:val="18"/>
                <w:lang w:eastAsia="en-NZ"/>
              </w:rPr>
            </w:pPr>
            <w:r w:rsidRPr="00AF3320">
              <w:rPr>
                <w:rFonts w:cs="Segoe UI"/>
                <w:color w:val="000000"/>
                <w:sz w:val="18"/>
                <w:szCs w:val="18"/>
                <w:lang w:eastAsia="en-NZ"/>
              </w:rPr>
              <w:t>No difference</w:t>
            </w:r>
          </w:p>
        </w:tc>
        <w:tc>
          <w:tcPr>
            <w:tcW w:w="1418" w:type="dxa"/>
            <w:tcBorders>
              <w:top w:val="single" w:sz="4" w:space="0" w:color="A6A6A6" w:themeColor="background1" w:themeShade="A6"/>
              <w:bottom w:val="single" w:sz="4" w:space="0" w:color="A6A6A6" w:themeColor="background1" w:themeShade="A6"/>
            </w:tcBorders>
            <w:shd w:val="clear" w:color="auto" w:fill="FFFFFF" w:themeFill="background1"/>
            <w:vAlign w:val="center"/>
            <w:hideMark/>
          </w:tcPr>
          <w:p w14:paraId="06252C12" w14:textId="77777777" w:rsidR="00C916E6" w:rsidRPr="00AF3320" w:rsidRDefault="00C916E6" w:rsidP="00C916E6">
            <w:pPr>
              <w:spacing w:before="60" w:after="60"/>
              <w:jc w:val="center"/>
              <w:rPr>
                <w:rFonts w:cs="Segoe UI"/>
                <w:color w:val="000000"/>
                <w:sz w:val="18"/>
                <w:szCs w:val="18"/>
                <w:lang w:eastAsia="en-NZ"/>
              </w:rPr>
            </w:pPr>
            <w:r w:rsidRPr="00AF3320">
              <w:rPr>
                <w:rFonts w:cs="Segoe UI"/>
                <w:color w:val="000000"/>
                <w:sz w:val="18"/>
                <w:szCs w:val="18"/>
                <w:lang w:eastAsia="en-NZ"/>
              </w:rPr>
              <w:t>No difference</w:t>
            </w:r>
          </w:p>
        </w:tc>
        <w:tc>
          <w:tcPr>
            <w:tcW w:w="1422" w:type="dxa"/>
            <w:tcBorders>
              <w:top w:val="single" w:sz="4" w:space="0" w:color="A6A6A6" w:themeColor="background1" w:themeShade="A6"/>
              <w:bottom w:val="single" w:sz="4" w:space="0" w:color="A6A6A6" w:themeColor="background1" w:themeShade="A6"/>
            </w:tcBorders>
            <w:shd w:val="clear" w:color="auto" w:fill="FFFFFF" w:themeFill="background1"/>
            <w:vAlign w:val="center"/>
            <w:hideMark/>
          </w:tcPr>
          <w:p w14:paraId="5B186F33" w14:textId="77777777" w:rsidR="00C916E6" w:rsidRPr="00AF3320" w:rsidRDefault="00C916E6" w:rsidP="00C916E6">
            <w:pPr>
              <w:spacing w:before="60" w:after="60"/>
              <w:jc w:val="center"/>
              <w:rPr>
                <w:rFonts w:cs="Segoe UI"/>
                <w:color w:val="000000"/>
                <w:sz w:val="18"/>
                <w:szCs w:val="18"/>
                <w:lang w:eastAsia="en-NZ"/>
              </w:rPr>
            </w:pPr>
            <w:r w:rsidRPr="00AF3320">
              <w:rPr>
                <w:rFonts w:cs="Segoe UI"/>
                <w:color w:val="000000"/>
                <w:sz w:val="18"/>
                <w:szCs w:val="18"/>
                <w:lang w:eastAsia="en-NZ"/>
              </w:rPr>
              <w:t>No difference</w:t>
            </w:r>
          </w:p>
        </w:tc>
      </w:tr>
      <w:tr w:rsidR="00C916E6" w:rsidRPr="009C66A8" w14:paraId="6E19C4B4" w14:textId="77777777" w:rsidTr="00535C2F">
        <w:trPr>
          <w:trHeight w:val="306"/>
        </w:trPr>
        <w:tc>
          <w:tcPr>
            <w:tcW w:w="1275" w:type="dxa"/>
            <w:tcBorders>
              <w:top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hideMark/>
          </w:tcPr>
          <w:p w14:paraId="61BB42C5" w14:textId="77777777" w:rsidR="00C916E6" w:rsidRPr="00AF3320" w:rsidRDefault="00C916E6" w:rsidP="00C916E6">
            <w:pPr>
              <w:spacing w:before="60" w:after="60"/>
              <w:rPr>
                <w:rFonts w:cs="Segoe UI"/>
                <w:color w:val="000000"/>
                <w:sz w:val="18"/>
                <w:szCs w:val="18"/>
                <w:lang w:eastAsia="en-NZ"/>
              </w:rPr>
            </w:pPr>
            <w:r w:rsidRPr="00AF3320">
              <w:rPr>
                <w:rFonts w:cs="Segoe UI"/>
                <w:color w:val="000000"/>
                <w:sz w:val="18"/>
                <w:szCs w:val="18"/>
                <w:lang w:eastAsia="en-NZ"/>
              </w:rPr>
              <w:t>Whanganui</w:t>
            </w:r>
          </w:p>
        </w:tc>
        <w:tc>
          <w:tcPr>
            <w:tcW w:w="1135" w:type="dxa"/>
            <w:tcBorders>
              <w:top w:val="single" w:sz="4" w:space="0" w:color="A6A6A6" w:themeColor="background1" w:themeShade="A6"/>
              <w:left w:val="single" w:sz="4" w:space="0" w:color="A6A6A6" w:themeColor="background1" w:themeShade="A6"/>
              <w:bottom w:val="single" w:sz="4" w:space="0" w:color="A6A6A6" w:themeColor="background1" w:themeShade="A6"/>
            </w:tcBorders>
            <w:shd w:val="clear" w:color="auto" w:fill="FFFFFF" w:themeFill="background1"/>
            <w:vAlign w:val="center"/>
            <w:hideMark/>
          </w:tcPr>
          <w:p w14:paraId="67FD695D" w14:textId="77777777" w:rsidR="00C916E6" w:rsidRPr="00AF3320" w:rsidRDefault="00C916E6" w:rsidP="00C916E6">
            <w:pPr>
              <w:spacing w:before="60" w:after="60"/>
              <w:jc w:val="center"/>
              <w:rPr>
                <w:rFonts w:cs="Segoe UI"/>
                <w:color w:val="000000"/>
                <w:sz w:val="18"/>
                <w:szCs w:val="18"/>
                <w:lang w:eastAsia="en-NZ"/>
              </w:rPr>
            </w:pPr>
            <w:r w:rsidRPr="00AF3320">
              <w:rPr>
                <w:rFonts w:cs="Segoe UI"/>
                <w:color w:val="000000"/>
                <w:sz w:val="18"/>
                <w:szCs w:val="18"/>
                <w:lang w:eastAsia="en-NZ"/>
              </w:rPr>
              <w:t>3</w:t>
            </w:r>
          </w:p>
        </w:tc>
        <w:tc>
          <w:tcPr>
            <w:tcW w:w="1143" w:type="dxa"/>
            <w:tcBorders>
              <w:top w:val="single" w:sz="4" w:space="0" w:color="A6A6A6" w:themeColor="background1" w:themeShade="A6"/>
              <w:bottom w:val="single" w:sz="4" w:space="0" w:color="A6A6A6" w:themeColor="background1" w:themeShade="A6"/>
            </w:tcBorders>
            <w:shd w:val="clear" w:color="auto" w:fill="FFFFFF" w:themeFill="background1"/>
            <w:vAlign w:val="center"/>
            <w:hideMark/>
          </w:tcPr>
          <w:p w14:paraId="7FC000E7" w14:textId="77777777" w:rsidR="00C916E6" w:rsidRPr="00AF3320" w:rsidRDefault="00C916E6" w:rsidP="00C916E6">
            <w:pPr>
              <w:spacing w:before="60" w:after="60"/>
              <w:jc w:val="center"/>
              <w:rPr>
                <w:rFonts w:cs="Segoe UI"/>
                <w:color w:val="000000"/>
                <w:sz w:val="18"/>
                <w:szCs w:val="18"/>
                <w:lang w:eastAsia="en-NZ"/>
              </w:rPr>
            </w:pPr>
            <w:r w:rsidRPr="00AF3320">
              <w:rPr>
                <w:rFonts w:cs="Segoe UI"/>
                <w:color w:val="000000"/>
                <w:sz w:val="18"/>
                <w:szCs w:val="18"/>
                <w:lang w:eastAsia="en-NZ"/>
              </w:rPr>
              <w:t>25</w:t>
            </w:r>
          </w:p>
        </w:tc>
        <w:tc>
          <w:tcPr>
            <w:tcW w:w="1420" w:type="dxa"/>
            <w:tcBorders>
              <w:top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hideMark/>
          </w:tcPr>
          <w:p w14:paraId="03EFA23F" w14:textId="77777777" w:rsidR="00C916E6" w:rsidRPr="00AF3320" w:rsidRDefault="00C916E6" w:rsidP="00C916E6">
            <w:pPr>
              <w:spacing w:before="60" w:after="60"/>
              <w:jc w:val="center"/>
              <w:rPr>
                <w:rFonts w:cs="Segoe UI"/>
                <w:color w:val="000000"/>
                <w:sz w:val="18"/>
                <w:szCs w:val="18"/>
                <w:lang w:eastAsia="en-NZ"/>
              </w:rPr>
            </w:pPr>
            <w:r w:rsidRPr="00AF3320">
              <w:rPr>
                <w:rFonts w:cs="Segoe UI"/>
                <w:color w:val="000000"/>
                <w:sz w:val="18"/>
                <w:szCs w:val="18"/>
                <w:lang w:eastAsia="en-NZ"/>
              </w:rPr>
              <w:t>8 (2</w:t>
            </w:r>
            <w:r>
              <w:rPr>
                <w:rFonts w:cs="Segoe UI"/>
                <w:color w:val="000000"/>
                <w:sz w:val="18"/>
                <w:szCs w:val="18"/>
                <w:lang w:eastAsia="en-NZ"/>
              </w:rPr>
              <w:t>–</w:t>
            </w:r>
            <w:r w:rsidRPr="00AF3320">
              <w:rPr>
                <w:rFonts w:cs="Segoe UI"/>
                <w:color w:val="000000"/>
                <w:sz w:val="18"/>
                <w:szCs w:val="18"/>
                <w:lang w:eastAsia="en-NZ"/>
              </w:rPr>
              <w:t>21)</w:t>
            </w:r>
          </w:p>
        </w:tc>
        <w:tc>
          <w:tcPr>
            <w:tcW w:w="1406" w:type="dxa"/>
            <w:tcBorders>
              <w:top w:val="single" w:sz="4" w:space="0" w:color="A6A6A6" w:themeColor="background1" w:themeShade="A6"/>
              <w:left w:val="single" w:sz="4" w:space="0" w:color="A6A6A6" w:themeColor="background1" w:themeShade="A6"/>
              <w:bottom w:val="single" w:sz="4" w:space="0" w:color="A6A6A6" w:themeColor="background1" w:themeShade="A6"/>
            </w:tcBorders>
            <w:shd w:val="clear" w:color="auto" w:fill="FFFFFF" w:themeFill="background1"/>
            <w:vAlign w:val="center"/>
            <w:hideMark/>
          </w:tcPr>
          <w:p w14:paraId="1B2FF5F9" w14:textId="77777777" w:rsidR="00C916E6" w:rsidRPr="00AF3320" w:rsidRDefault="00C916E6" w:rsidP="00C916E6">
            <w:pPr>
              <w:spacing w:before="60" w:after="60"/>
              <w:jc w:val="center"/>
              <w:rPr>
                <w:rFonts w:cs="Segoe UI"/>
                <w:color w:val="000000"/>
                <w:sz w:val="18"/>
                <w:szCs w:val="18"/>
                <w:lang w:eastAsia="en-NZ"/>
              </w:rPr>
            </w:pPr>
            <w:r w:rsidRPr="00AF3320">
              <w:rPr>
                <w:rFonts w:cs="Segoe UI"/>
                <w:color w:val="000000"/>
                <w:sz w:val="18"/>
                <w:szCs w:val="18"/>
                <w:lang w:eastAsia="en-NZ"/>
              </w:rPr>
              <w:t>No difference</w:t>
            </w:r>
          </w:p>
        </w:tc>
        <w:tc>
          <w:tcPr>
            <w:tcW w:w="1418" w:type="dxa"/>
            <w:tcBorders>
              <w:top w:val="single" w:sz="4" w:space="0" w:color="A6A6A6" w:themeColor="background1" w:themeShade="A6"/>
              <w:bottom w:val="single" w:sz="4" w:space="0" w:color="A6A6A6" w:themeColor="background1" w:themeShade="A6"/>
            </w:tcBorders>
            <w:shd w:val="clear" w:color="auto" w:fill="FFFFFF" w:themeFill="background1"/>
            <w:vAlign w:val="center"/>
            <w:hideMark/>
          </w:tcPr>
          <w:p w14:paraId="19FC15F2" w14:textId="77777777" w:rsidR="00C916E6" w:rsidRPr="00AF3320" w:rsidRDefault="00C916E6" w:rsidP="00C916E6">
            <w:pPr>
              <w:spacing w:before="60" w:after="60"/>
              <w:jc w:val="center"/>
              <w:rPr>
                <w:rFonts w:cs="Segoe UI"/>
                <w:color w:val="000000"/>
                <w:sz w:val="18"/>
                <w:szCs w:val="18"/>
                <w:lang w:eastAsia="en-NZ"/>
              </w:rPr>
            </w:pPr>
            <w:r w:rsidRPr="00AF3320">
              <w:rPr>
                <w:rFonts w:cs="Segoe UI"/>
                <w:color w:val="000000"/>
                <w:sz w:val="18"/>
                <w:szCs w:val="18"/>
                <w:lang w:eastAsia="en-NZ"/>
              </w:rPr>
              <w:t>No difference</w:t>
            </w:r>
          </w:p>
        </w:tc>
        <w:tc>
          <w:tcPr>
            <w:tcW w:w="1422" w:type="dxa"/>
            <w:tcBorders>
              <w:top w:val="single" w:sz="4" w:space="0" w:color="A6A6A6" w:themeColor="background1" w:themeShade="A6"/>
              <w:bottom w:val="single" w:sz="4" w:space="0" w:color="A6A6A6" w:themeColor="background1" w:themeShade="A6"/>
            </w:tcBorders>
            <w:shd w:val="clear" w:color="auto" w:fill="FFFFFF" w:themeFill="background1"/>
            <w:vAlign w:val="center"/>
            <w:hideMark/>
          </w:tcPr>
          <w:p w14:paraId="76E29923" w14:textId="77777777" w:rsidR="00C916E6" w:rsidRPr="00AF3320" w:rsidRDefault="00C916E6" w:rsidP="00C916E6">
            <w:pPr>
              <w:spacing w:before="60" w:after="60"/>
              <w:jc w:val="center"/>
              <w:rPr>
                <w:rFonts w:cs="Segoe UI"/>
                <w:color w:val="000000"/>
                <w:sz w:val="18"/>
                <w:szCs w:val="18"/>
                <w:lang w:eastAsia="en-NZ"/>
              </w:rPr>
            </w:pPr>
            <w:r w:rsidRPr="00AF3320">
              <w:rPr>
                <w:rFonts w:cs="Segoe UI"/>
                <w:color w:val="000000"/>
                <w:sz w:val="18"/>
                <w:szCs w:val="18"/>
                <w:lang w:eastAsia="en-NZ"/>
              </w:rPr>
              <w:t>No difference</w:t>
            </w:r>
          </w:p>
        </w:tc>
      </w:tr>
      <w:tr w:rsidR="00C916E6" w:rsidRPr="009C66A8" w14:paraId="0A9B2BB5" w14:textId="77777777" w:rsidTr="00535C2F">
        <w:trPr>
          <w:trHeight w:val="306"/>
        </w:trPr>
        <w:tc>
          <w:tcPr>
            <w:tcW w:w="1275" w:type="dxa"/>
            <w:tcBorders>
              <w:top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hideMark/>
          </w:tcPr>
          <w:p w14:paraId="6D9C2A4B" w14:textId="77777777" w:rsidR="00C916E6" w:rsidRPr="00AF3320" w:rsidRDefault="00C916E6" w:rsidP="00C916E6">
            <w:pPr>
              <w:spacing w:before="60" w:after="60"/>
              <w:rPr>
                <w:rFonts w:cs="Segoe UI"/>
                <w:b/>
                <w:bCs/>
                <w:color w:val="000000"/>
                <w:sz w:val="18"/>
                <w:szCs w:val="18"/>
                <w:lang w:eastAsia="en-NZ"/>
              </w:rPr>
            </w:pPr>
            <w:r w:rsidRPr="00AF3320">
              <w:rPr>
                <w:rFonts w:cs="Segoe UI"/>
                <w:b/>
                <w:bCs/>
                <w:color w:val="000000"/>
                <w:sz w:val="18"/>
                <w:szCs w:val="18"/>
                <w:lang w:eastAsia="en-NZ"/>
              </w:rPr>
              <w:t>National</w:t>
            </w:r>
            <w:r>
              <w:rPr>
                <w:rFonts w:cs="Segoe UI"/>
                <w:b/>
                <w:bCs/>
                <w:color w:val="000000"/>
                <w:sz w:val="18"/>
                <w:szCs w:val="18"/>
                <w:lang w:eastAsia="en-NZ"/>
              </w:rPr>
              <w:t>ly</w:t>
            </w:r>
            <w:r w:rsidRPr="00AF3320">
              <w:rPr>
                <w:rFonts w:cs="Segoe UI"/>
                <w:b/>
                <w:bCs/>
                <w:color w:val="000000"/>
                <w:sz w:val="18"/>
                <w:szCs w:val="18"/>
                <w:lang w:eastAsia="en-NZ"/>
              </w:rPr>
              <w:t xml:space="preserve"> </w:t>
            </w:r>
          </w:p>
        </w:tc>
        <w:tc>
          <w:tcPr>
            <w:tcW w:w="1135" w:type="dxa"/>
            <w:tcBorders>
              <w:top w:val="single" w:sz="4" w:space="0" w:color="A6A6A6" w:themeColor="background1" w:themeShade="A6"/>
              <w:left w:val="single" w:sz="4" w:space="0" w:color="A6A6A6" w:themeColor="background1" w:themeShade="A6"/>
              <w:bottom w:val="single" w:sz="4" w:space="0" w:color="A6A6A6" w:themeColor="background1" w:themeShade="A6"/>
            </w:tcBorders>
            <w:shd w:val="clear" w:color="auto" w:fill="FFFFFF" w:themeFill="background1"/>
            <w:vAlign w:val="center"/>
            <w:hideMark/>
          </w:tcPr>
          <w:p w14:paraId="1B0F77A9" w14:textId="77777777" w:rsidR="00C916E6" w:rsidRPr="00AF3320" w:rsidRDefault="00C916E6" w:rsidP="00C916E6">
            <w:pPr>
              <w:spacing w:before="60" w:after="60"/>
              <w:jc w:val="center"/>
              <w:rPr>
                <w:rFonts w:cs="Segoe UI"/>
                <w:b/>
                <w:bCs/>
                <w:color w:val="000000"/>
                <w:sz w:val="18"/>
                <w:szCs w:val="18"/>
                <w:lang w:eastAsia="en-NZ"/>
              </w:rPr>
            </w:pPr>
            <w:r w:rsidRPr="00AF3320">
              <w:rPr>
                <w:rFonts w:cs="Segoe UI"/>
                <w:b/>
                <w:bCs/>
                <w:color w:val="000000"/>
                <w:sz w:val="18"/>
                <w:szCs w:val="18"/>
                <w:lang w:eastAsia="en-NZ"/>
              </w:rPr>
              <w:t>265</w:t>
            </w:r>
          </w:p>
        </w:tc>
        <w:tc>
          <w:tcPr>
            <w:tcW w:w="1143" w:type="dxa"/>
            <w:tcBorders>
              <w:top w:val="single" w:sz="4" w:space="0" w:color="A6A6A6" w:themeColor="background1" w:themeShade="A6"/>
              <w:bottom w:val="single" w:sz="4" w:space="0" w:color="A6A6A6" w:themeColor="background1" w:themeShade="A6"/>
            </w:tcBorders>
            <w:shd w:val="clear" w:color="auto" w:fill="FFFFFF" w:themeFill="background1"/>
            <w:vAlign w:val="center"/>
            <w:hideMark/>
          </w:tcPr>
          <w:p w14:paraId="3B6E3DF9" w14:textId="77777777" w:rsidR="00C916E6" w:rsidRPr="00AF3320" w:rsidRDefault="00C916E6" w:rsidP="00C916E6">
            <w:pPr>
              <w:spacing w:before="60" w:after="60"/>
              <w:jc w:val="center"/>
              <w:rPr>
                <w:rFonts w:cs="Segoe UI"/>
                <w:b/>
                <w:bCs/>
                <w:color w:val="000000"/>
                <w:sz w:val="18"/>
                <w:szCs w:val="18"/>
                <w:lang w:eastAsia="en-NZ"/>
              </w:rPr>
            </w:pPr>
            <w:r w:rsidRPr="00AF3320">
              <w:rPr>
                <w:rFonts w:cs="Segoe UI"/>
                <w:b/>
                <w:bCs/>
                <w:color w:val="000000"/>
                <w:sz w:val="18"/>
                <w:szCs w:val="18"/>
                <w:lang w:eastAsia="en-NZ"/>
              </w:rPr>
              <w:t>3087</w:t>
            </w:r>
          </w:p>
        </w:tc>
        <w:tc>
          <w:tcPr>
            <w:tcW w:w="1420" w:type="dxa"/>
            <w:tcBorders>
              <w:top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hideMark/>
          </w:tcPr>
          <w:p w14:paraId="0F4C6069" w14:textId="77777777" w:rsidR="00C916E6" w:rsidRPr="00AF3320" w:rsidRDefault="00C916E6" w:rsidP="00C916E6">
            <w:pPr>
              <w:spacing w:before="60" w:after="60"/>
              <w:jc w:val="center"/>
              <w:rPr>
                <w:rFonts w:cs="Segoe UI"/>
                <w:b/>
                <w:bCs/>
                <w:color w:val="000000"/>
                <w:sz w:val="18"/>
                <w:szCs w:val="18"/>
                <w:lang w:eastAsia="en-NZ"/>
              </w:rPr>
            </w:pPr>
            <w:r w:rsidRPr="00AF3320">
              <w:rPr>
                <w:rFonts w:cs="Segoe UI"/>
                <w:b/>
                <w:bCs/>
                <w:color w:val="000000"/>
                <w:sz w:val="18"/>
                <w:szCs w:val="18"/>
                <w:lang w:eastAsia="en-NZ"/>
              </w:rPr>
              <w:t>12 (1</w:t>
            </w:r>
            <w:r>
              <w:rPr>
                <w:rFonts w:cs="Segoe UI"/>
                <w:b/>
                <w:bCs/>
                <w:color w:val="000000"/>
                <w:sz w:val="18"/>
                <w:szCs w:val="18"/>
                <w:lang w:eastAsia="en-NZ"/>
              </w:rPr>
              <w:t>–</w:t>
            </w:r>
            <w:r w:rsidRPr="00AF3320">
              <w:rPr>
                <w:rFonts w:cs="Segoe UI"/>
                <w:b/>
                <w:bCs/>
                <w:color w:val="000000"/>
                <w:sz w:val="18"/>
                <w:szCs w:val="18"/>
                <w:lang w:eastAsia="en-NZ"/>
              </w:rPr>
              <w:t>63)</w:t>
            </w:r>
          </w:p>
        </w:tc>
        <w:tc>
          <w:tcPr>
            <w:tcW w:w="1406" w:type="dxa"/>
            <w:tcBorders>
              <w:top w:val="single" w:sz="4" w:space="0" w:color="A6A6A6" w:themeColor="background1" w:themeShade="A6"/>
              <w:left w:val="single" w:sz="4" w:space="0" w:color="A6A6A6" w:themeColor="background1" w:themeShade="A6"/>
              <w:bottom w:val="single" w:sz="4" w:space="0" w:color="A6A6A6" w:themeColor="background1" w:themeShade="A6"/>
            </w:tcBorders>
            <w:shd w:val="clear" w:color="auto" w:fill="auto"/>
            <w:vAlign w:val="center"/>
            <w:hideMark/>
          </w:tcPr>
          <w:p w14:paraId="001B65A7" w14:textId="77777777" w:rsidR="00C916E6" w:rsidRPr="00AF3320" w:rsidRDefault="00C916E6" w:rsidP="00C916E6">
            <w:pPr>
              <w:spacing w:before="60" w:after="60"/>
              <w:jc w:val="center"/>
              <w:rPr>
                <w:rFonts w:cs="Segoe UI"/>
                <w:b/>
                <w:bCs/>
                <w:sz w:val="18"/>
                <w:szCs w:val="18"/>
                <w:lang w:eastAsia="en-NZ"/>
              </w:rPr>
            </w:pPr>
            <w:r w:rsidRPr="00AF3320">
              <w:rPr>
                <w:rFonts w:cs="Segoe UI"/>
                <w:b/>
                <w:bCs/>
                <w:sz w:val="18"/>
                <w:szCs w:val="18"/>
                <w:lang w:eastAsia="en-NZ"/>
              </w:rPr>
              <w:t>256</w:t>
            </w:r>
          </w:p>
        </w:tc>
        <w:tc>
          <w:tcPr>
            <w:tcW w:w="1418" w:type="dxa"/>
            <w:tcBorders>
              <w:top w:val="single" w:sz="4" w:space="0" w:color="A6A6A6" w:themeColor="background1" w:themeShade="A6"/>
              <w:bottom w:val="single" w:sz="4" w:space="0" w:color="A6A6A6" w:themeColor="background1" w:themeShade="A6"/>
            </w:tcBorders>
            <w:shd w:val="clear" w:color="auto" w:fill="auto"/>
            <w:vAlign w:val="center"/>
            <w:hideMark/>
          </w:tcPr>
          <w:p w14:paraId="3617726A" w14:textId="77777777" w:rsidR="00C916E6" w:rsidRPr="00AF3320" w:rsidRDefault="00C916E6" w:rsidP="00C916E6">
            <w:pPr>
              <w:spacing w:before="60" w:after="60"/>
              <w:jc w:val="center"/>
              <w:rPr>
                <w:rFonts w:cs="Segoe UI"/>
                <w:b/>
                <w:bCs/>
                <w:sz w:val="18"/>
                <w:szCs w:val="18"/>
                <w:lang w:eastAsia="en-NZ"/>
              </w:rPr>
            </w:pPr>
            <w:r w:rsidRPr="00AF3320">
              <w:rPr>
                <w:rFonts w:cs="Segoe UI"/>
                <w:b/>
                <w:bCs/>
                <w:sz w:val="18"/>
                <w:szCs w:val="18"/>
                <w:lang w:eastAsia="en-NZ"/>
              </w:rPr>
              <w:t>3</w:t>
            </w:r>
            <w:r>
              <w:rPr>
                <w:rFonts w:cs="Segoe UI"/>
                <w:b/>
                <w:bCs/>
                <w:sz w:val="18"/>
                <w:szCs w:val="18"/>
                <w:lang w:eastAsia="en-NZ"/>
              </w:rPr>
              <w:t>,</w:t>
            </w:r>
            <w:r w:rsidRPr="00AF3320">
              <w:rPr>
                <w:rFonts w:cs="Segoe UI"/>
                <w:b/>
                <w:bCs/>
                <w:sz w:val="18"/>
                <w:szCs w:val="18"/>
                <w:lang w:eastAsia="en-NZ"/>
              </w:rPr>
              <w:t>002</w:t>
            </w:r>
          </w:p>
        </w:tc>
        <w:tc>
          <w:tcPr>
            <w:tcW w:w="1422" w:type="dxa"/>
            <w:tcBorders>
              <w:top w:val="single" w:sz="4" w:space="0" w:color="A6A6A6" w:themeColor="background1" w:themeShade="A6"/>
              <w:bottom w:val="single" w:sz="4" w:space="0" w:color="A6A6A6" w:themeColor="background1" w:themeShade="A6"/>
            </w:tcBorders>
            <w:shd w:val="clear" w:color="auto" w:fill="FFFFFF" w:themeFill="background1"/>
            <w:vAlign w:val="center"/>
            <w:hideMark/>
          </w:tcPr>
          <w:p w14:paraId="3C8D0F92" w14:textId="77777777" w:rsidR="00C916E6" w:rsidRPr="00AF3320" w:rsidRDefault="00C916E6" w:rsidP="00C916E6">
            <w:pPr>
              <w:spacing w:before="60" w:after="60"/>
              <w:jc w:val="center"/>
              <w:rPr>
                <w:rFonts w:cs="Segoe UI"/>
                <w:color w:val="000000"/>
                <w:sz w:val="18"/>
                <w:szCs w:val="18"/>
                <w:lang w:eastAsia="en-NZ"/>
              </w:rPr>
            </w:pPr>
            <w:r w:rsidRPr="00AF3320">
              <w:rPr>
                <w:rFonts w:cs="Segoe UI"/>
                <w:color w:val="000000"/>
                <w:sz w:val="18"/>
                <w:szCs w:val="18"/>
                <w:lang w:eastAsia="en-NZ"/>
              </w:rPr>
              <w:t>No difference</w:t>
            </w:r>
          </w:p>
        </w:tc>
      </w:tr>
    </w:tbl>
    <w:p w14:paraId="7DE88628" w14:textId="77777777" w:rsidR="00C916E6" w:rsidRDefault="00C916E6" w:rsidP="00C916E6">
      <w:pPr>
        <w:spacing w:before="80"/>
      </w:pPr>
      <w:r w:rsidRPr="00AF3320">
        <w:rPr>
          <w:sz w:val="17"/>
        </w:rPr>
        <w:t>Source</w:t>
      </w:r>
      <w:r>
        <w:rPr>
          <w:sz w:val="17"/>
        </w:rPr>
        <w:t>s</w:t>
      </w:r>
      <w:r w:rsidRPr="00AF3320">
        <w:rPr>
          <w:sz w:val="17"/>
        </w:rPr>
        <w:t>: PRIMHD data (extracted 16 May 2023) and manual data from Northland and MidCentral DHBs.</w:t>
      </w:r>
    </w:p>
    <w:p w14:paraId="30394CDF" w14:textId="13B82392" w:rsidR="00E96DD0" w:rsidRPr="00E96DD0" w:rsidRDefault="00E96DD0" w:rsidP="00E96DD0"/>
    <w:p w14:paraId="5D6B0BF4" w14:textId="77777777" w:rsidR="00E96DD0" w:rsidRPr="00E96DD0" w:rsidRDefault="00E96DD0" w:rsidP="00E96DD0"/>
    <w:p w14:paraId="28235804" w14:textId="09062695" w:rsidR="009A42D5" w:rsidRDefault="009A42D5" w:rsidP="00535C2F">
      <w:pPr>
        <w:spacing w:after="160" w:line="259" w:lineRule="auto"/>
      </w:pPr>
    </w:p>
    <w:sectPr w:rsidR="009A42D5" w:rsidSect="00753A1F">
      <w:pgSz w:w="11907" w:h="16834" w:code="9"/>
      <w:pgMar w:top="1418" w:right="1701" w:bottom="1134" w:left="1843" w:header="284" w:footer="425" w:gutter="284"/>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58E3FD" w14:textId="77777777" w:rsidR="00535C2F" w:rsidRDefault="00535C2F">
      <w:r>
        <w:separator/>
      </w:r>
    </w:p>
    <w:p w14:paraId="5A2F4FA7" w14:textId="77777777" w:rsidR="00535C2F" w:rsidRDefault="00535C2F"/>
  </w:endnote>
  <w:endnote w:type="continuationSeparator" w:id="0">
    <w:p w14:paraId="4746D51E" w14:textId="77777777" w:rsidR="00535C2F" w:rsidRDefault="00535C2F">
      <w:r>
        <w:continuationSeparator/>
      </w:r>
    </w:p>
    <w:p w14:paraId="036AC9ED" w14:textId="77777777" w:rsidR="00535C2F" w:rsidRDefault="00535C2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00"/>
    <w:family w:val="swiss"/>
    <w:pitch w:val="variable"/>
    <w:sig w:usb0="80000AFF" w:usb1="0000396B" w:usb2="00000000" w:usb3="00000000" w:csb0="000000BF" w:csb1="00000000"/>
  </w:font>
  <w:font w:name="Arial Mäori">
    <w:altName w:val="Arial"/>
    <w:panose1 w:val="00000000000000000000"/>
    <w:charset w:val="00"/>
    <w:family w:val="swiss"/>
    <w:notTrueType/>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emibold">
    <w:panose1 w:val="020B0702040204020203"/>
    <w:charset w:val="00"/>
    <w:family w:val="swiss"/>
    <w:pitch w:val="variable"/>
    <w:sig w:usb0="E4002EFF" w:usb1="C000E47F" w:usb2="00000009" w:usb3="00000000" w:csb0="000001FF" w:csb1="00000000"/>
  </w:font>
  <w:font w:name="Segoe UI Black">
    <w:panose1 w:val="020B0A02040204020203"/>
    <w:charset w:val="00"/>
    <w:family w:val="swiss"/>
    <w:pitch w:val="variable"/>
    <w:sig w:usb0="E00002FF" w:usb1="4000E47F" w:usb2="00000021" w:usb3="00000000" w:csb0="0000019F" w:csb1="00000000"/>
  </w:font>
  <w:font w:name="Georgia">
    <w:panose1 w:val="02040502050405020303"/>
    <w:charset w:val="00"/>
    <w:family w:val="roman"/>
    <w:pitch w:val="variable"/>
    <w:sig w:usb0="00000287" w:usb1="00000000" w:usb2="00000000" w:usb3="00000000" w:csb0="0000009F" w:csb1="00000000"/>
  </w:font>
  <w:font w:name="Segoe UI Light">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F18357" w14:textId="06DF15E9" w:rsidR="00535C2F" w:rsidRPr="00581136" w:rsidRDefault="00535C2F" w:rsidP="005A79E5">
    <w:pPr>
      <w:pStyle w:val="Footer"/>
      <w:pBdr>
        <w:bottom w:val="single" w:sz="4" w:space="1" w:color="auto"/>
      </w:pBdr>
      <w:tabs>
        <w:tab w:val="right" w:pos="9639"/>
      </w:tabs>
      <w:rPr>
        <w:b/>
      </w:rPr>
    </w:pPr>
    <w:r w:rsidRPr="00581136">
      <w:rPr>
        <w:b/>
      </w:rPr>
      <w:t>Released 20</w:t>
    </w:r>
    <w:r>
      <w:rPr>
        <w:b/>
      </w:rPr>
      <w:t>25</w:t>
    </w:r>
    <w:r w:rsidRPr="00581136">
      <w:rPr>
        <w:b/>
      </w:rPr>
      <w:tab/>
      <w:t>health.govt.nz</w:t>
    </w:r>
  </w:p>
  <w:p w14:paraId="524869F6" w14:textId="77777777" w:rsidR="00535C2F" w:rsidRPr="005A79E5" w:rsidRDefault="00535C2F">
    <w:pPr>
      <w:pStyle w:val="Footer"/>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ADDA70" w14:textId="77777777" w:rsidR="00535C2F" w:rsidRDefault="00535C2F" w:rsidP="004D6689">
    <w:pPr>
      <w:pStyle w:val="Footer"/>
      <w:ind w:right="360"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CB0E96" w14:textId="77777777" w:rsidR="00535C2F" w:rsidRDefault="00535C2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8789"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09"/>
      <w:gridCol w:w="8080"/>
    </w:tblGrid>
    <w:tr w:rsidR="00535C2F" w14:paraId="4C3A3BF7" w14:textId="77777777" w:rsidTr="00D662F8">
      <w:trPr>
        <w:cantSplit/>
      </w:trPr>
      <w:tc>
        <w:tcPr>
          <w:tcW w:w="709" w:type="dxa"/>
          <w:vAlign w:val="center"/>
        </w:tcPr>
        <w:p w14:paraId="28F87ED7" w14:textId="77777777" w:rsidR="00535C2F" w:rsidRPr="00931466" w:rsidRDefault="00535C2F" w:rsidP="0043478F">
          <w:pPr>
            <w:pStyle w:val="Footer"/>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vi</w:t>
          </w:r>
          <w:r w:rsidRPr="00931466">
            <w:rPr>
              <w:rStyle w:val="PageNumber"/>
            </w:rPr>
            <w:fldChar w:fldCharType="end"/>
          </w:r>
        </w:p>
      </w:tc>
      <w:tc>
        <w:tcPr>
          <w:tcW w:w="8080" w:type="dxa"/>
          <w:vAlign w:val="center"/>
        </w:tcPr>
        <w:p w14:paraId="6026D159" w14:textId="024F2E77" w:rsidR="00535C2F" w:rsidRDefault="00535C2F" w:rsidP="00926083">
          <w:pPr>
            <w:pStyle w:val="RectoFooter"/>
            <w:jc w:val="left"/>
          </w:pPr>
          <w:r w:rsidRPr="00753A1F">
            <w:t xml:space="preserve">Office of the Director of Mental Health and Addiction Services: </w:t>
          </w:r>
          <w:r>
            <w:br/>
          </w:r>
          <w:r w:rsidRPr="00753A1F">
            <w:t>Regulatory Report 1 July 2022 to 30 June 2023</w:t>
          </w:r>
        </w:p>
      </w:tc>
    </w:tr>
  </w:tbl>
  <w:p w14:paraId="711B5D80" w14:textId="77777777" w:rsidR="00535C2F" w:rsidRPr="00571223" w:rsidRDefault="00535C2F" w:rsidP="00571223">
    <w:pPr>
      <w:pStyle w:val="VersoFooter"/>
      <w:rPr>
        <w:sz w:val="2"/>
        <w:szCs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080"/>
      <w:gridCol w:w="709"/>
    </w:tblGrid>
    <w:tr w:rsidR="00535C2F" w14:paraId="00C01A13" w14:textId="77777777" w:rsidTr="00497F1D">
      <w:trPr>
        <w:cantSplit/>
      </w:trPr>
      <w:tc>
        <w:tcPr>
          <w:tcW w:w="8080" w:type="dxa"/>
          <w:vAlign w:val="center"/>
        </w:tcPr>
        <w:p w14:paraId="774CAAB4" w14:textId="77777777" w:rsidR="00535C2F" w:rsidRDefault="00535C2F" w:rsidP="00753A1F">
          <w:pPr>
            <w:pStyle w:val="RectoFooter"/>
          </w:pPr>
          <w:r w:rsidRPr="00753A1F">
            <w:t xml:space="preserve">Office of the Director of Mental Health and Addiction Services: </w:t>
          </w:r>
          <w:r>
            <w:br/>
          </w:r>
          <w:r w:rsidRPr="00753A1F">
            <w:t>Regulatory Report 1 July 2022 to 30 June 2023</w:t>
          </w:r>
        </w:p>
      </w:tc>
      <w:tc>
        <w:tcPr>
          <w:tcW w:w="709" w:type="dxa"/>
          <w:vAlign w:val="center"/>
        </w:tcPr>
        <w:p w14:paraId="533DB11A" w14:textId="77777777" w:rsidR="00535C2F" w:rsidRPr="00931466" w:rsidRDefault="00535C2F" w:rsidP="00753A1F">
          <w:pPr>
            <w:pStyle w:val="Footer"/>
            <w:jc w:val="right"/>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iii</w:t>
          </w:r>
          <w:r w:rsidRPr="00931466">
            <w:rPr>
              <w:rStyle w:val="PageNumber"/>
            </w:rPr>
            <w:fldChar w:fldCharType="end"/>
          </w:r>
        </w:p>
      </w:tc>
    </w:tr>
  </w:tbl>
  <w:p w14:paraId="27602107" w14:textId="77777777" w:rsidR="00535C2F" w:rsidRPr="00581EB8" w:rsidRDefault="00535C2F" w:rsidP="00581EB8">
    <w:pPr>
      <w:pStyle w:val="Footer"/>
      <w:rPr>
        <w:sz w:val="2"/>
        <w:szCs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747"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75"/>
      <w:gridCol w:w="9072"/>
    </w:tblGrid>
    <w:tr w:rsidR="00535C2F" w14:paraId="7E34FA6B" w14:textId="77777777" w:rsidTr="00D662F8">
      <w:trPr>
        <w:cantSplit/>
      </w:trPr>
      <w:tc>
        <w:tcPr>
          <w:tcW w:w="675" w:type="dxa"/>
          <w:vAlign w:val="center"/>
        </w:tcPr>
        <w:p w14:paraId="6281C317" w14:textId="77777777" w:rsidR="00535C2F" w:rsidRPr="00931466" w:rsidRDefault="00535C2F" w:rsidP="0043478F">
          <w:pPr>
            <w:pStyle w:val="Footer"/>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2</w:t>
          </w:r>
          <w:r w:rsidRPr="00931466">
            <w:rPr>
              <w:rStyle w:val="PageNumber"/>
            </w:rPr>
            <w:fldChar w:fldCharType="end"/>
          </w:r>
        </w:p>
      </w:tc>
      <w:tc>
        <w:tcPr>
          <w:tcW w:w="9072" w:type="dxa"/>
          <w:vAlign w:val="center"/>
        </w:tcPr>
        <w:p w14:paraId="27262A64" w14:textId="26C85001" w:rsidR="00535C2F" w:rsidRDefault="00535C2F" w:rsidP="000D58DD">
          <w:pPr>
            <w:pStyle w:val="RectoFooter"/>
            <w:jc w:val="left"/>
          </w:pPr>
          <w:r w:rsidRPr="00753A1F">
            <w:t xml:space="preserve">Office of the Director of Mental Health and Addiction Services: </w:t>
          </w:r>
          <w:r>
            <w:br/>
          </w:r>
          <w:r w:rsidRPr="00753A1F">
            <w:t>Regulatory Report 1 July 2022 to 30 June 2023</w:t>
          </w:r>
        </w:p>
      </w:tc>
    </w:tr>
  </w:tbl>
  <w:p w14:paraId="5177CEA2" w14:textId="77777777" w:rsidR="00535C2F" w:rsidRPr="00571223" w:rsidRDefault="00535C2F" w:rsidP="00571223">
    <w:pPr>
      <w:pStyle w:val="VersoFooter"/>
      <w:rPr>
        <w:sz w:val="2"/>
        <w:szCs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080"/>
      <w:gridCol w:w="709"/>
    </w:tblGrid>
    <w:tr w:rsidR="00535C2F" w14:paraId="47337729" w14:textId="77777777" w:rsidTr="00D662F8">
      <w:trPr>
        <w:cantSplit/>
      </w:trPr>
      <w:tc>
        <w:tcPr>
          <w:tcW w:w="8080" w:type="dxa"/>
          <w:vAlign w:val="center"/>
        </w:tcPr>
        <w:p w14:paraId="1A33CBD1" w14:textId="2E37D0D5" w:rsidR="00535C2F" w:rsidRDefault="00535C2F" w:rsidP="00931466">
          <w:pPr>
            <w:pStyle w:val="RectoFooter"/>
          </w:pPr>
          <w:r w:rsidRPr="00753A1F">
            <w:t xml:space="preserve">Office of the Director of Mental Health and Addiction Services: </w:t>
          </w:r>
          <w:r>
            <w:br/>
          </w:r>
          <w:r w:rsidRPr="00753A1F">
            <w:t>Regulatory Report 1 July 2022 to 30 June 2023</w:t>
          </w:r>
        </w:p>
      </w:tc>
      <w:tc>
        <w:tcPr>
          <w:tcW w:w="709" w:type="dxa"/>
          <w:vAlign w:val="center"/>
        </w:tcPr>
        <w:p w14:paraId="501EC334" w14:textId="77777777" w:rsidR="00535C2F" w:rsidRPr="00931466" w:rsidRDefault="00535C2F" w:rsidP="00931466">
          <w:pPr>
            <w:pStyle w:val="Footer"/>
            <w:jc w:val="right"/>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1</w:t>
          </w:r>
          <w:r w:rsidRPr="00931466">
            <w:rPr>
              <w:rStyle w:val="PageNumber"/>
            </w:rPr>
            <w:fldChar w:fldCharType="end"/>
          </w:r>
        </w:p>
      </w:tc>
    </w:tr>
  </w:tbl>
  <w:p w14:paraId="1C6F2E7F" w14:textId="77777777" w:rsidR="00535C2F" w:rsidRPr="00581EB8" w:rsidRDefault="00535C2F" w:rsidP="00581EB8">
    <w:pPr>
      <w:pStyle w:val="Foote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1C0BA6" w14:textId="77777777" w:rsidR="00535C2F" w:rsidRPr="00A26E6B" w:rsidRDefault="00535C2F" w:rsidP="00A26E6B"/>
  </w:footnote>
  <w:footnote w:type="continuationSeparator" w:id="0">
    <w:p w14:paraId="050712D3" w14:textId="77777777" w:rsidR="00535C2F" w:rsidRDefault="00535C2F">
      <w:r>
        <w:continuationSeparator/>
      </w:r>
    </w:p>
    <w:p w14:paraId="7B69CA38" w14:textId="77777777" w:rsidR="00535C2F" w:rsidRDefault="00535C2F"/>
  </w:footnote>
  <w:footnote w:id="1">
    <w:p w14:paraId="0F0BE48D" w14:textId="77777777" w:rsidR="00535C2F" w:rsidRDefault="00535C2F" w:rsidP="00753A1F">
      <w:pPr>
        <w:pStyle w:val="FootnoteText"/>
      </w:pPr>
      <w:r>
        <w:rPr>
          <w:rStyle w:val="FootnoteReference"/>
        </w:rPr>
        <w:footnoteRef/>
      </w:r>
      <w:r>
        <w:t xml:space="preserve"> Ministry of Health. 2023. </w:t>
      </w:r>
      <w:r w:rsidRPr="006E6DAE">
        <w:rPr>
          <w:i/>
          <w:iCs/>
        </w:rPr>
        <w:t>Guidelines for Reducing and Eliminating Seclusion and Restraint Under the Mental Health (Compulsory Assessment and Treatment) Act 1992</w:t>
      </w:r>
      <w:r>
        <w:t>. Wellington: Ministry of Health.</w:t>
      </w:r>
    </w:p>
  </w:footnote>
  <w:footnote w:id="2">
    <w:p w14:paraId="564BAE2B" w14:textId="77777777" w:rsidR="00535C2F" w:rsidRPr="002F22A8" w:rsidRDefault="00535C2F" w:rsidP="00753A1F">
      <w:pPr>
        <w:pStyle w:val="FootnoteText"/>
      </w:pPr>
      <w:r>
        <w:rPr>
          <w:rStyle w:val="FootnoteReference"/>
        </w:rPr>
        <w:footnoteRef/>
      </w:r>
      <w:r>
        <w:t xml:space="preserve"> Government Inquiry into Mental Health and Addiction. 2018. </w:t>
      </w:r>
      <w:r>
        <w:rPr>
          <w:i/>
          <w:iCs/>
        </w:rPr>
        <w:t>He Ara Oranga: Report of the</w:t>
      </w:r>
      <w:r w:rsidRPr="00BF069A">
        <w:t xml:space="preserve"> </w:t>
      </w:r>
      <w:r w:rsidRPr="00BF069A">
        <w:rPr>
          <w:i/>
          <w:iCs/>
        </w:rPr>
        <w:t>Government Inquiry into Mental Health and Addiction</w:t>
      </w:r>
      <w:r>
        <w:rPr>
          <w:i/>
          <w:iCs/>
        </w:rPr>
        <w:t>.</w:t>
      </w:r>
      <w:r>
        <w:t xml:space="preserve"> URL: </w:t>
      </w:r>
      <w:hyperlink r:id="rId1" w:history="1">
        <w:r w:rsidRPr="001658FA">
          <w:rPr>
            <w:rStyle w:val="Hyperlink"/>
          </w:rPr>
          <w:t>mentalhealth.inquiry.govt.nz/inquiry-report/he-ara-oranga/</w:t>
        </w:r>
      </w:hyperlink>
      <w:r>
        <w:t xml:space="preserve"> (accessed 15 January 2025).</w:t>
      </w:r>
    </w:p>
  </w:footnote>
  <w:footnote w:id="3">
    <w:p w14:paraId="35FEDAF5" w14:textId="77777777" w:rsidR="00535C2F" w:rsidRPr="00D728CA" w:rsidRDefault="00535C2F" w:rsidP="00753A1F">
      <w:pPr>
        <w:pStyle w:val="FootnoteText"/>
        <w:rPr>
          <w:lang w:val="en-US"/>
        </w:rPr>
      </w:pPr>
      <w:r>
        <w:rPr>
          <w:rStyle w:val="FootnoteReference"/>
        </w:rPr>
        <w:footnoteRef/>
      </w:r>
      <w:r>
        <w:t xml:space="preserve"> </w:t>
      </w:r>
      <w:r w:rsidRPr="00D728CA">
        <w:t xml:space="preserve">Source: Programme for the Integration of Mental Health Data (PRIMHD) </w:t>
      </w:r>
      <w:r w:rsidRPr="0099707E">
        <w:t xml:space="preserve">data (extracted </w:t>
      </w:r>
      <w:r>
        <w:t>28 February 2024</w:t>
      </w:r>
      <w:r w:rsidRPr="00D728CA">
        <w:t>).</w:t>
      </w:r>
    </w:p>
  </w:footnote>
  <w:footnote w:id="4">
    <w:p w14:paraId="0D22B55C" w14:textId="77777777" w:rsidR="00535C2F" w:rsidRPr="00D728CA" w:rsidRDefault="00535C2F" w:rsidP="00753A1F">
      <w:pPr>
        <w:pStyle w:val="FootnoteText"/>
        <w:rPr>
          <w:lang w:val="en-US"/>
        </w:rPr>
      </w:pPr>
      <w:r>
        <w:rPr>
          <w:rStyle w:val="FootnoteReference"/>
        </w:rPr>
        <w:footnoteRef/>
      </w:r>
      <w:r>
        <w:t xml:space="preserve"> </w:t>
      </w:r>
      <w:r w:rsidRPr="00D728CA">
        <w:t>Mental Health Act</w:t>
      </w:r>
      <w:r>
        <w:t>,</w:t>
      </w:r>
      <w:r w:rsidRPr="00D728CA">
        <w:t xml:space="preserve"> sections 11, 13, 15(1), 15(2), 29, 30 and 31.</w:t>
      </w:r>
    </w:p>
  </w:footnote>
  <w:footnote w:id="5">
    <w:p w14:paraId="0794416C" w14:textId="77777777" w:rsidR="00535C2F" w:rsidRPr="00D728CA" w:rsidRDefault="00535C2F" w:rsidP="00753A1F">
      <w:pPr>
        <w:pStyle w:val="FootnoteText"/>
        <w:ind w:left="0" w:firstLine="0"/>
        <w:rPr>
          <w:lang w:val="en-US"/>
        </w:rPr>
      </w:pPr>
      <w:r>
        <w:rPr>
          <w:rStyle w:val="FootnoteReference"/>
        </w:rPr>
        <w:footnoteRef/>
      </w:r>
      <w:r>
        <w:rPr>
          <w:lang w:val="en-US"/>
        </w:rPr>
        <w:t xml:space="preserve"> </w:t>
      </w:r>
      <w:r w:rsidRPr="00D728CA">
        <w:rPr>
          <w:lang w:val="en-US"/>
        </w:rPr>
        <w:t xml:space="preserve">‘Other ethnicities’ </w:t>
      </w:r>
      <w:r>
        <w:rPr>
          <w:lang w:val="en-US"/>
        </w:rPr>
        <w:t>includes</w:t>
      </w:r>
      <w:r w:rsidRPr="00D728CA">
        <w:rPr>
          <w:lang w:val="en-US"/>
        </w:rPr>
        <w:t xml:space="preserve"> all ethnicities except for Māori and Pacific peoples.</w:t>
      </w:r>
    </w:p>
  </w:footnote>
  <w:footnote w:id="6">
    <w:p w14:paraId="7625EAAE" w14:textId="77777777" w:rsidR="00535C2F" w:rsidRPr="00A67324" w:rsidRDefault="00535C2F" w:rsidP="00753A1F">
      <w:pPr>
        <w:pStyle w:val="FootnoteText"/>
        <w:rPr>
          <w:lang w:val="en-US"/>
        </w:rPr>
      </w:pPr>
      <w:r>
        <w:rPr>
          <w:rStyle w:val="FootnoteReference"/>
        </w:rPr>
        <w:footnoteRef/>
      </w:r>
      <w:r>
        <w:t xml:space="preserve"> </w:t>
      </w:r>
      <w:r w:rsidRPr="00D728CA">
        <w:t xml:space="preserve">Source: </w:t>
      </w:r>
      <w:r w:rsidRPr="00A67324">
        <w:t xml:space="preserve">Ministry of Justice’s case management system (CMS) data (extracted </w:t>
      </w:r>
      <w:r w:rsidRPr="00501296">
        <w:t>6 March 2024</w:t>
      </w:r>
      <w:r w:rsidRPr="00A67324">
        <w:t>).</w:t>
      </w:r>
    </w:p>
  </w:footnote>
  <w:footnote w:id="7">
    <w:p w14:paraId="27A91DE2" w14:textId="77777777" w:rsidR="00535C2F" w:rsidRPr="00D728CA" w:rsidRDefault="00535C2F" w:rsidP="00753A1F">
      <w:pPr>
        <w:pStyle w:val="FootnoteText"/>
        <w:rPr>
          <w:lang w:val="en-US"/>
        </w:rPr>
      </w:pPr>
      <w:r w:rsidRPr="00A67324">
        <w:rPr>
          <w:rStyle w:val="FootnoteReference"/>
        </w:rPr>
        <w:footnoteRef/>
      </w:r>
      <w:r w:rsidRPr="00A67324">
        <w:t xml:space="preserve"> Source</w:t>
      </w:r>
      <w:r>
        <w:t>s</w:t>
      </w:r>
      <w:r w:rsidRPr="00A67324">
        <w:t>: PRIMHD data (extracted 28 February 2024) and manual data for Health New Zealand Waikato.</w:t>
      </w:r>
    </w:p>
  </w:footnote>
  <w:footnote w:id="8">
    <w:p w14:paraId="1DEC2691" w14:textId="77777777" w:rsidR="00535C2F" w:rsidRPr="006E6DAE" w:rsidRDefault="00535C2F" w:rsidP="00753A1F">
      <w:pPr>
        <w:pStyle w:val="FootnoteText"/>
        <w:rPr>
          <w:lang w:val="mi-NZ"/>
        </w:rPr>
      </w:pPr>
      <w:r>
        <w:rPr>
          <w:rStyle w:val="FootnoteReference"/>
        </w:rPr>
        <w:footnoteRef/>
      </w:r>
      <w:r>
        <w:t xml:space="preserve"> ‘</w:t>
      </w:r>
      <w:r w:rsidRPr="00D728CA">
        <w:rPr>
          <w:rFonts w:eastAsia="Arial Unicode MS"/>
        </w:rPr>
        <w:t>On an average day’ is the average of the last day of each month</w:t>
      </w:r>
      <w:r>
        <w:rPr>
          <w:rFonts w:eastAsia="Arial Unicode MS"/>
        </w:rPr>
        <w:t>.</w:t>
      </w:r>
    </w:p>
  </w:footnote>
  <w:footnote w:id="9">
    <w:p w14:paraId="5D9382BD" w14:textId="7E0CAE8D" w:rsidR="00535C2F" w:rsidRDefault="00535C2F" w:rsidP="00753A1F">
      <w:pPr>
        <w:pStyle w:val="FootnoteText"/>
      </w:pPr>
      <w:r>
        <w:rPr>
          <w:rStyle w:val="FootnoteReference"/>
        </w:rPr>
        <w:footnoteRef/>
      </w:r>
      <w:r>
        <w:t xml:space="preserve">  </w:t>
      </w:r>
      <w:r w:rsidRPr="00940BE5">
        <w:t xml:space="preserve">Source: </w:t>
      </w:r>
      <w:r>
        <w:t>PRIMHD data (extracted 28 February 2024).</w:t>
      </w:r>
    </w:p>
  </w:footnote>
  <w:footnote w:id="10">
    <w:p w14:paraId="7F0B8358" w14:textId="2D9A44EF" w:rsidR="00535C2F" w:rsidRDefault="00535C2F" w:rsidP="00753A1F">
      <w:pPr>
        <w:pStyle w:val="FootnoteText"/>
      </w:pPr>
      <w:r w:rsidRPr="00B048AF">
        <w:rPr>
          <w:rStyle w:val="FootnoteReference"/>
        </w:rPr>
        <w:footnoteRef/>
      </w:r>
      <w:r>
        <w:t xml:space="preserve"> These ratios are based on the age-standardised rates of the Māori, Pacific peoples and other populations. Source: PRIMHD data (extracted 28 February 2024).</w:t>
      </w:r>
    </w:p>
  </w:footnote>
  <w:footnote w:id="11">
    <w:p w14:paraId="77BABC61" w14:textId="1F783E91" w:rsidR="00535C2F" w:rsidRDefault="00535C2F" w:rsidP="00753A1F">
      <w:pPr>
        <w:pStyle w:val="FootnoteText"/>
      </w:pPr>
      <w:r w:rsidRPr="00B048AF">
        <w:rPr>
          <w:rStyle w:val="FootnoteReference"/>
        </w:rPr>
        <w:footnoteRef/>
      </w:r>
      <w:r>
        <w:t xml:space="preserve"> Deprivation quintiles are ranked 1 to 5, where 1 represents areas with the least deprived scores and 5 the areas with the most deprived scores.</w:t>
      </w:r>
    </w:p>
  </w:footnote>
  <w:footnote w:id="12">
    <w:p w14:paraId="1B2F016D" w14:textId="4BBFEC98" w:rsidR="00535C2F" w:rsidRDefault="00535C2F" w:rsidP="00D4159A">
      <w:pPr>
        <w:pStyle w:val="FootnoteText"/>
      </w:pPr>
      <w:r w:rsidRPr="0029060A">
        <w:rPr>
          <w:rStyle w:val="FootnoteReference"/>
        </w:rPr>
        <w:footnoteRef/>
      </w:r>
      <w:r>
        <w:t xml:space="preserve"> Sources: </w:t>
      </w:r>
      <w:r w:rsidRPr="0069579E">
        <w:t>PRIMHD data</w:t>
      </w:r>
      <w:r>
        <w:t xml:space="preserve"> (extracted</w:t>
      </w:r>
      <w:r w:rsidRPr="0069579E">
        <w:t xml:space="preserve"> </w:t>
      </w:r>
      <w:r>
        <w:t>28 February 2024) and manual data from Health New Zealand Counties Manukau, Tairāwhiti and Waikato.</w:t>
      </w:r>
    </w:p>
  </w:footnote>
  <w:footnote w:id="13">
    <w:p w14:paraId="70D8E319" w14:textId="212A093F" w:rsidR="00535C2F" w:rsidRDefault="00535C2F" w:rsidP="00F1628D">
      <w:pPr>
        <w:pStyle w:val="FootnoteText"/>
      </w:pPr>
      <w:r>
        <w:rPr>
          <w:rStyle w:val="FootnoteReference"/>
        </w:rPr>
        <w:footnoteRef/>
      </w:r>
      <w:r>
        <w:t xml:space="preserve"> Standards New Zealand. 2021. </w:t>
      </w:r>
      <w:r>
        <w:rPr>
          <w:i/>
          <w:iCs/>
        </w:rPr>
        <w:t>Ng</w:t>
      </w:r>
      <w:r>
        <w:rPr>
          <w:i/>
          <w:iCs/>
          <w:lang w:val="mi-NZ"/>
        </w:rPr>
        <w:t>ā Paerewa</w:t>
      </w:r>
      <w:r>
        <w:rPr>
          <w:lang w:val="mi-NZ"/>
        </w:rPr>
        <w:t xml:space="preserve"> </w:t>
      </w:r>
      <w:r>
        <w:rPr>
          <w:i/>
          <w:iCs/>
        </w:rPr>
        <w:t>Health and Disability Services Standard</w:t>
      </w:r>
      <w:r>
        <w:t>. Wellington: Standards New Zealand.</w:t>
      </w:r>
    </w:p>
  </w:footnote>
  <w:footnote w:id="14">
    <w:p w14:paraId="4B8D3AC8" w14:textId="0566037D" w:rsidR="00535C2F" w:rsidRDefault="00535C2F" w:rsidP="00F1628D">
      <w:pPr>
        <w:pStyle w:val="FootnoteText"/>
      </w:pPr>
      <w:r>
        <w:rPr>
          <w:rStyle w:val="FootnoteReference"/>
        </w:rPr>
        <w:footnoteRef/>
      </w:r>
      <w:r>
        <w:t xml:space="preserve">  ‘Adult inpatient service’ means an inpatient mental health service for those aged 18 years and older. It does not include those in older people’s mental health services.</w:t>
      </w:r>
    </w:p>
  </w:footnote>
  <w:footnote w:id="15">
    <w:p w14:paraId="0414D883" w14:textId="67772714" w:rsidR="00535C2F" w:rsidRDefault="00535C2F" w:rsidP="00F1628D">
      <w:pPr>
        <w:pStyle w:val="FootnoteText"/>
      </w:pPr>
      <w:r>
        <w:rPr>
          <w:rStyle w:val="FootnoteReference"/>
        </w:rPr>
        <w:footnoteRef/>
      </w:r>
      <w:r>
        <w:t xml:space="preserve">  </w:t>
      </w:r>
      <w:r w:rsidRPr="00B55B5F">
        <w:t>Sources: PRIMHD data (extracted 28 February 2024) and manual data from Health New Zealand South Canterbury, Tairāwhiti and Waitematā.</w:t>
      </w:r>
    </w:p>
  </w:footnote>
  <w:footnote w:id="16">
    <w:p w14:paraId="2EC2C281" w14:textId="1A60CEF4" w:rsidR="00535C2F" w:rsidRDefault="00535C2F" w:rsidP="00F1628D">
      <w:pPr>
        <w:pStyle w:val="FootnoteText"/>
      </w:pPr>
      <w:r>
        <w:rPr>
          <w:rStyle w:val="FootnoteReference"/>
        </w:rPr>
        <w:footnoteRef/>
      </w:r>
      <w:r>
        <w:t xml:space="preserve"> We compare with 2009 because in that year seclusion reduction policies were introduced in Aotearoa New Zealand.</w:t>
      </w:r>
    </w:p>
  </w:footnote>
  <w:footnote w:id="17">
    <w:p w14:paraId="6C73586B" w14:textId="77777777" w:rsidR="00535C2F" w:rsidRDefault="00535C2F" w:rsidP="00F1628D">
      <w:pPr>
        <w:pStyle w:val="Source"/>
        <w:ind w:left="284" w:hanging="284"/>
      </w:pPr>
      <w:r>
        <w:rPr>
          <w:rStyle w:val="FootnoteReference"/>
        </w:rPr>
        <w:footnoteRef/>
      </w:r>
      <w:r>
        <w:t xml:space="preserve"> Data in this section excludes forensic, intellectual disability and youth services unless specified otherwise. Bed nights are measured by team types that use seclusion. This may differ from denominator figures used in other entities’ seclusion reporting. This data cannot be compared with years before 2017, when bed nights were measured by acute and sub-acute bed nights. </w:t>
      </w:r>
      <w:r w:rsidRPr="00AB3428">
        <w:t>Sources: PRIMHD data (extracted 28 February 2024) and manual data from Health New Zealand South Canterbury, Tairāwhiti and Waitematā.</w:t>
      </w:r>
    </w:p>
  </w:footnote>
  <w:footnote w:id="18">
    <w:p w14:paraId="15223427" w14:textId="77777777" w:rsidR="00535C2F" w:rsidRDefault="00535C2F" w:rsidP="00633A7A">
      <w:pPr>
        <w:pStyle w:val="FootnoteText"/>
      </w:pPr>
      <w:r>
        <w:rPr>
          <w:rStyle w:val="FootnoteReference"/>
        </w:rPr>
        <w:footnoteRef/>
      </w:r>
      <w:r>
        <w:tab/>
        <w:t>If people in Wairarapa required admission to mental health inpatient services, they were transported to either Health New Zealand Hutt Valley or MidCentral. Any seclusion statistics for them are included in the service where they received treatment.</w:t>
      </w:r>
    </w:p>
  </w:footnote>
  <w:footnote w:id="19">
    <w:p w14:paraId="4D12067E" w14:textId="77777777" w:rsidR="00535C2F" w:rsidRDefault="00535C2F" w:rsidP="00BB7D17">
      <w:pPr>
        <w:pStyle w:val="FootnoteText"/>
      </w:pPr>
      <w:r>
        <w:rPr>
          <w:rStyle w:val="FootnoteReference"/>
        </w:rPr>
        <w:footnoteRef/>
      </w:r>
      <w:r>
        <w:t xml:space="preserve"> ‘Act proven but not criminally responsible on account of insanity’ is a new finding that was introduced by the Rights for Victims of Insane Offenders Act 2021 to replace ‘not guilty by reason of insanity’.</w:t>
      </w:r>
    </w:p>
  </w:footnote>
  <w:footnote w:id="20">
    <w:p w14:paraId="102BB92B" w14:textId="77777777" w:rsidR="00535C2F" w:rsidRDefault="00535C2F" w:rsidP="00BB7D17">
      <w:pPr>
        <w:pStyle w:val="FootnoteText"/>
      </w:pPr>
      <w:r>
        <w:rPr>
          <w:rStyle w:val="FootnoteReference"/>
        </w:rPr>
        <w:footnoteRef/>
      </w:r>
      <w:r>
        <w:t xml:space="preserve"> Te Tāhū Hauora defines an adverse event as an event that results in harm or has the potential to result in harm to a consumer.</w:t>
      </w:r>
    </w:p>
  </w:footnote>
  <w:footnote w:id="21">
    <w:p w14:paraId="786B535A" w14:textId="77777777" w:rsidR="00535C2F" w:rsidRDefault="00535C2F" w:rsidP="00BB7D17">
      <w:pPr>
        <w:pStyle w:val="FootnoteText"/>
      </w:pPr>
      <w:r>
        <w:rPr>
          <w:rStyle w:val="FootnoteReference"/>
        </w:rPr>
        <w:footnoteRef/>
      </w:r>
      <w:r>
        <w:t xml:space="preserve"> A Severity Assessment Code is a numerical rating of how severe an adverse event is, which in turn indicates what level of reporting and investigation is needed for that event.</w:t>
      </w:r>
    </w:p>
  </w:footnote>
  <w:footnote w:id="22">
    <w:p w14:paraId="48698E65" w14:textId="77777777" w:rsidR="00535C2F" w:rsidRDefault="00535C2F" w:rsidP="00BB7D17">
      <w:pPr>
        <w:pStyle w:val="FootnoteText"/>
      </w:pPr>
      <w:r>
        <w:rPr>
          <w:rStyle w:val="FootnoteReference"/>
        </w:rPr>
        <w:footnoteRef/>
      </w:r>
      <w:r>
        <w:t xml:space="preserve"> See the National Adverse Events Reporting Policy on the website for Te Tāhū Hauora at: </w:t>
      </w:r>
      <w:hyperlink r:id="rId2" w:history="1">
        <w:r>
          <w:rPr>
            <w:rStyle w:val="Hyperlink"/>
          </w:rPr>
          <w:t>www.hqsc.govt.nz/our-programmes/adverse-events/national-adverse-events-policy/</w:t>
        </w:r>
      </w:hyperlink>
      <w:r>
        <w:t>.</w:t>
      </w:r>
    </w:p>
  </w:footnote>
  <w:footnote w:id="23">
    <w:p w14:paraId="03CA300F" w14:textId="77777777" w:rsidR="00535C2F" w:rsidRDefault="00535C2F" w:rsidP="00BB7D17">
      <w:pPr>
        <w:pStyle w:val="FootnoteText"/>
      </w:pPr>
      <w:r>
        <w:rPr>
          <w:rStyle w:val="FootnoteReference"/>
        </w:rPr>
        <w:footnoteRef/>
      </w:r>
      <w:r>
        <w:t xml:space="preserve"> Sources: PRIMHD data (extracted </w:t>
      </w:r>
      <w:r w:rsidRPr="00257269">
        <w:t>28 February</w:t>
      </w:r>
      <w:r w:rsidRPr="00EE3FCE">
        <w:t xml:space="preserve"> 202</w:t>
      </w:r>
      <w:r>
        <w:t xml:space="preserve">4) and manual data for Health New Zealand </w:t>
      </w:r>
      <w:r w:rsidRPr="00783BC1">
        <w:t>MidCentral, Southern, Waikato and Waitemat</w:t>
      </w:r>
      <w:r>
        <w:t>ā.</w:t>
      </w:r>
    </w:p>
  </w:footnote>
  <w:footnote w:id="24">
    <w:p w14:paraId="3D572117" w14:textId="64B1B2F3" w:rsidR="00535C2F" w:rsidRPr="00FE388F" w:rsidRDefault="00535C2F" w:rsidP="00E96DD0">
      <w:pPr>
        <w:pStyle w:val="FootnoteText"/>
        <w:rPr>
          <w:lang w:val="mi-NZ"/>
        </w:rPr>
      </w:pPr>
      <w:r w:rsidRPr="0048119A">
        <w:rPr>
          <w:rStyle w:val="FootnoteReference"/>
        </w:rPr>
        <w:footnoteRef/>
      </w:r>
      <w:r>
        <w:t xml:space="preserve"> </w:t>
      </w:r>
      <w:r>
        <w:rPr>
          <w:lang w:val="mi-NZ"/>
        </w:rPr>
        <w:t xml:space="preserve">The Mental </w:t>
      </w:r>
      <w:r w:rsidRPr="00414A71">
        <w:t xml:space="preserve">Health Review Tribunal is an independent body </w:t>
      </w:r>
      <w:r>
        <w:t>that</w:t>
      </w:r>
      <w:r w:rsidRPr="00414A71">
        <w:t xml:space="preserve"> the Minister of Health</w:t>
      </w:r>
      <w:r w:rsidRPr="00C20202">
        <w:t xml:space="preserve"> </w:t>
      </w:r>
      <w:r w:rsidRPr="00414A71">
        <w:t>appoint</w:t>
      </w:r>
      <w:r>
        <w:t>s</w:t>
      </w:r>
      <w:r w:rsidRPr="00414A71">
        <w:t xml:space="preserve"> under the Mental Health Act. For more information, see the Mental Health Review Tribunal webpage on </w:t>
      </w:r>
      <w:r>
        <w:t>the Ministry’s</w:t>
      </w:r>
      <w:r w:rsidRPr="00414A71">
        <w:t xml:space="preserve"> website at:</w:t>
      </w:r>
      <w:r>
        <w:rPr>
          <w:lang w:val="mi-NZ"/>
        </w:rPr>
        <w:t xml:space="preserve"> </w:t>
      </w:r>
      <w:hyperlink r:id="rId3" w:history="1">
        <w:r w:rsidRPr="00135245">
          <w:rPr>
            <w:rStyle w:val="Hyperlink"/>
            <w:lang w:val="mi-NZ"/>
          </w:rPr>
          <w:t>health.govt.nz/about-us/new-zealands-health-system/health-system-roles-and-organisations/health-committees-and-boards/mental-health-review-tribunal</w:t>
        </w:r>
      </w:hyperlink>
      <w:r>
        <w:t xml:space="preserve"> (accessed 12 December 2024)</w:t>
      </w:r>
      <w:r>
        <w:rPr>
          <w:lang w:val="mi-NZ"/>
        </w:rPr>
        <w:t>.</w:t>
      </w:r>
    </w:p>
  </w:footnote>
  <w:footnote w:id="25">
    <w:p w14:paraId="24BEC628" w14:textId="4FF7D281" w:rsidR="00535C2F" w:rsidRPr="0039221C" w:rsidRDefault="00535C2F" w:rsidP="00E96DD0">
      <w:pPr>
        <w:pStyle w:val="FootnoteText"/>
        <w:rPr>
          <w:i/>
          <w:iCs/>
        </w:rPr>
      </w:pPr>
      <w:r w:rsidRPr="00F37BF5">
        <w:rPr>
          <w:rStyle w:val="FootnoteReference"/>
        </w:rPr>
        <w:footnoteRef/>
      </w:r>
      <w:r>
        <w:t xml:space="preserve"> </w:t>
      </w:r>
      <w:r w:rsidRPr="00F37BF5">
        <w:t>For more information, see Ministry of Health</w:t>
      </w:r>
      <w:r w:rsidRPr="0039221C">
        <w:t xml:space="preserve">. 2014. </w:t>
      </w:r>
      <w:r w:rsidRPr="004D070B">
        <w:rPr>
          <w:i/>
          <w:iCs/>
        </w:rPr>
        <w:t>Specialist Opioid Substitution Treatment (OST) Service Audit and Review Tool</w:t>
      </w:r>
      <w:r>
        <w:t xml:space="preserve">. URL: </w:t>
      </w:r>
      <w:hyperlink r:id="rId4" w:history="1">
        <w:r w:rsidRPr="00EC6F38">
          <w:rPr>
            <w:rStyle w:val="Hyperlink"/>
          </w:rPr>
          <w:t>health.govt.nz/publications/specialist-opioid-substitution-treatment-ost-service-audit-and-review-tool</w:t>
        </w:r>
      </w:hyperlink>
      <w:r>
        <w:t xml:space="preserve"> </w:t>
      </w:r>
      <w:r w:rsidRPr="00F37BF5">
        <w:t xml:space="preserve">(accessed </w:t>
      </w:r>
      <w:r>
        <w:t>8 December 2024</w:t>
      </w:r>
      <w:r w:rsidRPr="00F37BF5">
        <w:t>).</w:t>
      </w:r>
    </w:p>
  </w:footnote>
  <w:footnote w:id="26">
    <w:p w14:paraId="45C4A09B" w14:textId="2A10E5A7" w:rsidR="00535C2F" w:rsidRPr="00F37BF5" w:rsidRDefault="00535C2F" w:rsidP="00E96DD0">
      <w:pPr>
        <w:pStyle w:val="FootnoteText"/>
      </w:pPr>
      <w:r w:rsidRPr="005561B0">
        <w:rPr>
          <w:rStyle w:val="FootnoteReference"/>
        </w:rPr>
        <w:footnoteRef/>
      </w:r>
      <w:r>
        <w:t xml:space="preserve"> </w:t>
      </w:r>
      <w:r w:rsidRPr="0039221C">
        <w:t xml:space="preserve">Ministry of Health. 2014. </w:t>
      </w:r>
      <w:r w:rsidRPr="00DB1FB1">
        <w:rPr>
          <w:i/>
          <w:iCs/>
        </w:rPr>
        <w:t>New Zealand Practice Guidelines for Opioid Substitution Treatment</w:t>
      </w:r>
      <w:r>
        <w:rPr>
          <w:i/>
          <w:iCs/>
        </w:rPr>
        <w:t xml:space="preserve">. </w:t>
      </w:r>
      <w:r>
        <w:t xml:space="preserve">URL: </w:t>
      </w:r>
      <w:hyperlink r:id="rId5" w:history="1">
        <w:r w:rsidRPr="00EC6F38">
          <w:rPr>
            <w:rStyle w:val="Hyperlink"/>
          </w:rPr>
          <w:t>health.govt.nz/publications/new-zealand-practice-guidelines-for-opioid-substitution-treatment-2014</w:t>
        </w:r>
      </w:hyperlink>
      <w:r>
        <w:t xml:space="preserve"> </w:t>
      </w:r>
      <w:r w:rsidRPr="00F37BF5">
        <w:t xml:space="preserve">(accessed </w:t>
      </w:r>
      <w:r w:rsidRPr="00501296">
        <w:t>8 December 2024</w:t>
      </w:r>
      <w:r w:rsidRPr="001C3F74">
        <w:t>).</w:t>
      </w:r>
    </w:p>
  </w:footnote>
  <w:footnote w:id="27">
    <w:p w14:paraId="23523D5E" w14:textId="6D86B2CD" w:rsidR="00535C2F" w:rsidRDefault="00535C2F" w:rsidP="00E96DD0">
      <w:pPr>
        <w:pStyle w:val="FootnoteText"/>
      </w:pPr>
      <w:r w:rsidRPr="005561B0">
        <w:rPr>
          <w:rStyle w:val="FootnoteReference"/>
        </w:rPr>
        <w:footnoteRef/>
      </w:r>
      <w:r>
        <w:t xml:space="preserve"> Source: Data provided by OST services in six-monthly reports. These six-monthly reports do not collect data by National Health Index numbers. Instead, the national total is a sum of the district figures, so it may double-count people who received services from more than one district.</w:t>
      </w:r>
    </w:p>
  </w:footnote>
  <w:footnote w:id="28">
    <w:p w14:paraId="0BD43627" w14:textId="77777777" w:rsidR="00535C2F" w:rsidRPr="001A4C8C" w:rsidRDefault="00535C2F" w:rsidP="00B36513">
      <w:pPr>
        <w:pStyle w:val="FootnoteText"/>
      </w:pPr>
      <w:r>
        <w:rPr>
          <w:rStyle w:val="FootnoteReference"/>
        </w:rPr>
        <w:footnoteRef/>
      </w:r>
      <w:r>
        <w:t xml:space="preserve"> </w:t>
      </w:r>
      <w:r w:rsidRPr="00177A8B">
        <w:t>3,4-methylenedioxymethamphetamine</w:t>
      </w:r>
      <w:r>
        <w:t>.</w:t>
      </w:r>
    </w:p>
  </w:footnote>
  <w:footnote w:id="29">
    <w:p w14:paraId="672E3661" w14:textId="77777777" w:rsidR="00535C2F" w:rsidRPr="006E6DAE" w:rsidRDefault="00535C2F" w:rsidP="00B36513">
      <w:pPr>
        <w:pStyle w:val="FootnoteText"/>
        <w:rPr>
          <w:lang w:val="mi-NZ"/>
        </w:rPr>
      </w:pPr>
      <w:r>
        <w:rPr>
          <w:rStyle w:val="FootnoteReference"/>
        </w:rPr>
        <w:footnoteRef/>
      </w:r>
      <w:r>
        <w:t xml:space="preserve"> </w:t>
      </w:r>
      <w:r w:rsidRPr="001A4C8C">
        <w:t>Lysergic acid diethylamide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5210"/>
      <w:gridCol w:w="4429"/>
    </w:tblGrid>
    <w:tr w:rsidR="00535C2F" w14:paraId="11530A0D" w14:textId="77777777" w:rsidTr="008F2B72">
      <w:trPr>
        <w:cantSplit/>
      </w:trPr>
      <w:tc>
        <w:tcPr>
          <w:tcW w:w="5210" w:type="dxa"/>
          <w:vAlign w:val="center"/>
        </w:tcPr>
        <w:p w14:paraId="2BDE3162" w14:textId="4E67EED4" w:rsidR="00535C2F" w:rsidRDefault="00535C2F" w:rsidP="00B26F0F">
          <w:pPr>
            <w:pStyle w:val="Header"/>
          </w:pPr>
          <w:r>
            <w:rPr>
              <w:noProof/>
              <w:lang w:eastAsia="en-NZ"/>
            </w:rPr>
            <w:drawing>
              <wp:inline distT="0" distB="0" distL="0" distR="0" wp14:anchorId="04421456" wp14:editId="69D58FFF">
                <wp:extent cx="2294626" cy="542925"/>
                <wp:effectExtent l="0" t="0" r="0" b="0"/>
                <wp:docPr id="1" name="Picture 1" descr="New Zealand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New Zealand Government logo"/>
                        <pic:cNvPicPr/>
                      </pic:nvPicPr>
                      <pic:blipFill rotWithShape="1">
                        <a:blip r:embed="rId1" cstate="print">
                          <a:extLst>
                            <a:ext uri="{28A0092B-C50C-407E-A947-70E740481C1C}">
                              <a14:useLocalDpi xmlns:a14="http://schemas.microsoft.com/office/drawing/2010/main" val="0"/>
                            </a:ext>
                          </a:extLst>
                        </a:blip>
                        <a:srcRect l="10400" t="16015" r="61171" b="13256"/>
                        <a:stretch/>
                      </pic:blipFill>
                      <pic:spPr bwMode="auto">
                        <a:xfrm>
                          <a:off x="0" y="0"/>
                          <a:ext cx="2294626" cy="542925"/>
                        </a:xfrm>
                        <a:prstGeom prst="rect">
                          <a:avLst/>
                        </a:prstGeom>
                        <a:ln>
                          <a:noFill/>
                        </a:ln>
                        <a:extLst>
                          <a:ext uri="{53640926-AAD7-44D8-BBD7-CCE9431645EC}">
                            <a14:shadowObscured xmlns:a14="http://schemas.microsoft.com/office/drawing/2010/main"/>
                          </a:ext>
                        </a:extLst>
                      </pic:spPr>
                    </pic:pic>
                  </a:graphicData>
                </a:graphic>
              </wp:inline>
            </w:drawing>
          </w:r>
        </w:p>
      </w:tc>
      <w:tc>
        <w:tcPr>
          <w:tcW w:w="4429" w:type="dxa"/>
          <w:vAlign w:val="center"/>
        </w:tcPr>
        <w:p w14:paraId="06193D58" w14:textId="31929113" w:rsidR="00535C2F" w:rsidRDefault="00535C2F" w:rsidP="00497F1D">
          <w:pPr>
            <w:pStyle w:val="Header"/>
            <w:jc w:val="right"/>
          </w:pPr>
          <w:r>
            <w:rPr>
              <w:noProof/>
            </w:rPr>
            <w:drawing>
              <wp:anchor distT="0" distB="0" distL="114300" distR="114300" simplePos="0" relativeHeight="251658240" behindDoc="0" locked="0" layoutInCell="1" allowOverlap="1" wp14:anchorId="1D75C094" wp14:editId="038DECAD">
                <wp:simplePos x="0" y="0"/>
                <wp:positionH relativeFrom="column">
                  <wp:posOffset>1365885</wp:posOffset>
                </wp:positionH>
                <wp:positionV relativeFrom="paragraph">
                  <wp:posOffset>-2540</wp:posOffset>
                </wp:positionV>
                <wp:extent cx="1518285" cy="718185"/>
                <wp:effectExtent l="0" t="0" r="0" b="0"/>
                <wp:wrapNone/>
                <wp:docPr id="4" name="Picture 4" descr="Ministry of Healt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Ministry of Health logo"/>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518285" cy="71818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4AC8EC99" w14:textId="1B35D83E" w:rsidR="00535C2F" w:rsidRDefault="00535C2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622E4F" w14:textId="77777777" w:rsidR="00535C2F" w:rsidRDefault="00535C2F" w:rsidP="00533B90"/>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3117B0" w14:textId="77777777" w:rsidR="00535C2F" w:rsidRDefault="00535C2F" w:rsidP="0090019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43EC00" w14:textId="77777777" w:rsidR="00535C2F" w:rsidRDefault="00535C2F"/>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00535C2F" w14:paraId="10D879D6" w14:textId="77777777" w:rsidTr="00497F1D">
      <w:trPr>
        <w:trHeight w:val="300"/>
      </w:trPr>
      <w:tc>
        <w:tcPr>
          <w:tcW w:w="3005" w:type="dxa"/>
        </w:tcPr>
        <w:p w14:paraId="2E9F3F9F" w14:textId="77777777" w:rsidR="00535C2F" w:rsidRDefault="00535C2F" w:rsidP="00497F1D">
          <w:pPr>
            <w:pStyle w:val="Header"/>
            <w:ind w:left="-115"/>
          </w:pPr>
        </w:p>
      </w:tc>
      <w:tc>
        <w:tcPr>
          <w:tcW w:w="3005" w:type="dxa"/>
        </w:tcPr>
        <w:p w14:paraId="2E588DD4" w14:textId="77777777" w:rsidR="00535C2F" w:rsidRDefault="00535C2F" w:rsidP="00497F1D">
          <w:pPr>
            <w:pStyle w:val="Header"/>
            <w:jc w:val="center"/>
          </w:pPr>
        </w:p>
      </w:tc>
      <w:tc>
        <w:tcPr>
          <w:tcW w:w="3005" w:type="dxa"/>
        </w:tcPr>
        <w:p w14:paraId="1645DA68" w14:textId="77777777" w:rsidR="00535C2F" w:rsidRDefault="00535C2F" w:rsidP="00497F1D">
          <w:pPr>
            <w:pStyle w:val="Header"/>
            <w:ind w:right="-115"/>
            <w:jc w:val="right"/>
          </w:pPr>
        </w:p>
      </w:tc>
    </w:tr>
  </w:tbl>
  <w:p w14:paraId="5BC6C71B" w14:textId="77777777" w:rsidR="00535C2F" w:rsidRDefault="00535C2F">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00535C2F" w14:paraId="2222D8A6" w14:textId="77777777" w:rsidTr="00497F1D">
      <w:trPr>
        <w:trHeight w:val="300"/>
      </w:trPr>
      <w:tc>
        <w:tcPr>
          <w:tcW w:w="3005" w:type="dxa"/>
        </w:tcPr>
        <w:p w14:paraId="3B6F400A" w14:textId="77777777" w:rsidR="00535C2F" w:rsidRDefault="00535C2F" w:rsidP="00497F1D">
          <w:pPr>
            <w:pStyle w:val="Header"/>
            <w:ind w:left="-115"/>
          </w:pPr>
        </w:p>
      </w:tc>
      <w:tc>
        <w:tcPr>
          <w:tcW w:w="3005" w:type="dxa"/>
        </w:tcPr>
        <w:p w14:paraId="35F881A5" w14:textId="77777777" w:rsidR="00535C2F" w:rsidRDefault="00535C2F" w:rsidP="00497F1D">
          <w:pPr>
            <w:pStyle w:val="Header"/>
            <w:jc w:val="center"/>
          </w:pPr>
        </w:p>
      </w:tc>
      <w:tc>
        <w:tcPr>
          <w:tcW w:w="3005" w:type="dxa"/>
        </w:tcPr>
        <w:p w14:paraId="199271C2" w14:textId="77777777" w:rsidR="00535C2F" w:rsidRDefault="00535C2F" w:rsidP="00497F1D">
          <w:pPr>
            <w:pStyle w:val="Header"/>
            <w:ind w:right="-115"/>
            <w:jc w:val="right"/>
          </w:pPr>
        </w:p>
      </w:tc>
    </w:tr>
  </w:tbl>
  <w:p w14:paraId="2DDE227C" w14:textId="77777777" w:rsidR="00535C2F" w:rsidRDefault="00535C2F">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00535C2F" w14:paraId="61CAA6B2" w14:textId="77777777" w:rsidTr="00497F1D">
      <w:trPr>
        <w:trHeight w:val="300"/>
      </w:trPr>
      <w:tc>
        <w:tcPr>
          <w:tcW w:w="3005" w:type="dxa"/>
        </w:tcPr>
        <w:p w14:paraId="0B6854F0" w14:textId="77777777" w:rsidR="00535C2F" w:rsidRDefault="00535C2F" w:rsidP="00497F1D">
          <w:pPr>
            <w:pStyle w:val="Header"/>
            <w:ind w:left="-115"/>
          </w:pPr>
        </w:p>
      </w:tc>
      <w:tc>
        <w:tcPr>
          <w:tcW w:w="3005" w:type="dxa"/>
        </w:tcPr>
        <w:p w14:paraId="3C8F33E9" w14:textId="77777777" w:rsidR="00535C2F" w:rsidRDefault="00535C2F" w:rsidP="00497F1D">
          <w:pPr>
            <w:pStyle w:val="Header"/>
            <w:jc w:val="center"/>
          </w:pPr>
        </w:p>
      </w:tc>
      <w:tc>
        <w:tcPr>
          <w:tcW w:w="3005" w:type="dxa"/>
        </w:tcPr>
        <w:p w14:paraId="5CC73860" w14:textId="77777777" w:rsidR="00535C2F" w:rsidRDefault="00535C2F" w:rsidP="00497F1D">
          <w:pPr>
            <w:pStyle w:val="Header"/>
            <w:ind w:right="-115"/>
            <w:jc w:val="right"/>
          </w:pPr>
        </w:p>
      </w:tc>
    </w:tr>
  </w:tbl>
  <w:p w14:paraId="3669E31D" w14:textId="77777777" w:rsidR="00535C2F" w:rsidRDefault="00535C2F">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00535C2F" w14:paraId="4BF76330" w14:textId="77777777" w:rsidTr="00497F1D">
      <w:trPr>
        <w:trHeight w:val="300"/>
      </w:trPr>
      <w:tc>
        <w:tcPr>
          <w:tcW w:w="3005" w:type="dxa"/>
        </w:tcPr>
        <w:p w14:paraId="41B14BD7" w14:textId="77777777" w:rsidR="00535C2F" w:rsidRDefault="00535C2F" w:rsidP="00497F1D">
          <w:pPr>
            <w:pStyle w:val="Header"/>
            <w:ind w:left="-115"/>
          </w:pPr>
        </w:p>
      </w:tc>
      <w:tc>
        <w:tcPr>
          <w:tcW w:w="3005" w:type="dxa"/>
        </w:tcPr>
        <w:p w14:paraId="49B741A9" w14:textId="77777777" w:rsidR="00535C2F" w:rsidRDefault="00535C2F" w:rsidP="00497F1D">
          <w:pPr>
            <w:pStyle w:val="Header"/>
            <w:jc w:val="center"/>
          </w:pPr>
        </w:p>
      </w:tc>
      <w:tc>
        <w:tcPr>
          <w:tcW w:w="3005" w:type="dxa"/>
        </w:tcPr>
        <w:p w14:paraId="165EBFF9" w14:textId="77777777" w:rsidR="00535C2F" w:rsidRDefault="00535C2F" w:rsidP="00497F1D">
          <w:pPr>
            <w:pStyle w:val="Header"/>
            <w:ind w:right="-115"/>
            <w:jc w:val="right"/>
          </w:pPr>
        </w:p>
      </w:tc>
    </w:tr>
  </w:tbl>
  <w:p w14:paraId="6CA4F6F6" w14:textId="77777777" w:rsidR="00535C2F" w:rsidRDefault="00535C2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42DE9E22"/>
    <w:lvl w:ilvl="0">
      <w:start w:val="1"/>
      <w:numFmt w:val="decimal"/>
      <w:pStyle w:val="ListNumber"/>
      <w:lvlText w:val="%1."/>
      <w:lvlJc w:val="left"/>
      <w:pPr>
        <w:tabs>
          <w:tab w:val="num" w:pos="360"/>
        </w:tabs>
        <w:ind w:left="360" w:hanging="360"/>
      </w:pPr>
    </w:lvl>
  </w:abstractNum>
  <w:abstractNum w:abstractNumId="1" w15:restartNumberingAfterBreak="0">
    <w:nsid w:val="00D817C7"/>
    <w:multiLevelType w:val="multilevel"/>
    <w:tmpl w:val="7A1E5B02"/>
    <w:lvl w:ilvl="0">
      <w:start w:val="1"/>
      <w:numFmt w:val="decimal"/>
      <w:lvlText w:val="%1"/>
      <w:lvlJc w:val="left"/>
      <w:pPr>
        <w:ind w:left="992" w:hanging="992"/>
      </w:pPr>
      <w:rPr>
        <w:rFonts w:hint="default"/>
      </w:rPr>
    </w:lvl>
    <w:lvl w:ilvl="1">
      <w:start w:val="1"/>
      <w:numFmt w:val="lowerLetter"/>
      <w:lvlText w:val="%2."/>
      <w:lvlJc w:val="left"/>
      <w:pPr>
        <w:ind w:left="992" w:hanging="992"/>
      </w:pPr>
      <w:rPr>
        <w:rFonts w:hint="default"/>
      </w:rPr>
    </w:lvl>
    <w:lvl w:ilvl="2">
      <w:start w:val="1"/>
      <w:numFmt w:val="none"/>
      <w:suff w:val="nothing"/>
      <w:lvlText w:val="%3"/>
      <w:lvlJc w:val="left"/>
      <w:pPr>
        <w:ind w:left="0" w:firstLine="0"/>
      </w:pPr>
      <w:rPr>
        <w:rFonts w:hint="default"/>
      </w:rPr>
    </w:lvl>
    <w:lvl w:ilvl="3">
      <w:start w:val="1"/>
      <w:numFmt w:val="decimal"/>
      <w:lvlText w:val="%4."/>
      <w:lvlJc w:val="left"/>
      <w:pPr>
        <w:ind w:left="567" w:hanging="567"/>
      </w:pPr>
      <w:rPr>
        <w:rFonts w:hint="default"/>
      </w:rPr>
    </w:lvl>
    <w:lvl w:ilvl="4">
      <w:start w:val="1"/>
      <w:numFmt w:val="lowerLetter"/>
      <w:lvlText w:val="%5."/>
      <w:lvlJc w:val="left"/>
      <w:pPr>
        <w:ind w:left="1134" w:hanging="567"/>
      </w:pPr>
      <w:rPr>
        <w:rFonts w:hint="default"/>
      </w:rPr>
    </w:lvl>
    <w:lvl w:ilvl="5">
      <w:start w:val="1"/>
      <w:numFmt w:val="lowerRoman"/>
      <w:lvlText w:val="%6."/>
      <w:lvlJc w:val="left"/>
      <w:pPr>
        <w:ind w:left="1701" w:hanging="567"/>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042E1B55"/>
    <w:multiLevelType w:val="singleLevel"/>
    <w:tmpl w:val="1A46536C"/>
    <w:lvl w:ilvl="0">
      <w:start w:val="1"/>
      <w:numFmt w:val="bullet"/>
      <w:pStyle w:val="TableBullet"/>
      <w:lvlText w:val=""/>
      <w:lvlJc w:val="left"/>
      <w:pPr>
        <w:tabs>
          <w:tab w:val="num" w:pos="284"/>
        </w:tabs>
        <w:ind w:left="284" w:hanging="284"/>
      </w:pPr>
      <w:rPr>
        <w:rFonts w:ascii="Symbol" w:hAnsi="Symbol" w:hint="default"/>
        <w:sz w:val="16"/>
        <w:szCs w:val="16"/>
      </w:rPr>
    </w:lvl>
  </w:abstractNum>
  <w:abstractNum w:abstractNumId="3" w15:restartNumberingAfterBreak="0">
    <w:nsid w:val="052041F9"/>
    <w:multiLevelType w:val="hybridMultilevel"/>
    <w:tmpl w:val="ABAC7CB8"/>
    <w:lvl w:ilvl="0" w:tplc="614058B0">
      <w:start w:val="1"/>
      <w:numFmt w:val="decimal"/>
      <w:lvlText w:val="%1."/>
      <w:lvlJc w:val="left"/>
      <w:pPr>
        <w:ind w:left="840" w:hanging="360"/>
      </w:pPr>
      <w:rPr>
        <w:rFonts w:hint="default"/>
      </w:rPr>
    </w:lvl>
    <w:lvl w:ilvl="1" w:tplc="14090019">
      <w:start w:val="1"/>
      <w:numFmt w:val="lowerLetter"/>
      <w:lvlText w:val="%2."/>
      <w:lvlJc w:val="left"/>
      <w:pPr>
        <w:ind w:left="1560" w:hanging="360"/>
      </w:pPr>
    </w:lvl>
    <w:lvl w:ilvl="2" w:tplc="1409001B">
      <w:start w:val="1"/>
      <w:numFmt w:val="lowerRoman"/>
      <w:lvlText w:val="%3."/>
      <w:lvlJc w:val="right"/>
      <w:pPr>
        <w:ind w:left="2280" w:hanging="180"/>
      </w:pPr>
    </w:lvl>
    <w:lvl w:ilvl="3" w:tplc="1409000F" w:tentative="1">
      <w:start w:val="1"/>
      <w:numFmt w:val="decimal"/>
      <w:lvlText w:val="%4."/>
      <w:lvlJc w:val="left"/>
      <w:pPr>
        <w:ind w:left="3000" w:hanging="360"/>
      </w:pPr>
    </w:lvl>
    <w:lvl w:ilvl="4" w:tplc="14090019" w:tentative="1">
      <w:start w:val="1"/>
      <w:numFmt w:val="lowerLetter"/>
      <w:lvlText w:val="%5."/>
      <w:lvlJc w:val="left"/>
      <w:pPr>
        <w:ind w:left="3720" w:hanging="360"/>
      </w:pPr>
    </w:lvl>
    <w:lvl w:ilvl="5" w:tplc="1409001B" w:tentative="1">
      <w:start w:val="1"/>
      <w:numFmt w:val="lowerRoman"/>
      <w:lvlText w:val="%6."/>
      <w:lvlJc w:val="right"/>
      <w:pPr>
        <w:ind w:left="4440" w:hanging="180"/>
      </w:pPr>
    </w:lvl>
    <w:lvl w:ilvl="6" w:tplc="1409000F" w:tentative="1">
      <w:start w:val="1"/>
      <w:numFmt w:val="decimal"/>
      <w:lvlText w:val="%7."/>
      <w:lvlJc w:val="left"/>
      <w:pPr>
        <w:ind w:left="5160" w:hanging="360"/>
      </w:pPr>
    </w:lvl>
    <w:lvl w:ilvl="7" w:tplc="14090019" w:tentative="1">
      <w:start w:val="1"/>
      <w:numFmt w:val="lowerLetter"/>
      <w:lvlText w:val="%8."/>
      <w:lvlJc w:val="left"/>
      <w:pPr>
        <w:ind w:left="5880" w:hanging="360"/>
      </w:pPr>
    </w:lvl>
    <w:lvl w:ilvl="8" w:tplc="1409001B" w:tentative="1">
      <w:start w:val="1"/>
      <w:numFmt w:val="lowerRoman"/>
      <w:lvlText w:val="%9."/>
      <w:lvlJc w:val="right"/>
      <w:pPr>
        <w:ind w:left="6600" w:hanging="180"/>
      </w:pPr>
    </w:lvl>
  </w:abstractNum>
  <w:abstractNum w:abstractNumId="4" w15:restartNumberingAfterBreak="0">
    <w:nsid w:val="07BA0EC1"/>
    <w:multiLevelType w:val="hybridMultilevel"/>
    <w:tmpl w:val="0FDE2E92"/>
    <w:lvl w:ilvl="0" w:tplc="9B36D550">
      <w:numFmt w:val="bullet"/>
      <w:lvlText w:val="•"/>
      <w:lvlJc w:val="left"/>
      <w:pPr>
        <w:ind w:left="720" w:hanging="360"/>
      </w:pPr>
      <w:rPr>
        <w:rFonts w:ascii="Arial" w:eastAsia="Times New Roman" w:hAnsi="Arial"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0F487000"/>
    <w:multiLevelType w:val="hybridMultilevel"/>
    <w:tmpl w:val="D1508736"/>
    <w:lvl w:ilvl="0" w:tplc="14090001">
      <w:start w:val="1"/>
      <w:numFmt w:val="bullet"/>
      <w:lvlText w:val=""/>
      <w:lvlJc w:val="left"/>
      <w:pPr>
        <w:ind w:left="1800" w:hanging="360"/>
      </w:pPr>
      <w:rPr>
        <w:rFonts w:ascii="Symbol" w:hAnsi="Symbol" w:hint="default"/>
      </w:rPr>
    </w:lvl>
    <w:lvl w:ilvl="1" w:tplc="14090003" w:tentative="1">
      <w:start w:val="1"/>
      <w:numFmt w:val="bullet"/>
      <w:lvlText w:val="o"/>
      <w:lvlJc w:val="left"/>
      <w:pPr>
        <w:ind w:left="2520" w:hanging="360"/>
      </w:pPr>
      <w:rPr>
        <w:rFonts w:ascii="Courier New" w:hAnsi="Courier New" w:cs="Courier New" w:hint="default"/>
      </w:rPr>
    </w:lvl>
    <w:lvl w:ilvl="2" w:tplc="14090005" w:tentative="1">
      <w:start w:val="1"/>
      <w:numFmt w:val="bullet"/>
      <w:lvlText w:val=""/>
      <w:lvlJc w:val="left"/>
      <w:pPr>
        <w:ind w:left="3240" w:hanging="360"/>
      </w:pPr>
      <w:rPr>
        <w:rFonts w:ascii="Wingdings" w:hAnsi="Wingdings" w:hint="default"/>
      </w:rPr>
    </w:lvl>
    <w:lvl w:ilvl="3" w:tplc="14090001" w:tentative="1">
      <w:start w:val="1"/>
      <w:numFmt w:val="bullet"/>
      <w:lvlText w:val=""/>
      <w:lvlJc w:val="left"/>
      <w:pPr>
        <w:ind w:left="3960" w:hanging="360"/>
      </w:pPr>
      <w:rPr>
        <w:rFonts w:ascii="Symbol" w:hAnsi="Symbol" w:hint="default"/>
      </w:rPr>
    </w:lvl>
    <w:lvl w:ilvl="4" w:tplc="14090003" w:tentative="1">
      <w:start w:val="1"/>
      <w:numFmt w:val="bullet"/>
      <w:lvlText w:val="o"/>
      <w:lvlJc w:val="left"/>
      <w:pPr>
        <w:ind w:left="4680" w:hanging="360"/>
      </w:pPr>
      <w:rPr>
        <w:rFonts w:ascii="Courier New" w:hAnsi="Courier New" w:cs="Courier New" w:hint="default"/>
      </w:rPr>
    </w:lvl>
    <w:lvl w:ilvl="5" w:tplc="14090005" w:tentative="1">
      <w:start w:val="1"/>
      <w:numFmt w:val="bullet"/>
      <w:lvlText w:val=""/>
      <w:lvlJc w:val="left"/>
      <w:pPr>
        <w:ind w:left="5400" w:hanging="360"/>
      </w:pPr>
      <w:rPr>
        <w:rFonts w:ascii="Wingdings" w:hAnsi="Wingdings" w:hint="default"/>
      </w:rPr>
    </w:lvl>
    <w:lvl w:ilvl="6" w:tplc="14090001" w:tentative="1">
      <w:start w:val="1"/>
      <w:numFmt w:val="bullet"/>
      <w:lvlText w:val=""/>
      <w:lvlJc w:val="left"/>
      <w:pPr>
        <w:ind w:left="6120" w:hanging="360"/>
      </w:pPr>
      <w:rPr>
        <w:rFonts w:ascii="Symbol" w:hAnsi="Symbol" w:hint="default"/>
      </w:rPr>
    </w:lvl>
    <w:lvl w:ilvl="7" w:tplc="14090003" w:tentative="1">
      <w:start w:val="1"/>
      <w:numFmt w:val="bullet"/>
      <w:lvlText w:val="o"/>
      <w:lvlJc w:val="left"/>
      <w:pPr>
        <w:ind w:left="6840" w:hanging="360"/>
      </w:pPr>
      <w:rPr>
        <w:rFonts w:ascii="Courier New" w:hAnsi="Courier New" w:cs="Courier New" w:hint="default"/>
      </w:rPr>
    </w:lvl>
    <w:lvl w:ilvl="8" w:tplc="14090005" w:tentative="1">
      <w:start w:val="1"/>
      <w:numFmt w:val="bullet"/>
      <w:lvlText w:val=""/>
      <w:lvlJc w:val="left"/>
      <w:pPr>
        <w:ind w:left="7560" w:hanging="360"/>
      </w:pPr>
      <w:rPr>
        <w:rFonts w:ascii="Wingdings" w:hAnsi="Wingdings" w:hint="default"/>
      </w:rPr>
    </w:lvl>
  </w:abstractNum>
  <w:abstractNum w:abstractNumId="6" w15:restartNumberingAfterBreak="0">
    <w:nsid w:val="11023BAD"/>
    <w:multiLevelType w:val="hybridMultilevel"/>
    <w:tmpl w:val="4830DBB8"/>
    <w:lvl w:ilvl="0" w:tplc="AEE29EB8">
      <w:start w:val="1"/>
      <w:numFmt w:val="bullet"/>
      <w:lvlText w:val="•"/>
      <w:lvlJc w:val="left"/>
      <w:pPr>
        <w:ind w:left="246" w:hanging="134"/>
      </w:pPr>
      <w:rPr>
        <w:rFonts w:ascii="Arial Unicode MS" w:eastAsia="Arial Unicode MS" w:hAnsi="Arial Unicode MS" w:hint="default"/>
        <w:w w:val="107"/>
        <w:sz w:val="21"/>
        <w:szCs w:val="21"/>
      </w:rPr>
    </w:lvl>
    <w:lvl w:ilvl="1" w:tplc="A89C032A">
      <w:start w:val="1"/>
      <w:numFmt w:val="bullet"/>
      <w:lvlText w:val="•"/>
      <w:lvlJc w:val="left"/>
      <w:pPr>
        <w:ind w:left="464" w:hanging="134"/>
      </w:pPr>
      <w:rPr>
        <w:rFonts w:hint="default"/>
      </w:rPr>
    </w:lvl>
    <w:lvl w:ilvl="2" w:tplc="AFB65F98">
      <w:start w:val="1"/>
      <w:numFmt w:val="bullet"/>
      <w:lvlText w:val="•"/>
      <w:lvlJc w:val="left"/>
      <w:pPr>
        <w:ind w:left="682" w:hanging="134"/>
      </w:pPr>
      <w:rPr>
        <w:rFonts w:hint="default"/>
      </w:rPr>
    </w:lvl>
    <w:lvl w:ilvl="3" w:tplc="A148FA04">
      <w:start w:val="1"/>
      <w:numFmt w:val="bullet"/>
      <w:lvlText w:val="•"/>
      <w:lvlJc w:val="left"/>
      <w:pPr>
        <w:ind w:left="900" w:hanging="134"/>
      </w:pPr>
      <w:rPr>
        <w:rFonts w:hint="default"/>
      </w:rPr>
    </w:lvl>
    <w:lvl w:ilvl="4" w:tplc="F490CA92">
      <w:start w:val="1"/>
      <w:numFmt w:val="bullet"/>
      <w:lvlText w:val="•"/>
      <w:lvlJc w:val="left"/>
      <w:pPr>
        <w:ind w:left="1118" w:hanging="134"/>
      </w:pPr>
      <w:rPr>
        <w:rFonts w:hint="default"/>
      </w:rPr>
    </w:lvl>
    <w:lvl w:ilvl="5" w:tplc="B9903E90">
      <w:start w:val="1"/>
      <w:numFmt w:val="bullet"/>
      <w:lvlText w:val="•"/>
      <w:lvlJc w:val="left"/>
      <w:pPr>
        <w:ind w:left="1336" w:hanging="134"/>
      </w:pPr>
      <w:rPr>
        <w:rFonts w:hint="default"/>
      </w:rPr>
    </w:lvl>
    <w:lvl w:ilvl="6" w:tplc="811ED8BC">
      <w:start w:val="1"/>
      <w:numFmt w:val="bullet"/>
      <w:lvlText w:val="•"/>
      <w:lvlJc w:val="left"/>
      <w:pPr>
        <w:ind w:left="1554" w:hanging="134"/>
      </w:pPr>
      <w:rPr>
        <w:rFonts w:hint="default"/>
      </w:rPr>
    </w:lvl>
    <w:lvl w:ilvl="7" w:tplc="20BC151E">
      <w:start w:val="1"/>
      <w:numFmt w:val="bullet"/>
      <w:lvlText w:val="•"/>
      <w:lvlJc w:val="left"/>
      <w:pPr>
        <w:ind w:left="1771" w:hanging="134"/>
      </w:pPr>
      <w:rPr>
        <w:rFonts w:hint="default"/>
      </w:rPr>
    </w:lvl>
    <w:lvl w:ilvl="8" w:tplc="80AA897C">
      <w:start w:val="1"/>
      <w:numFmt w:val="bullet"/>
      <w:lvlText w:val="•"/>
      <w:lvlJc w:val="left"/>
      <w:pPr>
        <w:ind w:left="1989" w:hanging="134"/>
      </w:pPr>
      <w:rPr>
        <w:rFonts w:hint="default"/>
      </w:rPr>
    </w:lvl>
  </w:abstractNum>
  <w:abstractNum w:abstractNumId="7" w15:restartNumberingAfterBreak="0">
    <w:nsid w:val="1915754A"/>
    <w:multiLevelType w:val="hybridMultilevel"/>
    <w:tmpl w:val="BE16CB2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15:restartNumberingAfterBreak="0">
    <w:nsid w:val="1A6C6694"/>
    <w:multiLevelType w:val="hybridMultilevel"/>
    <w:tmpl w:val="27DA59F2"/>
    <w:lvl w:ilvl="0" w:tplc="F6EEA218">
      <w:start w:val="1"/>
      <w:numFmt w:val="bullet"/>
      <w:lvlText w:val="•"/>
      <w:lvlJc w:val="left"/>
      <w:pPr>
        <w:ind w:left="559" w:hanging="134"/>
      </w:pPr>
      <w:rPr>
        <w:rFonts w:ascii="Lucida Sans Unicode" w:eastAsia="Lucida Sans Unicode" w:hAnsi="Lucida Sans Unicode" w:hint="default"/>
        <w:w w:val="59"/>
        <w:sz w:val="21"/>
        <w:szCs w:val="21"/>
      </w:rPr>
    </w:lvl>
    <w:lvl w:ilvl="1" w:tplc="002E3EAE">
      <w:start w:val="1"/>
      <w:numFmt w:val="bullet"/>
      <w:lvlText w:val="•"/>
      <w:lvlJc w:val="left"/>
      <w:pPr>
        <w:ind w:left="808" w:hanging="134"/>
      </w:pPr>
      <w:rPr>
        <w:rFonts w:hint="default"/>
      </w:rPr>
    </w:lvl>
    <w:lvl w:ilvl="2" w:tplc="2D64B7B0">
      <w:start w:val="1"/>
      <w:numFmt w:val="bullet"/>
      <w:lvlText w:val="•"/>
      <w:lvlJc w:val="left"/>
      <w:pPr>
        <w:ind w:left="1057" w:hanging="134"/>
      </w:pPr>
      <w:rPr>
        <w:rFonts w:hint="default"/>
      </w:rPr>
    </w:lvl>
    <w:lvl w:ilvl="3" w:tplc="82F22056">
      <w:start w:val="1"/>
      <w:numFmt w:val="bullet"/>
      <w:lvlText w:val="•"/>
      <w:lvlJc w:val="left"/>
      <w:pPr>
        <w:ind w:left="1306" w:hanging="134"/>
      </w:pPr>
      <w:rPr>
        <w:rFonts w:hint="default"/>
      </w:rPr>
    </w:lvl>
    <w:lvl w:ilvl="4" w:tplc="D920647A">
      <w:start w:val="1"/>
      <w:numFmt w:val="bullet"/>
      <w:lvlText w:val="•"/>
      <w:lvlJc w:val="left"/>
      <w:pPr>
        <w:ind w:left="1556" w:hanging="134"/>
      </w:pPr>
      <w:rPr>
        <w:rFonts w:hint="default"/>
      </w:rPr>
    </w:lvl>
    <w:lvl w:ilvl="5" w:tplc="24E6088C">
      <w:start w:val="1"/>
      <w:numFmt w:val="bullet"/>
      <w:lvlText w:val="•"/>
      <w:lvlJc w:val="left"/>
      <w:pPr>
        <w:ind w:left="1805" w:hanging="134"/>
      </w:pPr>
      <w:rPr>
        <w:rFonts w:hint="default"/>
      </w:rPr>
    </w:lvl>
    <w:lvl w:ilvl="6" w:tplc="273217BC">
      <w:start w:val="1"/>
      <w:numFmt w:val="bullet"/>
      <w:lvlText w:val="•"/>
      <w:lvlJc w:val="left"/>
      <w:pPr>
        <w:ind w:left="2054" w:hanging="134"/>
      </w:pPr>
      <w:rPr>
        <w:rFonts w:hint="default"/>
      </w:rPr>
    </w:lvl>
    <w:lvl w:ilvl="7" w:tplc="FCFE4A4A">
      <w:start w:val="1"/>
      <w:numFmt w:val="bullet"/>
      <w:lvlText w:val="•"/>
      <w:lvlJc w:val="left"/>
      <w:pPr>
        <w:ind w:left="2303" w:hanging="134"/>
      </w:pPr>
      <w:rPr>
        <w:rFonts w:hint="default"/>
      </w:rPr>
    </w:lvl>
    <w:lvl w:ilvl="8" w:tplc="47085256">
      <w:start w:val="1"/>
      <w:numFmt w:val="bullet"/>
      <w:lvlText w:val="•"/>
      <w:lvlJc w:val="left"/>
      <w:pPr>
        <w:ind w:left="2552" w:hanging="134"/>
      </w:pPr>
      <w:rPr>
        <w:rFonts w:hint="default"/>
      </w:rPr>
    </w:lvl>
  </w:abstractNum>
  <w:abstractNum w:abstractNumId="9" w15:restartNumberingAfterBreak="0">
    <w:nsid w:val="1AD22446"/>
    <w:multiLevelType w:val="hybridMultilevel"/>
    <w:tmpl w:val="82B0314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15:restartNumberingAfterBreak="0">
    <w:nsid w:val="1BF65D06"/>
    <w:multiLevelType w:val="hybridMultilevel"/>
    <w:tmpl w:val="0C0C9346"/>
    <w:lvl w:ilvl="0" w:tplc="1409000F">
      <w:start w:val="1"/>
      <w:numFmt w:val="decimal"/>
      <w:lvlText w:val="%1."/>
      <w:lvlJc w:val="left"/>
      <w:pPr>
        <w:ind w:left="360" w:hanging="360"/>
      </w:pPr>
    </w:lvl>
    <w:lvl w:ilvl="1" w:tplc="14090019">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1" w15:restartNumberingAfterBreak="0">
    <w:nsid w:val="1E2C3CC1"/>
    <w:multiLevelType w:val="hybridMultilevel"/>
    <w:tmpl w:val="EEF8345E"/>
    <w:lvl w:ilvl="0" w:tplc="5B960B98">
      <w:start w:val="1"/>
      <w:numFmt w:val="bullet"/>
      <w:lvlText w:val="•"/>
      <w:lvlJc w:val="left"/>
      <w:pPr>
        <w:ind w:left="1984" w:hanging="284"/>
      </w:pPr>
      <w:rPr>
        <w:rFonts w:ascii="Lucida Sans Unicode" w:eastAsia="Lucida Sans Unicode" w:hAnsi="Lucida Sans Unicode" w:hint="default"/>
        <w:w w:val="59"/>
        <w:sz w:val="21"/>
        <w:szCs w:val="21"/>
      </w:rPr>
    </w:lvl>
    <w:lvl w:ilvl="1" w:tplc="3A3EAE6C">
      <w:start w:val="1"/>
      <w:numFmt w:val="bullet"/>
      <w:lvlText w:val="•"/>
      <w:lvlJc w:val="left"/>
      <w:pPr>
        <w:ind w:left="2808" w:hanging="284"/>
      </w:pPr>
      <w:rPr>
        <w:rFonts w:hint="default"/>
      </w:rPr>
    </w:lvl>
    <w:lvl w:ilvl="2" w:tplc="0E4E143C">
      <w:start w:val="1"/>
      <w:numFmt w:val="bullet"/>
      <w:lvlText w:val="•"/>
      <w:lvlJc w:val="left"/>
      <w:pPr>
        <w:ind w:left="3632" w:hanging="284"/>
      </w:pPr>
      <w:rPr>
        <w:rFonts w:hint="default"/>
      </w:rPr>
    </w:lvl>
    <w:lvl w:ilvl="3" w:tplc="B79A0BDC">
      <w:start w:val="1"/>
      <w:numFmt w:val="bullet"/>
      <w:lvlText w:val="•"/>
      <w:lvlJc w:val="left"/>
      <w:pPr>
        <w:ind w:left="4456" w:hanging="284"/>
      </w:pPr>
      <w:rPr>
        <w:rFonts w:hint="default"/>
      </w:rPr>
    </w:lvl>
    <w:lvl w:ilvl="4" w:tplc="53B018D4">
      <w:start w:val="1"/>
      <w:numFmt w:val="bullet"/>
      <w:lvlText w:val="•"/>
      <w:lvlJc w:val="left"/>
      <w:pPr>
        <w:ind w:left="5280" w:hanging="284"/>
      </w:pPr>
      <w:rPr>
        <w:rFonts w:hint="default"/>
      </w:rPr>
    </w:lvl>
    <w:lvl w:ilvl="5" w:tplc="E0EC6604">
      <w:start w:val="1"/>
      <w:numFmt w:val="bullet"/>
      <w:lvlText w:val="•"/>
      <w:lvlJc w:val="left"/>
      <w:pPr>
        <w:ind w:left="6104" w:hanging="284"/>
      </w:pPr>
      <w:rPr>
        <w:rFonts w:hint="default"/>
      </w:rPr>
    </w:lvl>
    <w:lvl w:ilvl="6" w:tplc="400A10A6">
      <w:start w:val="1"/>
      <w:numFmt w:val="bullet"/>
      <w:lvlText w:val="•"/>
      <w:lvlJc w:val="left"/>
      <w:pPr>
        <w:ind w:left="6929" w:hanging="284"/>
      </w:pPr>
      <w:rPr>
        <w:rFonts w:hint="default"/>
      </w:rPr>
    </w:lvl>
    <w:lvl w:ilvl="7" w:tplc="153C0546">
      <w:start w:val="1"/>
      <w:numFmt w:val="bullet"/>
      <w:lvlText w:val="•"/>
      <w:lvlJc w:val="left"/>
      <w:pPr>
        <w:ind w:left="7753" w:hanging="284"/>
      </w:pPr>
      <w:rPr>
        <w:rFonts w:hint="default"/>
      </w:rPr>
    </w:lvl>
    <w:lvl w:ilvl="8" w:tplc="90B4C0C6">
      <w:start w:val="1"/>
      <w:numFmt w:val="bullet"/>
      <w:lvlText w:val="•"/>
      <w:lvlJc w:val="left"/>
      <w:pPr>
        <w:ind w:left="8577" w:hanging="284"/>
      </w:pPr>
      <w:rPr>
        <w:rFonts w:hint="default"/>
      </w:rPr>
    </w:lvl>
  </w:abstractNum>
  <w:abstractNum w:abstractNumId="12" w15:restartNumberingAfterBreak="0">
    <w:nsid w:val="23DC7796"/>
    <w:multiLevelType w:val="multilevel"/>
    <w:tmpl w:val="38243F0A"/>
    <w:lvl w:ilvl="0">
      <w:start w:val="1"/>
      <w:numFmt w:val="decimal"/>
      <w:pStyle w:val="Number"/>
      <w:lvlText w:val="%1."/>
      <w:lvlJc w:val="left"/>
      <w:pPr>
        <w:ind w:left="567" w:hanging="567"/>
      </w:pPr>
      <w:rPr>
        <w:rFonts w:hint="default"/>
      </w:rPr>
    </w:lvl>
    <w:lvl w:ilvl="1">
      <w:start w:val="1"/>
      <w:numFmt w:val="lowerLetter"/>
      <w:pStyle w:val="Letter"/>
      <w:lvlText w:val="%2)"/>
      <w:lvlJc w:val="left"/>
      <w:pPr>
        <w:ind w:left="1134" w:hanging="567"/>
      </w:pPr>
      <w:rPr>
        <w:rFonts w:hint="default"/>
      </w:rPr>
    </w:lvl>
    <w:lvl w:ilvl="2">
      <w:start w:val="1"/>
      <w:numFmt w:val="lowerRoman"/>
      <w:pStyle w:val="Roman"/>
      <w:lvlText w:val="%3)"/>
      <w:lvlJc w:val="left"/>
      <w:pPr>
        <w:ind w:left="1701" w:hanging="567"/>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26B82D6F"/>
    <w:multiLevelType w:val="hybridMultilevel"/>
    <w:tmpl w:val="6C186060"/>
    <w:lvl w:ilvl="0" w:tplc="C15451FC">
      <w:start w:val="1"/>
      <w:numFmt w:val="bullet"/>
      <w:lvlText w:val="•"/>
      <w:lvlJc w:val="left"/>
      <w:pPr>
        <w:ind w:left="2267" w:hanging="284"/>
      </w:pPr>
      <w:rPr>
        <w:rFonts w:ascii="Lucida Sans Unicode" w:eastAsia="Lucida Sans Unicode" w:hAnsi="Lucida Sans Unicode" w:hint="default"/>
        <w:w w:val="59"/>
        <w:sz w:val="21"/>
        <w:szCs w:val="21"/>
      </w:rPr>
    </w:lvl>
    <w:lvl w:ilvl="1" w:tplc="C2804FC4">
      <w:start w:val="1"/>
      <w:numFmt w:val="bullet"/>
      <w:lvlText w:val="•"/>
      <w:lvlJc w:val="left"/>
      <w:pPr>
        <w:ind w:left="3231" w:hanging="284"/>
      </w:pPr>
      <w:rPr>
        <w:rFonts w:hint="default"/>
      </w:rPr>
    </w:lvl>
    <w:lvl w:ilvl="2" w:tplc="7B56FBF2">
      <w:start w:val="1"/>
      <w:numFmt w:val="bullet"/>
      <w:lvlText w:val="•"/>
      <w:lvlJc w:val="left"/>
      <w:pPr>
        <w:ind w:left="4195" w:hanging="284"/>
      </w:pPr>
      <w:rPr>
        <w:rFonts w:hint="default"/>
      </w:rPr>
    </w:lvl>
    <w:lvl w:ilvl="3" w:tplc="FF5C1366">
      <w:start w:val="1"/>
      <w:numFmt w:val="bullet"/>
      <w:lvlText w:val="•"/>
      <w:lvlJc w:val="left"/>
      <w:pPr>
        <w:ind w:left="5159" w:hanging="284"/>
      </w:pPr>
      <w:rPr>
        <w:rFonts w:hint="default"/>
      </w:rPr>
    </w:lvl>
    <w:lvl w:ilvl="4" w:tplc="B2CA8238">
      <w:start w:val="1"/>
      <w:numFmt w:val="bullet"/>
      <w:lvlText w:val="•"/>
      <w:lvlJc w:val="left"/>
      <w:pPr>
        <w:ind w:left="6122" w:hanging="284"/>
      </w:pPr>
      <w:rPr>
        <w:rFonts w:hint="default"/>
      </w:rPr>
    </w:lvl>
    <w:lvl w:ilvl="5" w:tplc="3378E1CC">
      <w:start w:val="1"/>
      <w:numFmt w:val="bullet"/>
      <w:lvlText w:val="•"/>
      <w:lvlJc w:val="left"/>
      <w:pPr>
        <w:ind w:left="7086" w:hanging="284"/>
      </w:pPr>
      <w:rPr>
        <w:rFonts w:hint="default"/>
      </w:rPr>
    </w:lvl>
    <w:lvl w:ilvl="6" w:tplc="DDFA6B44">
      <w:start w:val="1"/>
      <w:numFmt w:val="bullet"/>
      <w:lvlText w:val="•"/>
      <w:lvlJc w:val="left"/>
      <w:pPr>
        <w:ind w:left="8050" w:hanging="284"/>
      </w:pPr>
      <w:rPr>
        <w:rFonts w:hint="default"/>
      </w:rPr>
    </w:lvl>
    <w:lvl w:ilvl="7" w:tplc="7CA08396">
      <w:start w:val="1"/>
      <w:numFmt w:val="bullet"/>
      <w:lvlText w:val="•"/>
      <w:lvlJc w:val="left"/>
      <w:pPr>
        <w:ind w:left="9014" w:hanging="284"/>
      </w:pPr>
      <w:rPr>
        <w:rFonts w:hint="default"/>
      </w:rPr>
    </w:lvl>
    <w:lvl w:ilvl="8" w:tplc="A386EF5E">
      <w:start w:val="1"/>
      <w:numFmt w:val="bullet"/>
      <w:lvlText w:val="•"/>
      <w:lvlJc w:val="left"/>
      <w:pPr>
        <w:ind w:left="9977" w:hanging="284"/>
      </w:pPr>
      <w:rPr>
        <w:rFonts w:hint="default"/>
      </w:rPr>
    </w:lvl>
  </w:abstractNum>
  <w:abstractNum w:abstractNumId="14" w15:restartNumberingAfterBreak="0">
    <w:nsid w:val="28F57520"/>
    <w:multiLevelType w:val="singleLevel"/>
    <w:tmpl w:val="F3FE0FEA"/>
    <w:lvl w:ilvl="0">
      <w:start w:val="1"/>
      <w:numFmt w:val="bullet"/>
      <w:lvlText w:val="–"/>
      <w:lvlJc w:val="left"/>
      <w:pPr>
        <w:tabs>
          <w:tab w:val="num" w:pos="644"/>
        </w:tabs>
        <w:ind w:left="567" w:hanging="283"/>
      </w:pPr>
      <w:rPr>
        <w:rFonts w:ascii="Times New Roman" w:hAnsi="Times New Roman" w:hint="default"/>
        <w:sz w:val="20"/>
      </w:rPr>
    </w:lvl>
  </w:abstractNum>
  <w:abstractNum w:abstractNumId="15" w15:restartNumberingAfterBreak="0">
    <w:nsid w:val="29317815"/>
    <w:multiLevelType w:val="hybridMultilevel"/>
    <w:tmpl w:val="26E6AE0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15:restartNumberingAfterBreak="0">
    <w:nsid w:val="2D94347D"/>
    <w:multiLevelType w:val="hybridMultilevel"/>
    <w:tmpl w:val="CDC0E688"/>
    <w:lvl w:ilvl="0" w:tplc="AAE49842">
      <w:start w:val="1"/>
      <w:numFmt w:val="bullet"/>
      <w:lvlText w:val="•"/>
      <w:lvlJc w:val="left"/>
      <w:pPr>
        <w:ind w:left="1984" w:hanging="284"/>
      </w:pPr>
      <w:rPr>
        <w:rFonts w:ascii="Lucida Sans Unicode" w:eastAsia="Lucida Sans Unicode" w:hAnsi="Lucida Sans Unicode" w:hint="default"/>
        <w:w w:val="59"/>
        <w:sz w:val="21"/>
        <w:szCs w:val="21"/>
      </w:rPr>
    </w:lvl>
    <w:lvl w:ilvl="1" w:tplc="A3103622">
      <w:start w:val="1"/>
      <w:numFmt w:val="bullet"/>
      <w:lvlText w:val="•"/>
      <w:lvlJc w:val="left"/>
      <w:pPr>
        <w:ind w:left="2808" w:hanging="284"/>
      </w:pPr>
      <w:rPr>
        <w:rFonts w:hint="default"/>
      </w:rPr>
    </w:lvl>
    <w:lvl w:ilvl="2" w:tplc="2CC6F326">
      <w:start w:val="1"/>
      <w:numFmt w:val="bullet"/>
      <w:lvlText w:val="•"/>
      <w:lvlJc w:val="left"/>
      <w:pPr>
        <w:ind w:left="3632" w:hanging="284"/>
      </w:pPr>
      <w:rPr>
        <w:rFonts w:hint="default"/>
      </w:rPr>
    </w:lvl>
    <w:lvl w:ilvl="3" w:tplc="C026F318">
      <w:start w:val="1"/>
      <w:numFmt w:val="bullet"/>
      <w:lvlText w:val="•"/>
      <w:lvlJc w:val="left"/>
      <w:pPr>
        <w:ind w:left="4456" w:hanging="284"/>
      </w:pPr>
      <w:rPr>
        <w:rFonts w:hint="default"/>
      </w:rPr>
    </w:lvl>
    <w:lvl w:ilvl="4" w:tplc="8E1C6BD0">
      <w:start w:val="1"/>
      <w:numFmt w:val="bullet"/>
      <w:lvlText w:val="•"/>
      <w:lvlJc w:val="left"/>
      <w:pPr>
        <w:ind w:left="5280" w:hanging="284"/>
      </w:pPr>
      <w:rPr>
        <w:rFonts w:hint="default"/>
      </w:rPr>
    </w:lvl>
    <w:lvl w:ilvl="5" w:tplc="96EA3796">
      <w:start w:val="1"/>
      <w:numFmt w:val="bullet"/>
      <w:lvlText w:val="•"/>
      <w:lvlJc w:val="left"/>
      <w:pPr>
        <w:ind w:left="6104" w:hanging="284"/>
      </w:pPr>
      <w:rPr>
        <w:rFonts w:hint="default"/>
      </w:rPr>
    </w:lvl>
    <w:lvl w:ilvl="6" w:tplc="DF52DE2A">
      <w:start w:val="1"/>
      <w:numFmt w:val="bullet"/>
      <w:lvlText w:val="•"/>
      <w:lvlJc w:val="left"/>
      <w:pPr>
        <w:ind w:left="6929" w:hanging="284"/>
      </w:pPr>
      <w:rPr>
        <w:rFonts w:hint="default"/>
      </w:rPr>
    </w:lvl>
    <w:lvl w:ilvl="7" w:tplc="7D3E5354">
      <w:start w:val="1"/>
      <w:numFmt w:val="bullet"/>
      <w:lvlText w:val="•"/>
      <w:lvlJc w:val="left"/>
      <w:pPr>
        <w:ind w:left="7753" w:hanging="284"/>
      </w:pPr>
      <w:rPr>
        <w:rFonts w:hint="default"/>
      </w:rPr>
    </w:lvl>
    <w:lvl w:ilvl="8" w:tplc="0FE8A7AA">
      <w:start w:val="1"/>
      <w:numFmt w:val="bullet"/>
      <w:lvlText w:val="•"/>
      <w:lvlJc w:val="left"/>
      <w:pPr>
        <w:ind w:left="8577" w:hanging="284"/>
      </w:pPr>
      <w:rPr>
        <w:rFonts w:hint="default"/>
      </w:rPr>
    </w:lvl>
  </w:abstractNum>
  <w:abstractNum w:abstractNumId="17" w15:restartNumberingAfterBreak="0">
    <w:nsid w:val="31430E4A"/>
    <w:multiLevelType w:val="hybridMultilevel"/>
    <w:tmpl w:val="C4BE4BD4"/>
    <w:lvl w:ilvl="0" w:tplc="54ACCB78">
      <w:start w:val="1"/>
      <w:numFmt w:val="bullet"/>
      <w:lvlText w:val="•"/>
      <w:lvlJc w:val="left"/>
      <w:pPr>
        <w:ind w:left="623" w:hanging="284"/>
      </w:pPr>
      <w:rPr>
        <w:rFonts w:ascii="Arial Unicode MS" w:eastAsia="Arial Unicode MS" w:hAnsi="Arial Unicode MS" w:hint="default"/>
        <w:color w:val="FFFFFF"/>
        <w:w w:val="107"/>
        <w:sz w:val="21"/>
        <w:szCs w:val="21"/>
      </w:rPr>
    </w:lvl>
    <w:lvl w:ilvl="1" w:tplc="6EE81F12">
      <w:start w:val="1"/>
      <w:numFmt w:val="bullet"/>
      <w:lvlText w:val="•"/>
      <w:lvlJc w:val="left"/>
      <w:pPr>
        <w:ind w:left="926" w:hanging="284"/>
      </w:pPr>
      <w:rPr>
        <w:rFonts w:hint="default"/>
      </w:rPr>
    </w:lvl>
    <w:lvl w:ilvl="2" w:tplc="3D880680">
      <w:start w:val="1"/>
      <w:numFmt w:val="bullet"/>
      <w:lvlText w:val="•"/>
      <w:lvlJc w:val="left"/>
      <w:pPr>
        <w:ind w:left="1230" w:hanging="284"/>
      </w:pPr>
      <w:rPr>
        <w:rFonts w:hint="default"/>
      </w:rPr>
    </w:lvl>
    <w:lvl w:ilvl="3" w:tplc="B010C610">
      <w:start w:val="1"/>
      <w:numFmt w:val="bullet"/>
      <w:lvlText w:val="•"/>
      <w:lvlJc w:val="left"/>
      <w:pPr>
        <w:ind w:left="1533" w:hanging="284"/>
      </w:pPr>
      <w:rPr>
        <w:rFonts w:hint="default"/>
      </w:rPr>
    </w:lvl>
    <w:lvl w:ilvl="4" w:tplc="E6120074">
      <w:start w:val="1"/>
      <w:numFmt w:val="bullet"/>
      <w:lvlText w:val="•"/>
      <w:lvlJc w:val="left"/>
      <w:pPr>
        <w:ind w:left="1836" w:hanging="284"/>
      </w:pPr>
      <w:rPr>
        <w:rFonts w:hint="default"/>
      </w:rPr>
    </w:lvl>
    <w:lvl w:ilvl="5" w:tplc="CBC8627C">
      <w:start w:val="1"/>
      <w:numFmt w:val="bullet"/>
      <w:lvlText w:val="•"/>
      <w:lvlJc w:val="left"/>
      <w:pPr>
        <w:ind w:left="2140" w:hanging="284"/>
      </w:pPr>
      <w:rPr>
        <w:rFonts w:hint="default"/>
      </w:rPr>
    </w:lvl>
    <w:lvl w:ilvl="6" w:tplc="B9380D56">
      <w:start w:val="1"/>
      <w:numFmt w:val="bullet"/>
      <w:lvlText w:val="•"/>
      <w:lvlJc w:val="left"/>
      <w:pPr>
        <w:ind w:left="2443" w:hanging="284"/>
      </w:pPr>
      <w:rPr>
        <w:rFonts w:hint="default"/>
      </w:rPr>
    </w:lvl>
    <w:lvl w:ilvl="7" w:tplc="21BEC842">
      <w:start w:val="1"/>
      <w:numFmt w:val="bullet"/>
      <w:lvlText w:val="•"/>
      <w:lvlJc w:val="left"/>
      <w:pPr>
        <w:ind w:left="2746" w:hanging="284"/>
      </w:pPr>
      <w:rPr>
        <w:rFonts w:hint="default"/>
      </w:rPr>
    </w:lvl>
    <w:lvl w:ilvl="8" w:tplc="43B03AC2">
      <w:start w:val="1"/>
      <w:numFmt w:val="bullet"/>
      <w:lvlText w:val="•"/>
      <w:lvlJc w:val="left"/>
      <w:pPr>
        <w:ind w:left="3050" w:hanging="284"/>
      </w:pPr>
      <w:rPr>
        <w:rFonts w:hint="default"/>
      </w:rPr>
    </w:lvl>
  </w:abstractNum>
  <w:abstractNum w:abstractNumId="18" w15:restartNumberingAfterBreak="0">
    <w:nsid w:val="318C1677"/>
    <w:multiLevelType w:val="hybridMultilevel"/>
    <w:tmpl w:val="31A267B6"/>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9" w15:restartNumberingAfterBreak="0">
    <w:nsid w:val="3C460E19"/>
    <w:multiLevelType w:val="hybridMultilevel"/>
    <w:tmpl w:val="90546B3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3CA71F78"/>
    <w:multiLevelType w:val="hybridMultilevel"/>
    <w:tmpl w:val="0D76E58A"/>
    <w:lvl w:ilvl="0" w:tplc="33A80CE8">
      <w:start w:val="1"/>
      <w:numFmt w:val="bullet"/>
      <w:pStyle w:val="Dash"/>
      <w:lvlText w:val="–"/>
      <w:lvlJc w:val="left"/>
      <w:pPr>
        <w:tabs>
          <w:tab w:val="num" w:pos="567"/>
        </w:tabs>
        <w:ind w:left="567" w:hanging="283"/>
      </w:pPr>
      <w:rPr>
        <w:rFonts w:ascii="Arial" w:hAnsi="Arial" w:hint="default"/>
        <w:b w:val="0"/>
        <w:i w:val="0"/>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00E20E8"/>
    <w:multiLevelType w:val="hybridMultilevel"/>
    <w:tmpl w:val="FD9CE56E"/>
    <w:lvl w:ilvl="0" w:tplc="84F4142A">
      <w:start w:val="1"/>
      <w:numFmt w:val="bullet"/>
      <w:pStyle w:val="TableDash"/>
      <w:lvlText w:val="–"/>
      <w:lvlJc w:val="left"/>
      <w:pPr>
        <w:tabs>
          <w:tab w:val="num" w:pos="567"/>
        </w:tabs>
        <w:ind w:left="567" w:hanging="283"/>
      </w:pPr>
      <w:rPr>
        <w:rFonts w:ascii="Arial Mäori" w:hAnsi="Arial Mäori" w:hint="default"/>
        <w:color w:val="auto"/>
        <w:sz w:val="16"/>
        <w:szCs w:val="1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AFB4939"/>
    <w:multiLevelType w:val="hybridMultilevel"/>
    <w:tmpl w:val="B560C9E0"/>
    <w:lvl w:ilvl="0" w:tplc="5358D1F4">
      <w:start w:val="1"/>
      <w:numFmt w:val="bullet"/>
      <w:lvlText w:val="–"/>
      <w:lvlJc w:val="left"/>
      <w:pPr>
        <w:ind w:left="701" w:hanging="284"/>
      </w:pPr>
      <w:rPr>
        <w:rFonts w:ascii="Arial Black" w:eastAsia="Arial Black" w:hAnsi="Arial Black" w:hint="default"/>
        <w:b/>
        <w:bCs/>
        <w:sz w:val="21"/>
        <w:szCs w:val="21"/>
      </w:rPr>
    </w:lvl>
    <w:lvl w:ilvl="1" w:tplc="2D0A247C">
      <w:start w:val="1"/>
      <w:numFmt w:val="bullet"/>
      <w:lvlText w:val="•"/>
      <w:lvlJc w:val="left"/>
      <w:pPr>
        <w:ind w:left="1149" w:hanging="284"/>
      </w:pPr>
      <w:rPr>
        <w:rFonts w:hint="default"/>
      </w:rPr>
    </w:lvl>
    <w:lvl w:ilvl="2" w:tplc="014E8A48">
      <w:start w:val="1"/>
      <w:numFmt w:val="bullet"/>
      <w:lvlText w:val="•"/>
      <w:lvlJc w:val="left"/>
      <w:pPr>
        <w:ind w:left="1596" w:hanging="284"/>
      </w:pPr>
      <w:rPr>
        <w:rFonts w:hint="default"/>
      </w:rPr>
    </w:lvl>
    <w:lvl w:ilvl="3" w:tplc="62E68792">
      <w:start w:val="1"/>
      <w:numFmt w:val="bullet"/>
      <w:lvlText w:val="•"/>
      <w:lvlJc w:val="left"/>
      <w:pPr>
        <w:ind w:left="2044" w:hanging="284"/>
      </w:pPr>
      <w:rPr>
        <w:rFonts w:hint="default"/>
      </w:rPr>
    </w:lvl>
    <w:lvl w:ilvl="4" w:tplc="6BC03800">
      <w:start w:val="1"/>
      <w:numFmt w:val="bullet"/>
      <w:lvlText w:val="•"/>
      <w:lvlJc w:val="left"/>
      <w:pPr>
        <w:ind w:left="2492" w:hanging="284"/>
      </w:pPr>
      <w:rPr>
        <w:rFonts w:hint="default"/>
      </w:rPr>
    </w:lvl>
    <w:lvl w:ilvl="5" w:tplc="D62CF1AE">
      <w:start w:val="1"/>
      <w:numFmt w:val="bullet"/>
      <w:lvlText w:val="•"/>
      <w:lvlJc w:val="left"/>
      <w:pPr>
        <w:ind w:left="2940" w:hanging="284"/>
      </w:pPr>
      <w:rPr>
        <w:rFonts w:hint="default"/>
      </w:rPr>
    </w:lvl>
    <w:lvl w:ilvl="6" w:tplc="4AF656FE">
      <w:start w:val="1"/>
      <w:numFmt w:val="bullet"/>
      <w:lvlText w:val="•"/>
      <w:lvlJc w:val="left"/>
      <w:pPr>
        <w:ind w:left="3388" w:hanging="284"/>
      </w:pPr>
      <w:rPr>
        <w:rFonts w:hint="default"/>
      </w:rPr>
    </w:lvl>
    <w:lvl w:ilvl="7" w:tplc="B11C28E0">
      <w:start w:val="1"/>
      <w:numFmt w:val="bullet"/>
      <w:lvlText w:val="•"/>
      <w:lvlJc w:val="left"/>
      <w:pPr>
        <w:ind w:left="3836" w:hanging="284"/>
      </w:pPr>
      <w:rPr>
        <w:rFonts w:hint="default"/>
      </w:rPr>
    </w:lvl>
    <w:lvl w:ilvl="8" w:tplc="A2F2C1E6">
      <w:start w:val="1"/>
      <w:numFmt w:val="bullet"/>
      <w:lvlText w:val="•"/>
      <w:lvlJc w:val="left"/>
      <w:pPr>
        <w:ind w:left="4284" w:hanging="284"/>
      </w:pPr>
      <w:rPr>
        <w:rFonts w:hint="default"/>
      </w:rPr>
    </w:lvl>
  </w:abstractNum>
  <w:abstractNum w:abstractNumId="23" w15:restartNumberingAfterBreak="0">
    <w:nsid w:val="4D6856C8"/>
    <w:multiLevelType w:val="hybridMultilevel"/>
    <w:tmpl w:val="0338F8C0"/>
    <w:lvl w:ilvl="0" w:tplc="73FE36DE">
      <w:start w:val="1"/>
      <w:numFmt w:val="bullet"/>
      <w:lvlText w:val="•"/>
      <w:lvlJc w:val="left"/>
      <w:pPr>
        <w:ind w:left="245" w:hanging="134"/>
      </w:pPr>
      <w:rPr>
        <w:rFonts w:ascii="Arial Unicode MS" w:eastAsia="Arial Unicode MS" w:hAnsi="Arial Unicode MS" w:hint="default"/>
        <w:w w:val="107"/>
        <w:sz w:val="21"/>
        <w:szCs w:val="21"/>
      </w:rPr>
    </w:lvl>
    <w:lvl w:ilvl="1" w:tplc="3F32CFCA">
      <w:start w:val="1"/>
      <w:numFmt w:val="bullet"/>
      <w:lvlText w:val="•"/>
      <w:lvlJc w:val="left"/>
      <w:pPr>
        <w:ind w:left="494" w:hanging="134"/>
      </w:pPr>
      <w:rPr>
        <w:rFonts w:hint="default"/>
      </w:rPr>
    </w:lvl>
    <w:lvl w:ilvl="2" w:tplc="025CEB60">
      <w:start w:val="1"/>
      <w:numFmt w:val="bullet"/>
      <w:lvlText w:val="•"/>
      <w:lvlJc w:val="left"/>
      <w:pPr>
        <w:ind w:left="743" w:hanging="134"/>
      </w:pPr>
      <w:rPr>
        <w:rFonts w:hint="default"/>
      </w:rPr>
    </w:lvl>
    <w:lvl w:ilvl="3" w:tplc="5E0EC12A">
      <w:start w:val="1"/>
      <w:numFmt w:val="bullet"/>
      <w:lvlText w:val="•"/>
      <w:lvlJc w:val="left"/>
      <w:pPr>
        <w:ind w:left="993" w:hanging="134"/>
      </w:pPr>
      <w:rPr>
        <w:rFonts w:hint="default"/>
      </w:rPr>
    </w:lvl>
    <w:lvl w:ilvl="4" w:tplc="E8B04864">
      <w:start w:val="1"/>
      <w:numFmt w:val="bullet"/>
      <w:lvlText w:val="•"/>
      <w:lvlJc w:val="left"/>
      <w:pPr>
        <w:ind w:left="1242" w:hanging="134"/>
      </w:pPr>
      <w:rPr>
        <w:rFonts w:hint="default"/>
      </w:rPr>
    </w:lvl>
    <w:lvl w:ilvl="5" w:tplc="7EF0585E">
      <w:start w:val="1"/>
      <w:numFmt w:val="bullet"/>
      <w:lvlText w:val="•"/>
      <w:lvlJc w:val="left"/>
      <w:pPr>
        <w:ind w:left="1491" w:hanging="134"/>
      </w:pPr>
      <w:rPr>
        <w:rFonts w:hint="default"/>
      </w:rPr>
    </w:lvl>
    <w:lvl w:ilvl="6" w:tplc="7EC6F446">
      <w:start w:val="1"/>
      <w:numFmt w:val="bullet"/>
      <w:lvlText w:val="•"/>
      <w:lvlJc w:val="left"/>
      <w:pPr>
        <w:ind w:left="1740" w:hanging="134"/>
      </w:pPr>
      <w:rPr>
        <w:rFonts w:hint="default"/>
      </w:rPr>
    </w:lvl>
    <w:lvl w:ilvl="7" w:tplc="B4E0707E">
      <w:start w:val="1"/>
      <w:numFmt w:val="bullet"/>
      <w:lvlText w:val="•"/>
      <w:lvlJc w:val="left"/>
      <w:pPr>
        <w:ind w:left="1989" w:hanging="134"/>
      </w:pPr>
      <w:rPr>
        <w:rFonts w:hint="default"/>
      </w:rPr>
    </w:lvl>
    <w:lvl w:ilvl="8" w:tplc="30DCDC0C">
      <w:start w:val="1"/>
      <w:numFmt w:val="bullet"/>
      <w:lvlText w:val="•"/>
      <w:lvlJc w:val="left"/>
      <w:pPr>
        <w:ind w:left="2239" w:hanging="134"/>
      </w:pPr>
      <w:rPr>
        <w:rFonts w:hint="default"/>
      </w:rPr>
    </w:lvl>
  </w:abstractNum>
  <w:abstractNum w:abstractNumId="24" w15:restartNumberingAfterBreak="0">
    <w:nsid w:val="5B09314A"/>
    <w:multiLevelType w:val="multilevel"/>
    <w:tmpl w:val="7720957A"/>
    <w:lvl w:ilvl="0">
      <w:start w:val="1"/>
      <w:numFmt w:val="decimal"/>
      <w:lvlText w:val="%1"/>
      <w:lvlJc w:val="left"/>
      <w:pPr>
        <w:ind w:left="851" w:hanging="851"/>
      </w:pPr>
      <w:rPr>
        <w:rFonts w:hint="default"/>
      </w:rPr>
    </w:lvl>
    <w:lvl w:ilvl="1">
      <w:start w:val="1"/>
      <w:numFmt w:val="decimal"/>
      <w:lvlText w:val="%1.%2"/>
      <w:lvlJc w:val="left"/>
      <w:pPr>
        <w:ind w:left="851" w:hanging="851"/>
      </w:pPr>
      <w:rPr>
        <w:rFonts w:hint="default"/>
      </w:rPr>
    </w:lvl>
    <w:lvl w:ilvl="2">
      <w:start w:val="1"/>
      <w:numFmt w:val="decimal"/>
      <w:lvlText w:val="%1.%2.%3"/>
      <w:lvlJc w:val="left"/>
      <w:pPr>
        <w:ind w:left="851" w:hanging="851"/>
      </w:pPr>
      <w:rPr>
        <w:rFonts w:hint="default"/>
      </w:rPr>
    </w:lvl>
    <w:lvl w:ilvl="3">
      <w:start w:val="1"/>
      <w:numFmt w:val="decimal"/>
      <w:lvlText w:val="%4."/>
      <w:lvlJc w:val="left"/>
      <w:pPr>
        <w:ind w:left="567" w:hanging="567"/>
      </w:pPr>
      <w:rPr>
        <w:rFonts w:hint="default"/>
      </w:rPr>
    </w:lvl>
    <w:lvl w:ilvl="4">
      <w:start w:val="1"/>
      <w:numFmt w:val="lowerLetter"/>
      <w:lvlText w:val="%5)"/>
      <w:lvlJc w:val="left"/>
      <w:pPr>
        <w:tabs>
          <w:tab w:val="num" w:pos="1134"/>
        </w:tabs>
        <w:ind w:left="1134" w:hanging="567"/>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5C724B65"/>
    <w:multiLevelType w:val="hybridMultilevel"/>
    <w:tmpl w:val="46E4FFEE"/>
    <w:lvl w:ilvl="0" w:tplc="EB0A854E">
      <w:start w:val="1"/>
      <w:numFmt w:val="bullet"/>
      <w:lvlText w:val="•"/>
      <w:lvlJc w:val="left"/>
      <w:pPr>
        <w:ind w:left="559" w:hanging="134"/>
      </w:pPr>
      <w:rPr>
        <w:rFonts w:ascii="Arial Unicode MS" w:eastAsia="Arial Unicode MS" w:hAnsi="Arial Unicode MS" w:hint="default"/>
        <w:w w:val="107"/>
        <w:sz w:val="21"/>
        <w:szCs w:val="21"/>
      </w:rPr>
    </w:lvl>
    <w:lvl w:ilvl="1" w:tplc="85E65D22">
      <w:start w:val="1"/>
      <w:numFmt w:val="bullet"/>
      <w:lvlText w:val="•"/>
      <w:lvlJc w:val="left"/>
      <w:pPr>
        <w:ind w:left="808" w:hanging="134"/>
      </w:pPr>
      <w:rPr>
        <w:rFonts w:hint="default"/>
      </w:rPr>
    </w:lvl>
    <w:lvl w:ilvl="2" w:tplc="69460D26">
      <w:start w:val="1"/>
      <w:numFmt w:val="bullet"/>
      <w:lvlText w:val="•"/>
      <w:lvlJc w:val="left"/>
      <w:pPr>
        <w:ind w:left="1058" w:hanging="134"/>
      </w:pPr>
      <w:rPr>
        <w:rFonts w:hint="default"/>
      </w:rPr>
    </w:lvl>
    <w:lvl w:ilvl="3" w:tplc="CD6AEA72">
      <w:start w:val="1"/>
      <w:numFmt w:val="bullet"/>
      <w:lvlText w:val="•"/>
      <w:lvlJc w:val="left"/>
      <w:pPr>
        <w:ind w:left="1307" w:hanging="134"/>
      </w:pPr>
      <w:rPr>
        <w:rFonts w:hint="default"/>
      </w:rPr>
    </w:lvl>
    <w:lvl w:ilvl="4" w:tplc="DCE6E408">
      <w:start w:val="1"/>
      <w:numFmt w:val="bullet"/>
      <w:lvlText w:val="•"/>
      <w:lvlJc w:val="left"/>
      <w:pPr>
        <w:ind w:left="1556" w:hanging="134"/>
      </w:pPr>
      <w:rPr>
        <w:rFonts w:hint="default"/>
      </w:rPr>
    </w:lvl>
    <w:lvl w:ilvl="5" w:tplc="C3182234">
      <w:start w:val="1"/>
      <w:numFmt w:val="bullet"/>
      <w:lvlText w:val="•"/>
      <w:lvlJc w:val="left"/>
      <w:pPr>
        <w:ind w:left="1805" w:hanging="134"/>
      </w:pPr>
      <w:rPr>
        <w:rFonts w:hint="default"/>
      </w:rPr>
    </w:lvl>
    <w:lvl w:ilvl="6" w:tplc="85C2C604">
      <w:start w:val="1"/>
      <w:numFmt w:val="bullet"/>
      <w:lvlText w:val="•"/>
      <w:lvlJc w:val="left"/>
      <w:pPr>
        <w:ind w:left="2054" w:hanging="134"/>
      </w:pPr>
      <w:rPr>
        <w:rFonts w:hint="default"/>
      </w:rPr>
    </w:lvl>
    <w:lvl w:ilvl="7" w:tplc="3B5A4DA6">
      <w:start w:val="1"/>
      <w:numFmt w:val="bullet"/>
      <w:lvlText w:val="•"/>
      <w:lvlJc w:val="left"/>
      <w:pPr>
        <w:ind w:left="2303" w:hanging="134"/>
      </w:pPr>
      <w:rPr>
        <w:rFonts w:hint="default"/>
      </w:rPr>
    </w:lvl>
    <w:lvl w:ilvl="8" w:tplc="37AAE036">
      <w:start w:val="1"/>
      <w:numFmt w:val="bullet"/>
      <w:lvlText w:val="•"/>
      <w:lvlJc w:val="left"/>
      <w:pPr>
        <w:ind w:left="2552" w:hanging="134"/>
      </w:pPr>
      <w:rPr>
        <w:rFonts w:hint="default"/>
      </w:rPr>
    </w:lvl>
  </w:abstractNum>
  <w:abstractNum w:abstractNumId="26" w15:restartNumberingAfterBreak="0">
    <w:nsid w:val="5D9A15C3"/>
    <w:multiLevelType w:val="hybridMultilevel"/>
    <w:tmpl w:val="1E9823CC"/>
    <w:lvl w:ilvl="0" w:tplc="AA18F162">
      <w:start w:val="1"/>
      <w:numFmt w:val="bullet"/>
      <w:lvlText w:val="•"/>
      <w:lvlJc w:val="left"/>
      <w:pPr>
        <w:ind w:left="245" w:hanging="134"/>
      </w:pPr>
      <w:rPr>
        <w:rFonts w:ascii="Arial Unicode MS" w:eastAsia="Arial Unicode MS" w:hAnsi="Arial Unicode MS" w:hint="default"/>
        <w:w w:val="107"/>
        <w:sz w:val="21"/>
        <w:szCs w:val="21"/>
      </w:rPr>
    </w:lvl>
    <w:lvl w:ilvl="1" w:tplc="D886110C">
      <w:start w:val="1"/>
      <w:numFmt w:val="bullet"/>
      <w:lvlText w:val="•"/>
      <w:lvlJc w:val="left"/>
      <w:pPr>
        <w:ind w:left="494" w:hanging="134"/>
      </w:pPr>
      <w:rPr>
        <w:rFonts w:hint="default"/>
      </w:rPr>
    </w:lvl>
    <w:lvl w:ilvl="2" w:tplc="5C048F26">
      <w:start w:val="1"/>
      <w:numFmt w:val="bullet"/>
      <w:lvlText w:val="•"/>
      <w:lvlJc w:val="left"/>
      <w:pPr>
        <w:ind w:left="744" w:hanging="134"/>
      </w:pPr>
      <w:rPr>
        <w:rFonts w:hint="default"/>
      </w:rPr>
    </w:lvl>
    <w:lvl w:ilvl="3" w:tplc="44DACB5A">
      <w:start w:val="1"/>
      <w:numFmt w:val="bullet"/>
      <w:lvlText w:val="•"/>
      <w:lvlJc w:val="left"/>
      <w:pPr>
        <w:ind w:left="993" w:hanging="134"/>
      </w:pPr>
      <w:rPr>
        <w:rFonts w:hint="default"/>
      </w:rPr>
    </w:lvl>
    <w:lvl w:ilvl="4" w:tplc="B8B465F0">
      <w:start w:val="1"/>
      <w:numFmt w:val="bullet"/>
      <w:lvlText w:val="•"/>
      <w:lvlJc w:val="left"/>
      <w:pPr>
        <w:ind w:left="1242" w:hanging="134"/>
      </w:pPr>
      <w:rPr>
        <w:rFonts w:hint="default"/>
      </w:rPr>
    </w:lvl>
    <w:lvl w:ilvl="5" w:tplc="1FDCA722">
      <w:start w:val="1"/>
      <w:numFmt w:val="bullet"/>
      <w:lvlText w:val="•"/>
      <w:lvlJc w:val="left"/>
      <w:pPr>
        <w:ind w:left="1491" w:hanging="134"/>
      </w:pPr>
      <w:rPr>
        <w:rFonts w:hint="default"/>
      </w:rPr>
    </w:lvl>
    <w:lvl w:ilvl="6" w:tplc="62501116">
      <w:start w:val="1"/>
      <w:numFmt w:val="bullet"/>
      <w:lvlText w:val="•"/>
      <w:lvlJc w:val="left"/>
      <w:pPr>
        <w:ind w:left="1740" w:hanging="134"/>
      </w:pPr>
      <w:rPr>
        <w:rFonts w:hint="default"/>
      </w:rPr>
    </w:lvl>
    <w:lvl w:ilvl="7" w:tplc="EA9AA01C">
      <w:start w:val="1"/>
      <w:numFmt w:val="bullet"/>
      <w:lvlText w:val="•"/>
      <w:lvlJc w:val="left"/>
      <w:pPr>
        <w:ind w:left="1989" w:hanging="134"/>
      </w:pPr>
      <w:rPr>
        <w:rFonts w:hint="default"/>
      </w:rPr>
    </w:lvl>
    <w:lvl w:ilvl="8" w:tplc="005E787C">
      <w:start w:val="1"/>
      <w:numFmt w:val="bullet"/>
      <w:lvlText w:val="•"/>
      <w:lvlJc w:val="left"/>
      <w:pPr>
        <w:ind w:left="2239" w:hanging="134"/>
      </w:pPr>
      <w:rPr>
        <w:rFonts w:hint="default"/>
      </w:rPr>
    </w:lvl>
  </w:abstractNum>
  <w:abstractNum w:abstractNumId="27" w15:restartNumberingAfterBreak="0">
    <w:nsid w:val="64683B06"/>
    <w:multiLevelType w:val="hybridMultilevel"/>
    <w:tmpl w:val="3694409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8" w15:restartNumberingAfterBreak="0">
    <w:nsid w:val="688D2C9E"/>
    <w:multiLevelType w:val="singleLevel"/>
    <w:tmpl w:val="976C8326"/>
    <w:lvl w:ilvl="0">
      <w:start w:val="1"/>
      <w:numFmt w:val="bullet"/>
      <w:lvlText w:val=""/>
      <w:lvlJc w:val="left"/>
      <w:pPr>
        <w:tabs>
          <w:tab w:val="num" w:pos="360"/>
        </w:tabs>
        <w:ind w:left="284" w:hanging="284"/>
      </w:pPr>
      <w:rPr>
        <w:rFonts w:ascii="Symbol" w:hAnsi="Symbol" w:hint="default"/>
        <w:sz w:val="18"/>
      </w:rPr>
    </w:lvl>
  </w:abstractNum>
  <w:abstractNum w:abstractNumId="29" w15:restartNumberingAfterBreak="0">
    <w:nsid w:val="6A493BA7"/>
    <w:multiLevelType w:val="hybridMultilevel"/>
    <w:tmpl w:val="54A49246"/>
    <w:lvl w:ilvl="0" w:tplc="32401D94">
      <w:start w:val="1"/>
      <w:numFmt w:val="bullet"/>
      <w:lvlText w:val="–"/>
      <w:lvlJc w:val="left"/>
      <w:pPr>
        <w:ind w:left="701" w:hanging="284"/>
      </w:pPr>
      <w:rPr>
        <w:rFonts w:ascii="Arial Black" w:eastAsia="Arial Black" w:hAnsi="Arial Black" w:hint="default"/>
        <w:b/>
        <w:bCs/>
        <w:sz w:val="21"/>
        <w:szCs w:val="21"/>
      </w:rPr>
    </w:lvl>
    <w:lvl w:ilvl="1" w:tplc="2702D4F0">
      <w:start w:val="1"/>
      <w:numFmt w:val="bullet"/>
      <w:lvlText w:val="•"/>
      <w:lvlJc w:val="left"/>
      <w:pPr>
        <w:ind w:left="1149" w:hanging="284"/>
      </w:pPr>
      <w:rPr>
        <w:rFonts w:hint="default"/>
      </w:rPr>
    </w:lvl>
    <w:lvl w:ilvl="2" w:tplc="7E12EC3E">
      <w:start w:val="1"/>
      <w:numFmt w:val="bullet"/>
      <w:lvlText w:val="•"/>
      <w:lvlJc w:val="left"/>
      <w:pPr>
        <w:ind w:left="1596" w:hanging="284"/>
      </w:pPr>
      <w:rPr>
        <w:rFonts w:hint="default"/>
      </w:rPr>
    </w:lvl>
    <w:lvl w:ilvl="3" w:tplc="8AE0534C">
      <w:start w:val="1"/>
      <w:numFmt w:val="bullet"/>
      <w:lvlText w:val="•"/>
      <w:lvlJc w:val="left"/>
      <w:pPr>
        <w:ind w:left="2044" w:hanging="284"/>
      </w:pPr>
      <w:rPr>
        <w:rFonts w:hint="default"/>
      </w:rPr>
    </w:lvl>
    <w:lvl w:ilvl="4" w:tplc="23967D3A">
      <w:start w:val="1"/>
      <w:numFmt w:val="bullet"/>
      <w:lvlText w:val="•"/>
      <w:lvlJc w:val="left"/>
      <w:pPr>
        <w:ind w:left="2492" w:hanging="284"/>
      </w:pPr>
      <w:rPr>
        <w:rFonts w:hint="default"/>
      </w:rPr>
    </w:lvl>
    <w:lvl w:ilvl="5" w:tplc="A1105360">
      <w:start w:val="1"/>
      <w:numFmt w:val="bullet"/>
      <w:lvlText w:val="•"/>
      <w:lvlJc w:val="left"/>
      <w:pPr>
        <w:ind w:left="2940" w:hanging="284"/>
      </w:pPr>
      <w:rPr>
        <w:rFonts w:hint="default"/>
      </w:rPr>
    </w:lvl>
    <w:lvl w:ilvl="6" w:tplc="1D5A8006">
      <w:start w:val="1"/>
      <w:numFmt w:val="bullet"/>
      <w:lvlText w:val="•"/>
      <w:lvlJc w:val="left"/>
      <w:pPr>
        <w:ind w:left="3388" w:hanging="284"/>
      </w:pPr>
      <w:rPr>
        <w:rFonts w:hint="default"/>
      </w:rPr>
    </w:lvl>
    <w:lvl w:ilvl="7" w:tplc="CAD8527E">
      <w:start w:val="1"/>
      <w:numFmt w:val="bullet"/>
      <w:lvlText w:val="•"/>
      <w:lvlJc w:val="left"/>
      <w:pPr>
        <w:ind w:left="3836" w:hanging="284"/>
      </w:pPr>
      <w:rPr>
        <w:rFonts w:hint="default"/>
      </w:rPr>
    </w:lvl>
    <w:lvl w:ilvl="8" w:tplc="2DAA237C">
      <w:start w:val="1"/>
      <w:numFmt w:val="bullet"/>
      <w:lvlText w:val="•"/>
      <w:lvlJc w:val="left"/>
      <w:pPr>
        <w:ind w:left="4284" w:hanging="284"/>
      </w:pPr>
      <w:rPr>
        <w:rFonts w:hint="default"/>
      </w:rPr>
    </w:lvl>
  </w:abstractNum>
  <w:abstractNum w:abstractNumId="30" w15:restartNumberingAfterBreak="0">
    <w:nsid w:val="6A871412"/>
    <w:multiLevelType w:val="hybridMultilevel"/>
    <w:tmpl w:val="679EAFA2"/>
    <w:lvl w:ilvl="0" w:tplc="59822F40">
      <w:start w:val="1"/>
      <w:numFmt w:val="bullet"/>
      <w:lvlText w:val="•"/>
      <w:lvlJc w:val="left"/>
      <w:pPr>
        <w:ind w:left="1984" w:hanging="284"/>
      </w:pPr>
      <w:rPr>
        <w:rFonts w:ascii="Lucida Sans Unicode" w:eastAsia="Lucida Sans Unicode" w:hAnsi="Lucida Sans Unicode" w:hint="default"/>
        <w:w w:val="59"/>
        <w:sz w:val="21"/>
        <w:szCs w:val="21"/>
      </w:rPr>
    </w:lvl>
    <w:lvl w:ilvl="1" w:tplc="0298ED54">
      <w:start w:val="1"/>
      <w:numFmt w:val="bullet"/>
      <w:lvlText w:val="•"/>
      <w:lvlJc w:val="left"/>
      <w:pPr>
        <w:ind w:left="2808" w:hanging="284"/>
      </w:pPr>
      <w:rPr>
        <w:rFonts w:hint="default"/>
      </w:rPr>
    </w:lvl>
    <w:lvl w:ilvl="2" w:tplc="3ACE3B56">
      <w:start w:val="1"/>
      <w:numFmt w:val="bullet"/>
      <w:lvlText w:val="•"/>
      <w:lvlJc w:val="left"/>
      <w:pPr>
        <w:ind w:left="3632" w:hanging="284"/>
      </w:pPr>
      <w:rPr>
        <w:rFonts w:hint="default"/>
      </w:rPr>
    </w:lvl>
    <w:lvl w:ilvl="3" w:tplc="AA96C0BE">
      <w:start w:val="1"/>
      <w:numFmt w:val="bullet"/>
      <w:lvlText w:val="•"/>
      <w:lvlJc w:val="left"/>
      <w:pPr>
        <w:ind w:left="4456" w:hanging="284"/>
      </w:pPr>
      <w:rPr>
        <w:rFonts w:hint="default"/>
      </w:rPr>
    </w:lvl>
    <w:lvl w:ilvl="4" w:tplc="CA98A634">
      <w:start w:val="1"/>
      <w:numFmt w:val="bullet"/>
      <w:lvlText w:val="•"/>
      <w:lvlJc w:val="left"/>
      <w:pPr>
        <w:ind w:left="5280" w:hanging="284"/>
      </w:pPr>
      <w:rPr>
        <w:rFonts w:hint="default"/>
      </w:rPr>
    </w:lvl>
    <w:lvl w:ilvl="5" w:tplc="AA4A5076">
      <w:start w:val="1"/>
      <w:numFmt w:val="bullet"/>
      <w:lvlText w:val="•"/>
      <w:lvlJc w:val="left"/>
      <w:pPr>
        <w:ind w:left="6104" w:hanging="284"/>
      </w:pPr>
      <w:rPr>
        <w:rFonts w:hint="default"/>
      </w:rPr>
    </w:lvl>
    <w:lvl w:ilvl="6" w:tplc="44422EEC">
      <w:start w:val="1"/>
      <w:numFmt w:val="bullet"/>
      <w:lvlText w:val="•"/>
      <w:lvlJc w:val="left"/>
      <w:pPr>
        <w:ind w:left="6929" w:hanging="284"/>
      </w:pPr>
      <w:rPr>
        <w:rFonts w:hint="default"/>
      </w:rPr>
    </w:lvl>
    <w:lvl w:ilvl="7" w:tplc="91644454">
      <w:start w:val="1"/>
      <w:numFmt w:val="bullet"/>
      <w:lvlText w:val="•"/>
      <w:lvlJc w:val="left"/>
      <w:pPr>
        <w:ind w:left="7753" w:hanging="284"/>
      </w:pPr>
      <w:rPr>
        <w:rFonts w:hint="default"/>
      </w:rPr>
    </w:lvl>
    <w:lvl w:ilvl="8" w:tplc="99B2DCF6">
      <w:start w:val="1"/>
      <w:numFmt w:val="bullet"/>
      <w:lvlText w:val="•"/>
      <w:lvlJc w:val="left"/>
      <w:pPr>
        <w:ind w:left="8577" w:hanging="284"/>
      </w:pPr>
      <w:rPr>
        <w:rFonts w:hint="default"/>
      </w:rPr>
    </w:lvl>
  </w:abstractNum>
  <w:abstractNum w:abstractNumId="31" w15:restartNumberingAfterBreak="0">
    <w:nsid w:val="6AB61074"/>
    <w:multiLevelType w:val="hybridMultilevel"/>
    <w:tmpl w:val="E9D8A206"/>
    <w:lvl w:ilvl="0" w:tplc="32DEC6B8">
      <w:start w:val="1"/>
      <w:numFmt w:val="bullet"/>
      <w:lvlText w:val="–"/>
      <w:lvlJc w:val="left"/>
      <w:pPr>
        <w:ind w:left="662" w:hanging="284"/>
      </w:pPr>
      <w:rPr>
        <w:rFonts w:ascii="Arial Black" w:eastAsia="Arial Black" w:hAnsi="Arial Black" w:hint="default"/>
        <w:b/>
        <w:bCs/>
        <w:sz w:val="21"/>
        <w:szCs w:val="21"/>
      </w:rPr>
    </w:lvl>
    <w:lvl w:ilvl="1" w:tplc="040C801C">
      <w:start w:val="1"/>
      <w:numFmt w:val="bullet"/>
      <w:lvlText w:val="•"/>
      <w:lvlJc w:val="left"/>
      <w:pPr>
        <w:ind w:left="1109" w:hanging="284"/>
      </w:pPr>
      <w:rPr>
        <w:rFonts w:hint="default"/>
      </w:rPr>
    </w:lvl>
    <w:lvl w:ilvl="2" w:tplc="1250F1EE">
      <w:start w:val="1"/>
      <w:numFmt w:val="bullet"/>
      <w:lvlText w:val="•"/>
      <w:lvlJc w:val="left"/>
      <w:pPr>
        <w:ind w:left="1557" w:hanging="284"/>
      </w:pPr>
      <w:rPr>
        <w:rFonts w:hint="default"/>
      </w:rPr>
    </w:lvl>
    <w:lvl w:ilvl="3" w:tplc="EED03DEA">
      <w:start w:val="1"/>
      <w:numFmt w:val="bullet"/>
      <w:lvlText w:val="•"/>
      <w:lvlJc w:val="left"/>
      <w:pPr>
        <w:ind w:left="2005" w:hanging="284"/>
      </w:pPr>
      <w:rPr>
        <w:rFonts w:hint="default"/>
      </w:rPr>
    </w:lvl>
    <w:lvl w:ilvl="4" w:tplc="C2526822">
      <w:start w:val="1"/>
      <w:numFmt w:val="bullet"/>
      <w:lvlText w:val="•"/>
      <w:lvlJc w:val="left"/>
      <w:pPr>
        <w:ind w:left="2453" w:hanging="284"/>
      </w:pPr>
      <w:rPr>
        <w:rFonts w:hint="default"/>
      </w:rPr>
    </w:lvl>
    <w:lvl w:ilvl="5" w:tplc="3B98B002">
      <w:start w:val="1"/>
      <w:numFmt w:val="bullet"/>
      <w:lvlText w:val="•"/>
      <w:lvlJc w:val="left"/>
      <w:pPr>
        <w:ind w:left="2901" w:hanging="284"/>
      </w:pPr>
      <w:rPr>
        <w:rFonts w:hint="default"/>
      </w:rPr>
    </w:lvl>
    <w:lvl w:ilvl="6" w:tplc="E2B4B88C">
      <w:start w:val="1"/>
      <w:numFmt w:val="bullet"/>
      <w:lvlText w:val="•"/>
      <w:lvlJc w:val="left"/>
      <w:pPr>
        <w:ind w:left="3349" w:hanging="284"/>
      </w:pPr>
      <w:rPr>
        <w:rFonts w:hint="default"/>
      </w:rPr>
    </w:lvl>
    <w:lvl w:ilvl="7" w:tplc="716A8E58">
      <w:start w:val="1"/>
      <w:numFmt w:val="bullet"/>
      <w:lvlText w:val="•"/>
      <w:lvlJc w:val="left"/>
      <w:pPr>
        <w:ind w:left="3797" w:hanging="284"/>
      </w:pPr>
      <w:rPr>
        <w:rFonts w:hint="default"/>
      </w:rPr>
    </w:lvl>
    <w:lvl w:ilvl="8" w:tplc="31BAFC90">
      <w:start w:val="1"/>
      <w:numFmt w:val="bullet"/>
      <w:lvlText w:val="•"/>
      <w:lvlJc w:val="left"/>
      <w:pPr>
        <w:ind w:left="4245" w:hanging="284"/>
      </w:pPr>
      <w:rPr>
        <w:rFonts w:hint="default"/>
      </w:rPr>
    </w:lvl>
  </w:abstractNum>
  <w:abstractNum w:abstractNumId="32" w15:restartNumberingAfterBreak="0">
    <w:nsid w:val="761C54D3"/>
    <w:multiLevelType w:val="hybridMultilevel"/>
    <w:tmpl w:val="6F1E4EBE"/>
    <w:lvl w:ilvl="0" w:tplc="14090001">
      <w:start w:val="1"/>
      <w:numFmt w:val="bullet"/>
      <w:lvlText w:val=""/>
      <w:lvlJc w:val="left"/>
      <w:pPr>
        <w:tabs>
          <w:tab w:val="num" w:pos="360"/>
        </w:tabs>
        <w:ind w:left="360" w:hanging="360"/>
      </w:pPr>
      <w:rPr>
        <w:rFonts w:ascii="Symbol" w:hAnsi="Symbol" w:hint="default"/>
      </w:rPr>
    </w:lvl>
    <w:lvl w:ilvl="1" w:tplc="14090001">
      <w:start w:val="1"/>
      <w:numFmt w:val="bullet"/>
      <w:lvlText w:val=""/>
      <w:lvlJc w:val="left"/>
      <w:pPr>
        <w:tabs>
          <w:tab w:val="num" w:pos="1080"/>
        </w:tabs>
        <w:ind w:left="1080" w:hanging="360"/>
      </w:pPr>
      <w:rPr>
        <w:rFonts w:ascii="Symbol" w:hAnsi="Symbol"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3" w15:restartNumberingAfterBreak="0">
    <w:nsid w:val="77C22D33"/>
    <w:multiLevelType w:val="hybridMultilevel"/>
    <w:tmpl w:val="8A00ADC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4" w15:restartNumberingAfterBreak="0">
    <w:nsid w:val="790B609F"/>
    <w:multiLevelType w:val="hybridMultilevel"/>
    <w:tmpl w:val="DADE0218"/>
    <w:lvl w:ilvl="0" w:tplc="B80C461A">
      <w:start w:val="1"/>
      <w:numFmt w:val="bullet"/>
      <w:lvlText w:val="•"/>
      <w:lvlJc w:val="left"/>
      <w:pPr>
        <w:ind w:left="587" w:hanging="284"/>
      </w:pPr>
      <w:rPr>
        <w:rFonts w:ascii="Lucida Sans Unicode" w:eastAsia="Lucida Sans Unicode" w:hAnsi="Lucida Sans Unicode" w:hint="default"/>
        <w:w w:val="59"/>
        <w:sz w:val="21"/>
        <w:szCs w:val="21"/>
      </w:rPr>
    </w:lvl>
    <w:lvl w:ilvl="1" w:tplc="DA12774A">
      <w:start w:val="1"/>
      <w:numFmt w:val="bullet"/>
      <w:lvlText w:val="•"/>
      <w:lvlJc w:val="left"/>
      <w:pPr>
        <w:ind w:left="2267" w:hanging="284"/>
      </w:pPr>
      <w:rPr>
        <w:rFonts w:ascii="Lucida Sans Unicode" w:eastAsia="Lucida Sans Unicode" w:hAnsi="Lucida Sans Unicode" w:hint="default"/>
        <w:w w:val="59"/>
        <w:sz w:val="21"/>
        <w:szCs w:val="21"/>
      </w:rPr>
    </w:lvl>
    <w:lvl w:ilvl="2" w:tplc="C6E244EC">
      <w:start w:val="1"/>
      <w:numFmt w:val="bullet"/>
      <w:lvlText w:val="•"/>
      <w:lvlJc w:val="left"/>
      <w:pPr>
        <w:ind w:left="2689" w:hanging="284"/>
      </w:pPr>
      <w:rPr>
        <w:rFonts w:hint="default"/>
      </w:rPr>
    </w:lvl>
    <w:lvl w:ilvl="3" w:tplc="8ADA74DA">
      <w:start w:val="1"/>
      <w:numFmt w:val="bullet"/>
      <w:lvlText w:val="•"/>
      <w:lvlJc w:val="left"/>
      <w:pPr>
        <w:ind w:left="3111" w:hanging="284"/>
      </w:pPr>
      <w:rPr>
        <w:rFonts w:hint="default"/>
      </w:rPr>
    </w:lvl>
    <w:lvl w:ilvl="4" w:tplc="4FC0E628">
      <w:start w:val="1"/>
      <w:numFmt w:val="bullet"/>
      <w:lvlText w:val="•"/>
      <w:lvlJc w:val="left"/>
      <w:pPr>
        <w:ind w:left="3532" w:hanging="284"/>
      </w:pPr>
      <w:rPr>
        <w:rFonts w:hint="default"/>
      </w:rPr>
    </w:lvl>
    <w:lvl w:ilvl="5" w:tplc="531CD59C">
      <w:start w:val="1"/>
      <w:numFmt w:val="bullet"/>
      <w:lvlText w:val="•"/>
      <w:lvlJc w:val="left"/>
      <w:pPr>
        <w:ind w:left="3954" w:hanging="284"/>
      </w:pPr>
      <w:rPr>
        <w:rFonts w:hint="default"/>
      </w:rPr>
    </w:lvl>
    <w:lvl w:ilvl="6" w:tplc="53CAE810">
      <w:start w:val="1"/>
      <w:numFmt w:val="bullet"/>
      <w:lvlText w:val="•"/>
      <w:lvlJc w:val="left"/>
      <w:pPr>
        <w:ind w:left="4376" w:hanging="284"/>
      </w:pPr>
      <w:rPr>
        <w:rFonts w:hint="default"/>
      </w:rPr>
    </w:lvl>
    <w:lvl w:ilvl="7" w:tplc="4F583E0A">
      <w:start w:val="1"/>
      <w:numFmt w:val="bullet"/>
      <w:lvlText w:val="•"/>
      <w:lvlJc w:val="left"/>
      <w:pPr>
        <w:ind w:left="4798" w:hanging="284"/>
      </w:pPr>
      <w:rPr>
        <w:rFonts w:hint="default"/>
      </w:rPr>
    </w:lvl>
    <w:lvl w:ilvl="8" w:tplc="4E8A9C6C">
      <w:start w:val="1"/>
      <w:numFmt w:val="bullet"/>
      <w:lvlText w:val="•"/>
      <w:lvlJc w:val="left"/>
      <w:pPr>
        <w:ind w:left="5219" w:hanging="284"/>
      </w:pPr>
      <w:rPr>
        <w:rFonts w:hint="default"/>
      </w:rPr>
    </w:lvl>
  </w:abstractNum>
  <w:abstractNum w:abstractNumId="35" w15:restartNumberingAfterBreak="0">
    <w:nsid w:val="7A46122C"/>
    <w:multiLevelType w:val="hybridMultilevel"/>
    <w:tmpl w:val="5888C120"/>
    <w:lvl w:ilvl="0" w:tplc="14090017">
      <w:start w:val="1"/>
      <w:numFmt w:val="lowerLetter"/>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36" w15:restartNumberingAfterBreak="0">
    <w:nsid w:val="7C1218D3"/>
    <w:multiLevelType w:val="singleLevel"/>
    <w:tmpl w:val="B224B1E2"/>
    <w:lvl w:ilvl="0">
      <w:start w:val="1"/>
      <w:numFmt w:val="bullet"/>
      <w:pStyle w:val="Bullet"/>
      <w:lvlText w:val=""/>
      <w:lvlJc w:val="left"/>
      <w:pPr>
        <w:tabs>
          <w:tab w:val="num" w:pos="284"/>
        </w:tabs>
        <w:ind w:left="284" w:hanging="284"/>
      </w:pPr>
      <w:rPr>
        <w:rFonts w:ascii="Symbol" w:hAnsi="Symbol" w:hint="default"/>
        <w:sz w:val="18"/>
      </w:rPr>
    </w:lvl>
  </w:abstractNum>
  <w:abstractNum w:abstractNumId="37" w15:restartNumberingAfterBreak="0">
    <w:nsid w:val="7C970E9C"/>
    <w:multiLevelType w:val="hybridMultilevel"/>
    <w:tmpl w:val="4384984A"/>
    <w:lvl w:ilvl="0" w:tplc="C93A288C">
      <w:start w:val="1"/>
      <w:numFmt w:val="bullet"/>
      <w:lvlText w:val="•"/>
      <w:lvlJc w:val="left"/>
      <w:pPr>
        <w:ind w:left="246" w:hanging="134"/>
      </w:pPr>
      <w:rPr>
        <w:rFonts w:ascii="Arial Unicode MS" w:eastAsia="Arial Unicode MS" w:hAnsi="Arial Unicode MS" w:hint="default"/>
        <w:w w:val="107"/>
        <w:sz w:val="21"/>
        <w:szCs w:val="21"/>
      </w:rPr>
    </w:lvl>
    <w:lvl w:ilvl="1" w:tplc="DA5E0414">
      <w:start w:val="1"/>
      <w:numFmt w:val="bullet"/>
      <w:lvlText w:val="•"/>
      <w:lvlJc w:val="left"/>
      <w:pPr>
        <w:ind w:left="464" w:hanging="134"/>
      </w:pPr>
      <w:rPr>
        <w:rFonts w:hint="default"/>
      </w:rPr>
    </w:lvl>
    <w:lvl w:ilvl="2" w:tplc="E29E55C8">
      <w:start w:val="1"/>
      <w:numFmt w:val="bullet"/>
      <w:lvlText w:val="•"/>
      <w:lvlJc w:val="left"/>
      <w:pPr>
        <w:ind w:left="682" w:hanging="134"/>
      </w:pPr>
      <w:rPr>
        <w:rFonts w:hint="default"/>
      </w:rPr>
    </w:lvl>
    <w:lvl w:ilvl="3" w:tplc="38AA3A8C">
      <w:start w:val="1"/>
      <w:numFmt w:val="bullet"/>
      <w:lvlText w:val="•"/>
      <w:lvlJc w:val="left"/>
      <w:pPr>
        <w:ind w:left="900" w:hanging="134"/>
      </w:pPr>
      <w:rPr>
        <w:rFonts w:hint="default"/>
      </w:rPr>
    </w:lvl>
    <w:lvl w:ilvl="4" w:tplc="6280268C">
      <w:start w:val="1"/>
      <w:numFmt w:val="bullet"/>
      <w:lvlText w:val="•"/>
      <w:lvlJc w:val="left"/>
      <w:pPr>
        <w:ind w:left="1118" w:hanging="134"/>
      </w:pPr>
      <w:rPr>
        <w:rFonts w:hint="default"/>
      </w:rPr>
    </w:lvl>
    <w:lvl w:ilvl="5" w:tplc="41CA4FC0">
      <w:start w:val="1"/>
      <w:numFmt w:val="bullet"/>
      <w:lvlText w:val="•"/>
      <w:lvlJc w:val="left"/>
      <w:pPr>
        <w:ind w:left="1336" w:hanging="134"/>
      </w:pPr>
      <w:rPr>
        <w:rFonts w:hint="default"/>
      </w:rPr>
    </w:lvl>
    <w:lvl w:ilvl="6" w:tplc="F828CB0C">
      <w:start w:val="1"/>
      <w:numFmt w:val="bullet"/>
      <w:lvlText w:val="•"/>
      <w:lvlJc w:val="left"/>
      <w:pPr>
        <w:ind w:left="1554" w:hanging="134"/>
      </w:pPr>
      <w:rPr>
        <w:rFonts w:hint="default"/>
      </w:rPr>
    </w:lvl>
    <w:lvl w:ilvl="7" w:tplc="21BEBEB6">
      <w:start w:val="1"/>
      <w:numFmt w:val="bullet"/>
      <w:lvlText w:val="•"/>
      <w:lvlJc w:val="left"/>
      <w:pPr>
        <w:ind w:left="1771" w:hanging="134"/>
      </w:pPr>
      <w:rPr>
        <w:rFonts w:hint="default"/>
      </w:rPr>
    </w:lvl>
    <w:lvl w:ilvl="8" w:tplc="D11CBA8E">
      <w:start w:val="1"/>
      <w:numFmt w:val="bullet"/>
      <w:lvlText w:val="•"/>
      <w:lvlJc w:val="left"/>
      <w:pPr>
        <w:ind w:left="1989" w:hanging="134"/>
      </w:pPr>
      <w:rPr>
        <w:rFonts w:hint="default"/>
      </w:rPr>
    </w:lvl>
  </w:abstractNum>
  <w:abstractNum w:abstractNumId="38" w15:restartNumberingAfterBreak="0">
    <w:nsid w:val="7CC72B21"/>
    <w:multiLevelType w:val="multilevel"/>
    <w:tmpl w:val="273EF2D8"/>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num w:numId="1" w16cid:durableId="1091048799">
    <w:abstractNumId w:val="36"/>
  </w:num>
  <w:num w:numId="2" w16cid:durableId="328215418">
    <w:abstractNumId w:val="28"/>
  </w:num>
  <w:num w:numId="3" w16cid:durableId="1543439260">
    <w:abstractNumId w:val="20"/>
  </w:num>
  <w:num w:numId="4" w16cid:durableId="50546588">
    <w:abstractNumId w:val="21"/>
  </w:num>
  <w:num w:numId="5" w16cid:durableId="442191728">
    <w:abstractNumId w:val="2"/>
  </w:num>
  <w:num w:numId="6" w16cid:durableId="2140107170">
    <w:abstractNumId w:val="38"/>
  </w:num>
  <w:num w:numId="7" w16cid:durableId="1936477723">
    <w:abstractNumId w:val="14"/>
  </w:num>
  <w:num w:numId="8" w16cid:durableId="1583562581">
    <w:abstractNumId w:val="4"/>
  </w:num>
  <w:num w:numId="9" w16cid:durableId="1430737121">
    <w:abstractNumId w:val="35"/>
  </w:num>
  <w:num w:numId="10" w16cid:durableId="334500591">
    <w:abstractNumId w:val="3"/>
  </w:num>
  <w:num w:numId="11" w16cid:durableId="1198739022">
    <w:abstractNumId w:val="32"/>
  </w:num>
  <w:num w:numId="12" w16cid:durableId="776364099">
    <w:abstractNumId w:val="5"/>
  </w:num>
  <w:num w:numId="13" w16cid:durableId="1574775098">
    <w:abstractNumId w:val="9"/>
  </w:num>
  <w:num w:numId="14" w16cid:durableId="966394992">
    <w:abstractNumId w:val="7"/>
  </w:num>
  <w:num w:numId="15" w16cid:durableId="1640576176">
    <w:abstractNumId w:val="10"/>
  </w:num>
  <w:num w:numId="16" w16cid:durableId="851146891">
    <w:abstractNumId w:val="24"/>
  </w:num>
  <w:num w:numId="17" w16cid:durableId="815295768">
    <w:abstractNumId w:val="12"/>
  </w:num>
  <w:num w:numId="18" w16cid:durableId="1238056866">
    <w:abstractNumId w:val="30"/>
  </w:num>
  <w:num w:numId="19" w16cid:durableId="1228417670">
    <w:abstractNumId w:val="13"/>
  </w:num>
  <w:num w:numId="20" w16cid:durableId="130024203">
    <w:abstractNumId w:val="23"/>
  </w:num>
  <w:num w:numId="21" w16cid:durableId="1485121534">
    <w:abstractNumId w:val="8"/>
  </w:num>
  <w:num w:numId="22" w16cid:durableId="70664626">
    <w:abstractNumId w:val="6"/>
  </w:num>
  <w:num w:numId="23" w16cid:durableId="1676422666">
    <w:abstractNumId w:val="26"/>
  </w:num>
  <w:num w:numId="24" w16cid:durableId="984315936">
    <w:abstractNumId w:val="25"/>
  </w:num>
  <w:num w:numId="25" w16cid:durableId="762065321">
    <w:abstractNumId w:val="37"/>
  </w:num>
  <w:num w:numId="26" w16cid:durableId="1763145202">
    <w:abstractNumId w:val="16"/>
  </w:num>
  <w:num w:numId="27" w16cid:durableId="2034377048">
    <w:abstractNumId w:val="31"/>
  </w:num>
  <w:num w:numId="28" w16cid:durableId="1180435832">
    <w:abstractNumId w:val="29"/>
  </w:num>
  <w:num w:numId="29" w16cid:durableId="1846551317">
    <w:abstractNumId w:val="22"/>
  </w:num>
  <w:num w:numId="30" w16cid:durableId="804738864">
    <w:abstractNumId w:val="11"/>
  </w:num>
  <w:num w:numId="31" w16cid:durableId="100496334">
    <w:abstractNumId w:val="34"/>
  </w:num>
  <w:num w:numId="32" w16cid:durableId="1237204407">
    <w:abstractNumId w:val="17"/>
  </w:num>
  <w:num w:numId="33" w16cid:durableId="1457875100">
    <w:abstractNumId w:val="33"/>
  </w:num>
  <w:num w:numId="34" w16cid:durableId="127247359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461025742">
    <w:abstractNumId w:val="15"/>
  </w:num>
  <w:num w:numId="36" w16cid:durableId="769131573">
    <w:abstractNumId w:val="19"/>
  </w:num>
  <w:num w:numId="37" w16cid:durableId="1309164077">
    <w:abstractNumId w:val="27"/>
  </w:num>
  <w:num w:numId="38" w16cid:durableId="1850291307">
    <w:abstractNumId w:val="0"/>
  </w:num>
  <w:num w:numId="39" w16cid:durableId="1631083897">
    <w:abstractNumId w:val="18"/>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567"/>
  <w:evenAndOddHeaders/>
  <w:drawingGridHorizontalSpacing w:val="57"/>
  <w:drawingGridVerticalSpacing w:val="57"/>
  <w:displayHorizontalDrawingGridEvery w:val="0"/>
  <w:displayVerticalDrawingGridEvery w:val="0"/>
  <w:doNotUseMarginsForDrawingGridOrigin/>
  <w:drawingGridVerticalOrigin w:val="1985"/>
  <w:noPunctuationKerning/>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78EB"/>
    <w:rsid w:val="000025B8"/>
    <w:rsid w:val="00005BB5"/>
    <w:rsid w:val="00025A6F"/>
    <w:rsid w:val="0002618D"/>
    <w:rsid w:val="00030B26"/>
    <w:rsid w:val="00030E84"/>
    <w:rsid w:val="00032C0A"/>
    <w:rsid w:val="00035257"/>
    <w:rsid w:val="00035D68"/>
    <w:rsid w:val="000420E5"/>
    <w:rsid w:val="000455F2"/>
    <w:rsid w:val="00054B44"/>
    <w:rsid w:val="0006228D"/>
    <w:rsid w:val="00072BD6"/>
    <w:rsid w:val="00075B78"/>
    <w:rsid w:val="000763E9"/>
    <w:rsid w:val="00082CD6"/>
    <w:rsid w:val="0008437D"/>
    <w:rsid w:val="00085AFE"/>
    <w:rsid w:val="00094800"/>
    <w:rsid w:val="000A41ED"/>
    <w:rsid w:val="000B0730"/>
    <w:rsid w:val="000D19F4"/>
    <w:rsid w:val="000D58DD"/>
    <w:rsid w:val="000F2AE2"/>
    <w:rsid w:val="000F2BFF"/>
    <w:rsid w:val="00102063"/>
    <w:rsid w:val="0010541C"/>
    <w:rsid w:val="00106F93"/>
    <w:rsid w:val="00111D50"/>
    <w:rsid w:val="00113B8E"/>
    <w:rsid w:val="0012053C"/>
    <w:rsid w:val="00122363"/>
    <w:rsid w:val="001342C7"/>
    <w:rsid w:val="0013585C"/>
    <w:rsid w:val="00142261"/>
    <w:rsid w:val="00142954"/>
    <w:rsid w:val="001460E0"/>
    <w:rsid w:val="001472F0"/>
    <w:rsid w:val="00147F71"/>
    <w:rsid w:val="00150A6E"/>
    <w:rsid w:val="0016304B"/>
    <w:rsid w:val="0016468A"/>
    <w:rsid w:val="0018662D"/>
    <w:rsid w:val="00197427"/>
    <w:rsid w:val="001A21B4"/>
    <w:rsid w:val="001A5CF5"/>
    <w:rsid w:val="001B39D2"/>
    <w:rsid w:val="001B4BF8"/>
    <w:rsid w:val="001C4326"/>
    <w:rsid w:val="001C665E"/>
    <w:rsid w:val="001D3541"/>
    <w:rsid w:val="001D3E4E"/>
    <w:rsid w:val="001E254A"/>
    <w:rsid w:val="001E7386"/>
    <w:rsid w:val="001F45A7"/>
    <w:rsid w:val="00201A01"/>
    <w:rsid w:val="0020754B"/>
    <w:rsid w:val="002104D3"/>
    <w:rsid w:val="00213A33"/>
    <w:rsid w:val="0021763B"/>
    <w:rsid w:val="0024354A"/>
    <w:rsid w:val="00246DB1"/>
    <w:rsid w:val="002476B5"/>
    <w:rsid w:val="002520CC"/>
    <w:rsid w:val="00253ECF"/>
    <w:rsid w:val="002546A1"/>
    <w:rsid w:val="002628F4"/>
    <w:rsid w:val="00275D08"/>
    <w:rsid w:val="002858E3"/>
    <w:rsid w:val="00286A2A"/>
    <w:rsid w:val="0029190A"/>
    <w:rsid w:val="00292C5A"/>
    <w:rsid w:val="00295241"/>
    <w:rsid w:val="002A4DFC"/>
    <w:rsid w:val="002B047D"/>
    <w:rsid w:val="002B732B"/>
    <w:rsid w:val="002B76A7"/>
    <w:rsid w:val="002C2219"/>
    <w:rsid w:val="002C2552"/>
    <w:rsid w:val="002C380A"/>
    <w:rsid w:val="002D0DF2"/>
    <w:rsid w:val="002D23BD"/>
    <w:rsid w:val="002E0B47"/>
    <w:rsid w:val="002F4685"/>
    <w:rsid w:val="002F7213"/>
    <w:rsid w:val="0030382F"/>
    <w:rsid w:val="0030408D"/>
    <w:rsid w:val="003060E4"/>
    <w:rsid w:val="003160E7"/>
    <w:rsid w:val="0031739E"/>
    <w:rsid w:val="003309CA"/>
    <w:rsid w:val="003325AB"/>
    <w:rsid w:val="003332D1"/>
    <w:rsid w:val="0033412B"/>
    <w:rsid w:val="00341161"/>
    <w:rsid w:val="00343365"/>
    <w:rsid w:val="003445F4"/>
    <w:rsid w:val="00353501"/>
    <w:rsid w:val="00353734"/>
    <w:rsid w:val="003606F8"/>
    <w:rsid w:val="003648EF"/>
    <w:rsid w:val="003673E6"/>
    <w:rsid w:val="00377264"/>
    <w:rsid w:val="003779D2"/>
    <w:rsid w:val="00385E38"/>
    <w:rsid w:val="003A26A5"/>
    <w:rsid w:val="003A3761"/>
    <w:rsid w:val="003A512D"/>
    <w:rsid w:val="003A5FEA"/>
    <w:rsid w:val="003B1D10"/>
    <w:rsid w:val="003C76D4"/>
    <w:rsid w:val="003D137D"/>
    <w:rsid w:val="003D2CC5"/>
    <w:rsid w:val="003D7765"/>
    <w:rsid w:val="003E04C1"/>
    <w:rsid w:val="003E0887"/>
    <w:rsid w:val="003E74C8"/>
    <w:rsid w:val="003E7C46"/>
    <w:rsid w:val="003F2106"/>
    <w:rsid w:val="003F52A7"/>
    <w:rsid w:val="003F7013"/>
    <w:rsid w:val="0040240C"/>
    <w:rsid w:val="00407772"/>
    <w:rsid w:val="00413021"/>
    <w:rsid w:val="004152C5"/>
    <w:rsid w:val="004301C6"/>
    <w:rsid w:val="0043478F"/>
    <w:rsid w:val="0043602B"/>
    <w:rsid w:val="00440BE0"/>
    <w:rsid w:val="00442C1C"/>
    <w:rsid w:val="0044584B"/>
    <w:rsid w:val="00447CB7"/>
    <w:rsid w:val="00455CC9"/>
    <w:rsid w:val="00460826"/>
    <w:rsid w:val="00460EA7"/>
    <w:rsid w:val="0046195B"/>
    <w:rsid w:val="0046362D"/>
    <w:rsid w:val="0046596D"/>
    <w:rsid w:val="00484D78"/>
    <w:rsid w:val="00487C04"/>
    <w:rsid w:val="004907E1"/>
    <w:rsid w:val="00497443"/>
    <w:rsid w:val="00497F1D"/>
    <w:rsid w:val="004A035B"/>
    <w:rsid w:val="004A2108"/>
    <w:rsid w:val="004A38D7"/>
    <w:rsid w:val="004A778C"/>
    <w:rsid w:val="004B43AB"/>
    <w:rsid w:val="004B48C7"/>
    <w:rsid w:val="004C2E6A"/>
    <w:rsid w:val="004C64B8"/>
    <w:rsid w:val="004D2A2D"/>
    <w:rsid w:val="004D479F"/>
    <w:rsid w:val="004D6689"/>
    <w:rsid w:val="004E1D1D"/>
    <w:rsid w:val="004E7AC8"/>
    <w:rsid w:val="004F0C94"/>
    <w:rsid w:val="005019AE"/>
    <w:rsid w:val="00503749"/>
    <w:rsid w:val="00504CF4"/>
    <w:rsid w:val="0050635B"/>
    <w:rsid w:val="005151C2"/>
    <w:rsid w:val="0053199F"/>
    <w:rsid w:val="00531E12"/>
    <w:rsid w:val="00533B90"/>
    <w:rsid w:val="00535C2F"/>
    <w:rsid w:val="005410F8"/>
    <w:rsid w:val="005448EC"/>
    <w:rsid w:val="00545963"/>
    <w:rsid w:val="00550256"/>
    <w:rsid w:val="00553165"/>
    <w:rsid w:val="00553958"/>
    <w:rsid w:val="00556BB7"/>
    <w:rsid w:val="0055763D"/>
    <w:rsid w:val="00561516"/>
    <w:rsid w:val="005621F2"/>
    <w:rsid w:val="005665FD"/>
    <w:rsid w:val="00567B58"/>
    <w:rsid w:val="00571223"/>
    <w:rsid w:val="005763E0"/>
    <w:rsid w:val="00581136"/>
    <w:rsid w:val="00581EB8"/>
    <w:rsid w:val="005A27CA"/>
    <w:rsid w:val="005A43BD"/>
    <w:rsid w:val="005A79E5"/>
    <w:rsid w:val="005D034C"/>
    <w:rsid w:val="005E226E"/>
    <w:rsid w:val="005E2636"/>
    <w:rsid w:val="005F3002"/>
    <w:rsid w:val="005F77FC"/>
    <w:rsid w:val="006015D7"/>
    <w:rsid w:val="00601B21"/>
    <w:rsid w:val="006041F0"/>
    <w:rsid w:val="00605C6D"/>
    <w:rsid w:val="006120CA"/>
    <w:rsid w:val="00624174"/>
    <w:rsid w:val="00626CF8"/>
    <w:rsid w:val="006314AF"/>
    <w:rsid w:val="00633A7A"/>
    <w:rsid w:val="00634ED8"/>
    <w:rsid w:val="00636D7D"/>
    <w:rsid w:val="00637408"/>
    <w:rsid w:val="00642868"/>
    <w:rsid w:val="00647AFE"/>
    <w:rsid w:val="006512BC"/>
    <w:rsid w:val="00651CC6"/>
    <w:rsid w:val="00653A5A"/>
    <w:rsid w:val="006554AC"/>
    <w:rsid w:val="006575F4"/>
    <w:rsid w:val="006579E6"/>
    <w:rsid w:val="00660682"/>
    <w:rsid w:val="00660F74"/>
    <w:rsid w:val="00663EDC"/>
    <w:rsid w:val="00667E20"/>
    <w:rsid w:val="00671078"/>
    <w:rsid w:val="006758CA"/>
    <w:rsid w:val="0067720E"/>
    <w:rsid w:val="00680A04"/>
    <w:rsid w:val="00686D80"/>
    <w:rsid w:val="00694895"/>
    <w:rsid w:val="00697E2E"/>
    <w:rsid w:val="006A25A2"/>
    <w:rsid w:val="006A3B87"/>
    <w:rsid w:val="006B0E73"/>
    <w:rsid w:val="006B1E3D"/>
    <w:rsid w:val="006B39B0"/>
    <w:rsid w:val="006B4A4D"/>
    <w:rsid w:val="006B5695"/>
    <w:rsid w:val="006B7B2E"/>
    <w:rsid w:val="006C78EB"/>
    <w:rsid w:val="006D1660"/>
    <w:rsid w:val="006D63E5"/>
    <w:rsid w:val="006E1753"/>
    <w:rsid w:val="006E3911"/>
    <w:rsid w:val="006F1B67"/>
    <w:rsid w:val="006F4D9C"/>
    <w:rsid w:val="0070091D"/>
    <w:rsid w:val="00702854"/>
    <w:rsid w:val="0071741C"/>
    <w:rsid w:val="00742B90"/>
    <w:rsid w:val="0074434D"/>
    <w:rsid w:val="00753A1F"/>
    <w:rsid w:val="00753BC8"/>
    <w:rsid w:val="007570C4"/>
    <w:rsid w:val="007605B8"/>
    <w:rsid w:val="00771B1E"/>
    <w:rsid w:val="00773C95"/>
    <w:rsid w:val="0078171E"/>
    <w:rsid w:val="0078658E"/>
    <w:rsid w:val="00790FC8"/>
    <w:rsid w:val="007920E2"/>
    <w:rsid w:val="0079566E"/>
    <w:rsid w:val="00795B34"/>
    <w:rsid w:val="007A067F"/>
    <w:rsid w:val="007B1770"/>
    <w:rsid w:val="007B4D3E"/>
    <w:rsid w:val="007B7C70"/>
    <w:rsid w:val="007B7DEB"/>
    <w:rsid w:val="007C0449"/>
    <w:rsid w:val="007D2151"/>
    <w:rsid w:val="007D3B90"/>
    <w:rsid w:val="007D42CC"/>
    <w:rsid w:val="007D5DE4"/>
    <w:rsid w:val="007D7C3A"/>
    <w:rsid w:val="007E0777"/>
    <w:rsid w:val="007E1341"/>
    <w:rsid w:val="007E1B41"/>
    <w:rsid w:val="007E1EC4"/>
    <w:rsid w:val="007E30B9"/>
    <w:rsid w:val="007E603F"/>
    <w:rsid w:val="007E74F1"/>
    <w:rsid w:val="007F0F0C"/>
    <w:rsid w:val="007F1288"/>
    <w:rsid w:val="00800A8A"/>
    <w:rsid w:val="0080155C"/>
    <w:rsid w:val="008052E1"/>
    <w:rsid w:val="00815765"/>
    <w:rsid w:val="00821491"/>
    <w:rsid w:val="00822F2C"/>
    <w:rsid w:val="00823DEE"/>
    <w:rsid w:val="008305E8"/>
    <w:rsid w:val="00836165"/>
    <w:rsid w:val="0084640C"/>
    <w:rsid w:val="00856088"/>
    <w:rsid w:val="00860826"/>
    <w:rsid w:val="00860E21"/>
    <w:rsid w:val="00863117"/>
    <w:rsid w:val="0086388B"/>
    <w:rsid w:val="008642E5"/>
    <w:rsid w:val="00864488"/>
    <w:rsid w:val="00870A36"/>
    <w:rsid w:val="00872D93"/>
    <w:rsid w:val="00880470"/>
    <w:rsid w:val="00880D94"/>
    <w:rsid w:val="00886F64"/>
    <w:rsid w:val="008924DE"/>
    <w:rsid w:val="008A3755"/>
    <w:rsid w:val="008B19DC"/>
    <w:rsid w:val="008B264F"/>
    <w:rsid w:val="008B6F83"/>
    <w:rsid w:val="008B7FD8"/>
    <w:rsid w:val="008C1108"/>
    <w:rsid w:val="008C2973"/>
    <w:rsid w:val="008C6324"/>
    <w:rsid w:val="008C64C4"/>
    <w:rsid w:val="008D2CDD"/>
    <w:rsid w:val="008D74D5"/>
    <w:rsid w:val="008E0ED1"/>
    <w:rsid w:val="008E3A07"/>
    <w:rsid w:val="008E537B"/>
    <w:rsid w:val="008F29BE"/>
    <w:rsid w:val="008F2B72"/>
    <w:rsid w:val="008F4AE5"/>
    <w:rsid w:val="008F51EB"/>
    <w:rsid w:val="00900197"/>
    <w:rsid w:val="00902F55"/>
    <w:rsid w:val="0090582B"/>
    <w:rsid w:val="009060C0"/>
    <w:rsid w:val="009114A2"/>
    <w:rsid w:val="009133F5"/>
    <w:rsid w:val="0091756F"/>
    <w:rsid w:val="00920A27"/>
    <w:rsid w:val="00921216"/>
    <w:rsid w:val="009216CC"/>
    <w:rsid w:val="00926083"/>
    <w:rsid w:val="00930D08"/>
    <w:rsid w:val="00931466"/>
    <w:rsid w:val="00932D69"/>
    <w:rsid w:val="00935589"/>
    <w:rsid w:val="00944647"/>
    <w:rsid w:val="0095565C"/>
    <w:rsid w:val="00964AB6"/>
    <w:rsid w:val="00966F9A"/>
    <w:rsid w:val="00977B8A"/>
    <w:rsid w:val="00982971"/>
    <w:rsid w:val="009845AD"/>
    <w:rsid w:val="00984835"/>
    <w:rsid w:val="0098639B"/>
    <w:rsid w:val="009933EF"/>
    <w:rsid w:val="00993CEF"/>
    <w:rsid w:val="00995BA0"/>
    <w:rsid w:val="009A418B"/>
    <w:rsid w:val="009A426F"/>
    <w:rsid w:val="009A42D5"/>
    <w:rsid w:val="009A4473"/>
    <w:rsid w:val="009B05C9"/>
    <w:rsid w:val="009B286C"/>
    <w:rsid w:val="009C151C"/>
    <w:rsid w:val="009C440A"/>
    <w:rsid w:val="009D5125"/>
    <w:rsid w:val="009D60B8"/>
    <w:rsid w:val="009D7D4B"/>
    <w:rsid w:val="009E36ED"/>
    <w:rsid w:val="009E3C8C"/>
    <w:rsid w:val="009E6B77"/>
    <w:rsid w:val="009F460A"/>
    <w:rsid w:val="00A043FB"/>
    <w:rsid w:val="00A06BE4"/>
    <w:rsid w:val="00A0729C"/>
    <w:rsid w:val="00A07779"/>
    <w:rsid w:val="00A1166A"/>
    <w:rsid w:val="00A20B2E"/>
    <w:rsid w:val="00A24F33"/>
    <w:rsid w:val="00A25069"/>
    <w:rsid w:val="00A26E6B"/>
    <w:rsid w:val="00A3068F"/>
    <w:rsid w:val="00A3145B"/>
    <w:rsid w:val="00A339D0"/>
    <w:rsid w:val="00A41002"/>
    <w:rsid w:val="00A4201A"/>
    <w:rsid w:val="00A5465D"/>
    <w:rsid w:val="00A553CE"/>
    <w:rsid w:val="00A5677A"/>
    <w:rsid w:val="00A56DCC"/>
    <w:rsid w:val="00A625E8"/>
    <w:rsid w:val="00A63DFF"/>
    <w:rsid w:val="00A6490D"/>
    <w:rsid w:val="00A7415D"/>
    <w:rsid w:val="00A80363"/>
    <w:rsid w:val="00A80939"/>
    <w:rsid w:val="00A83E9D"/>
    <w:rsid w:val="00A87C05"/>
    <w:rsid w:val="00A9169D"/>
    <w:rsid w:val="00AA240C"/>
    <w:rsid w:val="00AC101C"/>
    <w:rsid w:val="00AD4CF1"/>
    <w:rsid w:val="00AD5988"/>
    <w:rsid w:val="00AD6293"/>
    <w:rsid w:val="00AE3F06"/>
    <w:rsid w:val="00AF0AEA"/>
    <w:rsid w:val="00AF1BA8"/>
    <w:rsid w:val="00AF7800"/>
    <w:rsid w:val="00B00CF5"/>
    <w:rsid w:val="00B072E0"/>
    <w:rsid w:val="00B1007E"/>
    <w:rsid w:val="00B253F6"/>
    <w:rsid w:val="00B26675"/>
    <w:rsid w:val="00B26F0F"/>
    <w:rsid w:val="00B305DB"/>
    <w:rsid w:val="00B332F8"/>
    <w:rsid w:val="00B347D3"/>
    <w:rsid w:val="00B3492B"/>
    <w:rsid w:val="00B36513"/>
    <w:rsid w:val="00B4646F"/>
    <w:rsid w:val="00B55C7D"/>
    <w:rsid w:val="00B5686F"/>
    <w:rsid w:val="00B63038"/>
    <w:rsid w:val="00B64BD8"/>
    <w:rsid w:val="00B701D1"/>
    <w:rsid w:val="00B73AF2"/>
    <w:rsid w:val="00B7551A"/>
    <w:rsid w:val="00B773F1"/>
    <w:rsid w:val="00B86AB1"/>
    <w:rsid w:val="00B97F07"/>
    <w:rsid w:val="00BA7EBA"/>
    <w:rsid w:val="00BB2A06"/>
    <w:rsid w:val="00BB2CBB"/>
    <w:rsid w:val="00BB4198"/>
    <w:rsid w:val="00BB7D17"/>
    <w:rsid w:val="00BC03EE"/>
    <w:rsid w:val="00BC59F1"/>
    <w:rsid w:val="00BF3DE1"/>
    <w:rsid w:val="00BF4843"/>
    <w:rsid w:val="00BF5205"/>
    <w:rsid w:val="00C05132"/>
    <w:rsid w:val="00C12508"/>
    <w:rsid w:val="00C23728"/>
    <w:rsid w:val="00C3026C"/>
    <w:rsid w:val="00C313A9"/>
    <w:rsid w:val="00C441CF"/>
    <w:rsid w:val="00C45AA2"/>
    <w:rsid w:val="00C4792C"/>
    <w:rsid w:val="00C55BEF"/>
    <w:rsid w:val="00C601AF"/>
    <w:rsid w:val="00C61A63"/>
    <w:rsid w:val="00C66296"/>
    <w:rsid w:val="00C7394D"/>
    <w:rsid w:val="00C77282"/>
    <w:rsid w:val="00C808A5"/>
    <w:rsid w:val="00C84DE5"/>
    <w:rsid w:val="00C86248"/>
    <w:rsid w:val="00C90B31"/>
    <w:rsid w:val="00C916E6"/>
    <w:rsid w:val="00CA0D6F"/>
    <w:rsid w:val="00CA4C33"/>
    <w:rsid w:val="00CA6F4A"/>
    <w:rsid w:val="00CB6427"/>
    <w:rsid w:val="00CC0FBE"/>
    <w:rsid w:val="00CC1A7C"/>
    <w:rsid w:val="00CD2119"/>
    <w:rsid w:val="00CD237A"/>
    <w:rsid w:val="00CD36AC"/>
    <w:rsid w:val="00CE13A3"/>
    <w:rsid w:val="00CE36BC"/>
    <w:rsid w:val="00CF1747"/>
    <w:rsid w:val="00CF60ED"/>
    <w:rsid w:val="00D05D74"/>
    <w:rsid w:val="00D20C59"/>
    <w:rsid w:val="00D23323"/>
    <w:rsid w:val="00D2392A"/>
    <w:rsid w:val="00D25FFE"/>
    <w:rsid w:val="00D37D80"/>
    <w:rsid w:val="00D4159A"/>
    <w:rsid w:val="00D4476F"/>
    <w:rsid w:val="00D50573"/>
    <w:rsid w:val="00D54D50"/>
    <w:rsid w:val="00D560B4"/>
    <w:rsid w:val="00D662F8"/>
    <w:rsid w:val="00D66797"/>
    <w:rsid w:val="00D7074B"/>
    <w:rsid w:val="00D7087C"/>
    <w:rsid w:val="00D70C3C"/>
    <w:rsid w:val="00D71DF7"/>
    <w:rsid w:val="00D72BE5"/>
    <w:rsid w:val="00D81462"/>
    <w:rsid w:val="00D82F26"/>
    <w:rsid w:val="00D863D0"/>
    <w:rsid w:val="00D86B00"/>
    <w:rsid w:val="00D86FB9"/>
    <w:rsid w:val="00D87C87"/>
    <w:rsid w:val="00D90BB4"/>
    <w:rsid w:val="00D90E07"/>
    <w:rsid w:val="00D932C2"/>
    <w:rsid w:val="00DB39CF"/>
    <w:rsid w:val="00DB7256"/>
    <w:rsid w:val="00DC0401"/>
    <w:rsid w:val="00DC20BD"/>
    <w:rsid w:val="00DD0BCD"/>
    <w:rsid w:val="00DD447A"/>
    <w:rsid w:val="00DD667C"/>
    <w:rsid w:val="00DE3B20"/>
    <w:rsid w:val="00DE6C94"/>
    <w:rsid w:val="00DE6FD7"/>
    <w:rsid w:val="00E23271"/>
    <w:rsid w:val="00E24F80"/>
    <w:rsid w:val="00E259F3"/>
    <w:rsid w:val="00E30985"/>
    <w:rsid w:val="00E33238"/>
    <w:rsid w:val="00E376B7"/>
    <w:rsid w:val="00E42F5D"/>
    <w:rsid w:val="00E4486C"/>
    <w:rsid w:val="00E460B6"/>
    <w:rsid w:val="00E511D5"/>
    <w:rsid w:val="00E53A9F"/>
    <w:rsid w:val="00E60249"/>
    <w:rsid w:val="00E65269"/>
    <w:rsid w:val="00E76D66"/>
    <w:rsid w:val="00E96DD0"/>
    <w:rsid w:val="00EA608C"/>
    <w:rsid w:val="00EA796A"/>
    <w:rsid w:val="00EB1856"/>
    <w:rsid w:val="00EC50CE"/>
    <w:rsid w:val="00EC5B34"/>
    <w:rsid w:val="00ED021E"/>
    <w:rsid w:val="00ED323C"/>
    <w:rsid w:val="00EE1FD7"/>
    <w:rsid w:val="00EE2D5C"/>
    <w:rsid w:val="00EE4ADE"/>
    <w:rsid w:val="00EE4DE8"/>
    <w:rsid w:val="00EE5CB7"/>
    <w:rsid w:val="00F024FE"/>
    <w:rsid w:val="00F05AD4"/>
    <w:rsid w:val="00F10EB6"/>
    <w:rsid w:val="00F13F07"/>
    <w:rsid w:val="00F140B2"/>
    <w:rsid w:val="00F1628D"/>
    <w:rsid w:val="00F25970"/>
    <w:rsid w:val="00F311A9"/>
    <w:rsid w:val="00F5180D"/>
    <w:rsid w:val="00F63781"/>
    <w:rsid w:val="00F67496"/>
    <w:rsid w:val="00F801BA"/>
    <w:rsid w:val="00F9366A"/>
    <w:rsid w:val="00F946C9"/>
    <w:rsid w:val="00FA0EA5"/>
    <w:rsid w:val="00FA74EE"/>
    <w:rsid w:val="00FC3711"/>
    <w:rsid w:val="00FC46E7"/>
    <w:rsid w:val="00FC5D25"/>
    <w:rsid w:val="00FD0D7E"/>
    <w:rsid w:val="00FD4FFB"/>
    <w:rsid w:val="00FE6E13"/>
    <w:rsid w:val="00FF15F6"/>
    <w:rsid w:val="00FF527C"/>
    <w:rsid w:val="00FF65CD"/>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ecimalSymbol w:val="."/>
  <w:listSeparator w:val=","/>
  <w14:docId w14:val="70EEEB9C"/>
  <w15:docId w15:val="{76CBE254-8ACF-4B34-B292-E855912413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NZ" w:eastAsia="en-NZ"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uiPriority="9" w:qFormat="1"/>
    <w:lsdException w:name="heading 3" w:uiPriority="9" w:qFormat="1"/>
    <w:lsdException w:name="heading 4" w:uiPriority="1" w:qFormat="1"/>
    <w:lsdException w:name="heading 5" w:uiPriority="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iPriority="0" w:unhideWhenUsed="1" w:qFormat="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362D"/>
    <w:rPr>
      <w:rFonts w:ascii="Segoe UI" w:hAnsi="Segoe UI"/>
      <w:sz w:val="21"/>
      <w:lang w:eastAsia="en-GB"/>
    </w:rPr>
  </w:style>
  <w:style w:type="paragraph" w:styleId="Heading1">
    <w:name w:val="heading 1"/>
    <w:basedOn w:val="Normal"/>
    <w:next w:val="Normal"/>
    <w:link w:val="Heading1Char"/>
    <w:uiPriority w:val="1"/>
    <w:qFormat/>
    <w:rsid w:val="00D86B00"/>
    <w:pPr>
      <w:keepNext/>
      <w:spacing w:before="600" w:after="360"/>
      <w:outlineLvl w:val="0"/>
    </w:pPr>
    <w:rPr>
      <w:b/>
      <w:color w:val="23305D"/>
      <w:spacing w:val="-10"/>
      <w:sz w:val="72"/>
    </w:rPr>
  </w:style>
  <w:style w:type="paragraph" w:styleId="Heading2">
    <w:name w:val="heading 2"/>
    <w:basedOn w:val="Normal"/>
    <w:next w:val="Normal"/>
    <w:link w:val="Heading2Char"/>
    <w:uiPriority w:val="9"/>
    <w:qFormat/>
    <w:rsid w:val="00030E84"/>
    <w:pPr>
      <w:keepNext/>
      <w:spacing w:before="480" w:after="180"/>
      <w:outlineLvl w:val="1"/>
    </w:pPr>
    <w:rPr>
      <w:b/>
      <w:color w:val="0A6AB4"/>
      <w:spacing w:val="-5"/>
      <w:sz w:val="48"/>
    </w:rPr>
  </w:style>
  <w:style w:type="paragraph" w:styleId="Heading3">
    <w:name w:val="heading 3"/>
    <w:basedOn w:val="Normal"/>
    <w:next w:val="Normal"/>
    <w:link w:val="Heading3Char"/>
    <w:uiPriority w:val="9"/>
    <w:qFormat/>
    <w:rsid w:val="00030E84"/>
    <w:pPr>
      <w:keepNext/>
      <w:spacing w:before="360" w:after="180"/>
      <w:outlineLvl w:val="2"/>
    </w:pPr>
    <w:rPr>
      <w:color w:val="0A6AB4"/>
      <w:spacing w:val="-5"/>
      <w:sz w:val="36"/>
    </w:rPr>
  </w:style>
  <w:style w:type="paragraph" w:styleId="Heading4">
    <w:name w:val="heading 4"/>
    <w:basedOn w:val="Normal"/>
    <w:next w:val="Normal"/>
    <w:link w:val="Heading4Char"/>
    <w:uiPriority w:val="1"/>
    <w:qFormat/>
    <w:rsid w:val="00030E84"/>
    <w:pPr>
      <w:keepNext/>
      <w:spacing w:before="240" w:after="120"/>
      <w:outlineLvl w:val="3"/>
    </w:pPr>
    <w:rPr>
      <w:color w:val="0A6AB4"/>
      <w:sz w:val="28"/>
    </w:rPr>
  </w:style>
  <w:style w:type="paragraph" w:styleId="Heading5">
    <w:name w:val="heading 5"/>
    <w:basedOn w:val="Normal"/>
    <w:next w:val="Normal"/>
    <w:link w:val="Heading5Char"/>
    <w:uiPriority w:val="1"/>
    <w:qFormat/>
    <w:rsid w:val="00B00CF5"/>
    <w:pPr>
      <w:keepNext/>
      <w:spacing w:before="120" w:after="120"/>
      <w:outlineLvl w:val="4"/>
    </w:pPr>
    <w:rPr>
      <w:color w:val="0A6AB4"/>
      <w:sz w:val="24"/>
    </w:rPr>
  </w:style>
  <w:style w:type="paragraph" w:styleId="Heading6">
    <w:name w:val="heading 6"/>
    <w:basedOn w:val="Normal"/>
    <w:next w:val="Normal"/>
    <w:link w:val="Heading6Char"/>
    <w:uiPriority w:val="1"/>
    <w:unhideWhenUsed/>
    <w:qFormat/>
    <w:rsid w:val="00122363"/>
    <w:pPr>
      <w:keepNext/>
      <w:keepLines/>
      <w:spacing w:before="200" w:after="120" w:line="276" w:lineRule="auto"/>
      <w:ind w:left="1152" w:hanging="1152"/>
      <w:outlineLvl w:val="5"/>
    </w:pPr>
    <w:rPr>
      <w:rFonts w:ascii="Calibri" w:eastAsia="MS Gothic" w:hAnsi="Calibri"/>
      <w:i/>
      <w:iCs/>
      <w:color w:val="243F60"/>
      <w:szCs w:val="24"/>
      <w:lang w:val="en-GB" w:eastAsia="en-US"/>
    </w:rPr>
  </w:style>
  <w:style w:type="paragraph" w:styleId="Heading7">
    <w:name w:val="heading 7"/>
    <w:basedOn w:val="Normal"/>
    <w:next w:val="Normal"/>
    <w:link w:val="Heading7Char"/>
    <w:uiPriority w:val="1"/>
    <w:unhideWhenUsed/>
    <w:qFormat/>
    <w:rsid w:val="00122363"/>
    <w:pPr>
      <w:keepNext/>
      <w:keepLines/>
      <w:spacing w:before="200" w:after="120" w:line="276" w:lineRule="auto"/>
      <w:ind w:left="1296" w:hanging="1296"/>
      <w:outlineLvl w:val="6"/>
    </w:pPr>
    <w:rPr>
      <w:rFonts w:ascii="Calibri" w:eastAsia="MS Gothic" w:hAnsi="Calibri"/>
      <w:i/>
      <w:iCs/>
      <w:color w:val="404040"/>
      <w:szCs w:val="24"/>
      <w:lang w:val="en-GB" w:eastAsia="en-US"/>
    </w:rPr>
  </w:style>
  <w:style w:type="paragraph" w:styleId="Heading8">
    <w:name w:val="heading 8"/>
    <w:basedOn w:val="Normal"/>
    <w:next w:val="Normal"/>
    <w:link w:val="Heading8Char"/>
    <w:uiPriority w:val="1"/>
    <w:unhideWhenUsed/>
    <w:qFormat/>
    <w:rsid w:val="00030E84"/>
    <w:pPr>
      <w:keepNext/>
      <w:keepLines/>
      <w:spacing w:before="480" w:after="240"/>
      <w:outlineLvl w:val="7"/>
    </w:pPr>
    <w:rPr>
      <w:rFonts w:eastAsia="MS Gothic"/>
      <w:color w:val="0A6AB4"/>
      <w:spacing w:val="-10"/>
      <w:sz w:val="36"/>
      <w:szCs w:val="24"/>
      <w:lang w:eastAsia="en-US"/>
    </w:rPr>
  </w:style>
  <w:style w:type="paragraph" w:styleId="Heading9">
    <w:name w:val="heading 9"/>
    <w:basedOn w:val="Normal"/>
    <w:next w:val="Normal"/>
    <w:link w:val="Heading9Char"/>
    <w:uiPriority w:val="1"/>
    <w:unhideWhenUsed/>
    <w:qFormat/>
    <w:rsid w:val="00122363"/>
    <w:pPr>
      <w:keepNext/>
      <w:keepLines/>
      <w:spacing w:before="200" w:after="120" w:line="276" w:lineRule="auto"/>
      <w:ind w:left="1584" w:hanging="1584"/>
      <w:outlineLvl w:val="8"/>
    </w:pPr>
    <w:rPr>
      <w:rFonts w:ascii="Calibri" w:eastAsia="MS Gothic" w:hAnsi="Calibri"/>
      <w:i/>
      <w:iCs/>
      <w:color w:val="404040"/>
      <w:szCs w:val="24"/>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uiPriority w:val="39"/>
    <w:qFormat/>
    <w:rsid w:val="001D3E4E"/>
    <w:pPr>
      <w:tabs>
        <w:tab w:val="right" w:pos="8080"/>
      </w:tabs>
      <w:spacing w:before="300"/>
      <w:ind w:right="567"/>
    </w:pPr>
    <w:rPr>
      <w:rFonts w:ascii="Segoe UI Semibold" w:hAnsi="Segoe UI Semibold"/>
      <w:sz w:val="24"/>
    </w:rPr>
  </w:style>
  <w:style w:type="paragraph" w:styleId="TOC2">
    <w:name w:val="toc 2"/>
    <w:basedOn w:val="Normal"/>
    <w:next w:val="Normal"/>
    <w:uiPriority w:val="39"/>
    <w:qFormat/>
    <w:rsid w:val="002B76A7"/>
    <w:pPr>
      <w:tabs>
        <w:tab w:val="right" w:pos="8080"/>
      </w:tabs>
      <w:spacing w:before="60"/>
      <w:ind w:left="284" w:right="567"/>
    </w:pPr>
    <w:rPr>
      <w:sz w:val="22"/>
    </w:rPr>
  </w:style>
  <w:style w:type="paragraph" w:styleId="TOC3">
    <w:name w:val="toc 3"/>
    <w:basedOn w:val="Normal"/>
    <w:next w:val="Normal"/>
    <w:uiPriority w:val="39"/>
    <w:rsid w:val="00535C2F"/>
    <w:pPr>
      <w:tabs>
        <w:tab w:val="right" w:pos="8080"/>
      </w:tabs>
      <w:spacing w:before="120"/>
      <w:ind w:left="426" w:right="567" w:hanging="426"/>
    </w:pPr>
    <w:rPr>
      <w:noProof/>
    </w:rPr>
  </w:style>
  <w:style w:type="paragraph" w:customStyle="1" w:styleId="Bullet">
    <w:name w:val="Bullet"/>
    <w:basedOn w:val="Normal"/>
    <w:link w:val="BulletChar"/>
    <w:qFormat/>
    <w:rsid w:val="00FA0EA5"/>
    <w:pPr>
      <w:numPr>
        <w:numId w:val="1"/>
      </w:numPr>
      <w:tabs>
        <w:tab w:val="clear" w:pos="284"/>
      </w:tabs>
      <w:spacing w:before="90"/>
    </w:pPr>
  </w:style>
  <w:style w:type="paragraph" w:styleId="Quote">
    <w:name w:val="Quote"/>
    <w:basedOn w:val="Normal"/>
    <w:next w:val="Normal"/>
    <w:link w:val="QuoteChar"/>
    <w:qFormat/>
    <w:pPr>
      <w:spacing w:before="120"/>
      <w:ind w:left="284" w:right="284"/>
    </w:pPr>
  </w:style>
  <w:style w:type="paragraph" w:styleId="FootnoteText">
    <w:name w:val="footnote text"/>
    <w:basedOn w:val="Normal"/>
    <w:link w:val="FootnoteTextChar"/>
    <w:uiPriority w:val="99"/>
    <w:rsid w:val="00A7415D"/>
    <w:pPr>
      <w:spacing w:before="60" w:line="228" w:lineRule="auto"/>
      <w:ind w:left="284" w:hanging="284"/>
    </w:pPr>
    <w:rPr>
      <w:sz w:val="17"/>
    </w:rPr>
  </w:style>
  <w:style w:type="paragraph" w:styleId="Header">
    <w:name w:val="header"/>
    <w:basedOn w:val="Normal"/>
    <w:link w:val="HeaderChar"/>
    <w:uiPriority w:val="99"/>
    <w:qFormat/>
    <w:rsid w:val="00D25FFE"/>
  </w:style>
  <w:style w:type="paragraph" w:styleId="Title">
    <w:name w:val="Title"/>
    <w:basedOn w:val="Normal"/>
    <w:next w:val="Normal"/>
    <w:link w:val="TitleChar"/>
    <w:uiPriority w:val="10"/>
    <w:qFormat/>
    <w:rsid w:val="005A79E5"/>
    <w:pPr>
      <w:spacing w:line="216" w:lineRule="auto"/>
      <w:ind w:right="3402"/>
    </w:pPr>
    <w:rPr>
      <w:rFonts w:ascii="Segoe UI Black" w:hAnsi="Segoe UI Black" w:cs="Lucida Sans Unicode"/>
      <w:b/>
      <w:sz w:val="72"/>
      <w:szCs w:val="72"/>
    </w:rPr>
  </w:style>
  <w:style w:type="paragraph" w:customStyle="1" w:styleId="Imprint">
    <w:name w:val="Imprint"/>
    <w:basedOn w:val="Normal"/>
    <w:next w:val="Normal"/>
    <w:qFormat/>
    <w:rsid w:val="00C05132"/>
    <w:pPr>
      <w:spacing w:after="240"/>
    </w:pPr>
    <w:rPr>
      <w:sz w:val="20"/>
    </w:rPr>
  </w:style>
  <w:style w:type="paragraph" w:styleId="Footer">
    <w:name w:val="footer"/>
    <w:basedOn w:val="Normal"/>
    <w:link w:val="FooterChar"/>
    <w:uiPriority w:val="99"/>
    <w:qFormat/>
    <w:rsid w:val="007A067F"/>
  </w:style>
  <w:style w:type="character" w:styleId="PageNumber">
    <w:name w:val="page number"/>
    <w:rsid w:val="007A067F"/>
    <w:rPr>
      <w:rFonts w:ascii="Segoe UI" w:hAnsi="Segoe UI"/>
      <w:b/>
      <w:sz w:val="22"/>
    </w:rPr>
  </w:style>
  <w:style w:type="paragraph" w:customStyle="1" w:styleId="VersoFooter">
    <w:name w:val="Verso Footer"/>
    <w:basedOn w:val="Footer"/>
    <w:rsid w:val="00571223"/>
    <w:rPr>
      <w:sz w:val="15"/>
    </w:rPr>
  </w:style>
  <w:style w:type="paragraph" w:customStyle="1" w:styleId="RectoFooter">
    <w:name w:val="Recto Footer"/>
    <w:basedOn w:val="Footer"/>
    <w:rsid w:val="00581EB8"/>
    <w:pPr>
      <w:jc w:val="right"/>
    </w:pPr>
    <w:rPr>
      <w:caps/>
      <w:sz w:val="15"/>
    </w:rPr>
  </w:style>
  <w:style w:type="paragraph" w:customStyle="1" w:styleId="Figure">
    <w:name w:val="Figure"/>
    <w:basedOn w:val="Normal"/>
    <w:next w:val="Normal"/>
    <w:link w:val="FigureChar"/>
    <w:qFormat/>
    <w:rsid w:val="009133F5"/>
    <w:pPr>
      <w:keepNext/>
      <w:spacing w:before="120" w:after="120"/>
    </w:pPr>
    <w:rPr>
      <w:b/>
      <w:sz w:val="20"/>
    </w:rPr>
  </w:style>
  <w:style w:type="character" w:styleId="FootnoteReference">
    <w:name w:val="footnote reference"/>
    <w:uiPriority w:val="99"/>
    <w:rPr>
      <w:vertAlign w:val="superscript"/>
    </w:rPr>
  </w:style>
  <w:style w:type="paragraph" w:customStyle="1" w:styleId="Table">
    <w:name w:val="Table"/>
    <w:basedOn w:val="Figure"/>
    <w:link w:val="TableChar"/>
    <w:qFormat/>
    <w:rsid w:val="00642868"/>
  </w:style>
  <w:style w:type="paragraph" w:customStyle="1" w:styleId="Dash">
    <w:name w:val="Dash"/>
    <w:basedOn w:val="Bullet"/>
    <w:qFormat/>
    <w:rsid w:val="00702854"/>
    <w:pPr>
      <w:numPr>
        <w:numId w:val="3"/>
      </w:numPr>
      <w:spacing w:before="60"/>
    </w:pPr>
  </w:style>
  <w:style w:type="paragraph" w:customStyle="1" w:styleId="TableText">
    <w:name w:val="TableText"/>
    <w:basedOn w:val="Normal"/>
    <w:uiPriority w:val="99"/>
    <w:qFormat/>
    <w:rsid w:val="009C440A"/>
    <w:pPr>
      <w:spacing w:before="60" w:after="60"/>
    </w:pPr>
    <w:rPr>
      <w:sz w:val="18"/>
    </w:rPr>
  </w:style>
  <w:style w:type="paragraph" w:customStyle="1" w:styleId="TableBullet">
    <w:name w:val="TableBullet"/>
    <w:basedOn w:val="TableText"/>
    <w:qFormat/>
    <w:rsid w:val="00B73AF2"/>
    <w:pPr>
      <w:numPr>
        <w:numId w:val="5"/>
      </w:numPr>
      <w:spacing w:before="0"/>
    </w:pPr>
  </w:style>
  <w:style w:type="paragraph" w:customStyle="1" w:styleId="Box">
    <w:name w:val="Box"/>
    <w:basedOn w:val="Normal"/>
    <w:qFormat/>
    <w:pPr>
      <w:pBdr>
        <w:top w:val="single" w:sz="4" w:space="12" w:color="auto"/>
        <w:left w:val="single" w:sz="4" w:space="12" w:color="auto"/>
        <w:bottom w:val="single" w:sz="4" w:space="12" w:color="auto"/>
        <w:right w:val="single" w:sz="4" w:space="12" w:color="auto"/>
      </w:pBdr>
      <w:spacing w:before="120"/>
      <w:ind w:left="284" w:right="284"/>
    </w:pPr>
  </w:style>
  <w:style w:type="paragraph" w:customStyle="1" w:styleId="BoxHeading">
    <w:name w:val="BoxHeading"/>
    <w:basedOn w:val="Normal"/>
    <w:next w:val="Box"/>
    <w:qFormat/>
    <w:rsid w:val="00D37D80"/>
    <w:pPr>
      <w:keepNext/>
      <w:pBdr>
        <w:top w:val="single" w:sz="4" w:space="12" w:color="auto"/>
        <w:left w:val="single" w:sz="4" w:space="12" w:color="auto"/>
        <w:bottom w:val="single" w:sz="4" w:space="12" w:color="auto"/>
        <w:right w:val="single" w:sz="4" w:space="12" w:color="auto"/>
      </w:pBdr>
      <w:spacing w:before="240" w:line="264" w:lineRule="auto"/>
      <w:ind w:left="284" w:right="284"/>
    </w:pPr>
    <w:rPr>
      <w:b/>
      <w:sz w:val="24"/>
      <w:szCs w:val="24"/>
    </w:rPr>
  </w:style>
  <w:style w:type="paragraph" w:customStyle="1" w:styleId="BoxBullet">
    <w:name w:val="BoxBullet"/>
    <w:basedOn w:val="Bullet"/>
    <w:qFormat/>
    <w:rsid w:val="00E30985"/>
    <w:pPr>
      <w:spacing w:line="264" w:lineRule="auto"/>
    </w:pPr>
    <w:rPr>
      <w:color w:val="FFFFFF" w:themeColor="background1"/>
    </w:rPr>
  </w:style>
  <w:style w:type="paragraph" w:customStyle="1" w:styleId="IntroHead">
    <w:name w:val="IntroHead"/>
    <w:basedOn w:val="Heading1"/>
    <w:next w:val="Normal"/>
    <w:qFormat/>
    <w:rsid w:val="001D3E4E"/>
    <w:pPr>
      <w:spacing w:before="0"/>
      <w:outlineLvl w:val="9"/>
    </w:pPr>
  </w:style>
  <w:style w:type="paragraph" w:customStyle="1" w:styleId="Source">
    <w:name w:val="Source"/>
    <w:basedOn w:val="Note"/>
    <w:next w:val="Normal"/>
    <w:qFormat/>
    <w:rsid w:val="0012053C"/>
  </w:style>
  <w:style w:type="paragraph" w:customStyle="1" w:styleId="Note">
    <w:name w:val="Note"/>
    <w:basedOn w:val="Normal"/>
    <w:next w:val="Normal"/>
    <w:link w:val="NoteChar"/>
    <w:qFormat/>
    <w:rsid w:val="00A87C05"/>
    <w:pPr>
      <w:spacing w:before="80"/>
    </w:pPr>
    <w:rPr>
      <w:sz w:val="17"/>
    </w:rPr>
  </w:style>
  <w:style w:type="paragraph" w:customStyle="1" w:styleId="Subhead">
    <w:name w:val="Subhead"/>
    <w:basedOn w:val="Normal"/>
    <w:next w:val="Year"/>
    <w:qFormat/>
    <w:rsid w:val="00531E12"/>
    <w:pPr>
      <w:spacing w:before="840"/>
      <w:ind w:right="3402"/>
    </w:pPr>
    <w:rPr>
      <w:rFonts w:ascii="Segoe UI Semibold" w:hAnsi="Segoe UI Semibold" w:cs="Segoe UI Semibold"/>
      <w:sz w:val="36"/>
      <w:szCs w:val="26"/>
    </w:rPr>
  </w:style>
  <w:style w:type="character" w:styleId="Hyperlink">
    <w:name w:val="Hyperlink"/>
    <w:uiPriority w:val="99"/>
    <w:rsid w:val="003309CA"/>
    <w:rPr>
      <w:b/>
      <w:color w:val="595959" w:themeColor="text1" w:themeTint="A6"/>
      <w:u w:val="none"/>
    </w:rPr>
  </w:style>
  <w:style w:type="paragraph" w:customStyle="1" w:styleId="References">
    <w:name w:val="References"/>
    <w:basedOn w:val="Normal"/>
    <w:qFormat/>
    <w:rsid w:val="001460E0"/>
    <w:pPr>
      <w:spacing w:after="180"/>
    </w:pPr>
  </w:style>
  <w:style w:type="paragraph" w:customStyle="1" w:styleId="TableDash">
    <w:name w:val="TableDash"/>
    <w:basedOn w:val="TableText"/>
    <w:qFormat/>
    <w:rsid w:val="0010541C"/>
    <w:pPr>
      <w:numPr>
        <w:numId w:val="4"/>
      </w:numPr>
      <w:spacing w:before="40" w:after="0"/>
    </w:pPr>
    <w:rPr>
      <w:szCs w:val="22"/>
    </w:rPr>
  </w:style>
  <w:style w:type="character" w:customStyle="1" w:styleId="NoteChar">
    <w:name w:val="Note Char"/>
    <w:link w:val="Note"/>
    <w:rsid w:val="00A87C05"/>
    <w:rPr>
      <w:rFonts w:ascii="Segoe UI" w:hAnsi="Segoe UI"/>
      <w:sz w:val="17"/>
      <w:lang w:eastAsia="en-GB"/>
    </w:rPr>
  </w:style>
  <w:style w:type="character" w:customStyle="1" w:styleId="FootnoteTextChar">
    <w:name w:val="Footnote Text Char"/>
    <w:link w:val="FootnoteText"/>
    <w:uiPriority w:val="99"/>
    <w:rsid w:val="00A7415D"/>
    <w:rPr>
      <w:rFonts w:ascii="Segoe UI" w:hAnsi="Segoe UI"/>
      <w:sz w:val="17"/>
      <w:lang w:eastAsia="en-GB"/>
    </w:rPr>
  </w:style>
  <w:style w:type="table" w:styleId="TableGrid">
    <w:name w:val="Table Grid"/>
    <w:basedOn w:val="TableNormal"/>
    <w:uiPriority w:val="59"/>
    <w:rsid w:val="00503749"/>
    <w:pPr>
      <w:spacing w:line="264"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link w:val="Header"/>
    <w:uiPriority w:val="99"/>
    <w:rsid w:val="0086388B"/>
    <w:rPr>
      <w:rFonts w:ascii="Georgia" w:hAnsi="Georgia"/>
      <w:sz w:val="22"/>
      <w:lang w:eastAsia="en-GB"/>
    </w:rPr>
  </w:style>
  <w:style w:type="character" w:customStyle="1" w:styleId="FooterChar">
    <w:name w:val="Footer Char"/>
    <w:link w:val="Footer"/>
    <w:uiPriority w:val="99"/>
    <w:rsid w:val="007A067F"/>
    <w:rPr>
      <w:rFonts w:ascii="Segoe UI" w:hAnsi="Segoe UI"/>
      <w:sz w:val="21"/>
      <w:lang w:eastAsia="en-GB"/>
    </w:rPr>
  </w:style>
  <w:style w:type="character" w:customStyle="1" w:styleId="Heading1Char">
    <w:name w:val="Heading 1 Char"/>
    <w:link w:val="Heading1"/>
    <w:uiPriority w:val="1"/>
    <w:rsid w:val="00D86B00"/>
    <w:rPr>
      <w:rFonts w:ascii="Segoe UI" w:hAnsi="Segoe UI"/>
      <w:b/>
      <w:color w:val="23305D"/>
      <w:spacing w:val="-10"/>
      <w:sz w:val="72"/>
      <w:lang w:eastAsia="en-GB"/>
    </w:rPr>
  </w:style>
  <w:style w:type="paragraph" w:styleId="Revision">
    <w:name w:val="Revision"/>
    <w:hidden/>
    <w:uiPriority w:val="99"/>
    <w:rsid w:val="0086388B"/>
    <w:rPr>
      <w:rFonts w:ascii="Calibri" w:eastAsia="Calibri" w:hAnsi="Calibri"/>
      <w:sz w:val="22"/>
      <w:szCs w:val="22"/>
      <w:lang w:val="en-US" w:eastAsia="en-US"/>
    </w:rPr>
  </w:style>
  <w:style w:type="character" w:customStyle="1" w:styleId="Heading2Char">
    <w:name w:val="Heading 2 Char"/>
    <w:link w:val="Heading2"/>
    <w:uiPriority w:val="9"/>
    <w:rsid w:val="00030E84"/>
    <w:rPr>
      <w:rFonts w:ascii="Segoe UI" w:hAnsi="Segoe UI"/>
      <w:b/>
      <w:color w:val="0A6AB4"/>
      <w:spacing w:val="-5"/>
      <w:sz w:val="48"/>
      <w:lang w:eastAsia="en-GB"/>
    </w:rPr>
  </w:style>
  <w:style w:type="character" w:customStyle="1" w:styleId="Heading3Char">
    <w:name w:val="Heading 3 Char"/>
    <w:link w:val="Heading3"/>
    <w:uiPriority w:val="9"/>
    <w:rsid w:val="00030E84"/>
    <w:rPr>
      <w:rFonts w:ascii="Segoe UI" w:hAnsi="Segoe UI"/>
      <w:color w:val="0A6AB4"/>
      <w:spacing w:val="-5"/>
      <w:sz w:val="36"/>
      <w:lang w:eastAsia="en-GB"/>
    </w:rPr>
  </w:style>
  <w:style w:type="paragraph" w:customStyle="1" w:styleId="Year">
    <w:name w:val="Year"/>
    <w:basedOn w:val="Subhead"/>
    <w:next w:val="Subhead"/>
    <w:qFormat/>
    <w:rsid w:val="00531E12"/>
    <w:rPr>
      <w:sz w:val="28"/>
    </w:rPr>
  </w:style>
  <w:style w:type="character" w:customStyle="1" w:styleId="Heading6Char">
    <w:name w:val="Heading 6 Char"/>
    <w:basedOn w:val="DefaultParagraphFont"/>
    <w:link w:val="Heading6"/>
    <w:rsid w:val="00122363"/>
    <w:rPr>
      <w:rFonts w:ascii="Calibri" w:eastAsia="MS Gothic" w:hAnsi="Calibri"/>
      <w:i/>
      <w:iCs/>
      <w:color w:val="243F60"/>
      <w:sz w:val="22"/>
      <w:szCs w:val="24"/>
      <w:lang w:val="en-GB" w:eastAsia="en-US"/>
    </w:rPr>
  </w:style>
  <w:style w:type="character" w:customStyle="1" w:styleId="Heading7Char">
    <w:name w:val="Heading 7 Char"/>
    <w:basedOn w:val="DefaultParagraphFont"/>
    <w:link w:val="Heading7"/>
    <w:rsid w:val="00122363"/>
    <w:rPr>
      <w:rFonts w:ascii="Calibri" w:eastAsia="MS Gothic" w:hAnsi="Calibri"/>
      <w:i/>
      <w:iCs/>
      <w:color w:val="404040"/>
      <w:sz w:val="22"/>
      <w:szCs w:val="24"/>
      <w:lang w:val="en-GB" w:eastAsia="en-US"/>
    </w:rPr>
  </w:style>
  <w:style w:type="character" w:customStyle="1" w:styleId="Heading8Char">
    <w:name w:val="Heading 8 Char"/>
    <w:basedOn w:val="DefaultParagraphFont"/>
    <w:link w:val="Heading8"/>
    <w:uiPriority w:val="1"/>
    <w:rsid w:val="00030E84"/>
    <w:rPr>
      <w:rFonts w:ascii="Segoe UI" w:eastAsia="MS Gothic" w:hAnsi="Segoe UI"/>
      <w:color w:val="0A6AB4"/>
      <w:spacing w:val="-10"/>
      <w:sz w:val="36"/>
      <w:szCs w:val="24"/>
      <w:lang w:eastAsia="en-US"/>
    </w:rPr>
  </w:style>
  <w:style w:type="character" w:customStyle="1" w:styleId="Heading9Char">
    <w:name w:val="Heading 9 Char"/>
    <w:basedOn w:val="DefaultParagraphFont"/>
    <w:link w:val="Heading9"/>
    <w:rsid w:val="00122363"/>
    <w:rPr>
      <w:rFonts w:ascii="Calibri" w:eastAsia="MS Gothic" w:hAnsi="Calibri"/>
      <w:i/>
      <w:iCs/>
      <w:color w:val="404040"/>
      <w:sz w:val="22"/>
      <w:szCs w:val="24"/>
      <w:lang w:val="en-GB" w:eastAsia="en-US"/>
    </w:rPr>
  </w:style>
  <w:style w:type="character" w:customStyle="1" w:styleId="Heading4Char">
    <w:name w:val="Heading 4 Char"/>
    <w:link w:val="Heading4"/>
    <w:uiPriority w:val="1"/>
    <w:rsid w:val="00030E84"/>
    <w:rPr>
      <w:rFonts w:ascii="Segoe UI" w:hAnsi="Segoe UI"/>
      <w:color w:val="0A6AB4"/>
      <w:sz w:val="28"/>
      <w:lang w:eastAsia="en-GB"/>
    </w:rPr>
  </w:style>
  <w:style w:type="character" w:customStyle="1" w:styleId="Heading5Char">
    <w:name w:val="Heading 5 Char"/>
    <w:link w:val="Heading5"/>
    <w:uiPriority w:val="1"/>
    <w:rsid w:val="00B00CF5"/>
    <w:rPr>
      <w:rFonts w:ascii="Segoe UI" w:hAnsi="Segoe UI"/>
      <w:color w:val="0A6AB4"/>
      <w:sz w:val="24"/>
      <w:lang w:eastAsia="en-GB"/>
    </w:rPr>
  </w:style>
  <w:style w:type="character" w:customStyle="1" w:styleId="QuoteChar">
    <w:name w:val="Quote Char"/>
    <w:link w:val="Quote"/>
    <w:rsid w:val="00122363"/>
    <w:rPr>
      <w:rFonts w:ascii="Georgia" w:hAnsi="Georgia"/>
      <w:sz w:val="22"/>
      <w:lang w:eastAsia="en-GB"/>
    </w:rPr>
  </w:style>
  <w:style w:type="character" w:customStyle="1" w:styleId="TitleChar">
    <w:name w:val="Title Char"/>
    <w:link w:val="Title"/>
    <w:uiPriority w:val="10"/>
    <w:rsid w:val="005A79E5"/>
    <w:rPr>
      <w:rFonts w:ascii="Segoe UI Black" w:hAnsi="Segoe UI Black" w:cs="Lucida Sans Unicode"/>
      <w:b/>
      <w:sz w:val="72"/>
      <w:szCs w:val="72"/>
      <w:lang w:eastAsia="en-GB"/>
    </w:rPr>
  </w:style>
  <w:style w:type="paragraph" w:customStyle="1" w:styleId="Number">
    <w:name w:val="Number"/>
    <w:basedOn w:val="Normal"/>
    <w:rsid w:val="00F140B2"/>
    <w:pPr>
      <w:numPr>
        <w:numId w:val="17"/>
      </w:numPr>
      <w:spacing w:before="180"/>
    </w:pPr>
    <w:rPr>
      <w:szCs w:val="24"/>
    </w:rPr>
  </w:style>
  <w:style w:type="paragraph" w:customStyle="1" w:styleId="Letter">
    <w:name w:val="Letter"/>
    <w:basedOn w:val="Normal"/>
    <w:qFormat/>
    <w:rsid w:val="00F140B2"/>
    <w:pPr>
      <w:numPr>
        <w:ilvl w:val="1"/>
        <w:numId w:val="17"/>
      </w:numPr>
      <w:spacing w:before="120"/>
    </w:pPr>
  </w:style>
  <w:style w:type="paragraph" w:customStyle="1" w:styleId="Introductoryparagraph">
    <w:name w:val="Introductory paragraph"/>
    <w:basedOn w:val="Normal"/>
    <w:next w:val="Normal"/>
    <w:qFormat/>
    <w:rsid w:val="0012053C"/>
    <w:pPr>
      <w:spacing w:after="240" w:line="216" w:lineRule="auto"/>
      <w:ind w:right="1134"/>
    </w:pPr>
    <w:rPr>
      <w:rFonts w:ascii="Segoe UI Light" w:hAnsi="Segoe UI Light"/>
      <w:color w:val="404040" w:themeColor="text1" w:themeTint="BF"/>
      <w:sz w:val="44"/>
    </w:rPr>
  </w:style>
  <w:style w:type="paragraph" w:customStyle="1" w:styleId="Shadedboxheading">
    <w:name w:val="Shaded box heading"/>
    <w:basedOn w:val="BoxHeading"/>
    <w:next w:val="Shadedboxtext"/>
    <w:qFormat/>
    <w:rsid w:val="00D86B00"/>
    <w:pPr>
      <w:pBdr>
        <w:top w:val="single" w:sz="4" w:space="12" w:color="FFFFFF" w:themeColor="background1"/>
        <w:left w:val="single" w:sz="4" w:space="12" w:color="FFFFFF" w:themeColor="background1"/>
        <w:bottom w:val="single" w:sz="4" w:space="12" w:color="FFFFFF" w:themeColor="background1"/>
        <w:right w:val="single" w:sz="4" w:space="12" w:color="FFFFFF" w:themeColor="background1"/>
      </w:pBdr>
      <w:shd w:val="clear" w:color="auto" w:fill="D9D9D9" w:themeFill="background1" w:themeFillShade="D9"/>
      <w:spacing w:after="120"/>
    </w:pPr>
    <w:rPr>
      <w:rFonts w:eastAsia="Arial Unicode MS"/>
    </w:rPr>
  </w:style>
  <w:style w:type="paragraph" w:customStyle="1" w:styleId="Shadedboxtext">
    <w:name w:val="Shaded box text"/>
    <w:basedOn w:val="Normal"/>
    <w:qFormat/>
    <w:rsid w:val="00D86B00"/>
    <w:pPr>
      <w:pBdr>
        <w:top w:val="single" w:sz="4" w:space="12" w:color="FFFFFF" w:themeColor="background1"/>
        <w:left w:val="single" w:sz="4" w:space="12" w:color="FFFFFF" w:themeColor="background1"/>
        <w:bottom w:val="single" w:sz="4" w:space="12" w:color="FFFFFF" w:themeColor="background1"/>
        <w:right w:val="single" w:sz="4" w:space="12" w:color="FFFFFF" w:themeColor="background1"/>
      </w:pBdr>
      <w:shd w:val="clear" w:color="auto" w:fill="D9D9D9" w:themeFill="background1" w:themeFillShade="D9"/>
      <w:spacing w:line="264" w:lineRule="auto"/>
      <w:ind w:left="284" w:right="284"/>
    </w:pPr>
    <w:rPr>
      <w:rFonts w:eastAsia="Arial Unicode MS"/>
    </w:rPr>
  </w:style>
  <w:style w:type="paragraph" w:customStyle="1" w:styleId="Roman">
    <w:name w:val="Roman"/>
    <w:basedOn w:val="Normal"/>
    <w:qFormat/>
    <w:rsid w:val="00AD6293"/>
    <w:pPr>
      <w:numPr>
        <w:ilvl w:val="2"/>
        <w:numId w:val="17"/>
      </w:numPr>
      <w:spacing w:before="90"/>
    </w:pPr>
    <w:rPr>
      <w:rFonts w:eastAsia="Arial Unicode MS"/>
    </w:rPr>
  </w:style>
  <w:style w:type="character" w:customStyle="1" w:styleId="BulletChar">
    <w:name w:val="Bullet Char"/>
    <w:link w:val="Bullet"/>
    <w:locked/>
    <w:rsid w:val="00753A1F"/>
    <w:rPr>
      <w:rFonts w:ascii="Segoe UI" w:hAnsi="Segoe UI"/>
      <w:sz w:val="21"/>
      <w:lang w:eastAsia="en-GB"/>
    </w:rPr>
  </w:style>
  <w:style w:type="character" w:customStyle="1" w:styleId="FigureChar">
    <w:name w:val="Figure Char"/>
    <w:link w:val="Figure"/>
    <w:locked/>
    <w:rsid w:val="00753A1F"/>
    <w:rPr>
      <w:rFonts w:ascii="Segoe UI" w:hAnsi="Segoe UI"/>
      <w:b/>
      <w:lang w:eastAsia="en-GB"/>
    </w:rPr>
  </w:style>
  <w:style w:type="character" w:customStyle="1" w:styleId="TableChar">
    <w:name w:val="Table Char"/>
    <w:link w:val="Table"/>
    <w:locked/>
    <w:rsid w:val="00753A1F"/>
    <w:rPr>
      <w:rFonts w:ascii="Segoe UI" w:hAnsi="Segoe UI"/>
      <w:b/>
      <w:lang w:eastAsia="en-GB"/>
    </w:rPr>
  </w:style>
  <w:style w:type="character" w:styleId="CommentReference">
    <w:name w:val="annotation reference"/>
    <w:basedOn w:val="DefaultParagraphFont"/>
    <w:uiPriority w:val="99"/>
    <w:semiHidden/>
    <w:unhideWhenUsed/>
    <w:rsid w:val="00753A1F"/>
    <w:rPr>
      <w:sz w:val="16"/>
      <w:szCs w:val="16"/>
    </w:rPr>
  </w:style>
  <w:style w:type="paragraph" w:styleId="CommentText">
    <w:name w:val="annotation text"/>
    <w:basedOn w:val="Normal"/>
    <w:link w:val="CommentTextChar"/>
    <w:uiPriority w:val="99"/>
    <w:unhideWhenUsed/>
    <w:rsid w:val="00753A1F"/>
    <w:rPr>
      <w:sz w:val="20"/>
      <w14:ligatures w14:val="standardContextual"/>
    </w:rPr>
  </w:style>
  <w:style w:type="character" w:customStyle="1" w:styleId="CommentTextChar">
    <w:name w:val="Comment Text Char"/>
    <w:basedOn w:val="DefaultParagraphFont"/>
    <w:link w:val="CommentText"/>
    <w:uiPriority w:val="99"/>
    <w:rsid w:val="00753A1F"/>
    <w:rPr>
      <w:rFonts w:ascii="Segoe UI" w:hAnsi="Segoe UI"/>
      <w:lang w:eastAsia="en-GB"/>
      <w14:ligatures w14:val="standardContextual"/>
    </w:rPr>
  </w:style>
  <w:style w:type="paragraph" w:styleId="ListParagraph">
    <w:name w:val="List Paragraph"/>
    <w:basedOn w:val="Normal"/>
    <w:uiPriority w:val="34"/>
    <w:qFormat/>
    <w:rsid w:val="00753A1F"/>
    <w:pPr>
      <w:ind w:left="720"/>
      <w:contextualSpacing/>
    </w:pPr>
    <w:rPr>
      <w14:ligatures w14:val="standardContextual"/>
    </w:rPr>
  </w:style>
  <w:style w:type="character" w:customStyle="1" w:styleId="eop">
    <w:name w:val="eop"/>
    <w:basedOn w:val="DefaultParagraphFont"/>
    <w:rsid w:val="00753A1F"/>
  </w:style>
  <w:style w:type="paragraph" w:styleId="CommentSubject">
    <w:name w:val="annotation subject"/>
    <w:basedOn w:val="CommentText"/>
    <w:next w:val="CommentText"/>
    <w:link w:val="CommentSubjectChar"/>
    <w:uiPriority w:val="99"/>
    <w:semiHidden/>
    <w:unhideWhenUsed/>
    <w:rsid w:val="00753A1F"/>
    <w:rPr>
      <w:b/>
      <w:bCs/>
    </w:rPr>
  </w:style>
  <w:style w:type="character" w:customStyle="1" w:styleId="CommentSubjectChar">
    <w:name w:val="Comment Subject Char"/>
    <w:basedOn w:val="CommentTextChar"/>
    <w:link w:val="CommentSubject"/>
    <w:uiPriority w:val="99"/>
    <w:semiHidden/>
    <w:rsid w:val="00753A1F"/>
    <w:rPr>
      <w:rFonts w:ascii="Segoe UI" w:hAnsi="Segoe UI"/>
      <w:b/>
      <w:bCs/>
      <w:lang w:eastAsia="en-GB"/>
      <w14:ligatures w14:val="standardContextual"/>
    </w:rPr>
  </w:style>
  <w:style w:type="character" w:styleId="Mention">
    <w:name w:val="Mention"/>
    <w:basedOn w:val="DefaultParagraphFont"/>
    <w:uiPriority w:val="99"/>
    <w:unhideWhenUsed/>
    <w:rsid w:val="00753A1F"/>
    <w:rPr>
      <w:color w:val="2B579A"/>
      <w:shd w:val="clear" w:color="auto" w:fill="E1DFDD"/>
    </w:rPr>
  </w:style>
  <w:style w:type="paragraph" w:customStyle="1" w:styleId="Default">
    <w:name w:val="Default"/>
    <w:rsid w:val="00753A1F"/>
    <w:pPr>
      <w:autoSpaceDE w:val="0"/>
      <w:autoSpaceDN w:val="0"/>
      <w:adjustRightInd w:val="0"/>
    </w:pPr>
    <w:rPr>
      <w:rFonts w:ascii="Segoe UI" w:eastAsiaTheme="minorEastAsia" w:hAnsi="Segoe UI" w:cs="Segoe UI"/>
      <w:color w:val="000000"/>
      <w:sz w:val="24"/>
      <w:szCs w:val="24"/>
      <w:lang w:eastAsia="ja-JP"/>
    </w:rPr>
  </w:style>
  <w:style w:type="paragraph" w:styleId="Caption">
    <w:name w:val="caption"/>
    <w:basedOn w:val="Normal"/>
    <w:next w:val="Normal"/>
    <w:uiPriority w:val="35"/>
    <w:unhideWhenUsed/>
    <w:qFormat/>
    <w:rsid w:val="00753A1F"/>
    <w:pPr>
      <w:spacing w:after="200"/>
    </w:pPr>
    <w:rPr>
      <w:i/>
      <w:iCs/>
      <w:color w:val="1F497D" w:themeColor="text2"/>
      <w:sz w:val="18"/>
      <w:szCs w:val="18"/>
      <w14:ligatures w14:val="standardContextual"/>
    </w:rPr>
  </w:style>
  <w:style w:type="character" w:styleId="FollowedHyperlink">
    <w:name w:val="FollowedHyperlink"/>
    <w:basedOn w:val="DefaultParagraphFont"/>
    <w:uiPriority w:val="99"/>
    <w:semiHidden/>
    <w:unhideWhenUsed/>
    <w:rsid w:val="00753A1F"/>
    <w:rPr>
      <w:color w:val="800080" w:themeColor="followedHyperlink"/>
      <w:u w:val="single"/>
    </w:rPr>
  </w:style>
  <w:style w:type="character" w:styleId="UnresolvedMention">
    <w:name w:val="Unresolved Mention"/>
    <w:basedOn w:val="DefaultParagraphFont"/>
    <w:uiPriority w:val="99"/>
    <w:semiHidden/>
    <w:unhideWhenUsed/>
    <w:rsid w:val="00753A1F"/>
    <w:rPr>
      <w:color w:val="605E5C"/>
      <w:shd w:val="clear" w:color="auto" w:fill="E1DFDD"/>
    </w:rPr>
  </w:style>
  <w:style w:type="paragraph" w:styleId="TOCHeading">
    <w:name w:val="TOC Heading"/>
    <w:basedOn w:val="Heading1"/>
    <w:next w:val="Normal"/>
    <w:uiPriority w:val="39"/>
    <w:unhideWhenUsed/>
    <w:qFormat/>
    <w:rsid w:val="00753A1F"/>
    <w:pPr>
      <w:keepLines/>
      <w:spacing w:before="240" w:after="0" w:line="259" w:lineRule="auto"/>
      <w:outlineLvl w:val="9"/>
    </w:pPr>
    <w:rPr>
      <w:rFonts w:asciiTheme="majorHAnsi" w:eastAsiaTheme="majorEastAsia" w:hAnsiTheme="majorHAnsi" w:cstheme="majorBidi"/>
      <w:b w:val="0"/>
      <w:color w:val="365F91" w:themeColor="accent1" w:themeShade="BF"/>
      <w:spacing w:val="0"/>
      <w:sz w:val="32"/>
      <w:szCs w:val="32"/>
      <w:lang w:val="en-US" w:eastAsia="en-US"/>
    </w:rPr>
  </w:style>
  <w:style w:type="paragraph" w:styleId="TableofFigures">
    <w:name w:val="table of figures"/>
    <w:basedOn w:val="Normal"/>
    <w:next w:val="Normal"/>
    <w:uiPriority w:val="99"/>
    <w:unhideWhenUsed/>
    <w:rsid w:val="00753A1F"/>
    <w:rPr>
      <w14:ligatures w14:val="standardContextual"/>
    </w:rPr>
  </w:style>
  <w:style w:type="character" w:customStyle="1" w:styleId="cf01">
    <w:name w:val="cf01"/>
    <w:basedOn w:val="DefaultParagraphFont"/>
    <w:rsid w:val="00753A1F"/>
    <w:rPr>
      <w:rFonts w:ascii="Segoe UI" w:hAnsi="Segoe UI" w:cs="Segoe UI" w:hint="default"/>
      <w:sz w:val="18"/>
      <w:szCs w:val="18"/>
    </w:rPr>
  </w:style>
  <w:style w:type="paragraph" w:customStyle="1" w:styleId="Heading1-contents">
    <w:name w:val="Heading 1 - contents"/>
    <w:basedOn w:val="Heading1"/>
    <w:qFormat/>
    <w:rsid w:val="00753A1F"/>
    <w:pPr>
      <w:spacing w:before="0"/>
      <w:outlineLvl w:val="9"/>
    </w:pPr>
    <w:rPr>
      <w14:ligatures w14:val="standardContextual"/>
    </w:rPr>
  </w:style>
  <w:style w:type="paragraph" w:customStyle="1" w:styleId="Heading2-list">
    <w:name w:val="Heading 2 - list"/>
    <w:basedOn w:val="Heading2"/>
    <w:qFormat/>
    <w:rsid w:val="00753A1F"/>
    <w:pPr>
      <w:outlineLvl w:val="9"/>
    </w:pPr>
    <w:rPr>
      <w14:ligatures w14:val="standardContextual"/>
    </w:rPr>
  </w:style>
  <w:style w:type="paragraph" w:styleId="ListNumber">
    <w:name w:val="List Number"/>
    <w:basedOn w:val="Normal"/>
    <w:uiPriority w:val="99"/>
    <w:unhideWhenUsed/>
    <w:rsid w:val="00753A1F"/>
    <w:pPr>
      <w:numPr>
        <w:numId w:val="38"/>
      </w:numPr>
      <w:contextualSpacing/>
    </w:pPr>
    <w:rPr>
      <w14:ligatures w14:val="standardContextual"/>
    </w:rPr>
  </w:style>
  <w:style w:type="paragraph" w:styleId="EndnoteText">
    <w:name w:val="endnote text"/>
    <w:basedOn w:val="Normal"/>
    <w:link w:val="EndnoteTextChar"/>
    <w:uiPriority w:val="99"/>
    <w:semiHidden/>
    <w:unhideWhenUsed/>
    <w:rsid w:val="000455F2"/>
    <w:rPr>
      <w:sz w:val="20"/>
    </w:rPr>
  </w:style>
  <w:style w:type="character" w:customStyle="1" w:styleId="EndnoteTextChar">
    <w:name w:val="Endnote Text Char"/>
    <w:basedOn w:val="DefaultParagraphFont"/>
    <w:link w:val="EndnoteText"/>
    <w:uiPriority w:val="99"/>
    <w:semiHidden/>
    <w:rsid w:val="000455F2"/>
    <w:rPr>
      <w:rFonts w:ascii="Segoe UI" w:hAnsi="Segoe UI"/>
      <w:lang w:eastAsia="en-GB"/>
    </w:rPr>
  </w:style>
  <w:style w:type="character" w:styleId="EndnoteReference">
    <w:name w:val="endnote reference"/>
    <w:basedOn w:val="DefaultParagraphFont"/>
    <w:uiPriority w:val="99"/>
    <w:semiHidden/>
    <w:unhideWhenUsed/>
    <w:rsid w:val="000455F2"/>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www.health.govt.nz/regulation-legislation/mental-health-and-addiction" TargetMode="External"/><Relationship Id="rId26" Type="http://schemas.openxmlformats.org/officeDocument/2006/relationships/header" Target="header3.xml"/><Relationship Id="rId39" Type="http://schemas.openxmlformats.org/officeDocument/2006/relationships/image" Target="media/image10.png"/><Relationship Id="rId21" Type="http://schemas.openxmlformats.org/officeDocument/2006/relationships/hyperlink" Target="https://www.health.govt.nz/regulation-legislation/mental-health-and-addiction/repealing-and-replacing-the-mental-health-act" TargetMode="External"/><Relationship Id="rId34" Type="http://schemas.openxmlformats.org/officeDocument/2006/relationships/header" Target="header5.xml"/><Relationship Id="rId42" Type="http://schemas.openxmlformats.org/officeDocument/2006/relationships/image" Target="media/image11.png"/><Relationship Id="rId47" Type="http://schemas.openxmlformats.org/officeDocument/2006/relationships/image" Target="media/image16.png"/><Relationship Id="rId50" Type="http://schemas.openxmlformats.org/officeDocument/2006/relationships/image" Target="media/image19.png"/><Relationship Id="rId55" Type="http://schemas.openxmlformats.org/officeDocument/2006/relationships/image" Target="media/image24.png"/><Relationship Id="rId63" Type="http://schemas.openxmlformats.org/officeDocument/2006/relationships/image" Target="media/image32.png"/><Relationship Id="rId68" Type="http://schemas.openxmlformats.org/officeDocument/2006/relationships/image" Target="media/image37.png"/><Relationship Id="rId76" Type="http://schemas.openxmlformats.org/officeDocument/2006/relationships/image" Target="media/image42.png"/><Relationship Id="rId84" Type="http://schemas.openxmlformats.org/officeDocument/2006/relationships/image" Target="media/image50.png"/><Relationship Id="rId89" Type="http://schemas.openxmlformats.org/officeDocument/2006/relationships/image" Target="media/image54.png"/><Relationship Id="rId7" Type="http://schemas.openxmlformats.org/officeDocument/2006/relationships/styles" Target="styles.xml"/><Relationship Id="rId71" Type="http://schemas.openxmlformats.org/officeDocument/2006/relationships/image" Target="media/image40.png"/><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header" Target="header4.xml"/><Relationship Id="rId11" Type="http://schemas.openxmlformats.org/officeDocument/2006/relationships/endnotes" Target="endnotes.xml"/><Relationship Id="rId24" Type="http://schemas.openxmlformats.org/officeDocument/2006/relationships/hyperlink" Target="http://www.mhwc.govt.nz/" TargetMode="External"/><Relationship Id="rId32" Type="http://schemas.openxmlformats.org/officeDocument/2006/relationships/image" Target="media/image5.png"/><Relationship Id="rId37" Type="http://schemas.openxmlformats.org/officeDocument/2006/relationships/image" Target="media/image8.png"/><Relationship Id="rId40" Type="http://schemas.openxmlformats.org/officeDocument/2006/relationships/header" Target="header7.xml"/><Relationship Id="rId45" Type="http://schemas.openxmlformats.org/officeDocument/2006/relationships/image" Target="media/image14.png"/><Relationship Id="rId53" Type="http://schemas.openxmlformats.org/officeDocument/2006/relationships/image" Target="media/image22.png"/><Relationship Id="rId58" Type="http://schemas.openxmlformats.org/officeDocument/2006/relationships/image" Target="media/image27.png"/><Relationship Id="rId66" Type="http://schemas.openxmlformats.org/officeDocument/2006/relationships/image" Target="media/image35.png"/><Relationship Id="rId74" Type="http://schemas.openxmlformats.org/officeDocument/2006/relationships/hyperlink" Target="http://www.health.govt.nz" TargetMode="External"/><Relationship Id="rId79" Type="http://schemas.openxmlformats.org/officeDocument/2006/relationships/image" Target="media/image45.png"/><Relationship Id="rId87" Type="http://schemas.openxmlformats.org/officeDocument/2006/relationships/image" Target="media/image52.png"/><Relationship Id="rId5" Type="http://schemas.openxmlformats.org/officeDocument/2006/relationships/customXml" Target="../customXml/item5.xml"/><Relationship Id="rId61" Type="http://schemas.openxmlformats.org/officeDocument/2006/relationships/image" Target="media/image30.png"/><Relationship Id="rId82" Type="http://schemas.openxmlformats.org/officeDocument/2006/relationships/image" Target="media/image48.png"/><Relationship Id="rId90" Type="http://schemas.openxmlformats.org/officeDocument/2006/relationships/fontTable" Target="fontTable.xml"/><Relationship Id="rId19" Type="http://schemas.openxmlformats.org/officeDocument/2006/relationships/hyperlink" Target="https://www.hqsc.govt.nz/our-work/mental-health-and-addiction-quality-improvement/projects/zero-seclusion-safety-and-dignity-for-all/" TargetMode="External"/><Relationship Id="rId14" Type="http://schemas.openxmlformats.org/officeDocument/2006/relationships/image" Target="media/image3.png"/><Relationship Id="rId22" Type="http://schemas.openxmlformats.org/officeDocument/2006/relationships/hyperlink" Target="https://www.tewhatuora.govt.nz/for-the-health-sector/mental-health-and-addiction/mental-health-and-addiction-monitoring-reporting-and-data" TargetMode="External"/><Relationship Id="rId27" Type="http://schemas.openxmlformats.org/officeDocument/2006/relationships/footer" Target="footer4.xml"/><Relationship Id="rId30" Type="http://schemas.openxmlformats.org/officeDocument/2006/relationships/footer" Target="footer6.xml"/><Relationship Id="rId35" Type="http://schemas.openxmlformats.org/officeDocument/2006/relationships/header" Target="header6.xml"/><Relationship Id="rId43" Type="http://schemas.openxmlformats.org/officeDocument/2006/relationships/image" Target="media/image12.png"/><Relationship Id="rId48" Type="http://schemas.openxmlformats.org/officeDocument/2006/relationships/image" Target="media/image17.png"/><Relationship Id="rId56" Type="http://schemas.openxmlformats.org/officeDocument/2006/relationships/image" Target="media/image25.png"/><Relationship Id="rId64" Type="http://schemas.openxmlformats.org/officeDocument/2006/relationships/image" Target="media/image33.png"/><Relationship Id="rId69" Type="http://schemas.openxmlformats.org/officeDocument/2006/relationships/image" Target="media/image38.png"/><Relationship Id="rId77" Type="http://schemas.openxmlformats.org/officeDocument/2006/relationships/image" Target="media/image43.png"/><Relationship Id="rId8" Type="http://schemas.openxmlformats.org/officeDocument/2006/relationships/settings" Target="settings.xml"/><Relationship Id="rId51" Type="http://schemas.openxmlformats.org/officeDocument/2006/relationships/image" Target="media/image20.png"/><Relationship Id="rId72" Type="http://schemas.openxmlformats.org/officeDocument/2006/relationships/image" Target="media/image41.png"/><Relationship Id="rId80" Type="http://schemas.openxmlformats.org/officeDocument/2006/relationships/image" Target="media/image46.png"/><Relationship Id="rId85" Type="http://schemas.openxmlformats.org/officeDocument/2006/relationships/image" Target="media/image51.png"/><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eader" Target="header2.xml"/><Relationship Id="rId33" Type="http://schemas.openxmlformats.org/officeDocument/2006/relationships/image" Target="media/image6.png"/><Relationship Id="rId38" Type="http://schemas.openxmlformats.org/officeDocument/2006/relationships/image" Target="media/image9.png"/><Relationship Id="rId46" Type="http://schemas.openxmlformats.org/officeDocument/2006/relationships/image" Target="media/image15.png"/><Relationship Id="rId59" Type="http://schemas.openxmlformats.org/officeDocument/2006/relationships/image" Target="media/image28.png"/><Relationship Id="rId67" Type="http://schemas.openxmlformats.org/officeDocument/2006/relationships/image" Target="media/image36.png"/><Relationship Id="rId20" Type="http://schemas.openxmlformats.org/officeDocument/2006/relationships/hyperlink" Target="https://www.health.govt.nz/publications/guidelines-for-reducing-and-eliminating-seclusion-and-restraint-under-the-mental-health-compulsory" TargetMode="External"/><Relationship Id="rId41" Type="http://schemas.openxmlformats.org/officeDocument/2006/relationships/header" Target="header8.xml"/><Relationship Id="rId54" Type="http://schemas.openxmlformats.org/officeDocument/2006/relationships/image" Target="media/image23.png"/><Relationship Id="rId62" Type="http://schemas.openxmlformats.org/officeDocument/2006/relationships/image" Target="media/image31.png"/><Relationship Id="rId70" Type="http://schemas.openxmlformats.org/officeDocument/2006/relationships/image" Target="media/image39.png"/><Relationship Id="rId75" Type="http://schemas.openxmlformats.org/officeDocument/2006/relationships/hyperlink" Target="https://www.health.govt.nz/regulation-legislation/mental-health-and-addiction/section-99-inspection-of-canterbury-mental-health-services" TargetMode="External"/><Relationship Id="rId83" Type="http://schemas.openxmlformats.org/officeDocument/2006/relationships/image" Target="media/image49.png"/><Relationship Id="rId88" Type="http://schemas.openxmlformats.org/officeDocument/2006/relationships/image" Target="media/image53.png"/><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yperlink" Target="https://www.health.govt.nz/publications/ministry-of-health-annual-report-for-the-year-ended-30-june-2024" TargetMode="External"/><Relationship Id="rId28" Type="http://schemas.openxmlformats.org/officeDocument/2006/relationships/footer" Target="footer5.xml"/><Relationship Id="rId36" Type="http://schemas.openxmlformats.org/officeDocument/2006/relationships/image" Target="media/image7.png"/><Relationship Id="rId49" Type="http://schemas.openxmlformats.org/officeDocument/2006/relationships/image" Target="media/image18.png"/><Relationship Id="rId57" Type="http://schemas.openxmlformats.org/officeDocument/2006/relationships/image" Target="media/image26.png"/><Relationship Id="rId10" Type="http://schemas.openxmlformats.org/officeDocument/2006/relationships/footnotes" Target="footnotes.xml"/><Relationship Id="rId31" Type="http://schemas.openxmlformats.org/officeDocument/2006/relationships/footer" Target="footer7.xml"/><Relationship Id="rId44" Type="http://schemas.openxmlformats.org/officeDocument/2006/relationships/image" Target="media/image13.png"/><Relationship Id="rId52" Type="http://schemas.openxmlformats.org/officeDocument/2006/relationships/image" Target="media/image21.png"/><Relationship Id="rId60" Type="http://schemas.openxmlformats.org/officeDocument/2006/relationships/image" Target="media/image29.png"/><Relationship Id="rId65" Type="http://schemas.openxmlformats.org/officeDocument/2006/relationships/image" Target="media/image34.png"/><Relationship Id="rId73" Type="http://schemas.openxmlformats.org/officeDocument/2006/relationships/hyperlink" Target="https://reports.hqsc.govt.nz/AdverseEventsQuarterly/" TargetMode="External"/><Relationship Id="rId78" Type="http://schemas.openxmlformats.org/officeDocument/2006/relationships/image" Target="media/image44.png"/><Relationship Id="rId81" Type="http://schemas.openxmlformats.org/officeDocument/2006/relationships/image" Target="media/image47.png"/><Relationship Id="rId86" Type="http://schemas.openxmlformats.org/officeDocument/2006/relationships/hyperlink" Target="https://www.health.govt.nz" TargetMode="External"/><Relationship Id="rId4" Type="http://schemas.openxmlformats.org/officeDocument/2006/relationships/customXml" Target="../customXml/item4.xml"/><Relationship Id="rId9" Type="http://schemas.openxmlformats.org/officeDocument/2006/relationships/webSettings" Target="webSettings.xml"/></Relationships>
</file>

<file path=word/_rels/footnotes.xml.rels><?xml version="1.0" encoding="UTF-8" standalone="yes"?>
<Relationships xmlns="http://schemas.openxmlformats.org/package/2006/relationships"><Relationship Id="rId3" Type="http://schemas.openxmlformats.org/officeDocument/2006/relationships/hyperlink" Target="https://www.health.govt.nz/about-us/new-zealands-health-system/health-system-roles-and-organisations/health-committees-and-boards/mental-health-review-tribunal" TargetMode="External"/><Relationship Id="rId2" Type="http://schemas.openxmlformats.org/officeDocument/2006/relationships/hyperlink" Target="http://www.hqsc.govt.nz/our-programmes/adverse-events/national-adverse-events-policy/" TargetMode="External"/><Relationship Id="rId1" Type="http://schemas.openxmlformats.org/officeDocument/2006/relationships/hyperlink" Target="https://mentalhealth.inquiry.govt.nz/inquiry-report/he-ara-oranga/" TargetMode="External"/><Relationship Id="rId5" Type="http://schemas.openxmlformats.org/officeDocument/2006/relationships/hyperlink" Target="https://www.health.govt.nz/publications/new-zealand-practice-guidelines-for-opioid-substitution-treatment-2014" TargetMode="External"/><Relationship Id="rId4" Type="http://schemas.openxmlformats.org/officeDocument/2006/relationships/hyperlink" Target="https://www.health.govt.nz/publications/specialist-opioid-substitution-treatment-ost-service-audit-and-review-tool"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ianne\Application%20Data\Microsoft\Templates\Health\2012%20Report%20Sans%20Serif%20Body.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eDocument" ma:contentTypeID="0x0101007BA1164CF1528342A046E742A1DEEBFB" ma:contentTypeVersion="352" ma:contentTypeDescription="Create a new document." ma:contentTypeScope="" ma:versionID="e661e1c7dae7aec020c022b16442541c">
  <xsd:schema xmlns:xsd="http://www.w3.org/2001/XMLSchema" xmlns:xs="http://www.w3.org/2001/XMLSchema" xmlns:p="http://schemas.microsoft.com/office/2006/metadata/properties" xmlns:ns2="a92161ee-a867-43fa-afc4-ef021add4eae" xmlns:ns3="4f9c820c-e7e2-444d-97ee-45f2b3485c1d" xmlns:ns4="15ffb055-6eb4-45a1-bc20-bf2ac0d420da" xmlns:ns5="725c79e5-42ce-4aa0-ac78-b6418001f0d2" xmlns:ns6="c91a514c-9034-4fa3-897a-8352025b26ed" xmlns:ns7="d0b61010-d6f3-4072-b934-7bbb13e97771" xmlns:ns8="184c05c4-c568-455d-94a4-7e009b164348" xmlns:ns9="77fc9259-9bdd-4436-bdca-cbe80b037127" targetNamespace="http://schemas.microsoft.com/office/2006/metadata/properties" ma:root="true" ma:fieldsID="1455104c60a0983416acb9c4aae37a7c" ns2:_="" ns3:_="" ns4:_="" ns5:_="" ns6:_="" ns7:_="" ns8:_="" ns9:_="">
    <xsd:import namespace="a92161ee-a867-43fa-afc4-ef021add4eae"/>
    <xsd:import namespace="4f9c820c-e7e2-444d-97ee-45f2b3485c1d"/>
    <xsd:import namespace="15ffb055-6eb4-45a1-bc20-bf2ac0d420da"/>
    <xsd:import namespace="725c79e5-42ce-4aa0-ac78-b6418001f0d2"/>
    <xsd:import namespace="c91a514c-9034-4fa3-897a-8352025b26ed"/>
    <xsd:import namespace="d0b61010-d6f3-4072-b934-7bbb13e97771"/>
    <xsd:import namespace="184c05c4-c568-455d-94a4-7e009b164348"/>
    <xsd:import namespace="77fc9259-9bdd-4436-bdca-cbe80b037127"/>
    <xsd:element name="properties">
      <xsd:complexType>
        <xsd:sequence>
          <xsd:element name="documentManagement">
            <xsd:complexType>
              <xsd:all>
                <xsd:element ref="ns2:_dlc_DocId" minOccurs="0"/>
                <xsd:element ref="ns2:_dlc_DocIdUrl" minOccurs="0"/>
                <xsd:element ref="ns2:_dlc_DocIdPersistId" minOccurs="0"/>
                <xsd:element ref="ns3:DocumentType" minOccurs="0"/>
                <xsd:element ref="ns4:KeyWords" minOccurs="0"/>
                <xsd:element ref="ns3:Narrative" minOccurs="0"/>
                <xsd:element ref="ns4:SecurityClassification" minOccurs="0"/>
                <xsd:element ref="ns3:Subactivity" minOccurs="0"/>
                <xsd:element ref="ns3:Case" minOccurs="0"/>
                <xsd:element ref="ns3:RelatedPeople" minOccurs="0"/>
                <xsd:element ref="ns3:CategoryName" minOccurs="0"/>
                <xsd:element ref="ns3:CategoryValue" minOccurs="0"/>
                <xsd:element ref="ns3:BusinessValue" minOccurs="0"/>
                <xsd:element ref="ns3:FunctionGroup" minOccurs="0"/>
                <xsd:element ref="ns3:Function" minOccurs="0"/>
                <xsd:element ref="ns3:PRAType" minOccurs="0"/>
                <xsd:element ref="ns3:PRADate1" minOccurs="0"/>
                <xsd:element ref="ns3:PRADate2" minOccurs="0"/>
                <xsd:element ref="ns3:PRADate3" minOccurs="0"/>
                <xsd:element ref="ns3:PRADateDisposal" minOccurs="0"/>
                <xsd:element ref="ns3:PRADateTrigger" minOccurs="0"/>
                <xsd:element ref="ns3:PRAText1" minOccurs="0"/>
                <xsd:element ref="ns3:PRAText2" minOccurs="0"/>
                <xsd:element ref="ns3:PRAText3" minOccurs="0"/>
                <xsd:element ref="ns3:PRAText4" minOccurs="0"/>
                <xsd:element ref="ns3:PRAText5" minOccurs="0"/>
                <xsd:element ref="ns3:AggregationStatus" minOccurs="0"/>
                <xsd:element ref="ns3:Project" minOccurs="0"/>
                <xsd:element ref="ns3:Activity" minOccurs="0"/>
                <xsd:element ref="ns5:AggregationNarrative" minOccurs="0"/>
                <xsd:element ref="ns6:Channel" minOccurs="0"/>
                <xsd:element ref="ns6:Team" minOccurs="0"/>
                <xsd:element ref="ns6:Level2" minOccurs="0"/>
                <xsd:element ref="ns6:Level3" minOccurs="0"/>
                <xsd:element ref="ns6:Year" minOccurs="0"/>
                <xsd:element ref="ns7:SetLabel" minOccurs="0"/>
                <xsd:element ref="ns7:OverrideLabel" minOccurs="0"/>
                <xsd:element ref="ns8:HasNHI" minOccurs="0"/>
                <xsd:element ref="ns8:zLegacy" minOccurs="0"/>
                <xsd:element ref="ns8:zLegacyID" minOccurs="0"/>
                <xsd:element ref="ns8:zLegacyJSON" minOccurs="0"/>
                <xsd:element ref="ns8:CopiedFrom" minOccurs="0"/>
                <xsd:element ref="ns8:Endorsements" minOccurs="0"/>
                <xsd:element ref="ns9:MediaServiceMetadata" minOccurs="0"/>
                <xsd:element ref="ns9:MediaServiceFastMetadata" minOccurs="0"/>
                <xsd:element ref="ns9:MediaServiceAutoKeyPoints" minOccurs="0"/>
                <xsd:element ref="ns9:MediaServiceKeyPoints" minOccurs="0"/>
                <xsd:element ref="ns2:SharedWithUsers" minOccurs="0"/>
                <xsd:element ref="ns2:SharedWithDetails" minOccurs="0"/>
                <xsd:element ref="ns9:lcf76f155ced4ddcb4097134ff3c332f" minOccurs="0"/>
                <xsd:element ref="ns2:TaxCatchAll" minOccurs="0"/>
                <xsd:element ref="ns9:MediaServiceDateTaken" minOccurs="0"/>
                <xsd:element ref="ns9:MediaServiceGenerationTime" minOccurs="0"/>
                <xsd:element ref="ns9:MediaServiceEventHashCode" minOccurs="0"/>
                <xsd:element ref="ns9:MediaLengthInSeconds" minOccurs="0"/>
                <xsd:element ref="ns9:MediaServiceOCR" minOccurs="0"/>
                <xsd:element ref="ns9:MediaServiceLocation" minOccurs="0"/>
                <xsd:element ref="ns9: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2161ee-a867-43fa-afc4-ef021add4eae"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5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56" nillable="true" ma:displayName="Shared With Details" ma:internalName="SharedWithDetails" ma:readOnly="true">
      <xsd:simpleType>
        <xsd:restriction base="dms:Note">
          <xsd:maxLength value="255"/>
        </xsd:restriction>
      </xsd:simpleType>
    </xsd:element>
    <xsd:element name="TaxCatchAll" ma:index="59" nillable="true" ma:displayName="Taxonomy Catch All Column" ma:hidden="true" ma:list="{c1f39fa3-e53e-4aaf-9341-465357fdeeb3}" ma:internalName="TaxCatchAll" ma:showField="CatchAllData" ma:web="a92161ee-a867-43fa-afc4-ef021add4ea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f9c820c-e7e2-444d-97ee-45f2b3485c1d" elementFormDefault="qualified">
    <xsd:import namespace="http://schemas.microsoft.com/office/2006/documentManagement/types"/>
    <xsd:import namespace="http://schemas.microsoft.com/office/infopath/2007/PartnerControls"/>
    <xsd:element name="DocumentType" ma:index="11" nillable="true" ma:displayName="Document Type" ma:format="Dropdown" ma:hidden="true" ma:internalName="DocumentType" ma:readOnly="false">
      <xsd:simpleType>
        <xsd:restriction base="dms:Choice">
          <xsd:enumeration value="APPLICATION, certificate, consent related"/>
          <xsd:enumeration value="CONTRACT, Variation, Agreement"/>
          <xsd:enumeration value="CORRESPONDENCE"/>
          <xsd:enumeration value="DRAWING, Plan, Map"/>
          <xsd:enumeration value="EMPLOYMENT related"/>
          <xsd:enumeration value="FINANCIAL related"/>
          <xsd:enumeration value="KNOWLEDGE article"/>
          <xsd:enumeration value="MEETING related"/>
          <xsd:enumeration value="MEMO, Filenote, Email"/>
          <xsd:enumeration value="MODEL, Calculation, Working"/>
          <xsd:enumeration value="PHOTO, Image or Multi-media"/>
          <xsd:enumeration value="PRESENTATION"/>
          <xsd:enumeration value="PUBLICATION material"/>
          <xsd:enumeration value="PURCHASING related"/>
          <xsd:enumeration value="REPORT, or planning related"/>
          <xsd:enumeration value="RULES, Policy, Bylaw, procedure"/>
          <xsd:enumeration value="SERVICE REQUEST related"/>
          <xsd:enumeration value="SPECIFICATION or standard"/>
          <xsd:enumeration value="SUPPLIER PRODUCT Info"/>
          <xsd:enumeration value="TEMPLATE, Checklist or Form"/>
        </xsd:restriction>
      </xsd:simpleType>
    </xsd:element>
    <xsd:element name="Narrative" ma:index="13" nillable="true" ma:displayName="Narrative" ma:hidden="true" ma:internalName="Narrative" ma:readOnly="false">
      <xsd:simpleType>
        <xsd:restriction base="dms:Note"/>
      </xsd:simpleType>
    </xsd:element>
    <xsd:element name="Subactivity" ma:index="15" nillable="true" ma:displayName="Subactivity" ma:default="NA" ma:hidden="true" ma:internalName="Subactivity" ma:readOnly="false">
      <xsd:simpleType>
        <xsd:restriction base="dms:Text">
          <xsd:maxLength value="255"/>
        </xsd:restriction>
      </xsd:simpleType>
    </xsd:element>
    <xsd:element name="Case" ma:index="16" nillable="true" ma:displayName="Case" ma:default="NA" ma:hidden="true" ma:internalName="Case" ma:readOnly="false">
      <xsd:simpleType>
        <xsd:restriction base="dms:Text">
          <xsd:maxLength value="255"/>
        </xsd:restriction>
      </xsd:simpleType>
    </xsd:element>
    <xsd:element name="RelatedPeople" ma:index="17" nillable="true" ma:displayName="Related People" ma:hidden="true" ma:list="UserInfo" ma:SharePointGroup="0" ma:internalName="RelatedPeople"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ategoryName" ma:index="18" nillable="true" ma:displayName="Category 1" ma:default="NA" ma:hidden="true" ma:internalName="CategoryName" ma:readOnly="false">
      <xsd:simpleType>
        <xsd:restriction base="dms:Text">
          <xsd:maxLength value="255"/>
        </xsd:restriction>
      </xsd:simpleType>
    </xsd:element>
    <xsd:element name="CategoryValue" ma:index="19" nillable="true" ma:displayName="Category 2" ma:default="NA" ma:hidden="true" ma:internalName="CategoryValue" ma:readOnly="false">
      <xsd:simpleType>
        <xsd:restriction base="dms:Text">
          <xsd:maxLength value="255"/>
        </xsd:restriction>
      </xsd:simpleType>
    </xsd:element>
    <xsd:element name="BusinessValue" ma:index="20" nillable="true" ma:displayName="Business Value" ma:hidden="true" ma:internalName="BusinessValue" ma:readOnly="false">
      <xsd:simpleType>
        <xsd:restriction base="dms:Text">
          <xsd:maxLength value="255"/>
        </xsd:restriction>
      </xsd:simpleType>
    </xsd:element>
    <xsd:element name="FunctionGroup" ma:index="21" nillable="true" ma:displayName="Function Group" ma:default="Corporate Support" ma:hidden="true" ma:internalName="FunctionGroup" ma:readOnly="false">
      <xsd:simpleType>
        <xsd:restriction base="dms:Text">
          <xsd:maxLength value="255"/>
        </xsd:restriction>
      </xsd:simpleType>
    </xsd:element>
    <xsd:element name="Function" ma:index="22" nillable="true" ma:displayName="Function" ma:default="Communications" ma:hidden="true" ma:internalName="Function" ma:readOnly="false">
      <xsd:simpleType>
        <xsd:restriction base="dms:Text">
          <xsd:maxLength value="255"/>
        </xsd:restriction>
      </xsd:simpleType>
    </xsd:element>
    <xsd:element name="PRAType" ma:index="23" nillable="true" ma:displayName="PRA Type" ma:default="Doc" ma:hidden="true" ma:indexed="true" ma:internalName="PRAType" ma:readOnly="false">
      <xsd:simpleType>
        <xsd:restriction base="dms:Text">
          <xsd:maxLength value="255"/>
        </xsd:restriction>
      </xsd:simpleType>
    </xsd:element>
    <xsd:element name="PRADate1" ma:index="24" nillable="true" ma:displayName="PRA Date 1" ma:format="DateOnly" ma:hidden="true" ma:internalName="PRADate1" ma:readOnly="false">
      <xsd:simpleType>
        <xsd:restriction base="dms:DateTime"/>
      </xsd:simpleType>
    </xsd:element>
    <xsd:element name="PRADate2" ma:index="25" nillable="true" ma:displayName="PRA Date 2" ma:format="DateOnly" ma:hidden="true" ma:internalName="PRADate2" ma:readOnly="false">
      <xsd:simpleType>
        <xsd:restriction base="dms:DateTime"/>
      </xsd:simpleType>
    </xsd:element>
    <xsd:element name="PRADate3" ma:index="26" nillable="true" ma:displayName="PRA Date 3" ma:format="DateOnly" ma:hidden="true" ma:internalName="PRADate3" ma:readOnly="false">
      <xsd:simpleType>
        <xsd:restriction base="dms:DateTime"/>
      </xsd:simpleType>
    </xsd:element>
    <xsd:element name="PRADateDisposal" ma:index="27" nillable="true" ma:displayName="PRA Date Disposal" ma:format="DateOnly" ma:hidden="true" ma:internalName="PRADateDisposal" ma:readOnly="false">
      <xsd:simpleType>
        <xsd:restriction base="dms:DateTime"/>
      </xsd:simpleType>
    </xsd:element>
    <xsd:element name="PRADateTrigger" ma:index="28" nillable="true" ma:displayName="PRA Date Trigger" ma:format="DateOnly" ma:hidden="true" ma:internalName="PRADateTrigger" ma:readOnly="false">
      <xsd:simpleType>
        <xsd:restriction base="dms:DateTime"/>
      </xsd:simpleType>
    </xsd:element>
    <xsd:element name="PRAText1" ma:index="29" nillable="true" ma:displayName="PRA Text 1" ma:hidden="true" ma:internalName="PRAText1" ma:readOnly="false">
      <xsd:simpleType>
        <xsd:restriction base="dms:Text">
          <xsd:maxLength value="255"/>
        </xsd:restriction>
      </xsd:simpleType>
    </xsd:element>
    <xsd:element name="PRAText2" ma:index="30" nillable="true" ma:displayName="PRA Text 2" ma:hidden="true" ma:internalName="PRAText2" ma:readOnly="false">
      <xsd:simpleType>
        <xsd:restriction base="dms:Text">
          <xsd:maxLength value="255"/>
        </xsd:restriction>
      </xsd:simpleType>
    </xsd:element>
    <xsd:element name="PRAText3" ma:index="31" nillable="true" ma:displayName="PRA Text 3" ma:hidden="true" ma:internalName="PRAText3" ma:readOnly="false">
      <xsd:simpleType>
        <xsd:restriction base="dms:Text">
          <xsd:maxLength value="255"/>
        </xsd:restriction>
      </xsd:simpleType>
    </xsd:element>
    <xsd:element name="PRAText4" ma:index="32" nillable="true" ma:displayName="PRA Text 4" ma:hidden="true" ma:internalName="PRAText4" ma:readOnly="false">
      <xsd:simpleType>
        <xsd:restriction base="dms:Text">
          <xsd:maxLength value="255"/>
        </xsd:restriction>
      </xsd:simpleType>
    </xsd:element>
    <xsd:element name="PRAText5" ma:index="33" nillable="true" ma:displayName="PRA Text 5" ma:hidden="true" ma:internalName="PRAText5" ma:readOnly="false">
      <xsd:simpleType>
        <xsd:restriction base="dms:Text">
          <xsd:maxLength value="255"/>
        </xsd:restriction>
      </xsd:simpleType>
    </xsd:element>
    <xsd:element name="AggregationStatus" ma:index="34" nillable="true" ma:displayName="Aggregation Status" ma:default="Normal" ma:format="Dropdown" ma:hidden="true" ma:internalName="AggregationStatus" ma:readOnly="false">
      <xsd:simpleType>
        <xsd:union memberTypes="dms:Text">
          <xsd:simpleType>
            <xsd:restriction base="dms:Choice">
              <xsd:enumeration value="Delete Soon"/>
              <xsd:enumeration value="Transfer Soon"/>
              <xsd:enumeration value="Appraise Soon"/>
              <xsd:enumeration value="Delete"/>
              <xsd:enumeration value="Transfer"/>
              <xsd:enumeration value="Appraise"/>
              <xsd:enumeration value="Hold"/>
              <xsd:enumeration value="Normal"/>
              <xsd:enumeration value="Archive"/>
            </xsd:restriction>
          </xsd:simpleType>
        </xsd:union>
      </xsd:simpleType>
    </xsd:element>
    <xsd:element name="Project" ma:index="35" nillable="true" ma:displayName="Project" ma:default="NA" ma:hidden="true" ma:internalName="Project" ma:readOnly="false">
      <xsd:simpleType>
        <xsd:restriction base="dms:Text">
          <xsd:maxLength value="255"/>
        </xsd:restriction>
      </xsd:simpleType>
    </xsd:element>
    <xsd:element name="Activity" ma:index="36" nillable="true" ma:displayName="Activity" ma:default="Strategic Communications" ma:hidden="true" ma:internalName="Activity"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5ffb055-6eb4-45a1-bc20-bf2ac0d420da" elementFormDefault="qualified">
    <xsd:import namespace="http://schemas.microsoft.com/office/2006/documentManagement/types"/>
    <xsd:import namespace="http://schemas.microsoft.com/office/infopath/2007/PartnerControls"/>
    <xsd:element name="KeyWords" ma:index="12" nillable="true" ma:displayName="Key Words" ma:hidden="true" ma:internalName="KeyWords" ma:readOnly="false">
      <xsd:simpleType>
        <xsd:restriction base="dms:Note"/>
      </xsd:simpleType>
    </xsd:element>
    <xsd:element name="SecurityClassification" ma:index="14" nillable="true" ma:displayName="Security Classification" ma:default="UNCLASSIFIED" ma:format="Dropdown" ma:internalName="SecurityClassification" ma:readOnly="false">
      <xsd:simpleType>
        <xsd:restriction base="dms:Choice">
          <xsd:enumeration value="UNCLASSIFIED"/>
          <xsd:enumeration value="IN-CONFIDENCE"/>
          <xsd:enumeration value="SENSITIVE"/>
          <xsd:enumeration value="RESTRICTED"/>
        </xsd:restriction>
      </xsd:simpleType>
    </xsd:element>
  </xsd:schema>
  <xsd:schema xmlns:xsd="http://www.w3.org/2001/XMLSchema" xmlns:xs="http://www.w3.org/2001/XMLSchema" xmlns:dms="http://schemas.microsoft.com/office/2006/documentManagement/types" xmlns:pc="http://schemas.microsoft.com/office/infopath/2007/PartnerControls" targetNamespace="725c79e5-42ce-4aa0-ac78-b6418001f0d2" elementFormDefault="qualified">
    <xsd:import namespace="http://schemas.microsoft.com/office/2006/documentManagement/types"/>
    <xsd:import namespace="http://schemas.microsoft.com/office/infopath/2007/PartnerControls"/>
    <xsd:element name="AggregationNarrative" ma:index="37" nillable="true" ma:displayName="Aggregation Narrative" ma:hidden="true" ma:internalName="AggregationNarrative"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91a514c-9034-4fa3-897a-8352025b26ed" elementFormDefault="qualified">
    <xsd:import namespace="http://schemas.microsoft.com/office/2006/documentManagement/types"/>
    <xsd:import namespace="http://schemas.microsoft.com/office/infopath/2007/PartnerControls"/>
    <xsd:element name="Channel" ma:index="38" nillable="true" ma:displayName="Channel" ma:default="NA" ma:hidden="true" ma:internalName="Channel" ma:readOnly="false">
      <xsd:simpleType>
        <xsd:restriction base="dms:Text">
          <xsd:maxLength value="255"/>
        </xsd:restriction>
      </xsd:simpleType>
    </xsd:element>
    <xsd:element name="Team" ma:index="39" nillable="true" ma:displayName="Team" ma:default="Strategic Communications" ma:hidden="true" ma:internalName="Team" ma:readOnly="false">
      <xsd:simpleType>
        <xsd:restriction base="dms:Text">
          <xsd:maxLength value="255"/>
        </xsd:restriction>
      </xsd:simpleType>
    </xsd:element>
    <xsd:element name="Level2" ma:index="40" nillable="true" ma:displayName="Level 2" ma:default="NA" ma:hidden="true" ma:internalName="Level2" ma:readOnly="false">
      <xsd:simpleType>
        <xsd:restriction base="dms:Text">
          <xsd:maxLength value="255"/>
        </xsd:restriction>
      </xsd:simpleType>
    </xsd:element>
    <xsd:element name="Level3" ma:index="41" nillable="true" ma:displayName="Level 3" ma:default="NA" ma:hidden="true" ma:internalName="Level3" ma:readOnly="false">
      <xsd:simpleType>
        <xsd:restriction base="dms:Text">
          <xsd:maxLength value="255"/>
        </xsd:restriction>
      </xsd:simpleType>
    </xsd:element>
    <xsd:element name="Year" ma:index="42" nillable="true" ma:displayName="Year" ma:default="NA" ma:hidden="true" ma:internalName="Year"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0b61010-d6f3-4072-b934-7bbb13e97771" elementFormDefault="qualified">
    <xsd:import namespace="http://schemas.microsoft.com/office/2006/documentManagement/types"/>
    <xsd:import namespace="http://schemas.microsoft.com/office/infopath/2007/PartnerControls"/>
    <xsd:element name="SetLabel" ma:index="43" nillable="true" ma:displayName="Set Label" ma:default="T10M" ma:hidden="true" ma:indexed="true" ma:internalName="SetLabel" ma:readOnly="false">
      <xsd:simpleType>
        <xsd:restriction base="dms:Text">
          <xsd:maxLength value="255"/>
        </xsd:restriction>
      </xsd:simpleType>
    </xsd:element>
    <xsd:element name="OverrideLabel" ma:index="44" nillable="true" ma:displayName="Override Label" ma:hidden="true" ma:indexed="true" ma:internalName="OverrideLabel"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84c05c4-c568-455d-94a4-7e009b164348" elementFormDefault="qualified">
    <xsd:import namespace="http://schemas.microsoft.com/office/2006/documentManagement/types"/>
    <xsd:import namespace="http://schemas.microsoft.com/office/infopath/2007/PartnerControls"/>
    <xsd:element name="HasNHI" ma:index="45" nillable="true" ma:displayName="Has NHI" ma:default="0" ma:internalName="HasNHI" ma:readOnly="false">
      <xsd:simpleType>
        <xsd:restriction base="dms:Boolean"/>
      </xsd:simpleType>
    </xsd:element>
    <xsd:element name="zLegacy" ma:index="46" nillable="true" ma:displayName="zLegacy" ma:hidden="true" ma:internalName="zLegacy" ma:readOnly="false">
      <xsd:simpleType>
        <xsd:restriction base="dms:Note"/>
      </xsd:simpleType>
    </xsd:element>
    <xsd:element name="zLegacyID" ma:index="47" nillable="true" ma:displayName="zLegacyID" ma:hidden="true" ma:indexed="true" ma:internalName="zLegacyID" ma:readOnly="false">
      <xsd:simpleType>
        <xsd:restriction base="dms:Text">
          <xsd:maxLength value="255"/>
        </xsd:restriction>
      </xsd:simpleType>
    </xsd:element>
    <xsd:element name="zLegacyJSON" ma:index="48" nillable="true" ma:displayName="zLegacyJSON" ma:hidden="true" ma:internalName="zLegacyJSON" ma:readOnly="false">
      <xsd:simpleType>
        <xsd:restriction base="dms:Note"/>
      </xsd:simpleType>
    </xsd:element>
    <xsd:element name="CopiedFrom" ma:index="49" nillable="true" ma:displayName="Copied From" ma:hidden="true" ma:internalName="CopiedFrom" ma:readOnly="false">
      <xsd:simpleType>
        <xsd:restriction base="dms:Text">
          <xsd:maxLength value="255"/>
        </xsd:restriction>
      </xsd:simpleType>
    </xsd:element>
    <xsd:element name="Endorsements" ma:index="50" nillable="true" ma:displayName="Endorsements" ma:default="N/A" ma:format="Dropdown" ma:internalName="Endorsements" ma:readOnly="false">
      <xsd:simpleType>
        <xsd:restriction base="dms:Choice">
          <xsd:enumeration value="N/A"/>
          <xsd:enumeration value="APPOINTMENTS"/>
          <xsd:enumeration value="BUDGET"/>
          <xsd:enumeration value="CABINET"/>
          <xsd:enumeration value="COMMERCIAL"/>
          <xsd:enumeration value="[DEPARTMENT] USE ONLY"/>
          <xsd:enumeration value="EMBARGOED FOR RELEASE"/>
          <xsd:enumeration value="EVALUATIVE"/>
          <xsd:enumeration value="HONOURS"/>
          <xsd:enumeration value="LEGAL PRIVILEGE"/>
          <xsd:enumeration value="MEDICAL"/>
          <xsd:enumeration value="NEW ZEALAND EYES ONLY (NZEO)"/>
          <xsd:enumeration value="STAFF"/>
          <xsd:enumeration value="POLICY"/>
          <xsd:enumeration value="TO BE REVIEWED ON"/>
          <xsd:enumeration value="RELEASEABLE TO (REL)"/>
        </xsd:restriction>
      </xsd:simpleType>
    </xsd:element>
  </xsd:schema>
  <xsd:schema xmlns:xsd="http://www.w3.org/2001/XMLSchema" xmlns:xs="http://www.w3.org/2001/XMLSchema" xmlns:dms="http://schemas.microsoft.com/office/2006/documentManagement/types" xmlns:pc="http://schemas.microsoft.com/office/infopath/2007/PartnerControls" targetNamespace="77fc9259-9bdd-4436-bdca-cbe80b037127" elementFormDefault="qualified">
    <xsd:import namespace="http://schemas.microsoft.com/office/2006/documentManagement/types"/>
    <xsd:import namespace="http://schemas.microsoft.com/office/infopath/2007/PartnerControls"/>
    <xsd:element name="MediaServiceMetadata" ma:index="51" nillable="true" ma:displayName="MediaServiceMetadata" ma:hidden="true" ma:internalName="MediaServiceMetadata" ma:readOnly="true">
      <xsd:simpleType>
        <xsd:restriction base="dms:Note"/>
      </xsd:simpleType>
    </xsd:element>
    <xsd:element name="MediaServiceFastMetadata" ma:index="52" nillable="true" ma:displayName="MediaServiceFastMetadata" ma:hidden="true" ma:internalName="MediaServiceFastMetadata" ma:readOnly="true">
      <xsd:simpleType>
        <xsd:restriction base="dms:Note"/>
      </xsd:simpleType>
    </xsd:element>
    <xsd:element name="MediaServiceAutoKeyPoints" ma:index="53" nillable="true" ma:displayName="MediaServiceAutoKeyPoints" ma:hidden="true" ma:internalName="MediaServiceAutoKeyPoints" ma:readOnly="true">
      <xsd:simpleType>
        <xsd:restriction base="dms:Note"/>
      </xsd:simpleType>
    </xsd:element>
    <xsd:element name="MediaServiceKeyPoints" ma:index="54" nillable="true" ma:displayName="KeyPoints" ma:internalName="MediaServiceKeyPoints" ma:readOnly="true">
      <xsd:simpleType>
        <xsd:restriction base="dms:Note">
          <xsd:maxLength value="255"/>
        </xsd:restriction>
      </xsd:simpleType>
    </xsd:element>
    <xsd:element name="lcf76f155ced4ddcb4097134ff3c332f" ma:index="58" nillable="true" ma:taxonomy="true" ma:internalName="lcf76f155ced4ddcb4097134ff3c332f" ma:taxonomyFieldName="MediaServiceImageTags" ma:displayName="Image Tags" ma:readOnly="false" ma:fieldId="{5cf76f15-5ced-4ddc-b409-7134ff3c332f}" ma:taxonomyMulti="true" ma:sspId="0413e039-5297-4392-bfce-c6182202c714" ma:termSetId="09814cd3-568e-fe90-9814-8d621ff8fb84" ma:anchorId="fba54fb3-c3e1-fe81-a776-ca4b69148c4d" ma:open="true" ma:isKeyword="false">
      <xsd:complexType>
        <xsd:sequence>
          <xsd:element ref="pc:Terms" minOccurs="0" maxOccurs="1"/>
        </xsd:sequence>
      </xsd:complexType>
    </xsd:element>
    <xsd:element name="MediaServiceDateTaken" ma:index="60" nillable="true" ma:displayName="MediaServiceDateTaken" ma:hidden="true" ma:internalName="MediaServiceDateTaken" ma:readOnly="true">
      <xsd:simpleType>
        <xsd:restriction base="dms:Text"/>
      </xsd:simpleType>
    </xsd:element>
    <xsd:element name="MediaServiceGenerationTime" ma:index="61" nillable="true" ma:displayName="MediaServiceGenerationTime" ma:hidden="true" ma:internalName="MediaServiceGenerationTime" ma:readOnly="true">
      <xsd:simpleType>
        <xsd:restriction base="dms:Text"/>
      </xsd:simpleType>
    </xsd:element>
    <xsd:element name="MediaServiceEventHashCode" ma:index="62" nillable="true" ma:displayName="MediaServiceEventHashCode" ma:hidden="true" ma:internalName="MediaServiceEventHashCode" ma:readOnly="true">
      <xsd:simpleType>
        <xsd:restriction base="dms:Text"/>
      </xsd:simpleType>
    </xsd:element>
    <xsd:element name="MediaLengthInSeconds" ma:index="63" nillable="true" ma:displayName="MediaLengthInSeconds" ma:hidden="true" ma:internalName="MediaLengthInSeconds" ma:readOnly="true">
      <xsd:simpleType>
        <xsd:restriction base="dms:Unknown"/>
      </xsd:simpleType>
    </xsd:element>
    <xsd:element name="MediaServiceOCR" ma:index="64" nillable="true" ma:displayName="Extracted Text" ma:internalName="MediaServiceOCR" ma:readOnly="true">
      <xsd:simpleType>
        <xsd:restriction base="dms:Note">
          <xsd:maxLength value="255"/>
        </xsd:restriction>
      </xsd:simpleType>
    </xsd:element>
    <xsd:element name="MediaServiceLocation" ma:index="65" nillable="true" ma:displayName="Location" ma:indexed="true" ma:internalName="MediaServiceLocation" ma:readOnly="true">
      <xsd:simpleType>
        <xsd:restriction base="dms:Text"/>
      </xsd:simpleType>
    </xsd:element>
    <xsd:element name="MediaServiceObjectDetectorVersions" ma:index="66"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p:properties xmlns:p="http://schemas.microsoft.com/office/2006/metadata/properties" xmlns:xsi="http://www.w3.org/2001/XMLSchema-instance" xmlns:pc="http://schemas.microsoft.com/office/infopath/2007/PartnerControls">
  <documentManagement>
    <Subactivity xmlns="4f9c820c-e7e2-444d-97ee-45f2b3485c1d">Publications</Subactivity>
    <BusinessValue xmlns="4f9c820c-e7e2-444d-97ee-45f2b3485c1d" xsi:nil="true"/>
    <PRADateDisposal xmlns="4f9c820c-e7e2-444d-97ee-45f2b3485c1d" xsi:nil="true"/>
    <KeyWords xmlns="15ffb055-6eb4-45a1-bc20-bf2ac0d420da" xsi:nil="true"/>
    <SecurityClassification xmlns="15ffb055-6eb4-45a1-bc20-bf2ac0d420da">UNCLASSIFIED</SecurityClassification>
    <PRADate3 xmlns="4f9c820c-e7e2-444d-97ee-45f2b3485c1d" xsi:nil="true"/>
    <PRAText5 xmlns="4f9c820c-e7e2-444d-97ee-45f2b3485c1d" xsi:nil="true"/>
    <Level2 xmlns="c91a514c-9034-4fa3-897a-8352025b26ed">NA</Level2>
    <CopiedFrom xmlns="184c05c4-c568-455d-94a4-7e009b164348" xsi:nil="true"/>
    <Activity xmlns="4f9c820c-e7e2-444d-97ee-45f2b3485c1d">Strategic Communications</Activity>
    <AggregationStatus xmlns="4f9c820c-e7e2-444d-97ee-45f2b3485c1d">Normal</AggregationStatus>
    <OverrideLabel xmlns="d0b61010-d6f3-4072-b934-7bbb13e97771" xsi:nil="true"/>
    <CategoryValue xmlns="4f9c820c-e7e2-444d-97ee-45f2b3485c1d">NA</CategoryValue>
    <PRADate2 xmlns="4f9c820c-e7e2-444d-97ee-45f2b3485c1d" xsi:nil="true"/>
    <zLegacyJSON xmlns="184c05c4-c568-455d-94a4-7e009b164348" xsi:nil="true"/>
    <Case xmlns="4f9c820c-e7e2-444d-97ee-45f2b3485c1d">Templates</Case>
    <PRAText1 xmlns="4f9c820c-e7e2-444d-97ee-45f2b3485c1d" xsi:nil="true"/>
    <PRAText4 xmlns="4f9c820c-e7e2-444d-97ee-45f2b3485c1d" xsi:nil="true"/>
    <Level3 xmlns="c91a514c-9034-4fa3-897a-8352025b26ed">NA</Level3>
    <Endorsements xmlns="184c05c4-c568-455d-94a4-7e009b164348">N/A</Endorsements>
    <Team xmlns="c91a514c-9034-4fa3-897a-8352025b26ed">Strategic Communications</Team>
    <Project xmlns="4f9c820c-e7e2-444d-97ee-45f2b3485c1d">NA</Project>
    <TaxCatchAll xmlns="a92161ee-a867-43fa-afc4-ef021add4eae" xsi:nil="true"/>
    <HasNHI xmlns="184c05c4-c568-455d-94a4-7e009b164348">false</HasNHI>
    <lcf76f155ced4ddcb4097134ff3c332f xmlns="77fc9259-9bdd-4436-bdca-cbe80b037127">
      <Terms xmlns="http://schemas.microsoft.com/office/infopath/2007/PartnerControls"/>
    </lcf76f155ced4ddcb4097134ff3c332f>
    <FunctionGroup xmlns="4f9c820c-e7e2-444d-97ee-45f2b3485c1d">Corporate Support</FunctionGroup>
    <Function xmlns="4f9c820c-e7e2-444d-97ee-45f2b3485c1d">Communications</Function>
    <SetLabel xmlns="d0b61010-d6f3-4072-b934-7bbb13e97771">T10M</SetLabel>
    <RelatedPeople xmlns="4f9c820c-e7e2-444d-97ee-45f2b3485c1d">
      <UserInfo>
        <DisplayName/>
        <AccountId xsi:nil="true"/>
        <AccountType/>
      </UserInfo>
    </RelatedPeople>
    <AggregationNarrative xmlns="725c79e5-42ce-4aa0-ac78-b6418001f0d2" xsi:nil="true"/>
    <Channel xmlns="c91a514c-9034-4fa3-897a-8352025b26ed">Design and Publications</Channel>
    <PRAType xmlns="4f9c820c-e7e2-444d-97ee-45f2b3485c1d">Doc</PRAType>
    <PRADate1 xmlns="4f9c820c-e7e2-444d-97ee-45f2b3485c1d" xsi:nil="true"/>
    <DocumentType xmlns="4f9c820c-e7e2-444d-97ee-45f2b3485c1d" xsi:nil="true"/>
    <PRAText3 xmlns="4f9c820c-e7e2-444d-97ee-45f2b3485c1d" xsi:nil="true"/>
    <zLegacy xmlns="184c05c4-c568-455d-94a4-7e009b164348" xsi:nil="true"/>
    <Year xmlns="c91a514c-9034-4fa3-897a-8352025b26ed">NA</Year>
    <Narrative xmlns="4f9c820c-e7e2-444d-97ee-45f2b3485c1d" xsi:nil="true"/>
    <CategoryName xmlns="4f9c820c-e7e2-444d-97ee-45f2b3485c1d">NA</CategoryName>
    <PRADateTrigger xmlns="4f9c820c-e7e2-444d-97ee-45f2b3485c1d" xsi:nil="true"/>
    <PRAText2 xmlns="4f9c820c-e7e2-444d-97ee-45f2b3485c1d" xsi:nil="true"/>
    <zLegacyID xmlns="184c05c4-c568-455d-94a4-7e009b164348" xsi:nil="true"/>
    <_dlc_DocId xmlns="a92161ee-a867-43fa-afc4-ef021add4eae">MOHECM-2060122139-3453</_dlc_DocId>
    <_dlc_DocIdUrl xmlns="a92161ee-a867-43fa-afc4-ef021add4eae">
      <Url>https://mohgovtnz.sharepoint.com/sites/moh-ecm-StratComms/_layouts/15/DocIdRedir.aspx?ID=MOHECM-2060122139-3453</Url>
      <Description>MOHECM-2060122139-3453</Description>
    </_dlc_DocIdUrl>
  </documentManagement>
</p:properties>
</file>

<file path=customXml/itemProps1.xml><?xml version="1.0" encoding="utf-8"?>
<ds:datastoreItem xmlns:ds="http://schemas.openxmlformats.org/officeDocument/2006/customXml" ds:itemID="{1B47F67D-389C-427D-8AD9-389F83D09EF9}">
  <ds:schemaRefs>
    <ds:schemaRef ds:uri="http://schemas.openxmlformats.org/officeDocument/2006/bibliography"/>
  </ds:schemaRefs>
</ds:datastoreItem>
</file>

<file path=customXml/itemProps2.xml><?xml version="1.0" encoding="utf-8"?>
<ds:datastoreItem xmlns:ds="http://schemas.openxmlformats.org/officeDocument/2006/customXml" ds:itemID="{69FB8D08-374B-4339-A342-8C1BDA21A53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92161ee-a867-43fa-afc4-ef021add4eae"/>
    <ds:schemaRef ds:uri="4f9c820c-e7e2-444d-97ee-45f2b3485c1d"/>
    <ds:schemaRef ds:uri="15ffb055-6eb4-45a1-bc20-bf2ac0d420da"/>
    <ds:schemaRef ds:uri="725c79e5-42ce-4aa0-ac78-b6418001f0d2"/>
    <ds:schemaRef ds:uri="c91a514c-9034-4fa3-897a-8352025b26ed"/>
    <ds:schemaRef ds:uri="d0b61010-d6f3-4072-b934-7bbb13e97771"/>
    <ds:schemaRef ds:uri="184c05c4-c568-455d-94a4-7e009b164348"/>
    <ds:schemaRef ds:uri="77fc9259-9bdd-4436-bdca-cbe80b03712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FDE10D4-B04D-46BB-8458-050322E51106}">
  <ds:schemaRefs>
    <ds:schemaRef ds:uri="http://schemas.microsoft.com/sharepoint/v3/contenttype/forms"/>
  </ds:schemaRefs>
</ds:datastoreItem>
</file>

<file path=customXml/itemProps4.xml><?xml version="1.0" encoding="utf-8"?>
<ds:datastoreItem xmlns:ds="http://schemas.openxmlformats.org/officeDocument/2006/customXml" ds:itemID="{47BE128A-4E51-447D-A206-342B12F3F0F3}">
  <ds:schemaRefs>
    <ds:schemaRef ds:uri="http://schemas.microsoft.com/sharepoint/events"/>
  </ds:schemaRefs>
</ds:datastoreItem>
</file>

<file path=customXml/itemProps5.xml><?xml version="1.0" encoding="utf-8"?>
<ds:datastoreItem xmlns:ds="http://schemas.openxmlformats.org/officeDocument/2006/customXml" ds:itemID="{4577FFB0-260E-4BEB-AB23-5A43F0263A51}">
  <ds:schemaRefs>
    <ds:schemaRef ds:uri="4f9c820c-e7e2-444d-97ee-45f2b3485c1d"/>
    <ds:schemaRef ds:uri="http://schemas.microsoft.com/office/2006/metadata/properties"/>
    <ds:schemaRef ds:uri="d0b61010-d6f3-4072-b934-7bbb13e97771"/>
    <ds:schemaRef ds:uri="a92161ee-a867-43fa-afc4-ef021add4eae"/>
    <ds:schemaRef ds:uri="http://schemas.microsoft.com/office/infopath/2007/PartnerControls"/>
    <ds:schemaRef ds:uri="http://purl.org/dc/dcmitype/"/>
    <ds:schemaRef ds:uri="http://purl.org/dc/terms/"/>
    <ds:schemaRef ds:uri="http://schemas.microsoft.com/office/2006/documentManagement/types"/>
    <ds:schemaRef ds:uri="77fc9259-9bdd-4436-bdca-cbe80b037127"/>
    <ds:schemaRef ds:uri="http://schemas.openxmlformats.org/package/2006/metadata/core-properties"/>
    <ds:schemaRef ds:uri="http://www.w3.org/XML/1998/namespace"/>
    <ds:schemaRef ds:uri="725c79e5-42ce-4aa0-ac78-b6418001f0d2"/>
    <ds:schemaRef ds:uri="c91a514c-9034-4fa3-897a-8352025b26ed"/>
    <ds:schemaRef ds:uri="15ffb055-6eb4-45a1-bc20-bf2ac0d420da"/>
    <ds:schemaRef ds:uri="http://purl.org/dc/elements/1.1/"/>
    <ds:schemaRef ds:uri="184c05c4-c568-455d-94a4-7e009b164348"/>
  </ds:schemaRefs>
</ds:datastoreItem>
</file>

<file path=docProps/app.xml><?xml version="1.0" encoding="utf-8"?>
<Properties xmlns="http://schemas.openxmlformats.org/officeDocument/2006/extended-properties" xmlns:vt="http://schemas.openxmlformats.org/officeDocument/2006/docPropsVTypes">
  <Template>2012 Report Sans Serif Body</Template>
  <TotalTime>2738</TotalTime>
  <Pages>77</Pages>
  <Words>19347</Words>
  <Characters>110280</Characters>
  <Application>Microsoft Office Word</Application>
  <DocSecurity>0</DocSecurity>
  <Lines>919</Lines>
  <Paragraphs>258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129369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Office of the Director of Mental Health and Addiction Services: Regulatory Report 1 July 2022 to 30 June 2023</dc:title>
  <dc:creator>Ministry of Health</dc:creator>
  <cp:lastModifiedBy>Ministry of Health</cp:lastModifiedBy>
  <cp:revision>25</cp:revision>
  <cp:lastPrinted>2025-02-04T22:42:00Z</cp:lastPrinted>
  <dcterms:created xsi:type="dcterms:W3CDTF">2024-11-04T01:33:00Z</dcterms:created>
  <dcterms:modified xsi:type="dcterms:W3CDTF">2025-02-04T22:42:00Z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0x0101007BA1164CF1528342A046E742A1DEEBFB</vt:lpwstr>
  </property>
  <property fmtid="{D5CDD505-2E9C-101B-9397-08002B2CF9AE}" pid="3" name="_dlc_DocIdItemGuid">
    <vt:lpwstr>101e0034-4939-4aa9-a033-1e1c325655a4</vt:lpwstr>
  </property>
  <property fmtid="{D5CDD505-2E9C-101B-9397-08002B2CF9AE}" pid="4" name="MediaServiceImageTags">
    <vt:lpwstr/>
  </property>
</Properties>
</file>